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06314" w14:textId="77777777" w:rsidR="00DF3733" w:rsidRDefault="00DF3733" w:rsidP="00873AF3">
      <w:pPr>
        <w:pStyle w:val="ListParagraph"/>
        <w:keepNext/>
        <w:ind w:left="0"/>
        <w:rPr>
          <w:bCs/>
        </w:rPr>
      </w:pPr>
    </w:p>
    <w:p w14:paraId="1181BA97" w14:textId="17E5F295" w:rsidR="00DF3733" w:rsidRDefault="00DF3733" w:rsidP="00873AF3">
      <w:pPr>
        <w:pStyle w:val="3-BodyText"/>
        <w:ind w:left="0" w:firstLine="0"/>
        <w:rPr>
          <w:color w:val="FF0000"/>
        </w:rPr>
      </w:pPr>
      <w:r w:rsidRPr="00D8290D">
        <w:rPr>
          <w:color w:val="FF0000"/>
        </w:rPr>
        <w:t xml:space="preserve">An addendum </w:t>
      </w:r>
      <w:r w:rsidR="00F22A68">
        <w:rPr>
          <w:color w:val="FF0000"/>
        </w:rPr>
        <w:t xml:space="preserve">to this Public Summary Document </w:t>
      </w:r>
      <w:r w:rsidRPr="00D8290D">
        <w:rPr>
          <w:color w:val="FF0000"/>
        </w:rPr>
        <w:t>has been included at the end of the</w:t>
      </w:r>
      <w:r w:rsidR="00F22A68">
        <w:rPr>
          <w:color w:val="FF0000"/>
        </w:rPr>
        <w:t xml:space="preserve"> </w:t>
      </w:r>
      <w:r>
        <w:rPr>
          <w:color w:val="FF0000"/>
        </w:rPr>
        <w:t>document.</w:t>
      </w:r>
    </w:p>
    <w:p w14:paraId="3F3397F2" w14:textId="77777777" w:rsidR="003F44CC" w:rsidRPr="00DF3733" w:rsidRDefault="003F44CC" w:rsidP="00873AF3">
      <w:pPr>
        <w:pStyle w:val="3-BodyText"/>
        <w:ind w:left="0" w:firstLine="0"/>
        <w:rPr>
          <w:color w:val="FF0000"/>
        </w:rPr>
      </w:pPr>
    </w:p>
    <w:p w14:paraId="51C6701A" w14:textId="300BAB15" w:rsidR="00B60939" w:rsidRPr="00CE706B" w:rsidRDefault="00A45F1C" w:rsidP="00873AF3">
      <w:pPr>
        <w:pStyle w:val="COMexecsummheadings"/>
      </w:pPr>
      <w:r>
        <w:t>5.14</w:t>
      </w:r>
      <w:r w:rsidR="00163F66" w:rsidRPr="00CE706B">
        <w:tab/>
      </w:r>
      <w:r w:rsidR="00E75584" w:rsidRPr="00CE706B">
        <w:t>ROZANOLIXIZUMAB</w:t>
      </w:r>
      <w:r w:rsidR="00163F66" w:rsidRPr="00CE706B">
        <w:t>,</w:t>
      </w:r>
      <w:r w:rsidR="00163F66" w:rsidRPr="00CE706B">
        <w:br/>
      </w:r>
      <w:r w:rsidR="00A10433" w:rsidRPr="00CE706B">
        <w:t xml:space="preserve">Solution for </w:t>
      </w:r>
      <w:r w:rsidR="008500EC" w:rsidRPr="00CE706B">
        <w:t>subcutaneous infusion</w:t>
      </w:r>
      <w:r w:rsidR="00163F66" w:rsidRPr="00CE706B">
        <w:t>,</w:t>
      </w:r>
      <w:r w:rsidR="00163F66" w:rsidRPr="00CE706B">
        <w:br/>
      </w:r>
      <w:r w:rsidR="00A10433" w:rsidRPr="00CE706B">
        <w:t xml:space="preserve">280 </w:t>
      </w:r>
      <w:r w:rsidR="00385FAD" w:rsidRPr="00CE706B">
        <w:t>mg in 2 mL (140 mg per mL)</w:t>
      </w:r>
      <w:r w:rsidR="00163F66" w:rsidRPr="00CE706B">
        <w:t>,</w:t>
      </w:r>
      <w:r w:rsidR="00163F66" w:rsidRPr="00CE706B">
        <w:br/>
      </w:r>
      <w:r w:rsidR="00015DD1" w:rsidRPr="00CE706B">
        <w:t>Rystiggo</w:t>
      </w:r>
      <w:r w:rsidR="00B60939" w:rsidRPr="00CE706B">
        <w:rPr>
          <w:vertAlign w:val="superscript"/>
        </w:rPr>
        <w:t>®</w:t>
      </w:r>
      <w:r w:rsidR="004A6040" w:rsidRPr="00CE706B">
        <w:t>,</w:t>
      </w:r>
      <w:r w:rsidR="004A6040" w:rsidRPr="00CE706B">
        <w:br/>
      </w:r>
      <w:r w:rsidR="00015DD1" w:rsidRPr="00CE706B">
        <w:t>UCB Australia Pty Ltd</w:t>
      </w:r>
      <w:r w:rsidR="00B60939" w:rsidRPr="00CE706B">
        <w:t>.</w:t>
      </w:r>
    </w:p>
    <w:p w14:paraId="11C00795" w14:textId="3DFB6D23" w:rsidR="00B50DB8" w:rsidRPr="00CE706B" w:rsidRDefault="00B50DB8" w:rsidP="00873AF3">
      <w:pPr>
        <w:pStyle w:val="COMH1-numbered"/>
      </w:pPr>
      <w:bookmarkStart w:id="0" w:name="_Toc188272881"/>
      <w:r w:rsidRPr="00CE706B">
        <w:t xml:space="preserve">Purpose of </w:t>
      </w:r>
      <w:r w:rsidR="00CD7193" w:rsidRPr="00CE706B">
        <w:t>s</w:t>
      </w:r>
      <w:r w:rsidR="00BB3A45" w:rsidRPr="00CE706B">
        <w:t>ubmission</w:t>
      </w:r>
      <w:bookmarkEnd w:id="0"/>
    </w:p>
    <w:p w14:paraId="0FE3DE92" w14:textId="37F988A3" w:rsidR="00A16B64" w:rsidRPr="00022A1F" w:rsidRDefault="7F8E54F9" w:rsidP="00873AF3">
      <w:pPr>
        <w:pStyle w:val="COMexecsummnumbered"/>
      </w:pPr>
      <w:r w:rsidRPr="7E0DBB7D">
        <w:t xml:space="preserve">The Category 1 submission requested Section 100 (Highly Specialised Drugs Program) Authority Required (Written) listing for rozanolixizumab for the treatment of adult patients with generalised myasthenia gravis (gMG) who are anti-acetylcholine receptor </w:t>
      </w:r>
      <w:r w:rsidR="00F274E8" w:rsidRPr="7E0DBB7D">
        <w:t xml:space="preserve">(AChR) </w:t>
      </w:r>
      <w:r w:rsidRPr="7E0DBB7D">
        <w:t>antibody positive.</w:t>
      </w:r>
    </w:p>
    <w:p w14:paraId="33DE4801" w14:textId="156DFC2E" w:rsidR="00A16B64" w:rsidRPr="0039165B" w:rsidRDefault="7F8E54F9" w:rsidP="00873AF3">
      <w:pPr>
        <w:pStyle w:val="COMexecsummnumbered"/>
      </w:pPr>
      <w:r w:rsidRPr="7E0DBB7D">
        <w:t xml:space="preserve">Current disease-modifying treatment options for AChR-positive generalised myasthenia gravis such as corticosteroids </w:t>
      </w:r>
      <w:r w:rsidRPr="0039165B">
        <w:t xml:space="preserve">and non-steroidal immunosuppressants </w:t>
      </w:r>
      <w:r w:rsidR="42F11B73" w:rsidRPr="0039165B">
        <w:t xml:space="preserve">(NS-ISTs) </w:t>
      </w:r>
      <w:r w:rsidRPr="0039165B">
        <w:t>can take up to 2 years to induce remission</w:t>
      </w:r>
      <w:r w:rsidR="498BC145" w:rsidRPr="0039165B">
        <w:t xml:space="preserve">, with the ESC considering that </w:t>
      </w:r>
      <w:r w:rsidR="6A5D4E7E" w:rsidRPr="0039165B">
        <w:t>overall, the</w:t>
      </w:r>
      <w:r w:rsidR="00767E60" w:rsidRPr="0039165B">
        <w:t xml:space="preserve"> primary</w:t>
      </w:r>
      <w:r w:rsidR="6A5D4E7E" w:rsidRPr="0039165B">
        <w:t xml:space="preserve"> literature suggests that patients generally respond to NS-ISTs within 12</w:t>
      </w:r>
      <w:r w:rsidR="00873EA0">
        <w:t> </w:t>
      </w:r>
      <w:r w:rsidR="6A5D4E7E" w:rsidRPr="0039165B">
        <w:t>months, with many patients responding within the first one to six months</w:t>
      </w:r>
      <w:r w:rsidR="00B579D1">
        <w:t xml:space="preserve"> (refer to paragraph </w:t>
      </w:r>
      <w:r w:rsidR="00B579D1">
        <w:fldChar w:fldCharType="begin" w:fldLock="1"/>
      </w:r>
      <w:r w:rsidR="00B579D1">
        <w:instrText xml:space="preserve"> REF _Ref193200650 \r \h </w:instrText>
      </w:r>
      <w:r w:rsidR="00B579D1">
        <w:fldChar w:fldCharType="separate"/>
      </w:r>
      <w:r w:rsidR="00E70E55">
        <w:t>7.6</w:t>
      </w:r>
      <w:r w:rsidR="00B579D1">
        <w:fldChar w:fldCharType="end"/>
      </w:r>
      <w:r w:rsidR="00B579D1">
        <w:t>).</w:t>
      </w:r>
      <w:r w:rsidRPr="0039165B">
        <w:t xml:space="preserve"> Bridging therapies may provide relief from symptoms while remission induction occurs, with the only currently available therapies being intravenous immunoglobulin (IVIg) and plasma exchange (PLEX). The submission claimed that current demand for IVIg exceeds domestic supply, and there is also a global shortage of IVIg, with long production lead times and reliance on blood donations for production meaning that clinical need cannot be addressed in the short term. PLEX is associated with bleeding risk and hypotension and is not widely available outside of metropolitan centres.</w:t>
      </w:r>
    </w:p>
    <w:p w14:paraId="717D1458" w14:textId="344CFDA2" w:rsidR="00A16B64" w:rsidRPr="0039165B" w:rsidRDefault="7F8E54F9" w:rsidP="00873AF3">
      <w:pPr>
        <w:pStyle w:val="COMexecsummnumbered"/>
      </w:pPr>
      <w:r w:rsidRPr="0039165B">
        <w:t xml:space="preserve">The submission positioned rozanolixizumab as an alternative to IVIg and PLEX as a bridging therapy for the management of disease symptoms while remission induction occurs with </w:t>
      </w:r>
      <w:r w:rsidR="000159C2">
        <w:t>NS-ISTs</w:t>
      </w:r>
      <w:r w:rsidR="60C8D01C" w:rsidRPr="0039165B">
        <w:t>, though the</w:t>
      </w:r>
      <w:r w:rsidR="3BBCA1F2" w:rsidRPr="0039165B">
        <w:t xml:space="preserve"> </w:t>
      </w:r>
      <w:r w:rsidR="000B2E95" w:rsidRPr="0039165B">
        <w:t>Pre-Sub-Committee Response (</w:t>
      </w:r>
      <w:r w:rsidR="3BBCA1F2" w:rsidRPr="0039165B">
        <w:t>PSCR</w:t>
      </w:r>
      <w:r w:rsidR="000B2E95" w:rsidRPr="0039165B">
        <w:t>)</w:t>
      </w:r>
      <w:r w:rsidR="60C8D01C" w:rsidRPr="0039165B">
        <w:t xml:space="preserve"> proposed a potentially broader place that </w:t>
      </w:r>
      <w:r w:rsidR="2BA43CA1" w:rsidRPr="0039165B">
        <w:t>was i</w:t>
      </w:r>
      <w:r w:rsidR="3BBCA1F2" w:rsidRPr="0039165B">
        <w:t>n line with the use of IVIg in current clinical practice</w:t>
      </w:r>
      <w:r w:rsidRPr="0039165B">
        <w:t>.</w:t>
      </w:r>
    </w:p>
    <w:p w14:paraId="668266D5" w14:textId="2B67EBD8" w:rsidR="00A16B64" w:rsidRPr="00022A1F" w:rsidRDefault="7F8E54F9" w:rsidP="00873AF3">
      <w:pPr>
        <w:pStyle w:val="COMexecsummnumbered"/>
      </w:pPr>
      <w:r w:rsidRPr="0039165B">
        <w:t>Listing was requested on the basis of a cost-minimisatio</w:t>
      </w:r>
      <w:r w:rsidRPr="7E0DBB7D">
        <w:t>n approach versus IVIg.</w:t>
      </w:r>
    </w:p>
    <w:p w14:paraId="33AFE4C1" w14:textId="230C80C3" w:rsidR="00A16B64" w:rsidRPr="00CE706B" w:rsidRDefault="0E87CBCA" w:rsidP="00873AF3">
      <w:pPr>
        <w:pStyle w:val="COMtablefigcaption"/>
        <w:spacing w:before="240"/>
        <w:ind w:left="709" w:hanging="709"/>
      </w:pPr>
      <w:r w:rsidRPr="7E0DBB7D">
        <w:lastRenderedPageBreak/>
        <w:t xml:space="preserve">Table </w:t>
      </w:r>
      <w:r w:rsidR="00FB5E6D">
        <w:fldChar w:fldCharType="begin" w:fldLock="1"/>
      </w:r>
      <w:r w:rsidR="00FB5E6D">
        <w:instrText>SEQ Table \* ARABIC</w:instrText>
      </w:r>
      <w:r w:rsidR="00FB5E6D">
        <w:fldChar w:fldCharType="separate"/>
      </w:r>
      <w:r w:rsidR="00E70E55">
        <w:rPr>
          <w:noProof/>
        </w:rPr>
        <w:t>1</w:t>
      </w:r>
      <w:r w:rsidR="00FB5E6D">
        <w:fldChar w:fldCharType="end"/>
      </w:r>
      <w:r w:rsidR="7F8E54F9" w:rsidRPr="7E0DBB7D">
        <w:t>: Key components of the clinical issue addressed in the submission (as stated in the submission)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submission (as stated in the submission)"/>
      </w:tblPr>
      <w:tblGrid>
        <w:gridCol w:w="1417"/>
        <w:gridCol w:w="7600"/>
      </w:tblGrid>
      <w:tr w:rsidR="00A16B64" w:rsidRPr="00CE706B" w14:paraId="70896B37" w14:textId="77777777" w:rsidTr="009235E6">
        <w:tc>
          <w:tcPr>
            <w:tcW w:w="786" w:type="pct"/>
            <w:vAlign w:val="center"/>
          </w:tcPr>
          <w:p w14:paraId="7DE77EC0" w14:textId="77777777" w:rsidR="00A16B64" w:rsidRPr="00CE706B" w:rsidRDefault="00A16B64" w:rsidP="00873AF3">
            <w:pPr>
              <w:pStyle w:val="COMTableheadingrow"/>
              <w:ind w:left="709" w:hanging="678"/>
              <w:jc w:val="both"/>
              <w:rPr>
                <w:lang w:val="en-AU"/>
              </w:rPr>
            </w:pPr>
            <w:r w:rsidRPr="00CE706B">
              <w:rPr>
                <w:lang w:val="en-AU"/>
              </w:rPr>
              <w:t>Component</w:t>
            </w:r>
          </w:p>
        </w:tc>
        <w:tc>
          <w:tcPr>
            <w:tcW w:w="4214" w:type="pct"/>
            <w:vAlign w:val="center"/>
          </w:tcPr>
          <w:p w14:paraId="34F68642" w14:textId="77777777" w:rsidR="00A16B64" w:rsidRPr="00CE706B" w:rsidRDefault="00A16B64" w:rsidP="00873AF3">
            <w:pPr>
              <w:pStyle w:val="COMTableheadingrow"/>
              <w:rPr>
                <w:lang w:val="en-AU"/>
              </w:rPr>
            </w:pPr>
            <w:r w:rsidRPr="00CE706B">
              <w:rPr>
                <w:lang w:val="en-AU"/>
              </w:rPr>
              <w:t>Description</w:t>
            </w:r>
          </w:p>
        </w:tc>
      </w:tr>
      <w:tr w:rsidR="00A16B64" w:rsidRPr="00CE706B" w14:paraId="73FDDCCC" w14:textId="77777777" w:rsidTr="009235E6">
        <w:tc>
          <w:tcPr>
            <w:tcW w:w="786" w:type="pct"/>
            <w:vAlign w:val="center"/>
          </w:tcPr>
          <w:p w14:paraId="62E303A1" w14:textId="77777777" w:rsidR="00A16B64" w:rsidRPr="00CE706B" w:rsidRDefault="00A16B64" w:rsidP="00873AF3">
            <w:pPr>
              <w:pStyle w:val="COMTabletext"/>
              <w:ind w:left="32" w:hanging="1"/>
              <w:jc w:val="both"/>
            </w:pPr>
            <w:r w:rsidRPr="00CE706B">
              <w:t>Population</w:t>
            </w:r>
          </w:p>
        </w:tc>
        <w:tc>
          <w:tcPr>
            <w:tcW w:w="4214" w:type="pct"/>
            <w:vAlign w:val="center"/>
          </w:tcPr>
          <w:p w14:paraId="3A0F31FF" w14:textId="06366449" w:rsidR="00A16B64" w:rsidRPr="00CE706B" w:rsidRDefault="7F8E54F9" w:rsidP="00873AF3">
            <w:pPr>
              <w:pStyle w:val="COMTabletext"/>
            </w:pPr>
            <w:r w:rsidRPr="7E0DBB7D">
              <w:t>Adult patients with AChR-positive generalised myasthenia gravis considered for additional treatment such as IVIg or PLEX.</w:t>
            </w:r>
          </w:p>
        </w:tc>
      </w:tr>
      <w:tr w:rsidR="00A16B64" w:rsidRPr="00CE706B" w14:paraId="150BED1B" w14:textId="77777777" w:rsidTr="009235E6">
        <w:tc>
          <w:tcPr>
            <w:tcW w:w="786" w:type="pct"/>
            <w:vAlign w:val="center"/>
          </w:tcPr>
          <w:p w14:paraId="6D0C8427" w14:textId="77777777" w:rsidR="00A16B64" w:rsidRPr="00CE706B" w:rsidRDefault="00A16B64" w:rsidP="00873AF3">
            <w:pPr>
              <w:pStyle w:val="COMTabletext"/>
              <w:ind w:left="32" w:hanging="1"/>
              <w:jc w:val="both"/>
            </w:pPr>
            <w:r w:rsidRPr="00CE706B">
              <w:t>Intervention</w:t>
            </w:r>
          </w:p>
        </w:tc>
        <w:tc>
          <w:tcPr>
            <w:tcW w:w="4214" w:type="pct"/>
            <w:vAlign w:val="center"/>
          </w:tcPr>
          <w:p w14:paraId="1436CABA" w14:textId="1565C2CF" w:rsidR="00A16B64" w:rsidRPr="00CE706B" w:rsidRDefault="7F8E54F9" w:rsidP="00873AF3">
            <w:pPr>
              <w:pStyle w:val="COMTabletext"/>
            </w:pPr>
            <w:r w:rsidRPr="7E0DBB7D">
              <w:t>Rozanolixizumab by SC infusion (weight-based dosing, 280 mg – 840 mg) once a week, 6-week treatment cycle, with subsequent symptom-driven cycles as required; in combination with standard care.</w:t>
            </w:r>
          </w:p>
        </w:tc>
      </w:tr>
      <w:tr w:rsidR="00454E07" w:rsidRPr="00CE706B" w14:paraId="4132ED08" w14:textId="77777777" w:rsidTr="009235E6">
        <w:tc>
          <w:tcPr>
            <w:tcW w:w="786" w:type="pct"/>
            <w:vAlign w:val="center"/>
          </w:tcPr>
          <w:p w14:paraId="0593ECBE" w14:textId="77777777" w:rsidR="00454E07" w:rsidRPr="00CE706B" w:rsidRDefault="00454E07" w:rsidP="00873AF3">
            <w:pPr>
              <w:pStyle w:val="COMTabletext"/>
              <w:ind w:left="32" w:hanging="1"/>
              <w:jc w:val="both"/>
            </w:pPr>
            <w:r w:rsidRPr="00CE706B">
              <w:t>Comparator</w:t>
            </w:r>
          </w:p>
        </w:tc>
        <w:tc>
          <w:tcPr>
            <w:tcW w:w="4214" w:type="pct"/>
            <w:vAlign w:val="center"/>
          </w:tcPr>
          <w:p w14:paraId="7E461A29" w14:textId="77777777" w:rsidR="00454E07" w:rsidRPr="00CE706B" w:rsidRDefault="00454E07" w:rsidP="00873AF3">
            <w:pPr>
              <w:pStyle w:val="COMTabletext"/>
            </w:pPr>
            <w:r w:rsidRPr="00CE706B">
              <w:t>Main comparator: IVIg</w:t>
            </w:r>
          </w:p>
          <w:p w14:paraId="62669BE4" w14:textId="77777777" w:rsidR="00454E07" w:rsidRPr="00CE706B" w:rsidRDefault="00454E07" w:rsidP="00873AF3">
            <w:pPr>
              <w:pStyle w:val="COMTabletext"/>
            </w:pPr>
            <w:r w:rsidRPr="00CE706B">
              <w:t>Supplementary comparator: PLEX</w:t>
            </w:r>
          </w:p>
          <w:p w14:paraId="27960462" w14:textId="339CEB2B" w:rsidR="00454E07" w:rsidRPr="00CE706B" w:rsidRDefault="4C08B092" w:rsidP="00873AF3">
            <w:pPr>
              <w:pStyle w:val="COMTabletext"/>
            </w:pPr>
            <w:r w:rsidRPr="7E0DBB7D">
              <w:t>Near market comparator: efgartigimod 10 mg/kg once weekly for 4 weeks, with subsequent symptom-driven cycles as required</w:t>
            </w:r>
          </w:p>
        </w:tc>
      </w:tr>
      <w:tr w:rsidR="00454E07" w:rsidRPr="00CE706B" w14:paraId="5006DA67" w14:textId="77777777" w:rsidTr="009235E6">
        <w:tc>
          <w:tcPr>
            <w:tcW w:w="786" w:type="pct"/>
            <w:vAlign w:val="center"/>
          </w:tcPr>
          <w:p w14:paraId="59BC260B" w14:textId="77777777" w:rsidR="00454E07" w:rsidRPr="00CE706B" w:rsidRDefault="00454E07" w:rsidP="00873AF3">
            <w:pPr>
              <w:pStyle w:val="COMTabletext"/>
              <w:ind w:left="32" w:hanging="1"/>
              <w:jc w:val="both"/>
            </w:pPr>
            <w:r w:rsidRPr="00CE706B">
              <w:t>Outcomes</w:t>
            </w:r>
          </w:p>
        </w:tc>
        <w:tc>
          <w:tcPr>
            <w:tcW w:w="4214" w:type="pct"/>
            <w:vAlign w:val="center"/>
          </w:tcPr>
          <w:p w14:paraId="220C618B" w14:textId="5F2F2DF4" w:rsidR="00454E07" w:rsidRPr="00CE706B" w:rsidRDefault="00454E07" w:rsidP="00873AF3">
            <w:pPr>
              <w:pStyle w:val="COMTabletext"/>
            </w:pPr>
            <w:r w:rsidRPr="00CE706B">
              <w:t xml:space="preserve">Reduction in functional impairments, improvements in quality of life, safety. </w:t>
            </w:r>
          </w:p>
        </w:tc>
      </w:tr>
      <w:tr w:rsidR="00454E07" w:rsidRPr="00CE706B" w14:paraId="3F1240BD" w14:textId="77777777" w:rsidTr="009235E6">
        <w:tc>
          <w:tcPr>
            <w:tcW w:w="786" w:type="pct"/>
            <w:vAlign w:val="center"/>
          </w:tcPr>
          <w:p w14:paraId="31F57125" w14:textId="77777777" w:rsidR="00454E07" w:rsidRPr="00CE706B" w:rsidRDefault="00454E07" w:rsidP="00873AF3">
            <w:pPr>
              <w:pStyle w:val="COMTabletext"/>
              <w:ind w:left="32" w:hanging="1"/>
              <w:jc w:val="both"/>
            </w:pPr>
            <w:r w:rsidRPr="00CE706B">
              <w:t>Clinical claim</w:t>
            </w:r>
          </w:p>
        </w:tc>
        <w:tc>
          <w:tcPr>
            <w:tcW w:w="4214" w:type="pct"/>
            <w:vAlign w:val="center"/>
          </w:tcPr>
          <w:p w14:paraId="797BC487" w14:textId="7F507CBB" w:rsidR="00454E07" w:rsidRPr="00CE706B" w:rsidRDefault="4C08B092" w:rsidP="00873AF3">
            <w:pPr>
              <w:pStyle w:val="COMTabletext"/>
            </w:pPr>
            <w:r w:rsidRPr="7E0DBB7D">
              <w:t>In adult patients with AChR-</w:t>
            </w:r>
            <w:r w:rsidR="144A1598" w:rsidRPr="7E0DBB7D">
              <w:t>positive</w:t>
            </w:r>
            <w:r w:rsidRPr="7E0DBB7D">
              <w:t xml:space="preserve"> generalised myasthenia gravis:</w:t>
            </w:r>
          </w:p>
          <w:p w14:paraId="1C2F667B" w14:textId="77777777" w:rsidR="00454E07" w:rsidRDefault="4C08B092" w:rsidP="00873AF3">
            <w:pPr>
              <w:pStyle w:val="COMTabletext"/>
              <w:numPr>
                <w:ilvl w:val="0"/>
                <w:numId w:val="7"/>
              </w:numPr>
              <w:ind w:left="313" w:hanging="313"/>
            </w:pPr>
            <w:r w:rsidRPr="7E0DBB7D">
              <w:t>Rozanolixizumab is superior in terms of efficacy and non-inferior in terms of safety compared to current standard of care.</w:t>
            </w:r>
          </w:p>
          <w:p w14:paraId="617B44D6" w14:textId="282CAE57" w:rsidR="00454E07" w:rsidRPr="00CE706B" w:rsidRDefault="4C08B092" w:rsidP="00873AF3">
            <w:pPr>
              <w:pStyle w:val="COMTabletext"/>
              <w:numPr>
                <w:ilvl w:val="0"/>
                <w:numId w:val="7"/>
              </w:numPr>
              <w:ind w:left="313" w:hanging="313"/>
            </w:pPr>
            <w:r w:rsidRPr="7E0DBB7D">
              <w:t>The poor evidence base for IVIg precluded any robust clinical conclusion for the comparative efficacy and safety of rozanolixizumab versus IVIg, but it is likely at least non-inferior in terms of efficacy and safety.</w:t>
            </w:r>
          </w:p>
          <w:p w14:paraId="510CC2DF" w14:textId="3AE55BFB" w:rsidR="00454E07" w:rsidRPr="00CE706B" w:rsidRDefault="4C08B092" w:rsidP="00873AF3">
            <w:pPr>
              <w:pStyle w:val="COMTabletext"/>
              <w:numPr>
                <w:ilvl w:val="0"/>
                <w:numId w:val="7"/>
              </w:numPr>
              <w:ind w:left="313" w:hanging="313"/>
            </w:pPr>
            <w:r w:rsidRPr="7E0DBB7D">
              <w:t>Rozanolixizumab is likely to be at least non-inferior in terms of efficacy and safety to PLEX, based on MSAC’s previous conclusion that PLEX is non-inferior in terms of efficacy and safety compared with IVIg.</w:t>
            </w:r>
          </w:p>
          <w:p w14:paraId="68C3EAC4" w14:textId="719CCBE3" w:rsidR="00454E07" w:rsidRPr="00CE706B" w:rsidRDefault="4C08B092" w:rsidP="00873AF3">
            <w:pPr>
              <w:pStyle w:val="COMTabletext"/>
              <w:numPr>
                <w:ilvl w:val="0"/>
                <w:numId w:val="7"/>
              </w:numPr>
              <w:ind w:left="313" w:hanging="313"/>
            </w:pPr>
            <w:r w:rsidRPr="7E0DBB7D">
              <w:t>Rozanolixizumab is non-inferior to efgartigimod for efficacy, based on the proportion of MG-ADL responders, and safety, based on serious adverse events and discontinuation due to adverse events.</w:t>
            </w:r>
          </w:p>
        </w:tc>
      </w:tr>
    </w:tbl>
    <w:p w14:paraId="3A4A5CD7" w14:textId="77777777" w:rsidR="00A16B64" w:rsidRPr="00CE706B" w:rsidRDefault="00A16B64" w:rsidP="00873AF3">
      <w:pPr>
        <w:pStyle w:val="COMTablefooter"/>
        <w:ind w:left="709" w:hanging="709"/>
      </w:pPr>
      <w:r w:rsidRPr="00CE706B">
        <w:t>Source: Table 1.1-1, pp9-10 of the submission.</w:t>
      </w:r>
    </w:p>
    <w:p w14:paraId="51D87733" w14:textId="77777777" w:rsidR="00A16B64" w:rsidRPr="00CE706B" w:rsidRDefault="7F8E54F9" w:rsidP="00873AF3">
      <w:pPr>
        <w:pStyle w:val="COMTablefooter"/>
      </w:pPr>
      <w:r w:rsidRPr="7E0DBB7D">
        <w:t>Abbreviations: AChR, acetylcholine receptor; IVIg, intravenous immunoglobulin; MG, myasthenia gravis; PLEX, plasma exchange; SC, subcutaneous</w:t>
      </w:r>
    </w:p>
    <w:p w14:paraId="7861CA39" w14:textId="77777777" w:rsidR="00A16B64" w:rsidRPr="00CE706B" w:rsidRDefault="00A16B64" w:rsidP="00873AF3">
      <w:pPr>
        <w:pStyle w:val="COMH1-numbered"/>
        <w:ind w:left="709"/>
      </w:pPr>
      <w:bookmarkStart w:id="1" w:name="_Toc188272882"/>
      <w:r w:rsidRPr="00CE706B">
        <w:t>Background</w:t>
      </w:r>
      <w:bookmarkEnd w:id="1"/>
    </w:p>
    <w:p w14:paraId="5A97DFB8" w14:textId="77777777" w:rsidR="00A16B64" w:rsidRPr="00CE706B" w:rsidRDefault="00A16B64" w:rsidP="00873AF3">
      <w:pPr>
        <w:pStyle w:val="COMH2-non-numbered"/>
      </w:pPr>
      <w:bookmarkStart w:id="2" w:name="_Toc188272883"/>
      <w:r w:rsidRPr="00CE706B">
        <w:t>Registration status</w:t>
      </w:r>
      <w:bookmarkEnd w:id="2"/>
    </w:p>
    <w:p w14:paraId="46CE5604" w14:textId="77777777" w:rsidR="0068032E" w:rsidRDefault="0068032E" w:rsidP="00873AF3">
      <w:pPr>
        <w:pStyle w:val="COMexecsummnumbered"/>
      </w:pPr>
      <w:r>
        <w:t>Rozanolixizumab was registered by the TGA on 7 February 2025</w:t>
      </w:r>
      <w:r w:rsidRPr="0068032E">
        <w:t xml:space="preserve"> </w:t>
      </w:r>
      <w:r>
        <w:t xml:space="preserve">as ‘an add-on to standard therapy for the treatment of gMG in adult patients who are AChR or anti-muscle-specific tyrosine kinase (MuSK) antibody positive’. </w:t>
      </w:r>
    </w:p>
    <w:p w14:paraId="2B7989A7" w14:textId="185BC08F" w:rsidR="0057398E" w:rsidRPr="00D766BC" w:rsidRDefault="015C57EB" w:rsidP="00873AF3">
      <w:pPr>
        <w:pStyle w:val="COMexecsummnumbered"/>
      </w:pPr>
      <w:r w:rsidRPr="7E0DBB7D">
        <w:t>T</w:t>
      </w:r>
      <w:r w:rsidR="7F8E54F9" w:rsidRPr="7E0DBB7D">
        <w:t>he TGA Delegate’s overview was received on 5 November 2024</w:t>
      </w:r>
      <w:r w:rsidR="08169335" w:rsidRPr="7E0DBB7D">
        <w:t>, and r</w:t>
      </w:r>
      <w:r w:rsidR="7F8E54F9" w:rsidRPr="7E0DBB7D">
        <w:t xml:space="preserve">ozanolixizumab </w:t>
      </w:r>
      <w:r w:rsidR="08169335" w:rsidRPr="7E0DBB7D">
        <w:t>was</w:t>
      </w:r>
      <w:r w:rsidR="7F8E54F9" w:rsidRPr="7E0DBB7D">
        <w:t xml:space="preserve"> </w:t>
      </w:r>
      <w:r w:rsidR="7F8E54F9" w:rsidRPr="00D766BC">
        <w:t xml:space="preserve">considered at the December 2024 </w:t>
      </w:r>
      <w:r w:rsidR="0130040B" w:rsidRPr="00D766BC">
        <w:t>Advisory Committee on Medicines</w:t>
      </w:r>
      <w:r w:rsidR="7F8E54F9" w:rsidRPr="00D766BC">
        <w:t xml:space="preserve"> </w:t>
      </w:r>
      <w:r w:rsidR="1892E14B" w:rsidRPr="00D766BC">
        <w:t xml:space="preserve">(ACM) </w:t>
      </w:r>
      <w:r w:rsidR="7F8E54F9" w:rsidRPr="00D766BC">
        <w:t>meeting.</w:t>
      </w:r>
    </w:p>
    <w:p w14:paraId="1F76A7EE" w14:textId="520506F2" w:rsidR="00A16B64" w:rsidRPr="00D766BC" w:rsidRDefault="7F8E54F9" w:rsidP="00873AF3">
      <w:pPr>
        <w:pStyle w:val="COMexecsummnumbered"/>
      </w:pPr>
      <w:r w:rsidRPr="00D766BC">
        <w:t xml:space="preserve">The </w:t>
      </w:r>
      <w:r w:rsidR="0EA5260E" w:rsidRPr="00D766BC">
        <w:t xml:space="preserve">TGA </w:t>
      </w:r>
      <w:r w:rsidRPr="00D766BC">
        <w:t xml:space="preserve">Delegate noted a need for further investigation of </w:t>
      </w:r>
      <w:r w:rsidR="0130040B" w:rsidRPr="00D766BC">
        <w:t xml:space="preserve">the </w:t>
      </w:r>
      <w:r w:rsidRPr="00D766BC">
        <w:t>long</w:t>
      </w:r>
      <w:r w:rsidR="1892E14B" w:rsidRPr="00D766BC">
        <w:t>-</w:t>
      </w:r>
      <w:r w:rsidRPr="00D766BC">
        <w:t xml:space="preserve">term efficacy and safety of rozanolixizumab, and that frequent dose switching in the MG0007 extension trial prevented evaluation regarding efficacy and safety of the respective doses and the assessment of dosing effects. </w:t>
      </w:r>
    </w:p>
    <w:p w14:paraId="36AE0B77" w14:textId="77777777" w:rsidR="00A16B64" w:rsidRPr="00D766BC" w:rsidRDefault="00A16B64" w:rsidP="00873AF3">
      <w:pPr>
        <w:pStyle w:val="COMH1-numbered"/>
        <w:ind w:left="709"/>
      </w:pPr>
      <w:bookmarkStart w:id="3" w:name="_Toc188272884"/>
      <w:r w:rsidRPr="00D766BC">
        <w:lastRenderedPageBreak/>
        <w:t>Requested listing</w:t>
      </w:r>
      <w:bookmarkEnd w:id="3"/>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2238"/>
        <w:gridCol w:w="1567"/>
        <w:gridCol w:w="1408"/>
        <w:gridCol w:w="986"/>
        <w:gridCol w:w="987"/>
        <w:gridCol w:w="705"/>
        <w:gridCol w:w="1126"/>
      </w:tblGrid>
      <w:tr w:rsidR="007C7A36" w:rsidRPr="00D766BC" w14:paraId="469179CA" w14:textId="77777777" w:rsidTr="7E0DBB7D">
        <w:trPr>
          <w:cantSplit/>
          <w:trHeight w:val="230"/>
        </w:trPr>
        <w:tc>
          <w:tcPr>
            <w:tcW w:w="2252" w:type="dxa"/>
            <w:vMerge w:val="restart"/>
            <w:vAlign w:val="center"/>
          </w:tcPr>
          <w:p w14:paraId="4DFAAC92" w14:textId="77777777" w:rsidR="00CB1B27" w:rsidRPr="00D766BC" w:rsidRDefault="00CB1B27" w:rsidP="00873AF3">
            <w:pPr>
              <w:pStyle w:val="COMTableheadingrow"/>
              <w:rPr>
                <w:lang w:val="en-AU"/>
              </w:rPr>
            </w:pPr>
            <w:r w:rsidRPr="00D766BC">
              <w:rPr>
                <w:lang w:val="en-AU"/>
              </w:rPr>
              <w:t>MEDICINAL PRODUCT</w:t>
            </w:r>
          </w:p>
          <w:p w14:paraId="24BB3CCD" w14:textId="77777777" w:rsidR="00CB1B27" w:rsidRPr="00D766BC" w:rsidRDefault="00CB1B27" w:rsidP="00873AF3">
            <w:pPr>
              <w:pStyle w:val="COMTableheadingrow"/>
              <w:rPr>
                <w:lang w:val="en-AU"/>
              </w:rPr>
            </w:pPr>
            <w:r w:rsidRPr="00D766BC">
              <w:rPr>
                <w:lang w:val="en-AU"/>
              </w:rPr>
              <w:t>medicinal product pack</w:t>
            </w:r>
          </w:p>
        </w:tc>
        <w:tc>
          <w:tcPr>
            <w:tcW w:w="2993" w:type="dxa"/>
            <w:gridSpan w:val="2"/>
            <w:vAlign w:val="center"/>
          </w:tcPr>
          <w:p w14:paraId="0555DF14" w14:textId="572796A8" w:rsidR="00CB1B27" w:rsidRPr="00D766BC" w:rsidRDefault="00CB1B27" w:rsidP="00873AF3">
            <w:pPr>
              <w:pStyle w:val="COMTableheadingrow"/>
              <w:jc w:val="center"/>
              <w:rPr>
                <w:szCs w:val="20"/>
                <w:lang w:val="en-AU"/>
              </w:rPr>
            </w:pPr>
            <w:r w:rsidRPr="00D766BC">
              <w:rPr>
                <w:lang w:val="en-AU"/>
              </w:rPr>
              <w:t>Dispensed Price for Max. Qty</w:t>
            </w:r>
          </w:p>
        </w:tc>
        <w:tc>
          <w:tcPr>
            <w:tcW w:w="992" w:type="dxa"/>
            <w:vMerge w:val="restart"/>
            <w:vAlign w:val="center"/>
          </w:tcPr>
          <w:p w14:paraId="42F06DE6" w14:textId="2B966A64" w:rsidR="00CB1B27" w:rsidRPr="00D766BC" w:rsidRDefault="00CB1B27" w:rsidP="00873AF3">
            <w:pPr>
              <w:pStyle w:val="COMTableheadingrow"/>
              <w:jc w:val="center"/>
              <w:rPr>
                <w:szCs w:val="20"/>
                <w:lang w:val="en-AU"/>
              </w:rPr>
            </w:pPr>
            <w:r w:rsidRPr="00D766BC">
              <w:rPr>
                <w:szCs w:val="20"/>
                <w:lang w:val="en-AU"/>
              </w:rPr>
              <w:t>Max. qty packs</w:t>
            </w:r>
          </w:p>
        </w:tc>
        <w:tc>
          <w:tcPr>
            <w:tcW w:w="993" w:type="dxa"/>
            <w:vMerge w:val="restart"/>
            <w:vAlign w:val="center"/>
          </w:tcPr>
          <w:p w14:paraId="1CB4D604" w14:textId="6EFC3610" w:rsidR="00CB1B27" w:rsidRPr="00D766BC" w:rsidRDefault="00CB1B27" w:rsidP="00873AF3">
            <w:pPr>
              <w:pStyle w:val="COMTableheadingrow"/>
              <w:jc w:val="center"/>
              <w:rPr>
                <w:szCs w:val="20"/>
                <w:lang w:val="en-AU"/>
              </w:rPr>
            </w:pPr>
            <w:r w:rsidRPr="00D766BC">
              <w:rPr>
                <w:szCs w:val="20"/>
                <w:lang w:val="en-AU"/>
              </w:rPr>
              <w:t>Max. qty units</w:t>
            </w:r>
          </w:p>
        </w:tc>
        <w:tc>
          <w:tcPr>
            <w:tcW w:w="708" w:type="dxa"/>
            <w:vMerge w:val="restart"/>
            <w:vAlign w:val="center"/>
          </w:tcPr>
          <w:p w14:paraId="6083198A" w14:textId="77777777" w:rsidR="00CB1B27" w:rsidRPr="00D766BC" w:rsidRDefault="00CB1B27" w:rsidP="00873AF3">
            <w:pPr>
              <w:pStyle w:val="COMTableheadingrow"/>
              <w:jc w:val="center"/>
              <w:rPr>
                <w:szCs w:val="20"/>
                <w:lang w:val="en-AU"/>
              </w:rPr>
            </w:pPr>
            <w:r w:rsidRPr="00D766BC">
              <w:rPr>
                <w:szCs w:val="20"/>
                <w:lang w:val="en-AU"/>
              </w:rPr>
              <w:t>№.of</w:t>
            </w:r>
          </w:p>
          <w:p w14:paraId="2077A4EB" w14:textId="77777777" w:rsidR="00CB1B27" w:rsidRPr="00D766BC" w:rsidRDefault="00CB1B27" w:rsidP="00873AF3">
            <w:pPr>
              <w:pStyle w:val="COMTableheadingrow"/>
              <w:jc w:val="center"/>
              <w:rPr>
                <w:szCs w:val="20"/>
                <w:lang w:val="en-AU"/>
              </w:rPr>
            </w:pPr>
            <w:r w:rsidRPr="00D766BC">
              <w:rPr>
                <w:szCs w:val="20"/>
                <w:lang w:val="en-AU"/>
              </w:rPr>
              <w:t>Rpts</w:t>
            </w:r>
          </w:p>
        </w:tc>
        <w:tc>
          <w:tcPr>
            <w:tcW w:w="1133" w:type="dxa"/>
            <w:vMerge w:val="restart"/>
            <w:vAlign w:val="center"/>
          </w:tcPr>
          <w:p w14:paraId="28FE806C" w14:textId="77777777" w:rsidR="00CB1B27" w:rsidRPr="00D766BC" w:rsidRDefault="00CB1B27" w:rsidP="00873AF3">
            <w:pPr>
              <w:pStyle w:val="COMTableheadingrow"/>
              <w:jc w:val="center"/>
              <w:rPr>
                <w:szCs w:val="20"/>
                <w:lang w:val="en-AU"/>
              </w:rPr>
            </w:pPr>
            <w:r w:rsidRPr="00D766BC">
              <w:rPr>
                <w:szCs w:val="20"/>
                <w:lang w:val="en-AU"/>
              </w:rPr>
              <w:t>Available brands</w:t>
            </w:r>
          </w:p>
        </w:tc>
      </w:tr>
      <w:tr w:rsidR="007C7A36" w:rsidRPr="00D766BC" w14:paraId="37FBD6D1" w14:textId="77777777" w:rsidTr="7E0DBB7D">
        <w:trPr>
          <w:cantSplit/>
          <w:trHeight w:val="230"/>
        </w:trPr>
        <w:tc>
          <w:tcPr>
            <w:tcW w:w="2252" w:type="dxa"/>
            <w:vMerge/>
            <w:vAlign w:val="center"/>
          </w:tcPr>
          <w:p w14:paraId="65639BCA" w14:textId="77777777" w:rsidR="00CB1B27" w:rsidRPr="00D766BC" w:rsidRDefault="00CB1B27" w:rsidP="00873AF3">
            <w:pPr>
              <w:pStyle w:val="COMTableheadingrow"/>
              <w:rPr>
                <w:lang w:val="en-AU"/>
              </w:rPr>
            </w:pPr>
          </w:p>
        </w:tc>
        <w:tc>
          <w:tcPr>
            <w:tcW w:w="1576" w:type="dxa"/>
            <w:vAlign w:val="center"/>
          </w:tcPr>
          <w:p w14:paraId="395C8AD8" w14:textId="1D1BEBDE" w:rsidR="00CB1B27" w:rsidRPr="00D766BC" w:rsidRDefault="00757316" w:rsidP="00873AF3">
            <w:pPr>
              <w:pStyle w:val="COMTableheadingrow"/>
              <w:jc w:val="center"/>
              <w:rPr>
                <w:lang w:val="en-AU"/>
              </w:rPr>
            </w:pPr>
            <w:r w:rsidRPr="00D766BC">
              <w:t>P</w:t>
            </w:r>
            <w:r w:rsidR="008A4A8E" w:rsidRPr="00D766BC">
              <w:t>ublished price</w:t>
            </w:r>
          </w:p>
        </w:tc>
        <w:tc>
          <w:tcPr>
            <w:tcW w:w="1417" w:type="dxa"/>
            <w:vAlign w:val="center"/>
          </w:tcPr>
          <w:p w14:paraId="2E4760FA" w14:textId="194FE030" w:rsidR="00CB1B27" w:rsidRPr="00D766BC" w:rsidRDefault="00757316" w:rsidP="00873AF3">
            <w:pPr>
              <w:pStyle w:val="COMTableheadingrow"/>
              <w:jc w:val="center"/>
              <w:rPr>
                <w:szCs w:val="20"/>
                <w:lang w:val="en-AU"/>
              </w:rPr>
            </w:pPr>
            <w:r w:rsidRPr="00D766BC">
              <w:t>E</w:t>
            </w:r>
            <w:r w:rsidR="008A4A8E" w:rsidRPr="00D766BC">
              <w:t>ffective price</w:t>
            </w:r>
          </w:p>
        </w:tc>
        <w:tc>
          <w:tcPr>
            <w:tcW w:w="992" w:type="dxa"/>
            <w:vMerge/>
            <w:vAlign w:val="center"/>
          </w:tcPr>
          <w:p w14:paraId="03602EDD" w14:textId="77777777" w:rsidR="00CB1B27" w:rsidRPr="00D766BC" w:rsidRDefault="00CB1B27" w:rsidP="00873AF3">
            <w:pPr>
              <w:pStyle w:val="COMTableheadingrow"/>
              <w:jc w:val="center"/>
              <w:rPr>
                <w:szCs w:val="20"/>
                <w:lang w:val="en-AU"/>
              </w:rPr>
            </w:pPr>
          </w:p>
        </w:tc>
        <w:tc>
          <w:tcPr>
            <w:tcW w:w="993" w:type="dxa"/>
            <w:vMerge/>
            <w:vAlign w:val="center"/>
          </w:tcPr>
          <w:p w14:paraId="1BF2982C" w14:textId="77777777" w:rsidR="00CB1B27" w:rsidRPr="00D766BC" w:rsidRDefault="00CB1B27" w:rsidP="00873AF3">
            <w:pPr>
              <w:pStyle w:val="COMTableheadingrow"/>
              <w:jc w:val="center"/>
              <w:rPr>
                <w:szCs w:val="20"/>
                <w:lang w:val="en-AU"/>
              </w:rPr>
            </w:pPr>
          </w:p>
        </w:tc>
        <w:tc>
          <w:tcPr>
            <w:tcW w:w="708" w:type="dxa"/>
            <w:vMerge/>
            <w:vAlign w:val="center"/>
          </w:tcPr>
          <w:p w14:paraId="44C49930" w14:textId="77777777" w:rsidR="00CB1B27" w:rsidRPr="00D766BC" w:rsidRDefault="00CB1B27" w:rsidP="00873AF3">
            <w:pPr>
              <w:pStyle w:val="COMTableheadingrow"/>
              <w:jc w:val="center"/>
              <w:rPr>
                <w:szCs w:val="20"/>
                <w:lang w:val="en-AU"/>
              </w:rPr>
            </w:pPr>
          </w:p>
        </w:tc>
        <w:tc>
          <w:tcPr>
            <w:tcW w:w="1133" w:type="dxa"/>
            <w:vMerge/>
            <w:vAlign w:val="center"/>
          </w:tcPr>
          <w:p w14:paraId="4535B209" w14:textId="77777777" w:rsidR="00CB1B27" w:rsidRPr="00D766BC" w:rsidRDefault="00CB1B27" w:rsidP="00873AF3">
            <w:pPr>
              <w:pStyle w:val="COMTableheadingrow"/>
              <w:jc w:val="center"/>
              <w:rPr>
                <w:szCs w:val="20"/>
                <w:lang w:val="en-AU"/>
              </w:rPr>
            </w:pPr>
          </w:p>
        </w:tc>
      </w:tr>
      <w:tr w:rsidR="0003465B" w:rsidRPr="00D766BC" w14:paraId="745CD218" w14:textId="77777777" w:rsidTr="7E0DBB7D">
        <w:trPr>
          <w:cantSplit/>
          <w:trHeight w:val="20"/>
        </w:trPr>
        <w:tc>
          <w:tcPr>
            <w:tcW w:w="9071" w:type="dxa"/>
            <w:gridSpan w:val="7"/>
          </w:tcPr>
          <w:p w14:paraId="55FA09F5" w14:textId="47AB51DD" w:rsidR="00CB1B27" w:rsidRPr="00D766BC" w:rsidRDefault="00CB1B27" w:rsidP="00873AF3">
            <w:pPr>
              <w:pStyle w:val="COMTabletext"/>
              <w:rPr>
                <w:rFonts w:cs="Arial"/>
                <w:szCs w:val="20"/>
              </w:rPr>
            </w:pPr>
            <w:r w:rsidRPr="00D766BC">
              <w:t>ROZANOLIXIZUMAB</w:t>
            </w:r>
            <w:r w:rsidRPr="00D766BC">
              <w:rPr>
                <w:rFonts w:cs="Arial"/>
                <w:color w:val="0066FF"/>
                <w:szCs w:val="20"/>
              </w:rPr>
              <w:t xml:space="preserve"> </w:t>
            </w:r>
          </w:p>
        </w:tc>
      </w:tr>
      <w:tr w:rsidR="007C7A36" w:rsidRPr="00D766BC" w14:paraId="532DA666" w14:textId="77777777" w:rsidTr="7E0DBB7D">
        <w:trPr>
          <w:cantSplit/>
          <w:trHeight w:val="20"/>
        </w:trPr>
        <w:tc>
          <w:tcPr>
            <w:tcW w:w="2252" w:type="dxa"/>
            <w:vAlign w:val="center"/>
          </w:tcPr>
          <w:p w14:paraId="27F4D79C" w14:textId="77777777" w:rsidR="00CB1B27" w:rsidRPr="00D766BC" w:rsidRDefault="6FA38371" w:rsidP="00873AF3">
            <w:pPr>
              <w:pStyle w:val="COMTabletext"/>
            </w:pPr>
            <w:r w:rsidRPr="00D766BC">
              <w:t>Rozanolixizumab, SC infusion, solution, 140 mg/mL, 2 mL, 1 vial</w:t>
            </w:r>
          </w:p>
        </w:tc>
        <w:tc>
          <w:tcPr>
            <w:tcW w:w="1576" w:type="dxa"/>
          </w:tcPr>
          <w:p w14:paraId="71EC6628" w14:textId="77777777" w:rsidR="008A4A8E" w:rsidRPr="00D766BC" w:rsidRDefault="008A4A8E" w:rsidP="00873AF3">
            <w:pPr>
              <w:pStyle w:val="COMTabletext"/>
              <w:jc w:val="center"/>
            </w:pPr>
            <w:r w:rsidRPr="00D766BC">
              <w:t>Public hospital:</w:t>
            </w:r>
          </w:p>
          <w:p w14:paraId="5F2E7EAE" w14:textId="0D19FACC" w:rsidR="00CB1B27" w:rsidRPr="00D766BC" w:rsidRDefault="00CB1B27" w:rsidP="00873AF3">
            <w:pPr>
              <w:pStyle w:val="COMTabletext"/>
              <w:jc w:val="center"/>
            </w:pPr>
            <w:r w:rsidRPr="00D766BC">
              <w:t>$</w:t>
            </w:r>
            <w:r w:rsidR="00D63E16" w:rsidRPr="00D63E16">
              <w:rPr>
                <w:bCs w:val="0"/>
                <w:color w:val="000000"/>
                <w:shd w:val="solid" w:color="000000" w:fill="000000"/>
                <w14:textFill>
                  <w14:solidFill>
                    <w14:srgbClr w14:val="000000">
                      <w14:alpha w14:val="100000"/>
                    </w14:srgbClr>
                  </w14:solidFill>
                </w14:textFill>
              </w:rPr>
              <w:t>|</w:t>
            </w:r>
          </w:p>
          <w:p w14:paraId="51353C64" w14:textId="77777777" w:rsidR="00CB1B27" w:rsidRPr="00D766BC" w:rsidRDefault="00CB1B27" w:rsidP="00873AF3">
            <w:pPr>
              <w:pStyle w:val="COMTabletext"/>
              <w:jc w:val="center"/>
            </w:pPr>
            <w:r w:rsidRPr="00D766BC">
              <w:t>Private hospital:</w:t>
            </w:r>
          </w:p>
          <w:p w14:paraId="6D143A5F" w14:textId="40ED6448" w:rsidR="00CB1B27" w:rsidRPr="00D766BC" w:rsidRDefault="00CB1B27" w:rsidP="00873AF3">
            <w:pPr>
              <w:pStyle w:val="COMTabletext"/>
              <w:jc w:val="center"/>
            </w:pPr>
            <w:r w:rsidRPr="00D766BC">
              <w:t>$</w:t>
            </w:r>
            <w:r w:rsidR="00D63E16" w:rsidRPr="00D63E16">
              <w:rPr>
                <w:color w:val="000000"/>
                <w:shd w:val="solid" w:color="000000" w:fill="000000"/>
                <w14:textFill>
                  <w14:solidFill>
                    <w14:srgbClr w14:val="000000">
                      <w14:alpha w14:val="100000"/>
                    </w14:srgbClr>
                  </w14:solidFill>
                </w14:textFill>
              </w:rPr>
              <w:t>|</w:t>
            </w:r>
          </w:p>
        </w:tc>
        <w:tc>
          <w:tcPr>
            <w:tcW w:w="1417" w:type="dxa"/>
          </w:tcPr>
          <w:p w14:paraId="69A6FC43" w14:textId="77777777" w:rsidR="0028210F" w:rsidRPr="00D766BC" w:rsidRDefault="0028210F" w:rsidP="00873AF3">
            <w:pPr>
              <w:pStyle w:val="COMTabletext"/>
              <w:jc w:val="center"/>
            </w:pPr>
            <w:r w:rsidRPr="00D766BC">
              <w:t>Public hospital:</w:t>
            </w:r>
          </w:p>
          <w:p w14:paraId="0006A4F0" w14:textId="707C33B0" w:rsidR="00CB1B27" w:rsidRPr="00D766BC" w:rsidRDefault="0028210F" w:rsidP="00873AF3">
            <w:pPr>
              <w:keepNext/>
              <w:keepLines/>
              <w:jc w:val="center"/>
              <w:rPr>
                <w:rFonts w:ascii="Arial Narrow" w:eastAsiaTheme="majorEastAsia" w:hAnsi="Arial Narrow" w:cstheme="majorBidi"/>
                <w:bCs/>
                <w:sz w:val="20"/>
              </w:rPr>
            </w:pPr>
            <w:r w:rsidRPr="00D766BC">
              <w:rPr>
                <w:rFonts w:ascii="Arial Narrow" w:eastAsiaTheme="majorEastAsia" w:hAnsi="Arial Narrow" w:cstheme="majorBidi"/>
                <w:bCs/>
                <w:sz w:val="20"/>
              </w:rPr>
              <w:t>$</w:t>
            </w:r>
            <w:r w:rsidR="00D63E16" w:rsidRPr="00D63E1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p w14:paraId="1AA639A5" w14:textId="77777777" w:rsidR="00756D8D" w:rsidRPr="00D766BC" w:rsidRDefault="00756D8D" w:rsidP="00873AF3">
            <w:pPr>
              <w:pStyle w:val="COMTabletext"/>
              <w:jc w:val="center"/>
            </w:pPr>
            <w:r w:rsidRPr="00D766BC">
              <w:t>Private hospital:</w:t>
            </w:r>
          </w:p>
          <w:p w14:paraId="26DFBF1E" w14:textId="2FD9E9D6" w:rsidR="0028210F" w:rsidRPr="00D766BC" w:rsidRDefault="00756D8D" w:rsidP="00873AF3">
            <w:pPr>
              <w:keepNext/>
              <w:keepLines/>
              <w:jc w:val="center"/>
              <w:rPr>
                <w:rFonts w:ascii="Arial Narrow" w:eastAsiaTheme="majorEastAsia" w:hAnsi="Arial Narrow" w:cstheme="majorBidi"/>
                <w:bCs/>
                <w:sz w:val="20"/>
              </w:rPr>
            </w:pPr>
            <w:r w:rsidRPr="00D766BC">
              <w:rPr>
                <w:rFonts w:ascii="Arial Narrow" w:eastAsiaTheme="majorEastAsia" w:hAnsi="Arial Narrow" w:cstheme="majorBidi"/>
                <w:bCs/>
                <w:sz w:val="20"/>
              </w:rPr>
              <w:t>$</w:t>
            </w:r>
            <w:r w:rsidR="00D63E16" w:rsidRPr="00D63E1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992" w:type="dxa"/>
            <w:vAlign w:val="center"/>
          </w:tcPr>
          <w:p w14:paraId="3C104E1E" w14:textId="5CB2E644" w:rsidR="00CB1B27" w:rsidRPr="00D766BC" w:rsidRDefault="003030D1" w:rsidP="00873AF3">
            <w:pPr>
              <w:keepNext/>
              <w:keepLines/>
              <w:jc w:val="center"/>
              <w:rPr>
                <w:rFonts w:ascii="Arial Narrow" w:hAnsi="Arial Narrow"/>
                <w:sz w:val="20"/>
              </w:rPr>
            </w:pPr>
            <w:r w:rsidRPr="00D766BC">
              <w:rPr>
                <w:rFonts w:ascii="Arial Narrow" w:hAnsi="Arial Narrow"/>
                <w:sz w:val="20"/>
              </w:rPr>
              <w:t>1*</w:t>
            </w:r>
          </w:p>
        </w:tc>
        <w:tc>
          <w:tcPr>
            <w:tcW w:w="993" w:type="dxa"/>
            <w:vAlign w:val="center"/>
          </w:tcPr>
          <w:p w14:paraId="5891AC30" w14:textId="5638B29E" w:rsidR="00CB1B27" w:rsidRPr="00D766BC" w:rsidRDefault="003030D1" w:rsidP="00873AF3">
            <w:pPr>
              <w:keepNext/>
              <w:keepLines/>
              <w:jc w:val="center"/>
              <w:rPr>
                <w:rFonts w:ascii="Arial Narrow" w:hAnsi="Arial Narrow"/>
                <w:sz w:val="20"/>
              </w:rPr>
            </w:pPr>
            <w:r w:rsidRPr="00D766BC">
              <w:rPr>
                <w:rFonts w:ascii="Arial Narrow" w:hAnsi="Arial Narrow"/>
                <w:sz w:val="20"/>
              </w:rPr>
              <w:t>1*</w:t>
            </w:r>
          </w:p>
        </w:tc>
        <w:tc>
          <w:tcPr>
            <w:tcW w:w="708" w:type="dxa"/>
            <w:vAlign w:val="center"/>
          </w:tcPr>
          <w:p w14:paraId="67879EBA" w14:textId="77777777" w:rsidR="00CB1B27" w:rsidRPr="00D766BC" w:rsidRDefault="00CB1B27" w:rsidP="00873AF3">
            <w:pPr>
              <w:keepNext/>
              <w:keepLines/>
              <w:jc w:val="center"/>
              <w:rPr>
                <w:rFonts w:ascii="Arial Narrow" w:hAnsi="Arial Narrow"/>
                <w:sz w:val="20"/>
              </w:rPr>
            </w:pPr>
            <w:r w:rsidRPr="00D766BC">
              <w:rPr>
                <w:rFonts w:ascii="Arial Narrow" w:hAnsi="Arial Narrow"/>
                <w:sz w:val="20"/>
              </w:rPr>
              <w:t>0</w:t>
            </w:r>
          </w:p>
        </w:tc>
        <w:tc>
          <w:tcPr>
            <w:tcW w:w="1133" w:type="dxa"/>
            <w:vAlign w:val="center"/>
          </w:tcPr>
          <w:p w14:paraId="58E137FC" w14:textId="6109EC04" w:rsidR="00CB1B27" w:rsidRPr="00D766BC" w:rsidRDefault="6FA38371" w:rsidP="00873AF3">
            <w:pPr>
              <w:keepNext/>
              <w:keepLines/>
              <w:rPr>
                <w:rFonts w:ascii="Arial Narrow" w:hAnsi="Arial Narrow"/>
                <w:sz w:val="20"/>
                <w:szCs w:val="20"/>
              </w:rPr>
            </w:pPr>
            <w:r w:rsidRPr="00D766BC">
              <w:rPr>
                <w:rFonts w:ascii="Arial Narrow" w:hAnsi="Arial Narrow"/>
                <w:sz w:val="20"/>
                <w:szCs w:val="20"/>
              </w:rPr>
              <w:t>Rystiggo</w:t>
            </w:r>
          </w:p>
        </w:tc>
      </w:tr>
    </w:tbl>
    <w:p w14:paraId="787A8170" w14:textId="4E9626C3" w:rsidR="00A16B64" w:rsidRPr="00D766BC" w:rsidRDefault="00A16B64" w:rsidP="00873AF3">
      <w:pPr>
        <w:pStyle w:val="COMTablefooter"/>
        <w:spacing w:after="0"/>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A16B64" w:rsidRPr="00D766BC" w14:paraId="28C99167"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0EC4A3B8" w14:textId="6F967742" w:rsidR="00A16B64" w:rsidRPr="00D766BC" w:rsidRDefault="00A16B64" w:rsidP="00873AF3">
            <w:pPr>
              <w:pStyle w:val="COMTabletext"/>
              <w:rPr>
                <w:b/>
              </w:rPr>
            </w:pPr>
            <w:r w:rsidRPr="00D766BC">
              <w:rPr>
                <w:b/>
              </w:rPr>
              <w:t xml:space="preserve">Category / Program: </w:t>
            </w:r>
            <w:r w:rsidRPr="00D766BC">
              <w:rPr>
                <w:bCs w:val="0"/>
              </w:rPr>
              <w:t>Section 100</w:t>
            </w:r>
            <w:r w:rsidR="00C141D2">
              <w:rPr>
                <w:bCs w:val="0"/>
              </w:rPr>
              <w:t xml:space="preserve"> </w:t>
            </w:r>
            <w:r w:rsidR="00C141D2" w:rsidRPr="00B662CF">
              <w:t>– Highly Specialised Drugs Program</w:t>
            </w:r>
          </w:p>
        </w:tc>
      </w:tr>
      <w:tr w:rsidR="00A16B64" w:rsidRPr="00D766BC" w14:paraId="297256F5"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57DBE1CD" w14:textId="77777777" w:rsidR="00A16B64" w:rsidRPr="00D766BC" w:rsidRDefault="00A16B64" w:rsidP="00873AF3">
            <w:pPr>
              <w:pStyle w:val="COMTabletext"/>
              <w:keepNext w:val="0"/>
              <w:rPr>
                <w:b/>
              </w:rPr>
            </w:pPr>
            <w:r w:rsidRPr="00D766BC">
              <w:rPr>
                <w:b/>
              </w:rPr>
              <w:t xml:space="preserve">Prescriber type: </w:t>
            </w:r>
            <w:r w:rsidRPr="00D766BC">
              <w:rPr>
                <w:b/>
              </w:rPr>
              <w:fldChar w:fldCharType="begin" w:fldLock="1">
                <w:ffData>
                  <w:name w:val=""/>
                  <w:enabled/>
                  <w:calcOnExit w:val="0"/>
                  <w:checkBox>
                    <w:sizeAuto/>
                    <w:default w:val="1"/>
                  </w:checkBox>
                </w:ffData>
              </w:fldChar>
            </w:r>
            <w:r w:rsidRPr="00D766BC">
              <w:rPr>
                <w:b/>
              </w:rPr>
              <w:instrText xml:space="preserve"> FORMCHECKBOX </w:instrText>
            </w:r>
            <w:r w:rsidRPr="00D766BC">
              <w:rPr>
                <w:b/>
              </w:rPr>
            </w:r>
            <w:r w:rsidRPr="00D766BC">
              <w:rPr>
                <w:b/>
              </w:rPr>
              <w:fldChar w:fldCharType="separate"/>
            </w:r>
            <w:r w:rsidRPr="00D766BC">
              <w:rPr>
                <w:b/>
              </w:rPr>
              <w:fldChar w:fldCharType="end"/>
            </w:r>
            <w:r w:rsidRPr="00D766BC">
              <w:rPr>
                <w:bCs w:val="0"/>
              </w:rPr>
              <w:t>Medical Practitioners</w:t>
            </w:r>
          </w:p>
        </w:tc>
      </w:tr>
      <w:tr w:rsidR="00A16B64" w:rsidRPr="00D766BC" w14:paraId="71E11388"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227EB48C" w14:textId="071B787F" w:rsidR="00A16B64" w:rsidRPr="00D766BC" w:rsidRDefault="00A16B64" w:rsidP="00873AF3">
            <w:pPr>
              <w:pStyle w:val="COMTabletext"/>
              <w:keepNext w:val="0"/>
              <w:rPr>
                <w:b/>
              </w:rPr>
            </w:pPr>
            <w:r w:rsidRPr="00D766BC">
              <w:rPr>
                <w:b/>
              </w:rPr>
              <w:t xml:space="preserve">Restriction type: </w:t>
            </w:r>
            <w:r w:rsidRPr="00D766BC">
              <w:rPr>
                <w:b/>
              </w:rPr>
              <w:fldChar w:fldCharType="begin" w:fldLock="1">
                <w:ffData>
                  <w:name w:val=""/>
                  <w:enabled/>
                  <w:calcOnExit w:val="0"/>
                  <w:checkBox>
                    <w:sizeAuto/>
                    <w:default w:val="1"/>
                  </w:checkBox>
                </w:ffData>
              </w:fldChar>
            </w:r>
            <w:r w:rsidRPr="00D766BC">
              <w:rPr>
                <w:b/>
              </w:rPr>
              <w:instrText xml:space="preserve"> FORMCHECKBOX </w:instrText>
            </w:r>
            <w:r w:rsidRPr="00D766BC">
              <w:rPr>
                <w:b/>
              </w:rPr>
            </w:r>
            <w:r w:rsidRPr="00D766BC">
              <w:rPr>
                <w:b/>
              </w:rPr>
              <w:fldChar w:fldCharType="separate"/>
            </w:r>
            <w:r w:rsidRPr="00D766BC">
              <w:rPr>
                <w:b/>
              </w:rPr>
              <w:fldChar w:fldCharType="end"/>
            </w:r>
            <w:r w:rsidRPr="00D766BC">
              <w:rPr>
                <w:bCs w:val="0"/>
              </w:rPr>
              <w:t>Authority Required (in writing only via post/HPOS upload)</w:t>
            </w:r>
            <w:r w:rsidR="00A91274">
              <w:rPr>
                <w:b/>
              </w:rPr>
              <w:t xml:space="preserve"> </w:t>
            </w:r>
          </w:p>
        </w:tc>
      </w:tr>
      <w:tr w:rsidR="00C141D2" w:rsidRPr="00D766BC" w14:paraId="561BFDDC"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54AB9911" w14:textId="72742A61" w:rsidR="00C141D2" w:rsidRPr="00D766BC" w:rsidRDefault="00C141D2" w:rsidP="00873AF3">
            <w:pPr>
              <w:pStyle w:val="COMTabletext"/>
              <w:keepNext w:val="0"/>
              <w:rPr>
                <w:b/>
              </w:rPr>
            </w:pPr>
            <w:r w:rsidRPr="00526A1B">
              <w:rPr>
                <w:b/>
              </w:rPr>
              <w:t xml:space="preserve">Authority type: </w:t>
            </w:r>
            <w:r w:rsidRPr="00526A1B">
              <w:t>Complex Authority Required (CAR)</w:t>
            </w:r>
          </w:p>
        </w:tc>
      </w:tr>
      <w:tr w:rsidR="00A16B64" w:rsidRPr="00D766BC" w14:paraId="2AA60ECD"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62B73CD8" w14:textId="77777777" w:rsidR="00A16B64" w:rsidRPr="00D766BC" w:rsidRDefault="00A16B64" w:rsidP="00873AF3">
            <w:pPr>
              <w:pStyle w:val="COMTabletext"/>
              <w:keepNext w:val="0"/>
              <w:rPr>
                <w:b/>
              </w:rPr>
            </w:pPr>
            <w:r w:rsidRPr="00D766BC">
              <w:rPr>
                <w:b/>
              </w:rPr>
              <w:t xml:space="preserve">Indication: </w:t>
            </w:r>
            <w:r w:rsidRPr="00D766BC">
              <w:rPr>
                <w:bCs w:val="0"/>
              </w:rPr>
              <w:t>Generalised myasthenia gravis</w:t>
            </w:r>
          </w:p>
        </w:tc>
      </w:tr>
      <w:tr w:rsidR="00A16B64" w:rsidRPr="00D766BC" w14:paraId="73CF2A97"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3F928A44" w14:textId="77777777" w:rsidR="00A16B64" w:rsidRPr="00D766BC" w:rsidRDefault="00A16B64" w:rsidP="00873AF3">
            <w:pPr>
              <w:pStyle w:val="COMTabletext"/>
              <w:keepNext w:val="0"/>
              <w:rPr>
                <w:b/>
              </w:rPr>
            </w:pPr>
            <w:r w:rsidRPr="00D766BC">
              <w:rPr>
                <w:b/>
              </w:rPr>
              <w:t xml:space="preserve">Treatment Phase: </w:t>
            </w:r>
            <w:r w:rsidRPr="00D766BC">
              <w:rPr>
                <w:bCs w:val="0"/>
              </w:rPr>
              <w:t>Episodic treatment</w:t>
            </w:r>
          </w:p>
        </w:tc>
      </w:tr>
      <w:tr w:rsidR="00A16B64" w:rsidRPr="00D766BC" w14:paraId="76EF63DA"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6DA1E587" w14:textId="77777777" w:rsidR="00A16B64" w:rsidRPr="00D766BC" w:rsidRDefault="00A16B64" w:rsidP="00873AF3">
            <w:pPr>
              <w:pStyle w:val="COMTabletext"/>
              <w:keepNext w:val="0"/>
              <w:rPr>
                <w:b/>
              </w:rPr>
            </w:pPr>
            <w:r w:rsidRPr="00D766BC">
              <w:rPr>
                <w:b/>
              </w:rPr>
              <w:t>Clinical criteria:</w:t>
            </w:r>
          </w:p>
        </w:tc>
      </w:tr>
      <w:tr w:rsidR="00A16B64" w:rsidRPr="00D766BC" w14:paraId="39F09988"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58D68D1E" w14:textId="77777777" w:rsidR="00A16B64" w:rsidRPr="00D766BC" w:rsidRDefault="00A16B64" w:rsidP="00873AF3">
            <w:pPr>
              <w:pStyle w:val="COMTabletext"/>
              <w:keepNext w:val="0"/>
              <w:rPr>
                <w:bCs w:val="0"/>
              </w:rPr>
            </w:pPr>
            <w:r w:rsidRPr="00D766BC">
              <w:rPr>
                <w:bCs w:val="0"/>
              </w:rPr>
              <w:t>Patient must be ≥ 18 years of age</w:t>
            </w:r>
          </w:p>
        </w:tc>
      </w:tr>
      <w:tr w:rsidR="00A16B64" w:rsidRPr="00D766BC" w14:paraId="28ED87E6"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5E3EC3E1" w14:textId="77777777" w:rsidR="00A16B64" w:rsidRPr="00D766BC" w:rsidRDefault="00A16B64" w:rsidP="00873AF3">
            <w:pPr>
              <w:pStyle w:val="COMTabletext"/>
              <w:keepNext w:val="0"/>
              <w:rPr>
                <w:b/>
              </w:rPr>
            </w:pPr>
            <w:r w:rsidRPr="00D766BC">
              <w:rPr>
                <w:b/>
              </w:rPr>
              <w:t>AND</w:t>
            </w:r>
          </w:p>
        </w:tc>
      </w:tr>
      <w:tr w:rsidR="00A16B64" w:rsidRPr="00D766BC" w14:paraId="37D5D360"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3B835161" w14:textId="77777777" w:rsidR="00A16B64" w:rsidRPr="00D766BC" w:rsidRDefault="00A16B64" w:rsidP="00873AF3">
            <w:pPr>
              <w:pStyle w:val="COMTabletext"/>
              <w:keepNext w:val="0"/>
              <w:rPr>
                <w:b/>
              </w:rPr>
            </w:pPr>
            <w:r w:rsidRPr="00D766BC">
              <w:rPr>
                <w:b/>
              </w:rPr>
              <w:t>Clinical criteria:</w:t>
            </w:r>
          </w:p>
        </w:tc>
      </w:tr>
      <w:tr w:rsidR="00A16B64" w:rsidRPr="00D766BC" w14:paraId="1E59E3C5"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211ADB40" w14:textId="5585B6B0" w:rsidR="00A16B64" w:rsidRPr="00D766BC" w:rsidRDefault="7F8E54F9" w:rsidP="00873AF3">
            <w:pPr>
              <w:pStyle w:val="COMTabletext"/>
              <w:keepNext w:val="0"/>
            </w:pPr>
            <w:r w:rsidRPr="00D766BC">
              <w:t>Patient must have a diagnosis of Myasthenia Gravis Foundation of America (MGFA) Disease Class II to IVa</w:t>
            </w:r>
          </w:p>
        </w:tc>
      </w:tr>
      <w:tr w:rsidR="00A16B64" w:rsidRPr="00D766BC" w14:paraId="4CC03F43"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7983B4E9" w14:textId="77777777" w:rsidR="00A16B64" w:rsidRPr="00D766BC" w:rsidRDefault="00A16B64" w:rsidP="00873AF3">
            <w:pPr>
              <w:pStyle w:val="COMTabletext"/>
              <w:keepNext w:val="0"/>
              <w:rPr>
                <w:b/>
              </w:rPr>
            </w:pPr>
            <w:r w:rsidRPr="00D766BC">
              <w:rPr>
                <w:b/>
              </w:rPr>
              <w:t>AND</w:t>
            </w:r>
          </w:p>
        </w:tc>
      </w:tr>
      <w:tr w:rsidR="00A16B64" w:rsidRPr="00D766BC" w14:paraId="0ABC80DE"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0647C77C" w14:textId="77777777" w:rsidR="00A16B64" w:rsidRPr="00D766BC" w:rsidRDefault="00A16B64" w:rsidP="00873AF3">
            <w:pPr>
              <w:pStyle w:val="COMTabletext"/>
              <w:keepNext w:val="0"/>
              <w:rPr>
                <w:b/>
              </w:rPr>
            </w:pPr>
            <w:r w:rsidRPr="00D766BC">
              <w:rPr>
                <w:b/>
              </w:rPr>
              <w:t>Clinical criteria:</w:t>
            </w:r>
          </w:p>
        </w:tc>
      </w:tr>
      <w:tr w:rsidR="00A16B64" w:rsidRPr="00D766BC" w14:paraId="694B504F"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7CA88D8D" w14:textId="77777777" w:rsidR="00A16B64" w:rsidRPr="00D766BC" w:rsidRDefault="7F8E54F9" w:rsidP="00873AF3">
            <w:pPr>
              <w:pStyle w:val="COMTabletext"/>
              <w:keepNext w:val="0"/>
            </w:pPr>
            <w:r w:rsidRPr="00D766BC">
              <w:t>Patient must have a positive serology for acetylcholine receptor (AChR) binding autoantibodies</w:t>
            </w:r>
          </w:p>
        </w:tc>
      </w:tr>
      <w:tr w:rsidR="00A16B64" w:rsidRPr="00D766BC" w14:paraId="14F22E38"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0954CABB" w14:textId="77777777" w:rsidR="00A16B64" w:rsidRPr="00D766BC" w:rsidRDefault="00A16B64" w:rsidP="00873AF3">
            <w:pPr>
              <w:pStyle w:val="COMTabletext"/>
              <w:keepNext w:val="0"/>
              <w:rPr>
                <w:b/>
              </w:rPr>
            </w:pPr>
            <w:r w:rsidRPr="00D766BC">
              <w:rPr>
                <w:b/>
              </w:rPr>
              <w:t>AND</w:t>
            </w:r>
          </w:p>
        </w:tc>
      </w:tr>
      <w:tr w:rsidR="00A16B64" w:rsidRPr="00D766BC" w14:paraId="258969E0"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29E3DC5B" w14:textId="77777777" w:rsidR="00A16B64" w:rsidRPr="00D766BC" w:rsidRDefault="00A16B64" w:rsidP="00873AF3">
            <w:pPr>
              <w:pStyle w:val="COMTabletext"/>
              <w:keepNext w:val="0"/>
              <w:rPr>
                <w:b/>
              </w:rPr>
            </w:pPr>
            <w:r w:rsidRPr="00D766BC">
              <w:rPr>
                <w:b/>
              </w:rPr>
              <w:t>Clinical criteria:</w:t>
            </w:r>
          </w:p>
        </w:tc>
      </w:tr>
      <w:tr w:rsidR="00A16B64" w:rsidRPr="00D766BC" w14:paraId="1C57180A"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23AF6F8C" w14:textId="1A463687" w:rsidR="00A16B64" w:rsidRPr="00D766BC" w:rsidRDefault="7F8E54F9" w:rsidP="00873AF3">
            <w:pPr>
              <w:pStyle w:val="COMTabletext"/>
              <w:keepNext w:val="0"/>
            </w:pPr>
            <w:r w:rsidRPr="00D766BC">
              <w:t>Patient must be receiving concomitant treatment with at least one of the following: (i) azathioprine, (ii) methotrexate, (iii) cyclophosphamide (iv) ciclosporin (v) mycophenolate</w:t>
            </w:r>
          </w:p>
        </w:tc>
      </w:tr>
      <w:tr w:rsidR="00A16B64" w:rsidRPr="00D766BC" w14:paraId="04A26C46"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54420ABA" w14:textId="77777777" w:rsidR="00A16B64" w:rsidRPr="00D766BC" w:rsidRDefault="00A16B64" w:rsidP="00873AF3">
            <w:pPr>
              <w:pStyle w:val="COMTabletext"/>
              <w:keepNext w:val="0"/>
              <w:rPr>
                <w:b/>
              </w:rPr>
            </w:pPr>
            <w:r w:rsidRPr="00D766BC">
              <w:rPr>
                <w:b/>
              </w:rPr>
              <w:t>AND</w:t>
            </w:r>
          </w:p>
        </w:tc>
      </w:tr>
      <w:tr w:rsidR="00A16B64" w:rsidRPr="00D766BC" w14:paraId="0304E8B8"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66205FB7" w14:textId="77777777" w:rsidR="00A16B64" w:rsidRPr="00D766BC" w:rsidRDefault="00A16B64" w:rsidP="00873AF3">
            <w:pPr>
              <w:pStyle w:val="COMTabletext"/>
              <w:keepNext w:val="0"/>
              <w:rPr>
                <w:b/>
              </w:rPr>
            </w:pPr>
            <w:r w:rsidRPr="00D766BC">
              <w:rPr>
                <w:b/>
              </w:rPr>
              <w:t>Clinical criteria:</w:t>
            </w:r>
          </w:p>
        </w:tc>
      </w:tr>
      <w:tr w:rsidR="00A16B64" w:rsidRPr="00D766BC" w14:paraId="08A57873"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6E608A45" w14:textId="77777777" w:rsidR="00A16B64" w:rsidRPr="00D766BC" w:rsidRDefault="00A16B64" w:rsidP="00873AF3">
            <w:pPr>
              <w:pStyle w:val="COMTabletext"/>
              <w:keepNext w:val="0"/>
              <w:rPr>
                <w:bCs w:val="0"/>
              </w:rPr>
            </w:pPr>
            <w:r w:rsidRPr="00D766BC">
              <w:rPr>
                <w:bCs w:val="0"/>
              </w:rPr>
              <w:t>Myasthenia gravis composite (MGC) score of at least 4 points</w:t>
            </w:r>
          </w:p>
        </w:tc>
      </w:tr>
      <w:tr w:rsidR="00A16B64" w:rsidRPr="00D766BC" w14:paraId="6432806B"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4F0A963D" w14:textId="77777777" w:rsidR="00A16B64" w:rsidRPr="00D766BC" w:rsidRDefault="00A16B64" w:rsidP="00873AF3">
            <w:pPr>
              <w:pStyle w:val="COMTabletext"/>
              <w:keepNext w:val="0"/>
              <w:rPr>
                <w:b/>
              </w:rPr>
            </w:pPr>
            <w:r w:rsidRPr="00D766BC">
              <w:rPr>
                <w:b/>
              </w:rPr>
              <w:t>AND</w:t>
            </w:r>
          </w:p>
        </w:tc>
      </w:tr>
      <w:tr w:rsidR="00A16B64" w:rsidRPr="00D766BC" w14:paraId="353E506D"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0075760C" w14:textId="77777777" w:rsidR="00A16B64" w:rsidRPr="00D766BC" w:rsidRDefault="00A16B64" w:rsidP="00873AF3">
            <w:pPr>
              <w:pStyle w:val="COMTabletext"/>
              <w:keepNext w:val="0"/>
              <w:rPr>
                <w:b/>
              </w:rPr>
            </w:pPr>
            <w:r w:rsidRPr="00D766BC">
              <w:rPr>
                <w:b/>
              </w:rPr>
              <w:t>Clinical criteria:</w:t>
            </w:r>
          </w:p>
        </w:tc>
      </w:tr>
      <w:tr w:rsidR="00A16B64" w:rsidRPr="00D766BC" w14:paraId="448138F8"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32A02391" w14:textId="77777777" w:rsidR="00A16B64" w:rsidRPr="00D766BC" w:rsidRDefault="00A16B64" w:rsidP="00873AF3">
            <w:pPr>
              <w:pStyle w:val="COMTabletext"/>
              <w:keepNext w:val="0"/>
              <w:rPr>
                <w:bCs w:val="0"/>
              </w:rPr>
            </w:pPr>
            <w:r w:rsidRPr="00D766BC">
              <w:rPr>
                <w:bCs w:val="0"/>
              </w:rPr>
              <w:t>Treatment must not be in combination with intravenous immunoglobulin (IVIg) or plasma exchange (PLEX)</w:t>
            </w:r>
          </w:p>
        </w:tc>
      </w:tr>
      <w:tr w:rsidR="00A16B64" w:rsidRPr="00D766BC" w14:paraId="6281EB9C"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2C7368A2" w14:textId="77777777" w:rsidR="00A16B64" w:rsidRPr="00D766BC" w:rsidRDefault="00A16B64" w:rsidP="00873AF3">
            <w:pPr>
              <w:pStyle w:val="COMTabletext"/>
              <w:keepNext w:val="0"/>
              <w:rPr>
                <w:b/>
              </w:rPr>
            </w:pPr>
            <w:r w:rsidRPr="00D766BC">
              <w:rPr>
                <w:b/>
              </w:rPr>
              <w:t>Treatment criteria:</w:t>
            </w:r>
          </w:p>
        </w:tc>
      </w:tr>
      <w:tr w:rsidR="00A16B64" w:rsidRPr="00D766BC" w14:paraId="74680E94"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2D38BAEE" w14:textId="77777777" w:rsidR="00A16B64" w:rsidRPr="00D766BC" w:rsidRDefault="00A16B64" w:rsidP="00873AF3">
            <w:pPr>
              <w:pStyle w:val="COMTabletext"/>
              <w:keepNext w:val="0"/>
              <w:rPr>
                <w:bCs w:val="0"/>
              </w:rPr>
            </w:pPr>
            <w:r w:rsidRPr="00D766BC">
              <w:rPr>
                <w:bCs w:val="0"/>
              </w:rPr>
              <w:t>Must be treated with a neurologist</w:t>
            </w:r>
          </w:p>
        </w:tc>
      </w:tr>
      <w:tr w:rsidR="00A16B64" w:rsidRPr="00D766BC" w14:paraId="5A234DAB"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570446F7" w14:textId="77777777" w:rsidR="00A16B64" w:rsidRPr="00D766BC" w:rsidRDefault="00A16B64" w:rsidP="00873AF3">
            <w:pPr>
              <w:pStyle w:val="COMTabletext"/>
              <w:keepNext w:val="0"/>
              <w:rPr>
                <w:bCs w:val="0"/>
              </w:rPr>
            </w:pPr>
            <w:r w:rsidRPr="00D766BC">
              <w:rPr>
                <w:b/>
              </w:rPr>
              <w:t>Prescribing Instructions:</w:t>
            </w:r>
          </w:p>
        </w:tc>
      </w:tr>
      <w:tr w:rsidR="00A16B64" w:rsidRPr="00D766BC" w14:paraId="29968B21"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17676E18" w14:textId="77777777" w:rsidR="00A16B64" w:rsidRPr="00D766BC" w:rsidRDefault="00A16B64" w:rsidP="00873AF3">
            <w:pPr>
              <w:pStyle w:val="COMTabletext"/>
              <w:keepNext w:val="0"/>
              <w:rPr>
                <w:bCs w:val="0"/>
              </w:rPr>
            </w:pPr>
            <w:r w:rsidRPr="00D766BC">
              <w:rPr>
                <w:bCs w:val="0"/>
              </w:rPr>
              <w:t>The myasthenia gravis composite (MGC) reference in this restriction is described in the following literature publication:</w:t>
            </w:r>
          </w:p>
          <w:p w14:paraId="75F74171" w14:textId="77777777" w:rsidR="00A16B64" w:rsidRPr="00D766BC" w:rsidRDefault="00A16B64" w:rsidP="00873AF3">
            <w:pPr>
              <w:pStyle w:val="COMTabletext"/>
              <w:keepNext w:val="0"/>
              <w:rPr>
                <w:bCs w:val="0"/>
              </w:rPr>
            </w:pPr>
            <w:r w:rsidRPr="00D766BC">
              <w:rPr>
                <w:bCs w:val="0"/>
              </w:rPr>
              <w:t>Burns, T. M., Conaway, M. Sanders, D. B. 2010. The MG Composite: A valid and reliable outcome measure for myasthenia gravis. Neurology, 74, 1434-40.</w:t>
            </w:r>
          </w:p>
        </w:tc>
      </w:tr>
      <w:tr w:rsidR="00A16B64" w:rsidRPr="00D766BC" w14:paraId="15F3748D"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0F644D3A" w14:textId="77777777" w:rsidR="00A16B64" w:rsidRPr="00D766BC" w:rsidRDefault="00A16B64" w:rsidP="00873AF3">
            <w:pPr>
              <w:pStyle w:val="COMTabletext"/>
              <w:rPr>
                <w:bCs w:val="0"/>
              </w:rPr>
            </w:pPr>
            <w:r w:rsidRPr="00D766BC">
              <w:rPr>
                <w:b/>
              </w:rPr>
              <w:t>Administrative Advice:</w:t>
            </w:r>
          </w:p>
        </w:tc>
      </w:tr>
      <w:tr w:rsidR="00A16B64" w:rsidRPr="00D766BC" w14:paraId="769178BE"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37CB0DD4" w14:textId="77777777" w:rsidR="00A16B64" w:rsidRPr="00D766BC" w:rsidRDefault="00A16B64" w:rsidP="00873AF3">
            <w:pPr>
              <w:pStyle w:val="COMTabletext"/>
              <w:rPr>
                <w:bCs w:val="0"/>
              </w:rPr>
            </w:pPr>
            <w:r w:rsidRPr="00D766BC">
              <w:rPr>
                <w:bCs w:val="0"/>
              </w:rPr>
              <w:t>The authority application must be made in writing and must include:</w:t>
            </w:r>
          </w:p>
          <w:p w14:paraId="03DE583C" w14:textId="4ED861DE" w:rsidR="00A16B64" w:rsidRPr="00D766BC" w:rsidRDefault="7F8E54F9" w:rsidP="00873AF3">
            <w:pPr>
              <w:pStyle w:val="COMTabletext"/>
            </w:pPr>
            <w:r w:rsidRPr="00D766BC">
              <w:t>(1)</w:t>
            </w:r>
            <w:r w:rsidR="00A16B64" w:rsidRPr="00D766BC">
              <w:tab/>
            </w:r>
            <w:r w:rsidRPr="00D766BC">
              <w:t>A completed authority prescription form: and</w:t>
            </w:r>
          </w:p>
          <w:p w14:paraId="03EB9D96" w14:textId="19324F41" w:rsidR="00A16B64" w:rsidRPr="00D766BC" w:rsidRDefault="7F8E54F9" w:rsidP="00873AF3">
            <w:pPr>
              <w:pStyle w:val="COMTabletext"/>
            </w:pPr>
            <w:r w:rsidRPr="00D766BC">
              <w:t>(2)</w:t>
            </w:r>
            <w:r w:rsidR="00A16B64" w:rsidRPr="00D766BC">
              <w:tab/>
            </w:r>
            <w:r w:rsidRPr="00D766BC">
              <w:t>A completed authority application form relevant to the treatment phased; and</w:t>
            </w:r>
          </w:p>
          <w:p w14:paraId="01094848" w14:textId="4F67AAFA" w:rsidR="00A16B64" w:rsidRPr="00D766BC" w:rsidRDefault="7F8E54F9" w:rsidP="00873AF3">
            <w:pPr>
              <w:pStyle w:val="COMTabletext"/>
            </w:pPr>
            <w:r w:rsidRPr="00D766BC">
              <w:t>(3)</w:t>
            </w:r>
            <w:r w:rsidR="00A16B64" w:rsidRPr="00D766BC">
              <w:tab/>
            </w:r>
            <w:r w:rsidRPr="00D766BC">
              <w:t>A detailed cover letter from the prescriber; and</w:t>
            </w:r>
          </w:p>
          <w:p w14:paraId="5C269BE4" w14:textId="77777777" w:rsidR="00A16B64" w:rsidRPr="00D766BC" w:rsidRDefault="00A16B64" w:rsidP="00873AF3">
            <w:pPr>
              <w:pStyle w:val="COMTabletext"/>
              <w:rPr>
                <w:bCs w:val="0"/>
              </w:rPr>
            </w:pPr>
            <w:r w:rsidRPr="00D766BC">
              <w:rPr>
                <w:bCs w:val="0"/>
              </w:rPr>
              <w:t>At the time of the authority applications, details (result and date of result) of the following monitoring requirements must be provided:</w:t>
            </w:r>
          </w:p>
          <w:p w14:paraId="50375A56" w14:textId="77777777" w:rsidR="00A16B64" w:rsidRPr="00D766BC" w:rsidRDefault="00A16B64" w:rsidP="00873AF3">
            <w:pPr>
              <w:pStyle w:val="COMTabletext"/>
              <w:rPr>
                <w:b/>
              </w:rPr>
            </w:pPr>
            <w:r w:rsidRPr="00D766BC">
              <w:rPr>
                <w:bCs w:val="0"/>
              </w:rPr>
              <w:t>Baseline MGC score</w:t>
            </w:r>
          </w:p>
        </w:tc>
      </w:tr>
    </w:tbl>
    <w:p w14:paraId="22CAA554" w14:textId="308144D0" w:rsidR="006257DA" w:rsidRPr="00D766BC" w:rsidRDefault="41422442" w:rsidP="00873AF3">
      <w:pPr>
        <w:pStyle w:val="COMTablefooter"/>
        <w:ind w:left="709" w:hanging="709"/>
      </w:pPr>
      <w:r w:rsidRPr="00D766BC">
        <w:t>*Prescriber should request a sufficient quantity based on patient weight for 6 weeks of treatment.</w:t>
      </w:r>
    </w:p>
    <w:p w14:paraId="282DA156" w14:textId="11540BAA" w:rsidR="00A16B64" w:rsidRPr="00D766BC" w:rsidRDefault="7F8E54F9" w:rsidP="00873AF3">
      <w:pPr>
        <w:pStyle w:val="COMexecsummnumbered"/>
      </w:pPr>
      <w:r w:rsidRPr="00D766BC">
        <w:t xml:space="preserve">The submission proposed a special pricing arrangement for rozanolixizumab with an effective price representing a rebate of approximately </w:t>
      </w:r>
      <w:r w:rsidR="00D63E16" w:rsidRPr="006233F7">
        <w:rPr>
          <w:color w:val="000000"/>
          <w:w w:val="15"/>
          <w:shd w:val="solid" w:color="000000" w:fill="000000"/>
          <w:fitText w:val="-20" w:id="-691363328"/>
          <w14:textFill>
            <w14:solidFill>
              <w14:srgbClr w14:val="000000">
                <w14:alpha w14:val="100000"/>
              </w14:srgbClr>
            </w14:solidFill>
          </w14:textFill>
        </w:rPr>
        <w:t>|</w:t>
      </w:r>
      <w:r w:rsidR="00A91274" w:rsidRPr="006233F7">
        <w:rPr>
          <w:color w:val="000000"/>
          <w:w w:val="15"/>
          <w:shd w:val="solid" w:color="000000" w:fill="000000"/>
          <w:fitText w:val="-20" w:id="-691363328"/>
          <w14:textFill>
            <w14:solidFill>
              <w14:srgbClr w14:val="000000">
                <w14:alpha w14:val="100000"/>
              </w14:srgbClr>
            </w14:solidFill>
          </w14:textFill>
        </w:rPr>
        <w:t xml:space="preserve"> </w:t>
      </w:r>
      <w:r w:rsidR="00D63E16" w:rsidRPr="006233F7">
        <w:rPr>
          <w:color w:val="000000"/>
          <w:spacing w:val="-61"/>
          <w:w w:val="15"/>
          <w:shd w:val="solid" w:color="000000" w:fill="000000"/>
          <w:fitText w:val="-20" w:id="-691363328"/>
          <w14:textFill>
            <w14:solidFill>
              <w14:srgbClr w14:val="000000">
                <w14:alpha w14:val="100000"/>
              </w14:srgbClr>
            </w14:solidFill>
          </w14:textFill>
        </w:rPr>
        <w:t>|</w:t>
      </w:r>
      <w:r w:rsidRPr="00D766BC">
        <w:t xml:space="preserve">% of the published </w:t>
      </w:r>
      <w:r w:rsidR="1D0E2FB0" w:rsidRPr="00D766BC">
        <w:t>DPMQ per script</w:t>
      </w:r>
      <w:r w:rsidRPr="00D766BC">
        <w:t>.</w:t>
      </w:r>
    </w:p>
    <w:p w14:paraId="09A6B718" w14:textId="11350877" w:rsidR="00950983" w:rsidRPr="00D766BC" w:rsidRDefault="42F7AF54" w:rsidP="00873AF3">
      <w:pPr>
        <w:pStyle w:val="COMexecsummnumbered"/>
        <w:rPr>
          <w:color w:val="0066FF"/>
        </w:rPr>
      </w:pPr>
      <w:r w:rsidRPr="00D766BC">
        <w:t>The submission indicated that the intended place in therapy was as a bridging therapy, however the PSCR stated the proposed place is ‘in line with the use of IVIg in current clinical practice’</w:t>
      </w:r>
      <w:r w:rsidR="00F32FF1" w:rsidRPr="00D766BC">
        <w:t xml:space="preserve"> with</w:t>
      </w:r>
      <w:r w:rsidR="3D7526A5" w:rsidRPr="00D766BC">
        <w:t xml:space="preserve"> </w:t>
      </w:r>
      <w:r w:rsidRPr="00D766BC">
        <w:t>t</w:t>
      </w:r>
      <w:r w:rsidR="7F8E54F9" w:rsidRPr="00D766BC">
        <w:t xml:space="preserve">he proposed PBS restriction </w:t>
      </w:r>
      <w:r w:rsidR="00F32FF1" w:rsidRPr="00D766BC">
        <w:t xml:space="preserve">being </w:t>
      </w:r>
      <w:r w:rsidR="7F8E54F9" w:rsidRPr="00D766BC">
        <w:t>broadly based</w:t>
      </w:r>
      <w:r w:rsidR="4C73C396" w:rsidRPr="00D766BC">
        <w:t xml:space="preserve"> </w:t>
      </w:r>
      <w:r w:rsidR="7F8E54F9" w:rsidRPr="00D766BC">
        <w:t>on the National Blood Authority (NBA) criteria for IVIg</w:t>
      </w:r>
      <w:r w:rsidR="00C92DBF">
        <w:rPr>
          <w:rStyle w:val="FootnoteReference"/>
        </w:rPr>
        <w:footnoteReference w:id="2"/>
      </w:r>
      <w:r w:rsidR="7F8E54F9" w:rsidRPr="00D766BC">
        <w:t>.</w:t>
      </w:r>
      <w:r w:rsidR="275BEC38" w:rsidRPr="00D766BC">
        <w:t xml:space="preserve"> </w:t>
      </w:r>
      <w:r w:rsidR="144A0B56" w:rsidRPr="00D766BC">
        <w:t xml:space="preserve">The ESC noted that the </w:t>
      </w:r>
      <w:r w:rsidR="000159C2">
        <w:t>NBA</w:t>
      </w:r>
      <w:r w:rsidR="144A0B56" w:rsidRPr="00D766BC">
        <w:t xml:space="preserve"> qualifying criteria for IVIg specifies that the patient has a Myasthenic Gravis Composite (MGC) of at least 4 points; and at least 2 other treatments are ineffective, contraindicated, unavailable or caused intolerable side effects. </w:t>
      </w:r>
      <w:r w:rsidR="000C7517" w:rsidRPr="00D766BC">
        <w:t xml:space="preserve">As outlined in </w:t>
      </w:r>
      <w:r w:rsidR="007F718E">
        <w:t>Section 7</w:t>
      </w:r>
      <w:r w:rsidR="000C7517" w:rsidRPr="00D766BC">
        <w:t>, t</w:t>
      </w:r>
      <w:r w:rsidR="144A0B56" w:rsidRPr="00D766BC">
        <w:t>he ESC considered this was broad as the other treatments could comprise two of: an anti-cholinesterase; a corticosteroid; or thymectomy (i.e. there is no requirement for the patient to have trialled a</w:t>
      </w:r>
      <w:r w:rsidR="000159C2">
        <w:t>n NS-IST</w:t>
      </w:r>
      <w:r w:rsidR="144A0B56" w:rsidRPr="00D766BC">
        <w:t xml:space="preserve">) </w:t>
      </w:r>
      <w:bookmarkStart w:id="4" w:name="_Hlk191030514"/>
      <w:r w:rsidR="144A0B56" w:rsidRPr="00D766BC">
        <w:t>and no time periods are specified</w:t>
      </w:r>
      <w:r w:rsidR="00F32FF1" w:rsidRPr="00D766BC">
        <w:t>, nor is there a requirement for the doses to have been optimised</w:t>
      </w:r>
      <w:r w:rsidR="144A0B56" w:rsidRPr="00D766BC">
        <w:t>.</w:t>
      </w:r>
      <w:bookmarkEnd w:id="4"/>
      <w:r w:rsidR="144A0B56" w:rsidRPr="00D766BC">
        <w:t xml:space="preserve"> </w:t>
      </w:r>
      <w:r w:rsidR="003749F6">
        <w:t>The pre-PBAC response stated r</w:t>
      </w:r>
      <w:r w:rsidR="003749F6" w:rsidRPr="003749F6">
        <w:t>ozanolixizumab is administered in treatment cycles of 6 weeks</w:t>
      </w:r>
      <w:r w:rsidR="003749F6">
        <w:t>, with s</w:t>
      </w:r>
      <w:r w:rsidR="003749F6" w:rsidRPr="003749F6">
        <w:t xml:space="preserve">ubsequent cycles administered based on symptoms recurrence (i.e. a patient has worsening symptoms). Hence </w:t>
      </w:r>
      <w:r w:rsidR="003749F6">
        <w:t xml:space="preserve">the pre-PBAC response argued that </w:t>
      </w:r>
      <w:r w:rsidR="003749F6" w:rsidRPr="003749F6">
        <w:t>rozanolixizumab is ideally suited as an alternative bridging therapy to IVIg and PLEX, and more broadly as an IVIg replacement (consistent with the proposed PBS restriction)</w:t>
      </w:r>
      <w:r w:rsidR="003749F6">
        <w:t>.</w:t>
      </w:r>
      <w:r w:rsidR="003749F6" w:rsidRPr="003749F6">
        <w:t xml:space="preserve"> </w:t>
      </w:r>
      <w:bookmarkStart w:id="5" w:name="_Hlk194064958"/>
      <w:r w:rsidR="003749F6" w:rsidRPr="003749F6">
        <w:t xml:space="preserve">Refer to paragraph </w:t>
      </w:r>
      <w:r w:rsidR="00A45A8A">
        <w:rPr>
          <w:highlight w:val="yellow"/>
        </w:rPr>
        <w:fldChar w:fldCharType="begin" w:fldLock="1"/>
      </w:r>
      <w:r w:rsidR="00A45A8A">
        <w:instrText xml:space="preserve"> REF _Ref194590821 \r \h </w:instrText>
      </w:r>
      <w:r w:rsidR="00A45A8A">
        <w:rPr>
          <w:highlight w:val="yellow"/>
        </w:rPr>
      </w:r>
      <w:r w:rsidR="00A45A8A">
        <w:rPr>
          <w:highlight w:val="yellow"/>
        </w:rPr>
        <w:fldChar w:fldCharType="separate"/>
      </w:r>
      <w:r w:rsidR="00E70E55">
        <w:t>8.6</w:t>
      </w:r>
      <w:r w:rsidR="00A45A8A">
        <w:rPr>
          <w:highlight w:val="yellow"/>
        </w:rPr>
        <w:fldChar w:fldCharType="end"/>
      </w:r>
      <w:r w:rsidR="003749F6" w:rsidRPr="003749F6">
        <w:t xml:space="preserve"> for the PBAC’s advice regarding </w:t>
      </w:r>
      <w:bookmarkEnd w:id="5"/>
      <w:r w:rsidR="003749F6">
        <w:t>the place in therapy</w:t>
      </w:r>
      <w:r w:rsidR="003749F6" w:rsidRPr="003749F6">
        <w:t>.</w:t>
      </w:r>
    </w:p>
    <w:p w14:paraId="3B3CB823" w14:textId="68CE20D6" w:rsidR="00F32FF1" w:rsidRPr="00D766BC" w:rsidRDefault="00F32FF1" w:rsidP="00873AF3">
      <w:pPr>
        <w:pStyle w:val="COMexecsummnumbered"/>
        <w:rPr>
          <w:lang w:val="en-GB"/>
        </w:rPr>
      </w:pPr>
      <w:r w:rsidRPr="00D766BC">
        <w:t xml:space="preserve">As outlined in </w:t>
      </w:r>
      <w:r w:rsidR="007F718E">
        <w:t>Section 7</w:t>
      </w:r>
      <w:r w:rsidRPr="00D766BC">
        <w:t xml:space="preserve">, the ESC </w:t>
      </w:r>
      <w:r w:rsidRPr="00D766BC">
        <w:rPr>
          <w:lang w:val="en-GB"/>
        </w:rPr>
        <w:t xml:space="preserve">noted that there are two key, distinct places in therapy which may be feasible for PBS-listing of the new therapies for gMG: </w:t>
      </w:r>
    </w:p>
    <w:p w14:paraId="2370F0A2" w14:textId="77777777" w:rsidR="00F32FF1" w:rsidRPr="00D766BC" w:rsidRDefault="00F32FF1" w:rsidP="00873AF3">
      <w:pPr>
        <w:numPr>
          <w:ilvl w:val="0"/>
          <w:numId w:val="10"/>
        </w:numPr>
        <w:spacing w:before="120" w:after="120"/>
        <w:rPr>
          <w:rFonts w:eastAsia="Aptos" w:cs="Calibri"/>
          <w:szCs w:val="22"/>
          <w:lang w:val="en-GB"/>
        </w:rPr>
      </w:pPr>
      <w:r w:rsidRPr="00D766BC">
        <w:rPr>
          <w:rFonts w:eastAsia="Aptos" w:cs="Calibri"/>
          <w:szCs w:val="22"/>
          <w:lang w:val="en-GB"/>
        </w:rPr>
        <w:t xml:space="preserve">early in the treatment algorithm, in combination with standard therapy to provide symptom relief whilst remission induction occurs, often referred to as ‘bridging therapy’; and </w:t>
      </w:r>
    </w:p>
    <w:p w14:paraId="3ECC2921" w14:textId="77777777" w:rsidR="00F32FF1" w:rsidRPr="00D766BC" w:rsidRDefault="00F32FF1" w:rsidP="00873AF3">
      <w:pPr>
        <w:numPr>
          <w:ilvl w:val="0"/>
          <w:numId w:val="10"/>
        </w:numPr>
        <w:spacing w:before="120" w:after="120"/>
        <w:rPr>
          <w:rFonts w:eastAsia="Aptos" w:cs="Calibri"/>
        </w:rPr>
      </w:pPr>
      <w:r w:rsidRPr="00D766BC">
        <w:rPr>
          <w:rFonts w:eastAsia="Aptos" w:cs="Calibri"/>
        </w:rPr>
        <w:t>later in the disease course in refractory patients.</w:t>
      </w:r>
    </w:p>
    <w:p w14:paraId="3952AC42" w14:textId="77777777" w:rsidR="00F32FF1" w:rsidRPr="00D766BC" w:rsidRDefault="00F32FF1" w:rsidP="00873AF3">
      <w:pPr>
        <w:spacing w:before="120" w:after="120"/>
        <w:ind w:left="720"/>
        <w:rPr>
          <w:rFonts w:eastAsia="Aptos" w:cs="Calibri"/>
          <w:szCs w:val="22"/>
          <w:lang w:val="en-GB"/>
        </w:rPr>
      </w:pPr>
      <w:r w:rsidRPr="00D766BC">
        <w:rPr>
          <w:rFonts w:eastAsia="Aptos" w:cs="Calibri"/>
          <w:szCs w:val="22"/>
          <w:lang w:val="en-GB"/>
        </w:rPr>
        <w:t xml:space="preserve">The ESC considered that separate PBS restrictions would be required in each of these settings. </w:t>
      </w:r>
    </w:p>
    <w:p w14:paraId="33A72E94" w14:textId="2E19E44A" w:rsidR="00F32FF1" w:rsidRPr="00D766BC" w:rsidRDefault="00F32FF1" w:rsidP="00873AF3">
      <w:pPr>
        <w:pStyle w:val="COMexecsummnumbered"/>
      </w:pPr>
      <w:r w:rsidRPr="00D766BC">
        <w:t>The ESC recalled advice from the clinicians present at the gMG stakeholder meeting (May 2024)</w:t>
      </w:r>
      <w:r w:rsidRPr="00D766BC">
        <w:rPr>
          <w:vertAlign w:val="superscript"/>
        </w:rPr>
        <w:footnoteReference w:id="3"/>
      </w:r>
      <w:r w:rsidRPr="00D766BC">
        <w:t xml:space="preserve"> that the complement inhibitors should be available in both these settings. </w:t>
      </w:r>
    </w:p>
    <w:p w14:paraId="79931909" w14:textId="2C4C8559" w:rsidR="00A16B64" w:rsidRPr="00D766BC" w:rsidRDefault="7F8E54F9" w:rsidP="00873AF3">
      <w:pPr>
        <w:pStyle w:val="COMexecsummnumbered"/>
        <w:rPr>
          <w:color w:val="0066FF"/>
        </w:rPr>
      </w:pPr>
      <w:r w:rsidRPr="00D766BC">
        <w:t xml:space="preserve">The proposed PBS restriction </w:t>
      </w:r>
      <w:r w:rsidR="756A3325" w:rsidRPr="00D766BC">
        <w:t>wa</w:t>
      </w:r>
      <w:r w:rsidRPr="00D766BC">
        <w:t>s narrower than the draft TGA indication due to additional clinical criteria for AChR binding autoantibodies, functional impairment and co-administered therapies.</w:t>
      </w:r>
    </w:p>
    <w:p w14:paraId="1B346256" w14:textId="0FED9850" w:rsidR="00A16B64" w:rsidRPr="00D766BC" w:rsidRDefault="7F8E54F9" w:rsidP="00873AF3">
      <w:pPr>
        <w:pStyle w:val="COMexecsummnumbered"/>
      </w:pPr>
      <w:r w:rsidRPr="00D766BC">
        <w:t xml:space="preserve">The requested restriction for patients with AChR-positive generalised myasthenia gravis with MGFA class of II-IVa was consistent with the inclusion criteria for the key clinical trial (MycarinG). The trial also included a small number of patients with muscle-specific kinase (MuSK) autoantibodies. </w:t>
      </w:r>
    </w:p>
    <w:p w14:paraId="43AD3EA8" w14:textId="7D299F7D" w:rsidR="00A16B64" w:rsidRPr="00D766BC" w:rsidRDefault="7F8E54F9" w:rsidP="00873AF3">
      <w:pPr>
        <w:pStyle w:val="COMexecsummnumbered"/>
      </w:pPr>
      <w:r w:rsidRPr="00D766BC">
        <w:t xml:space="preserve">The </w:t>
      </w:r>
      <w:r w:rsidR="001F0E07" w:rsidRPr="00D766BC">
        <w:t xml:space="preserve">requested restriction </w:t>
      </w:r>
      <w:r w:rsidR="001F0E07">
        <w:t>included</w:t>
      </w:r>
      <w:r w:rsidRPr="00D766BC">
        <w:t xml:space="preserve"> the Myasthenia Gravis Composite (MGC) instrument to assess functional impairment, in line with the current NBA listing for maintenance therapy with IVIg (</w:t>
      </w:r>
      <w:r w:rsidR="2DC1E887" w:rsidRPr="00D766BC">
        <w:t>MGC</w:t>
      </w:r>
      <w:r w:rsidRPr="00D766BC">
        <w:t xml:space="preserve"> score </w:t>
      </w:r>
      <w:r w:rsidRPr="00D766BC">
        <w:rPr>
          <w:rFonts w:cs="Calibri"/>
        </w:rPr>
        <w:t>≥</w:t>
      </w:r>
      <w:r w:rsidRPr="00D766BC">
        <w:t xml:space="preserve">4 points). This was inconsistent with the eligibility criteria for the MycarinG trial, which required patients to have functional impairment on the Myasthenia Gravis Activities of Daily Living (MG-ADL) scale of </w:t>
      </w:r>
      <w:r w:rsidRPr="00D766BC">
        <w:rPr>
          <w:rFonts w:cs="Calibri"/>
        </w:rPr>
        <w:t>≥</w:t>
      </w:r>
      <w:r w:rsidRPr="00D766BC">
        <w:t xml:space="preserve">3 (for non-ocular symptoms) and Quantitative Myasthenia Gravis (QMG) scale of </w:t>
      </w:r>
      <w:r w:rsidRPr="00D766BC">
        <w:rPr>
          <w:rFonts w:cs="Calibri"/>
        </w:rPr>
        <w:t>≥</w:t>
      </w:r>
      <w:r w:rsidRPr="00D766BC">
        <w:t xml:space="preserve">11. The submission argued that the mean baseline </w:t>
      </w:r>
      <w:r w:rsidR="2DC1E887" w:rsidRPr="00D766BC">
        <w:t>MGC</w:t>
      </w:r>
      <w:r w:rsidRPr="00D766BC">
        <w:t xml:space="preserve"> score of 16 in the MycarinG trial indicated that almost all patients had an MGC score </w:t>
      </w:r>
      <w:r w:rsidRPr="00D766BC">
        <w:rPr>
          <w:rFonts w:cs="Calibri"/>
        </w:rPr>
        <w:t>≥</w:t>
      </w:r>
      <w:r w:rsidRPr="00D766BC">
        <w:t xml:space="preserve">4 points. The submission did not provide a distribution of baseline MGC </w:t>
      </w:r>
      <w:r w:rsidR="005B4F74" w:rsidRPr="00D766BC">
        <w:t>scores,</w:t>
      </w:r>
      <w:r w:rsidRPr="00D766BC">
        <w:t xml:space="preserve"> and </w:t>
      </w:r>
      <w:r w:rsidR="003749F6">
        <w:t xml:space="preserve">the evaluation considered </w:t>
      </w:r>
      <w:r w:rsidRPr="00D766BC">
        <w:t xml:space="preserve">it </w:t>
      </w:r>
      <w:r w:rsidR="3AD08068" w:rsidRPr="00D766BC">
        <w:t>wa</w:t>
      </w:r>
      <w:r w:rsidRPr="00D766BC">
        <w:t>s unclear whether the proposed MGC threshold would be equivalent to the eligibility criteria in the MycarinG trial.</w:t>
      </w:r>
      <w:r w:rsidR="700A09C7" w:rsidRPr="00D766BC">
        <w:t xml:space="preserve"> T</w:t>
      </w:r>
      <w:r w:rsidR="2613E5B8" w:rsidRPr="00D766BC">
        <w:t xml:space="preserve">he ESC previously considered that the degree of correlation between the two instruments [MGC and MG-ADL] was unclear (para 3.9, Zilucoplan </w:t>
      </w:r>
      <w:r w:rsidR="003C6871">
        <w:t>Public Summary Document [PSD]</w:t>
      </w:r>
      <w:r w:rsidR="2613E5B8" w:rsidRPr="00D766BC">
        <w:t xml:space="preserve"> July 2024 PBAC meeting).</w:t>
      </w:r>
      <w:r w:rsidR="00C747AB">
        <w:t xml:space="preserve"> </w:t>
      </w:r>
      <w:r w:rsidR="00C747AB" w:rsidRPr="007636E4">
        <w:t>Refer to paragraph</w:t>
      </w:r>
      <w:r w:rsidR="00757283">
        <w:t>s</w:t>
      </w:r>
      <w:r w:rsidR="00C747AB" w:rsidRPr="007636E4">
        <w:t xml:space="preserve"> </w:t>
      </w:r>
      <w:r w:rsidR="00757283" w:rsidRPr="0056064F">
        <w:fldChar w:fldCharType="begin" w:fldLock="1"/>
      </w:r>
      <w:r w:rsidR="00757283" w:rsidRPr="0056064F">
        <w:instrText xml:space="preserve"> REF _Ref194590874 \r \h </w:instrText>
      </w:r>
      <w:r w:rsidR="0056064F">
        <w:instrText xml:space="preserve"> \* MERGEFORMAT </w:instrText>
      </w:r>
      <w:r w:rsidR="00757283" w:rsidRPr="0056064F">
        <w:fldChar w:fldCharType="separate"/>
      </w:r>
      <w:r w:rsidR="00E70E55">
        <w:t>8.7</w:t>
      </w:r>
      <w:r w:rsidR="00757283" w:rsidRPr="0056064F">
        <w:fldChar w:fldCharType="end"/>
      </w:r>
      <w:r w:rsidR="00757283" w:rsidRPr="0056064F">
        <w:t xml:space="preserve"> to </w:t>
      </w:r>
      <w:r w:rsidR="001F0E07">
        <w:fldChar w:fldCharType="begin" w:fldLock="1"/>
      </w:r>
      <w:r w:rsidR="001F0E07">
        <w:instrText xml:space="preserve"> REF _Ref194919049 \r \h </w:instrText>
      </w:r>
      <w:r w:rsidR="001F0E07">
        <w:fldChar w:fldCharType="separate"/>
      </w:r>
      <w:r w:rsidR="00E70E55">
        <w:t>8.8</w:t>
      </w:r>
      <w:r w:rsidR="001F0E07">
        <w:fldChar w:fldCharType="end"/>
      </w:r>
      <w:r w:rsidR="0056064F" w:rsidRPr="0056064F">
        <w:t xml:space="preserve"> </w:t>
      </w:r>
      <w:r w:rsidR="00C747AB" w:rsidRPr="0056064F">
        <w:t>for t</w:t>
      </w:r>
      <w:r w:rsidR="00C747AB" w:rsidRPr="007636E4">
        <w:t xml:space="preserve">he PBAC’s </w:t>
      </w:r>
      <w:r w:rsidR="00C747AB" w:rsidRPr="00C747AB">
        <w:t xml:space="preserve">advice regarding </w:t>
      </w:r>
      <w:r w:rsidR="00C747AB">
        <w:t>initiation criteria</w:t>
      </w:r>
      <w:r w:rsidR="00C747AB" w:rsidRPr="00C747AB">
        <w:t>.</w:t>
      </w:r>
    </w:p>
    <w:p w14:paraId="68497C75" w14:textId="54CA1393" w:rsidR="00A16B64" w:rsidRPr="00D766BC" w:rsidRDefault="7F8E54F9" w:rsidP="00873AF3">
      <w:pPr>
        <w:pStyle w:val="COMexecsummnumbered"/>
      </w:pPr>
      <w:r w:rsidRPr="00D766BC">
        <w:t>Treatment with rozanolixizumab is episodic</w:t>
      </w:r>
      <w:r w:rsidR="6D486A68" w:rsidRPr="00D766BC">
        <w:t>,</w:t>
      </w:r>
      <w:r w:rsidRPr="00D766BC">
        <w:t xml:space="preserve"> based on symptoms being sufficiently severe to require another treatment cycle of 6 weeks. The submission argued that there is no continuation restriction because patients initiate a subsequent treatment cycle with rozanolixizumab only if they worsen and meet the PBS restriction for initial treatment again. Using the same absolute functional impairment threshold for initial and subsequent cycles would allow patients who have shown no response to treatment (and </w:t>
      </w:r>
      <w:r w:rsidR="270E1359" w:rsidRPr="00D766BC">
        <w:t xml:space="preserve">who </w:t>
      </w:r>
      <w:r w:rsidRPr="00D766BC">
        <w:t>maintained their original MGC score) to receive subsequent cycles of rozanolixizumab treatment. The requested restriction was inconsistent with the MG0007 extension study criteria for initiation of subsequent treatment cycles, which was dependent on patients demonstrating symptom worsening (e.g., an increase of ≥</w:t>
      </w:r>
      <w:r w:rsidR="26852F2D" w:rsidRPr="00D766BC">
        <w:t>2-point</w:t>
      </w:r>
      <w:r w:rsidRPr="00D766BC">
        <w:t>s on the MG-ADL scale or ≥</w:t>
      </w:r>
      <w:r w:rsidR="26852F2D" w:rsidRPr="00D766BC">
        <w:t>3-point</w:t>
      </w:r>
      <w:r w:rsidRPr="00D766BC">
        <w:t>s on the QMG scale) between assessments.</w:t>
      </w:r>
      <w:r w:rsidR="25671298" w:rsidRPr="00D766BC">
        <w:t xml:space="preserve"> The ESC </w:t>
      </w:r>
      <w:r w:rsidR="7A17F3A8" w:rsidRPr="00D766BC">
        <w:t xml:space="preserve">commented </w:t>
      </w:r>
      <w:r w:rsidR="770F4EFC" w:rsidRPr="00D766BC">
        <w:t xml:space="preserve">that the submission’s proposed </w:t>
      </w:r>
      <w:r w:rsidR="57855835" w:rsidRPr="00D766BC">
        <w:t xml:space="preserve">requirement for patients to obtain a new script </w:t>
      </w:r>
      <w:r w:rsidR="3AC84B39" w:rsidRPr="00D766BC">
        <w:t>for each</w:t>
      </w:r>
      <w:r w:rsidR="2CFA4CAA" w:rsidRPr="00D766BC">
        <w:t xml:space="preserve"> cycle may be impractical in terms of </w:t>
      </w:r>
      <w:r w:rsidR="3AC84B39" w:rsidRPr="00D766BC">
        <w:t xml:space="preserve">patients being required to </w:t>
      </w:r>
      <w:r w:rsidR="2CFA4CAA" w:rsidRPr="00D766BC">
        <w:t>access a specialist</w:t>
      </w:r>
      <w:r w:rsidR="3AC84B39" w:rsidRPr="00D766BC">
        <w:t xml:space="preserve"> when their condition deteriorates, particularly </w:t>
      </w:r>
      <w:r w:rsidR="7269B1FA" w:rsidRPr="00D766BC">
        <w:t>given</w:t>
      </w:r>
      <w:r w:rsidR="191C1CF8" w:rsidRPr="00D766BC">
        <w:t xml:space="preserve"> the </w:t>
      </w:r>
      <w:r w:rsidR="7269B1FA" w:rsidRPr="00D766BC">
        <w:t xml:space="preserve">longer-term extension studies suggest </w:t>
      </w:r>
      <w:r w:rsidR="66D92A5D" w:rsidRPr="00D766BC">
        <w:t xml:space="preserve">the </w:t>
      </w:r>
      <w:r w:rsidR="191C1CF8" w:rsidRPr="00D766BC">
        <w:t>treatment-free interval reduc</w:t>
      </w:r>
      <w:r w:rsidR="66D92A5D" w:rsidRPr="00D766BC">
        <w:t>es</w:t>
      </w:r>
      <w:r w:rsidR="191C1CF8" w:rsidRPr="00D766BC">
        <w:t xml:space="preserve"> over time, </w:t>
      </w:r>
      <w:r w:rsidR="3A8EF475" w:rsidRPr="00D766BC">
        <w:t xml:space="preserve">including gradually </w:t>
      </w:r>
      <w:r w:rsidR="66D92A5D" w:rsidRPr="00D766BC">
        <w:t>reduc</w:t>
      </w:r>
      <w:r w:rsidR="3A8EF475" w:rsidRPr="00D766BC">
        <w:t xml:space="preserve">ing to approximately 4 weeks by Cycle 12 (refer to </w:t>
      </w:r>
      <w:r w:rsidR="00A16B64" w:rsidRPr="00D766BC">
        <w:fldChar w:fldCharType="begin" w:fldLock="1"/>
      </w:r>
      <w:r w:rsidR="00A16B64" w:rsidRPr="00D766BC">
        <w:instrText xml:space="preserve"> REF _Ref185258641 \h </w:instrText>
      </w:r>
      <w:r w:rsidR="00CB0F2E" w:rsidRPr="00D766BC">
        <w:instrText xml:space="preserve"> \* MERGEFORMAT </w:instrText>
      </w:r>
      <w:r w:rsidR="00A16B64" w:rsidRPr="00D766BC">
        <w:fldChar w:fldCharType="separate"/>
      </w:r>
      <w:r w:rsidR="00E70E55">
        <w:t xml:space="preserve">Table </w:t>
      </w:r>
      <w:r w:rsidR="00E70E55">
        <w:rPr>
          <w:noProof/>
        </w:rPr>
        <w:t>8</w:t>
      </w:r>
      <w:r w:rsidR="00A16B64" w:rsidRPr="00D766BC">
        <w:fldChar w:fldCharType="end"/>
      </w:r>
      <w:r w:rsidR="3A8EF475" w:rsidRPr="00D766BC">
        <w:t>)</w:t>
      </w:r>
      <w:r w:rsidR="2CFA4CAA" w:rsidRPr="00D766BC">
        <w:t xml:space="preserve">. </w:t>
      </w:r>
      <w:r w:rsidR="00C747AB" w:rsidRPr="00C747AB">
        <w:t xml:space="preserve">Refer to paragraph </w:t>
      </w:r>
      <w:r w:rsidR="001F0E07">
        <w:fldChar w:fldCharType="begin" w:fldLock="1"/>
      </w:r>
      <w:r w:rsidR="001F0E07">
        <w:instrText xml:space="preserve"> REF _Ref194918945 \r \h </w:instrText>
      </w:r>
      <w:r w:rsidR="001F0E07">
        <w:fldChar w:fldCharType="separate"/>
      </w:r>
      <w:r w:rsidR="00E70E55">
        <w:t>8.11</w:t>
      </w:r>
      <w:r w:rsidR="001F0E07">
        <w:fldChar w:fldCharType="end"/>
      </w:r>
      <w:r w:rsidR="001F0E07">
        <w:t xml:space="preserve"> </w:t>
      </w:r>
      <w:r w:rsidR="00C747AB" w:rsidRPr="00C747AB">
        <w:t xml:space="preserve">for the PBAC’s advice regarding </w:t>
      </w:r>
      <w:r w:rsidR="00C747AB">
        <w:t xml:space="preserve">re-treatment criteria for the </w:t>
      </w:r>
      <w:r w:rsidR="00516E39">
        <w:t>FcRn</w:t>
      </w:r>
      <w:r w:rsidR="00C747AB">
        <w:t xml:space="preserve"> blockers</w:t>
      </w:r>
      <w:r w:rsidR="00C747AB" w:rsidRPr="00C747AB">
        <w:t>.</w:t>
      </w:r>
      <w:r w:rsidR="29A0BBEE" w:rsidRPr="00D766BC">
        <w:t xml:space="preserve"> </w:t>
      </w:r>
    </w:p>
    <w:p w14:paraId="66389501" w14:textId="5C0143D7" w:rsidR="00A16B64" w:rsidRPr="00D766BC" w:rsidRDefault="7F8E54F9" w:rsidP="00873AF3">
      <w:pPr>
        <w:pStyle w:val="COMexecsummnumbered"/>
      </w:pPr>
      <w:r w:rsidRPr="00D766BC">
        <w:t xml:space="preserve">The proposed restriction did not specify a minimum time between treatment cycles. The </w:t>
      </w:r>
      <w:r w:rsidR="00C747AB">
        <w:t xml:space="preserve">Product Information states that </w:t>
      </w:r>
      <w:r w:rsidR="00C747AB" w:rsidRPr="00C747AB">
        <w:t xml:space="preserve">the safety of initiating subsequent cycles </w:t>
      </w:r>
      <w:r w:rsidR="0094285D">
        <w:t xml:space="preserve">of rozanolixizumab </w:t>
      </w:r>
      <w:r w:rsidR="00C747AB" w:rsidRPr="00C747AB">
        <w:t>sooner than 4 weeks from the last infusion of the previous treatment cycle has not been establishe</w:t>
      </w:r>
      <w:r w:rsidR="0094285D">
        <w:t>d</w:t>
      </w:r>
      <w:r w:rsidRPr="00D766BC">
        <w:t>.</w:t>
      </w:r>
    </w:p>
    <w:p w14:paraId="132F978E" w14:textId="2D17E2E0" w:rsidR="00A16B64" w:rsidRPr="00D766BC" w:rsidRDefault="00A16B64" w:rsidP="00873AF3">
      <w:pPr>
        <w:pStyle w:val="COMexecsummnumbered"/>
      </w:pPr>
      <w:r w:rsidRPr="00D766BC">
        <w:t xml:space="preserve">The proposed PBS restriction did not specify requirements for prior </w:t>
      </w:r>
      <w:r w:rsidR="005B4F74" w:rsidRPr="00D766BC">
        <w:t>therapy but</w:t>
      </w:r>
      <w:r w:rsidR="4D3515DC" w:rsidRPr="00D766BC">
        <w:t xml:space="preserve"> did</w:t>
      </w:r>
      <w:r w:rsidR="7F8E54F9" w:rsidRPr="00D766BC">
        <w:t xml:space="preserve"> require concomitant treatment with at least 1 </w:t>
      </w:r>
      <w:r w:rsidR="000159C2">
        <w:t>NS-IST</w:t>
      </w:r>
      <w:r w:rsidR="7F8E54F9" w:rsidRPr="00D766BC">
        <w:t xml:space="preserve">. The requirement for concomitant treatment with </w:t>
      </w:r>
      <w:r w:rsidR="000159C2">
        <w:t>an NS-IST</w:t>
      </w:r>
      <w:r w:rsidR="7F8E54F9" w:rsidRPr="00D766BC">
        <w:t xml:space="preserve"> was not reflected in the baseline characteristics of patients in the MycarinG trial, with only 51.5% taking immunosuppressants at baseline (and only 34.5% of participants taking the nominated immunosuppressants in the submission’s </w:t>
      </w:r>
      <w:r w:rsidR="02B89459" w:rsidRPr="00D766BC">
        <w:t>proposed</w:t>
      </w:r>
      <w:r w:rsidR="7F8E54F9" w:rsidRPr="00D766BC">
        <w:t xml:space="preserve"> restriction). The </w:t>
      </w:r>
      <w:r w:rsidR="02B89459" w:rsidRPr="00D766BC">
        <w:t>proposed</w:t>
      </w:r>
      <w:r w:rsidR="7F8E54F9" w:rsidRPr="00D766BC">
        <w:t xml:space="preserve"> restriction did not require concomitant therapies at initiation to have been optimised and ineffective prior to commencing treatment with rozanolixizumab, meaning patients could be treated with rozanolixizumab immediately after initiating treatment with </w:t>
      </w:r>
      <w:r w:rsidR="000159C2">
        <w:t>an NS-IST</w:t>
      </w:r>
      <w:r w:rsidR="7F8E54F9" w:rsidRPr="00D766BC">
        <w:t>.</w:t>
      </w:r>
    </w:p>
    <w:p w14:paraId="7812D69B" w14:textId="289E9DA6" w:rsidR="000C7517" w:rsidRPr="00D766BC" w:rsidRDefault="000C7517" w:rsidP="00873AF3">
      <w:pPr>
        <w:pStyle w:val="COMexecsummnumbered"/>
        <w:rPr>
          <w:lang w:val="en-GB"/>
        </w:rPr>
      </w:pPr>
      <w:bookmarkStart w:id="6" w:name="_Hlk191022559"/>
      <w:r w:rsidRPr="00D766BC">
        <w:rPr>
          <w:lang w:val="en-GB"/>
        </w:rPr>
        <w:t xml:space="preserve">As outlined in </w:t>
      </w:r>
      <w:r w:rsidR="007F718E">
        <w:rPr>
          <w:lang w:val="en-GB"/>
        </w:rPr>
        <w:t>Section 7</w:t>
      </w:r>
      <w:r w:rsidRPr="00D766BC">
        <w:rPr>
          <w:lang w:val="en-GB"/>
        </w:rPr>
        <w:t>, the ESC considered that any PBS restriction for bridging therapy should require the patient to have trialled at least three months of combination therapy with all three of: a</w:t>
      </w:r>
      <w:r w:rsidR="000159C2">
        <w:rPr>
          <w:lang w:val="en-GB"/>
        </w:rPr>
        <w:t>n NS-IST</w:t>
      </w:r>
      <w:r w:rsidRPr="00D766BC">
        <w:rPr>
          <w:lang w:val="en-GB"/>
        </w:rPr>
        <w:t xml:space="preserve">; plus an anti-cholinesterase; plus a corticosteroid. The restriction should require these therapies to have been used at optimised dosing (though specific doses should not be outlined in the PBS restriction, to enable clinician judgement), unless contraindicated or severely intolerant. As such, the ESC considered that the timing of initiation of the new therapy should be based on a minimum of three months having elapsed since initiation of the NS-IST </w:t>
      </w:r>
      <w:r w:rsidR="0094285D" w:rsidRPr="00D766BC">
        <w:rPr>
          <w:lang w:val="en-GB"/>
        </w:rPr>
        <w:t>concurrently with the new gMG therapy (unless contraindicated or severely intolerant).</w:t>
      </w:r>
      <w:r w:rsidR="0094285D">
        <w:rPr>
          <w:lang w:val="en-GB"/>
        </w:rPr>
        <w:t xml:space="preserve"> </w:t>
      </w:r>
      <w:r w:rsidR="0094285D" w:rsidRPr="00C747AB">
        <w:t>Refer to paragraph</w:t>
      </w:r>
      <w:r w:rsidR="00685D68">
        <w:t>s</w:t>
      </w:r>
      <w:r w:rsidR="0094285D" w:rsidRPr="00C747AB">
        <w:t xml:space="preserve"> </w:t>
      </w:r>
      <w:r w:rsidR="00685D68" w:rsidRPr="0056064F">
        <w:fldChar w:fldCharType="begin" w:fldLock="1"/>
      </w:r>
      <w:r w:rsidR="00685D68" w:rsidRPr="0056064F">
        <w:instrText xml:space="preserve"> REF _Ref194590874 \r \h </w:instrText>
      </w:r>
      <w:r w:rsidR="0056064F">
        <w:instrText xml:space="preserve"> \* MERGEFORMAT </w:instrText>
      </w:r>
      <w:r w:rsidR="00685D68" w:rsidRPr="0056064F">
        <w:fldChar w:fldCharType="separate"/>
      </w:r>
      <w:r w:rsidR="00E70E55">
        <w:t>8.7</w:t>
      </w:r>
      <w:r w:rsidR="00685D68" w:rsidRPr="0056064F">
        <w:fldChar w:fldCharType="end"/>
      </w:r>
      <w:r w:rsidR="00685D68" w:rsidRPr="0056064F">
        <w:t xml:space="preserve"> to </w:t>
      </w:r>
      <w:r w:rsidR="00685D68" w:rsidRPr="0056064F">
        <w:fldChar w:fldCharType="begin" w:fldLock="1"/>
      </w:r>
      <w:r w:rsidR="00685D68" w:rsidRPr="0056064F">
        <w:instrText xml:space="preserve"> REF _Ref194590890 \r \h </w:instrText>
      </w:r>
      <w:r w:rsidR="0056064F">
        <w:instrText xml:space="preserve"> \* MERGEFORMAT </w:instrText>
      </w:r>
      <w:r w:rsidR="00685D68" w:rsidRPr="0056064F">
        <w:fldChar w:fldCharType="separate"/>
      </w:r>
      <w:r w:rsidR="00E70E55">
        <w:t>8.9</w:t>
      </w:r>
      <w:r w:rsidR="00685D68" w:rsidRPr="0056064F">
        <w:fldChar w:fldCharType="end"/>
      </w:r>
      <w:r w:rsidR="0056064F" w:rsidRPr="0056064F">
        <w:t xml:space="preserve"> </w:t>
      </w:r>
      <w:r w:rsidR="0094285D" w:rsidRPr="0056064F">
        <w:t>for</w:t>
      </w:r>
      <w:r w:rsidR="0094285D" w:rsidRPr="00C747AB">
        <w:t xml:space="preserve"> the PBAC’s advice regarding</w:t>
      </w:r>
      <w:r w:rsidR="0094285D">
        <w:t xml:space="preserve"> prior therapy requirements for initiation of the new gMG therapies</w:t>
      </w:r>
      <w:r w:rsidR="0094285D" w:rsidRPr="00C747AB">
        <w:t>.</w:t>
      </w:r>
      <w:r w:rsidR="0094285D">
        <w:t xml:space="preserve"> </w:t>
      </w:r>
      <w:r w:rsidRPr="00D766BC">
        <w:rPr>
          <w:lang w:val="en-GB"/>
        </w:rPr>
        <w:t>Further, the ESC considered that the intention would be for the NS-IST to be continued</w:t>
      </w:r>
      <w:r w:rsidR="00A06862">
        <w:rPr>
          <w:lang w:val="en-GB"/>
        </w:rPr>
        <w:t>.</w:t>
      </w:r>
      <w:r w:rsidRPr="00D766BC">
        <w:rPr>
          <w:lang w:val="en-GB"/>
        </w:rPr>
        <w:t xml:space="preserve"> </w:t>
      </w:r>
      <w:bookmarkEnd w:id="6"/>
    </w:p>
    <w:p w14:paraId="23D5CBF3" w14:textId="0B46208E" w:rsidR="00A16B64" w:rsidRPr="00D766BC" w:rsidRDefault="7F8E54F9" w:rsidP="00873AF3">
      <w:pPr>
        <w:pStyle w:val="COMexecsummnumbered"/>
      </w:pPr>
      <w:r w:rsidRPr="00D766BC">
        <w:t xml:space="preserve">It </w:t>
      </w:r>
      <w:r w:rsidR="018B5482" w:rsidRPr="00D766BC">
        <w:t>wa</w:t>
      </w:r>
      <w:r w:rsidRPr="00D766BC">
        <w:t>s unclear whether the sponsor intend</w:t>
      </w:r>
      <w:r w:rsidR="00AA0F9C">
        <w:t>ed</w:t>
      </w:r>
      <w:r w:rsidRPr="00D766BC">
        <w:t xml:space="preserve"> for combination therapy of rozanolixizumab and zilucoplan to be permitted under the proposed restriction. </w:t>
      </w:r>
      <w:r w:rsidR="20B25103" w:rsidRPr="00D766BC">
        <w:t>Without specific criteria in the restriction, there is a risk of combination use of a complement inhibitor (ravulizumab or zilucoplan) with rozanolixizumab.</w:t>
      </w:r>
    </w:p>
    <w:p w14:paraId="5BFDE6F1" w14:textId="3E458AB0" w:rsidR="00A16B64" w:rsidRPr="00D766BC" w:rsidRDefault="7F8E54F9" w:rsidP="00873AF3">
      <w:pPr>
        <w:pStyle w:val="COMexecsummnumbered"/>
      </w:pPr>
      <w:r w:rsidRPr="00D766BC">
        <w:t>The requested restriction does not include requirements for assessment of response. The Product Information</w:t>
      </w:r>
      <w:r w:rsidR="0094285D">
        <w:t xml:space="preserve"> states </w:t>
      </w:r>
      <w:r w:rsidR="0094285D" w:rsidRPr="00D766BC">
        <w:t xml:space="preserve">treatment must be discontinued in patients who </w:t>
      </w:r>
      <w:r w:rsidR="0094285D">
        <w:t xml:space="preserve">have not demonstrated a response within 3, 6-week treatment cycles (a response is defined as a decrease of ≥2 points on the MG-ADL scale from baseline). </w:t>
      </w:r>
      <w:r w:rsidRPr="00D766BC">
        <w:t xml:space="preserve">The NBA listing for IVIg states that IVIg should be used for </w:t>
      </w:r>
      <w:r w:rsidR="7BB2787F" w:rsidRPr="00D766BC">
        <w:t>4</w:t>
      </w:r>
      <w:r w:rsidRPr="00D766BC">
        <w:t xml:space="preserve"> months (induction plus 3 maintenance cycles) before determining whether the patient has responded, and if there is no benefit, the treatment should be abandoned. Documentation of clinical effectiveness is necessary for continuation of IVIg therapy (improvement in fatiguability and weakness as measured by the </w:t>
      </w:r>
      <w:r w:rsidR="2DC1E887" w:rsidRPr="00D766BC">
        <w:t>MGC</w:t>
      </w:r>
      <w:r w:rsidRPr="00D766BC">
        <w:t xml:space="preserve"> score of at least </w:t>
      </w:r>
      <w:r w:rsidR="26852F2D" w:rsidRPr="00D766BC">
        <w:t>3-point</w:t>
      </w:r>
      <w:r w:rsidRPr="00D766BC">
        <w:t xml:space="preserve">s less than the qualifying score, or the patient with severe disease continues to report improvement in symptoms and disability post-infusion, with end-of-cycle deterioration). In the included rozanolixizumab studies, response was assessed at Day 43 (after 6 weeks of treatment) with successful response to rozanolixizumab based on a </w:t>
      </w:r>
      <w:r w:rsidRPr="00D766BC">
        <w:rPr>
          <w:rFonts w:cs="Calibri"/>
        </w:rPr>
        <w:t>≥</w:t>
      </w:r>
      <w:r w:rsidR="26852F2D" w:rsidRPr="00D766BC">
        <w:t>2-point</w:t>
      </w:r>
      <w:r w:rsidRPr="00D766BC">
        <w:t xml:space="preserve"> improvement from baseline in MG-ADL scores or a </w:t>
      </w:r>
      <w:r w:rsidRPr="00D766BC">
        <w:rPr>
          <w:rFonts w:cs="Calibri"/>
        </w:rPr>
        <w:t>≥</w:t>
      </w:r>
      <w:r w:rsidR="26852F2D" w:rsidRPr="00D766BC">
        <w:t>3-point</w:t>
      </w:r>
      <w:r w:rsidRPr="00D766BC">
        <w:t xml:space="preserve"> improvement in MGC or QMG scores.</w:t>
      </w:r>
    </w:p>
    <w:p w14:paraId="34230395" w14:textId="61CC2437" w:rsidR="008F60BB" w:rsidRPr="00D766BC" w:rsidRDefault="7F8E54F9" w:rsidP="00873AF3">
      <w:pPr>
        <w:pStyle w:val="COMexecsummnumbered"/>
      </w:pPr>
      <w:r w:rsidRPr="00D766BC">
        <w:t xml:space="preserve">The requested restriction does not specify a maximum treatment duration or stopping rule (such as a 2-year stopping rule considered at the </w:t>
      </w:r>
      <w:r w:rsidR="23E00079" w:rsidRPr="00D766BC">
        <w:t xml:space="preserve">myasthenia gravis </w:t>
      </w:r>
      <w:r w:rsidRPr="00D766BC">
        <w:t xml:space="preserve">stakeholder meeting). </w:t>
      </w:r>
      <w:r w:rsidR="000C7517" w:rsidRPr="00D766BC">
        <w:t xml:space="preserve">As outlined in </w:t>
      </w:r>
      <w:r w:rsidR="007F718E">
        <w:t>Section 7</w:t>
      </w:r>
      <w:r w:rsidR="000C7517" w:rsidRPr="00D766BC">
        <w:t>, t</w:t>
      </w:r>
      <w:r w:rsidR="0BB5ACA7" w:rsidRPr="00D766BC">
        <w:t>he ESC considered that one of the key issues with PBS-listing of the new therapies in the bridging setting would be the potential for on-ongoing use in patients who would have responded to standard therapy, or whose condition would have improved over time (given the potential for recovery of receptors with gMG). As such, the ESC reiterated the advice from the stakeholder meeting that there should be robust stopping rules to prevent ongoing use</w:t>
      </w:r>
      <w:r w:rsidR="000C7517" w:rsidRPr="00D766BC">
        <w:t xml:space="preserve"> in the bridging setting. R</w:t>
      </w:r>
      <w:r w:rsidR="000C7517" w:rsidRPr="00D766BC">
        <w:rPr>
          <w:lang w:val="en-GB"/>
        </w:rPr>
        <w:t xml:space="preserve">efer to </w:t>
      </w:r>
      <w:r w:rsidR="007F718E">
        <w:rPr>
          <w:lang w:val="en-GB"/>
        </w:rPr>
        <w:t>Section 7</w:t>
      </w:r>
      <w:r w:rsidR="000C7517" w:rsidRPr="00D766BC">
        <w:rPr>
          <w:lang w:val="en-GB"/>
        </w:rPr>
        <w:t xml:space="preserve"> for ESC Advice relevant to stopping rules.</w:t>
      </w:r>
    </w:p>
    <w:p w14:paraId="0A889E8B" w14:textId="5A532BDA" w:rsidR="00A16B64" w:rsidRPr="00D766BC" w:rsidRDefault="7F8E54F9" w:rsidP="00873AF3">
      <w:pPr>
        <w:pStyle w:val="COMexecsummnumbered"/>
      </w:pPr>
      <w:bookmarkStart w:id="7" w:name="_Ref191302238"/>
      <w:r w:rsidRPr="00D766BC">
        <w:t xml:space="preserve">The submission argued that it is appropriate to have a Section 100 listing for initial treatment (to allow for dispensing at a hospital pharmacy). The submission noted that in the short term (at least </w:t>
      </w:r>
      <w:r w:rsidR="00D63E16" w:rsidRPr="006233F7">
        <w:rPr>
          <w:color w:val="000000"/>
          <w:w w:val="15"/>
          <w:shd w:val="solid" w:color="000000" w:fill="000000"/>
          <w:fitText w:val="-20" w:id="-691363327"/>
          <w14:textFill>
            <w14:solidFill>
              <w14:srgbClr w14:val="000000">
                <w14:alpha w14:val="100000"/>
              </w14:srgbClr>
            </w14:solidFill>
          </w14:textFill>
        </w:rPr>
        <w:t>|</w:t>
      </w:r>
      <w:r w:rsidR="00A91274" w:rsidRPr="006233F7">
        <w:rPr>
          <w:color w:val="000000"/>
          <w:w w:val="15"/>
          <w:shd w:val="solid" w:color="000000" w:fill="000000"/>
          <w:fitText w:val="-20" w:id="-691363327"/>
          <w14:textFill>
            <w14:solidFill>
              <w14:srgbClr w14:val="000000">
                <w14:alpha w14:val="100000"/>
              </w14:srgbClr>
            </w14:solidFill>
          </w14:textFill>
        </w:rPr>
        <w:t xml:space="preserve"> </w:t>
      </w:r>
      <w:r w:rsidR="00D63E16" w:rsidRPr="006233F7">
        <w:rPr>
          <w:color w:val="000000"/>
          <w:spacing w:val="-61"/>
          <w:w w:val="15"/>
          <w:shd w:val="solid" w:color="000000" w:fill="000000"/>
          <w:fitText w:val="-20" w:id="-691363327"/>
          <w14:textFill>
            <w14:solidFill>
              <w14:srgbClr w14:val="000000">
                <w14:alpha w14:val="100000"/>
              </w14:srgbClr>
            </w14:solidFill>
          </w14:textFill>
        </w:rPr>
        <w:t>|</w:t>
      </w:r>
      <w:r w:rsidRPr="00BB4FA5">
        <w:t xml:space="preserve"> months for</w:t>
      </w:r>
      <w:r w:rsidRPr="00D766BC">
        <w:t xml:space="preserve"> each patient), the sponsor would provide and fund a home infusion program</w:t>
      </w:r>
      <w:r w:rsidR="1857CE33" w:rsidRPr="00D766BC">
        <w:t xml:space="preserve"> (as</w:t>
      </w:r>
      <w:r w:rsidR="1F851FED" w:rsidRPr="00D766BC">
        <w:t xml:space="preserve"> it is administered as a one-hour</w:t>
      </w:r>
      <w:r w:rsidR="712F4959" w:rsidRPr="00D766BC">
        <w:t xml:space="preserve"> subcutaneous</w:t>
      </w:r>
      <w:r w:rsidR="1F851FED" w:rsidRPr="00D766BC">
        <w:t xml:space="preserve"> infusion</w:t>
      </w:r>
      <w:r w:rsidR="6FFC9C19" w:rsidRPr="00D766BC">
        <w:t>)</w:t>
      </w:r>
      <w:r w:rsidRPr="00D766BC">
        <w:t xml:space="preserve">, but in the longer term, the Section 100 listing would allow for outpatient treatment with infusion pumps that allow for subcutaneous infusions. There is potential for the change of administration location </w:t>
      </w:r>
      <w:r w:rsidRPr="00AB51CE">
        <w:t xml:space="preserve">after </w:t>
      </w:r>
      <w:r w:rsidR="00D63E16" w:rsidRPr="006233F7">
        <w:rPr>
          <w:color w:val="000000"/>
          <w:w w:val="15"/>
          <w:shd w:val="solid" w:color="000000" w:fill="000000"/>
          <w:fitText w:val="-20" w:id="-691363326"/>
          <w14:textFill>
            <w14:solidFill>
              <w14:srgbClr w14:val="000000">
                <w14:alpha w14:val="100000"/>
              </w14:srgbClr>
            </w14:solidFill>
          </w14:textFill>
        </w:rPr>
        <w:t>|</w:t>
      </w:r>
      <w:r w:rsidR="00A91274" w:rsidRPr="006233F7">
        <w:rPr>
          <w:color w:val="000000"/>
          <w:w w:val="15"/>
          <w:shd w:val="solid" w:color="000000" w:fill="000000"/>
          <w:fitText w:val="-20" w:id="-691363326"/>
          <w14:textFill>
            <w14:solidFill>
              <w14:srgbClr w14:val="000000">
                <w14:alpha w14:val="100000"/>
              </w14:srgbClr>
            </w14:solidFill>
          </w14:textFill>
        </w:rPr>
        <w:t xml:space="preserve"> </w:t>
      </w:r>
      <w:r w:rsidR="00D63E16" w:rsidRPr="006233F7">
        <w:rPr>
          <w:color w:val="000000"/>
          <w:spacing w:val="-61"/>
          <w:w w:val="15"/>
          <w:shd w:val="solid" w:color="000000" w:fill="000000"/>
          <w:fitText w:val="-20" w:id="-691363326"/>
          <w14:textFill>
            <w14:solidFill>
              <w14:srgbClr w14:val="000000">
                <w14:alpha w14:val="100000"/>
              </w14:srgbClr>
            </w14:solidFill>
          </w14:textFill>
        </w:rPr>
        <w:t>|</w:t>
      </w:r>
      <w:r w:rsidRPr="00AB51CE">
        <w:t xml:space="preserve"> months (from</w:t>
      </w:r>
      <w:r w:rsidRPr="00D766BC">
        <w:t xml:space="preserve"> home to hospital outpatient) to impact the ongoing utilisation of rozanolixizumab.</w:t>
      </w:r>
      <w:bookmarkEnd w:id="7"/>
    </w:p>
    <w:p w14:paraId="3DAE33DA" w14:textId="6418214E" w:rsidR="0045431D" w:rsidRDefault="7F8E54F9" w:rsidP="00873AF3">
      <w:pPr>
        <w:pStyle w:val="COMexecsummnumbered"/>
      </w:pPr>
      <w:r w:rsidRPr="00D766BC">
        <w:t xml:space="preserve">The submission stated that there will be patients that will require grandfathering from the sponsor’s </w:t>
      </w:r>
      <w:r w:rsidR="4CBCC343" w:rsidRPr="00D766BC">
        <w:t xml:space="preserve">patient </w:t>
      </w:r>
      <w:r w:rsidRPr="00D766BC">
        <w:t>access program. The submission did not propose a grandfathering restriction, stating that patients should qualify under the proposed restriction for episodic treatment. Given the episodic nature of treatment with rozanolixizumab, this was reasonable.</w:t>
      </w:r>
    </w:p>
    <w:p w14:paraId="32A8B93E" w14:textId="1BEBECA8" w:rsidR="00C429B1" w:rsidRPr="00C04D11" w:rsidRDefault="00C429B1" w:rsidP="00873AF3">
      <w:pPr>
        <w:pStyle w:val="COMexecsummnumbered"/>
        <w:numPr>
          <w:ilvl w:val="0"/>
          <w:numId w:val="0"/>
        </w:numPr>
        <w:ind w:left="709"/>
        <w:rPr>
          <w:i/>
          <w:iCs/>
        </w:rPr>
      </w:pPr>
      <w:r w:rsidRPr="00C04D11">
        <w:rPr>
          <w:i/>
          <w:iCs/>
        </w:rPr>
        <w:t xml:space="preserve">For more detail on PBAC’s view, see section </w:t>
      </w:r>
      <w:r w:rsidR="00BB4E8F" w:rsidRPr="00C04D11">
        <w:rPr>
          <w:i/>
          <w:iCs/>
        </w:rPr>
        <w:t xml:space="preserve">8 </w:t>
      </w:r>
      <w:r w:rsidRPr="00C04D11">
        <w:rPr>
          <w:i/>
          <w:iCs/>
        </w:rPr>
        <w:t>PBAC outcome.</w:t>
      </w:r>
    </w:p>
    <w:p w14:paraId="1C63267D" w14:textId="474D313C" w:rsidR="00A16B64" w:rsidRPr="00D766BC" w:rsidDel="00195452" w:rsidRDefault="00A16B64" w:rsidP="00873AF3">
      <w:pPr>
        <w:pStyle w:val="COMH1-numbered"/>
        <w:ind w:left="709"/>
      </w:pPr>
      <w:bookmarkStart w:id="8" w:name="_Toc188272885"/>
      <w:r w:rsidRPr="00D766BC" w:rsidDel="00195452">
        <w:t>Population and disease</w:t>
      </w:r>
      <w:bookmarkEnd w:id="8"/>
    </w:p>
    <w:p w14:paraId="22C83D1D" w14:textId="01A0F2D2" w:rsidR="00A16B64" w:rsidRPr="00D766BC" w:rsidRDefault="7F8E54F9" w:rsidP="00873AF3">
      <w:pPr>
        <w:pStyle w:val="COMexecsummnumbered"/>
        <w:rPr>
          <w:color w:val="0066FF"/>
        </w:rPr>
      </w:pPr>
      <w:r w:rsidRPr="00D766BC">
        <w:t>Myasthenia gravis is a rare, chronic, heterogenous autoimmune disorder caused by antibodies attacking components of the neuromuscular junction leading to impaired signal transmission between nerves and muscles. Patients with myasthenia gravis can be classified into subgroups based on the antibodies involved in the disease process, with the majority of patients (approximately 8</w:t>
      </w:r>
      <w:r w:rsidR="4E544205" w:rsidRPr="00D766BC">
        <w:t>5</w:t>
      </w:r>
      <w:r w:rsidRPr="00D766BC">
        <w:t>%) having autoantibodies against AChR</w:t>
      </w:r>
      <w:r w:rsidR="4E544205" w:rsidRPr="00D766BC">
        <w:t xml:space="preserve"> (Sciancalepore 2024)</w:t>
      </w:r>
      <w:r w:rsidRPr="00D766BC">
        <w:t>.</w:t>
      </w:r>
    </w:p>
    <w:p w14:paraId="76DD41BF" w14:textId="77777777" w:rsidR="00A16B64" w:rsidRPr="00D766BC" w:rsidRDefault="00A16B64" w:rsidP="00873AF3">
      <w:pPr>
        <w:pStyle w:val="COMexecsummnumbered"/>
      </w:pPr>
      <w:r w:rsidRPr="00D766BC">
        <w:t xml:space="preserve">The disease is characterised by muscle weakness which may be localised to ocular muscles (ocular myasthenia gravis) or generalised to include other muscles such as limb, bulbar and respiratory system (generalised myasthenia gravis). Typical symptoms associated with myasthenia gravis include drooping eyelids, blurred or double vision, shortness of breath, difficulty chewing and swallowing, impaired speech, fatigue, pain, muscle spasms and general muscle weakness. </w:t>
      </w:r>
    </w:p>
    <w:p w14:paraId="21302FC7" w14:textId="49A0FBE8" w:rsidR="00A16B64" w:rsidRPr="00D766BC" w:rsidDel="00195452" w:rsidRDefault="7F8E54F9" w:rsidP="00873AF3">
      <w:pPr>
        <w:pStyle w:val="COMexecsummnumbered"/>
        <w:rPr>
          <w:color w:val="0066FF"/>
        </w:rPr>
      </w:pPr>
      <w:r w:rsidRPr="00D766BC">
        <w:t xml:space="preserve">The intensity of muscle weakness can fluctuate from day to day and can be worsened due to fatigue, stress, current illness and other factors. Transient periods of rapid symptom worsening are referred to as disease exacerbations. Of particular concern are myasthenic crises, which are severe, life-threatening exacerbations that are due to weakness in respiratory muscles </w:t>
      </w:r>
      <w:r w:rsidR="002530B5">
        <w:t>resulting</w:t>
      </w:r>
      <w:r w:rsidRPr="00D766BC">
        <w:t xml:space="preserve"> in respiratory failure requiring mechanical ventilation. However, the submission noted that the mortality of patients with myasthenia gravis has decreased over the </w:t>
      </w:r>
      <w:r w:rsidR="005B4F74" w:rsidRPr="00D766BC">
        <w:t>years,</w:t>
      </w:r>
      <w:r w:rsidRPr="00D766BC">
        <w:t xml:space="preserve"> and most patients have a normal lifespan.</w:t>
      </w:r>
    </w:p>
    <w:p w14:paraId="50A5B4A4" w14:textId="75C8A4B6" w:rsidR="00A16B64" w:rsidRPr="00D766BC" w:rsidRDefault="00A16B64" w:rsidP="00873AF3">
      <w:pPr>
        <w:pStyle w:val="COMexecsummnumbered"/>
        <w:rPr>
          <w:color w:val="0066FF"/>
        </w:rPr>
      </w:pPr>
      <w:r w:rsidRPr="00D766BC">
        <w:t>A recent systematic review and meta-analysis (Sciancalepore 2024) of myasthenia gravis epidemiology studies noted that that the global incidence has more than doubled from 8.7 (95% CI 5.5, 11.9) cases per million person-years in the period 1967</w:t>
      </w:r>
      <w:r w:rsidR="00022BBB">
        <w:noBreakHyphen/>
      </w:r>
      <w:r w:rsidRPr="00D766BC">
        <w:t>2007 to 22.9 (95% CI 14.1, 31.7) cases per million person-years in the period 2008-2022; and prevalence has increased from 97.5 (95% CI 59.9, 141.9) cases per million person-years in the period 1952-2007 to 220.1 (95% CI 149.3, 288.1) cases per million person-years in the period 2008-2021. However, the review acknowledged that there was significant variation in frequencies of myasthenia gravis between and within countries because of methodological biases and complex heterogeneity of the disease characterised by several phenotypes and different clinical responses.</w:t>
      </w:r>
    </w:p>
    <w:p w14:paraId="000FDF22" w14:textId="4ED272CE" w:rsidR="00A16B64" w:rsidRPr="00D766BC" w:rsidRDefault="7F8E54F9" w:rsidP="00873AF3">
      <w:pPr>
        <w:pStyle w:val="COMexecsummnumbered"/>
      </w:pPr>
      <w:r w:rsidRPr="00D766BC">
        <w:t>Current treatment guidelines (Sanders 2016 updated in Narayanaswami 2021) recommend the use of anticholinesterase inhibitors in most patients with AChR positive generalised myasthenia gravis. However, the guidelines note that the majority of patients will also require immunosuppressive therapy, with corticosteroids used as the main first-line treatment option. The guidelines state that other immunosuppressive agents such as mycophenolate mofetil, azathioprine, methotrexate, tacrolimus and ciclosporin may also be used as monotherapies (for patients who refuse corticosteroids or who are contraindicated to corticosteroids) or in combination with corticosteroids (for patients with an inadequate response, for patients with significant steroid side-effects or who require high corticosteroid doses that cannot be tapered down). The guidelines note that chronic IVIg/PLEX can be used as bridging therapies while patients adjust to other slower-acting immunosuppressive agents. Patients with treatment-refractory disease (variable definitions in the literature) can receive treatment with chronic PLEX/IVIg, eculizumab (not registered in Australia for myasthenia gravis), cyclophosphamide or rituximab. Acute management of exacerbations typically involves the use of high dose corticosteroids, IVIg or PLEX in the community or hospital setting depending on severity.</w:t>
      </w:r>
    </w:p>
    <w:p w14:paraId="7BEFCFDF" w14:textId="01F0DFA2" w:rsidR="00A16B64" w:rsidRPr="00D766BC" w:rsidRDefault="7F8E54F9" w:rsidP="00873AF3">
      <w:pPr>
        <w:pStyle w:val="COMexecsummnumbered"/>
        <w:rPr>
          <w:color w:val="0066FF"/>
        </w:rPr>
      </w:pPr>
      <w:r w:rsidRPr="00D766BC">
        <w:t>Rozanolixizumab is a fully humanised, chimeric IgG4 monoclonal antibody that targets the neonatal Fc receptor</w:t>
      </w:r>
      <w:r w:rsidR="0D55889B" w:rsidRPr="00D766BC">
        <w:t xml:space="preserve"> (</w:t>
      </w:r>
      <w:r w:rsidR="00516E39">
        <w:t>FcRn</w:t>
      </w:r>
      <w:r w:rsidR="0D55889B" w:rsidRPr="00D766BC">
        <w:t xml:space="preserve"> blocker)</w:t>
      </w:r>
      <w:r w:rsidRPr="00D766BC">
        <w:t xml:space="preserve">. Blocking of this receptor accelerates the removal of circulating immunoglobulin (IgG), including pathogenic IgG autoantibodies, via the natural lysosomal degradation pathway. Rozanolixizumab is administered as a subcutaneous infusion once a week in a treatment cycle of 6 weeks. Subsequent treatment cycles are administered based on clinical evaluation of symptom recurrence. </w:t>
      </w:r>
    </w:p>
    <w:p w14:paraId="512C338E" w14:textId="12C52DD6" w:rsidR="004733E7" w:rsidRPr="00D766BC" w:rsidRDefault="004733E7" w:rsidP="00873AF3">
      <w:pPr>
        <w:pStyle w:val="COMexecsummnumbered"/>
      </w:pPr>
      <w:bookmarkStart w:id="9" w:name="_Ref187830102"/>
      <w:r w:rsidRPr="00D766BC">
        <w:t xml:space="preserve">The proposed clinical management algorithm is presented in </w:t>
      </w:r>
      <w:r w:rsidRPr="00D766BC">
        <w:fldChar w:fldCharType="begin" w:fldLock="1"/>
      </w:r>
      <w:r w:rsidRPr="00D766BC">
        <w:instrText xml:space="preserve"> REF _Ref187929761 \h </w:instrText>
      </w:r>
      <w:r w:rsidR="00D766BC" w:rsidRPr="00D766BC">
        <w:instrText xml:space="preserve"> \* MERGEFORMAT </w:instrText>
      </w:r>
      <w:r w:rsidRPr="00D766BC">
        <w:fldChar w:fldCharType="separate"/>
      </w:r>
      <w:r w:rsidR="00E70E55" w:rsidRPr="00D766BC">
        <w:t xml:space="preserve">Figure </w:t>
      </w:r>
      <w:r w:rsidR="00E70E55">
        <w:rPr>
          <w:noProof/>
        </w:rPr>
        <w:t>1</w:t>
      </w:r>
      <w:r w:rsidRPr="00D766BC">
        <w:fldChar w:fldCharType="end"/>
      </w:r>
      <w:r w:rsidRPr="00D766BC">
        <w:t>.</w:t>
      </w:r>
    </w:p>
    <w:p w14:paraId="18FC8B2F" w14:textId="7C865AEA" w:rsidR="007B6C0B" w:rsidRPr="00D766BC" w:rsidRDefault="577AA4F6" w:rsidP="00873AF3">
      <w:pPr>
        <w:pStyle w:val="Caption"/>
        <w:keepNext/>
        <w:spacing w:before="240"/>
      </w:pPr>
      <w:bookmarkStart w:id="10" w:name="_Ref187929761"/>
      <w:r w:rsidRPr="00D766BC">
        <w:t xml:space="preserve">Figure </w:t>
      </w:r>
      <w:r w:rsidR="000D731C" w:rsidRPr="00D766BC">
        <w:fldChar w:fldCharType="begin" w:fldLock="1"/>
      </w:r>
      <w:r w:rsidR="000D731C" w:rsidRPr="00D766BC">
        <w:instrText xml:space="preserve"> SEQ Figure \* ARABIC </w:instrText>
      </w:r>
      <w:r w:rsidR="000D731C" w:rsidRPr="00D766BC">
        <w:fldChar w:fldCharType="separate"/>
      </w:r>
      <w:r w:rsidR="00E70E55">
        <w:rPr>
          <w:noProof/>
        </w:rPr>
        <w:t>1</w:t>
      </w:r>
      <w:r w:rsidR="000D731C" w:rsidRPr="00D766BC">
        <w:rPr>
          <w:noProof/>
        </w:rPr>
        <w:fldChar w:fldCharType="end"/>
      </w:r>
      <w:bookmarkEnd w:id="10"/>
      <w:r w:rsidRPr="00D766BC">
        <w:t>:</w:t>
      </w:r>
      <w:bookmarkEnd w:id="9"/>
      <w:r w:rsidR="735B875A" w:rsidRPr="00D766BC">
        <w:t xml:space="preserve"> Proposed clinical management algorithm for AChR-positive generalised myasthenia gravis</w:t>
      </w:r>
    </w:p>
    <w:p w14:paraId="5D5E925C" w14:textId="77777777" w:rsidR="007B6C0B" w:rsidRPr="00D766BC" w:rsidRDefault="007B6C0B" w:rsidP="00873AF3">
      <w:pPr>
        <w:pStyle w:val="COMTablefooter"/>
      </w:pPr>
      <w:r w:rsidRPr="00D766BC">
        <w:rPr>
          <w:noProof/>
        </w:rPr>
        <w:drawing>
          <wp:inline distT="0" distB="0" distL="0" distR="0" wp14:anchorId="166C2029" wp14:editId="6A2077D5">
            <wp:extent cx="5696419" cy="3429000"/>
            <wp:effectExtent l="0" t="0" r="0" b="0"/>
            <wp:docPr id="670485583" name="Picture 1" descr="Figure 1: Flowchart showing proposed clinical management algorithm for AChR-positive generalised myasthenia grav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485583" name="Picture 1" descr="Figure 1: Flowchart showing proposed clinical management algorithm for AChR-positive generalised myasthenia gravis"/>
                    <pic:cNvPicPr/>
                  </pic:nvPicPr>
                  <pic:blipFill rotWithShape="1">
                    <a:blip r:embed="rId11"/>
                    <a:srcRect b="7597"/>
                    <a:stretch/>
                  </pic:blipFill>
                  <pic:spPr bwMode="auto">
                    <a:xfrm>
                      <a:off x="0" y="0"/>
                      <a:ext cx="5710147" cy="3437264"/>
                    </a:xfrm>
                    <a:prstGeom prst="rect">
                      <a:avLst/>
                    </a:prstGeom>
                    <a:ln>
                      <a:noFill/>
                    </a:ln>
                    <a:extLst>
                      <a:ext uri="{53640926-AAD7-44D8-BBD7-CCE9431645EC}">
                        <a14:shadowObscured xmlns:a14="http://schemas.microsoft.com/office/drawing/2010/main"/>
                      </a:ext>
                    </a:extLst>
                  </pic:spPr>
                </pic:pic>
              </a:graphicData>
            </a:graphic>
          </wp:inline>
        </w:drawing>
      </w:r>
    </w:p>
    <w:p w14:paraId="1021BCD9" w14:textId="77777777" w:rsidR="007B6C0B" w:rsidRPr="00D766BC" w:rsidRDefault="007B6C0B" w:rsidP="00873AF3">
      <w:pPr>
        <w:pStyle w:val="COMTablefooter"/>
      </w:pPr>
      <w:r w:rsidRPr="00D766BC">
        <w:t>Source: Figure 1.2-2, p32 of the submission</w:t>
      </w:r>
    </w:p>
    <w:p w14:paraId="79569A1C" w14:textId="09F522A1" w:rsidR="007B6C0B" w:rsidRPr="00D766BC" w:rsidRDefault="735B875A" w:rsidP="00873AF3">
      <w:pPr>
        <w:pStyle w:val="COMTablefooter"/>
      </w:pPr>
      <w:r w:rsidRPr="00D766BC">
        <w:t>Abbreviations: AChR, acetylcholine receptor; gMG, generalised myasthenia gravis; IVIg, intravenous immunoglobulin; NBA, National Blood Authority; NS-IST, non-steroidal immunosuppressive therapy; PLEX, plasma exchange</w:t>
      </w:r>
    </w:p>
    <w:p w14:paraId="0A6316BE" w14:textId="01EADD1D" w:rsidR="007B6C0B" w:rsidRPr="00D766BC" w:rsidRDefault="735B875A" w:rsidP="00873AF3">
      <w:pPr>
        <w:pStyle w:val="COMTablefooter"/>
      </w:pPr>
      <w:r w:rsidRPr="00D766BC">
        <w:t>Note: Not shown in the treatment algorithm are thymectomy and IVIg or PLEX for myasthenic crisis. While maintenance/chronic treatment is permitted by the NBA criteria for IVIg maintenance therapy, the international treatment guidelines only recommend short-term treatment in non-refractory patients.</w:t>
      </w:r>
    </w:p>
    <w:p w14:paraId="3A06AAE1" w14:textId="7C015EDC" w:rsidR="00A16B64" w:rsidRPr="00D766BC" w:rsidRDefault="7F8E54F9" w:rsidP="00873AF3">
      <w:pPr>
        <w:pStyle w:val="COMexecsummnumbered"/>
        <w:rPr>
          <w:color w:val="0066FF"/>
        </w:rPr>
      </w:pPr>
      <w:r w:rsidRPr="00D766BC">
        <w:t xml:space="preserve">The submission positioned rozanolixizumab as an alternative bridging therapy to short term treatment with IVIg or PLEX for patients with AChR-positive generalised myasthenia gravis, stating that this was aligned with the key criterion in the MycarinG trial that patients must be considered for treatment with additional therapy such as IVIg or PLEX. The submission argued that rozanolixizumab is most likely to substitute for short-term IVIg and PLEX because of its short </w:t>
      </w:r>
      <w:r w:rsidR="005B4F74" w:rsidRPr="00D766BC">
        <w:t>6-week</w:t>
      </w:r>
      <w:r w:rsidRPr="00D766BC">
        <w:t xml:space="preserve"> treatment cycle, with subsequent cycles administered based on clinical evaluation of symptom recurrence. The submission noted that patients in myasthenic crisis (MGFA class V) would not be eligible for treatment with rozanolixizumab based on the requested restriction.</w:t>
      </w:r>
      <w:r w:rsidR="71135A66" w:rsidRPr="00D766BC">
        <w:t xml:space="preserve"> However, the PSCR stated ‘the proposed place in therapy for rozanolixizumab is in line with the use of IVIg in current clinical practice’, which the ESC noted also includes the refractory setting.</w:t>
      </w:r>
    </w:p>
    <w:p w14:paraId="2CD64D96" w14:textId="10C008A5" w:rsidR="00A16B64" w:rsidRPr="00D766BC" w:rsidRDefault="7F8E54F9" w:rsidP="00873AF3">
      <w:pPr>
        <w:pStyle w:val="COMexecsummnumbered"/>
      </w:pPr>
      <w:r w:rsidRPr="00D766BC">
        <w:t xml:space="preserve">The </w:t>
      </w:r>
      <w:r w:rsidR="71135A66" w:rsidRPr="00D766BC">
        <w:t xml:space="preserve">evaluation considered that the </w:t>
      </w:r>
      <w:r w:rsidRPr="00D766BC">
        <w:t xml:space="preserve">clinical place in therapy for rozanolixizumab is currently unclear, particularly as the use of newer agents such as complement inhibitors (zilucoplan, ravulizumab) and </w:t>
      </w:r>
      <w:r w:rsidR="00516E39">
        <w:t>FcRn</w:t>
      </w:r>
      <w:r w:rsidRPr="00D766BC">
        <w:t xml:space="preserve"> blockers (rozanolixizumab, efgartigimod) have yet to be incorporated into most treatment guidelines. </w:t>
      </w:r>
    </w:p>
    <w:p w14:paraId="346B30C9" w14:textId="2D63E26A" w:rsidR="00A16B64" w:rsidRDefault="7F8E54F9" w:rsidP="00873AF3">
      <w:pPr>
        <w:pStyle w:val="COMexecsummnumbered"/>
      </w:pPr>
      <w:r w:rsidRPr="00D766BC">
        <w:t xml:space="preserve">The PBAC previously noted that clinicians and consumers had stated that the newer agents have rapid onsets of action and could be used as bridging therapy while waiting for </w:t>
      </w:r>
      <w:r w:rsidR="000159C2">
        <w:t>NS-ISTs</w:t>
      </w:r>
      <w:r w:rsidRPr="00D766BC">
        <w:t xml:space="preserve"> to induce remission. However, the PBAC noted that no evidence had been presented to specifically demonstrate the difference in onset of action between these newer agents (ravulizumab, zilucoplan) and </w:t>
      </w:r>
      <w:r w:rsidR="000159C2">
        <w:t>NS-ISTs</w:t>
      </w:r>
      <w:r w:rsidRPr="00D766BC">
        <w:t xml:space="preserve"> (para 7.12, ravulizumab PSD, July</w:t>
      </w:r>
      <w:r w:rsidR="00F763B7">
        <w:t> </w:t>
      </w:r>
      <w:r w:rsidRPr="00D766BC">
        <w:t>2024 PBAC meeting; para 7.12, zilucoplan PSD, July 2024 PBAC meeting).</w:t>
      </w:r>
    </w:p>
    <w:p w14:paraId="564EDEE2" w14:textId="41C5BE54" w:rsidR="00C429B1" w:rsidRPr="00C04D11" w:rsidRDefault="00C429B1" w:rsidP="00873AF3">
      <w:pPr>
        <w:pStyle w:val="COMexecsummnumbered"/>
        <w:numPr>
          <w:ilvl w:val="0"/>
          <w:numId w:val="0"/>
        </w:numPr>
        <w:ind w:left="709"/>
        <w:rPr>
          <w:i/>
          <w:iCs/>
        </w:rPr>
      </w:pPr>
      <w:r w:rsidRPr="00C04D11">
        <w:rPr>
          <w:i/>
          <w:iCs/>
        </w:rPr>
        <w:t xml:space="preserve">For more detail on PBAC’s view, see section </w:t>
      </w:r>
      <w:r w:rsidR="00BB4E8F" w:rsidRPr="00C04D11">
        <w:rPr>
          <w:i/>
          <w:iCs/>
        </w:rPr>
        <w:t xml:space="preserve">8 </w:t>
      </w:r>
      <w:r w:rsidRPr="00C04D11">
        <w:rPr>
          <w:i/>
          <w:iCs/>
        </w:rPr>
        <w:t>PBAC outcome.</w:t>
      </w:r>
    </w:p>
    <w:p w14:paraId="72CB6D44" w14:textId="77777777" w:rsidR="00A16B64" w:rsidRPr="00D766BC" w:rsidRDefault="00A16B64" w:rsidP="00873AF3">
      <w:pPr>
        <w:pStyle w:val="COMH1-numbered"/>
        <w:ind w:left="709"/>
      </w:pPr>
      <w:bookmarkStart w:id="11" w:name="_Toc188272886"/>
      <w:r w:rsidRPr="00D766BC">
        <w:t>Comparator</w:t>
      </w:r>
      <w:bookmarkEnd w:id="11"/>
    </w:p>
    <w:p w14:paraId="012BC903" w14:textId="344F0D52" w:rsidR="00A16B64" w:rsidRPr="00D766BC" w:rsidRDefault="7F8E54F9" w:rsidP="00873AF3">
      <w:pPr>
        <w:pStyle w:val="COMexecsummnumbered"/>
      </w:pPr>
      <w:r w:rsidRPr="00D766BC">
        <w:t>The submission nominated IVIg as the main comparator, with PLEX as a supplementary comparator. The main argument in support of this nomination was that IVIg and PLEX are both treatments used as short-term bridging therapies for symptom management until the onset of effect of immunosuppressive therapies. IVIg was nominated as the main comparator as it is more commonly used than PLEX (Sansoni 2023), with PLEX available mostly in metropolitan hospitals across Australia (M</w:t>
      </w:r>
      <w:r w:rsidR="5AE8078E" w:rsidRPr="00D766BC">
        <w:t>yasthenia gravis</w:t>
      </w:r>
      <w:r w:rsidRPr="00D766BC">
        <w:t xml:space="preserve"> stakeholder meeting). </w:t>
      </w:r>
      <w:r w:rsidR="555E04B2" w:rsidRPr="00D766BC">
        <w:t xml:space="preserve">The evaluation and the ESC considered that </w:t>
      </w:r>
      <w:r w:rsidRPr="00D766BC">
        <w:t xml:space="preserve">IVIg and PLEX </w:t>
      </w:r>
      <w:r w:rsidR="56296C67" w:rsidRPr="00D766BC">
        <w:t>we</w:t>
      </w:r>
      <w:r w:rsidRPr="00D766BC">
        <w:t>re appropriate comparators</w:t>
      </w:r>
      <w:r w:rsidR="555E04B2" w:rsidRPr="00D766BC">
        <w:t>, and that</w:t>
      </w:r>
      <w:r w:rsidRPr="00D766BC">
        <w:t xml:space="preserve"> IVIg </w:t>
      </w:r>
      <w:r w:rsidR="56296C67" w:rsidRPr="00D766BC">
        <w:t>wa</w:t>
      </w:r>
      <w:r w:rsidRPr="00D766BC">
        <w:t>s an appropriate main comparator.</w:t>
      </w:r>
    </w:p>
    <w:p w14:paraId="07CB1C95" w14:textId="29B2AC71" w:rsidR="00A16B64" w:rsidRPr="00D766BC" w:rsidRDefault="7F8E54F9" w:rsidP="00873AF3">
      <w:pPr>
        <w:pStyle w:val="COMexecsummnumbered"/>
      </w:pPr>
      <w:r w:rsidRPr="00D766BC">
        <w:t xml:space="preserve">International treatment guidelines state that IVIg or PLEX may be used as short-term treatments in non-refractory patients when other treatments are insufficiently effective, and prior to beginning corticosteroids if deemed necessary to prevent or minimise exacerbations. IVIg and PLEX are also nominated in guidelines as add-on treatments to corticosteroids and/or </w:t>
      </w:r>
      <w:r w:rsidR="000159C2">
        <w:t>NS-ISTs</w:t>
      </w:r>
      <w:r w:rsidRPr="00D766BC">
        <w:t xml:space="preserve"> in refractory patients (Sanders 2016). The submission noted that chronic IVIg use is associated with a high risk of thromboembolism, anaphylaxis, acute kidney damage, reduction in haematocrit and renal function; and PLEX is associated with bleeding risk and hypotension (Gajdos 2012, Pinto 2023, Ammann 2016, Kapoor 2020). Further, a proportion of patients do not respond satisfactorily to IVIg or PLEX. </w:t>
      </w:r>
    </w:p>
    <w:p w14:paraId="22B02018" w14:textId="7F4B883E" w:rsidR="00A16B64" w:rsidRPr="00D766BC" w:rsidRDefault="00A16B64" w:rsidP="00873AF3">
      <w:pPr>
        <w:pStyle w:val="COMexecsummnumbered"/>
        <w:rPr>
          <w:lang w:val="en-GB"/>
        </w:rPr>
      </w:pPr>
      <w:r w:rsidRPr="00D766BC">
        <w:rPr>
          <w:lang w:val="en-GB"/>
        </w:rPr>
        <w:t xml:space="preserve">The submission noted that efgartigimod </w:t>
      </w:r>
      <w:r w:rsidR="00244E84">
        <w:rPr>
          <w:lang w:val="en-GB"/>
        </w:rPr>
        <w:t>wa</w:t>
      </w:r>
      <w:r w:rsidRPr="00D766BC">
        <w:rPr>
          <w:lang w:val="en-GB"/>
        </w:rPr>
        <w:t xml:space="preserve">s under evaluation by the TGA </w:t>
      </w:r>
      <w:r w:rsidR="00294455">
        <w:rPr>
          <w:lang w:val="en-GB"/>
        </w:rPr>
        <w:t>and</w:t>
      </w:r>
      <w:r w:rsidRPr="00D766BC">
        <w:rPr>
          <w:lang w:val="en-GB"/>
        </w:rPr>
        <w:t xml:space="preserve"> has a similar mechanism of action to rozanolixizumab in that both act by reducing pathogenic IgG autoantibody levels, and has a short </w:t>
      </w:r>
      <w:r w:rsidR="005B4F74" w:rsidRPr="00D766BC">
        <w:rPr>
          <w:lang w:val="en-GB"/>
        </w:rPr>
        <w:t>4-week</w:t>
      </w:r>
      <w:r w:rsidRPr="00D766BC">
        <w:rPr>
          <w:lang w:val="en-GB"/>
        </w:rPr>
        <w:t xml:space="preserve"> treatment cycle, similar to the </w:t>
      </w:r>
      <w:r w:rsidR="005B4F74" w:rsidRPr="00D766BC">
        <w:rPr>
          <w:lang w:val="en-GB"/>
        </w:rPr>
        <w:t>6-week</w:t>
      </w:r>
      <w:r w:rsidRPr="00D766BC">
        <w:rPr>
          <w:lang w:val="en-GB"/>
        </w:rPr>
        <w:t xml:space="preserve"> cycles for rozanolixizumab. Efgartigimod was appropriately nominated as a near market comparator in the submission.</w:t>
      </w:r>
    </w:p>
    <w:p w14:paraId="59CBF107" w14:textId="75F7014D" w:rsidR="00A16B64" w:rsidRPr="00D766BC" w:rsidRDefault="7F8E54F9" w:rsidP="00873AF3">
      <w:pPr>
        <w:pStyle w:val="COMexecsummnumbered"/>
      </w:pPr>
      <w:r w:rsidRPr="00D766BC">
        <w:t xml:space="preserve">Zilucoplan and ravulizumab are both complement inhibitors with TGA indications as an add-on to standard therapy for the treatment of adults with AChR-positive generalised myasthenia gravis. </w:t>
      </w:r>
      <w:r w:rsidR="715C8E73" w:rsidRPr="00D766BC">
        <w:t>Zilucoplan and r</w:t>
      </w:r>
      <w:r w:rsidRPr="00D766BC">
        <w:t xml:space="preserve">avulizumab </w:t>
      </w:r>
      <w:r w:rsidR="00294455">
        <w:t>had previously been</w:t>
      </w:r>
      <w:r w:rsidRPr="00D766BC">
        <w:t xml:space="preserve"> considered at the March 2025 meeting. Zilucoplan shares the same sponsor as rozanolixizumab. </w:t>
      </w:r>
      <w:r w:rsidR="7D0EA201" w:rsidRPr="00D766BC">
        <w:t>The ESC considered that the four gMG therapies being considered at the March 2025 meeting (efgartigimod, rozanolixizumab, ravulizumab and zilucoplan) were all near-market comparators to each other.</w:t>
      </w:r>
    </w:p>
    <w:p w14:paraId="1B03E2D2" w14:textId="230C4B96" w:rsidR="00C429B1" w:rsidRPr="00C04D11" w:rsidRDefault="00C429B1" w:rsidP="00873AF3">
      <w:pPr>
        <w:pStyle w:val="COMexecsummnumbered"/>
        <w:numPr>
          <w:ilvl w:val="0"/>
          <w:numId w:val="0"/>
        </w:numPr>
        <w:ind w:left="709"/>
        <w:rPr>
          <w:i/>
          <w:iCs/>
        </w:rPr>
      </w:pPr>
      <w:r w:rsidRPr="00C04D11">
        <w:rPr>
          <w:i/>
          <w:iCs/>
        </w:rPr>
        <w:t xml:space="preserve">For more detail on PBAC’s view, see section </w:t>
      </w:r>
      <w:r w:rsidR="00BB4E8F" w:rsidRPr="00C04D11">
        <w:rPr>
          <w:i/>
          <w:iCs/>
        </w:rPr>
        <w:t xml:space="preserve">8 </w:t>
      </w:r>
      <w:r w:rsidRPr="00C04D11">
        <w:rPr>
          <w:i/>
          <w:iCs/>
        </w:rPr>
        <w:t>PBAC outcome.</w:t>
      </w:r>
    </w:p>
    <w:p w14:paraId="7F9C27C8" w14:textId="77777777" w:rsidR="00223D5A" w:rsidRPr="00CE706B" w:rsidRDefault="00223D5A" w:rsidP="00873AF3">
      <w:pPr>
        <w:pStyle w:val="COMH1-numbered"/>
        <w:ind w:left="709"/>
      </w:pPr>
      <w:bookmarkStart w:id="12" w:name="_Toc107902078"/>
      <w:bookmarkStart w:id="13" w:name="_Toc188272887"/>
      <w:bookmarkStart w:id="14" w:name="_Toc22897640"/>
      <w:bookmarkEnd w:id="12"/>
      <w:r w:rsidRPr="00CE706B">
        <w:t>Consideration of the evidence</w:t>
      </w:r>
      <w:bookmarkEnd w:id="13"/>
    </w:p>
    <w:p w14:paraId="6012375A" w14:textId="77777777" w:rsidR="00C64EB1" w:rsidRPr="00C64EB1" w:rsidRDefault="00C64EB1" w:rsidP="00873AF3">
      <w:pPr>
        <w:pStyle w:val="3-SubsectionHeading"/>
        <w:outlineLvl w:val="1"/>
        <w:rPr>
          <w:color w:val="auto"/>
          <w:lang w:eastAsia="en-AU"/>
        </w:rPr>
      </w:pPr>
      <w:bookmarkStart w:id="15" w:name="_Toc188272888"/>
      <w:r w:rsidRPr="00C64EB1">
        <w:rPr>
          <w:color w:val="auto"/>
          <w:lang w:eastAsia="en-AU"/>
        </w:rPr>
        <w:t>Sponsor hearing</w:t>
      </w:r>
    </w:p>
    <w:p w14:paraId="6368C97E" w14:textId="04353C77" w:rsidR="004A7251" w:rsidRPr="004A7251" w:rsidRDefault="00C64EB1" w:rsidP="00873AF3">
      <w:pPr>
        <w:pStyle w:val="COMexecsummnumbered"/>
        <w:rPr>
          <w:snapToGrid w:val="0"/>
        </w:rPr>
      </w:pPr>
      <w:bookmarkStart w:id="16" w:name="_Hlk76382586"/>
      <w:r w:rsidRPr="00836F75">
        <w:rPr>
          <w:snapToGrid w:val="0"/>
        </w:rPr>
        <w:t xml:space="preserve">The sponsor requested a hearing for this item. </w:t>
      </w:r>
      <w:r w:rsidR="004A7251" w:rsidRPr="004A7251">
        <w:rPr>
          <w:snapToGrid w:val="0"/>
        </w:rPr>
        <w:t xml:space="preserve">The sponsor outlined the clinical positioning of its two agents for gMG (zilucoplan and rozanolixizumab). </w:t>
      </w:r>
      <w:r w:rsidR="004A7251" w:rsidRPr="00184AD2">
        <w:rPr>
          <w:snapToGrid w:val="0"/>
        </w:rPr>
        <w:t xml:space="preserve">Zilucoplan was </w:t>
      </w:r>
      <w:r w:rsidR="00505AEA">
        <w:rPr>
          <w:snapToGrid w:val="0"/>
        </w:rPr>
        <w:t>proposed for use in</w:t>
      </w:r>
      <w:r w:rsidR="004A7251" w:rsidRPr="00184AD2">
        <w:rPr>
          <w:snapToGrid w:val="0"/>
        </w:rPr>
        <w:t xml:space="preserve"> the refractory setting </w:t>
      </w:r>
      <w:r w:rsidR="003C6DC6" w:rsidRPr="003C6DC6">
        <w:rPr>
          <w:snapToGrid w:val="0"/>
        </w:rPr>
        <w:t>given the PBAC’s previous advice to target patients with the highest clinical need</w:t>
      </w:r>
      <w:r w:rsidR="00505AEA">
        <w:rPr>
          <w:snapToGrid w:val="0"/>
        </w:rPr>
        <w:t>,</w:t>
      </w:r>
      <w:r w:rsidR="003C6DC6" w:rsidRPr="003C6DC6">
        <w:rPr>
          <w:snapToGrid w:val="0"/>
        </w:rPr>
        <w:t xml:space="preserve"> and because the trial was not specifically designed to assess efficacy in the bridging setting. </w:t>
      </w:r>
      <w:r w:rsidR="004A7251" w:rsidRPr="00184AD2">
        <w:rPr>
          <w:snapToGrid w:val="0"/>
        </w:rPr>
        <w:t>On the other hand, the sponsor targeted rozanolixizumab at the bridging setting because it is a symptom-led treatment</w:t>
      </w:r>
      <w:r w:rsidR="000E7D34" w:rsidRPr="00184AD2">
        <w:rPr>
          <w:snapToGrid w:val="0"/>
        </w:rPr>
        <w:t xml:space="preserve"> </w:t>
      </w:r>
      <w:bookmarkStart w:id="17" w:name="_Hlk193961881"/>
      <w:r w:rsidR="000E7D34" w:rsidRPr="00184AD2">
        <w:rPr>
          <w:snapToGrid w:val="0"/>
        </w:rPr>
        <w:t>that was designed as an IVIg replacement</w:t>
      </w:r>
      <w:bookmarkEnd w:id="17"/>
      <w:r w:rsidR="004A7251" w:rsidRPr="00184AD2">
        <w:rPr>
          <w:snapToGrid w:val="0"/>
        </w:rPr>
        <w:t xml:space="preserve">. </w:t>
      </w:r>
      <w:r w:rsidR="000E7D34" w:rsidRPr="00184AD2">
        <w:rPr>
          <w:snapToGrid w:val="0"/>
        </w:rPr>
        <w:t>Further</w:t>
      </w:r>
      <w:r w:rsidR="000E7D34">
        <w:rPr>
          <w:snapToGrid w:val="0"/>
        </w:rPr>
        <w:t xml:space="preserve">, the sponsor outlined that the key trial for zilucoplan enrolled a population who had more severe disease at baseline and </w:t>
      </w:r>
      <w:r w:rsidR="00505AEA">
        <w:rPr>
          <w:snapToGrid w:val="0"/>
        </w:rPr>
        <w:t xml:space="preserve">who </w:t>
      </w:r>
      <w:r w:rsidR="000E7D34">
        <w:rPr>
          <w:snapToGrid w:val="0"/>
        </w:rPr>
        <w:t xml:space="preserve">were more heavily pre-treated compared with the </w:t>
      </w:r>
      <w:r w:rsidR="00505AEA">
        <w:rPr>
          <w:snapToGrid w:val="0"/>
        </w:rPr>
        <w:t xml:space="preserve">patients in the </w:t>
      </w:r>
      <w:r w:rsidR="000E7D34">
        <w:rPr>
          <w:snapToGrid w:val="0"/>
        </w:rPr>
        <w:t xml:space="preserve">rozanolixizumab trial. </w:t>
      </w:r>
    </w:p>
    <w:p w14:paraId="35E263AB" w14:textId="0BB33CDF" w:rsidR="00C64EB1" w:rsidRPr="00836F75" w:rsidRDefault="000E7D34" w:rsidP="00873AF3">
      <w:pPr>
        <w:numPr>
          <w:ilvl w:val="1"/>
          <w:numId w:val="1"/>
        </w:numPr>
        <w:spacing w:after="120"/>
        <w:ind w:left="720"/>
        <w:rPr>
          <w:rFonts w:asciiTheme="minorHAnsi" w:hAnsiTheme="minorHAnsi"/>
          <w:bCs/>
          <w:snapToGrid w:val="0"/>
        </w:rPr>
      </w:pPr>
      <w:r>
        <w:rPr>
          <w:rFonts w:asciiTheme="minorHAnsi" w:hAnsiTheme="minorHAnsi"/>
          <w:bCs/>
          <w:snapToGrid w:val="0"/>
        </w:rPr>
        <w:t>The sponsor reiterated its request for a price premium over IVIg</w:t>
      </w:r>
      <w:r w:rsidR="00184AD2">
        <w:rPr>
          <w:rFonts w:asciiTheme="minorHAnsi" w:hAnsiTheme="minorHAnsi"/>
          <w:bCs/>
          <w:snapToGrid w:val="0"/>
        </w:rPr>
        <w:t>.</w:t>
      </w:r>
      <w:r>
        <w:rPr>
          <w:rFonts w:asciiTheme="minorHAnsi" w:hAnsiTheme="minorHAnsi"/>
          <w:bCs/>
          <w:snapToGrid w:val="0"/>
        </w:rPr>
        <w:t xml:space="preserve"> </w:t>
      </w:r>
    </w:p>
    <w:bookmarkEnd w:id="16"/>
    <w:p w14:paraId="715AAC58" w14:textId="77777777" w:rsidR="00C64EB1" w:rsidRPr="00C64EB1" w:rsidRDefault="00C64EB1" w:rsidP="00873AF3">
      <w:pPr>
        <w:pStyle w:val="3-SubsectionHeading"/>
        <w:outlineLvl w:val="1"/>
        <w:rPr>
          <w:color w:val="auto"/>
          <w:lang w:eastAsia="en-AU"/>
        </w:rPr>
      </w:pPr>
      <w:r w:rsidRPr="00C64EB1">
        <w:rPr>
          <w:color w:val="auto"/>
          <w:lang w:eastAsia="en-AU"/>
        </w:rPr>
        <w:t>Consumer comments</w:t>
      </w:r>
    </w:p>
    <w:p w14:paraId="3E9295FE" w14:textId="2EBB3498" w:rsidR="00C64EB1" w:rsidRDefault="00C64EB1" w:rsidP="00873AF3">
      <w:pPr>
        <w:numPr>
          <w:ilvl w:val="1"/>
          <w:numId w:val="1"/>
        </w:numPr>
        <w:spacing w:after="120"/>
        <w:ind w:left="720"/>
        <w:rPr>
          <w:rFonts w:asciiTheme="minorHAnsi" w:hAnsiTheme="minorHAnsi"/>
          <w:bCs/>
          <w:snapToGrid w:val="0"/>
        </w:rPr>
      </w:pPr>
      <w:r w:rsidRPr="00836F75">
        <w:rPr>
          <w:rFonts w:asciiTheme="minorHAnsi" w:hAnsiTheme="minorHAnsi"/>
          <w:bCs/>
          <w:snapToGrid w:val="0"/>
        </w:rPr>
        <w:t>The PBAC noted and welcomed the input from individuals (</w:t>
      </w:r>
      <w:r w:rsidR="00455060">
        <w:rPr>
          <w:rFonts w:asciiTheme="minorHAnsi" w:hAnsiTheme="minorHAnsi"/>
          <w:bCs/>
          <w:snapToGrid w:val="0"/>
        </w:rPr>
        <w:t>17</w:t>
      </w:r>
      <w:r w:rsidRPr="00836F75">
        <w:rPr>
          <w:rFonts w:asciiTheme="minorHAnsi" w:hAnsiTheme="minorHAnsi"/>
          <w:bCs/>
          <w:snapToGrid w:val="0"/>
        </w:rPr>
        <w:t>), health care professionals (</w:t>
      </w:r>
      <w:r w:rsidR="00E63148">
        <w:rPr>
          <w:rFonts w:asciiTheme="minorHAnsi" w:hAnsiTheme="minorHAnsi"/>
          <w:bCs/>
          <w:snapToGrid w:val="0"/>
        </w:rPr>
        <w:t>9</w:t>
      </w:r>
      <w:r w:rsidR="00184AD2" w:rsidRPr="00184AD2">
        <w:t xml:space="preserve"> </w:t>
      </w:r>
      <w:r w:rsidR="00184AD2" w:rsidRPr="00184AD2">
        <w:rPr>
          <w:rFonts w:asciiTheme="minorHAnsi" w:hAnsiTheme="minorHAnsi"/>
          <w:bCs/>
          <w:snapToGrid w:val="0"/>
        </w:rPr>
        <w:t>individual health care professionals plus a group of 11 neurologists</w:t>
      </w:r>
      <w:r w:rsidRPr="00836F75">
        <w:rPr>
          <w:rFonts w:asciiTheme="minorHAnsi" w:hAnsiTheme="minorHAnsi"/>
          <w:bCs/>
          <w:snapToGrid w:val="0"/>
        </w:rPr>
        <w:t xml:space="preserve">) and </w:t>
      </w:r>
      <w:r w:rsidR="00410B9D">
        <w:rPr>
          <w:rFonts w:asciiTheme="minorHAnsi" w:hAnsiTheme="minorHAnsi"/>
          <w:bCs/>
          <w:snapToGrid w:val="0"/>
        </w:rPr>
        <w:t xml:space="preserve">an </w:t>
      </w:r>
      <w:r w:rsidRPr="00836F75">
        <w:rPr>
          <w:rFonts w:asciiTheme="minorHAnsi" w:hAnsiTheme="minorHAnsi"/>
          <w:bCs/>
          <w:snapToGrid w:val="0"/>
        </w:rPr>
        <w:t>organisation (</w:t>
      </w:r>
      <w:bookmarkStart w:id="18" w:name="_Hlk194062108"/>
      <w:r w:rsidR="004A7251" w:rsidRPr="00F6061A">
        <w:rPr>
          <w:rFonts w:asciiTheme="minorHAnsi" w:hAnsiTheme="minorHAnsi"/>
          <w:bCs/>
          <w:snapToGrid w:val="0"/>
        </w:rPr>
        <w:t>Myasthenia Alliance Australia</w:t>
      </w:r>
      <w:r w:rsidR="004A7251">
        <w:rPr>
          <w:rFonts w:asciiTheme="minorHAnsi" w:hAnsiTheme="minorHAnsi"/>
          <w:bCs/>
          <w:snapToGrid w:val="0"/>
        </w:rPr>
        <w:t xml:space="preserve"> (MAA)</w:t>
      </w:r>
      <w:r w:rsidRPr="00836F75">
        <w:rPr>
          <w:rFonts w:asciiTheme="minorHAnsi" w:hAnsiTheme="minorHAnsi"/>
          <w:bCs/>
          <w:snapToGrid w:val="0"/>
        </w:rPr>
        <w:t xml:space="preserve">) </w:t>
      </w:r>
      <w:bookmarkEnd w:id="18"/>
      <w:r w:rsidRPr="00836F75">
        <w:rPr>
          <w:rFonts w:asciiTheme="minorHAnsi" w:hAnsiTheme="minorHAnsi"/>
          <w:bCs/>
          <w:snapToGrid w:val="0"/>
        </w:rPr>
        <w:t xml:space="preserve">via the Consumer Comments facility on the PBS website. </w:t>
      </w:r>
      <w:r w:rsidR="002D5F2B" w:rsidRPr="002D5F2B">
        <w:rPr>
          <w:rFonts w:asciiTheme="minorHAnsi" w:hAnsiTheme="minorHAnsi"/>
          <w:bCs/>
          <w:snapToGrid w:val="0"/>
        </w:rPr>
        <w:t>The comments described the high unmet need for new therapies to treat gMG. The comments outlined the significant impact that gMG can have on quality of life such as an inability to perform daily tasks, work, study, drive or participate in social activities. The comments also described the impact on family, along with the financial burden associated with the condition. The comments also described the limitations of currently available treatment options including adverse events and lengthy administration times. The comments also described a hope that the new therapies will reduce gMG symptoms, reduce the need for other medications and associated side-effects and reduce hospital visits, contributing to an overall improved quality of life.</w:t>
      </w:r>
      <w:bookmarkStart w:id="19" w:name="_Hlk97141379"/>
      <w:r w:rsidRPr="00287959">
        <w:rPr>
          <w:rFonts w:asciiTheme="minorHAnsi" w:hAnsiTheme="minorHAnsi"/>
          <w:bCs/>
          <w:snapToGrid w:val="0"/>
        </w:rPr>
        <w:t xml:space="preserve"> </w:t>
      </w:r>
      <w:bookmarkEnd w:id="19"/>
    </w:p>
    <w:p w14:paraId="2535EA49" w14:textId="091690A3" w:rsidR="00050D53" w:rsidRPr="00050D53" w:rsidRDefault="005E56F3" w:rsidP="00873AF3">
      <w:pPr>
        <w:pStyle w:val="COMexecsummnumbered"/>
        <w:rPr>
          <w:bCs/>
          <w:snapToGrid w:val="0"/>
        </w:rPr>
      </w:pPr>
      <w:r w:rsidRPr="00050D53">
        <w:rPr>
          <w:snapToGrid w:val="0"/>
        </w:rPr>
        <w:t xml:space="preserve">The comments noted the efficacy associated with rozanolixizumab and </w:t>
      </w:r>
      <w:r>
        <w:rPr>
          <w:snapToGrid w:val="0"/>
        </w:rPr>
        <w:t>its</w:t>
      </w:r>
      <w:r w:rsidRPr="00050D53">
        <w:rPr>
          <w:snapToGrid w:val="0"/>
        </w:rPr>
        <w:t xml:space="preserve"> rapid onset of action. One clinician outlined that </w:t>
      </w:r>
      <w:r w:rsidR="00516E39">
        <w:rPr>
          <w:snapToGrid w:val="0"/>
        </w:rPr>
        <w:t>FcRn</w:t>
      </w:r>
      <w:r w:rsidRPr="00050D53">
        <w:rPr>
          <w:rFonts w:eastAsia="Times New Roman" w:cs="Arial"/>
          <w:snapToGrid w:val="0"/>
          <w:szCs w:val="24"/>
        </w:rPr>
        <w:t xml:space="preserve"> </w:t>
      </w:r>
      <w:r w:rsidRPr="00050D53">
        <w:rPr>
          <w:snapToGrid w:val="0"/>
        </w:rPr>
        <w:t xml:space="preserve">blockers </w:t>
      </w:r>
      <w:r w:rsidRPr="00050D53">
        <w:rPr>
          <w:rFonts w:eastAsia="Times New Roman" w:cs="Arial"/>
          <w:snapToGrid w:val="0"/>
          <w:szCs w:val="24"/>
        </w:rPr>
        <w:t>provide an alternative to IVIg and PLEX in that they can provide rapid</w:t>
      </w:r>
      <w:r w:rsidRPr="00050D53">
        <w:rPr>
          <w:snapToGrid w:val="0"/>
        </w:rPr>
        <w:t xml:space="preserve"> </w:t>
      </w:r>
      <w:r w:rsidRPr="00050D53">
        <w:rPr>
          <w:rFonts w:eastAsia="Times New Roman" w:cs="Arial"/>
          <w:snapToGrid w:val="0"/>
          <w:szCs w:val="24"/>
        </w:rPr>
        <w:t>improvement in patients who have significant weakness</w:t>
      </w:r>
      <w:r>
        <w:rPr>
          <w:rFonts w:eastAsia="Times New Roman" w:cs="Arial"/>
          <w:snapToGrid w:val="0"/>
          <w:szCs w:val="24"/>
        </w:rPr>
        <w:t xml:space="preserve">, which </w:t>
      </w:r>
      <w:r w:rsidRPr="00050D53">
        <w:rPr>
          <w:rFonts w:eastAsia="Times New Roman" w:cs="Arial"/>
          <w:snapToGrid w:val="0"/>
          <w:szCs w:val="24"/>
        </w:rPr>
        <w:t xml:space="preserve">is important as some patients are unresponsive or intolerant to IVIg, and PLEX is not available at all </w:t>
      </w:r>
      <w:r w:rsidRPr="00050D53">
        <w:rPr>
          <w:snapToGrid w:val="0"/>
        </w:rPr>
        <w:t xml:space="preserve">centres. </w:t>
      </w:r>
      <w:r w:rsidRPr="00050D53">
        <w:rPr>
          <w:rFonts w:ascii="Calibri" w:eastAsia="Times New Roman" w:hAnsi="Calibri" w:cs="Arial"/>
          <w:bCs/>
          <w:snapToGrid w:val="0"/>
          <w:szCs w:val="24"/>
        </w:rPr>
        <w:t xml:space="preserve">Many clinicians stated that the </w:t>
      </w:r>
      <w:r w:rsidR="00516E39">
        <w:rPr>
          <w:rFonts w:ascii="Calibri" w:eastAsia="Times New Roman" w:hAnsi="Calibri" w:cs="Arial"/>
          <w:bCs/>
          <w:snapToGrid w:val="0"/>
          <w:szCs w:val="24"/>
        </w:rPr>
        <w:t>FcRn</w:t>
      </w:r>
      <w:r w:rsidRPr="00050D53">
        <w:rPr>
          <w:rFonts w:ascii="Calibri" w:eastAsia="Times New Roman" w:hAnsi="Calibri" w:cs="Arial"/>
          <w:bCs/>
          <w:snapToGrid w:val="0"/>
          <w:szCs w:val="24"/>
        </w:rPr>
        <w:t xml:space="preserve"> blockers have a mild or favourable adverse effect profile.</w:t>
      </w:r>
    </w:p>
    <w:p w14:paraId="3C347BB3" w14:textId="6CDF9351" w:rsidR="00C64EB1" w:rsidRPr="00184AD2" w:rsidRDefault="00B84324" w:rsidP="00873AF3">
      <w:pPr>
        <w:pStyle w:val="COMexecsummnumbered"/>
        <w:rPr>
          <w:bCs/>
          <w:snapToGrid w:val="0"/>
        </w:rPr>
      </w:pPr>
      <w:r w:rsidRPr="00B84324">
        <w:rPr>
          <w:snapToGrid w:val="0"/>
        </w:rPr>
        <w:t xml:space="preserve">Advice from MAA stated its aim is for each patient to have equitable and timely access to the best available treatment that most benefits them. MAA supported access to the new therapies across the disease severities and settings </w:t>
      </w:r>
      <w:r w:rsidR="005B4F74" w:rsidRPr="00B84324">
        <w:rPr>
          <w:snapToGrid w:val="0"/>
        </w:rPr>
        <w:t>including early</w:t>
      </w:r>
      <w:r w:rsidRPr="00B84324">
        <w:rPr>
          <w:snapToGrid w:val="0"/>
        </w:rPr>
        <w:t xml:space="preserve"> upfront access and also in patients with refractory disease, noting that refractory patients have a higher unmet need. MAA strongly supported access to a broad range of treatment options. The input received from MAA, and from individual consumers, indicated that the mode of administration is important to consumers, with 63% of participants in a recent survey indicating they are seeking a more manageable or flexible treatment option. MAA outlined that the new therapies represent a substantial improvement in administration time compared with IVIg, and also shorter travel distances for patients outside metropolitan areas. MAA highlighted that continuous and reliable treatments are important for patients and that a meaningful response would comprise well-controlled symptoms within a reasonably quick timeframe. The comments outlined that even a small improvement in the MG-ADL score can be meaningful for patients e.g. it may represent a capacity to perform a daily activity the patient was previously unable to perform.</w:t>
      </w:r>
    </w:p>
    <w:p w14:paraId="606AABF7" w14:textId="6214E7A7" w:rsidR="00E453C5" w:rsidRPr="00E453C5" w:rsidRDefault="005B10FF" w:rsidP="00873AF3">
      <w:pPr>
        <w:numPr>
          <w:ilvl w:val="1"/>
          <w:numId w:val="1"/>
        </w:numPr>
        <w:spacing w:after="120"/>
        <w:ind w:left="720"/>
        <w:rPr>
          <w:rFonts w:asciiTheme="minorHAnsi" w:eastAsiaTheme="minorHAnsi" w:hAnsiTheme="minorHAnsi" w:cstheme="minorBidi"/>
          <w:snapToGrid w:val="0"/>
          <w:szCs w:val="22"/>
        </w:rPr>
      </w:pPr>
      <w:r w:rsidRPr="005B10FF">
        <w:rPr>
          <w:rFonts w:asciiTheme="minorHAnsi" w:eastAsiaTheme="minorHAnsi" w:hAnsiTheme="minorHAnsi" w:cstheme="minorBidi"/>
          <w:snapToGrid w:val="0"/>
          <w:szCs w:val="22"/>
        </w:rPr>
        <w:t xml:space="preserve">Advice from a group of 11 neurologists highlighted the significant unmet need for patients with moderate to severe </w:t>
      </w:r>
      <w:r w:rsidR="0043489B">
        <w:rPr>
          <w:rFonts w:asciiTheme="minorHAnsi" w:eastAsiaTheme="minorHAnsi" w:hAnsiTheme="minorHAnsi" w:cstheme="minorBidi"/>
          <w:snapToGrid w:val="0"/>
          <w:szCs w:val="22"/>
        </w:rPr>
        <w:t>g</w:t>
      </w:r>
      <w:r w:rsidRPr="005B10FF">
        <w:rPr>
          <w:rFonts w:asciiTheme="minorHAnsi" w:eastAsiaTheme="minorHAnsi" w:hAnsiTheme="minorHAnsi" w:cstheme="minorBidi"/>
          <w:snapToGrid w:val="0"/>
          <w:szCs w:val="22"/>
        </w:rPr>
        <w:t xml:space="preserve">MG, including the need for more modes of rapid onset treatments. The neurologists outlined that “combination therapy right from the start of treatment of a moderate to severe </w:t>
      </w:r>
      <w:r w:rsidR="0043489B">
        <w:rPr>
          <w:rFonts w:asciiTheme="minorHAnsi" w:eastAsiaTheme="minorHAnsi" w:hAnsiTheme="minorHAnsi" w:cstheme="minorBidi"/>
          <w:snapToGrid w:val="0"/>
          <w:szCs w:val="22"/>
        </w:rPr>
        <w:t>g</w:t>
      </w:r>
      <w:r w:rsidRPr="005B10FF">
        <w:rPr>
          <w:rFonts w:asciiTheme="minorHAnsi" w:eastAsiaTheme="minorHAnsi" w:hAnsiTheme="minorHAnsi" w:cstheme="minorBidi"/>
          <w:snapToGrid w:val="0"/>
          <w:szCs w:val="22"/>
        </w:rPr>
        <w:t xml:space="preserve">MG patient is the norm including the use of quick onset pathogenic antibody treatments, currently principally IVIg. Whether in an individual patient one would use IVIG, PLEX; or an FcRn or a complement inhibitor if all were equally available would probably depend on individual benefit first, and ease, tolerance and accessibility a significant second.” The neurologists acknowledged that the trials largely included patients with long-standing gMG and significant use of prior </w:t>
      </w:r>
      <w:r w:rsidR="005B4F74" w:rsidRPr="005B10FF">
        <w:rPr>
          <w:rFonts w:asciiTheme="minorHAnsi" w:eastAsiaTheme="minorHAnsi" w:hAnsiTheme="minorHAnsi" w:cstheme="minorBidi"/>
          <w:snapToGrid w:val="0"/>
          <w:szCs w:val="22"/>
        </w:rPr>
        <w:t>treatments but</w:t>
      </w:r>
      <w:r w:rsidRPr="005B10FF">
        <w:rPr>
          <w:rFonts w:asciiTheme="minorHAnsi" w:eastAsiaTheme="minorHAnsi" w:hAnsiTheme="minorHAnsi" w:cstheme="minorBidi"/>
          <w:snapToGrid w:val="0"/>
          <w:szCs w:val="22"/>
        </w:rPr>
        <w:t xml:space="preserve"> stated this should not be the only group able to access these new treatments. In terms of value optimisation, the neurologists proposed the following</w:t>
      </w:r>
      <w:r w:rsidR="001A1940">
        <w:rPr>
          <w:rFonts w:asciiTheme="minorHAnsi" w:eastAsiaTheme="minorHAnsi" w:hAnsiTheme="minorHAnsi" w:cstheme="minorBidi"/>
          <w:snapToGrid w:val="0"/>
          <w:szCs w:val="22"/>
        </w:rPr>
        <w:t>:</w:t>
      </w:r>
      <w:r w:rsidR="00E453C5" w:rsidRPr="00E453C5">
        <w:rPr>
          <w:rFonts w:asciiTheme="minorHAnsi" w:hAnsiTheme="minorHAnsi"/>
          <w:bCs/>
          <w:snapToGrid w:val="0"/>
        </w:rPr>
        <w:t xml:space="preserve"> </w:t>
      </w:r>
    </w:p>
    <w:p w14:paraId="7753FE97" w14:textId="61142C07" w:rsidR="00E453C5" w:rsidRPr="00E453C5" w:rsidRDefault="00E453C5" w:rsidP="00873AF3">
      <w:pPr>
        <w:numPr>
          <w:ilvl w:val="0"/>
          <w:numId w:val="13"/>
        </w:numPr>
        <w:spacing w:after="120"/>
        <w:ind w:left="1134" w:hanging="425"/>
        <w:rPr>
          <w:rFonts w:asciiTheme="minorHAnsi" w:hAnsiTheme="minorHAnsi"/>
          <w:snapToGrid w:val="0"/>
        </w:rPr>
      </w:pPr>
      <w:r w:rsidRPr="00E453C5">
        <w:rPr>
          <w:rFonts w:asciiTheme="minorHAnsi" w:hAnsiTheme="minorHAnsi"/>
          <w:snapToGrid w:val="0"/>
        </w:rPr>
        <w:t xml:space="preserve">These therapies be restricted to generalised MG patients with AChR </w:t>
      </w:r>
      <w:r w:rsidR="005B4F74" w:rsidRPr="00E453C5">
        <w:rPr>
          <w:rFonts w:asciiTheme="minorHAnsi" w:hAnsiTheme="minorHAnsi"/>
          <w:snapToGrid w:val="0"/>
        </w:rPr>
        <w:t>antibodies.</w:t>
      </w:r>
    </w:p>
    <w:p w14:paraId="700D355E" w14:textId="775F1427" w:rsidR="00AF7D3D" w:rsidRPr="00356261" w:rsidRDefault="00003BB4" w:rsidP="00873AF3">
      <w:pPr>
        <w:pStyle w:val="COMexecsummbulletlist"/>
        <w:numPr>
          <w:ilvl w:val="0"/>
          <w:numId w:val="13"/>
        </w:numPr>
        <w:ind w:left="1134" w:hanging="425"/>
      </w:pPr>
      <w:bookmarkStart w:id="20" w:name="_Ref194917653"/>
      <w:r w:rsidRPr="00003BB4">
        <w:t>The severity of MG at commencement should be similar to the trial populations (MG-ADL of 5-6), which is more severe than the NBA criteria for IVIg. There should be a clinician-reported component to assessing the need for therapy and response. The clinician letter stated “this means also using MGC [Myasthenia Gravis Composite score]. Corresponding values MG-ADL 5-6 are MGC 10-12” noting the 95% confidence intervals for MGC values in patients entering the pivotal RCTs could help improve accuracy of the correlation.</w:t>
      </w:r>
      <w:bookmarkEnd w:id="20"/>
      <w:r w:rsidR="00AF7D3D">
        <w:t xml:space="preserve"> </w:t>
      </w:r>
    </w:p>
    <w:p w14:paraId="45C552C8" w14:textId="0AB7472F" w:rsidR="00AF7D3D" w:rsidRDefault="00AF7D3D" w:rsidP="00873AF3">
      <w:pPr>
        <w:pStyle w:val="COMexecsummbulletlist"/>
        <w:numPr>
          <w:ilvl w:val="0"/>
          <w:numId w:val="13"/>
        </w:numPr>
        <w:ind w:left="1134" w:hanging="425"/>
      </w:pPr>
      <w:bookmarkStart w:id="21" w:name="_Ref193199117"/>
      <w:r w:rsidRPr="00356261">
        <w:t>The therapy should be co-administered with two other therapies with remission induction intent, including corticosteroids and NS-ISTs. This does include therapeutic thymectomy which should be treated as equivalent to an NS</w:t>
      </w:r>
      <w:r w:rsidR="00DC656D">
        <w:t>-</w:t>
      </w:r>
      <w:r w:rsidRPr="00356261">
        <w:t>IST. This does not include pyridostigmine or other cholinesterase inhibitors</w:t>
      </w:r>
      <w:r>
        <w:t>.</w:t>
      </w:r>
      <w:bookmarkEnd w:id="21"/>
    </w:p>
    <w:p w14:paraId="3E059168" w14:textId="77777777" w:rsidR="00AF7D3D" w:rsidRDefault="00AF7D3D" w:rsidP="00873AF3">
      <w:pPr>
        <w:pStyle w:val="COMexecsummbulletlist"/>
        <w:numPr>
          <w:ilvl w:val="0"/>
          <w:numId w:val="13"/>
        </w:numPr>
        <w:ind w:left="1134" w:hanging="425"/>
      </w:pPr>
      <w:r w:rsidRPr="00356261">
        <w:t>Patients should either have had an adequate dose AND duration of these two other therapies, perhaps one year; OR be taking an adequate dose of these two other therapies without requiring a set duration AND have failed a loading course of IVI</w:t>
      </w:r>
      <w:r>
        <w:t>g</w:t>
      </w:r>
      <w:r w:rsidRPr="00356261">
        <w:t xml:space="preserve"> or plasma exchange</w:t>
      </w:r>
      <w:r>
        <w:t>.</w:t>
      </w:r>
    </w:p>
    <w:p w14:paraId="76A818F2" w14:textId="77777777" w:rsidR="00AF7D3D" w:rsidRDefault="00AF7D3D" w:rsidP="00873AF3">
      <w:pPr>
        <w:pStyle w:val="COMexecsummbulletlist"/>
        <w:numPr>
          <w:ilvl w:val="0"/>
          <w:numId w:val="13"/>
        </w:numPr>
        <w:ind w:left="1134" w:hanging="425"/>
      </w:pPr>
      <w:bookmarkStart w:id="22" w:name="_Ref193201006"/>
      <w:r w:rsidRPr="00356261">
        <w:t xml:space="preserve">Response to therapy should be assessed and the therapy only continued if there is a clear response, at least minimal clinically important differences (MCID) values of MG-ADL improvement by </w:t>
      </w:r>
      <w:r>
        <w:rPr>
          <w:rFonts w:cstheme="minorHAnsi"/>
        </w:rPr>
        <w:t>≥</w:t>
      </w:r>
      <w:r>
        <w:t xml:space="preserve"> </w:t>
      </w:r>
      <w:r w:rsidRPr="00356261">
        <w:t xml:space="preserve">2 points, MGC by </w:t>
      </w:r>
      <w:r>
        <w:rPr>
          <w:rFonts w:cstheme="minorHAnsi"/>
        </w:rPr>
        <w:t xml:space="preserve">≥ </w:t>
      </w:r>
      <w:r w:rsidRPr="00356261">
        <w:t>3 points. The timing of the test of response to therapy should be early</w:t>
      </w:r>
      <w:r>
        <w:t xml:space="preserve"> (at 2-16 weeks).</w:t>
      </w:r>
      <w:bookmarkEnd w:id="22"/>
    </w:p>
    <w:p w14:paraId="29D1F7C6" w14:textId="77777777" w:rsidR="00AF7D3D" w:rsidRDefault="00AF7D3D" w:rsidP="00873AF3">
      <w:pPr>
        <w:pStyle w:val="COMexecsummbulletlist"/>
        <w:numPr>
          <w:ilvl w:val="0"/>
          <w:numId w:val="13"/>
        </w:numPr>
        <w:ind w:left="1134" w:hanging="425"/>
      </w:pPr>
      <w:bookmarkStart w:id="23" w:name="_Ref193200938"/>
      <w:r>
        <w:t>“</w:t>
      </w:r>
      <w:r w:rsidRPr="00356261">
        <w:t>FcRn inhibitors are naturally stopped after 4 (efgartigimod) to 6 (rozanolixizumab) weeks of therapy. These therapies can be restarted if the severity of MG worsens to the minimum commencement threshold.</w:t>
      </w:r>
      <w:r>
        <w:t xml:space="preserve"> Note on second or subsequent cycles the starting severity score while at or above threshold might be better, the same or worse than the first cycle – the underlying MG severity can worsen over time in some patients. Over the course of 6 months therapy these gaps in treatment can be considered intermittent trials of suspension of therapy.”</w:t>
      </w:r>
      <w:bookmarkEnd w:id="23"/>
    </w:p>
    <w:p w14:paraId="771B2425" w14:textId="2B31EA77" w:rsidR="00AF7D3D" w:rsidRDefault="00AF7D3D" w:rsidP="00873AF3">
      <w:pPr>
        <w:pStyle w:val="COMexecsummbulletlist"/>
        <w:numPr>
          <w:ilvl w:val="0"/>
          <w:numId w:val="13"/>
        </w:numPr>
        <w:ind w:left="1134" w:hanging="425"/>
      </w:pPr>
      <w:r>
        <w:t>C</w:t>
      </w:r>
      <w:r w:rsidRPr="00356261">
        <w:t>omplement</w:t>
      </w:r>
      <w:r w:rsidRPr="00356261">
        <w:rPr>
          <w:rFonts w:eastAsiaTheme="minorHAnsi" w:cstheme="minorBidi"/>
          <w:szCs w:val="22"/>
        </w:rPr>
        <w:t xml:space="preserve"> inhibitors </w:t>
      </w:r>
      <w:r>
        <w:rPr>
          <w:rFonts w:eastAsiaTheme="minorHAnsi" w:cstheme="minorBidi"/>
          <w:szCs w:val="22"/>
        </w:rPr>
        <w:t xml:space="preserve">should </w:t>
      </w:r>
      <w:r w:rsidRPr="00356261">
        <w:rPr>
          <w:rFonts w:eastAsiaTheme="minorHAnsi" w:cstheme="minorBidi"/>
          <w:szCs w:val="22"/>
        </w:rPr>
        <w:t>be temporarily suspended</w:t>
      </w:r>
      <w:r w:rsidRPr="00356261">
        <w:t xml:space="preserve"> </w:t>
      </w:r>
      <w:r w:rsidRPr="00356261">
        <w:rPr>
          <w:rFonts w:eastAsiaTheme="minorHAnsi" w:cstheme="minorBidi"/>
          <w:szCs w:val="22"/>
        </w:rPr>
        <w:t>to see if they are still needed after a suitable period of therapy, perhaps one year in the first</w:t>
      </w:r>
      <w:r w:rsidRPr="00356261">
        <w:t xml:space="preserve"> instance and perhaps two years if a patient deteriorates on the initial suspension. “Complement inhibitors should not in our view be continued if they are not needed. There is no good reason to suppose the risks of temporarily stopping complement inhibitors are any greater than the risks of temporarily stopping IVIG, PLEX or FcRn inhibitors all of which routinely stopped. There is little published data on stopping complement inhibitors for </w:t>
      </w:r>
      <w:r w:rsidR="005B4F74" w:rsidRPr="00356261">
        <w:t>MG,</w:t>
      </w:r>
      <w:r w:rsidRPr="00356261">
        <w:t xml:space="preserve"> but we are aware that international colleagues have stopped complement inhibitors in MG patients without ill effects</w:t>
      </w:r>
      <w:r>
        <w:t>”</w:t>
      </w:r>
      <w:r w:rsidRPr="00356261">
        <w:t>.</w:t>
      </w:r>
    </w:p>
    <w:p w14:paraId="76BFB1C9" w14:textId="674688A3" w:rsidR="00E453C5" w:rsidRPr="00E453C5" w:rsidRDefault="00AF7D3D" w:rsidP="00873AF3">
      <w:pPr>
        <w:numPr>
          <w:ilvl w:val="0"/>
          <w:numId w:val="13"/>
        </w:numPr>
        <w:spacing w:after="120"/>
        <w:ind w:left="1134" w:hanging="425"/>
        <w:rPr>
          <w:rFonts w:asciiTheme="minorHAnsi" w:hAnsiTheme="minorHAnsi"/>
          <w:snapToGrid w:val="0"/>
        </w:rPr>
      </w:pPr>
      <w:r>
        <w:t>F</w:t>
      </w:r>
      <w:r w:rsidRPr="00356261">
        <w:t>inal restriction discussions should include input from a broader range of neurologists and also the patient association</w:t>
      </w:r>
      <w:r>
        <w:t>.</w:t>
      </w:r>
    </w:p>
    <w:p w14:paraId="0276B8DD" w14:textId="2ADD3AF7" w:rsidR="00407D8B" w:rsidRPr="00CE706B" w:rsidRDefault="00407D8B" w:rsidP="00873AF3">
      <w:pPr>
        <w:pStyle w:val="COMH2-non-numbered"/>
      </w:pPr>
      <w:r w:rsidRPr="00CE706B">
        <w:t xml:space="preserve">Clinical </w:t>
      </w:r>
      <w:r>
        <w:t>trial</w:t>
      </w:r>
      <w:r w:rsidRPr="00CE706B">
        <w:t>s</w:t>
      </w:r>
      <w:bookmarkEnd w:id="15"/>
    </w:p>
    <w:p w14:paraId="1F9EAB56" w14:textId="586A8787" w:rsidR="00407D8B" w:rsidRPr="00B036EB" w:rsidRDefault="00407D8B" w:rsidP="00873AF3">
      <w:pPr>
        <w:pStyle w:val="COMexecsummnumbered"/>
        <w:rPr>
          <w:lang w:val="en-GB"/>
        </w:rPr>
      </w:pPr>
      <w:r w:rsidRPr="5FA77DAB">
        <w:rPr>
          <w:lang w:val="en-GB"/>
        </w:rPr>
        <w:t>The submission was primarily based on one head-to-head randomised trial comparing rozanolixizumab to placebo in patients with generalised myasthenia gravis (MycarinG). The submission also presented results of two open-label extension studies of patients previously enrolled in MycarinG (MG0004,</w:t>
      </w:r>
      <w:r w:rsidR="00901D1F" w:rsidRPr="5FA77DAB">
        <w:rPr>
          <w:lang w:val="en-GB"/>
        </w:rPr>
        <w:t xml:space="preserve"> with </w:t>
      </w:r>
      <w:r w:rsidR="00C05252" w:rsidRPr="5FA77DAB">
        <w:rPr>
          <w:lang w:val="en-GB"/>
        </w:rPr>
        <w:t xml:space="preserve">patients receiving </w:t>
      </w:r>
      <w:r w:rsidR="00901D1F" w:rsidRPr="5FA77DAB">
        <w:rPr>
          <w:lang w:val="en-GB"/>
        </w:rPr>
        <w:t xml:space="preserve">continuous rozanolixizumab treatment for 52 weeks; and </w:t>
      </w:r>
      <w:r w:rsidRPr="5FA77DAB">
        <w:rPr>
          <w:lang w:val="en-GB"/>
        </w:rPr>
        <w:t>MG0007</w:t>
      </w:r>
      <w:r w:rsidR="00901D1F" w:rsidRPr="5FA77DAB">
        <w:rPr>
          <w:lang w:val="en-GB"/>
        </w:rPr>
        <w:t xml:space="preserve">, with </w:t>
      </w:r>
      <w:r w:rsidR="009F12EA" w:rsidRPr="5FA77DAB">
        <w:rPr>
          <w:lang w:val="en-GB"/>
        </w:rPr>
        <w:t xml:space="preserve">a fixed initial </w:t>
      </w:r>
      <w:r w:rsidR="005B4F74" w:rsidRPr="5FA77DAB">
        <w:rPr>
          <w:lang w:val="en-GB"/>
        </w:rPr>
        <w:t>6-week</w:t>
      </w:r>
      <w:r w:rsidR="009F12EA" w:rsidRPr="5FA77DAB">
        <w:rPr>
          <w:lang w:val="en-GB"/>
        </w:rPr>
        <w:t xml:space="preserve"> cycle followed by symptom-driven cycles as required</w:t>
      </w:r>
      <w:r w:rsidRPr="5FA77DAB">
        <w:rPr>
          <w:lang w:val="en-GB"/>
        </w:rPr>
        <w:t xml:space="preserve">) as supportive data. The submission presented results from an interim report for MG0007, with a data cut off </w:t>
      </w:r>
      <w:r w:rsidR="00AB3157" w:rsidRPr="5FA77DAB">
        <w:rPr>
          <w:lang w:val="en-GB"/>
        </w:rPr>
        <w:t>on</w:t>
      </w:r>
      <w:r w:rsidRPr="5FA77DAB">
        <w:rPr>
          <w:lang w:val="en-GB"/>
        </w:rPr>
        <w:t xml:space="preserve"> </w:t>
      </w:r>
      <w:r w:rsidR="00636E33" w:rsidRPr="5FA77DAB">
        <w:rPr>
          <w:lang w:val="en-GB"/>
        </w:rPr>
        <w:t>8 July</w:t>
      </w:r>
      <w:r w:rsidRPr="5FA77DAB">
        <w:rPr>
          <w:lang w:val="en-GB"/>
        </w:rPr>
        <w:t xml:space="preserve"> 2022. During the evaluation the final study report for MG0007 </w:t>
      </w:r>
      <w:r w:rsidR="009677D1" w:rsidRPr="5FA77DAB">
        <w:rPr>
          <w:lang w:val="en-GB"/>
        </w:rPr>
        <w:t xml:space="preserve">(July 2024) </w:t>
      </w:r>
      <w:r w:rsidRPr="5FA77DAB">
        <w:rPr>
          <w:lang w:val="en-GB"/>
        </w:rPr>
        <w:t xml:space="preserve">was provided. </w:t>
      </w:r>
    </w:p>
    <w:bookmarkEnd w:id="14"/>
    <w:p w14:paraId="304C4968" w14:textId="2A152BCB" w:rsidR="00517843" w:rsidRPr="00B036EB" w:rsidRDefault="61375804" w:rsidP="00873AF3">
      <w:pPr>
        <w:pStyle w:val="COMexecsummnumbered"/>
      </w:pPr>
      <w:r w:rsidRPr="7E0DBB7D">
        <w:t xml:space="preserve">In the MycarinG trial, patients were randomised 1:1:1 to one of two rozanolixizumab dose tiers (7 mg/kg or 10 mg/kg), or matched placebo. The rozanolixizumab arms </w:t>
      </w:r>
      <w:r w:rsidR="600672AC" w:rsidRPr="7E0DBB7D">
        <w:t xml:space="preserve">did </w:t>
      </w:r>
      <w:r w:rsidRPr="7E0DBB7D">
        <w:t xml:space="preserve">not represent actual dose strengths, but approximate doses (with actual doses received based on patient bodyweight </w:t>
      </w:r>
      <w:r w:rsidR="005B4F74" w:rsidRPr="7E0DBB7D">
        <w:t>category and</w:t>
      </w:r>
      <w:r w:rsidRPr="7E0DBB7D">
        <w:t xml:space="preserve"> are therefore referred to as ~7</w:t>
      </w:r>
      <w:r w:rsidR="006B29E3">
        <w:t> </w:t>
      </w:r>
      <w:r w:rsidRPr="7E0DBB7D">
        <w:t>mg/kg and ~10 mg/kg.</w:t>
      </w:r>
      <w:r w:rsidR="46F149D9" w:rsidRPr="7E0DBB7D">
        <w:t xml:space="preserve"> The submission stated that the rozanolixizumab ~7</w:t>
      </w:r>
      <w:r w:rsidR="006B29E3">
        <w:t> </w:t>
      </w:r>
      <w:r w:rsidR="46F149D9" w:rsidRPr="7E0DBB7D">
        <w:t>mg/kg dose strength is the same as recommended in the draft TGA Product Information.</w:t>
      </w:r>
    </w:p>
    <w:p w14:paraId="3F51C3B9" w14:textId="07070D0C" w:rsidR="00517843" w:rsidRPr="00B036EB" w:rsidRDefault="5BFB0583" w:rsidP="00873AF3">
      <w:pPr>
        <w:pStyle w:val="COMexecsummnumbered"/>
      </w:pPr>
      <w:r w:rsidRPr="7E0DBB7D">
        <w:t>The rozanolixizumab MG0004 and MG0007 extension studies re-randomised patients to either ~7 mg/kg or ~10 mg/kg dose tiers, using the same fixed doses by bodyweight as in the MycarinG trial. However, in both studies, patients were permitted to swap dose tiers from ~7 mg/kg to ~10 mg/kg or vice versa at the beginning of the treatment cycles for tolerability and efficacy reasons at the investigator’s discretion.</w:t>
      </w:r>
      <w:r w:rsidR="0550754C" w:rsidRPr="7E0DBB7D">
        <w:t xml:space="preserve"> </w:t>
      </w:r>
      <w:r w:rsidRPr="7E0DBB7D">
        <w:t xml:space="preserve">The TGA Delegate’s overview noted that the frequent dose switches across both dosing groups in MG0007 caused inconsistent drug exposure which </w:t>
      </w:r>
      <w:r w:rsidR="52B07867" w:rsidRPr="7E0DBB7D">
        <w:t>was</w:t>
      </w:r>
      <w:r w:rsidRPr="7E0DBB7D">
        <w:t xml:space="preserve"> not fully captured in the efficacy outcomes (group comparisons according to first dose in study, most recent dose for all cycle analyses and dose in the respective cycles for individual cycle analyses).</w:t>
      </w:r>
    </w:p>
    <w:p w14:paraId="1A7702A9" w14:textId="03CBF60F" w:rsidR="0032291D" w:rsidRPr="00B036EB" w:rsidRDefault="00517843" w:rsidP="00873AF3">
      <w:pPr>
        <w:pStyle w:val="COMexecsummnumbered"/>
        <w:rPr>
          <w:lang w:val="en-GB"/>
        </w:rPr>
      </w:pPr>
      <w:r w:rsidRPr="5FA77DAB">
        <w:rPr>
          <w:lang w:val="en-GB"/>
        </w:rPr>
        <w:t xml:space="preserve">It is unclear whether the availability of the ~10 mg/kg dose strength in the MG0007 study may have affected treatment compliance, as well as longer-term measures of efficacy and safety. The ~10 mg/kg dose in MG0007 was </w:t>
      </w:r>
      <w:r w:rsidR="007260CC" w:rsidRPr="5FA77DAB">
        <w:rPr>
          <w:lang w:val="en-GB"/>
        </w:rPr>
        <w:t>higher than</w:t>
      </w:r>
      <w:r w:rsidRPr="5FA77DAB">
        <w:rPr>
          <w:lang w:val="en-GB"/>
        </w:rPr>
        <w:t xml:space="preserve"> the recommended dose in the draft Product Information.</w:t>
      </w:r>
    </w:p>
    <w:p w14:paraId="5201E27F" w14:textId="02947B3F" w:rsidR="00B7178F" w:rsidRPr="00B036EB" w:rsidRDefault="510C3F04" w:rsidP="00873AF3">
      <w:pPr>
        <w:pStyle w:val="COMexecsummnumbered"/>
      </w:pPr>
      <w:r w:rsidRPr="7E0DBB7D">
        <w:t>The submission presented a series of indirect comparisons versus IVIg (</w:t>
      </w:r>
      <w:r w:rsidR="6C583CD0" w:rsidRPr="7E0DBB7D">
        <w:t>NCT02473952 published during the evaluation as Bril 2024, Wolfe 2002, Zinman 2007</w:t>
      </w:r>
      <w:r w:rsidR="0D83CB2C" w:rsidRPr="7E0DBB7D">
        <w:t>) and efgartigimod (ADAPT, Howard 2019)</w:t>
      </w:r>
      <w:r w:rsidR="6C583CD0" w:rsidRPr="7E0DBB7D">
        <w:t xml:space="preserve">. </w:t>
      </w:r>
      <w:r w:rsidR="26E3A95D" w:rsidRPr="7E0DBB7D">
        <w:t>The indirect comparisons</w:t>
      </w:r>
      <w:r w:rsidR="2D979C6E" w:rsidRPr="7E0DBB7D">
        <w:t xml:space="preserve"> were conducted using the ITT population from MycarinG as well as</w:t>
      </w:r>
      <w:r w:rsidR="56A934BC" w:rsidRPr="7E0DBB7D">
        <w:t xml:space="preserve"> the subgroup of AChR-positive patients (approximately 80% of the whole trial population).</w:t>
      </w:r>
      <w:r w:rsidR="26E3A95D" w:rsidRPr="7E0DBB7D">
        <w:t xml:space="preserve"> </w:t>
      </w:r>
      <w:r w:rsidR="2D979C6E" w:rsidRPr="7E0DBB7D">
        <w:t>The submission stated that results of the indirect comparison</w:t>
      </w:r>
      <w:r w:rsidR="3A6947BF" w:rsidRPr="7E0DBB7D">
        <w:t>s</w:t>
      </w:r>
      <w:r w:rsidR="2D979C6E" w:rsidRPr="7E0DBB7D">
        <w:t xml:space="preserve"> using the AChR-positive subgroup from MycarinG were consistent with the overall MycarinG ITT population. Results of the indirect comparison utilising the ITT population of MycarinG are presented below.</w:t>
      </w:r>
    </w:p>
    <w:p w14:paraId="360109FE" w14:textId="512E769C" w:rsidR="005A4E82" w:rsidRPr="00B036EB" w:rsidRDefault="5F11AEAD" w:rsidP="00873AF3">
      <w:pPr>
        <w:pStyle w:val="COMexecsummnumbered"/>
      </w:pPr>
      <w:r w:rsidRPr="7E0DBB7D">
        <w:t>The submission did not identify any trials that would allow for an indirect comparison of rozanolixizumab with PLEX.</w:t>
      </w:r>
    </w:p>
    <w:p w14:paraId="5C7A2B04" w14:textId="12E32323" w:rsidR="006671B8" w:rsidRDefault="00A73134" w:rsidP="00873AF3">
      <w:pPr>
        <w:pStyle w:val="COMexecsummnumbered"/>
      </w:pPr>
      <w:r w:rsidRPr="00B036EB">
        <w:t xml:space="preserve">Details of the </w:t>
      </w:r>
      <w:r w:rsidR="005A4E82" w:rsidRPr="00B036EB">
        <w:t>inclu</w:t>
      </w:r>
      <w:r w:rsidR="000E4EEB" w:rsidRPr="00B036EB">
        <w:t>ded trials are</w:t>
      </w:r>
      <w:r w:rsidRPr="00B036EB">
        <w:t xml:space="preserve"> presented in the submission are provided in</w:t>
      </w:r>
      <w:r w:rsidR="006671B8" w:rsidRPr="00B036EB">
        <w:t xml:space="preserve"> </w:t>
      </w:r>
      <w:r w:rsidRPr="00B036EB">
        <w:fldChar w:fldCharType="begin" w:fldLock="1"/>
      </w:r>
      <w:r w:rsidRPr="00B036EB">
        <w:instrText>REF _Ref185286223</w:instrText>
      </w:r>
      <w:r w:rsidR="00B036EB" w:rsidRPr="00B036EB">
        <w:instrText xml:space="preserve"> \* MERGEFORMAT </w:instrText>
      </w:r>
      <w:r w:rsidRPr="00B036EB">
        <w:fldChar w:fldCharType="separate"/>
      </w:r>
      <w:r w:rsidR="00E70E55">
        <w:t xml:space="preserve">Table </w:t>
      </w:r>
      <w:r w:rsidR="00E70E55">
        <w:rPr>
          <w:noProof/>
        </w:rPr>
        <w:t>2</w:t>
      </w:r>
      <w:r w:rsidRPr="00B036EB">
        <w:fldChar w:fldCharType="end"/>
      </w:r>
      <w:r w:rsidRPr="00B036EB">
        <w:t>.</w:t>
      </w:r>
    </w:p>
    <w:p w14:paraId="01668514" w14:textId="266A082C" w:rsidR="00143F53" w:rsidRPr="00CE706B" w:rsidRDefault="00143F53" w:rsidP="00873AF3">
      <w:pPr>
        <w:pStyle w:val="Caption"/>
        <w:keepNext/>
        <w:keepLines/>
        <w:spacing w:before="120"/>
      </w:pPr>
      <w:bookmarkStart w:id="24" w:name="_Ref185286223"/>
      <w:bookmarkStart w:id="25" w:name="_Ref104803956"/>
      <w:r>
        <w:t xml:space="preserve">Table </w:t>
      </w:r>
      <w:r>
        <w:fldChar w:fldCharType="begin" w:fldLock="1"/>
      </w:r>
      <w:r>
        <w:instrText>SEQ Table \* ARABIC</w:instrText>
      </w:r>
      <w:r>
        <w:fldChar w:fldCharType="separate"/>
      </w:r>
      <w:r w:rsidR="00E70E55">
        <w:rPr>
          <w:noProof/>
        </w:rPr>
        <w:t>2</w:t>
      </w:r>
      <w:r>
        <w:fldChar w:fldCharType="end"/>
      </w:r>
      <w:bookmarkEnd w:id="24"/>
      <w:r w:rsidRPr="00CE706B">
        <w:t xml:space="preserve">: </w:t>
      </w:r>
      <w:r>
        <w:t>Trials</w:t>
      </w:r>
      <w:r w:rsidRPr="00CE706B">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143F53" w:rsidRPr="00CE706B" w14:paraId="6D6D22DB" w14:textId="77777777" w:rsidTr="00BB7A7D">
        <w:trPr>
          <w:tblHeader/>
        </w:trPr>
        <w:tc>
          <w:tcPr>
            <w:tcW w:w="796" w:type="pct"/>
            <w:vAlign w:val="center"/>
          </w:tcPr>
          <w:p w14:paraId="550C0CBB" w14:textId="77777777" w:rsidR="00143F53" w:rsidRPr="00CE706B" w:rsidRDefault="00143F53" w:rsidP="00873AF3">
            <w:pPr>
              <w:pStyle w:val="COMTableheadingrow"/>
              <w:keepLines/>
            </w:pPr>
            <w:r w:rsidRPr="00CE706B">
              <w:t>Trial ID</w:t>
            </w:r>
          </w:p>
        </w:tc>
        <w:tc>
          <w:tcPr>
            <w:tcW w:w="3027" w:type="pct"/>
            <w:vAlign w:val="center"/>
          </w:tcPr>
          <w:p w14:paraId="4A51522D" w14:textId="77777777" w:rsidR="00143F53" w:rsidRPr="00CE706B" w:rsidRDefault="00143F53" w:rsidP="00873AF3">
            <w:pPr>
              <w:pStyle w:val="COMTableheadingrow"/>
              <w:keepLines/>
              <w:rPr>
                <w:lang w:val="en-AU"/>
              </w:rPr>
            </w:pPr>
            <w:r w:rsidRPr="00CE706B">
              <w:rPr>
                <w:lang w:val="en-AU"/>
              </w:rPr>
              <w:t>Protocol title/ Publication title</w:t>
            </w:r>
          </w:p>
        </w:tc>
        <w:tc>
          <w:tcPr>
            <w:tcW w:w="1177" w:type="pct"/>
            <w:vAlign w:val="center"/>
          </w:tcPr>
          <w:p w14:paraId="2CCA7166" w14:textId="77777777" w:rsidR="00143F53" w:rsidRPr="00CE706B" w:rsidRDefault="00143F53" w:rsidP="00873AF3">
            <w:pPr>
              <w:pStyle w:val="COMTableheadingrow"/>
              <w:keepLines/>
              <w:rPr>
                <w:lang w:val="en-AU"/>
              </w:rPr>
            </w:pPr>
            <w:r w:rsidRPr="00CE706B">
              <w:rPr>
                <w:lang w:val="en-AU"/>
              </w:rPr>
              <w:t>Publication citation</w:t>
            </w:r>
          </w:p>
        </w:tc>
      </w:tr>
      <w:tr w:rsidR="00143F53" w:rsidRPr="00CE706B" w14:paraId="1DEA3FB4" w14:textId="77777777" w:rsidTr="00BB7A7D">
        <w:tc>
          <w:tcPr>
            <w:tcW w:w="5000" w:type="pct"/>
            <w:gridSpan w:val="3"/>
            <w:vAlign w:val="center"/>
          </w:tcPr>
          <w:p w14:paraId="0EDF0C5F" w14:textId="77777777" w:rsidR="00143F53" w:rsidRPr="00CE706B" w:rsidRDefault="00143F53" w:rsidP="00873AF3">
            <w:pPr>
              <w:pStyle w:val="COMTableheadingrow"/>
              <w:keepLines/>
              <w:rPr>
                <w:lang w:val="en-AU"/>
              </w:rPr>
            </w:pPr>
            <w:r w:rsidRPr="00CE706B">
              <w:rPr>
                <w:lang w:val="en-AU"/>
              </w:rPr>
              <w:t>Rozanolixizumab trials</w:t>
            </w:r>
          </w:p>
        </w:tc>
      </w:tr>
      <w:tr w:rsidR="00143F53" w:rsidRPr="00CE706B" w14:paraId="20853D93" w14:textId="77777777" w:rsidTr="00BB7A7D">
        <w:tc>
          <w:tcPr>
            <w:tcW w:w="796" w:type="pct"/>
            <w:vMerge w:val="restart"/>
            <w:vAlign w:val="center"/>
          </w:tcPr>
          <w:p w14:paraId="3E9A8FCB" w14:textId="77777777" w:rsidR="00143F53" w:rsidRPr="00CE706B" w:rsidRDefault="00143F53" w:rsidP="00873AF3">
            <w:pPr>
              <w:pStyle w:val="COMTabletext"/>
              <w:keepLines/>
            </w:pPr>
            <w:r w:rsidRPr="00CE706B">
              <w:t>MycarinG</w:t>
            </w:r>
          </w:p>
          <w:p w14:paraId="4A8B2973" w14:textId="77777777" w:rsidR="00143F53" w:rsidRPr="00CE706B" w:rsidRDefault="00143F53" w:rsidP="00873AF3">
            <w:pPr>
              <w:pStyle w:val="COMTabletext"/>
              <w:keepLines/>
            </w:pPr>
            <w:r w:rsidRPr="00CE706B">
              <w:t>(MG0003)</w:t>
            </w:r>
          </w:p>
        </w:tc>
        <w:tc>
          <w:tcPr>
            <w:tcW w:w="3027" w:type="pct"/>
            <w:tcBorders>
              <w:bottom w:val="nil"/>
            </w:tcBorders>
            <w:vAlign w:val="center"/>
          </w:tcPr>
          <w:p w14:paraId="57C1FE49" w14:textId="77777777" w:rsidR="00143F53" w:rsidRPr="00B036EB" w:rsidRDefault="00143F53" w:rsidP="00873AF3">
            <w:pPr>
              <w:pStyle w:val="COMTabletext"/>
              <w:keepLines/>
            </w:pPr>
            <w:r w:rsidRPr="00B036EB">
              <w:t>A phase 3, randomized, double-blind, placebo-controlled study evaluating efficacy and safety of rozanolixizumab in adult patients with generalized myasthenia gravis.</w:t>
            </w:r>
          </w:p>
        </w:tc>
        <w:tc>
          <w:tcPr>
            <w:tcW w:w="1177" w:type="pct"/>
            <w:tcBorders>
              <w:bottom w:val="nil"/>
            </w:tcBorders>
          </w:tcPr>
          <w:p w14:paraId="48452ABC" w14:textId="77777777" w:rsidR="00143F53" w:rsidRPr="00B036EB" w:rsidRDefault="00143F53" w:rsidP="00873AF3">
            <w:pPr>
              <w:pStyle w:val="COMTabletext"/>
              <w:keepLines/>
            </w:pPr>
            <w:r w:rsidRPr="00B036EB">
              <w:t>Clinical Study Report, 19 April 2022</w:t>
            </w:r>
          </w:p>
        </w:tc>
      </w:tr>
      <w:tr w:rsidR="00143F53" w:rsidRPr="00CE706B" w14:paraId="0473A93F" w14:textId="77777777" w:rsidTr="00BB7A7D">
        <w:tc>
          <w:tcPr>
            <w:tcW w:w="796" w:type="pct"/>
            <w:vMerge/>
            <w:vAlign w:val="center"/>
          </w:tcPr>
          <w:p w14:paraId="3297EA9F" w14:textId="77777777" w:rsidR="00143F53" w:rsidRPr="00CE706B" w:rsidRDefault="00143F53" w:rsidP="00873AF3">
            <w:pPr>
              <w:pStyle w:val="COMTabletext"/>
              <w:keepLines/>
            </w:pPr>
          </w:p>
        </w:tc>
        <w:tc>
          <w:tcPr>
            <w:tcW w:w="3027" w:type="pct"/>
            <w:tcBorders>
              <w:top w:val="nil"/>
              <w:bottom w:val="nil"/>
            </w:tcBorders>
            <w:vAlign w:val="center"/>
          </w:tcPr>
          <w:p w14:paraId="0910B4C6" w14:textId="77777777" w:rsidR="00143F53" w:rsidRPr="00B036EB" w:rsidRDefault="00143F53" w:rsidP="00873AF3">
            <w:pPr>
              <w:pStyle w:val="COMTabletext"/>
              <w:keepLines/>
            </w:pPr>
            <w:r w:rsidRPr="00B036EB">
              <w:t>Bril et al. Safety and efficacy of rozanolixizumab in patients with generalized myasthenia gravis (MycarinG): A randomised, double-blind, placebo-controlled, adaptive phase 3 study.</w:t>
            </w:r>
          </w:p>
        </w:tc>
        <w:tc>
          <w:tcPr>
            <w:tcW w:w="1177" w:type="pct"/>
            <w:tcBorders>
              <w:top w:val="nil"/>
              <w:bottom w:val="nil"/>
            </w:tcBorders>
          </w:tcPr>
          <w:p w14:paraId="60F3CFB1" w14:textId="77777777" w:rsidR="00143F53" w:rsidRPr="00B036EB" w:rsidRDefault="00143F53" w:rsidP="00873AF3">
            <w:pPr>
              <w:pStyle w:val="COMTabletext"/>
              <w:keepLines/>
            </w:pPr>
            <w:r w:rsidRPr="00B036EB">
              <w:t>Lancet Neurol. 2023; 22(5):383-394</w:t>
            </w:r>
          </w:p>
        </w:tc>
      </w:tr>
      <w:tr w:rsidR="00143F53" w:rsidRPr="00CE706B" w14:paraId="3CBB18F1" w14:textId="77777777" w:rsidTr="00BB7A7D">
        <w:tc>
          <w:tcPr>
            <w:tcW w:w="796" w:type="pct"/>
            <w:tcBorders>
              <w:bottom w:val="nil"/>
            </w:tcBorders>
            <w:vAlign w:val="center"/>
          </w:tcPr>
          <w:p w14:paraId="64309799" w14:textId="77777777" w:rsidR="00143F53" w:rsidRPr="00CE706B" w:rsidRDefault="00143F53" w:rsidP="00873AF3">
            <w:pPr>
              <w:pStyle w:val="TableText"/>
              <w:widowControl/>
            </w:pPr>
            <w:r w:rsidRPr="00CE706B">
              <w:t>MG0004</w:t>
            </w:r>
          </w:p>
        </w:tc>
        <w:tc>
          <w:tcPr>
            <w:tcW w:w="3027" w:type="pct"/>
            <w:tcBorders>
              <w:bottom w:val="nil"/>
            </w:tcBorders>
            <w:vAlign w:val="center"/>
          </w:tcPr>
          <w:p w14:paraId="3734ADE3" w14:textId="77777777" w:rsidR="00143F53" w:rsidRPr="00B036EB" w:rsidRDefault="00143F53" w:rsidP="00873AF3">
            <w:pPr>
              <w:pStyle w:val="COMTabletext"/>
              <w:keepLines/>
            </w:pPr>
            <w:r w:rsidRPr="00B036EB">
              <w:t>A randomized, open-label extension study to investigate the long-term safety, tolerability and efficacy of rozanolixizumab in adult patients with generalised myasthenia gravis.</w:t>
            </w:r>
          </w:p>
        </w:tc>
        <w:tc>
          <w:tcPr>
            <w:tcW w:w="1177" w:type="pct"/>
            <w:tcBorders>
              <w:bottom w:val="nil"/>
            </w:tcBorders>
          </w:tcPr>
          <w:p w14:paraId="7AFFA71E" w14:textId="77777777" w:rsidR="00143F53" w:rsidRPr="00B036EB" w:rsidRDefault="00143F53" w:rsidP="00873AF3">
            <w:pPr>
              <w:pStyle w:val="COMTabletext"/>
              <w:keepLines/>
            </w:pPr>
            <w:r w:rsidRPr="00B036EB">
              <w:t>Clinical Study Report, 19 April 2022</w:t>
            </w:r>
          </w:p>
        </w:tc>
      </w:tr>
      <w:tr w:rsidR="00143F53" w:rsidRPr="00CE706B" w14:paraId="2FECF186" w14:textId="77777777" w:rsidTr="00BB7A7D">
        <w:tc>
          <w:tcPr>
            <w:tcW w:w="796" w:type="pct"/>
            <w:tcBorders>
              <w:bottom w:val="nil"/>
            </w:tcBorders>
            <w:vAlign w:val="center"/>
          </w:tcPr>
          <w:p w14:paraId="70B8B6E1" w14:textId="77777777" w:rsidR="00143F53" w:rsidRPr="00CE706B" w:rsidRDefault="00143F53" w:rsidP="00873AF3">
            <w:pPr>
              <w:pStyle w:val="TableText"/>
              <w:widowControl/>
            </w:pPr>
            <w:r w:rsidRPr="00CE706B">
              <w:t>MG0007</w:t>
            </w:r>
          </w:p>
        </w:tc>
        <w:tc>
          <w:tcPr>
            <w:tcW w:w="3027" w:type="pct"/>
            <w:tcBorders>
              <w:bottom w:val="nil"/>
            </w:tcBorders>
            <w:vAlign w:val="center"/>
          </w:tcPr>
          <w:p w14:paraId="794CD410" w14:textId="77777777" w:rsidR="00143F53" w:rsidRPr="00B036EB" w:rsidRDefault="00143F53" w:rsidP="00873AF3">
            <w:pPr>
              <w:pStyle w:val="COMTabletext"/>
              <w:keepLines/>
            </w:pPr>
            <w:r w:rsidRPr="00B036EB">
              <w:t>An open-label extension study to evaluate rozanolixizumab in study participants with generalised myasthenia gravis.</w:t>
            </w:r>
          </w:p>
        </w:tc>
        <w:tc>
          <w:tcPr>
            <w:tcW w:w="1177" w:type="pct"/>
            <w:tcBorders>
              <w:bottom w:val="nil"/>
            </w:tcBorders>
          </w:tcPr>
          <w:p w14:paraId="1370739C" w14:textId="77777777" w:rsidR="00143F53" w:rsidRPr="00B036EB" w:rsidRDefault="00143F53" w:rsidP="00873AF3">
            <w:pPr>
              <w:pStyle w:val="COMTabletext"/>
              <w:keepLines/>
            </w:pPr>
            <w:r w:rsidRPr="00B036EB">
              <w:t>Interim Clinical Study Report, 17 August 2022</w:t>
            </w:r>
          </w:p>
          <w:p w14:paraId="5C0FDCA5" w14:textId="77777777" w:rsidR="00143F53" w:rsidRPr="00B036EB" w:rsidRDefault="00143F53" w:rsidP="00873AF3">
            <w:pPr>
              <w:pStyle w:val="COMTabletext"/>
              <w:keepLines/>
            </w:pPr>
          </w:p>
          <w:p w14:paraId="67908FE3" w14:textId="77777777" w:rsidR="00143F53" w:rsidRPr="00B036EB" w:rsidRDefault="00143F53" w:rsidP="00873AF3">
            <w:pPr>
              <w:pStyle w:val="COMTabletext"/>
              <w:keepLines/>
            </w:pPr>
            <w:r w:rsidRPr="00B036EB">
              <w:t>Final Clinical Study Report, 12 June 2024</w:t>
            </w:r>
          </w:p>
        </w:tc>
      </w:tr>
      <w:tr w:rsidR="00143F53" w:rsidRPr="00CE706B" w14:paraId="36C3561A" w14:textId="77777777" w:rsidTr="00BB7A7D">
        <w:tc>
          <w:tcPr>
            <w:tcW w:w="5000" w:type="pct"/>
            <w:gridSpan w:val="3"/>
            <w:tcBorders>
              <w:top w:val="single" w:sz="4" w:space="0" w:color="auto"/>
              <w:bottom w:val="single" w:sz="4" w:space="0" w:color="auto"/>
            </w:tcBorders>
            <w:vAlign w:val="center"/>
          </w:tcPr>
          <w:p w14:paraId="2FFA7766" w14:textId="77777777" w:rsidR="00143F53" w:rsidRPr="00B036EB" w:rsidRDefault="00143F53" w:rsidP="00873AF3">
            <w:pPr>
              <w:pStyle w:val="COMTabletext"/>
              <w:keepLines/>
              <w:rPr>
                <w:b/>
                <w:bCs w:val="0"/>
              </w:rPr>
            </w:pPr>
            <w:r w:rsidRPr="00B036EB">
              <w:rPr>
                <w:b/>
                <w:bCs w:val="0"/>
              </w:rPr>
              <w:t>IVIg trials</w:t>
            </w:r>
          </w:p>
        </w:tc>
      </w:tr>
      <w:tr w:rsidR="00143F53" w:rsidRPr="00CE706B" w14:paraId="66667B26" w14:textId="77777777" w:rsidTr="00BB7A7D">
        <w:tc>
          <w:tcPr>
            <w:tcW w:w="796" w:type="pct"/>
            <w:tcBorders>
              <w:top w:val="single" w:sz="4" w:space="0" w:color="auto"/>
              <w:bottom w:val="nil"/>
            </w:tcBorders>
            <w:vAlign w:val="center"/>
          </w:tcPr>
          <w:p w14:paraId="7ECAF94F" w14:textId="77777777" w:rsidR="00143F53" w:rsidRPr="00CE706B" w:rsidRDefault="00143F53" w:rsidP="00873AF3">
            <w:pPr>
              <w:pStyle w:val="COMTabletext"/>
              <w:keepLines/>
            </w:pPr>
            <w:r w:rsidRPr="00CE706B">
              <w:t>Bril 2024</w:t>
            </w:r>
          </w:p>
        </w:tc>
        <w:tc>
          <w:tcPr>
            <w:tcW w:w="3027" w:type="pct"/>
            <w:tcBorders>
              <w:top w:val="single" w:sz="4" w:space="0" w:color="auto"/>
              <w:bottom w:val="nil"/>
            </w:tcBorders>
            <w:vAlign w:val="center"/>
          </w:tcPr>
          <w:p w14:paraId="4BCB520C" w14:textId="77777777" w:rsidR="00143F53" w:rsidRPr="00B036EB" w:rsidRDefault="00143F53" w:rsidP="00873AF3">
            <w:pPr>
              <w:pStyle w:val="COMTabletext"/>
              <w:keepLines/>
            </w:pPr>
            <w:r w:rsidRPr="00B036EB">
              <w:t xml:space="preserve">A study to evaluate the efficacy and safety of IGIV-C in symptomatic subjects with generalized myasthenia gravis; </w:t>
            </w:r>
            <w:bookmarkStart w:id="26" w:name="_Hlk193979096"/>
            <w:r w:rsidRPr="00B036EB">
              <w:t>NCT02473952</w:t>
            </w:r>
            <w:bookmarkEnd w:id="26"/>
          </w:p>
        </w:tc>
        <w:tc>
          <w:tcPr>
            <w:tcW w:w="1177" w:type="pct"/>
            <w:tcBorders>
              <w:top w:val="single" w:sz="4" w:space="0" w:color="auto"/>
              <w:bottom w:val="nil"/>
            </w:tcBorders>
          </w:tcPr>
          <w:p w14:paraId="5217640F" w14:textId="77777777" w:rsidR="00143F53" w:rsidRPr="00B036EB" w:rsidRDefault="00143F53" w:rsidP="00873AF3">
            <w:pPr>
              <w:pStyle w:val="COMTabletext"/>
              <w:keepLines/>
            </w:pPr>
            <w:r w:rsidRPr="00B036EB">
              <w:t>Clinicaltrials.gov</w:t>
            </w:r>
          </w:p>
        </w:tc>
      </w:tr>
      <w:tr w:rsidR="00143F53" w:rsidRPr="00CE706B" w14:paraId="7867F15F" w14:textId="77777777" w:rsidTr="00BB7A7D">
        <w:tc>
          <w:tcPr>
            <w:tcW w:w="796" w:type="pct"/>
            <w:tcBorders>
              <w:top w:val="nil"/>
              <w:bottom w:val="single" w:sz="4" w:space="0" w:color="auto"/>
            </w:tcBorders>
            <w:vAlign w:val="center"/>
          </w:tcPr>
          <w:p w14:paraId="048F49A2" w14:textId="77777777" w:rsidR="00143F53" w:rsidRPr="00CE706B" w:rsidRDefault="00143F53" w:rsidP="00873AF3">
            <w:pPr>
              <w:pStyle w:val="COMTabletext"/>
              <w:keepLines/>
            </w:pPr>
          </w:p>
        </w:tc>
        <w:tc>
          <w:tcPr>
            <w:tcW w:w="3027" w:type="pct"/>
            <w:tcBorders>
              <w:top w:val="nil"/>
              <w:bottom w:val="single" w:sz="4" w:space="0" w:color="auto"/>
            </w:tcBorders>
            <w:vAlign w:val="center"/>
          </w:tcPr>
          <w:p w14:paraId="080883C0" w14:textId="77777777" w:rsidR="00143F53" w:rsidRPr="00B036EB" w:rsidRDefault="00143F53" w:rsidP="00873AF3">
            <w:pPr>
              <w:pStyle w:val="COMTabletext"/>
              <w:keepLines/>
              <w:rPr>
                <w:lang w:val="en-GB"/>
              </w:rPr>
            </w:pPr>
            <w:r w:rsidRPr="5FA77DAB">
              <w:rPr>
                <w:lang w:val="en-GB"/>
              </w:rPr>
              <w:t>Bril V. Berkowicz T, Szczudlik A, et al. Efficacy and safety of maintenance intravenous immunoglobulin in generalized myasthenia gravis patients with acetylcholine receptor antibodies: A multicenter, double-blind, placebo-controlled trial.</w:t>
            </w:r>
          </w:p>
        </w:tc>
        <w:tc>
          <w:tcPr>
            <w:tcW w:w="1177" w:type="pct"/>
            <w:tcBorders>
              <w:top w:val="nil"/>
              <w:bottom w:val="single" w:sz="4" w:space="0" w:color="auto"/>
            </w:tcBorders>
          </w:tcPr>
          <w:p w14:paraId="49B3238F" w14:textId="77777777" w:rsidR="00143F53" w:rsidRPr="00B036EB" w:rsidRDefault="00143F53" w:rsidP="00873AF3">
            <w:pPr>
              <w:pStyle w:val="COMTabletext"/>
              <w:keepLines/>
            </w:pPr>
            <w:r w:rsidRPr="00B036EB">
              <w:t>Muscle and Nerve 2024; 1-12</w:t>
            </w:r>
          </w:p>
        </w:tc>
      </w:tr>
      <w:tr w:rsidR="00143F53" w:rsidRPr="00CE706B" w14:paraId="3ECE6A74" w14:textId="77777777" w:rsidTr="00BB7A7D">
        <w:tc>
          <w:tcPr>
            <w:tcW w:w="796" w:type="pct"/>
            <w:tcBorders>
              <w:top w:val="nil"/>
              <w:bottom w:val="single" w:sz="4" w:space="0" w:color="auto"/>
            </w:tcBorders>
            <w:vAlign w:val="center"/>
          </w:tcPr>
          <w:p w14:paraId="46A3D434" w14:textId="77777777" w:rsidR="00143F53" w:rsidRPr="00CE706B" w:rsidRDefault="00143F53" w:rsidP="00873AF3">
            <w:pPr>
              <w:pStyle w:val="COMTabletext"/>
              <w:keepLines/>
            </w:pPr>
            <w:r w:rsidRPr="00CE706B">
              <w:t>Wolfe 2002</w:t>
            </w:r>
          </w:p>
        </w:tc>
        <w:tc>
          <w:tcPr>
            <w:tcW w:w="3027" w:type="pct"/>
            <w:tcBorders>
              <w:top w:val="nil"/>
              <w:bottom w:val="single" w:sz="4" w:space="0" w:color="auto"/>
            </w:tcBorders>
            <w:vAlign w:val="center"/>
          </w:tcPr>
          <w:p w14:paraId="1610B120" w14:textId="77777777" w:rsidR="00143F53" w:rsidRPr="00B036EB" w:rsidRDefault="00143F53" w:rsidP="00873AF3">
            <w:pPr>
              <w:pStyle w:val="COMTabletext"/>
              <w:keepLines/>
            </w:pPr>
            <w:r w:rsidRPr="00B036EB">
              <w:t>Wolfe GI, Barohn RJ, Foster BM, et al. Randomized, controlled trial of intravenous immunoglobulin in myasthenia gravis.</w:t>
            </w:r>
          </w:p>
        </w:tc>
        <w:tc>
          <w:tcPr>
            <w:tcW w:w="1177" w:type="pct"/>
            <w:tcBorders>
              <w:top w:val="nil"/>
              <w:bottom w:val="single" w:sz="4" w:space="0" w:color="auto"/>
            </w:tcBorders>
          </w:tcPr>
          <w:p w14:paraId="1967D120" w14:textId="77777777" w:rsidR="00143F53" w:rsidRPr="00B036EB" w:rsidRDefault="00143F53" w:rsidP="00873AF3">
            <w:pPr>
              <w:pStyle w:val="COMTabletext"/>
              <w:keepLines/>
            </w:pPr>
            <w:r w:rsidRPr="00B036EB">
              <w:t>Muscle and Nerve 2002; October: 549-552</w:t>
            </w:r>
          </w:p>
        </w:tc>
      </w:tr>
      <w:tr w:rsidR="00143F53" w:rsidRPr="00CE706B" w14:paraId="62C683CE" w14:textId="77777777" w:rsidTr="00BB7A7D">
        <w:tc>
          <w:tcPr>
            <w:tcW w:w="796" w:type="pct"/>
            <w:tcBorders>
              <w:top w:val="nil"/>
              <w:bottom w:val="single" w:sz="4" w:space="0" w:color="auto"/>
            </w:tcBorders>
            <w:vAlign w:val="center"/>
          </w:tcPr>
          <w:p w14:paraId="0FD6B5F7" w14:textId="77777777" w:rsidR="00143F53" w:rsidRPr="00CE706B" w:rsidRDefault="00143F53" w:rsidP="00873AF3">
            <w:pPr>
              <w:pStyle w:val="COMTabletext"/>
              <w:keepLines/>
            </w:pPr>
            <w:r w:rsidRPr="00CE706B">
              <w:t>Zinman 2007</w:t>
            </w:r>
          </w:p>
        </w:tc>
        <w:tc>
          <w:tcPr>
            <w:tcW w:w="3027" w:type="pct"/>
            <w:tcBorders>
              <w:top w:val="nil"/>
              <w:bottom w:val="single" w:sz="4" w:space="0" w:color="auto"/>
            </w:tcBorders>
            <w:vAlign w:val="center"/>
          </w:tcPr>
          <w:p w14:paraId="3B0F85B2" w14:textId="77777777" w:rsidR="00143F53" w:rsidRPr="00B036EB" w:rsidRDefault="00143F53" w:rsidP="00873AF3">
            <w:pPr>
              <w:pStyle w:val="COMTabletext"/>
              <w:keepLines/>
            </w:pPr>
            <w:r w:rsidRPr="00B036EB">
              <w:t>Zinman L, Ng E, Bril V. IV immunoglobulin in patients with myasthenia gravis: A randomized controlled trial.</w:t>
            </w:r>
          </w:p>
        </w:tc>
        <w:tc>
          <w:tcPr>
            <w:tcW w:w="1177" w:type="pct"/>
            <w:tcBorders>
              <w:top w:val="nil"/>
              <w:bottom w:val="single" w:sz="4" w:space="0" w:color="auto"/>
            </w:tcBorders>
          </w:tcPr>
          <w:p w14:paraId="5D88C3A5" w14:textId="77777777" w:rsidR="00143F53" w:rsidRPr="00B036EB" w:rsidRDefault="00143F53" w:rsidP="00873AF3">
            <w:pPr>
              <w:pStyle w:val="COMTabletext"/>
              <w:keepLines/>
            </w:pPr>
            <w:r w:rsidRPr="00B036EB">
              <w:t>Neurology 2007;68: 837-841</w:t>
            </w:r>
          </w:p>
        </w:tc>
      </w:tr>
      <w:tr w:rsidR="00143F53" w:rsidRPr="00CE706B" w14:paraId="538A3363" w14:textId="77777777" w:rsidTr="00BB7A7D">
        <w:tc>
          <w:tcPr>
            <w:tcW w:w="5000" w:type="pct"/>
            <w:gridSpan w:val="3"/>
            <w:tcBorders>
              <w:top w:val="single" w:sz="4" w:space="0" w:color="auto"/>
              <w:bottom w:val="single" w:sz="4" w:space="0" w:color="auto"/>
            </w:tcBorders>
            <w:vAlign w:val="center"/>
          </w:tcPr>
          <w:p w14:paraId="74BB6121" w14:textId="77777777" w:rsidR="00143F53" w:rsidRPr="00B036EB" w:rsidRDefault="00143F53" w:rsidP="00873AF3">
            <w:pPr>
              <w:pStyle w:val="COMTabletext"/>
              <w:keepLines/>
              <w:rPr>
                <w:b/>
                <w:bCs w:val="0"/>
              </w:rPr>
            </w:pPr>
            <w:r w:rsidRPr="00B036EB">
              <w:rPr>
                <w:b/>
                <w:bCs w:val="0"/>
              </w:rPr>
              <w:t>Efgartigimod trials</w:t>
            </w:r>
          </w:p>
        </w:tc>
      </w:tr>
      <w:tr w:rsidR="00143F53" w:rsidRPr="00CE706B" w14:paraId="7A42B94E" w14:textId="77777777" w:rsidTr="00BB7A7D">
        <w:tc>
          <w:tcPr>
            <w:tcW w:w="796" w:type="pct"/>
            <w:tcBorders>
              <w:top w:val="single" w:sz="4" w:space="0" w:color="auto"/>
              <w:bottom w:val="single" w:sz="4" w:space="0" w:color="auto"/>
            </w:tcBorders>
            <w:vAlign w:val="center"/>
          </w:tcPr>
          <w:p w14:paraId="77E2354D" w14:textId="77777777" w:rsidR="00143F53" w:rsidRPr="00CE706B" w:rsidRDefault="00143F53" w:rsidP="00873AF3">
            <w:pPr>
              <w:pStyle w:val="COMTabletext"/>
              <w:keepLines/>
            </w:pPr>
            <w:r w:rsidRPr="00CE706B">
              <w:t>ADAPT</w:t>
            </w:r>
          </w:p>
        </w:tc>
        <w:tc>
          <w:tcPr>
            <w:tcW w:w="3027" w:type="pct"/>
            <w:tcBorders>
              <w:top w:val="single" w:sz="4" w:space="0" w:color="auto"/>
              <w:bottom w:val="single" w:sz="4" w:space="0" w:color="auto"/>
            </w:tcBorders>
            <w:vAlign w:val="center"/>
          </w:tcPr>
          <w:p w14:paraId="3C23D118" w14:textId="77777777" w:rsidR="00143F53" w:rsidRPr="00B036EB" w:rsidRDefault="00143F53" w:rsidP="00873AF3">
            <w:pPr>
              <w:pStyle w:val="COMTabletext"/>
              <w:keepLines/>
            </w:pPr>
            <w:r w:rsidRPr="00B036EB">
              <w:t>Howard JF, Bril V, Vu T, et al. Safety, efficacy, and tolerability of efgartigimod in patients with generalised myasthenia gravis (ADAPT): a multicentre, randomised, placebo-controlled phase 3 trial.</w:t>
            </w:r>
          </w:p>
        </w:tc>
        <w:tc>
          <w:tcPr>
            <w:tcW w:w="1177" w:type="pct"/>
            <w:tcBorders>
              <w:top w:val="single" w:sz="4" w:space="0" w:color="auto"/>
              <w:bottom w:val="single" w:sz="4" w:space="0" w:color="auto"/>
            </w:tcBorders>
          </w:tcPr>
          <w:p w14:paraId="451964F4" w14:textId="77777777" w:rsidR="00143F53" w:rsidRPr="00B036EB" w:rsidRDefault="00143F53" w:rsidP="00873AF3">
            <w:pPr>
              <w:pStyle w:val="COMTabletext"/>
              <w:keepLines/>
            </w:pPr>
            <w:r w:rsidRPr="00B036EB">
              <w:t>Lancet Neurol 2021; 20(7):526-536</w:t>
            </w:r>
          </w:p>
        </w:tc>
      </w:tr>
      <w:tr w:rsidR="00143F53" w:rsidRPr="00CE706B" w14:paraId="05448B6C" w14:textId="77777777" w:rsidTr="00BB7A7D">
        <w:tc>
          <w:tcPr>
            <w:tcW w:w="796" w:type="pct"/>
            <w:tcBorders>
              <w:top w:val="nil"/>
              <w:bottom w:val="single" w:sz="4" w:space="0" w:color="auto"/>
            </w:tcBorders>
            <w:vAlign w:val="center"/>
          </w:tcPr>
          <w:p w14:paraId="6CCBEF47" w14:textId="77777777" w:rsidR="00143F53" w:rsidRPr="00CE706B" w:rsidRDefault="00143F53" w:rsidP="00873AF3">
            <w:pPr>
              <w:pStyle w:val="COMTabletext"/>
              <w:keepLines/>
            </w:pPr>
            <w:r w:rsidRPr="00CE706B">
              <w:t>ADAPT+</w:t>
            </w:r>
          </w:p>
        </w:tc>
        <w:tc>
          <w:tcPr>
            <w:tcW w:w="3027" w:type="pct"/>
            <w:tcBorders>
              <w:top w:val="nil"/>
              <w:bottom w:val="single" w:sz="4" w:space="0" w:color="auto"/>
            </w:tcBorders>
            <w:vAlign w:val="center"/>
          </w:tcPr>
          <w:p w14:paraId="66A76011" w14:textId="77777777" w:rsidR="00143F53" w:rsidRPr="00B036EB" w:rsidRDefault="00143F53" w:rsidP="00873AF3">
            <w:pPr>
              <w:pStyle w:val="COMTabletext"/>
              <w:keepLines/>
            </w:pPr>
            <w:r w:rsidRPr="00B036EB">
              <w:t>Howard JF, Bril V, Vu T, et al. Long-term safety, tolerability, and efficacy of efgartigimod (ADAPT+): interim results from a phase 3 open-label extension study in participants with generalized myasthenia gravis.</w:t>
            </w:r>
          </w:p>
        </w:tc>
        <w:tc>
          <w:tcPr>
            <w:tcW w:w="1177" w:type="pct"/>
            <w:tcBorders>
              <w:top w:val="nil"/>
              <w:bottom w:val="single" w:sz="4" w:space="0" w:color="auto"/>
            </w:tcBorders>
          </w:tcPr>
          <w:p w14:paraId="3E1D4DF5" w14:textId="77777777" w:rsidR="00143F53" w:rsidRPr="00B036EB" w:rsidRDefault="00143F53" w:rsidP="00873AF3">
            <w:pPr>
              <w:pStyle w:val="COMTabletext"/>
              <w:keepLines/>
            </w:pPr>
            <w:r w:rsidRPr="00B036EB">
              <w:t>Front Neurol 2024; 14:1284444.</w:t>
            </w:r>
          </w:p>
        </w:tc>
      </w:tr>
      <w:tr w:rsidR="00143F53" w:rsidRPr="00CE706B" w14:paraId="72F06ACA" w14:textId="77777777" w:rsidTr="00BB7A7D">
        <w:tc>
          <w:tcPr>
            <w:tcW w:w="796" w:type="pct"/>
            <w:tcBorders>
              <w:top w:val="nil"/>
              <w:bottom w:val="single" w:sz="4" w:space="0" w:color="auto"/>
            </w:tcBorders>
            <w:vAlign w:val="center"/>
          </w:tcPr>
          <w:p w14:paraId="31A5526D" w14:textId="77777777" w:rsidR="00143F53" w:rsidRPr="00CE706B" w:rsidRDefault="00143F53" w:rsidP="00873AF3">
            <w:pPr>
              <w:pStyle w:val="COMTabletext"/>
              <w:keepLines/>
            </w:pPr>
            <w:r w:rsidRPr="00CE706B">
              <w:t>Howard 2019</w:t>
            </w:r>
          </w:p>
        </w:tc>
        <w:tc>
          <w:tcPr>
            <w:tcW w:w="3027" w:type="pct"/>
            <w:tcBorders>
              <w:top w:val="nil"/>
              <w:bottom w:val="single" w:sz="4" w:space="0" w:color="auto"/>
            </w:tcBorders>
            <w:vAlign w:val="center"/>
          </w:tcPr>
          <w:p w14:paraId="2E57EF2C" w14:textId="40ED8A0A" w:rsidR="00143F53" w:rsidRPr="00B036EB" w:rsidRDefault="00143F53" w:rsidP="00873AF3">
            <w:pPr>
              <w:pStyle w:val="COMTabletext"/>
              <w:keepLines/>
            </w:pPr>
            <w:r w:rsidRPr="00B036EB">
              <w:t>Howard JF, Bril V, Burns TM, et al. Randomized phase 2 study of FcRn antagonist efgartigimod in generalized myasthenia gravis.</w:t>
            </w:r>
          </w:p>
        </w:tc>
        <w:tc>
          <w:tcPr>
            <w:tcW w:w="1177" w:type="pct"/>
            <w:tcBorders>
              <w:top w:val="nil"/>
              <w:bottom w:val="single" w:sz="4" w:space="0" w:color="auto"/>
            </w:tcBorders>
          </w:tcPr>
          <w:p w14:paraId="7E7F4113" w14:textId="77777777" w:rsidR="00143F53" w:rsidRPr="00B036EB" w:rsidRDefault="00143F53" w:rsidP="00873AF3">
            <w:pPr>
              <w:pStyle w:val="COMTabletext"/>
              <w:keepLines/>
            </w:pPr>
            <w:r w:rsidRPr="00B036EB">
              <w:t>Neurology 2019; 92: e2661-e2673.</w:t>
            </w:r>
          </w:p>
        </w:tc>
      </w:tr>
    </w:tbl>
    <w:p w14:paraId="0C3DAF03" w14:textId="77777777" w:rsidR="00143F53" w:rsidRPr="00CE706B" w:rsidRDefault="00143F53" w:rsidP="00873AF3">
      <w:pPr>
        <w:pStyle w:val="COMTablefooter"/>
        <w:keepNext/>
        <w:keepLines/>
      </w:pPr>
      <w:r w:rsidRPr="00CE706B">
        <w:t>Source: Table 2.2-1, pp52-53 of the submission; Table 2.2.1, p7, Appendix 10 of the submission.</w:t>
      </w:r>
    </w:p>
    <w:p w14:paraId="356FC1A9" w14:textId="77777777" w:rsidR="00143F53" w:rsidRPr="00CE706B" w:rsidRDefault="00143F53" w:rsidP="00873AF3">
      <w:pPr>
        <w:pStyle w:val="COMTablefooter"/>
        <w:keepNext/>
        <w:keepLines/>
      </w:pPr>
      <w:r w:rsidRPr="00CE706B">
        <w:t>Abbreviations: IVIg, intravenous immunoglobulin</w:t>
      </w:r>
    </w:p>
    <w:bookmarkEnd w:id="25"/>
    <w:p w14:paraId="1DD06D7D" w14:textId="62A8D148" w:rsidR="007F1017" w:rsidRPr="00CE706B" w:rsidRDefault="008F120A" w:rsidP="00873AF3">
      <w:pPr>
        <w:pStyle w:val="COMexecsummnumbered"/>
        <w:rPr>
          <w:color w:val="0066FF"/>
        </w:rPr>
      </w:pPr>
      <w:r w:rsidRPr="00CE706B">
        <w:t xml:space="preserve">The key features of the </w:t>
      </w:r>
      <w:r w:rsidR="005A263D">
        <w:t>included</w:t>
      </w:r>
      <w:r w:rsidR="0003671F">
        <w:t xml:space="preserve"> trial</w:t>
      </w:r>
      <w:r w:rsidR="005A263D">
        <w:t>s</w:t>
      </w:r>
      <w:r w:rsidR="0003671F">
        <w:t xml:space="preserve"> </w:t>
      </w:r>
      <w:r w:rsidRPr="00CE706B">
        <w:t>are summarised in</w:t>
      </w:r>
      <w:r w:rsidR="00D6076E" w:rsidRPr="00CE706B">
        <w:t xml:space="preserve"> </w:t>
      </w:r>
      <w:r w:rsidR="00D6076E" w:rsidRPr="00CE706B">
        <w:fldChar w:fldCharType="begin" w:fldLock="1"/>
      </w:r>
      <w:r w:rsidR="00D6076E" w:rsidRPr="00CE706B">
        <w:instrText xml:space="preserve"> REF _Ref104804098 \h  \* MERGEFORMAT </w:instrText>
      </w:r>
      <w:r w:rsidR="00D6076E" w:rsidRPr="00CE706B">
        <w:fldChar w:fldCharType="separate"/>
      </w:r>
      <w:r w:rsidR="00E70E55">
        <w:t>Table 3</w:t>
      </w:r>
      <w:r w:rsidR="00D6076E" w:rsidRPr="00CE706B">
        <w:fldChar w:fldCharType="end"/>
      </w:r>
      <w:r w:rsidRPr="00CE706B">
        <w:t>.</w:t>
      </w:r>
    </w:p>
    <w:p w14:paraId="452FEE4F" w14:textId="3069D4CD" w:rsidR="00143F53" w:rsidRPr="00CE706B" w:rsidRDefault="00143F53" w:rsidP="00873AF3">
      <w:pPr>
        <w:pStyle w:val="COMtablefigcaption"/>
      </w:pPr>
      <w:bookmarkStart w:id="27" w:name="_Ref104804098"/>
      <w:r>
        <w:t xml:space="preserve">Table </w:t>
      </w:r>
      <w:r>
        <w:fldChar w:fldCharType="begin" w:fldLock="1"/>
      </w:r>
      <w:r>
        <w:instrText>SEQ Table \* ARABIC</w:instrText>
      </w:r>
      <w:r>
        <w:fldChar w:fldCharType="separate"/>
      </w:r>
      <w:r w:rsidR="00E70E55">
        <w:rPr>
          <w:noProof/>
        </w:rPr>
        <w:t>3</w:t>
      </w:r>
      <w:r>
        <w:fldChar w:fldCharType="end"/>
      </w:r>
      <w:bookmarkEnd w:id="27"/>
      <w:r w:rsidRPr="00CE706B">
        <w:t>: Key features of the included evidence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3: Key features of the included evidence"/>
      </w:tblPr>
      <w:tblGrid>
        <w:gridCol w:w="1310"/>
        <w:gridCol w:w="676"/>
        <w:gridCol w:w="1558"/>
        <w:gridCol w:w="994"/>
        <w:gridCol w:w="2126"/>
        <w:gridCol w:w="2353"/>
      </w:tblGrid>
      <w:tr w:rsidR="00143F53" w:rsidRPr="00CE706B" w14:paraId="1C110334" w14:textId="77777777">
        <w:trPr>
          <w:tblHeader/>
        </w:trPr>
        <w:tc>
          <w:tcPr>
            <w:tcW w:w="726" w:type="pct"/>
            <w:vAlign w:val="center"/>
          </w:tcPr>
          <w:p w14:paraId="5AD631ED" w14:textId="77777777" w:rsidR="00143F53" w:rsidRPr="00CE706B" w:rsidRDefault="00143F53" w:rsidP="00873AF3">
            <w:pPr>
              <w:pStyle w:val="COMTableheadingrow"/>
              <w:jc w:val="center"/>
              <w:rPr>
                <w:lang w:val="en-AU"/>
              </w:rPr>
            </w:pPr>
            <w:r w:rsidRPr="00CE706B">
              <w:rPr>
                <w:lang w:val="en-AU"/>
              </w:rPr>
              <w:t>Trial</w:t>
            </w:r>
          </w:p>
        </w:tc>
        <w:tc>
          <w:tcPr>
            <w:tcW w:w="375" w:type="pct"/>
            <w:vAlign w:val="center"/>
          </w:tcPr>
          <w:p w14:paraId="66463A25" w14:textId="77777777" w:rsidR="00143F53" w:rsidRPr="00CE706B" w:rsidRDefault="00143F53" w:rsidP="00873AF3">
            <w:pPr>
              <w:pStyle w:val="COMTableheadingrow"/>
              <w:jc w:val="center"/>
              <w:rPr>
                <w:lang w:val="en-AU"/>
              </w:rPr>
            </w:pPr>
            <w:r w:rsidRPr="00CE706B">
              <w:rPr>
                <w:lang w:val="en-AU"/>
              </w:rPr>
              <w:t>N</w:t>
            </w:r>
          </w:p>
        </w:tc>
        <w:tc>
          <w:tcPr>
            <w:tcW w:w="864" w:type="pct"/>
            <w:vAlign w:val="center"/>
          </w:tcPr>
          <w:p w14:paraId="2F31909C" w14:textId="77777777" w:rsidR="00143F53" w:rsidRPr="00CE706B" w:rsidRDefault="00143F53" w:rsidP="00873AF3">
            <w:pPr>
              <w:pStyle w:val="COMTableheadingrow"/>
              <w:jc w:val="center"/>
              <w:rPr>
                <w:lang w:val="en-AU"/>
              </w:rPr>
            </w:pPr>
            <w:r w:rsidRPr="00CE706B">
              <w:rPr>
                <w:lang w:val="en-AU"/>
              </w:rPr>
              <w:t>Design/ duration</w:t>
            </w:r>
          </w:p>
        </w:tc>
        <w:tc>
          <w:tcPr>
            <w:tcW w:w="551" w:type="pct"/>
            <w:vAlign w:val="center"/>
          </w:tcPr>
          <w:p w14:paraId="1B856B1E" w14:textId="77777777" w:rsidR="00143F53" w:rsidRPr="00CE706B" w:rsidRDefault="00143F53" w:rsidP="00873AF3">
            <w:pPr>
              <w:pStyle w:val="COMTableheadingrow"/>
              <w:jc w:val="center"/>
              <w:rPr>
                <w:lang w:val="en-AU"/>
              </w:rPr>
            </w:pPr>
            <w:r w:rsidRPr="00CE706B">
              <w:rPr>
                <w:lang w:val="en-AU"/>
              </w:rPr>
              <w:t>Risk of bias</w:t>
            </w:r>
          </w:p>
        </w:tc>
        <w:tc>
          <w:tcPr>
            <w:tcW w:w="1179" w:type="pct"/>
            <w:vAlign w:val="center"/>
          </w:tcPr>
          <w:p w14:paraId="686B2B72" w14:textId="77777777" w:rsidR="00143F53" w:rsidRPr="00CE706B" w:rsidRDefault="00143F53" w:rsidP="00873AF3">
            <w:pPr>
              <w:pStyle w:val="COMTableheadingrow"/>
              <w:jc w:val="center"/>
              <w:rPr>
                <w:lang w:val="en-AU"/>
              </w:rPr>
            </w:pPr>
            <w:r w:rsidRPr="00CE706B">
              <w:rPr>
                <w:lang w:val="en-AU"/>
              </w:rPr>
              <w:t>Patient population</w:t>
            </w:r>
          </w:p>
        </w:tc>
        <w:tc>
          <w:tcPr>
            <w:tcW w:w="1305" w:type="pct"/>
            <w:vAlign w:val="center"/>
          </w:tcPr>
          <w:p w14:paraId="726EB48A" w14:textId="77777777" w:rsidR="00143F53" w:rsidRPr="00CE706B" w:rsidRDefault="00143F53" w:rsidP="00873AF3">
            <w:pPr>
              <w:pStyle w:val="COMTableheadingrow"/>
              <w:jc w:val="center"/>
              <w:rPr>
                <w:lang w:val="en-AU"/>
              </w:rPr>
            </w:pPr>
            <w:r>
              <w:rPr>
                <w:lang w:val="en-AU"/>
              </w:rPr>
              <w:t xml:space="preserve">Key </w:t>
            </w:r>
            <w:r w:rsidRPr="00CE706B">
              <w:rPr>
                <w:lang w:val="en-AU"/>
              </w:rPr>
              <w:t>Outcomes</w:t>
            </w:r>
          </w:p>
        </w:tc>
      </w:tr>
      <w:tr w:rsidR="00143F53" w:rsidRPr="00CE706B" w14:paraId="5262C25A" w14:textId="77777777">
        <w:tc>
          <w:tcPr>
            <w:tcW w:w="5000" w:type="pct"/>
            <w:gridSpan w:val="6"/>
            <w:vAlign w:val="center"/>
          </w:tcPr>
          <w:p w14:paraId="53B4991D" w14:textId="77777777" w:rsidR="00143F53" w:rsidRPr="00CE706B" w:rsidRDefault="00143F53" w:rsidP="00873AF3">
            <w:pPr>
              <w:pStyle w:val="COMTableheadingrow"/>
              <w:rPr>
                <w:lang w:val="en-AU"/>
              </w:rPr>
            </w:pPr>
            <w:r>
              <w:rPr>
                <w:lang w:val="en-AU"/>
              </w:rPr>
              <w:t>Rozanolixizumab versus placebo</w:t>
            </w:r>
          </w:p>
        </w:tc>
      </w:tr>
      <w:tr w:rsidR="00143F53" w:rsidRPr="00957894" w14:paraId="448E18DA" w14:textId="77777777">
        <w:tc>
          <w:tcPr>
            <w:tcW w:w="726" w:type="pct"/>
            <w:vAlign w:val="center"/>
          </w:tcPr>
          <w:p w14:paraId="31C6E836" w14:textId="77777777" w:rsidR="00143F53" w:rsidRPr="00CE706B" w:rsidRDefault="00143F53" w:rsidP="00873AF3">
            <w:pPr>
              <w:pStyle w:val="COMTabletext"/>
            </w:pPr>
            <w:r>
              <w:t>MycarinG</w:t>
            </w:r>
          </w:p>
        </w:tc>
        <w:tc>
          <w:tcPr>
            <w:tcW w:w="375" w:type="pct"/>
            <w:vAlign w:val="center"/>
          </w:tcPr>
          <w:p w14:paraId="36C74093" w14:textId="77777777" w:rsidR="00143F53" w:rsidRPr="00CE706B" w:rsidRDefault="00143F53" w:rsidP="00873AF3">
            <w:pPr>
              <w:pStyle w:val="COMTabletext"/>
              <w:jc w:val="center"/>
            </w:pPr>
            <w:r>
              <w:t>200</w:t>
            </w:r>
          </w:p>
        </w:tc>
        <w:tc>
          <w:tcPr>
            <w:tcW w:w="864" w:type="pct"/>
            <w:vAlign w:val="center"/>
          </w:tcPr>
          <w:p w14:paraId="150522E5" w14:textId="77777777" w:rsidR="00143F53" w:rsidRPr="00CE706B" w:rsidRDefault="00143F53" w:rsidP="00873AF3">
            <w:pPr>
              <w:pStyle w:val="COMTabletext"/>
              <w:jc w:val="center"/>
            </w:pPr>
            <w:r>
              <w:t xml:space="preserve">MC, </w:t>
            </w:r>
            <w:r w:rsidRPr="00CE706B">
              <w:t>R, DB</w:t>
            </w:r>
            <w:r>
              <w:t>, PC,</w:t>
            </w:r>
          </w:p>
          <w:p w14:paraId="0118565B" w14:textId="77777777" w:rsidR="00143F53" w:rsidRPr="00CE706B" w:rsidRDefault="00143F53" w:rsidP="00873AF3">
            <w:pPr>
              <w:pStyle w:val="COMTabletext"/>
              <w:jc w:val="center"/>
            </w:pPr>
            <w:r>
              <w:t>6 weeks duration</w:t>
            </w:r>
          </w:p>
        </w:tc>
        <w:tc>
          <w:tcPr>
            <w:tcW w:w="551" w:type="pct"/>
            <w:vAlign w:val="center"/>
          </w:tcPr>
          <w:p w14:paraId="1DB58627" w14:textId="77777777" w:rsidR="00143F53" w:rsidRPr="00466A92" w:rsidRDefault="00143F53" w:rsidP="00873AF3">
            <w:pPr>
              <w:pStyle w:val="COMTabletext"/>
              <w:jc w:val="center"/>
              <w:rPr>
                <w:vertAlign w:val="superscript"/>
              </w:rPr>
            </w:pPr>
            <w:r w:rsidRPr="00466A92">
              <w:t>Low</w:t>
            </w:r>
          </w:p>
        </w:tc>
        <w:tc>
          <w:tcPr>
            <w:tcW w:w="1179" w:type="pct"/>
            <w:vAlign w:val="center"/>
          </w:tcPr>
          <w:p w14:paraId="57E83646" w14:textId="77777777" w:rsidR="00143F53" w:rsidRPr="00CE706B" w:rsidRDefault="00143F53" w:rsidP="00873AF3">
            <w:pPr>
              <w:pStyle w:val="COMTabletext"/>
            </w:pPr>
            <w:r>
              <w:t>Adults with AChR+ or MuSK+ gMG with MGFA class II to IVa, MG-ADL</w:t>
            </w:r>
            <w:r w:rsidRPr="00CE706B">
              <w:t>≥3</w:t>
            </w:r>
            <w:r>
              <w:t xml:space="preserve"> </w:t>
            </w:r>
            <w:r w:rsidRPr="00071EBE">
              <w:t>and QMG ≥11 with stable background therapy permitted</w:t>
            </w:r>
          </w:p>
        </w:tc>
        <w:tc>
          <w:tcPr>
            <w:tcW w:w="1305" w:type="pct"/>
            <w:vAlign w:val="center"/>
          </w:tcPr>
          <w:p w14:paraId="0276F1F0" w14:textId="77777777" w:rsidR="00143F53" w:rsidRPr="00673C1B" w:rsidRDefault="00143F53" w:rsidP="00873AF3">
            <w:pPr>
              <w:pStyle w:val="COMTabletext"/>
            </w:pPr>
            <w:r w:rsidRPr="00673C1B">
              <w:t>Primary: Change in MG-ADL score</w:t>
            </w:r>
            <w:r>
              <w:t xml:space="preserve"> at Day 43</w:t>
            </w:r>
            <w:r w:rsidRPr="00673C1B">
              <w:t>.</w:t>
            </w:r>
          </w:p>
          <w:p w14:paraId="282C3F88" w14:textId="77777777" w:rsidR="00143F53" w:rsidRPr="00673C1B" w:rsidRDefault="00143F53" w:rsidP="00873AF3">
            <w:pPr>
              <w:pStyle w:val="COMTabletext"/>
            </w:pPr>
            <w:r w:rsidRPr="00673C1B">
              <w:t>Other outcomes: Change in MGC and QMG; MG-ADL, MGC, QMG responders; quality of life (EQ-5D-5L, MG-QoL15r), safety</w:t>
            </w:r>
          </w:p>
        </w:tc>
      </w:tr>
      <w:tr w:rsidR="00143F53" w:rsidRPr="00CE706B" w14:paraId="61647F82" w14:textId="77777777">
        <w:tc>
          <w:tcPr>
            <w:tcW w:w="5000" w:type="pct"/>
            <w:gridSpan w:val="6"/>
            <w:vAlign w:val="center"/>
          </w:tcPr>
          <w:p w14:paraId="1A5C48E0" w14:textId="77777777" w:rsidR="00143F53" w:rsidRPr="00CE706B" w:rsidRDefault="00143F53" w:rsidP="00873AF3">
            <w:pPr>
              <w:pStyle w:val="COMTableheadingrow"/>
              <w:rPr>
                <w:lang w:val="en-AU"/>
              </w:rPr>
            </w:pPr>
            <w:r>
              <w:rPr>
                <w:lang w:val="en-AU"/>
              </w:rPr>
              <w:t>IVIg versus placebo</w:t>
            </w:r>
          </w:p>
        </w:tc>
      </w:tr>
      <w:tr w:rsidR="00143F53" w:rsidRPr="00CE706B" w14:paraId="1BBD1DB4" w14:textId="77777777">
        <w:tc>
          <w:tcPr>
            <w:tcW w:w="726" w:type="pct"/>
            <w:vAlign w:val="center"/>
          </w:tcPr>
          <w:p w14:paraId="677C78AA" w14:textId="77777777" w:rsidR="00143F53" w:rsidRPr="00CE706B" w:rsidRDefault="00143F53" w:rsidP="00873AF3">
            <w:pPr>
              <w:pStyle w:val="COMTabletext"/>
            </w:pPr>
            <w:r>
              <w:t>Bril 2024</w:t>
            </w:r>
          </w:p>
        </w:tc>
        <w:tc>
          <w:tcPr>
            <w:tcW w:w="375" w:type="pct"/>
            <w:vAlign w:val="center"/>
          </w:tcPr>
          <w:p w14:paraId="2D2DF4D1" w14:textId="77777777" w:rsidR="00143F53" w:rsidRPr="00CE706B" w:rsidRDefault="00143F53" w:rsidP="00873AF3">
            <w:pPr>
              <w:pStyle w:val="TableText"/>
              <w:widowControl/>
              <w:jc w:val="center"/>
            </w:pPr>
            <w:r>
              <w:t>62</w:t>
            </w:r>
          </w:p>
        </w:tc>
        <w:tc>
          <w:tcPr>
            <w:tcW w:w="864" w:type="pct"/>
            <w:vAlign w:val="center"/>
          </w:tcPr>
          <w:p w14:paraId="5715AE59" w14:textId="77777777" w:rsidR="00143F53" w:rsidRDefault="00143F53" w:rsidP="00873AF3">
            <w:pPr>
              <w:pStyle w:val="TableText"/>
              <w:widowControl/>
              <w:jc w:val="center"/>
            </w:pPr>
            <w:r>
              <w:t>R, DB, PC</w:t>
            </w:r>
          </w:p>
          <w:p w14:paraId="75CE5D8D" w14:textId="77777777" w:rsidR="00143F53" w:rsidRPr="00CE706B" w:rsidRDefault="00143F53" w:rsidP="00873AF3">
            <w:pPr>
              <w:pStyle w:val="TableText"/>
              <w:widowControl/>
              <w:jc w:val="center"/>
            </w:pPr>
            <w:r>
              <w:t>24 weeks duration</w:t>
            </w:r>
          </w:p>
        </w:tc>
        <w:tc>
          <w:tcPr>
            <w:tcW w:w="551" w:type="pct"/>
            <w:vAlign w:val="center"/>
          </w:tcPr>
          <w:p w14:paraId="08E7E688" w14:textId="77777777" w:rsidR="00143F53" w:rsidRPr="00466A92" w:rsidRDefault="00143F53" w:rsidP="00873AF3">
            <w:pPr>
              <w:pStyle w:val="TableText"/>
              <w:widowControl/>
              <w:jc w:val="center"/>
            </w:pPr>
            <w:r w:rsidRPr="00466A92">
              <w:t>Low</w:t>
            </w:r>
          </w:p>
        </w:tc>
        <w:tc>
          <w:tcPr>
            <w:tcW w:w="1179" w:type="pct"/>
            <w:vAlign w:val="center"/>
          </w:tcPr>
          <w:p w14:paraId="4383B012" w14:textId="77777777" w:rsidR="00143F53" w:rsidRPr="00CE706B" w:rsidRDefault="00143F53" w:rsidP="00873AF3">
            <w:pPr>
              <w:pStyle w:val="TableText"/>
              <w:widowControl/>
            </w:pPr>
            <w:r>
              <w:t xml:space="preserve">Adults with AChR+ gMG, MGFA class II to IVa, </w:t>
            </w:r>
            <w:r w:rsidRPr="00673C1B">
              <w:t xml:space="preserve">QMG score ≥10 </w:t>
            </w:r>
            <w:r>
              <w:t>with stable background therapy</w:t>
            </w:r>
          </w:p>
        </w:tc>
        <w:tc>
          <w:tcPr>
            <w:tcW w:w="1305" w:type="pct"/>
            <w:vAlign w:val="center"/>
          </w:tcPr>
          <w:p w14:paraId="2E067303" w14:textId="77777777" w:rsidR="00143F53" w:rsidRDefault="00143F53" w:rsidP="00873AF3">
            <w:pPr>
              <w:pStyle w:val="TableText"/>
              <w:widowControl/>
            </w:pPr>
            <w:r>
              <w:t>Primary: Change in QMG at Week 24</w:t>
            </w:r>
          </w:p>
          <w:p w14:paraId="48771713" w14:textId="77777777" w:rsidR="00143F53" w:rsidRPr="00CE706B" w:rsidRDefault="00143F53" w:rsidP="00873AF3">
            <w:pPr>
              <w:pStyle w:val="TableText"/>
              <w:widowControl/>
            </w:pPr>
            <w:r>
              <w:t>Other: % with clinical improvement based on QMG, MGC, MG-ADL</w:t>
            </w:r>
          </w:p>
        </w:tc>
      </w:tr>
      <w:tr w:rsidR="00143F53" w:rsidRPr="00CE706B" w14:paraId="0324DB96" w14:textId="77777777">
        <w:tc>
          <w:tcPr>
            <w:tcW w:w="726" w:type="pct"/>
            <w:vAlign w:val="center"/>
          </w:tcPr>
          <w:p w14:paraId="41294826" w14:textId="77777777" w:rsidR="00143F53" w:rsidRPr="00CE706B" w:rsidRDefault="00143F53" w:rsidP="00873AF3">
            <w:pPr>
              <w:pStyle w:val="COMTabletext"/>
            </w:pPr>
            <w:r>
              <w:t>Wolfe 2002</w:t>
            </w:r>
          </w:p>
        </w:tc>
        <w:tc>
          <w:tcPr>
            <w:tcW w:w="375" w:type="pct"/>
            <w:vAlign w:val="center"/>
          </w:tcPr>
          <w:p w14:paraId="67C1B7C3" w14:textId="77777777" w:rsidR="00143F53" w:rsidRPr="00CE706B" w:rsidRDefault="00143F53" w:rsidP="00873AF3">
            <w:pPr>
              <w:pStyle w:val="TableText"/>
              <w:widowControl/>
              <w:jc w:val="center"/>
            </w:pPr>
            <w:r>
              <w:t>15</w:t>
            </w:r>
          </w:p>
        </w:tc>
        <w:tc>
          <w:tcPr>
            <w:tcW w:w="864" w:type="pct"/>
            <w:vAlign w:val="center"/>
          </w:tcPr>
          <w:p w14:paraId="0DB3AB81" w14:textId="77777777" w:rsidR="00143F53" w:rsidRDefault="00143F53" w:rsidP="00873AF3">
            <w:pPr>
              <w:pStyle w:val="TableText"/>
              <w:widowControl/>
              <w:jc w:val="center"/>
            </w:pPr>
            <w:r>
              <w:t>R, DB, PC</w:t>
            </w:r>
          </w:p>
          <w:p w14:paraId="40C72A69" w14:textId="77777777" w:rsidR="00143F53" w:rsidRPr="00CE706B" w:rsidRDefault="00143F53" w:rsidP="00873AF3">
            <w:pPr>
              <w:pStyle w:val="TableText"/>
              <w:widowControl/>
              <w:jc w:val="center"/>
            </w:pPr>
            <w:r>
              <w:t>6 weeks duration</w:t>
            </w:r>
          </w:p>
        </w:tc>
        <w:tc>
          <w:tcPr>
            <w:tcW w:w="551" w:type="pct"/>
            <w:vAlign w:val="center"/>
          </w:tcPr>
          <w:p w14:paraId="33B2E0FA" w14:textId="77777777" w:rsidR="00143F53" w:rsidRPr="00466A92" w:rsidRDefault="00143F53" w:rsidP="00873AF3">
            <w:pPr>
              <w:pStyle w:val="TableText"/>
              <w:widowControl/>
              <w:jc w:val="center"/>
            </w:pPr>
            <w:r w:rsidRPr="00466A92">
              <w:t>Unclear</w:t>
            </w:r>
          </w:p>
        </w:tc>
        <w:tc>
          <w:tcPr>
            <w:tcW w:w="1179" w:type="pct"/>
            <w:vAlign w:val="center"/>
          </w:tcPr>
          <w:p w14:paraId="706DA0B2" w14:textId="77777777" w:rsidR="00143F53" w:rsidRPr="00CE706B" w:rsidRDefault="00143F53" w:rsidP="00873AF3">
            <w:pPr>
              <w:pStyle w:val="TableText"/>
              <w:widowControl/>
            </w:pPr>
            <w:r>
              <w:t>Aged &gt;15 years with mild or moderate gMG, never received corticosteroids or immunotherapy OR persistent symptoms despite corticosteroids</w:t>
            </w:r>
          </w:p>
        </w:tc>
        <w:tc>
          <w:tcPr>
            <w:tcW w:w="1305" w:type="pct"/>
            <w:vAlign w:val="center"/>
          </w:tcPr>
          <w:p w14:paraId="38BAD09D" w14:textId="77777777" w:rsidR="00143F53" w:rsidRDefault="00143F53" w:rsidP="00873AF3">
            <w:pPr>
              <w:pStyle w:val="TableText"/>
              <w:widowControl/>
            </w:pPr>
            <w:r>
              <w:t>Primary: Change in QMG at day 42</w:t>
            </w:r>
          </w:p>
          <w:p w14:paraId="71E1EBED" w14:textId="77777777" w:rsidR="00143F53" w:rsidRPr="00CE706B" w:rsidRDefault="00143F53" w:rsidP="00873AF3">
            <w:pPr>
              <w:pStyle w:val="TableText"/>
              <w:widowControl/>
            </w:pPr>
            <w:r>
              <w:t>Other: % decrease from baseline in MG-ADL</w:t>
            </w:r>
          </w:p>
        </w:tc>
      </w:tr>
      <w:tr w:rsidR="00143F53" w:rsidRPr="00CE706B" w14:paraId="69622C2D" w14:textId="77777777">
        <w:tc>
          <w:tcPr>
            <w:tcW w:w="726" w:type="pct"/>
            <w:vAlign w:val="center"/>
          </w:tcPr>
          <w:p w14:paraId="3808BFF7" w14:textId="77777777" w:rsidR="00143F53" w:rsidRPr="00CE706B" w:rsidRDefault="00143F53" w:rsidP="00873AF3">
            <w:pPr>
              <w:pStyle w:val="COMTabletext"/>
            </w:pPr>
            <w:r>
              <w:t>Zinman 2007</w:t>
            </w:r>
          </w:p>
        </w:tc>
        <w:tc>
          <w:tcPr>
            <w:tcW w:w="375" w:type="pct"/>
            <w:vAlign w:val="center"/>
          </w:tcPr>
          <w:p w14:paraId="42B94298" w14:textId="77777777" w:rsidR="00143F53" w:rsidRPr="00CE706B" w:rsidRDefault="00143F53" w:rsidP="00873AF3">
            <w:pPr>
              <w:pStyle w:val="TableText"/>
              <w:widowControl/>
              <w:jc w:val="center"/>
            </w:pPr>
            <w:r>
              <w:t>52</w:t>
            </w:r>
          </w:p>
        </w:tc>
        <w:tc>
          <w:tcPr>
            <w:tcW w:w="864" w:type="pct"/>
            <w:vAlign w:val="center"/>
          </w:tcPr>
          <w:p w14:paraId="583CA639" w14:textId="77777777" w:rsidR="00143F53" w:rsidRDefault="00143F53" w:rsidP="00873AF3">
            <w:pPr>
              <w:pStyle w:val="TableText"/>
              <w:widowControl/>
              <w:jc w:val="center"/>
            </w:pPr>
            <w:r>
              <w:t>R, DB, PC</w:t>
            </w:r>
          </w:p>
          <w:p w14:paraId="29C1ACDA" w14:textId="77777777" w:rsidR="00143F53" w:rsidRDefault="00143F53" w:rsidP="00873AF3">
            <w:pPr>
              <w:pStyle w:val="TableText"/>
              <w:widowControl/>
              <w:jc w:val="center"/>
            </w:pPr>
            <w:r>
              <w:t>4 weeks duration</w:t>
            </w:r>
          </w:p>
          <w:p w14:paraId="0611005D" w14:textId="77777777" w:rsidR="00143F53" w:rsidRPr="00CE706B" w:rsidRDefault="00143F53" w:rsidP="00873AF3">
            <w:pPr>
              <w:pStyle w:val="TableText"/>
              <w:widowControl/>
              <w:jc w:val="center"/>
            </w:pPr>
          </w:p>
        </w:tc>
        <w:tc>
          <w:tcPr>
            <w:tcW w:w="551" w:type="pct"/>
            <w:vAlign w:val="center"/>
          </w:tcPr>
          <w:p w14:paraId="5547A91B" w14:textId="77777777" w:rsidR="00143F53" w:rsidRPr="00466A92" w:rsidRDefault="00143F53" w:rsidP="00873AF3">
            <w:pPr>
              <w:pStyle w:val="TableText"/>
              <w:widowControl/>
              <w:jc w:val="center"/>
            </w:pPr>
            <w:r w:rsidRPr="00466A92">
              <w:t>Low</w:t>
            </w:r>
          </w:p>
        </w:tc>
        <w:tc>
          <w:tcPr>
            <w:tcW w:w="1179" w:type="pct"/>
            <w:vAlign w:val="center"/>
          </w:tcPr>
          <w:p w14:paraId="392F48ED" w14:textId="77777777" w:rsidR="00143F53" w:rsidRPr="00CE706B" w:rsidRDefault="00143F53" w:rsidP="00873AF3">
            <w:pPr>
              <w:pStyle w:val="TableText"/>
              <w:widowControl/>
            </w:pPr>
            <w:r>
              <w:t>Adults with myasthenia gravis and worsening weakness</w:t>
            </w:r>
          </w:p>
        </w:tc>
        <w:tc>
          <w:tcPr>
            <w:tcW w:w="1305" w:type="pct"/>
            <w:vAlign w:val="center"/>
          </w:tcPr>
          <w:p w14:paraId="660D76F3" w14:textId="77777777" w:rsidR="00143F53" w:rsidRDefault="00143F53" w:rsidP="00873AF3">
            <w:pPr>
              <w:pStyle w:val="TableText"/>
              <w:widowControl/>
            </w:pPr>
            <w:r>
              <w:t>Primary: Change in QMG at Day 14</w:t>
            </w:r>
          </w:p>
          <w:p w14:paraId="2D9933BA" w14:textId="77777777" w:rsidR="00143F53" w:rsidRPr="00CE706B" w:rsidRDefault="00143F53" w:rsidP="00873AF3">
            <w:pPr>
              <w:pStyle w:val="TableText"/>
              <w:widowControl/>
            </w:pPr>
            <w:r>
              <w:t>Other: Change in QMG at Day 28, and from day 14 to 28</w:t>
            </w:r>
          </w:p>
        </w:tc>
      </w:tr>
      <w:tr w:rsidR="00143F53" w:rsidRPr="00CE706B" w14:paraId="6A99F5D5" w14:textId="77777777">
        <w:tc>
          <w:tcPr>
            <w:tcW w:w="5000" w:type="pct"/>
            <w:gridSpan w:val="6"/>
            <w:vAlign w:val="center"/>
          </w:tcPr>
          <w:p w14:paraId="7645B0BB" w14:textId="77777777" w:rsidR="00143F53" w:rsidRPr="00CE706B" w:rsidRDefault="00143F53" w:rsidP="00873AF3">
            <w:pPr>
              <w:pStyle w:val="COMTableheadingrow"/>
            </w:pPr>
            <w:r>
              <w:t>Efgartigimod versus placebo</w:t>
            </w:r>
          </w:p>
        </w:tc>
      </w:tr>
      <w:tr w:rsidR="00143F53" w:rsidRPr="00CE706B" w14:paraId="271EFFAA" w14:textId="77777777">
        <w:tc>
          <w:tcPr>
            <w:tcW w:w="726" w:type="pct"/>
            <w:vAlign w:val="center"/>
          </w:tcPr>
          <w:p w14:paraId="2F78EEFB" w14:textId="77777777" w:rsidR="00143F53" w:rsidRPr="00CE706B" w:rsidRDefault="00143F53" w:rsidP="00873AF3">
            <w:pPr>
              <w:pStyle w:val="COMTabletext"/>
            </w:pPr>
            <w:r>
              <w:t>ADAPT</w:t>
            </w:r>
          </w:p>
        </w:tc>
        <w:tc>
          <w:tcPr>
            <w:tcW w:w="375" w:type="pct"/>
            <w:vAlign w:val="center"/>
          </w:tcPr>
          <w:p w14:paraId="4D74DDA9" w14:textId="77777777" w:rsidR="00143F53" w:rsidRPr="00CE706B" w:rsidRDefault="00143F53" w:rsidP="00873AF3">
            <w:pPr>
              <w:pStyle w:val="TableText"/>
              <w:widowControl/>
              <w:jc w:val="center"/>
            </w:pPr>
            <w:r>
              <w:t>167</w:t>
            </w:r>
          </w:p>
        </w:tc>
        <w:tc>
          <w:tcPr>
            <w:tcW w:w="864" w:type="pct"/>
            <w:vAlign w:val="center"/>
          </w:tcPr>
          <w:p w14:paraId="17688B5E" w14:textId="77777777" w:rsidR="00143F53" w:rsidRDefault="00143F53" w:rsidP="00873AF3">
            <w:pPr>
              <w:pStyle w:val="TableText"/>
              <w:widowControl/>
              <w:jc w:val="center"/>
            </w:pPr>
            <w:r>
              <w:t>MC, DB, R, PC</w:t>
            </w:r>
          </w:p>
          <w:p w14:paraId="20B74900" w14:textId="77777777" w:rsidR="00143F53" w:rsidRPr="00CE706B" w:rsidRDefault="00143F53" w:rsidP="00873AF3">
            <w:pPr>
              <w:pStyle w:val="TableText"/>
              <w:widowControl/>
              <w:jc w:val="center"/>
            </w:pPr>
            <w:r>
              <w:t>26 weeks duration</w:t>
            </w:r>
          </w:p>
        </w:tc>
        <w:tc>
          <w:tcPr>
            <w:tcW w:w="551" w:type="pct"/>
            <w:vAlign w:val="center"/>
          </w:tcPr>
          <w:p w14:paraId="32785327" w14:textId="77777777" w:rsidR="00143F53" w:rsidRPr="00466A92" w:rsidRDefault="00143F53" w:rsidP="00873AF3">
            <w:pPr>
              <w:pStyle w:val="TableText"/>
              <w:widowControl/>
              <w:jc w:val="center"/>
            </w:pPr>
            <w:r w:rsidRPr="00466A92">
              <w:t>Low</w:t>
            </w:r>
          </w:p>
        </w:tc>
        <w:tc>
          <w:tcPr>
            <w:tcW w:w="1179" w:type="pct"/>
            <w:vAlign w:val="center"/>
          </w:tcPr>
          <w:p w14:paraId="4D1AC3F4" w14:textId="760C1664" w:rsidR="00143F53" w:rsidRPr="00CE706B" w:rsidRDefault="00143F53" w:rsidP="00873AF3">
            <w:pPr>
              <w:pStyle w:val="TableText"/>
              <w:widowControl/>
            </w:pPr>
            <w:r>
              <w:t xml:space="preserve">Adults with </w:t>
            </w:r>
            <w:r w:rsidRPr="00572EF0">
              <w:t xml:space="preserve">gMG (regardless of AChR antibody status) with MGFA class II to IV disease </w:t>
            </w:r>
            <w:r>
              <w:t>and</w:t>
            </w:r>
            <w:r w:rsidRPr="00572EF0">
              <w:t xml:space="preserve"> MG-ADL ≥5 with &gt;</w:t>
            </w:r>
            <w:r w:rsidR="00102C1A">
              <w:t xml:space="preserve"> </w:t>
            </w:r>
            <w:r w:rsidRPr="00572EF0">
              <w:t>50% of the score due to non-ocular symptoms</w:t>
            </w:r>
            <w:r>
              <w:t>,</w:t>
            </w:r>
            <w:r w:rsidRPr="00572EF0">
              <w:t xml:space="preserve"> with at least one stable background therapy</w:t>
            </w:r>
          </w:p>
        </w:tc>
        <w:tc>
          <w:tcPr>
            <w:tcW w:w="1305" w:type="pct"/>
            <w:vAlign w:val="center"/>
          </w:tcPr>
          <w:p w14:paraId="16DC37BE" w14:textId="77777777" w:rsidR="00143F53" w:rsidRDefault="00143F53" w:rsidP="00873AF3">
            <w:pPr>
              <w:pStyle w:val="TableText"/>
              <w:widowControl/>
            </w:pPr>
            <w:r>
              <w:t xml:space="preserve">Primary: % MG-ADL responders in </w:t>
            </w:r>
            <w:r w:rsidRPr="00572EF0">
              <w:t>AChR</w:t>
            </w:r>
            <w:r>
              <w:t xml:space="preserve">+ </w:t>
            </w:r>
            <w:r w:rsidRPr="00572EF0">
              <w:t xml:space="preserve">(≥2-point reduction in MG-ADL sustained for at least 4 consecutive weeks) in </w:t>
            </w:r>
            <w:r>
              <w:t>cycle 1</w:t>
            </w:r>
            <w:r w:rsidRPr="00572EF0">
              <w:t xml:space="preserve">. </w:t>
            </w:r>
          </w:p>
          <w:p w14:paraId="19532E2C" w14:textId="77777777" w:rsidR="00143F53" w:rsidRPr="00CE706B" w:rsidRDefault="00143F53" w:rsidP="00873AF3">
            <w:pPr>
              <w:pStyle w:val="TableText"/>
              <w:widowControl/>
            </w:pPr>
            <w:r>
              <w:t>Other:</w:t>
            </w:r>
            <w:r w:rsidRPr="00572EF0">
              <w:t xml:space="preserve"> QMG responders (≥</w:t>
            </w:r>
            <w:r>
              <w:t>3-point</w:t>
            </w:r>
            <w:r w:rsidRPr="00572EF0">
              <w:t xml:space="preserve"> improvement) in the AChR</w:t>
            </w:r>
            <w:r>
              <w:t>+</w:t>
            </w:r>
            <w:r w:rsidRPr="00572EF0">
              <w:t xml:space="preserve"> subgroup</w:t>
            </w:r>
            <w:r>
              <w:t>,</w:t>
            </w:r>
            <w:r w:rsidRPr="00572EF0">
              <w:t xml:space="preserve"> MG-ADL responders in the overall population</w:t>
            </w:r>
          </w:p>
        </w:tc>
      </w:tr>
      <w:tr w:rsidR="00143F53" w:rsidRPr="00CE706B" w14:paraId="2B6E4B5F" w14:textId="77777777">
        <w:tc>
          <w:tcPr>
            <w:tcW w:w="726" w:type="pct"/>
            <w:vAlign w:val="center"/>
          </w:tcPr>
          <w:p w14:paraId="6B42E0A4" w14:textId="77777777" w:rsidR="00143F53" w:rsidRPr="00CE706B" w:rsidRDefault="00143F53" w:rsidP="00873AF3">
            <w:pPr>
              <w:pStyle w:val="COMTabletext"/>
            </w:pPr>
            <w:r>
              <w:t>Howard 2019</w:t>
            </w:r>
          </w:p>
        </w:tc>
        <w:tc>
          <w:tcPr>
            <w:tcW w:w="375" w:type="pct"/>
            <w:vAlign w:val="center"/>
          </w:tcPr>
          <w:p w14:paraId="7FB0E325" w14:textId="77777777" w:rsidR="00143F53" w:rsidRPr="00CE706B" w:rsidRDefault="00143F53" w:rsidP="00873AF3">
            <w:pPr>
              <w:pStyle w:val="TableText"/>
              <w:widowControl/>
              <w:jc w:val="center"/>
            </w:pPr>
            <w:r>
              <w:t>24</w:t>
            </w:r>
          </w:p>
        </w:tc>
        <w:tc>
          <w:tcPr>
            <w:tcW w:w="864" w:type="pct"/>
            <w:vAlign w:val="center"/>
          </w:tcPr>
          <w:p w14:paraId="4006EE1D" w14:textId="77777777" w:rsidR="00143F53" w:rsidRDefault="00143F53" w:rsidP="00873AF3">
            <w:pPr>
              <w:pStyle w:val="TableText"/>
              <w:widowControl/>
              <w:jc w:val="center"/>
            </w:pPr>
            <w:r>
              <w:t>Phase 2, MC, DB, R, PC</w:t>
            </w:r>
          </w:p>
          <w:p w14:paraId="64E9A91F" w14:textId="77777777" w:rsidR="00143F53" w:rsidRPr="00CE706B" w:rsidRDefault="00143F53" w:rsidP="00873AF3">
            <w:pPr>
              <w:pStyle w:val="TableText"/>
              <w:widowControl/>
              <w:jc w:val="center"/>
            </w:pPr>
            <w:r>
              <w:t>11 weeks duration</w:t>
            </w:r>
          </w:p>
        </w:tc>
        <w:tc>
          <w:tcPr>
            <w:tcW w:w="551" w:type="pct"/>
            <w:vAlign w:val="center"/>
          </w:tcPr>
          <w:p w14:paraId="7309FB40" w14:textId="77777777" w:rsidR="00143F53" w:rsidRPr="00466A92" w:rsidRDefault="00143F53" w:rsidP="00873AF3">
            <w:pPr>
              <w:pStyle w:val="TableText"/>
              <w:widowControl/>
              <w:jc w:val="center"/>
            </w:pPr>
            <w:r w:rsidRPr="00466A92">
              <w:t>Low</w:t>
            </w:r>
          </w:p>
        </w:tc>
        <w:tc>
          <w:tcPr>
            <w:tcW w:w="1179" w:type="pct"/>
            <w:vAlign w:val="center"/>
          </w:tcPr>
          <w:p w14:paraId="60F8C327" w14:textId="48C403D2" w:rsidR="00143F53" w:rsidRPr="00CE706B" w:rsidRDefault="00143F53" w:rsidP="00873AF3">
            <w:pPr>
              <w:pStyle w:val="TableText"/>
              <w:widowControl/>
            </w:pPr>
            <w:r w:rsidRPr="00167DFA">
              <w:t>Adult</w:t>
            </w:r>
            <w:r>
              <w:t>s with</w:t>
            </w:r>
            <w:r w:rsidRPr="00167DFA">
              <w:t xml:space="preserve"> AChR</w:t>
            </w:r>
            <w:r>
              <w:t>+</w:t>
            </w:r>
            <w:r w:rsidRPr="00167DFA">
              <w:t xml:space="preserve"> gMG with MGFA class II to IVa disease </w:t>
            </w:r>
            <w:r>
              <w:t>and</w:t>
            </w:r>
            <w:r w:rsidRPr="00167DFA">
              <w:t xml:space="preserve"> MG-ADL ≥5 with &gt;</w:t>
            </w:r>
            <w:r w:rsidR="00102C1A">
              <w:t xml:space="preserve"> </w:t>
            </w:r>
            <w:r w:rsidRPr="00167DFA">
              <w:t>50% of the score due to non-ocular symptoms</w:t>
            </w:r>
            <w:r>
              <w:t xml:space="preserve">, </w:t>
            </w:r>
            <w:r w:rsidRPr="00167DFA">
              <w:t>with at least one stable background therapy</w:t>
            </w:r>
          </w:p>
        </w:tc>
        <w:tc>
          <w:tcPr>
            <w:tcW w:w="1305" w:type="pct"/>
            <w:vAlign w:val="center"/>
          </w:tcPr>
          <w:p w14:paraId="4263A794" w14:textId="77777777" w:rsidR="00143F53" w:rsidRDefault="00143F53" w:rsidP="00873AF3">
            <w:pPr>
              <w:pStyle w:val="TableText"/>
              <w:widowControl/>
            </w:pPr>
            <w:r>
              <w:t>Exploratory outcomes only:</w:t>
            </w:r>
          </w:p>
          <w:p w14:paraId="0420AEA3" w14:textId="77777777" w:rsidR="00143F53" w:rsidRDefault="00143F53" w:rsidP="00873AF3">
            <w:pPr>
              <w:pStyle w:val="TableText"/>
              <w:widowControl/>
            </w:pPr>
            <w:r>
              <w:t>Primary: safety</w:t>
            </w:r>
          </w:p>
          <w:p w14:paraId="74D85CD5" w14:textId="77777777" w:rsidR="00143F53" w:rsidRPr="00CE706B" w:rsidRDefault="00143F53" w:rsidP="00873AF3">
            <w:pPr>
              <w:pStyle w:val="TableText"/>
              <w:widowControl/>
            </w:pPr>
            <w:r>
              <w:t>Other: C</w:t>
            </w:r>
            <w:r w:rsidRPr="00572EF0">
              <w:t xml:space="preserve">hange in MG-ADL, QMG, and MGC </w:t>
            </w:r>
            <w:r>
              <w:t xml:space="preserve">at Week 11, </w:t>
            </w:r>
            <w:r w:rsidRPr="00572EF0">
              <w:t>change in quality of life (MG-QOL15r)</w:t>
            </w:r>
          </w:p>
        </w:tc>
      </w:tr>
    </w:tbl>
    <w:p w14:paraId="414E35E2" w14:textId="77777777" w:rsidR="00143F53" w:rsidRPr="00DC0E63" w:rsidRDefault="00143F53" w:rsidP="00873AF3">
      <w:pPr>
        <w:pStyle w:val="COMTablefooter"/>
      </w:pPr>
      <w:r w:rsidRPr="00DC0E63">
        <w:t>Source: Table</w:t>
      </w:r>
      <w:r>
        <w:t xml:space="preserve"> 2.3-1</w:t>
      </w:r>
      <w:r w:rsidRPr="00DC0E63">
        <w:t>, p</w:t>
      </w:r>
      <w:r>
        <w:t>56; Section 2.3, pp59-60</w:t>
      </w:r>
      <w:r w:rsidRPr="00DC0E63">
        <w:t xml:space="preserve"> of the submission</w:t>
      </w:r>
      <w:r>
        <w:t>; Table 2.4-13, p80 of the submission; Table 2.3.1, Appendix 10 of the submission; Howard 2021 (ADAPT); Howard 2019</w:t>
      </w:r>
      <w:r w:rsidRPr="00DC0E63">
        <w:t>.</w:t>
      </w:r>
    </w:p>
    <w:p w14:paraId="7075E5AE" w14:textId="77777777" w:rsidR="00143F53" w:rsidRDefault="00143F53" w:rsidP="00873AF3">
      <w:pPr>
        <w:pStyle w:val="COMTablefooter"/>
      </w:pPr>
      <w:r w:rsidRPr="00DC0E63">
        <w:t xml:space="preserve">Abbreviation: AChR+, anti-acetylcholine receptor antibody positive; DB, double-blind; </w:t>
      </w:r>
      <w:r>
        <w:t xml:space="preserve">gMG, generalised myasthenia gravis; </w:t>
      </w:r>
      <w:r w:rsidRPr="00DC0E63">
        <w:t>MC, multicentre; MG-ADL, Myasthenia Gravis Activities of Daily Living; MGC, myasthenia gravis composite score; MGFA Myasthenia Gravis Foundation of America; MG-QoL15r, revised Myasthenia Gravis Quality of Life; PC, placebo-controlled; QMG, Quantitative Myasthenia Gravis score; R, randomised</w:t>
      </w:r>
      <w:r>
        <w:t>; wks, weeks</w:t>
      </w:r>
      <w:r w:rsidRPr="00DC0E63">
        <w:t>.</w:t>
      </w:r>
    </w:p>
    <w:p w14:paraId="4A4FE085" w14:textId="1C5613CC" w:rsidR="00B60939" w:rsidRDefault="00B60939" w:rsidP="00873AF3">
      <w:pPr>
        <w:pStyle w:val="COMH2-non-numbered"/>
      </w:pPr>
      <w:bookmarkStart w:id="28" w:name="_Toc22897641"/>
      <w:bookmarkStart w:id="29" w:name="_Toc188272889"/>
      <w:r w:rsidRPr="00CE706B">
        <w:t>Comparative effectiveness</w:t>
      </w:r>
      <w:bookmarkEnd w:id="28"/>
      <w:bookmarkEnd w:id="29"/>
    </w:p>
    <w:p w14:paraId="7CC1A4D6" w14:textId="06B9A884" w:rsidR="00690F47" w:rsidRDefault="57F44DF5" w:rsidP="00873AF3">
      <w:pPr>
        <w:pStyle w:val="COMH4"/>
      </w:pPr>
      <w:bookmarkStart w:id="30" w:name="_Hlk164697182"/>
      <w:r w:rsidRPr="7E0DBB7D">
        <w:t>Rozanolixizumab versus placebo</w:t>
      </w:r>
      <w:r w:rsidR="1436CBE7" w:rsidRPr="7E0DBB7D">
        <w:t>,</w:t>
      </w:r>
      <w:r w:rsidR="574FE713" w:rsidRPr="7E0DBB7D">
        <w:t xml:space="preserve"> and extension studies</w:t>
      </w:r>
    </w:p>
    <w:bookmarkEnd w:id="30"/>
    <w:p w14:paraId="62007BE8" w14:textId="5EFA0951" w:rsidR="00B60714" w:rsidRPr="00CE706B" w:rsidRDefault="35A54A1D" w:rsidP="00873AF3">
      <w:pPr>
        <w:pStyle w:val="COMexecsummnumbered"/>
      </w:pPr>
      <w:r w:rsidRPr="7E0DBB7D">
        <w:t xml:space="preserve">Results </w:t>
      </w:r>
      <w:r w:rsidR="410B19E8" w:rsidRPr="7E0DBB7D">
        <w:t xml:space="preserve">from MycarinG </w:t>
      </w:r>
      <w:r w:rsidRPr="7E0DBB7D">
        <w:t xml:space="preserve">for the primary outcome </w:t>
      </w:r>
      <w:r w:rsidR="410B19E8" w:rsidRPr="7E0DBB7D">
        <w:t xml:space="preserve">of </w:t>
      </w:r>
      <w:r w:rsidRPr="7E0DBB7D">
        <w:t>change in MG-ADL score from baseline to Day 43,</w:t>
      </w:r>
      <w:r w:rsidR="410B19E8" w:rsidRPr="7E0DBB7D">
        <w:t xml:space="preserve"> and key secondary outcomes of change in QMG and MGC scores from baseline to Day 43,</w:t>
      </w:r>
      <w:r w:rsidRPr="7E0DBB7D">
        <w:t xml:space="preserve"> are summarised in </w:t>
      </w:r>
      <w:r w:rsidR="00B60714">
        <w:fldChar w:fldCharType="begin" w:fldLock="1"/>
      </w:r>
      <w:r w:rsidR="00B60714">
        <w:instrText xml:space="preserve"> REF _Ref185254497 \h </w:instrText>
      </w:r>
      <w:r w:rsidR="00B60714">
        <w:fldChar w:fldCharType="separate"/>
      </w:r>
      <w:r w:rsidR="00E70E55" w:rsidRPr="7E0DBB7D">
        <w:t xml:space="preserve">Table </w:t>
      </w:r>
      <w:r w:rsidR="00E70E55">
        <w:rPr>
          <w:noProof/>
        </w:rPr>
        <w:t>4</w:t>
      </w:r>
      <w:r w:rsidR="00B60714">
        <w:fldChar w:fldCharType="end"/>
      </w:r>
      <w:r w:rsidRPr="7E0DBB7D">
        <w:t>.</w:t>
      </w:r>
    </w:p>
    <w:p w14:paraId="0AFD22C1" w14:textId="21183495" w:rsidR="00B60714" w:rsidRPr="00CE706B" w:rsidRDefault="0E87CBCA" w:rsidP="00873AF3">
      <w:pPr>
        <w:pStyle w:val="COMtablefigcaption"/>
        <w:spacing w:before="120"/>
      </w:pPr>
      <w:bookmarkStart w:id="31" w:name="_Ref185254497"/>
      <w:r w:rsidRPr="7E0DBB7D">
        <w:t>Table</w:t>
      </w:r>
      <w:r w:rsidR="577AA4F6" w:rsidRPr="7E0DBB7D">
        <w:t xml:space="preserve"> </w:t>
      </w:r>
      <w:r w:rsidR="00FB5E6D">
        <w:fldChar w:fldCharType="begin" w:fldLock="1"/>
      </w:r>
      <w:r w:rsidR="00FB5E6D">
        <w:instrText>SEQ Table \* ARABIC</w:instrText>
      </w:r>
      <w:r w:rsidR="00FB5E6D">
        <w:fldChar w:fldCharType="separate"/>
      </w:r>
      <w:r w:rsidR="00E70E55">
        <w:rPr>
          <w:noProof/>
        </w:rPr>
        <w:t>4</w:t>
      </w:r>
      <w:r w:rsidR="00FB5E6D">
        <w:fldChar w:fldCharType="end"/>
      </w:r>
      <w:bookmarkEnd w:id="31"/>
      <w:r w:rsidR="35A54A1D" w:rsidRPr="7E0DBB7D">
        <w:t xml:space="preserve">: Mean change in MG-ADL from baseline at day 43, </w:t>
      </w:r>
      <w:bookmarkStart w:id="32" w:name="_Hlk193973780"/>
      <w:r w:rsidR="35A54A1D" w:rsidRPr="7E0DBB7D">
        <w:t xml:space="preserve">MycarinG trial </w:t>
      </w:r>
      <w:bookmarkEnd w:id="32"/>
      <w:r w:rsidR="35A54A1D" w:rsidRPr="7E0DBB7D">
        <w:t>(ITT population)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4: Mean change in MG-ADL from baseline at day 43, MycarinG trial (ITT population)"/>
      </w:tblPr>
      <w:tblGrid>
        <w:gridCol w:w="2552"/>
        <w:gridCol w:w="2126"/>
        <w:gridCol w:w="2268"/>
        <w:gridCol w:w="2071"/>
      </w:tblGrid>
      <w:tr w:rsidR="00C93C8E" w:rsidRPr="00CE706B" w14:paraId="06F0C48D" w14:textId="77777777" w:rsidTr="00F97C06">
        <w:trPr>
          <w:trHeight w:val="76"/>
          <w:tblHeader/>
        </w:trPr>
        <w:tc>
          <w:tcPr>
            <w:tcW w:w="2552" w:type="dxa"/>
            <w:tcBorders>
              <w:top w:val="single" w:sz="4" w:space="0" w:color="auto"/>
              <w:left w:val="single" w:sz="4" w:space="0" w:color="auto"/>
              <w:right w:val="single" w:sz="4" w:space="0" w:color="auto"/>
            </w:tcBorders>
            <w:vAlign w:val="center"/>
          </w:tcPr>
          <w:p w14:paraId="3BD56007" w14:textId="77777777" w:rsidR="00B60714" w:rsidRPr="00CE706B" w:rsidRDefault="00B60714" w:rsidP="00873AF3">
            <w:pPr>
              <w:pStyle w:val="TableText"/>
              <w:widowControl/>
              <w:ind w:left="180"/>
              <w:rPr>
                <w:b/>
              </w:rPr>
            </w:pPr>
          </w:p>
        </w:tc>
        <w:tc>
          <w:tcPr>
            <w:tcW w:w="2126" w:type="dxa"/>
            <w:tcBorders>
              <w:top w:val="single" w:sz="4" w:space="0" w:color="auto"/>
              <w:left w:val="single" w:sz="4" w:space="0" w:color="auto"/>
              <w:bottom w:val="single" w:sz="4" w:space="0" w:color="auto"/>
              <w:right w:val="single" w:sz="4" w:space="0" w:color="auto"/>
            </w:tcBorders>
            <w:vAlign w:val="center"/>
          </w:tcPr>
          <w:p w14:paraId="03D1B54D" w14:textId="77777777" w:rsidR="00B60714" w:rsidRPr="00CE706B" w:rsidRDefault="00B60714" w:rsidP="00873AF3">
            <w:pPr>
              <w:pStyle w:val="TableText"/>
              <w:keepNext w:val="0"/>
              <w:widowControl/>
              <w:jc w:val="center"/>
              <w:rPr>
                <w:b/>
              </w:rPr>
            </w:pPr>
            <w:r w:rsidRPr="00CE706B">
              <w:rPr>
                <w:b/>
              </w:rPr>
              <w:t xml:space="preserve">RLZ </w:t>
            </w:r>
            <w:r>
              <w:rPr>
                <w:b/>
              </w:rPr>
              <w:t>~</w:t>
            </w:r>
            <w:r w:rsidRPr="00CE706B">
              <w:rPr>
                <w:b/>
              </w:rPr>
              <w:t>7 mg/kg</w:t>
            </w:r>
          </w:p>
          <w:p w14:paraId="1F250CC3" w14:textId="77777777" w:rsidR="00B60714" w:rsidRPr="00CE706B" w:rsidRDefault="00B60714" w:rsidP="00873AF3">
            <w:pPr>
              <w:pStyle w:val="TableText"/>
              <w:keepNext w:val="0"/>
              <w:widowControl/>
              <w:jc w:val="center"/>
              <w:rPr>
                <w:b/>
              </w:rPr>
            </w:pPr>
            <w:r w:rsidRPr="00CE706B">
              <w:rPr>
                <w:b/>
              </w:rPr>
              <w:t>N = 66</w:t>
            </w:r>
          </w:p>
        </w:tc>
        <w:tc>
          <w:tcPr>
            <w:tcW w:w="2268" w:type="dxa"/>
            <w:tcBorders>
              <w:top w:val="single" w:sz="4" w:space="0" w:color="auto"/>
              <w:left w:val="single" w:sz="4" w:space="0" w:color="auto"/>
              <w:right w:val="single" w:sz="4" w:space="0" w:color="auto"/>
            </w:tcBorders>
            <w:vAlign w:val="center"/>
          </w:tcPr>
          <w:p w14:paraId="6B675ABF" w14:textId="77777777" w:rsidR="00B60714" w:rsidRPr="00CE706B" w:rsidRDefault="00B60714" w:rsidP="00873AF3">
            <w:pPr>
              <w:pStyle w:val="TableText"/>
              <w:keepNext w:val="0"/>
              <w:widowControl/>
              <w:jc w:val="center"/>
              <w:rPr>
                <w:b/>
              </w:rPr>
            </w:pPr>
            <w:r w:rsidRPr="00CE706B">
              <w:rPr>
                <w:b/>
              </w:rPr>
              <w:t xml:space="preserve">RLZ </w:t>
            </w:r>
            <w:r>
              <w:rPr>
                <w:b/>
              </w:rPr>
              <w:t>~</w:t>
            </w:r>
            <w:r w:rsidRPr="00CE706B">
              <w:rPr>
                <w:b/>
              </w:rPr>
              <w:t>10 mg/kg</w:t>
            </w:r>
          </w:p>
          <w:p w14:paraId="77113D48" w14:textId="77777777" w:rsidR="00B60714" w:rsidRPr="00CE706B" w:rsidRDefault="00B60714" w:rsidP="00873AF3">
            <w:pPr>
              <w:pStyle w:val="TableText"/>
              <w:keepNext w:val="0"/>
              <w:widowControl/>
              <w:jc w:val="center"/>
              <w:rPr>
                <w:b/>
              </w:rPr>
            </w:pPr>
            <w:r w:rsidRPr="00CE706B">
              <w:rPr>
                <w:b/>
              </w:rPr>
              <w:t>N = 67</w:t>
            </w:r>
          </w:p>
        </w:tc>
        <w:tc>
          <w:tcPr>
            <w:tcW w:w="2071" w:type="dxa"/>
            <w:tcBorders>
              <w:top w:val="single" w:sz="4" w:space="0" w:color="auto"/>
              <w:left w:val="single" w:sz="4" w:space="0" w:color="auto"/>
              <w:right w:val="single" w:sz="4" w:space="0" w:color="auto"/>
            </w:tcBorders>
            <w:vAlign w:val="center"/>
          </w:tcPr>
          <w:p w14:paraId="6B68E293" w14:textId="77777777" w:rsidR="00B60714" w:rsidRPr="00CE706B" w:rsidRDefault="00B60714" w:rsidP="00873AF3">
            <w:pPr>
              <w:pStyle w:val="TableText"/>
              <w:keepNext w:val="0"/>
              <w:widowControl/>
              <w:jc w:val="center"/>
              <w:rPr>
                <w:b/>
              </w:rPr>
            </w:pPr>
            <w:r w:rsidRPr="00CE706B">
              <w:rPr>
                <w:b/>
              </w:rPr>
              <w:t>Placebo</w:t>
            </w:r>
          </w:p>
          <w:p w14:paraId="31C8FF24" w14:textId="77777777" w:rsidR="00B60714" w:rsidRPr="00CE706B" w:rsidRDefault="00B60714" w:rsidP="00873AF3">
            <w:pPr>
              <w:pStyle w:val="TableText"/>
              <w:keepNext w:val="0"/>
              <w:widowControl/>
              <w:jc w:val="center"/>
              <w:rPr>
                <w:b/>
              </w:rPr>
            </w:pPr>
            <w:r w:rsidRPr="00CE706B">
              <w:rPr>
                <w:b/>
              </w:rPr>
              <w:t>N = 67</w:t>
            </w:r>
          </w:p>
        </w:tc>
      </w:tr>
      <w:tr w:rsidR="00B02C9F" w:rsidRPr="00CE706B" w14:paraId="6943483E" w14:textId="77777777" w:rsidTr="00F97C06">
        <w:trPr>
          <w:trHeight w:val="76"/>
        </w:trPr>
        <w:tc>
          <w:tcPr>
            <w:tcW w:w="9017" w:type="dxa"/>
            <w:gridSpan w:val="4"/>
            <w:tcBorders>
              <w:top w:val="single" w:sz="4" w:space="0" w:color="auto"/>
              <w:left w:val="single" w:sz="4" w:space="0" w:color="auto"/>
            </w:tcBorders>
            <w:vAlign w:val="center"/>
          </w:tcPr>
          <w:p w14:paraId="5DB0F8BD" w14:textId="77777777" w:rsidR="00B60714" w:rsidRPr="00CE706B" w:rsidRDefault="00B60714" w:rsidP="00873AF3">
            <w:pPr>
              <w:pStyle w:val="TableText"/>
              <w:keepNext w:val="0"/>
              <w:widowControl/>
              <w:rPr>
                <w:b/>
              </w:rPr>
            </w:pPr>
            <w:r w:rsidRPr="00CE706B">
              <w:rPr>
                <w:b/>
              </w:rPr>
              <w:t>Mean change from baseline to day 43, MG-ADL score</w:t>
            </w:r>
          </w:p>
        </w:tc>
      </w:tr>
      <w:tr w:rsidR="0003465B" w:rsidRPr="00CE706B" w14:paraId="69E970D3" w14:textId="77777777" w:rsidTr="00F97C06">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55376DB4" w14:textId="77777777" w:rsidR="00B60714" w:rsidRPr="00CE706B" w:rsidRDefault="00B60714" w:rsidP="00873AF3">
            <w:pPr>
              <w:pStyle w:val="TableText"/>
              <w:widowControl/>
              <w:ind w:left="180"/>
            </w:pPr>
            <w:r w:rsidRPr="00CE706B">
              <w:t>Baseline Mean (SD)</w:t>
            </w:r>
          </w:p>
        </w:tc>
        <w:tc>
          <w:tcPr>
            <w:tcW w:w="2126" w:type="dxa"/>
            <w:tcBorders>
              <w:top w:val="single" w:sz="4" w:space="0" w:color="auto"/>
              <w:left w:val="single" w:sz="4" w:space="0" w:color="auto"/>
              <w:bottom w:val="single" w:sz="4" w:space="0" w:color="auto"/>
              <w:right w:val="single" w:sz="4" w:space="0" w:color="auto"/>
            </w:tcBorders>
          </w:tcPr>
          <w:p w14:paraId="4A7883E8" w14:textId="77777777" w:rsidR="00B60714" w:rsidRPr="00CE706B" w:rsidRDefault="00B60714" w:rsidP="00873AF3">
            <w:pPr>
              <w:pStyle w:val="TableText"/>
              <w:widowControl/>
              <w:jc w:val="center"/>
            </w:pPr>
            <w:r w:rsidRPr="00CE706B">
              <w:t>8.4 (3.8)</w:t>
            </w:r>
          </w:p>
        </w:tc>
        <w:tc>
          <w:tcPr>
            <w:tcW w:w="2268" w:type="dxa"/>
            <w:tcBorders>
              <w:top w:val="single" w:sz="4" w:space="0" w:color="auto"/>
              <w:left w:val="single" w:sz="4" w:space="0" w:color="auto"/>
              <w:bottom w:val="single" w:sz="4" w:space="0" w:color="auto"/>
              <w:right w:val="single" w:sz="4" w:space="0" w:color="auto"/>
            </w:tcBorders>
          </w:tcPr>
          <w:p w14:paraId="0C693C3E" w14:textId="77777777" w:rsidR="00B60714" w:rsidRPr="00CE706B" w:rsidRDefault="00B60714" w:rsidP="00873AF3">
            <w:pPr>
              <w:pStyle w:val="TableText"/>
              <w:widowControl/>
              <w:jc w:val="center"/>
            </w:pPr>
            <w:r w:rsidRPr="00CE706B">
              <w:t>8.1 (2.9)</w:t>
            </w:r>
          </w:p>
        </w:tc>
        <w:tc>
          <w:tcPr>
            <w:tcW w:w="2071" w:type="dxa"/>
            <w:tcBorders>
              <w:top w:val="single" w:sz="4" w:space="0" w:color="auto"/>
              <w:left w:val="single" w:sz="4" w:space="0" w:color="auto"/>
              <w:right w:val="single" w:sz="4" w:space="0" w:color="auto"/>
            </w:tcBorders>
            <w:vAlign w:val="center"/>
          </w:tcPr>
          <w:p w14:paraId="3C38CBA6" w14:textId="77777777" w:rsidR="00B60714" w:rsidRPr="00CE706B" w:rsidRDefault="00B60714" w:rsidP="00873AF3">
            <w:pPr>
              <w:pStyle w:val="TableText"/>
              <w:widowControl/>
              <w:jc w:val="center"/>
            </w:pPr>
            <w:r w:rsidRPr="00CE706B">
              <w:t>8.4 (3.4)</w:t>
            </w:r>
          </w:p>
        </w:tc>
      </w:tr>
      <w:tr w:rsidR="0003465B" w:rsidRPr="00CE706B" w14:paraId="10AC8923" w14:textId="77777777" w:rsidTr="00F97C06">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3B9A4078" w14:textId="77777777" w:rsidR="00B60714" w:rsidRPr="00CE706B" w:rsidRDefault="00B60714" w:rsidP="00873AF3">
            <w:pPr>
              <w:pStyle w:val="TableText"/>
              <w:keepNext w:val="0"/>
              <w:widowControl/>
              <w:ind w:left="180"/>
            </w:pPr>
            <w:r w:rsidRPr="00CE706B">
              <w:t>Day 43 Mean (SD)</w:t>
            </w:r>
          </w:p>
        </w:tc>
        <w:tc>
          <w:tcPr>
            <w:tcW w:w="2126" w:type="dxa"/>
            <w:tcBorders>
              <w:top w:val="single" w:sz="4" w:space="0" w:color="auto"/>
              <w:left w:val="single" w:sz="4" w:space="0" w:color="auto"/>
              <w:bottom w:val="single" w:sz="4" w:space="0" w:color="auto"/>
              <w:right w:val="single" w:sz="4" w:space="0" w:color="auto"/>
            </w:tcBorders>
            <w:vAlign w:val="center"/>
          </w:tcPr>
          <w:p w14:paraId="27A81210" w14:textId="77777777" w:rsidR="00B60714" w:rsidRPr="00CE706B" w:rsidRDefault="00B60714" w:rsidP="00873AF3">
            <w:pPr>
              <w:pStyle w:val="TableText"/>
              <w:widowControl/>
              <w:jc w:val="center"/>
            </w:pPr>
            <w:r w:rsidRPr="00CE706B">
              <w:t>n = 64</w:t>
            </w:r>
          </w:p>
          <w:p w14:paraId="75C9BAD0" w14:textId="77777777" w:rsidR="00B60714" w:rsidRPr="00CE706B" w:rsidRDefault="00B60714" w:rsidP="00873AF3">
            <w:pPr>
              <w:pStyle w:val="TableText"/>
              <w:widowControl/>
              <w:jc w:val="center"/>
            </w:pPr>
            <w:r w:rsidRPr="00CE706B">
              <w:t>5.1 (3.8)</w:t>
            </w:r>
          </w:p>
        </w:tc>
        <w:tc>
          <w:tcPr>
            <w:tcW w:w="2268" w:type="dxa"/>
            <w:tcBorders>
              <w:top w:val="single" w:sz="4" w:space="0" w:color="auto"/>
              <w:left w:val="single" w:sz="4" w:space="0" w:color="auto"/>
              <w:bottom w:val="single" w:sz="4" w:space="0" w:color="auto"/>
              <w:right w:val="single" w:sz="4" w:space="0" w:color="auto"/>
            </w:tcBorders>
            <w:vAlign w:val="center"/>
          </w:tcPr>
          <w:p w14:paraId="5710B6F2" w14:textId="77777777" w:rsidR="00B60714" w:rsidRPr="00CE706B" w:rsidRDefault="00B60714" w:rsidP="00873AF3">
            <w:pPr>
              <w:pStyle w:val="TableText"/>
              <w:widowControl/>
              <w:jc w:val="center"/>
            </w:pPr>
            <w:r w:rsidRPr="00CE706B">
              <w:t>n = 62</w:t>
            </w:r>
          </w:p>
          <w:p w14:paraId="374745A5" w14:textId="77777777" w:rsidR="00B60714" w:rsidRPr="00CE706B" w:rsidRDefault="00B60714" w:rsidP="00873AF3">
            <w:pPr>
              <w:pStyle w:val="TableText"/>
              <w:widowControl/>
              <w:jc w:val="center"/>
            </w:pPr>
            <w:r w:rsidRPr="00CE706B">
              <w:t>4.8 (3.6)</w:t>
            </w:r>
          </w:p>
        </w:tc>
        <w:tc>
          <w:tcPr>
            <w:tcW w:w="2071" w:type="dxa"/>
            <w:tcBorders>
              <w:left w:val="single" w:sz="4" w:space="0" w:color="auto"/>
              <w:right w:val="single" w:sz="4" w:space="0" w:color="auto"/>
            </w:tcBorders>
            <w:vAlign w:val="center"/>
          </w:tcPr>
          <w:p w14:paraId="44479BB7" w14:textId="77777777" w:rsidR="00B60714" w:rsidRPr="00CE706B" w:rsidRDefault="00B60714" w:rsidP="00873AF3">
            <w:pPr>
              <w:pStyle w:val="TableText"/>
              <w:widowControl/>
              <w:jc w:val="center"/>
              <w:rPr>
                <w:szCs w:val="20"/>
              </w:rPr>
            </w:pPr>
            <w:r w:rsidRPr="00CE706B">
              <w:rPr>
                <w:szCs w:val="20"/>
              </w:rPr>
              <w:t>n = 64</w:t>
            </w:r>
          </w:p>
          <w:p w14:paraId="0A2D8DFB" w14:textId="77777777" w:rsidR="00B60714" w:rsidRPr="00CE706B" w:rsidRDefault="00B60714" w:rsidP="00873AF3">
            <w:pPr>
              <w:pStyle w:val="TableText"/>
              <w:widowControl/>
              <w:jc w:val="center"/>
            </w:pPr>
            <w:r w:rsidRPr="00CE706B">
              <w:rPr>
                <w:szCs w:val="20"/>
              </w:rPr>
              <w:t>7.8 (3.6)</w:t>
            </w:r>
          </w:p>
        </w:tc>
      </w:tr>
      <w:tr w:rsidR="0003465B" w:rsidRPr="00CE706B" w14:paraId="0141AE1F" w14:textId="77777777" w:rsidTr="00F97C06">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4615CAF9" w14:textId="77777777" w:rsidR="00B60714" w:rsidRPr="00CE706B" w:rsidRDefault="00B60714" w:rsidP="00873AF3">
            <w:pPr>
              <w:pStyle w:val="TableText"/>
              <w:keepNext w:val="0"/>
              <w:widowControl/>
              <w:ind w:left="180"/>
            </w:pPr>
            <w:r w:rsidRPr="00CE706B">
              <w:t>LSM change at Day 43 (SE)</w:t>
            </w:r>
          </w:p>
        </w:tc>
        <w:tc>
          <w:tcPr>
            <w:tcW w:w="2126" w:type="dxa"/>
            <w:tcBorders>
              <w:top w:val="single" w:sz="4" w:space="0" w:color="auto"/>
              <w:left w:val="single" w:sz="4" w:space="0" w:color="auto"/>
              <w:bottom w:val="single" w:sz="4" w:space="0" w:color="auto"/>
              <w:right w:val="single" w:sz="4" w:space="0" w:color="auto"/>
            </w:tcBorders>
            <w:vAlign w:val="center"/>
          </w:tcPr>
          <w:p w14:paraId="4D188255" w14:textId="77777777" w:rsidR="00B60714" w:rsidRPr="00CE706B" w:rsidRDefault="00B60714" w:rsidP="00873AF3">
            <w:pPr>
              <w:pStyle w:val="TableText"/>
              <w:widowControl/>
              <w:jc w:val="center"/>
            </w:pPr>
            <w:r w:rsidRPr="00CE706B">
              <w:t>-3.37 (0.49)</w:t>
            </w:r>
          </w:p>
        </w:tc>
        <w:tc>
          <w:tcPr>
            <w:tcW w:w="2268" w:type="dxa"/>
            <w:tcBorders>
              <w:top w:val="single" w:sz="4" w:space="0" w:color="auto"/>
              <w:left w:val="single" w:sz="4" w:space="0" w:color="auto"/>
              <w:bottom w:val="single" w:sz="4" w:space="0" w:color="auto"/>
              <w:right w:val="single" w:sz="4" w:space="0" w:color="auto"/>
            </w:tcBorders>
            <w:vAlign w:val="center"/>
          </w:tcPr>
          <w:p w14:paraId="404CC27B" w14:textId="77777777" w:rsidR="00B60714" w:rsidRPr="00CE706B" w:rsidRDefault="00B60714" w:rsidP="00873AF3">
            <w:pPr>
              <w:pStyle w:val="TableText"/>
              <w:widowControl/>
              <w:jc w:val="center"/>
            </w:pPr>
            <w:r w:rsidRPr="00CE706B">
              <w:t>-3.40 (0.49)</w:t>
            </w:r>
          </w:p>
        </w:tc>
        <w:tc>
          <w:tcPr>
            <w:tcW w:w="2071" w:type="dxa"/>
            <w:tcBorders>
              <w:left w:val="single" w:sz="4" w:space="0" w:color="auto"/>
              <w:right w:val="single" w:sz="4" w:space="0" w:color="auto"/>
            </w:tcBorders>
            <w:vAlign w:val="center"/>
          </w:tcPr>
          <w:p w14:paraId="5BCDCD16" w14:textId="77777777" w:rsidR="00B60714" w:rsidRPr="00CE706B" w:rsidRDefault="00B60714" w:rsidP="00873AF3">
            <w:pPr>
              <w:pStyle w:val="TableText"/>
              <w:widowControl/>
              <w:jc w:val="center"/>
            </w:pPr>
            <w:r w:rsidRPr="00CE706B">
              <w:t>-0.78 (0.49)</w:t>
            </w:r>
          </w:p>
        </w:tc>
      </w:tr>
      <w:tr w:rsidR="0003465B" w:rsidRPr="00CE706B" w14:paraId="5B190661" w14:textId="77777777" w:rsidTr="00F97C06">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4FC188AB" w14:textId="77777777" w:rsidR="00B60714" w:rsidRPr="00CE706B" w:rsidRDefault="00B60714" w:rsidP="00873AF3">
            <w:pPr>
              <w:pStyle w:val="TableText"/>
              <w:keepNext w:val="0"/>
              <w:widowControl/>
              <w:ind w:left="180"/>
            </w:pPr>
            <w:r w:rsidRPr="00CE706B">
              <w:t>LSM difference vs placebo (95% CI)</w:t>
            </w:r>
          </w:p>
        </w:tc>
        <w:tc>
          <w:tcPr>
            <w:tcW w:w="2126" w:type="dxa"/>
            <w:tcBorders>
              <w:top w:val="single" w:sz="4" w:space="0" w:color="auto"/>
              <w:left w:val="single" w:sz="4" w:space="0" w:color="auto"/>
              <w:bottom w:val="single" w:sz="4" w:space="0" w:color="auto"/>
              <w:right w:val="single" w:sz="4" w:space="0" w:color="auto"/>
            </w:tcBorders>
            <w:vAlign w:val="center"/>
          </w:tcPr>
          <w:p w14:paraId="4EA4E4CF" w14:textId="77777777" w:rsidR="00B60714" w:rsidRPr="00CE706B" w:rsidRDefault="00B60714" w:rsidP="00873AF3">
            <w:pPr>
              <w:pStyle w:val="TableText"/>
              <w:widowControl/>
              <w:jc w:val="center"/>
              <w:rPr>
                <w:b/>
                <w:bCs w:val="0"/>
              </w:rPr>
            </w:pPr>
            <w:r w:rsidRPr="00CE706B">
              <w:rPr>
                <w:b/>
                <w:bCs w:val="0"/>
              </w:rPr>
              <w:t>-2.59 (-4.09, -1.25)</w:t>
            </w:r>
          </w:p>
        </w:tc>
        <w:tc>
          <w:tcPr>
            <w:tcW w:w="2268" w:type="dxa"/>
            <w:tcBorders>
              <w:top w:val="single" w:sz="4" w:space="0" w:color="auto"/>
              <w:left w:val="single" w:sz="4" w:space="0" w:color="auto"/>
              <w:bottom w:val="single" w:sz="4" w:space="0" w:color="auto"/>
              <w:right w:val="single" w:sz="4" w:space="0" w:color="auto"/>
            </w:tcBorders>
            <w:vAlign w:val="center"/>
          </w:tcPr>
          <w:p w14:paraId="26EAB297" w14:textId="77777777" w:rsidR="00B60714" w:rsidRPr="00CE706B" w:rsidRDefault="00B60714" w:rsidP="00873AF3">
            <w:pPr>
              <w:pStyle w:val="TableText"/>
              <w:widowControl/>
              <w:jc w:val="center"/>
              <w:rPr>
                <w:b/>
                <w:bCs w:val="0"/>
              </w:rPr>
            </w:pPr>
            <w:r w:rsidRPr="00CE706B">
              <w:rPr>
                <w:b/>
                <w:bCs w:val="0"/>
              </w:rPr>
              <w:t>-2.62 (-3.99, -1.16)</w:t>
            </w:r>
          </w:p>
        </w:tc>
        <w:tc>
          <w:tcPr>
            <w:tcW w:w="2071" w:type="dxa"/>
            <w:tcBorders>
              <w:left w:val="single" w:sz="4" w:space="0" w:color="auto"/>
              <w:right w:val="single" w:sz="4" w:space="0" w:color="auto"/>
            </w:tcBorders>
            <w:vAlign w:val="center"/>
          </w:tcPr>
          <w:p w14:paraId="14D21915" w14:textId="77777777" w:rsidR="00B60714" w:rsidRPr="00CE706B" w:rsidRDefault="00B60714" w:rsidP="00873AF3">
            <w:pPr>
              <w:pStyle w:val="TableText"/>
              <w:widowControl/>
              <w:jc w:val="center"/>
            </w:pPr>
            <w:r w:rsidRPr="00CE706B">
              <w:t>-</w:t>
            </w:r>
          </w:p>
        </w:tc>
      </w:tr>
      <w:tr w:rsidR="00B02C9F" w:rsidRPr="00CE706B" w14:paraId="6F1CEA96" w14:textId="77777777" w:rsidTr="004E5F00">
        <w:trPr>
          <w:trHeight w:val="76"/>
          <w:tblHeader/>
        </w:trPr>
        <w:tc>
          <w:tcPr>
            <w:tcW w:w="9017" w:type="dxa"/>
            <w:gridSpan w:val="4"/>
            <w:tcBorders>
              <w:top w:val="single" w:sz="4" w:space="0" w:color="auto"/>
              <w:left w:val="single" w:sz="4" w:space="0" w:color="auto"/>
            </w:tcBorders>
            <w:vAlign w:val="center"/>
          </w:tcPr>
          <w:p w14:paraId="7E8FD64B" w14:textId="77777777" w:rsidR="004E5F00" w:rsidRPr="00CE706B" w:rsidRDefault="004E5F00" w:rsidP="00873AF3">
            <w:pPr>
              <w:pStyle w:val="TableText"/>
              <w:keepNext w:val="0"/>
              <w:widowControl/>
              <w:rPr>
                <w:b/>
              </w:rPr>
            </w:pPr>
            <w:r w:rsidRPr="00CE706B">
              <w:rPr>
                <w:b/>
              </w:rPr>
              <w:t>Mean change from baseline to day 43, QMG score</w:t>
            </w:r>
          </w:p>
        </w:tc>
      </w:tr>
      <w:tr w:rsidR="0003465B" w:rsidRPr="00CE706B" w14:paraId="0DB06377" w14:textId="77777777" w:rsidTr="00F97C06">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436079B3" w14:textId="77777777" w:rsidR="004E5F00" w:rsidRPr="00CE706B" w:rsidRDefault="004E5F00" w:rsidP="00873AF3">
            <w:pPr>
              <w:pStyle w:val="TableText"/>
              <w:widowControl/>
              <w:ind w:left="180"/>
            </w:pPr>
            <w:r w:rsidRPr="00CE706B">
              <w:t>Baseline Mean (SD)</w:t>
            </w:r>
          </w:p>
        </w:tc>
        <w:tc>
          <w:tcPr>
            <w:tcW w:w="2126" w:type="dxa"/>
            <w:tcBorders>
              <w:top w:val="single" w:sz="4" w:space="0" w:color="auto"/>
              <w:left w:val="single" w:sz="4" w:space="0" w:color="auto"/>
              <w:bottom w:val="single" w:sz="4" w:space="0" w:color="auto"/>
              <w:right w:val="single" w:sz="4" w:space="0" w:color="auto"/>
            </w:tcBorders>
          </w:tcPr>
          <w:p w14:paraId="67298F95" w14:textId="77777777" w:rsidR="004E5F00" w:rsidRPr="00CE706B" w:rsidRDefault="004E5F00" w:rsidP="00873AF3">
            <w:pPr>
              <w:pStyle w:val="TableText"/>
              <w:widowControl/>
              <w:jc w:val="center"/>
            </w:pPr>
            <w:r w:rsidRPr="00CE706B">
              <w:t>15.4 (3.7)</w:t>
            </w:r>
          </w:p>
        </w:tc>
        <w:tc>
          <w:tcPr>
            <w:tcW w:w="2268" w:type="dxa"/>
            <w:tcBorders>
              <w:top w:val="single" w:sz="4" w:space="0" w:color="auto"/>
              <w:left w:val="single" w:sz="4" w:space="0" w:color="auto"/>
              <w:bottom w:val="single" w:sz="4" w:space="0" w:color="auto"/>
              <w:right w:val="single" w:sz="4" w:space="0" w:color="auto"/>
            </w:tcBorders>
          </w:tcPr>
          <w:p w14:paraId="407632E0" w14:textId="77777777" w:rsidR="004E5F00" w:rsidRPr="00CE706B" w:rsidRDefault="004E5F00" w:rsidP="00873AF3">
            <w:pPr>
              <w:pStyle w:val="TableText"/>
              <w:widowControl/>
              <w:jc w:val="center"/>
            </w:pPr>
            <w:r w:rsidRPr="00CE706B">
              <w:t>15.6 (3.7)</w:t>
            </w:r>
          </w:p>
        </w:tc>
        <w:tc>
          <w:tcPr>
            <w:tcW w:w="2071" w:type="dxa"/>
            <w:tcBorders>
              <w:top w:val="single" w:sz="4" w:space="0" w:color="auto"/>
              <w:left w:val="single" w:sz="4" w:space="0" w:color="auto"/>
              <w:right w:val="single" w:sz="4" w:space="0" w:color="auto"/>
            </w:tcBorders>
            <w:vAlign w:val="center"/>
          </w:tcPr>
          <w:p w14:paraId="118A9CDC" w14:textId="77777777" w:rsidR="004E5F00" w:rsidRPr="00CE706B" w:rsidRDefault="004E5F00" w:rsidP="00873AF3">
            <w:pPr>
              <w:pStyle w:val="TableText"/>
              <w:widowControl/>
              <w:jc w:val="center"/>
            </w:pPr>
            <w:r w:rsidRPr="00CE706B">
              <w:t>15.8 (3.5)</w:t>
            </w:r>
          </w:p>
        </w:tc>
      </w:tr>
      <w:tr w:rsidR="0003465B" w:rsidRPr="00CE706B" w14:paraId="5F6FDA5F" w14:textId="77777777" w:rsidTr="00F97C06">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42E480E8" w14:textId="77777777" w:rsidR="004E5F00" w:rsidRPr="00CE706B" w:rsidRDefault="004E5F00" w:rsidP="00873AF3">
            <w:pPr>
              <w:pStyle w:val="TableText"/>
              <w:keepNext w:val="0"/>
              <w:widowControl/>
              <w:ind w:left="180"/>
            </w:pPr>
            <w:r w:rsidRPr="00CE706B">
              <w:t>Day 43 Mean (SD)</w:t>
            </w:r>
          </w:p>
        </w:tc>
        <w:tc>
          <w:tcPr>
            <w:tcW w:w="2126" w:type="dxa"/>
            <w:tcBorders>
              <w:top w:val="single" w:sz="4" w:space="0" w:color="auto"/>
              <w:left w:val="single" w:sz="4" w:space="0" w:color="auto"/>
              <w:bottom w:val="single" w:sz="4" w:space="0" w:color="auto"/>
              <w:right w:val="single" w:sz="4" w:space="0" w:color="auto"/>
            </w:tcBorders>
            <w:vAlign w:val="center"/>
          </w:tcPr>
          <w:p w14:paraId="5332125B" w14:textId="77777777" w:rsidR="004E5F00" w:rsidRPr="00CE706B" w:rsidRDefault="004E5F00" w:rsidP="00873AF3">
            <w:pPr>
              <w:pStyle w:val="TableText"/>
              <w:widowControl/>
              <w:jc w:val="center"/>
            </w:pPr>
            <w:r w:rsidRPr="00CE706B">
              <w:t>11.2 (5.5)</w:t>
            </w:r>
          </w:p>
        </w:tc>
        <w:tc>
          <w:tcPr>
            <w:tcW w:w="2268" w:type="dxa"/>
            <w:tcBorders>
              <w:top w:val="single" w:sz="4" w:space="0" w:color="auto"/>
              <w:left w:val="single" w:sz="4" w:space="0" w:color="auto"/>
              <w:bottom w:val="single" w:sz="4" w:space="0" w:color="auto"/>
              <w:right w:val="single" w:sz="4" w:space="0" w:color="auto"/>
            </w:tcBorders>
            <w:vAlign w:val="center"/>
          </w:tcPr>
          <w:p w14:paraId="42F7113D" w14:textId="77777777" w:rsidR="004E5F00" w:rsidRPr="00CE706B" w:rsidRDefault="004E5F00" w:rsidP="00873AF3">
            <w:pPr>
              <w:pStyle w:val="TableText"/>
              <w:widowControl/>
              <w:jc w:val="center"/>
            </w:pPr>
            <w:r w:rsidRPr="00CE706B">
              <w:t>10.0 (5.2)</w:t>
            </w:r>
          </w:p>
        </w:tc>
        <w:tc>
          <w:tcPr>
            <w:tcW w:w="2071" w:type="dxa"/>
            <w:tcBorders>
              <w:left w:val="single" w:sz="4" w:space="0" w:color="auto"/>
              <w:right w:val="single" w:sz="4" w:space="0" w:color="auto"/>
            </w:tcBorders>
            <w:vAlign w:val="center"/>
          </w:tcPr>
          <w:p w14:paraId="1B5D2562" w14:textId="77777777" w:rsidR="004E5F00" w:rsidRPr="00CE706B" w:rsidRDefault="004E5F00" w:rsidP="00873AF3">
            <w:pPr>
              <w:pStyle w:val="TableText"/>
              <w:widowControl/>
              <w:jc w:val="center"/>
            </w:pPr>
            <w:r w:rsidRPr="00CE706B">
              <w:t>14.9 (5.1)</w:t>
            </w:r>
          </w:p>
        </w:tc>
      </w:tr>
      <w:tr w:rsidR="0003465B" w:rsidRPr="00CE706B" w14:paraId="52C7EFA9" w14:textId="77777777" w:rsidTr="00F97C06">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61194A13" w14:textId="77777777" w:rsidR="004E5F00" w:rsidRPr="00CE706B" w:rsidRDefault="004E5F00" w:rsidP="00873AF3">
            <w:pPr>
              <w:pStyle w:val="TableText"/>
              <w:keepNext w:val="0"/>
              <w:widowControl/>
              <w:ind w:left="180"/>
            </w:pPr>
            <w:r w:rsidRPr="00CE706B">
              <w:t>LSM change at Day 43 (SE)</w:t>
            </w:r>
          </w:p>
        </w:tc>
        <w:tc>
          <w:tcPr>
            <w:tcW w:w="2126" w:type="dxa"/>
            <w:tcBorders>
              <w:top w:val="single" w:sz="4" w:space="0" w:color="auto"/>
              <w:left w:val="single" w:sz="4" w:space="0" w:color="auto"/>
              <w:bottom w:val="single" w:sz="4" w:space="0" w:color="auto"/>
              <w:right w:val="single" w:sz="4" w:space="0" w:color="auto"/>
            </w:tcBorders>
            <w:vAlign w:val="center"/>
          </w:tcPr>
          <w:p w14:paraId="223B9365" w14:textId="77777777" w:rsidR="004E5F00" w:rsidRPr="00CE706B" w:rsidRDefault="004E5F00" w:rsidP="00873AF3">
            <w:pPr>
              <w:pStyle w:val="TableText"/>
              <w:widowControl/>
              <w:jc w:val="center"/>
            </w:pPr>
            <w:r w:rsidRPr="00CE706B">
              <w:t>-5.40 (0.68)</w:t>
            </w:r>
          </w:p>
        </w:tc>
        <w:tc>
          <w:tcPr>
            <w:tcW w:w="2268" w:type="dxa"/>
            <w:tcBorders>
              <w:top w:val="single" w:sz="4" w:space="0" w:color="auto"/>
              <w:left w:val="single" w:sz="4" w:space="0" w:color="auto"/>
              <w:bottom w:val="single" w:sz="4" w:space="0" w:color="auto"/>
              <w:right w:val="single" w:sz="4" w:space="0" w:color="auto"/>
            </w:tcBorders>
            <w:vAlign w:val="center"/>
          </w:tcPr>
          <w:p w14:paraId="62925105" w14:textId="77777777" w:rsidR="004E5F00" w:rsidRPr="00CE706B" w:rsidRDefault="004E5F00" w:rsidP="00873AF3">
            <w:pPr>
              <w:pStyle w:val="TableText"/>
              <w:widowControl/>
              <w:jc w:val="center"/>
            </w:pPr>
            <w:r w:rsidRPr="00CE706B">
              <w:t>-6.67 (0.69)</w:t>
            </w:r>
          </w:p>
        </w:tc>
        <w:tc>
          <w:tcPr>
            <w:tcW w:w="2071" w:type="dxa"/>
            <w:tcBorders>
              <w:left w:val="single" w:sz="4" w:space="0" w:color="auto"/>
              <w:right w:val="single" w:sz="4" w:space="0" w:color="auto"/>
            </w:tcBorders>
            <w:vAlign w:val="center"/>
          </w:tcPr>
          <w:p w14:paraId="223B2A06" w14:textId="77777777" w:rsidR="004E5F00" w:rsidRPr="00CE706B" w:rsidRDefault="004E5F00" w:rsidP="00873AF3">
            <w:pPr>
              <w:pStyle w:val="TableText"/>
              <w:widowControl/>
              <w:jc w:val="center"/>
            </w:pPr>
            <w:r w:rsidRPr="00CE706B">
              <w:t>-1.92 (0.68)</w:t>
            </w:r>
          </w:p>
        </w:tc>
      </w:tr>
      <w:tr w:rsidR="0003465B" w:rsidRPr="00CE706B" w14:paraId="3C8977B5" w14:textId="77777777" w:rsidTr="00F97C06">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5B420B2C" w14:textId="77777777" w:rsidR="004E5F00" w:rsidRPr="00CE706B" w:rsidRDefault="004E5F00" w:rsidP="00873AF3">
            <w:pPr>
              <w:pStyle w:val="TableText"/>
              <w:keepNext w:val="0"/>
              <w:widowControl/>
              <w:ind w:left="180"/>
            </w:pPr>
            <w:r w:rsidRPr="00CE706B">
              <w:t>LSM difference vs placebo (95% CI)</w:t>
            </w:r>
          </w:p>
        </w:tc>
        <w:tc>
          <w:tcPr>
            <w:tcW w:w="2126" w:type="dxa"/>
            <w:tcBorders>
              <w:top w:val="single" w:sz="4" w:space="0" w:color="auto"/>
              <w:left w:val="single" w:sz="4" w:space="0" w:color="auto"/>
              <w:bottom w:val="single" w:sz="4" w:space="0" w:color="auto"/>
              <w:right w:val="single" w:sz="4" w:space="0" w:color="auto"/>
            </w:tcBorders>
            <w:vAlign w:val="center"/>
          </w:tcPr>
          <w:p w14:paraId="0FB37C97" w14:textId="77777777" w:rsidR="004E5F00" w:rsidRPr="00CE706B" w:rsidRDefault="004E5F00" w:rsidP="00873AF3">
            <w:pPr>
              <w:pStyle w:val="TableText"/>
              <w:widowControl/>
              <w:jc w:val="center"/>
              <w:rPr>
                <w:b/>
                <w:bCs w:val="0"/>
              </w:rPr>
            </w:pPr>
            <w:r w:rsidRPr="00CE706B">
              <w:rPr>
                <w:b/>
                <w:bCs w:val="0"/>
              </w:rPr>
              <w:t>-3.48 (-5.61, -1.58)</w:t>
            </w:r>
          </w:p>
        </w:tc>
        <w:tc>
          <w:tcPr>
            <w:tcW w:w="2268" w:type="dxa"/>
            <w:tcBorders>
              <w:top w:val="single" w:sz="4" w:space="0" w:color="auto"/>
              <w:left w:val="single" w:sz="4" w:space="0" w:color="auto"/>
              <w:bottom w:val="single" w:sz="4" w:space="0" w:color="auto"/>
              <w:right w:val="single" w:sz="4" w:space="0" w:color="auto"/>
            </w:tcBorders>
            <w:vAlign w:val="center"/>
          </w:tcPr>
          <w:p w14:paraId="73BF6C04" w14:textId="77777777" w:rsidR="004E5F00" w:rsidRPr="00CE706B" w:rsidRDefault="004E5F00" w:rsidP="00873AF3">
            <w:pPr>
              <w:pStyle w:val="TableText"/>
              <w:widowControl/>
              <w:jc w:val="center"/>
              <w:rPr>
                <w:b/>
                <w:bCs w:val="0"/>
              </w:rPr>
            </w:pPr>
            <w:r w:rsidRPr="00CE706B">
              <w:rPr>
                <w:b/>
                <w:bCs w:val="0"/>
              </w:rPr>
              <w:t>-4.76 (-6.82, -2.86)</w:t>
            </w:r>
          </w:p>
        </w:tc>
        <w:tc>
          <w:tcPr>
            <w:tcW w:w="2071" w:type="dxa"/>
            <w:tcBorders>
              <w:left w:val="single" w:sz="4" w:space="0" w:color="auto"/>
              <w:right w:val="single" w:sz="4" w:space="0" w:color="auto"/>
            </w:tcBorders>
            <w:vAlign w:val="center"/>
          </w:tcPr>
          <w:p w14:paraId="119FDA61" w14:textId="77777777" w:rsidR="004E5F00" w:rsidRPr="00CE706B" w:rsidRDefault="004E5F00" w:rsidP="00873AF3">
            <w:pPr>
              <w:pStyle w:val="TableText"/>
              <w:widowControl/>
              <w:jc w:val="center"/>
            </w:pPr>
            <w:r w:rsidRPr="00CE706B">
              <w:t>-</w:t>
            </w:r>
          </w:p>
        </w:tc>
      </w:tr>
      <w:tr w:rsidR="00B02C9F" w:rsidRPr="00CE706B" w14:paraId="0CC2BCA6" w14:textId="77777777">
        <w:trPr>
          <w:trHeight w:val="76"/>
          <w:tblHeader/>
        </w:trPr>
        <w:tc>
          <w:tcPr>
            <w:tcW w:w="9017" w:type="dxa"/>
            <w:gridSpan w:val="4"/>
            <w:tcBorders>
              <w:top w:val="single" w:sz="4" w:space="0" w:color="auto"/>
              <w:left w:val="single" w:sz="4" w:space="0" w:color="auto"/>
            </w:tcBorders>
            <w:vAlign w:val="center"/>
          </w:tcPr>
          <w:p w14:paraId="010DE2CE" w14:textId="77777777" w:rsidR="00F97C06" w:rsidRPr="00CE706B" w:rsidRDefault="00F97C06" w:rsidP="00873AF3">
            <w:pPr>
              <w:pStyle w:val="TableText"/>
              <w:widowControl/>
              <w:rPr>
                <w:b/>
              </w:rPr>
            </w:pPr>
            <w:r w:rsidRPr="00CE706B">
              <w:rPr>
                <w:b/>
              </w:rPr>
              <w:t>Mean change from baseline to day 43, MGC score</w:t>
            </w:r>
          </w:p>
        </w:tc>
      </w:tr>
      <w:tr w:rsidR="0003465B" w:rsidRPr="00CE706B" w14:paraId="73D74BD5" w14:textId="77777777" w:rsidTr="00F97C06">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25CBEE8B" w14:textId="77777777" w:rsidR="00F97C06" w:rsidRPr="00CE706B" w:rsidRDefault="00F97C06" w:rsidP="00873AF3">
            <w:pPr>
              <w:pStyle w:val="TableText"/>
              <w:widowControl/>
              <w:ind w:left="180"/>
            </w:pPr>
            <w:r w:rsidRPr="00CE706B">
              <w:t>Baseline Mean (SD)</w:t>
            </w:r>
          </w:p>
        </w:tc>
        <w:tc>
          <w:tcPr>
            <w:tcW w:w="2126" w:type="dxa"/>
            <w:tcBorders>
              <w:top w:val="single" w:sz="4" w:space="0" w:color="auto"/>
              <w:left w:val="single" w:sz="4" w:space="0" w:color="auto"/>
              <w:bottom w:val="single" w:sz="4" w:space="0" w:color="auto"/>
              <w:right w:val="single" w:sz="4" w:space="0" w:color="auto"/>
            </w:tcBorders>
          </w:tcPr>
          <w:p w14:paraId="1B8B1F5B" w14:textId="77777777" w:rsidR="00F97C06" w:rsidRPr="00CE706B" w:rsidRDefault="00F97C06" w:rsidP="00873AF3">
            <w:pPr>
              <w:pStyle w:val="TableText"/>
              <w:widowControl/>
              <w:jc w:val="center"/>
            </w:pPr>
            <w:r w:rsidRPr="00CE706B">
              <w:t>15.9 (6.5)</w:t>
            </w:r>
          </w:p>
        </w:tc>
        <w:tc>
          <w:tcPr>
            <w:tcW w:w="2268" w:type="dxa"/>
            <w:tcBorders>
              <w:top w:val="single" w:sz="4" w:space="0" w:color="auto"/>
              <w:left w:val="single" w:sz="4" w:space="0" w:color="auto"/>
              <w:bottom w:val="single" w:sz="4" w:space="0" w:color="auto"/>
              <w:right w:val="single" w:sz="4" w:space="0" w:color="auto"/>
            </w:tcBorders>
          </w:tcPr>
          <w:p w14:paraId="433EA184" w14:textId="77777777" w:rsidR="00F97C06" w:rsidRPr="00CE706B" w:rsidRDefault="00F97C06" w:rsidP="00873AF3">
            <w:pPr>
              <w:pStyle w:val="TableText"/>
              <w:widowControl/>
              <w:jc w:val="center"/>
            </w:pPr>
            <w:r w:rsidRPr="00CE706B">
              <w:t>16.4 (5.7)</w:t>
            </w:r>
          </w:p>
        </w:tc>
        <w:tc>
          <w:tcPr>
            <w:tcW w:w="2071" w:type="dxa"/>
            <w:tcBorders>
              <w:top w:val="single" w:sz="4" w:space="0" w:color="auto"/>
              <w:left w:val="single" w:sz="4" w:space="0" w:color="auto"/>
              <w:right w:val="single" w:sz="4" w:space="0" w:color="auto"/>
            </w:tcBorders>
            <w:vAlign w:val="center"/>
          </w:tcPr>
          <w:p w14:paraId="54C710AB" w14:textId="77777777" w:rsidR="00F97C06" w:rsidRPr="00CE706B" w:rsidRDefault="00F97C06" w:rsidP="00873AF3">
            <w:pPr>
              <w:pStyle w:val="TableText"/>
              <w:widowControl/>
              <w:jc w:val="center"/>
            </w:pPr>
            <w:r w:rsidRPr="00CE706B">
              <w:t>15.6 (6.5)</w:t>
            </w:r>
          </w:p>
        </w:tc>
      </w:tr>
      <w:tr w:rsidR="0003465B" w:rsidRPr="00CE706B" w14:paraId="067EAE5B" w14:textId="77777777" w:rsidTr="00F97C06">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258510CF" w14:textId="77777777" w:rsidR="00F97C06" w:rsidRPr="00CE706B" w:rsidRDefault="00F97C06" w:rsidP="00873AF3">
            <w:pPr>
              <w:pStyle w:val="TableText"/>
              <w:keepNext w:val="0"/>
              <w:widowControl/>
              <w:ind w:left="180"/>
            </w:pPr>
            <w:r w:rsidRPr="00CE706B">
              <w:t>Day 43 Mean (SD)</w:t>
            </w:r>
          </w:p>
        </w:tc>
        <w:tc>
          <w:tcPr>
            <w:tcW w:w="2126" w:type="dxa"/>
            <w:tcBorders>
              <w:top w:val="single" w:sz="4" w:space="0" w:color="auto"/>
              <w:left w:val="single" w:sz="4" w:space="0" w:color="auto"/>
              <w:bottom w:val="single" w:sz="4" w:space="0" w:color="auto"/>
              <w:right w:val="single" w:sz="4" w:space="0" w:color="auto"/>
            </w:tcBorders>
            <w:vAlign w:val="center"/>
          </w:tcPr>
          <w:p w14:paraId="7CE2945C" w14:textId="77777777" w:rsidR="00F97C06" w:rsidRPr="00CE706B" w:rsidRDefault="00F97C06" w:rsidP="00873AF3">
            <w:pPr>
              <w:pStyle w:val="TableText"/>
              <w:widowControl/>
              <w:jc w:val="center"/>
            </w:pPr>
            <w:r w:rsidRPr="00CE706B">
              <w:t>10.8 (7.0)</w:t>
            </w:r>
          </w:p>
        </w:tc>
        <w:tc>
          <w:tcPr>
            <w:tcW w:w="2268" w:type="dxa"/>
            <w:tcBorders>
              <w:top w:val="single" w:sz="4" w:space="0" w:color="auto"/>
              <w:left w:val="single" w:sz="4" w:space="0" w:color="auto"/>
              <w:bottom w:val="single" w:sz="4" w:space="0" w:color="auto"/>
              <w:right w:val="single" w:sz="4" w:space="0" w:color="auto"/>
            </w:tcBorders>
            <w:vAlign w:val="center"/>
          </w:tcPr>
          <w:p w14:paraId="1B629259" w14:textId="77777777" w:rsidR="00F97C06" w:rsidRPr="00CE706B" w:rsidRDefault="00F97C06" w:rsidP="00873AF3">
            <w:pPr>
              <w:pStyle w:val="TableText"/>
              <w:widowControl/>
              <w:jc w:val="center"/>
            </w:pPr>
            <w:r w:rsidRPr="00CE706B">
              <w:t>9.0 (6.1)</w:t>
            </w:r>
          </w:p>
        </w:tc>
        <w:tc>
          <w:tcPr>
            <w:tcW w:w="2071" w:type="dxa"/>
            <w:tcBorders>
              <w:left w:val="single" w:sz="4" w:space="0" w:color="auto"/>
              <w:right w:val="single" w:sz="4" w:space="0" w:color="auto"/>
            </w:tcBorders>
            <w:vAlign w:val="center"/>
          </w:tcPr>
          <w:p w14:paraId="2F951CCD" w14:textId="77777777" w:rsidR="00F97C06" w:rsidRPr="00CE706B" w:rsidRDefault="00F97C06" w:rsidP="00873AF3">
            <w:pPr>
              <w:pStyle w:val="TableText"/>
              <w:widowControl/>
              <w:jc w:val="center"/>
            </w:pPr>
            <w:r w:rsidRPr="00CE706B">
              <w:t>14.2 (7.8)</w:t>
            </w:r>
          </w:p>
        </w:tc>
      </w:tr>
      <w:tr w:rsidR="0003465B" w:rsidRPr="00CE706B" w14:paraId="61BF39FE" w14:textId="77777777" w:rsidTr="00F97C06">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44F39048" w14:textId="77777777" w:rsidR="00F97C06" w:rsidRPr="00CE706B" w:rsidRDefault="00F97C06" w:rsidP="00873AF3">
            <w:pPr>
              <w:pStyle w:val="TableText"/>
              <w:keepNext w:val="0"/>
              <w:widowControl/>
              <w:ind w:left="180"/>
            </w:pPr>
            <w:r w:rsidRPr="00CE706B">
              <w:t>LSM change at Day 43 (SE)</w:t>
            </w:r>
          </w:p>
        </w:tc>
        <w:tc>
          <w:tcPr>
            <w:tcW w:w="2126" w:type="dxa"/>
            <w:tcBorders>
              <w:top w:val="single" w:sz="4" w:space="0" w:color="auto"/>
              <w:left w:val="single" w:sz="4" w:space="0" w:color="auto"/>
              <w:bottom w:val="single" w:sz="4" w:space="0" w:color="auto"/>
              <w:right w:val="single" w:sz="4" w:space="0" w:color="auto"/>
            </w:tcBorders>
            <w:vAlign w:val="center"/>
          </w:tcPr>
          <w:p w14:paraId="4EF2EEF9" w14:textId="77777777" w:rsidR="00F97C06" w:rsidRPr="00CE706B" w:rsidRDefault="00F97C06" w:rsidP="00873AF3">
            <w:pPr>
              <w:pStyle w:val="TableText"/>
              <w:widowControl/>
              <w:jc w:val="center"/>
            </w:pPr>
            <w:r w:rsidRPr="00CE706B">
              <w:t>-5.93 (0.92)</w:t>
            </w:r>
          </w:p>
        </w:tc>
        <w:tc>
          <w:tcPr>
            <w:tcW w:w="2268" w:type="dxa"/>
            <w:tcBorders>
              <w:top w:val="single" w:sz="4" w:space="0" w:color="auto"/>
              <w:left w:val="single" w:sz="4" w:space="0" w:color="auto"/>
              <w:bottom w:val="single" w:sz="4" w:space="0" w:color="auto"/>
              <w:right w:val="single" w:sz="4" w:space="0" w:color="auto"/>
            </w:tcBorders>
            <w:vAlign w:val="center"/>
          </w:tcPr>
          <w:p w14:paraId="58C6B7F9" w14:textId="77777777" w:rsidR="00F97C06" w:rsidRPr="00CE706B" w:rsidRDefault="00F97C06" w:rsidP="00873AF3">
            <w:pPr>
              <w:pStyle w:val="TableText"/>
              <w:widowControl/>
              <w:jc w:val="center"/>
            </w:pPr>
            <w:r w:rsidRPr="00CE706B">
              <w:t>-7.55 (0.93)</w:t>
            </w:r>
          </w:p>
        </w:tc>
        <w:tc>
          <w:tcPr>
            <w:tcW w:w="2071" w:type="dxa"/>
            <w:tcBorders>
              <w:left w:val="single" w:sz="4" w:space="0" w:color="auto"/>
              <w:right w:val="single" w:sz="4" w:space="0" w:color="auto"/>
            </w:tcBorders>
            <w:vAlign w:val="center"/>
          </w:tcPr>
          <w:p w14:paraId="5A8CAC6A" w14:textId="77777777" w:rsidR="00F97C06" w:rsidRPr="00CE706B" w:rsidRDefault="00F97C06" w:rsidP="00873AF3">
            <w:pPr>
              <w:pStyle w:val="TableText"/>
              <w:widowControl/>
              <w:jc w:val="center"/>
            </w:pPr>
            <w:r w:rsidRPr="00CE706B">
              <w:t>-2.03 (0.92)</w:t>
            </w:r>
          </w:p>
        </w:tc>
      </w:tr>
      <w:tr w:rsidR="0003465B" w:rsidRPr="00CE706B" w14:paraId="6933AF88" w14:textId="77777777" w:rsidTr="00F97C06">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0020BD2A" w14:textId="77777777" w:rsidR="00F97C06" w:rsidRPr="00CE706B" w:rsidRDefault="00F97C06" w:rsidP="00873AF3">
            <w:pPr>
              <w:pStyle w:val="TableText"/>
              <w:keepNext w:val="0"/>
              <w:widowControl/>
              <w:ind w:left="180"/>
            </w:pPr>
            <w:r w:rsidRPr="00CE706B">
              <w:t>LSM difference vs placebo (95% CI)</w:t>
            </w:r>
          </w:p>
        </w:tc>
        <w:tc>
          <w:tcPr>
            <w:tcW w:w="2126" w:type="dxa"/>
            <w:tcBorders>
              <w:top w:val="single" w:sz="4" w:space="0" w:color="auto"/>
              <w:left w:val="single" w:sz="4" w:space="0" w:color="auto"/>
              <w:bottom w:val="single" w:sz="4" w:space="0" w:color="auto"/>
              <w:right w:val="single" w:sz="4" w:space="0" w:color="auto"/>
            </w:tcBorders>
            <w:vAlign w:val="center"/>
          </w:tcPr>
          <w:p w14:paraId="0305995A" w14:textId="77777777" w:rsidR="00F97C06" w:rsidRPr="00CE706B" w:rsidRDefault="00F97C06" w:rsidP="00873AF3">
            <w:pPr>
              <w:pStyle w:val="TableText"/>
              <w:widowControl/>
              <w:jc w:val="center"/>
              <w:rPr>
                <w:b/>
                <w:bCs w:val="0"/>
              </w:rPr>
            </w:pPr>
            <w:r w:rsidRPr="00CE706B">
              <w:rPr>
                <w:b/>
                <w:bCs w:val="0"/>
              </w:rPr>
              <w:t>-3.90 (-6.63, -1.25)</w:t>
            </w:r>
          </w:p>
        </w:tc>
        <w:tc>
          <w:tcPr>
            <w:tcW w:w="2268" w:type="dxa"/>
            <w:tcBorders>
              <w:top w:val="single" w:sz="4" w:space="0" w:color="auto"/>
              <w:left w:val="single" w:sz="4" w:space="0" w:color="auto"/>
              <w:bottom w:val="single" w:sz="4" w:space="0" w:color="auto"/>
              <w:right w:val="single" w:sz="4" w:space="0" w:color="auto"/>
            </w:tcBorders>
            <w:vAlign w:val="center"/>
          </w:tcPr>
          <w:p w14:paraId="08D8C1CE" w14:textId="77777777" w:rsidR="00F97C06" w:rsidRPr="00CE706B" w:rsidRDefault="00F97C06" w:rsidP="00873AF3">
            <w:pPr>
              <w:pStyle w:val="TableText"/>
              <w:widowControl/>
              <w:jc w:val="center"/>
              <w:rPr>
                <w:b/>
                <w:bCs w:val="0"/>
              </w:rPr>
            </w:pPr>
            <w:r w:rsidRPr="00CE706B">
              <w:rPr>
                <w:b/>
                <w:bCs w:val="0"/>
              </w:rPr>
              <w:t>-5.53 (-8.30, -2.97)</w:t>
            </w:r>
          </w:p>
        </w:tc>
        <w:tc>
          <w:tcPr>
            <w:tcW w:w="2071" w:type="dxa"/>
            <w:tcBorders>
              <w:left w:val="single" w:sz="4" w:space="0" w:color="auto"/>
              <w:right w:val="single" w:sz="4" w:space="0" w:color="auto"/>
            </w:tcBorders>
            <w:vAlign w:val="center"/>
          </w:tcPr>
          <w:p w14:paraId="7E8FAED9" w14:textId="77777777" w:rsidR="00F97C06" w:rsidRPr="00CE706B" w:rsidRDefault="00F97C06" w:rsidP="00873AF3">
            <w:pPr>
              <w:pStyle w:val="TableText"/>
              <w:widowControl/>
              <w:jc w:val="center"/>
            </w:pPr>
            <w:r w:rsidRPr="00CE706B">
              <w:t>-</w:t>
            </w:r>
          </w:p>
        </w:tc>
      </w:tr>
    </w:tbl>
    <w:p w14:paraId="6A16A994" w14:textId="5B435216" w:rsidR="00B60714" w:rsidRPr="00CE706B" w:rsidRDefault="00B60714" w:rsidP="00873AF3">
      <w:pPr>
        <w:pStyle w:val="COMTablefooter"/>
      </w:pPr>
      <w:r w:rsidRPr="00CE706B">
        <w:t>Source: Table 2.5-1, p99</w:t>
      </w:r>
      <w:r w:rsidR="004E5F00">
        <w:t>; Table 2.5-5, p103</w:t>
      </w:r>
      <w:r w:rsidR="00F97C06">
        <w:t>; Table 2.5-3, p101</w:t>
      </w:r>
      <w:r w:rsidRPr="00CE706B">
        <w:t xml:space="preserve"> of the submission.</w:t>
      </w:r>
    </w:p>
    <w:p w14:paraId="027473A7" w14:textId="1D2F1F0D" w:rsidR="00B60714" w:rsidRPr="00CE706B" w:rsidRDefault="35A54A1D" w:rsidP="00873AF3">
      <w:pPr>
        <w:pStyle w:val="COMTablefooter"/>
      </w:pPr>
      <w:r w:rsidRPr="7E0DBB7D">
        <w:t xml:space="preserve">Abbreviations: CI, confidence interval; ITT, intent-to-treat; LSM, least squares mean; MG-ADL, myasthenia gravis activities of daily living; </w:t>
      </w:r>
      <w:r w:rsidR="3E358A26" w:rsidRPr="7E0DBB7D">
        <w:t xml:space="preserve">MGC, myasthenia gravis composite; </w:t>
      </w:r>
      <w:r w:rsidR="410B19E8" w:rsidRPr="7E0DBB7D">
        <w:t xml:space="preserve">QMG, quantitative myasthenia gravis; </w:t>
      </w:r>
      <w:r w:rsidRPr="7E0DBB7D">
        <w:t>RLZ, rozanolixizumab; SD, standard deviation; SE, standard error</w:t>
      </w:r>
    </w:p>
    <w:p w14:paraId="48857BD3" w14:textId="1ABACE77" w:rsidR="00B60714" w:rsidRPr="00CE706B" w:rsidRDefault="35A54A1D" w:rsidP="00873AF3">
      <w:pPr>
        <w:pStyle w:val="COMTablefooter"/>
      </w:pPr>
      <w:r w:rsidRPr="7E0DBB7D">
        <w:rPr>
          <w:b/>
          <w:bCs/>
        </w:rPr>
        <w:t xml:space="preserve">Bold </w:t>
      </w:r>
      <w:r w:rsidRPr="7E0DBB7D">
        <w:t>indicates statistically significant results</w:t>
      </w:r>
    </w:p>
    <w:p w14:paraId="5512FCB1" w14:textId="1C59422D" w:rsidR="00B60714" w:rsidRPr="00CE706B" w:rsidRDefault="0F2C2311" w:rsidP="00873AF3">
      <w:pPr>
        <w:pStyle w:val="COMexecsummnumbered"/>
      </w:pPr>
      <w:r w:rsidRPr="7E0DBB7D">
        <w:t>Rozanolixizumab</w:t>
      </w:r>
      <w:r w:rsidR="35A54A1D" w:rsidRPr="7E0DBB7D">
        <w:t xml:space="preserve"> demonstrated statistically significantly greater improvements from baseline to Day 43 in MG-ADL</w:t>
      </w:r>
      <w:r w:rsidR="3E358A26" w:rsidRPr="7E0DBB7D">
        <w:t>,</w:t>
      </w:r>
      <w:r w:rsidR="35A54A1D" w:rsidRPr="7E0DBB7D">
        <w:t xml:space="preserve"> </w:t>
      </w:r>
      <w:r w:rsidR="410B19E8" w:rsidRPr="7E0DBB7D">
        <w:t xml:space="preserve">QMG </w:t>
      </w:r>
      <w:r w:rsidR="3E358A26" w:rsidRPr="7E0DBB7D">
        <w:t xml:space="preserve">and MGC </w:t>
      </w:r>
      <w:r w:rsidR="410B19E8" w:rsidRPr="7E0DBB7D">
        <w:t>scores</w:t>
      </w:r>
      <w:r w:rsidR="35A54A1D" w:rsidRPr="7E0DBB7D">
        <w:t xml:space="preserve">, compared to placebo. </w:t>
      </w:r>
    </w:p>
    <w:p w14:paraId="5474E339" w14:textId="4A36628E" w:rsidR="00B60714" w:rsidRDefault="00F62DBF" w:rsidP="00873AF3">
      <w:pPr>
        <w:pStyle w:val="COMexecsummnumbered"/>
      </w:pPr>
      <w:r>
        <w:fldChar w:fldCharType="begin" w:fldLock="1"/>
      </w:r>
      <w:r>
        <w:instrText xml:space="preserve"> REF _Ref187832947 \h </w:instrText>
      </w:r>
      <w:r>
        <w:fldChar w:fldCharType="separate"/>
      </w:r>
      <w:r w:rsidR="00E70E55" w:rsidRPr="7E0DBB7D">
        <w:t xml:space="preserve">Figure </w:t>
      </w:r>
      <w:r w:rsidR="00E70E55">
        <w:rPr>
          <w:noProof/>
        </w:rPr>
        <w:t>2</w:t>
      </w:r>
      <w:r>
        <w:fldChar w:fldCharType="end"/>
      </w:r>
      <w:r w:rsidR="0F2C2311" w:rsidRPr="7E0DBB7D">
        <w:t xml:space="preserve"> illustrates</w:t>
      </w:r>
      <w:r w:rsidR="35A54A1D" w:rsidRPr="7E0DBB7D">
        <w:t xml:space="preserve"> the change over time in MG-ADL scores from baseline through the treatment and observation period of the MycarinG trial.</w:t>
      </w:r>
    </w:p>
    <w:p w14:paraId="18195027" w14:textId="30FFEF22" w:rsidR="00B60714" w:rsidRPr="00CE706B" w:rsidRDefault="577AA4F6" w:rsidP="00873AF3">
      <w:pPr>
        <w:pStyle w:val="Caption"/>
        <w:keepNext/>
      </w:pPr>
      <w:bookmarkStart w:id="33" w:name="_Ref187832947"/>
      <w:bookmarkStart w:id="34" w:name="_Ref185254564"/>
      <w:r w:rsidRPr="7E0DBB7D">
        <w:t xml:space="preserve">Figure </w:t>
      </w:r>
      <w:r w:rsidR="00F62DBF">
        <w:fldChar w:fldCharType="begin" w:fldLock="1"/>
      </w:r>
      <w:r w:rsidR="00F62DBF">
        <w:instrText>SEQ Figure \* ARABIC</w:instrText>
      </w:r>
      <w:r w:rsidR="00F62DBF">
        <w:fldChar w:fldCharType="separate"/>
      </w:r>
      <w:r w:rsidR="00E70E55">
        <w:rPr>
          <w:noProof/>
        </w:rPr>
        <w:t>2</w:t>
      </w:r>
      <w:r w:rsidR="00F62DBF">
        <w:fldChar w:fldCharType="end"/>
      </w:r>
      <w:bookmarkEnd w:id="33"/>
      <w:r w:rsidR="35A54A1D" w:rsidRPr="7E0DBB7D">
        <w:t>: Change in MG-ADL scores, MycarinG trial (ITT population)</w:t>
      </w:r>
      <w:bookmarkEnd w:id="34"/>
    </w:p>
    <w:p w14:paraId="1E24B02D" w14:textId="77777777" w:rsidR="00B60714" w:rsidRPr="00CE706B" w:rsidRDefault="00B60714" w:rsidP="00873AF3">
      <w:pPr>
        <w:pStyle w:val="COMBody"/>
      </w:pPr>
      <w:r w:rsidRPr="00CE706B">
        <w:rPr>
          <w:noProof/>
        </w:rPr>
        <w:drawing>
          <wp:inline distT="0" distB="0" distL="0" distR="0" wp14:anchorId="2D408CA2" wp14:editId="620D415B">
            <wp:extent cx="5761059" cy="4105324"/>
            <wp:effectExtent l="0" t="0" r="0" b="0"/>
            <wp:docPr id="217682866" name="Picture 1" descr="Figure 2: Line graph showing change in MG-ADL scores, MycarinG trial (ITT population) across different periods of the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82866" name="Picture 1" descr="Figure 2: Line graph showing change in MG-ADL scores, MycarinG trial (ITT population) across different periods of the trial"/>
                    <pic:cNvPicPr/>
                  </pic:nvPicPr>
                  <pic:blipFill>
                    <a:blip r:embed="rId12"/>
                    <a:stretch>
                      <a:fillRect/>
                    </a:stretch>
                  </pic:blipFill>
                  <pic:spPr>
                    <a:xfrm>
                      <a:off x="0" y="0"/>
                      <a:ext cx="5781197" cy="4119674"/>
                    </a:xfrm>
                    <a:prstGeom prst="rect">
                      <a:avLst/>
                    </a:prstGeom>
                  </pic:spPr>
                </pic:pic>
              </a:graphicData>
            </a:graphic>
          </wp:inline>
        </w:drawing>
      </w:r>
    </w:p>
    <w:p w14:paraId="0087772F" w14:textId="77777777" w:rsidR="00B60714" w:rsidRPr="00CE706B" w:rsidRDefault="00B60714" w:rsidP="00873AF3">
      <w:pPr>
        <w:pStyle w:val="COMTablefooter"/>
      </w:pPr>
      <w:r w:rsidRPr="00CE706B">
        <w:t>Source: Figure 2.5.1, p100 of the submission</w:t>
      </w:r>
    </w:p>
    <w:p w14:paraId="67F3E877" w14:textId="77777777" w:rsidR="00B60714" w:rsidRPr="00CE706B" w:rsidRDefault="00B60714" w:rsidP="00873AF3">
      <w:pPr>
        <w:pStyle w:val="COMTablefooter"/>
      </w:pPr>
      <w:r w:rsidRPr="00CE706B">
        <w:t>Abbreviations: ITT, intent-to-treat; MG-ADL, myasthenia gravis activities of daily living</w:t>
      </w:r>
    </w:p>
    <w:p w14:paraId="73F60A81" w14:textId="5B2F2FF7" w:rsidR="004E5F00" w:rsidRDefault="35A54A1D" w:rsidP="00873AF3">
      <w:pPr>
        <w:pStyle w:val="COMexecsummnumbered"/>
      </w:pPr>
      <w:r w:rsidRPr="7E0DBB7D">
        <w:t>While treatment with rozanolixizumab led to a rapid improvement in MG-ADL by Week 2 of treatment, which increased up until the end of the treatment period on Day</w:t>
      </w:r>
      <w:r w:rsidR="006B29E3">
        <w:t> </w:t>
      </w:r>
      <w:r w:rsidRPr="7E0DBB7D">
        <w:t xml:space="preserve">43, MG-ADL scores then worsened throughout the observation period, returning to baseline levels by the final visit. </w:t>
      </w:r>
      <w:r w:rsidR="410B19E8" w:rsidRPr="7E0DBB7D">
        <w:t xml:space="preserve">Similar patterns observed of rapid improvement then worsening </w:t>
      </w:r>
      <w:r w:rsidR="4B75FD3E" w:rsidRPr="7E0DBB7D">
        <w:t>towards baseline during the observation period were observed for the QMG and MGC scale outcomes</w:t>
      </w:r>
      <w:r w:rsidR="410B19E8" w:rsidRPr="7E0DBB7D">
        <w:t xml:space="preserve">. </w:t>
      </w:r>
    </w:p>
    <w:p w14:paraId="4E9C6A36" w14:textId="21CB55F7" w:rsidR="003B0DB1" w:rsidRPr="002C3208" w:rsidRDefault="003B0DB1" w:rsidP="00873AF3">
      <w:pPr>
        <w:pStyle w:val="COMexecsummnumbered"/>
      </w:pPr>
      <w:r>
        <w:t>In the MG0004 extension study, change</w:t>
      </w:r>
      <w:r w:rsidR="007D4034">
        <w:t>s</w:t>
      </w:r>
      <w:r>
        <w:t xml:space="preserve"> </w:t>
      </w:r>
      <w:r w:rsidR="001A37E8">
        <w:t xml:space="preserve">in MG-ADL, QMG and MGC scores </w:t>
      </w:r>
      <w:r>
        <w:t>from</w:t>
      </w:r>
      <w:r w:rsidR="005A5C45">
        <w:t xml:space="preserve"> the first cycle of the extension study</w:t>
      </w:r>
      <w:r>
        <w:t xml:space="preserve"> baseline to Day 43 w</w:t>
      </w:r>
      <w:r w:rsidR="007D4034">
        <w:t>ere</w:t>
      </w:r>
      <w:r>
        <w:t xml:space="preserve"> assessed as secondary outcomes. The submission noted that mean change</w:t>
      </w:r>
      <w:r w:rsidR="000C04D9">
        <w:t>s</w:t>
      </w:r>
      <w:r>
        <w:t xml:space="preserve"> in these scores exceeded the minimal clinically </w:t>
      </w:r>
      <w:r w:rsidRPr="002C3208">
        <w:t>important difference (</w:t>
      </w:r>
      <w:r w:rsidR="0068534B" w:rsidRPr="002C3208">
        <w:t>2-point</w:t>
      </w:r>
      <w:r w:rsidRPr="002C3208">
        <w:t xml:space="preserve">s reduction in MG-ADL, </w:t>
      </w:r>
      <w:r w:rsidR="0068534B" w:rsidRPr="002C3208">
        <w:t>3-point</w:t>
      </w:r>
      <w:r w:rsidRPr="002C3208">
        <w:t xml:space="preserve"> reduction in QMG or MGC) from the first visit </w:t>
      </w:r>
      <w:r w:rsidR="00B3278A" w:rsidRPr="002C3208">
        <w:t xml:space="preserve">(Week 5) </w:t>
      </w:r>
      <w:r w:rsidRPr="002C3208">
        <w:t xml:space="preserve">during the treatment </w:t>
      </w:r>
      <w:r w:rsidR="005B4F74" w:rsidRPr="002C3208">
        <w:t>period and</w:t>
      </w:r>
      <w:r w:rsidRPr="002C3208">
        <w:t xml:space="preserve"> </w:t>
      </w:r>
      <w:r w:rsidR="00C147F5" w:rsidRPr="002C3208">
        <w:t>were maintained</w:t>
      </w:r>
      <w:r w:rsidRPr="002C3208">
        <w:t xml:space="preserve"> until the </w:t>
      </w:r>
      <w:r w:rsidR="00D80EDF" w:rsidRPr="002C3208">
        <w:t xml:space="preserve">start of the </w:t>
      </w:r>
      <w:r w:rsidRPr="002C3208">
        <w:t>observation period</w:t>
      </w:r>
      <w:r w:rsidR="00D80EDF" w:rsidRPr="002C3208">
        <w:t xml:space="preserve"> (Week 52)</w:t>
      </w:r>
      <w:r w:rsidRPr="002C3208">
        <w:t>, at which point scores returned towards baseline. Low patient numbers towards the end of the MG0004 study (only 17 patients remained enrolled at Week 37) limit the usefulness of these results.</w:t>
      </w:r>
    </w:p>
    <w:p w14:paraId="453FC217" w14:textId="32AD2C52" w:rsidR="00B51F49" w:rsidRPr="006077B2" w:rsidRDefault="51C51B28" w:rsidP="00873AF3">
      <w:pPr>
        <w:pStyle w:val="COMexecsummnumbered"/>
      </w:pPr>
      <w:r w:rsidRPr="7E0DBB7D">
        <w:t>In the MG0007 extension study</w:t>
      </w:r>
      <w:r w:rsidR="0E9AC501" w:rsidRPr="7E0DBB7D">
        <w:t>,</w:t>
      </w:r>
      <w:r w:rsidRPr="7E0DBB7D">
        <w:t xml:space="preserve"> improvements in MG-ADL, QMG and MGC scores were observed from Day 8 </w:t>
      </w:r>
      <w:r w:rsidR="385D4BE2" w:rsidRPr="7E0DBB7D">
        <w:t xml:space="preserve">of each cycle </w:t>
      </w:r>
      <w:r w:rsidRPr="7E0DBB7D">
        <w:t>and continued through Day 43 in both rozanolixizumab treatment groups. The study report noted that clinically relevant reductions were consistently observed with repeated cyclic treatment. There was no clear pattern of increased or reduced treatment effect with subsequent cycles.</w:t>
      </w:r>
    </w:p>
    <w:p w14:paraId="58E03EF3" w14:textId="6BF538DD" w:rsidR="00B60714" w:rsidRDefault="00AF10A4" w:rsidP="00873AF3">
      <w:pPr>
        <w:pStyle w:val="COMexecsummnumbered"/>
      </w:pPr>
      <w:r>
        <w:fldChar w:fldCharType="begin" w:fldLock="1"/>
      </w:r>
      <w:r>
        <w:instrText xml:space="preserve"> REF _Ref187930286 \h </w:instrText>
      </w:r>
      <w:r>
        <w:fldChar w:fldCharType="separate"/>
      </w:r>
      <w:r w:rsidR="00E70E55" w:rsidRPr="7E0DBB7D">
        <w:t xml:space="preserve">Table </w:t>
      </w:r>
      <w:r w:rsidR="00E70E55">
        <w:rPr>
          <w:noProof/>
        </w:rPr>
        <w:t>5</w:t>
      </w:r>
      <w:r>
        <w:fldChar w:fldCharType="end"/>
      </w:r>
      <w:r>
        <w:t xml:space="preserve"> </w:t>
      </w:r>
      <w:r w:rsidR="00B60714">
        <w:t>summarises the proportion of MG-ADL</w:t>
      </w:r>
      <w:r w:rsidR="00DB1DD1">
        <w:t>, QMG and MGC</w:t>
      </w:r>
      <w:r w:rsidR="00B60714">
        <w:t xml:space="preserve"> responders at Day 43.</w:t>
      </w:r>
    </w:p>
    <w:p w14:paraId="2DDBE0E5" w14:textId="4E68C3C5" w:rsidR="00B60714" w:rsidRPr="00CE706B" w:rsidRDefault="577AA4F6" w:rsidP="00873AF3">
      <w:pPr>
        <w:pStyle w:val="Caption"/>
        <w:keepNext/>
        <w:spacing w:before="120"/>
      </w:pPr>
      <w:bookmarkStart w:id="35" w:name="_Ref187930286"/>
      <w:bookmarkStart w:id="36" w:name="_Ref185291002"/>
      <w:bookmarkStart w:id="37" w:name="_Ref185255683"/>
      <w:r w:rsidRPr="7E0DBB7D">
        <w:t xml:space="preserve">Table </w:t>
      </w:r>
      <w:r w:rsidR="00F62DBF">
        <w:fldChar w:fldCharType="begin" w:fldLock="1"/>
      </w:r>
      <w:r w:rsidR="00F62DBF">
        <w:instrText>SEQ Table \* ARABIC</w:instrText>
      </w:r>
      <w:r w:rsidR="00F62DBF">
        <w:fldChar w:fldCharType="separate"/>
      </w:r>
      <w:r w:rsidR="00E70E55">
        <w:rPr>
          <w:noProof/>
        </w:rPr>
        <w:t>5</w:t>
      </w:r>
      <w:r w:rsidR="00F62DBF">
        <w:fldChar w:fldCharType="end"/>
      </w:r>
      <w:bookmarkEnd w:id="35"/>
      <w:r w:rsidRPr="7E0DBB7D">
        <w:t>:</w:t>
      </w:r>
      <w:bookmarkEnd w:id="36"/>
      <w:r w:rsidR="35A54A1D" w:rsidRPr="7E0DBB7D">
        <w:t xml:space="preserve"> MG-ADL</w:t>
      </w:r>
      <w:r w:rsidR="1649BEB0" w:rsidRPr="7E0DBB7D">
        <w:t>, QMG and MGC</w:t>
      </w:r>
      <w:r w:rsidR="35A54A1D" w:rsidRPr="7E0DBB7D">
        <w:t xml:space="preserve"> responders at day 43, MycarinG trial (ITT population)</w:t>
      </w:r>
      <w:bookmarkEnd w:id="37"/>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5: MG-ADL, QMG and MGC responders at day 43, MycarinG trial (ITT population)"/>
      </w:tblPr>
      <w:tblGrid>
        <w:gridCol w:w="2552"/>
        <w:gridCol w:w="2126"/>
        <w:gridCol w:w="2126"/>
        <w:gridCol w:w="2213"/>
      </w:tblGrid>
      <w:tr w:rsidR="00C93C8E" w:rsidRPr="00CE706B" w14:paraId="0E464FF2" w14:textId="77777777" w:rsidTr="00E26C01">
        <w:trPr>
          <w:trHeight w:val="76"/>
          <w:tblHeader/>
        </w:trPr>
        <w:tc>
          <w:tcPr>
            <w:tcW w:w="2552" w:type="dxa"/>
            <w:tcBorders>
              <w:top w:val="single" w:sz="4" w:space="0" w:color="auto"/>
              <w:left w:val="single" w:sz="4" w:space="0" w:color="auto"/>
              <w:right w:val="single" w:sz="4" w:space="0" w:color="auto"/>
            </w:tcBorders>
            <w:vAlign w:val="center"/>
          </w:tcPr>
          <w:p w14:paraId="674F8B41" w14:textId="77777777" w:rsidR="00B60714" w:rsidRPr="00CE706B" w:rsidRDefault="00B60714" w:rsidP="00873AF3">
            <w:pPr>
              <w:pStyle w:val="TableText"/>
              <w:widowControl/>
              <w:ind w:left="38"/>
              <w:rPr>
                <w:b/>
              </w:rPr>
            </w:pPr>
          </w:p>
        </w:tc>
        <w:tc>
          <w:tcPr>
            <w:tcW w:w="2126" w:type="dxa"/>
            <w:tcBorders>
              <w:top w:val="single" w:sz="4" w:space="0" w:color="auto"/>
              <w:left w:val="single" w:sz="4" w:space="0" w:color="auto"/>
              <w:bottom w:val="single" w:sz="4" w:space="0" w:color="auto"/>
              <w:right w:val="single" w:sz="4" w:space="0" w:color="auto"/>
            </w:tcBorders>
            <w:vAlign w:val="center"/>
          </w:tcPr>
          <w:p w14:paraId="719E2330" w14:textId="77777777" w:rsidR="00B60714" w:rsidRPr="00CE706B" w:rsidRDefault="00B60714" w:rsidP="00873AF3">
            <w:pPr>
              <w:pStyle w:val="TableText"/>
              <w:keepNext w:val="0"/>
              <w:widowControl/>
              <w:ind w:left="38"/>
              <w:jc w:val="center"/>
              <w:rPr>
                <w:b/>
              </w:rPr>
            </w:pPr>
            <w:r w:rsidRPr="00CE706B">
              <w:rPr>
                <w:b/>
              </w:rPr>
              <w:t xml:space="preserve">RLZ </w:t>
            </w:r>
            <w:r>
              <w:rPr>
                <w:b/>
              </w:rPr>
              <w:t>~</w:t>
            </w:r>
            <w:r w:rsidRPr="00CE706B">
              <w:rPr>
                <w:b/>
              </w:rPr>
              <w:t>7 mg/kg</w:t>
            </w:r>
          </w:p>
          <w:p w14:paraId="5AB8DBD3" w14:textId="77777777" w:rsidR="00B60714" w:rsidRPr="00CE706B" w:rsidRDefault="00B60714" w:rsidP="00873AF3">
            <w:pPr>
              <w:pStyle w:val="TableText"/>
              <w:keepNext w:val="0"/>
              <w:widowControl/>
              <w:ind w:left="38"/>
              <w:jc w:val="center"/>
              <w:rPr>
                <w:b/>
              </w:rPr>
            </w:pPr>
            <w:r w:rsidRPr="00CE706B">
              <w:rPr>
                <w:b/>
              </w:rPr>
              <w:t>N = 66</w:t>
            </w:r>
          </w:p>
        </w:tc>
        <w:tc>
          <w:tcPr>
            <w:tcW w:w="2126" w:type="dxa"/>
            <w:tcBorders>
              <w:top w:val="single" w:sz="4" w:space="0" w:color="auto"/>
              <w:left w:val="single" w:sz="4" w:space="0" w:color="auto"/>
              <w:right w:val="single" w:sz="4" w:space="0" w:color="auto"/>
            </w:tcBorders>
            <w:vAlign w:val="center"/>
          </w:tcPr>
          <w:p w14:paraId="00D6235E" w14:textId="77777777" w:rsidR="00B60714" w:rsidRPr="00CE706B" w:rsidRDefault="00B60714" w:rsidP="00873AF3">
            <w:pPr>
              <w:pStyle w:val="TableText"/>
              <w:keepNext w:val="0"/>
              <w:widowControl/>
              <w:ind w:left="38"/>
              <w:jc w:val="center"/>
              <w:rPr>
                <w:b/>
              </w:rPr>
            </w:pPr>
            <w:r w:rsidRPr="00CE706B">
              <w:rPr>
                <w:b/>
              </w:rPr>
              <w:t xml:space="preserve">RLZ </w:t>
            </w:r>
            <w:r>
              <w:rPr>
                <w:b/>
              </w:rPr>
              <w:t>~</w:t>
            </w:r>
            <w:r w:rsidRPr="00CE706B">
              <w:rPr>
                <w:b/>
              </w:rPr>
              <w:t>10 mg/kg</w:t>
            </w:r>
          </w:p>
          <w:p w14:paraId="32178E56" w14:textId="77777777" w:rsidR="00B60714" w:rsidRPr="00CE706B" w:rsidRDefault="00B60714" w:rsidP="00873AF3">
            <w:pPr>
              <w:pStyle w:val="TableText"/>
              <w:keepNext w:val="0"/>
              <w:widowControl/>
              <w:ind w:left="38"/>
              <w:jc w:val="center"/>
              <w:rPr>
                <w:b/>
              </w:rPr>
            </w:pPr>
            <w:r w:rsidRPr="00CE706B">
              <w:rPr>
                <w:b/>
              </w:rPr>
              <w:t>N = 67</w:t>
            </w:r>
          </w:p>
        </w:tc>
        <w:tc>
          <w:tcPr>
            <w:tcW w:w="2213" w:type="dxa"/>
            <w:tcBorders>
              <w:top w:val="single" w:sz="4" w:space="0" w:color="auto"/>
              <w:left w:val="single" w:sz="4" w:space="0" w:color="auto"/>
              <w:right w:val="single" w:sz="4" w:space="0" w:color="auto"/>
            </w:tcBorders>
            <w:vAlign w:val="center"/>
          </w:tcPr>
          <w:p w14:paraId="4CBC5422" w14:textId="77777777" w:rsidR="00B60714" w:rsidRPr="00CE706B" w:rsidRDefault="00B60714" w:rsidP="00873AF3">
            <w:pPr>
              <w:pStyle w:val="TableText"/>
              <w:keepNext w:val="0"/>
              <w:widowControl/>
              <w:ind w:left="38"/>
              <w:jc w:val="center"/>
              <w:rPr>
                <w:b/>
              </w:rPr>
            </w:pPr>
            <w:r w:rsidRPr="00CE706B">
              <w:rPr>
                <w:b/>
              </w:rPr>
              <w:t>Placebo</w:t>
            </w:r>
          </w:p>
          <w:p w14:paraId="6FF467FD" w14:textId="77777777" w:rsidR="00B60714" w:rsidRPr="00CE706B" w:rsidRDefault="00B60714" w:rsidP="00873AF3">
            <w:pPr>
              <w:pStyle w:val="TableText"/>
              <w:keepNext w:val="0"/>
              <w:widowControl/>
              <w:ind w:left="38"/>
              <w:jc w:val="center"/>
              <w:rPr>
                <w:b/>
              </w:rPr>
            </w:pPr>
            <w:r w:rsidRPr="00CE706B">
              <w:rPr>
                <w:b/>
              </w:rPr>
              <w:t>N = 67</w:t>
            </w:r>
          </w:p>
        </w:tc>
      </w:tr>
      <w:tr w:rsidR="00B02C9F" w:rsidRPr="00CE706B" w14:paraId="5091FEEE" w14:textId="77777777">
        <w:trPr>
          <w:trHeight w:val="70"/>
        </w:trPr>
        <w:tc>
          <w:tcPr>
            <w:tcW w:w="9017" w:type="dxa"/>
            <w:gridSpan w:val="4"/>
            <w:tcBorders>
              <w:top w:val="single" w:sz="4" w:space="0" w:color="auto"/>
              <w:left w:val="single" w:sz="4" w:space="0" w:color="auto"/>
              <w:bottom w:val="single" w:sz="4" w:space="0" w:color="auto"/>
            </w:tcBorders>
            <w:vAlign w:val="center"/>
          </w:tcPr>
          <w:p w14:paraId="3A75B448" w14:textId="1890BBE2" w:rsidR="00B60714" w:rsidRPr="00CE706B" w:rsidRDefault="00B60714" w:rsidP="00873AF3">
            <w:pPr>
              <w:pStyle w:val="TableText"/>
              <w:widowControl/>
              <w:ind w:left="38"/>
              <w:rPr>
                <w:b/>
                <w:bCs w:val="0"/>
              </w:rPr>
            </w:pPr>
            <w:r w:rsidRPr="00CE706B">
              <w:rPr>
                <w:b/>
                <w:bCs w:val="0"/>
              </w:rPr>
              <w:t>MG-ADL responders at day 43 (≥2-point reduction from baseline)</w:t>
            </w:r>
          </w:p>
        </w:tc>
      </w:tr>
      <w:tr w:rsidR="0003465B" w:rsidRPr="00CE706B" w14:paraId="2869008D" w14:textId="77777777" w:rsidTr="00E26C01">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0BEDC2F6" w14:textId="77777777" w:rsidR="00B60714" w:rsidRPr="00CE706B" w:rsidRDefault="00B60714" w:rsidP="00873AF3">
            <w:pPr>
              <w:pStyle w:val="TableText"/>
              <w:keepNext w:val="0"/>
              <w:widowControl/>
              <w:ind w:left="38"/>
            </w:pPr>
            <w:r w:rsidRPr="00CE706B">
              <w:t>Responders, n (%)</w:t>
            </w:r>
          </w:p>
        </w:tc>
        <w:tc>
          <w:tcPr>
            <w:tcW w:w="2126" w:type="dxa"/>
            <w:tcBorders>
              <w:top w:val="single" w:sz="4" w:space="0" w:color="auto"/>
              <w:left w:val="single" w:sz="4" w:space="0" w:color="auto"/>
              <w:bottom w:val="single" w:sz="4" w:space="0" w:color="auto"/>
              <w:right w:val="single" w:sz="4" w:space="0" w:color="auto"/>
            </w:tcBorders>
            <w:vAlign w:val="center"/>
          </w:tcPr>
          <w:p w14:paraId="3B5D0A52" w14:textId="77777777" w:rsidR="00B60714" w:rsidRPr="00CE706B" w:rsidRDefault="00B60714" w:rsidP="00873AF3">
            <w:pPr>
              <w:pStyle w:val="TableText"/>
              <w:widowControl/>
              <w:ind w:left="38"/>
              <w:jc w:val="center"/>
            </w:pPr>
            <w:r w:rsidRPr="00CE706B">
              <w:t>46 (69.7)</w:t>
            </w:r>
          </w:p>
        </w:tc>
        <w:tc>
          <w:tcPr>
            <w:tcW w:w="2126" w:type="dxa"/>
            <w:tcBorders>
              <w:top w:val="single" w:sz="4" w:space="0" w:color="auto"/>
              <w:left w:val="single" w:sz="4" w:space="0" w:color="auto"/>
              <w:bottom w:val="single" w:sz="4" w:space="0" w:color="auto"/>
              <w:right w:val="single" w:sz="4" w:space="0" w:color="auto"/>
            </w:tcBorders>
            <w:vAlign w:val="center"/>
          </w:tcPr>
          <w:p w14:paraId="7B61B30B" w14:textId="77777777" w:rsidR="00B60714" w:rsidRPr="00CE706B" w:rsidRDefault="00B60714" w:rsidP="00873AF3">
            <w:pPr>
              <w:pStyle w:val="TableText"/>
              <w:widowControl/>
              <w:ind w:left="38"/>
              <w:jc w:val="center"/>
            </w:pPr>
            <w:r w:rsidRPr="00CE706B">
              <w:t>43 (64.2)</w:t>
            </w:r>
          </w:p>
        </w:tc>
        <w:tc>
          <w:tcPr>
            <w:tcW w:w="2213" w:type="dxa"/>
            <w:tcBorders>
              <w:left w:val="single" w:sz="4" w:space="0" w:color="auto"/>
              <w:right w:val="single" w:sz="4" w:space="0" w:color="auto"/>
            </w:tcBorders>
            <w:vAlign w:val="center"/>
          </w:tcPr>
          <w:p w14:paraId="6E1EA33B" w14:textId="77777777" w:rsidR="00B60714" w:rsidRPr="00CE706B" w:rsidRDefault="00B60714" w:rsidP="00873AF3">
            <w:pPr>
              <w:pStyle w:val="TableText"/>
              <w:widowControl/>
              <w:ind w:left="38"/>
              <w:jc w:val="center"/>
            </w:pPr>
            <w:r w:rsidRPr="00CE706B">
              <w:t>20 (29.9)</w:t>
            </w:r>
          </w:p>
        </w:tc>
      </w:tr>
      <w:tr w:rsidR="0003465B" w:rsidRPr="00CE706B" w14:paraId="1EAFEADE" w14:textId="77777777" w:rsidTr="00E26C01">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5F46ED46" w14:textId="77777777" w:rsidR="00B60714" w:rsidRPr="00CE706B" w:rsidRDefault="00B60714" w:rsidP="00873AF3">
            <w:pPr>
              <w:pStyle w:val="TableText"/>
              <w:keepNext w:val="0"/>
              <w:widowControl/>
              <w:ind w:left="38"/>
            </w:pPr>
            <w:r w:rsidRPr="00CE706B">
              <w:t>RLZ vs placebo, OR (95% CI)</w:t>
            </w:r>
          </w:p>
        </w:tc>
        <w:tc>
          <w:tcPr>
            <w:tcW w:w="2126" w:type="dxa"/>
            <w:tcBorders>
              <w:top w:val="single" w:sz="4" w:space="0" w:color="auto"/>
              <w:left w:val="single" w:sz="4" w:space="0" w:color="auto"/>
              <w:bottom w:val="single" w:sz="4" w:space="0" w:color="auto"/>
              <w:right w:val="single" w:sz="4" w:space="0" w:color="auto"/>
            </w:tcBorders>
          </w:tcPr>
          <w:p w14:paraId="3F097E48" w14:textId="77777777" w:rsidR="00B60714" w:rsidRPr="00CE706B" w:rsidRDefault="00B60714" w:rsidP="00873AF3">
            <w:pPr>
              <w:pStyle w:val="COMTabletext"/>
              <w:ind w:left="38"/>
              <w:jc w:val="center"/>
              <w:rPr>
                <w:b/>
                <w:bCs w:val="0"/>
              </w:rPr>
            </w:pPr>
            <w:r w:rsidRPr="00CE706B">
              <w:rPr>
                <w:b/>
                <w:bCs w:val="0"/>
              </w:rPr>
              <w:t>5.40 (2.58, 11.34)</w:t>
            </w:r>
          </w:p>
        </w:tc>
        <w:tc>
          <w:tcPr>
            <w:tcW w:w="2126" w:type="dxa"/>
            <w:tcBorders>
              <w:top w:val="single" w:sz="4" w:space="0" w:color="auto"/>
              <w:left w:val="single" w:sz="4" w:space="0" w:color="auto"/>
              <w:bottom w:val="single" w:sz="4" w:space="0" w:color="auto"/>
              <w:right w:val="single" w:sz="4" w:space="0" w:color="auto"/>
            </w:tcBorders>
          </w:tcPr>
          <w:p w14:paraId="6A3E608D" w14:textId="77777777" w:rsidR="00B60714" w:rsidRPr="00CE706B" w:rsidRDefault="00B60714" w:rsidP="00873AF3">
            <w:pPr>
              <w:pStyle w:val="COMTabletext"/>
              <w:ind w:left="38"/>
              <w:jc w:val="center"/>
              <w:rPr>
                <w:b/>
                <w:bCs w:val="0"/>
              </w:rPr>
            </w:pPr>
            <w:r w:rsidRPr="00CE706B">
              <w:rPr>
                <w:b/>
                <w:bCs w:val="0"/>
              </w:rPr>
              <w:t>4.21 (2.04, 8.68)</w:t>
            </w:r>
          </w:p>
        </w:tc>
        <w:tc>
          <w:tcPr>
            <w:tcW w:w="2213" w:type="dxa"/>
            <w:tcBorders>
              <w:left w:val="single" w:sz="4" w:space="0" w:color="auto"/>
              <w:right w:val="single" w:sz="4" w:space="0" w:color="auto"/>
            </w:tcBorders>
          </w:tcPr>
          <w:p w14:paraId="760AFD9A" w14:textId="77777777" w:rsidR="00B60714" w:rsidRPr="00CE706B" w:rsidRDefault="00B60714" w:rsidP="00873AF3">
            <w:pPr>
              <w:pStyle w:val="COMTabletext"/>
              <w:ind w:left="38"/>
              <w:jc w:val="center"/>
            </w:pPr>
            <w:r w:rsidRPr="00CE706B">
              <w:t>-</w:t>
            </w:r>
          </w:p>
        </w:tc>
      </w:tr>
      <w:tr w:rsidR="00B02C9F" w:rsidRPr="00CE706B" w14:paraId="34FCF911" w14:textId="77777777">
        <w:trPr>
          <w:trHeight w:val="70"/>
        </w:trPr>
        <w:tc>
          <w:tcPr>
            <w:tcW w:w="9017" w:type="dxa"/>
            <w:gridSpan w:val="4"/>
            <w:tcBorders>
              <w:top w:val="single" w:sz="4" w:space="0" w:color="auto"/>
              <w:left w:val="single" w:sz="4" w:space="0" w:color="auto"/>
              <w:bottom w:val="single" w:sz="4" w:space="0" w:color="auto"/>
            </w:tcBorders>
            <w:vAlign w:val="center"/>
          </w:tcPr>
          <w:p w14:paraId="1044A866" w14:textId="03849111" w:rsidR="00797CB7" w:rsidRPr="00CE706B" w:rsidRDefault="00797CB7" w:rsidP="00873AF3">
            <w:pPr>
              <w:pStyle w:val="COMTabletext"/>
              <w:ind w:left="38"/>
            </w:pPr>
            <w:r w:rsidRPr="00CE706B">
              <w:rPr>
                <w:b/>
                <w:bCs w:val="0"/>
              </w:rPr>
              <w:t>QMG responders at day 43 (≥3-point reduction from baseline)</w:t>
            </w:r>
          </w:p>
        </w:tc>
      </w:tr>
      <w:tr w:rsidR="0003465B" w:rsidRPr="00CE706B" w14:paraId="280ACDF3" w14:textId="77777777" w:rsidTr="00E26C01">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7265B2AE" w14:textId="0C99E878" w:rsidR="00797CB7" w:rsidRPr="00CE706B" w:rsidRDefault="00797CB7" w:rsidP="00873AF3">
            <w:pPr>
              <w:pStyle w:val="TableText"/>
              <w:keepNext w:val="0"/>
              <w:widowControl/>
              <w:ind w:left="38"/>
            </w:pPr>
            <w:r w:rsidRPr="00CE706B">
              <w:t>Responders, n (%)</w:t>
            </w:r>
          </w:p>
        </w:tc>
        <w:tc>
          <w:tcPr>
            <w:tcW w:w="2126" w:type="dxa"/>
            <w:tcBorders>
              <w:top w:val="single" w:sz="4" w:space="0" w:color="auto"/>
              <w:left w:val="single" w:sz="4" w:space="0" w:color="auto"/>
              <w:bottom w:val="single" w:sz="4" w:space="0" w:color="auto"/>
              <w:right w:val="single" w:sz="4" w:space="0" w:color="auto"/>
            </w:tcBorders>
            <w:vAlign w:val="center"/>
          </w:tcPr>
          <w:p w14:paraId="4284B386" w14:textId="0777F294" w:rsidR="00797CB7" w:rsidRPr="00CE706B" w:rsidRDefault="00797CB7" w:rsidP="00873AF3">
            <w:pPr>
              <w:pStyle w:val="COMTabletext"/>
              <w:ind w:left="38"/>
              <w:jc w:val="center"/>
              <w:rPr>
                <w:b/>
                <w:bCs w:val="0"/>
              </w:rPr>
            </w:pPr>
            <w:r w:rsidRPr="00CE706B">
              <w:t>35 (53.0)</w:t>
            </w:r>
          </w:p>
        </w:tc>
        <w:tc>
          <w:tcPr>
            <w:tcW w:w="2126" w:type="dxa"/>
            <w:tcBorders>
              <w:top w:val="single" w:sz="4" w:space="0" w:color="auto"/>
              <w:left w:val="single" w:sz="4" w:space="0" w:color="auto"/>
              <w:bottom w:val="single" w:sz="4" w:space="0" w:color="auto"/>
              <w:right w:val="single" w:sz="4" w:space="0" w:color="auto"/>
            </w:tcBorders>
            <w:vAlign w:val="center"/>
          </w:tcPr>
          <w:p w14:paraId="77E7EE53" w14:textId="1FA1C6F9" w:rsidR="00797CB7" w:rsidRPr="00CE706B" w:rsidRDefault="00797CB7" w:rsidP="00873AF3">
            <w:pPr>
              <w:pStyle w:val="COMTabletext"/>
              <w:ind w:left="38"/>
              <w:jc w:val="center"/>
              <w:rPr>
                <w:b/>
                <w:bCs w:val="0"/>
              </w:rPr>
            </w:pPr>
            <w:r w:rsidRPr="00CE706B">
              <w:t>45 (67.2)</w:t>
            </w:r>
          </w:p>
        </w:tc>
        <w:tc>
          <w:tcPr>
            <w:tcW w:w="2213" w:type="dxa"/>
            <w:tcBorders>
              <w:left w:val="single" w:sz="4" w:space="0" w:color="auto"/>
              <w:right w:val="single" w:sz="4" w:space="0" w:color="auto"/>
            </w:tcBorders>
            <w:vAlign w:val="center"/>
          </w:tcPr>
          <w:p w14:paraId="17AECD68" w14:textId="1C5B0292" w:rsidR="00797CB7" w:rsidRPr="00CE706B" w:rsidRDefault="00797CB7" w:rsidP="00873AF3">
            <w:pPr>
              <w:pStyle w:val="COMTabletext"/>
              <w:ind w:left="38"/>
              <w:jc w:val="center"/>
            </w:pPr>
            <w:r w:rsidRPr="00CE706B">
              <w:t>25 (37.3)</w:t>
            </w:r>
          </w:p>
        </w:tc>
      </w:tr>
      <w:tr w:rsidR="0003465B" w:rsidRPr="00CE706B" w14:paraId="742F4562" w14:textId="77777777" w:rsidTr="00E26C01">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25234492" w14:textId="6A7E52C9" w:rsidR="00797CB7" w:rsidRPr="00CE706B" w:rsidRDefault="00797CB7" w:rsidP="00873AF3">
            <w:pPr>
              <w:pStyle w:val="TableText"/>
              <w:keepNext w:val="0"/>
              <w:widowControl/>
              <w:ind w:left="38"/>
            </w:pPr>
            <w:r w:rsidRPr="00CE706B">
              <w:t>RLZ vs placebo, OR (95% CI)</w:t>
            </w:r>
          </w:p>
        </w:tc>
        <w:tc>
          <w:tcPr>
            <w:tcW w:w="2126" w:type="dxa"/>
            <w:tcBorders>
              <w:top w:val="single" w:sz="4" w:space="0" w:color="auto"/>
              <w:left w:val="single" w:sz="4" w:space="0" w:color="auto"/>
              <w:bottom w:val="single" w:sz="4" w:space="0" w:color="auto"/>
              <w:right w:val="single" w:sz="4" w:space="0" w:color="auto"/>
            </w:tcBorders>
          </w:tcPr>
          <w:p w14:paraId="550A4E22" w14:textId="0B3AC842" w:rsidR="00797CB7" w:rsidRPr="00CE706B" w:rsidRDefault="00797CB7" w:rsidP="00873AF3">
            <w:pPr>
              <w:pStyle w:val="COMTabletext"/>
              <w:ind w:left="38"/>
              <w:jc w:val="center"/>
              <w:rPr>
                <w:b/>
                <w:bCs w:val="0"/>
              </w:rPr>
            </w:pPr>
            <w:r w:rsidRPr="00CE706B">
              <w:t>1.90 (0.95, 3.79)</w:t>
            </w:r>
          </w:p>
        </w:tc>
        <w:tc>
          <w:tcPr>
            <w:tcW w:w="2126" w:type="dxa"/>
            <w:tcBorders>
              <w:top w:val="single" w:sz="4" w:space="0" w:color="auto"/>
              <w:left w:val="single" w:sz="4" w:space="0" w:color="auto"/>
              <w:bottom w:val="single" w:sz="4" w:space="0" w:color="auto"/>
              <w:right w:val="single" w:sz="4" w:space="0" w:color="auto"/>
            </w:tcBorders>
          </w:tcPr>
          <w:p w14:paraId="076457EE" w14:textId="69213A48" w:rsidR="00797CB7" w:rsidRPr="00CE706B" w:rsidRDefault="00797CB7" w:rsidP="00873AF3">
            <w:pPr>
              <w:pStyle w:val="COMTabletext"/>
              <w:ind w:left="38"/>
              <w:jc w:val="center"/>
              <w:rPr>
                <w:b/>
                <w:bCs w:val="0"/>
              </w:rPr>
            </w:pPr>
            <w:r w:rsidRPr="00CE706B">
              <w:rPr>
                <w:b/>
                <w:bCs w:val="0"/>
              </w:rPr>
              <w:t>3.44 (1.69, 6.99)</w:t>
            </w:r>
          </w:p>
        </w:tc>
        <w:tc>
          <w:tcPr>
            <w:tcW w:w="2213" w:type="dxa"/>
            <w:tcBorders>
              <w:left w:val="single" w:sz="4" w:space="0" w:color="auto"/>
              <w:right w:val="single" w:sz="4" w:space="0" w:color="auto"/>
            </w:tcBorders>
          </w:tcPr>
          <w:p w14:paraId="2F8DF651" w14:textId="3AC5BFBD" w:rsidR="00797CB7" w:rsidRPr="00CE706B" w:rsidRDefault="00797CB7" w:rsidP="00873AF3">
            <w:pPr>
              <w:pStyle w:val="COMTabletext"/>
              <w:ind w:left="38"/>
              <w:jc w:val="center"/>
            </w:pPr>
            <w:r w:rsidRPr="00CE706B">
              <w:t>-</w:t>
            </w:r>
          </w:p>
        </w:tc>
      </w:tr>
      <w:tr w:rsidR="00B02C9F" w:rsidRPr="00CE706B" w14:paraId="72F07FE3" w14:textId="77777777">
        <w:trPr>
          <w:trHeight w:val="70"/>
        </w:trPr>
        <w:tc>
          <w:tcPr>
            <w:tcW w:w="9017" w:type="dxa"/>
            <w:gridSpan w:val="4"/>
            <w:tcBorders>
              <w:top w:val="single" w:sz="4" w:space="0" w:color="auto"/>
              <w:left w:val="single" w:sz="4" w:space="0" w:color="auto"/>
              <w:bottom w:val="single" w:sz="4" w:space="0" w:color="auto"/>
            </w:tcBorders>
            <w:vAlign w:val="center"/>
          </w:tcPr>
          <w:p w14:paraId="1496A97B" w14:textId="0FBDE2FD" w:rsidR="00E26C01" w:rsidRPr="00CE706B" w:rsidRDefault="00E26C01" w:rsidP="00873AF3">
            <w:pPr>
              <w:pStyle w:val="TableText"/>
              <w:widowControl/>
              <w:ind w:left="38"/>
              <w:rPr>
                <w:b/>
                <w:bCs w:val="0"/>
              </w:rPr>
            </w:pPr>
            <w:r w:rsidRPr="00CE706B">
              <w:rPr>
                <w:b/>
                <w:bCs w:val="0"/>
              </w:rPr>
              <w:t>MGC responders at day 43 (≥3-point reduction from baseline)</w:t>
            </w:r>
          </w:p>
        </w:tc>
      </w:tr>
      <w:tr w:rsidR="0003465B" w:rsidRPr="00CE706B" w14:paraId="44B6283D" w14:textId="77777777" w:rsidTr="00E26C01">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0F672E1D" w14:textId="77777777" w:rsidR="00E26C01" w:rsidRPr="00CE706B" w:rsidRDefault="00E26C01" w:rsidP="00873AF3">
            <w:pPr>
              <w:pStyle w:val="TableText"/>
              <w:keepNext w:val="0"/>
              <w:widowControl/>
              <w:ind w:left="38"/>
            </w:pPr>
            <w:r w:rsidRPr="00CE706B">
              <w:t>Responders, n (%)</w:t>
            </w:r>
          </w:p>
        </w:tc>
        <w:tc>
          <w:tcPr>
            <w:tcW w:w="2126" w:type="dxa"/>
            <w:tcBorders>
              <w:top w:val="single" w:sz="4" w:space="0" w:color="auto"/>
              <w:left w:val="single" w:sz="4" w:space="0" w:color="auto"/>
              <w:bottom w:val="single" w:sz="4" w:space="0" w:color="auto"/>
              <w:right w:val="single" w:sz="4" w:space="0" w:color="auto"/>
            </w:tcBorders>
          </w:tcPr>
          <w:p w14:paraId="0460D1C0" w14:textId="77777777" w:rsidR="00E26C01" w:rsidRPr="00CE706B" w:rsidRDefault="00E26C01" w:rsidP="00873AF3">
            <w:pPr>
              <w:pStyle w:val="COMTabletext"/>
              <w:ind w:left="38"/>
              <w:jc w:val="center"/>
            </w:pPr>
            <w:r w:rsidRPr="00CE706B">
              <w:t>39 (59.1)</w:t>
            </w:r>
          </w:p>
        </w:tc>
        <w:tc>
          <w:tcPr>
            <w:tcW w:w="2126" w:type="dxa"/>
            <w:tcBorders>
              <w:top w:val="single" w:sz="4" w:space="0" w:color="auto"/>
              <w:left w:val="single" w:sz="4" w:space="0" w:color="auto"/>
              <w:bottom w:val="single" w:sz="4" w:space="0" w:color="auto"/>
              <w:right w:val="single" w:sz="4" w:space="0" w:color="auto"/>
            </w:tcBorders>
          </w:tcPr>
          <w:p w14:paraId="115B639B" w14:textId="77777777" w:rsidR="00E26C01" w:rsidRPr="00CE706B" w:rsidRDefault="00E26C01" w:rsidP="00873AF3">
            <w:pPr>
              <w:pStyle w:val="COMTabletext"/>
              <w:ind w:left="38"/>
              <w:jc w:val="center"/>
            </w:pPr>
            <w:r w:rsidRPr="00CE706B">
              <w:t>46 (68.7)</w:t>
            </w:r>
          </w:p>
        </w:tc>
        <w:tc>
          <w:tcPr>
            <w:tcW w:w="2213" w:type="dxa"/>
            <w:tcBorders>
              <w:left w:val="single" w:sz="4" w:space="0" w:color="auto"/>
              <w:right w:val="single" w:sz="4" w:space="0" w:color="auto"/>
            </w:tcBorders>
            <w:vAlign w:val="center"/>
          </w:tcPr>
          <w:p w14:paraId="7A08F544" w14:textId="77777777" w:rsidR="00E26C01" w:rsidRPr="00CE706B" w:rsidRDefault="00E26C01" w:rsidP="00873AF3">
            <w:pPr>
              <w:pStyle w:val="TableText"/>
              <w:widowControl/>
              <w:ind w:left="38"/>
              <w:jc w:val="center"/>
            </w:pPr>
            <w:r w:rsidRPr="00CE706B">
              <w:t>26 (38.8)</w:t>
            </w:r>
          </w:p>
        </w:tc>
      </w:tr>
      <w:tr w:rsidR="0003465B" w:rsidRPr="00CE706B" w14:paraId="2C1B6077" w14:textId="77777777" w:rsidTr="00E26C01">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1B3293CA" w14:textId="77777777" w:rsidR="00E26C01" w:rsidRPr="00CE706B" w:rsidRDefault="00E26C01" w:rsidP="00873AF3">
            <w:pPr>
              <w:pStyle w:val="TableText"/>
              <w:keepNext w:val="0"/>
              <w:widowControl/>
              <w:ind w:left="38"/>
            </w:pPr>
            <w:r w:rsidRPr="00CE706B">
              <w:t>RLZ vs placebo, OR (95% CI)</w:t>
            </w:r>
          </w:p>
        </w:tc>
        <w:tc>
          <w:tcPr>
            <w:tcW w:w="2126" w:type="dxa"/>
            <w:tcBorders>
              <w:top w:val="single" w:sz="4" w:space="0" w:color="auto"/>
              <w:left w:val="single" w:sz="4" w:space="0" w:color="auto"/>
              <w:bottom w:val="single" w:sz="4" w:space="0" w:color="auto"/>
              <w:right w:val="single" w:sz="4" w:space="0" w:color="auto"/>
            </w:tcBorders>
          </w:tcPr>
          <w:p w14:paraId="7E5C67DF" w14:textId="77777777" w:rsidR="00E26C01" w:rsidRPr="00CE706B" w:rsidRDefault="00E26C01" w:rsidP="00873AF3">
            <w:pPr>
              <w:pStyle w:val="COMTabletext"/>
              <w:ind w:left="38"/>
              <w:jc w:val="center"/>
              <w:rPr>
                <w:b/>
                <w:bCs w:val="0"/>
              </w:rPr>
            </w:pPr>
            <w:r w:rsidRPr="00CE706B">
              <w:rPr>
                <w:b/>
                <w:bCs w:val="0"/>
              </w:rPr>
              <w:t>2.28 (1.14, 4.56)</w:t>
            </w:r>
          </w:p>
        </w:tc>
        <w:tc>
          <w:tcPr>
            <w:tcW w:w="2126" w:type="dxa"/>
            <w:tcBorders>
              <w:top w:val="single" w:sz="4" w:space="0" w:color="auto"/>
              <w:left w:val="single" w:sz="4" w:space="0" w:color="auto"/>
              <w:bottom w:val="single" w:sz="4" w:space="0" w:color="auto"/>
              <w:right w:val="single" w:sz="4" w:space="0" w:color="auto"/>
            </w:tcBorders>
          </w:tcPr>
          <w:p w14:paraId="3A09DEC2" w14:textId="77777777" w:rsidR="00E26C01" w:rsidRPr="00CE706B" w:rsidRDefault="00E26C01" w:rsidP="00873AF3">
            <w:pPr>
              <w:pStyle w:val="COMTabletext"/>
              <w:ind w:left="38"/>
              <w:jc w:val="center"/>
              <w:rPr>
                <w:b/>
                <w:bCs w:val="0"/>
              </w:rPr>
            </w:pPr>
            <w:r w:rsidRPr="00CE706B">
              <w:rPr>
                <w:b/>
                <w:bCs w:val="0"/>
              </w:rPr>
              <w:t>3.45 (1.69, 7.04)</w:t>
            </w:r>
          </w:p>
        </w:tc>
        <w:tc>
          <w:tcPr>
            <w:tcW w:w="2213" w:type="dxa"/>
            <w:tcBorders>
              <w:left w:val="single" w:sz="4" w:space="0" w:color="auto"/>
              <w:right w:val="single" w:sz="4" w:space="0" w:color="auto"/>
            </w:tcBorders>
          </w:tcPr>
          <w:p w14:paraId="27B37EFC" w14:textId="77777777" w:rsidR="00E26C01" w:rsidRPr="00CE706B" w:rsidRDefault="00E26C01" w:rsidP="00873AF3">
            <w:pPr>
              <w:pStyle w:val="COMTabletext"/>
              <w:ind w:left="38"/>
              <w:jc w:val="center"/>
            </w:pPr>
            <w:r w:rsidRPr="00CE706B">
              <w:t>-</w:t>
            </w:r>
          </w:p>
        </w:tc>
      </w:tr>
      <w:tr w:rsidR="00B02C9F" w:rsidRPr="00CE706B" w14:paraId="5E275042" w14:textId="77777777">
        <w:trPr>
          <w:trHeight w:val="70"/>
        </w:trPr>
        <w:tc>
          <w:tcPr>
            <w:tcW w:w="9017" w:type="dxa"/>
            <w:gridSpan w:val="4"/>
            <w:tcBorders>
              <w:top w:val="single" w:sz="4" w:space="0" w:color="auto"/>
              <w:left w:val="single" w:sz="4" w:space="0" w:color="auto"/>
              <w:bottom w:val="single" w:sz="4" w:space="0" w:color="auto"/>
            </w:tcBorders>
            <w:vAlign w:val="center"/>
          </w:tcPr>
          <w:p w14:paraId="5DD20C1B" w14:textId="77777777" w:rsidR="00797CB7" w:rsidRPr="00CE706B" w:rsidRDefault="00797CB7" w:rsidP="00873AF3">
            <w:pPr>
              <w:pStyle w:val="COMTabletext"/>
              <w:ind w:left="38"/>
              <w:rPr>
                <w:b/>
                <w:bCs w:val="0"/>
              </w:rPr>
            </w:pPr>
            <w:r w:rsidRPr="00CE706B">
              <w:rPr>
                <w:b/>
                <w:bCs w:val="0"/>
              </w:rPr>
              <w:t>Minimal symptom expression at any time during treatment and observation periods (MG-ADL score of 0 or 1)</w:t>
            </w:r>
          </w:p>
        </w:tc>
      </w:tr>
      <w:tr w:rsidR="0003465B" w:rsidRPr="00CE706B" w14:paraId="46A57A50" w14:textId="77777777" w:rsidTr="00E26C01">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253ED5C3" w14:textId="77777777" w:rsidR="00797CB7" w:rsidRPr="00CE706B" w:rsidRDefault="00797CB7" w:rsidP="00873AF3">
            <w:pPr>
              <w:pStyle w:val="TableText"/>
              <w:keepNext w:val="0"/>
              <w:widowControl/>
              <w:ind w:left="38"/>
            </w:pPr>
            <w:r w:rsidRPr="00CE706B">
              <w:t>Yes, n (%)</w:t>
            </w:r>
          </w:p>
        </w:tc>
        <w:tc>
          <w:tcPr>
            <w:tcW w:w="2126" w:type="dxa"/>
            <w:tcBorders>
              <w:top w:val="single" w:sz="4" w:space="0" w:color="auto"/>
              <w:left w:val="single" w:sz="4" w:space="0" w:color="auto"/>
              <w:bottom w:val="single" w:sz="4" w:space="0" w:color="auto"/>
              <w:right w:val="single" w:sz="4" w:space="0" w:color="auto"/>
            </w:tcBorders>
          </w:tcPr>
          <w:p w14:paraId="769B4EE3" w14:textId="77777777" w:rsidR="00797CB7" w:rsidRPr="00CE706B" w:rsidRDefault="00797CB7" w:rsidP="00873AF3">
            <w:pPr>
              <w:pStyle w:val="COMTabletext"/>
              <w:ind w:left="38"/>
              <w:jc w:val="center"/>
            </w:pPr>
            <w:r w:rsidRPr="00CE706B">
              <w:t>17 (25.8)</w:t>
            </w:r>
          </w:p>
        </w:tc>
        <w:tc>
          <w:tcPr>
            <w:tcW w:w="2126" w:type="dxa"/>
            <w:tcBorders>
              <w:top w:val="single" w:sz="4" w:space="0" w:color="auto"/>
              <w:left w:val="single" w:sz="4" w:space="0" w:color="auto"/>
              <w:bottom w:val="single" w:sz="4" w:space="0" w:color="auto"/>
              <w:right w:val="single" w:sz="4" w:space="0" w:color="auto"/>
            </w:tcBorders>
          </w:tcPr>
          <w:p w14:paraId="3F2E4B62" w14:textId="77777777" w:rsidR="00797CB7" w:rsidRPr="00CE706B" w:rsidRDefault="00797CB7" w:rsidP="00873AF3">
            <w:pPr>
              <w:pStyle w:val="COMTabletext"/>
              <w:ind w:left="38"/>
              <w:jc w:val="center"/>
            </w:pPr>
            <w:r w:rsidRPr="00CE706B">
              <w:t>19 (28.4)</w:t>
            </w:r>
          </w:p>
        </w:tc>
        <w:tc>
          <w:tcPr>
            <w:tcW w:w="2213" w:type="dxa"/>
            <w:tcBorders>
              <w:left w:val="single" w:sz="4" w:space="0" w:color="auto"/>
              <w:right w:val="single" w:sz="4" w:space="0" w:color="auto"/>
            </w:tcBorders>
          </w:tcPr>
          <w:p w14:paraId="6E0EBE3F" w14:textId="77777777" w:rsidR="00797CB7" w:rsidRPr="00CE706B" w:rsidRDefault="00797CB7" w:rsidP="00873AF3">
            <w:pPr>
              <w:pStyle w:val="COMTabletext"/>
              <w:ind w:left="38"/>
              <w:jc w:val="center"/>
            </w:pPr>
            <w:r w:rsidRPr="00CE706B">
              <w:t>2 (3.0)</w:t>
            </w:r>
          </w:p>
        </w:tc>
      </w:tr>
    </w:tbl>
    <w:p w14:paraId="5552199D" w14:textId="7881A95F" w:rsidR="00B60714" w:rsidRPr="00CE706B" w:rsidRDefault="35A54A1D" w:rsidP="00873AF3">
      <w:pPr>
        <w:pStyle w:val="COMTablefooter"/>
        <w:tabs>
          <w:tab w:val="left" w:pos="284"/>
        </w:tabs>
      </w:pPr>
      <w:r w:rsidRPr="7E0DBB7D">
        <w:t>Source: Table 2.5-2, p101</w:t>
      </w:r>
      <w:r w:rsidR="4B3D549A" w:rsidRPr="7E0DBB7D">
        <w:t>;</w:t>
      </w:r>
      <w:r w:rsidRPr="7E0DBB7D">
        <w:t xml:space="preserve"> </w:t>
      </w:r>
      <w:r w:rsidR="4B3D549A" w:rsidRPr="7E0DBB7D">
        <w:t xml:space="preserve">Table 2.5-6, pp104-105 </w:t>
      </w:r>
      <w:r w:rsidRPr="7E0DBB7D">
        <w:t>of the submission; Table 8-10, p138 MycarinG clinical study report.</w:t>
      </w:r>
    </w:p>
    <w:p w14:paraId="49AD91F9" w14:textId="7D47D170" w:rsidR="00B60714" w:rsidRPr="00CE706B" w:rsidRDefault="35A54A1D" w:rsidP="00873AF3">
      <w:pPr>
        <w:pStyle w:val="COMTablefooter"/>
        <w:tabs>
          <w:tab w:val="left" w:pos="284"/>
        </w:tabs>
      </w:pPr>
      <w:r w:rsidRPr="7E0DBB7D">
        <w:t xml:space="preserve">Abbreviations: CI, confidence interval; ITT, intent-to-treat; LSM, least squares mean; MG-ADL, myasthenia gravis activities of daily living; </w:t>
      </w:r>
      <w:r w:rsidR="3E358A26" w:rsidRPr="7E0DBB7D">
        <w:t xml:space="preserve">MGC, myasthenia gravis composite; </w:t>
      </w:r>
      <w:r w:rsidRPr="7E0DBB7D">
        <w:t xml:space="preserve">OR, odds ratio; </w:t>
      </w:r>
      <w:r w:rsidR="4B3D549A" w:rsidRPr="7E0DBB7D">
        <w:t xml:space="preserve">QMG, quantitative myasthenia gravis; </w:t>
      </w:r>
      <w:r w:rsidRPr="7E0DBB7D">
        <w:t>RLZ, rozanolixizumab; SD, standard deviation; SE, standard error</w:t>
      </w:r>
    </w:p>
    <w:p w14:paraId="22C5D38D" w14:textId="4C4588C0" w:rsidR="00B60714" w:rsidRDefault="35A54A1D" w:rsidP="00873AF3">
      <w:pPr>
        <w:pStyle w:val="COMTablefooter"/>
        <w:tabs>
          <w:tab w:val="left" w:pos="284"/>
        </w:tabs>
      </w:pPr>
      <w:r w:rsidRPr="7E0DBB7D">
        <w:rPr>
          <w:b/>
          <w:bCs/>
        </w:rPr>
        <w:t xml:space="preserve">Bold </w:t>
      </w:r>
      <w:r w:rsidRPr="7E0DBB7D">
        <w:t>indicates statistically significant results</w:t>
      </w:r>
    </w:p>
    <w:p w14:paraId="5254D84A" w14:textId="0B9974A4" w:rsidR="00DB1DD1" w:rsidRPr="00DB1DD1" w:rsidRDefault="00DB1DD1" w:rsidP="00873AF3">
      <w:pPr>
        <w:pStyle w:val="COMTablefooter"/>
        <w:tabs>
          <w:tab w:val="left" w:pos="284"/>
        </w:tabs>
      </w:pPr>
      <w:r>
        <w:t xml:space="preserve">Note: MG-ADL response was defined as at least a </w:t>
      </w:r>
      <w:r w:rsidR="0068534B">
        <w:t>2-point</w:t>
      </w:r>
      <w:r>
        <w:t xml:space="preserve"> reduction from baseline, while QMG and MGC response were defined as at least a </w:t>
      </w:r>
      <w:r w:rsidR="0068534B">
        <w:t>3-point</w:t>
      </w:r>
      <w:r>
        <w:t xml:space="preserve"> reduction from baseline.</w:t>
      </w:r>
    </w:p>
    <w:p w14:paraId="26DE9E6F" w14:textId="3C4FEE3F" w:rsidR="008863CC" w:rsidRDefault="35A54A1D" w:rsidP="00873AF3">
      <w:pPr>
        <w:pStyle w:val="COMexecsummnumbered"/>
      </w:pPr>
      <w:r w:rsidRPr="7E0DBB7D">
        <w:t>Statistically significantly greater proportions of patients treated with rozanolixizumab achieved an MG-ADL</w:t>
      </w:r>
      <w:r w:rsidR="6CAF7517" w:rsidRPr="7E0DBB7D">
        <w:t xml:space="preserve"> and MGC</w:t>
      </w:r>
      <w:r w:rsidR="4B3D549A" w:rsidRPr="7E0DBB7D">
        <w:t xml:space="preserve"> </w:t>
      </w:r>
      <w:r w:rsidRPr="7E0DBB7D">
        <w:t xml:space="preserve">response at Day 43 compared to placebo. </w:t>
      </w:r>
      <w:r w:rsidR="4B3D549A" w:rsidRPr="7E0DBB7D">
        <w:t>A statistically significantly greater proportion of patients treated with rozanolixizumab ~10</w:t>
      </w:r>
      <w:r w:rsidR="00304FD3">
        <w:t> </w:t>
      </w:r>
      <w:r w:rsidR="4B3D549A" w:rsidRPr="7E0DBB7D">
        <w:t xml:space="preserve">mg/kg achieved a QMG response at Day 43 compared to placebo. However, the difference between the ~7 mg/kg arm and placebo did not reach statistical significance. </w:t>
      </w:r>
    </w:p>
    <w:p w14:paraId="1A5196C0" w14:textId="1C6FE5DB" w:rsidR="00B60714" w:rsidRDefault="4B3D549A" w:rsidP="00873AF3">
      <w:pPr>
        <w:pStyle w:val="COMexecsummnumbered"/>
      </w:pPr>
      <w:r w:rsidRPr="7E0DBB7D">
        <w:t>D</w:t>
      </w:r>
      <w:r w:rsidR="35A54A1D" w:rsidRPr="7E0DBB7D">
        <w:t>ivergent bar plot</w:t>
      </w:r>
      <w:r w:rsidRPr="7E0DBB7D">
        <w:t>s</w:t>
      </w:r>
      <w:r w:rsidR="35A54A1D" w:rsidRPr="7E0DBB7D">
        <w:t xml:space="preserve"> of improvement in MG-ADL</w:t>
      </w:r>
      <w:r w:rsidRPr="7E0DBB7D">
        <w:t xml:space="preserve"> and QMG </w:t>
      </w:r>
      <w:r w:rsidR="35A54A1D" w:rsidRPr="7E0DBB7D">
        <w:t>at Day 43</w:t>
      </w:r>
      <w:r w:rsidR="53C23A4C" w:rsidRPr="7E0DBB7D">
        <w:t xml:space="preserve"> </w:t>
      </w:r>
      <w:r w:rsidR="35A54A1D" w:rsidRPr="7E0DBB7D">
        <w:t>showed that regardless of more stringent thresholds applied to define meaningful change for the MG-ADL</w:t>
      </w:r>
      <w:r w:rsidR="550BE4AB" w:rsidRPr="7E0DBB7D">
        <w:t xml:space="preserve"> or QMG</w:t>
      </w:r>
      <w:r w:rsidR="35A54A1D" w:rsidRPr="7E0DBB7D">
        <w:t xml:space="preserve"> scale, there was consistently a higher percentage of patients in the rozanolixizumab treatment arms who reported improvement compared to patients in the placebo arm.</w:t>
      </w:r>
    </w:p>
    <w:p w14:paraId="58D1F9D7" w14:textId="37CDCE53" w:rsidR="00B60714" w:rsidRPr="006077B2" w:rsidRDefault="35A54A1D" w:rsidP="00873AF3">
      <w:pPr>
        <w:pStyle w:val="COMexecsummnumbered"/>
      </w:pPr>
      <w:r w:rsidRPr="7E0DBB7D">
        <w:t xml:space="preserve">Just over a quarter of patients treated with rozanolixizumab </w:t>
      </w:r>
      <w:r w:rsidR="51C51B28" w:rsidRPr="7E0DBB7D">
        <w:t xml:space="preserve">in the MycarinG trial </w:t>
      </w:r>
      <w:r w:rsidRPr="7E0DBB7D">
        <w:t xml:space="preserve">achieved minimal symptom expression at any time during the trial (measured as MG-ADL scores of 0 or 1), compared to 3% of placebo treated patients. In the MG0007 extension study, minimal symptom expression (score of 0 or 1 on MG-ADL scale at any time during the treatment or </w:t>
      </w:r>
      <w:r w:rsidR="00BA3F9A" w:rsidRPr="7E0DBB7D">
        <w:t>16-week</w:t>
      </w:r>
      <w:r w:rsidRPr="7E0DBB7D">
        <w:t xml:space="preserve"> observation period for each cycle) was achieved across cycles ranging from 27.8% in Cycle 2 to 40.8% in Cycle 7</w:t>
      </w:r>
      <w:r w:rsidR="6820C6C1" w:rsidRPr="7E0DBB7D">
        <w:t>, with no clear pattern of increased or reduced minimal symptom expression with subsequent cycles</w:t>
      </w:r>
      <w:r w:rsidRPr="7E0DBB7D">
        <w:t xml:space="preserve">. </w:t>
      </w:r>
    </w:p>
    <w:p w14:paraId="0A6A85C0" w14:textId="7A80C6D1" w:rsidR="00B60714" w:rsidRDefault="574FE713" w:rsidP="00873AF3">
      <w:pPr>
        <w:pStyle w:val="COMexecsummnumbered"/>
      </w:pPr>
      <w:r w:rsidRPr="7E0DBB7D">
        <w:t xml:space="preserve">Observed results and change from baseline to Day 43 in </w:t>
      </w:r>
      <w:r w:rsidR="00BA3F9A" w:rsidRPr="7E0DBB7D">
        <w:t>quality-of-life</w:t>
      </w:r>
      <w:r w:rsidRPr="7E0DBB7D">
        <w:t xml:space="preserve"> measures (MG-QOL15r and EQ-5D-5L VAS scales) in the MycarinG trial are summarised in</w:t>
      </w:r>
      <w:r w:rsidR="7305FECD" w:rsidRPr="7E0DBB7D">
        <w:t xml:space="preserve"> </w:t>
      </w:r>
      <w:r w:rsidR="003828CA">
        <w:fldChar w:fldCharType="begin" w:fldLock="1"/>
      </w:r>
      <w:r w:rsidR="003828CA">
        <w:instrText>REF _Ref185287234</w:instrText>
      </w:r>
      <w:r w:rsidR="003828CA">
        <w:fldChar w:fldCharType="separate"/>
      </w:r>
      <w:r w:rsidR="00E70E55" w:rsidRPr="7E0DBB7D">
        <w:t xml:space="preserve">Table </w:t>
      </w:r>
      <w:r w:rsidR="00E70E55">
        <w:rPr>
          <w:noProof/>
        </w:rPr>
        <w:t>6</w:t>
      </w:r>
      <w:r w:rsidR="003828CA">
        <w:fldChar w:fldCharType="end"/>
      </w:r>
      <w:r w:rsidRPr="7E0DBB7D">
        <w:t>.</w:t>
      </w:r>
    </w:p>
    <w:p w14:paraId="78A6B9A9" w14:textId="5589F222" w:rsidR="003828CA" w:rsidRPr="00CE706B" w:rsidRDefault="0E87CBCA" w:rsidP="00873AF3">
      <w:pPr>
        <w:pStyle w:val="COMtablefigcaption"/>
        <w:tabs>
          <w:tab w:val="left" w:pos="1701"/>
        </w:tabs>
      </w:pPr>
      <w:bookmarkStart w:id="38" w:name="_Ref185287234"/>
      <w:bookmarkStart w:id="39" w:name="_Ref185258052"/>
      <w:r w:rsidRPr="7E0DBB7D">
        <w:t>Table</w:t>
      </w:r>
      <w:r w:rsidR="0D077FAE" w:rsidRPr="7E0DBB7D">
        <w:t xml:space="preserve"> </w:t>
      </w:r>
      <w:r w:rsidR="00FB5E6D">
        <w:fldChar w:fldCharType="begin" w:fldLock="1"/>
      </w:r>
      <w:r w:rsidR="00FB5E6D">
        <w:instrText>SEQ Table \* ARABIC</w:instrText>
      </w:r>
      <w:r w:rsidR="00FB5E6D">
        <w:fldChar w:fldCharType="separate"/>
      </w:r>
      <w:r w:rsidR="00E70E55">
        <w:rPr>
          <w:noProof/>
        </w:rPr>
        <w:t>6</w:t>
      </w:r>
      <w:r w:rsidR="00FB5E6D">
        <w:fldChar w:fldCharType="end"/>
      </w:r>
      <w:bookmarkEnd w:id="38"/>
      <w:r w:rsidR="574FE713" w:rsidRPr="7E0DBB7D">
        <w:t xml:space="preserve">: Mean change from baseline </w:t>
      </w:r>
      <w:r w:rsidR="7305FECD" w:rsidRPr="7E0DBB7D">
        <w:t xml:space="preserve">in </w:t>
      </w:r>
      <w:r w:rsidR="00BA3F9A" w:rsidRPr="7E0DBB7D">
        <w:t>quality-of-life</w:t>
      </w:r>
      <w:r w:rsidR="7305FECD" w:rsidRPr="7E0DBB7D">
        <w:t xml:space="preserve"> outcomes</w:t>
      </w:r>
      <w:r w:rsidR="574FE713" w:rsidRPr="7E0DBB7D">
        <w:t>, MycarinG trial (ITT population)</w:t>
      </w:r>
      <w:bookmarkEnd w:id="39"/>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6: Mean change from baseline in quality of life outcomes, MycarinG trial (ITT population)"/>
      </w:tblPr>
      <w:tblGrid>
        <w:gridCol w:w="2977"/>
        <w:gridCol w:w="2013"/>
        <w:gridCol w:w="2013"/>
        <w:gridCol w:w="2014"/>
      </w:tblGrid>
      <w:tr w:rsidR="00C93C8E" w:rsidRPr="00CE706B" w14:paraId="333B51BF" w14:textId="77777777">
        <w:trPr>
          <w:trHeight w:val="76"/>
          <w:tblHeader/>
        </w:trPr>
        <w:tc>
          <w:tcPr>
            <w:tcW w:w="2977" w:type="dxa"/>
            <w:tcBorders>
              <w:top w:val="single" w:sz="4" w:space="0" w:color="auto"/>
              <w:left w:val="single" w:sz="4" w:space="0" w:color="auto"/>
              <w:right w:val="single" w:sz="4" w:space="0" w:color="auto"/>
            </w:tcBorders>
            <w:vAlign w:val="center"/>
          </w:tcPr>
          <w:p w14:paraId="2F2D92DD" w14:textId="77777777" w:rsidR="003828CA" w:rsidRPr="00CE706B" w:rsidRDefault="003828CA" w:rsidP="00873AF3">
            <w:pPr>
              <w:pStyle w:val="TableText"/>
              <w:widowControl/>
              <w:rPr>
                <w:b/>
              </w:rPr>
            </w:pPr>
          </w:p>
        </w:tc>
        <w:tc>
          <w:tcPr>
            <w:tcW w:w="2013" w:type="dxa"/>
            <w:tcBorders>
              <w:top w:val="single" w:sz="4" w:space="0" w:color="auto"/>
              <w:left w:val="single" w:sz="4" w:space="0" w:color="auto"/>
              <w:bottom w:val="single" w:sz="4" w:space="0" w:color="auto"/>
              <w:right w:val="single" w:sz="4" w:space="0" w:color="auto"/>
            </w:tcBorders>
            <w:vAlign w:val="center"/>
          </w:tcPr>
          <w:p w14:paraId="0267F58A" w14:textId="77777777" w:rsidR="003828CA" w:rsidRPr="00CE706B" w:rsidRDefault="003828CA" w:rsidP="00873AF3">
            <w:pPr>
              <w:pStyle w:val="TableText"/>
              <w:keepNext w:val="0"/>
              <w:widowControl/>
              <w:jc w:val="center"/>
              <w:rPr>
                <w:b/>
              </w:rPr>
            </w:pPr>
            <w:r w:rsidRPr="00CE706B">
              <w:rPr>
                <w:b/>
              </w:rPr>
              <w:t xml:space="preserve">RLZ </w:t>
            </w:r>
            <w:r>
              <w:rPr>
                <w:b/>
              </w:rPr>
              <w:t>~</w:t>
            </w:r>
            <w:r w:rsidRPr="00CE706B">
              <w:rPr>
                <w:b/>
              </w:rPr>
              <w:t>7 mg/kg</w:t>
            </w:r>
          </w:p>
          <w:p w14:paraId="69436D05" w14:textId="77777777" w:rsidR="003828CA" w:rsidRPr="00CE706B" w:rsidRDefault="003828CA" w:rsidP="00873AF3">
            <w:pPr>
              <w:pStyle w:val="TableText"/>
              <w:keepNext w:val="0"/>
              <w:widowControl/>
              <w:jc w:val="center"/>
              <w:rPr>
                <w:b/>
              </w:rPr>
            </w:pPr>
            <w:r w:rsidRPr="00CE706B">
              <w:rPr>
                <w:b/>
              </w:rPr>
              <w:t>N = 66</w:t>
            </w:r>
          </w:p>
        </w:tc>
        <w:tc>
          <w:tcPr>
            <w:tcW w:w="2013" w:type="dxa"/>
            <w:tcBorders>
              <w:top w:val="single" w:sz="4" w:space="0" w:color="auto"/>
              <w:left w:val="single" w:sz="4" w:space="0" w:color="auto"/>
              <w:right w:val="single" w:sz="4" w:space="0" w:color="auto"/>
            </w:tcBorders>
            <w:vAlign w:val="center"/>
          </w:tcPr>
          <w:p w14:paraId="5ABA5A5E" w14:textId="77777777" w:rsidR="003828CA" w:rsidRPr="00CE706B" w:rsidRDefault="003828CA" w:rsidP="00873AF3">
            <w:pPr>
              <w:pStyle w:val="TableText"/>
              <w:keepNext w:val="0"/>
              <w:widowControl/>
              <w:jc w:val="center"/>
              <w:rPr>
                <w:b/>
              </w:rPr>
            </w:pPr>
            <w:r w:rsidRPr="00CE706B">
              <w:rPr>
                <w:b/>
              </w:rPr>
              <w:t xml:space="preserve">RLZ </w:t>
            </w:r>
            <w:r>
              <w:rPr>
                <w:b/>
              </w:rPr>
              <w:t>~</w:t>
            </w:r>
            <w:r w:rsidRPr="00CE706B">
              <w:rPr>
                <w:b/>
              </w:rPr>
              <w:t>10 mg/kg</w:t>
            </w:r>
          </w:p>
          <w:p w14:paraId="3A29BB2A" w14:textId="77777777" w:rsidR="003828CA" w:rsidRPr="00CE706B" w:rsidRDefault="003828CA" w:rsidP="00873AF3">
            <w:pPr>
              <w:pStyle w:val="TableText"/>
              <w:keepNext w:val="0"/>
              <w:widowControl/>
              <w:jc w:val="center"/>
              <w:rPr>
                <w:b/>
              </w:rPr>
            </w:pPr>
            <w:r w:rsidRPr="00CE706B">
              <w:rPr>
                <w:b/>
              </w:rPr>
              <w:t>N = 67</w:t>
            </w:r>
          </w:p>
        </w:tc>
        <w:tc>
          <w:tcPr>
            <w:tcW w:w="2014" w:type="dxa"/>
            <w:tcBorders>
              <w:top w:val="single" w:sz="4" w:space="0" w:color="auto"/>
              <w:left w:val="single" w:sz="4" w:space="0" w:color="auto"/>
              <w:right w:val="single" w:sz="4" w:space="0" w:color="auto"/>
            </w:tcBorders>
            <w:vAlign w:val="center"/>
          </w:tcPr>
          <w:p w14:paraId="6DFE0D20" w14:textId="77777777" w:rsidR="003828CA" w:rsidRPr="00CE706B" w:rsidRDefault="003828CA" w:rsidP="00873AF3">
            <w:pPr>
              <w:pStyle w:val="TableText"/>
              <w:keepNext w:val="0"/>
              <w:widowControl/>
              <w:jc w:val="center"/>
              <w:rPr>
                <w:b/>
              </w:rPr>
            </w:pPr>
            <w:r w:rsidRPr="00CE706B">
              <w:rPr>
                <w:b/>
              </w:rPr>
              <w:t>Placebo</w:t>
            </w:r>
          </w:p>
          <w:p w14:paraId="464A80C8" w14:textId="77777777" w:rsidR="003828CA" w:rsidRPr="00CE706B" w:rsidRDefault="003828CA" w:rsidP="00873AF3">
            <w:pPr>
              <w:pStyle w:val="TableText"/>
              <w:keepNext w:val="0"/>
              <w:widowControl/>
              <w:jc w:val="center"/>
              <w:rPr>
                <w:b/>
              </w:rPr>
            </w:pPr>
            <w:r w:rsidRPr="00CE706B">
              <w:rPr>
                <w:b/>
              </w:rPr>
              <w:t>N = 67</w:t>
            </w:r>
          </w:p>
        </w:tc>
      </w:tr>
      <w:tr w:rsidR="00B02C9F" w:rsidRPr="00CE706B" w14:paraId="1450F2AF" w14:textId="77777777">
        <w:trPr>
          <w:trHeight w:val="76"/>
          <w:tblHeader/>
        </w:trPr>
        <w:tc>
          <w:tcPr>
            <w:tcW w:w="9017" w:type="dxa"/>
            <w:gridSpan w:val="4"/>
            <w:tcBorders>
              <w:top w:val="single" w:sz="4" w:space="0" w:color="auto"/>
              <w:left w:val="single" w:sz="4" w:space="0" w:color="auto"/>
              <w:right w:val="single" w:sz="4" w:space="0" w:color="auto"/>
            </w:tcBorders>
            <w:vAlign w:val="center"/>
          </w:tcPr>
          <w:p w14:paraId="05BBE51B" w14:textId="77777777" w:rsidR="003828CA" w:rsidRPr="00CE706B" w:rsidRDefault="003828CA" w:rsidP="00873AF3">
            <w:pPr>
              <w:pStyle w:val="TableText"/>
              <w:keepNext w:val="0"/>
              <w:widowControl/>
              <w:rPr>
                <w:b/>
              </w:rPr>
            </w:pPr>
            <w:r w:rsidRPr="00CE706B">
              <w:rPr>
                <w:b/>
              </w:rPr>
              <w:t>MG-QoL15r</w:t>
            </w:r>
          </w:p>
        </w:tc>
      </w:tr>
      <w:tr w:rsidR="008C76DD" w:rsidRPr="00CE706B" w14:paraId="05DF9DC8" w14:textId="77777777">
        <w:trPr>
          <w:trHeight w:val="70"/>
        </w:trPr>
        <w:tc>
          <w:tcPr>
            <w:tcW w:w="2977" w:type="dxa"/>
            <w:tcBorders>
              <w:top w:val="single" w:sz="4" w:space="0" w:color="auto"/>
              <w:left w:val="single" w:sz="4" w:space="0" w:color="auto"/>
              <w:bottom w:val="single" w:sz="4" w:space="0" w:color="auto"/>
              <w:right w:val="single" w:sz="4" w:space="0" w:color="auto"/>
            </w:tcBorders>
            <w:vAlign w:val="center"/>
          </w:tcPr>
          <w:p w14:paraId="007AEE0F" w14:textId="77777777" w:rsidR="003828CA" w:rsidRPr="00CE706B" w:rsidRDefault="003828CA" w:rsidP="00873AF3">
            <w:pPr>
              <w:pStyle w:val="TableText"/>
              <w:widowControl/>
            </w:pPr>
            <w:r w:rsidRPr="00CE706B">
              <w:t>Baseline Mean (SD)</w:t>
            </w:r>
          </w:p>
        </w:tc>
        <w:tc>
          <w:tcPr>
            <w:tcW w:w="2013" w:type="dxa"/>
            <w:tcBorders>
              <w:top w:val="single" w:sz="4" w:space="0" w:color="auto"/>
              <w:left w:val="single" w:sz="4" w:space="0" w:color="auto"/>
              <w:bottom w:val="single" w:sz="4" w:space="0" w:color="auto"/>
              <w:right w:val="single" w:sz="4" w:space="0" w:color="auto"/>
            </w:tcBorders>
          </w:tcPr>
          <w:p w14:paraId="070B57B2" w14:textId="77777777" w:rsidR="003828CA" w:rsidRPr="00CE706B" w:rsidRDefault="003828CA" w:rsidP="00873AF3">
            <w:pPr>
              <w:pStyle w:val="TableText"/>
              <w:widowControl/>
              <w:jc w:val="center"/>
            </w:pPr>
            <w:r w:rsidRPr="00CE706B">
              <w:t>15.7 (7.7)</w:t>
            </w:r>
          </w:p>
        </w:tc>
        <w:tc>
          <w:tcPr>
            <w:tcW w:w="2013" w:type="dxa"/>
            <w:tcBorders>
              <w:top w:val="single" w:sz="4" w:space="0" w:color="auto"/>
              <w:left w:val="single" w:sz="4" w:space="0" w:color="auto"/>
              <w:bottom w:val="single" w:sz="4" w:space="0" w:color="auto"/>
              <w:right w:val="single" w:sz="4" w:space="0" w:color="auto"/>
            </w:tcBorders>
          </w:tcPr>
          <w:p w14:paraId="592FFB84" w14:textId="77777777" w:rsidR="003828CA" w:rsidRPr="00CE706B" w:rsidRDefault="003828CA" w:rsidP="00873AF3">
            <w:pPr>
              <w:pStyle w:val="TableText"/>
              <w:widowControl/>
              <w:jc w:val="center"/>
            </w:pPr>
            <w:r w:rsidRPr="00CE706B">
              <w:t>15.5 (6.6)</w:t>
            </w:r>
          </w:p>
        </w:tc>
        <w:tc>
          <w:tcPr>
            <w:tcW w:w="2014" w:type="dxa"/>
            <w:tcBorders>
              <w:top w:val="single" w:sz="4" w:space="0" w:color="auto"/>
              <w:left w:val="single" w:sz="4" w:space="0" w:color="auto"/>
              <w:right w:val="single" w:sz="4" w:space="0" w:color="auto"/>
            </w:tcBorders>
            <w:vAlign w:val="center"/>
          </w:tcPr>
          <w:p w14:paraId="20D0D09B" w14:textId="77777777" w:rsidR="003828CA" w:rsidRPr="00CE706B" w:rsidRDefault="003828CA" w:rsidP="00873AF3">
            <w:pPr>
              <w:pStyle w:val="TableText"/>
              <w:widowControl/>
              <w:jc w:val="center"/>
            </w:pPr>
            <w:r w:rsidRPr="00CE706B">
              <w:t>15.0 (6.4)</w:t>
            </w:r>
          </w:p>
        </w:tc>
      </w:tr>
      <w:tr w:rsidR="008C76DD" w:rsidRPr="00CE706B" w14:paraId="37D29D23" w14:textId="77777777">
        <w:trPr>
          <w:trHeight w:val="70"/>
        </w:trPr>
        <w:tc>
          <w:tcPr>
            <w:tcW w:w="2977" w:type="dxa"/>
            <w:tcBorders>
              <w:top w:val="single" w:sz="4" w:space="0" w:color="auto"/>
              <w:left w:val="single" w:sz="4" w:space="0" w:color="auto"/>
              <w:bottom w:val="single" w:sz="4" w:space="0" w:color="auto"/>
              <w:right w:val="single" w:sz="4" w:space="0" w:color="auto"/>
            </w:tcBorders>
            <w:vAlign w:val="center"/>
          </w:tcPr>
          <w:p w14:paraId="6EB4C277" w14:textId="77777777" w:rsidR="003828CA" w:rsidRPr="00CE706B" w:rsidRDefault="003828CA" w:rsidP="00873AF3">
            <w:pPr>
              <w:pStyle w:val="TableText"/>
              <w:keepNext w:val="0"/>
              <w:widowControl/>
            </w:pPr>
            <w:r w:rsidRPr="00CE706B">
              <w:t>Day 43 Mean (SD)</w:t>
            </w:r>
          </w:p>
        </w:tc>
        <w:tc>
          <w:tcPr>
            <w:tcW w:w="2013" w:type="dxa"/>
            <w:tcBorders>
              <w:top w:val="single" w:sz="4" w:space="0" w:color="auto"/>
              <w:left w:val="single" w:sz="4" w:space="0" w:color="auto"/>
              <w:bottom w:val="single" w:sz="4" w:space="0" w:color="auto"/>
              <w:right w:val="single" w:sz="4" w:space="0" w:color="auto"/>
            </w:tcBorders>
            <w:vAlign w:val="center"/>
          </w:tcPr>
          <w:p w14:paraId="27955401" w14:textId="77777777" w:rsidR="003828CA" w:rsidRPr="00CE706B" w:rsidRDefault="003828CA" w:rsidP="00873AF3">
            <w:pPr>
              <w:pStyle w:val="TableText"/>
              <w:widowControl/>
              <w:jc w:val="center"/>
            </w:pPr>
            <w:r w:rsidRPr="00CE706B">
              <w:t>11.7 (8.0)</w:t>
            </w:r>
          </w:p>
        </w:tc>
        <w:tc>
          <w:tcPr>
            <w:tcW w:w="2013" w:type="dxa"/>
            <w:tcBorders>
              <w:top w:val="single" w:sz="4" w:space="0" w:color="auto"/>
              <w:left w:val="single" w:sz="4" w:space="0" w:color="auto"/>
              <w:bottom w:val="single" w:sz="4" w:space="0" w:color="auto"/>
              <w:right w:val="single" w:sz="4" w:space="0" w:color="auto"/>
            </w:tcBorders>
            <w:vAlign w:val="center"/>
          </w:tcPr>
          <w:p w14:paraId="26C47F1C" w14:textId="77777777" w:rsidR="003828CA" w:rsidRPr="00CE706B" w:rsidRDefault="003828CA" w:rsidP="00873AF3">
            <w:pPr>
              <w:pStyle w:val="TableText"/>
              <w:widowControl/>
              <w:jc w:val="center"/>
            </w:pPr>
            <w:r w:rsidRPr="00CE706B">
              <w:t>10.0 (7.3)</w:t>
            </w:r>
          </w:p>
        </w:tc>
        <w:tc>
          <w:tcPr>
            <w:tcW w:w="2014" w:type="dxa"/>
            <w:tcBorders>
              <w:left w:val="single" w:sz="4" w:space="0" w:color="auto"/>
              <w:right w:val="single" w:sz="4" w:space="0" w:color="auto"/>
            </w:tcBorders>
            <w:vAlign w:val="center"/>
          </w:tcPr>
          <w:p w14:paraId="5B4D195B" w14:textId="77777777" w:rsidR="003828CA" w:rsidRPr="00CE706B" w:rsidRDefault="003828CA" w:rsidP="00873AF3">
            <w:pPr>
              <w:pStyle w:val="TableText"/>
              <w:widowControl/>
              <w:jc w:val="center"/>
            </w:pPr>
            <w:r w:rsidRPr="00CE706B">
              <w:t>13.7 (6.6)</w:t>
            </w:r>
          </w:p>
        </w:tc>
      </w:tr>
      <w:tr w:rsidR="008C76DD" w:rsidRPr="00CE706B" w14:paraId="2AB122E7" w14:textId="77777777">
        <w:trPr>
          <w:trHeight w:val="70"/>
        </w:trPr>
        <w:tc>
          <w:tcPr>
            <w:tcW w:w="2977" w:type="dxa"/>
            <w:tcBorders>
              <w:top w:val="single" w:sz="4" w:space="0" w:color="auto"/>
              <w:left w:val="single" w:sz="4" w:space="0" w:color="auto"/>
              <w:bottom w:val="single" w:sz="4" w:space="0" w:color="auto"/>
              <w:right w:val="single" w:sz="4" w:space="0" w:color="auto"/>
            </w:tcBorders>
            <w:vAlign w:val="center"/>
          </w:tcPr>
          <w:p w14:paraId="25E322D4" w14:textId="77777777" w:rsidR="003828CA" w:rsidRPr="00CE706B" w:rsidRDefault="003828CA" w:rsidP="00873AF3">
            <w:pPr>
              <w:pStyle w:val="TableText"/>
              <w:keepNext w:val="0"/>
              <w:widowControl/>
            </w:pPr>
            <w:r w:rsidRPr="00CE706B">
              <w:t>Mean change at Day 43 (SD)</w:t>
            </w:r>
          </w:p>
        </w:tc>
        <w:tc>
          <w:tcPr>
            <w:tcW w:w="2013" w:type="dxa"/>
            <w:tcBorders>
              <w:top w:val="single" w:sz="4" w:space="0" w:color="auto"/>
              <w:left w:val="single" w:sz="4" w:space="0" w:color="auto"/>
              <w:bottom w:val="single" w:sz="4" w:space="0" w:color="auto"/>
              <w:right w:val="single" w:sz="4" w:space="0" w:color="auto"/>
            </w:tcBorders>
            <w:vAlign w:val="center"/>
          </w:tcPr>
          <w:p w14:paraId="15BBF410" w14:textId="77777777" w:rsidR="003828CA" w:rsidRPr="00CE706B" w:rsidRDefault="003828CA" w:rsidP="00873AF3">
            <w:pPr>
              <w:pStyle w:val="TableText"/>
              <w:widowControl/>
              <w:jc w:val="center"/>
            </w:pPr>
            <w:r w:rsidRPr="00CE706B">
              <w:t>-4.0 (6.1)</w:t>
            </w:r>
          </w:p>
        </w:tc>
        <w:tc>
          <w:tcPr>
            <w:tcW w:w="2013" w:type="dxa"/>
            <w:tcBorders>
              <w:top w:val="single" w:sz="4" w:space="0" w:color="auto"/>
              <w:left w:val="single" w:sz="4" w:space="0" w:color="auto"/>
              <w:bottom w:val="single" w:sz="4" w:space="0" w:color="auto"/>
              <w:right w:val="single" w:sz="4" w:space="0" w:color="auto"/>
            </w:tcBorders>
            <w:vAlign w:val="center"/>
          </w:tcPr>
          <w:p w14:paraId="668EC381" w14:textId="77777777" w:rsidR="003828CA" w:rsidRPr="00CE706B" w:rsidRDefault="003828CA" w:rsidP="00873AF3">
            <w:pPr>
              <w:pStyle w:val="TableText"/>
              <w:widowControl/>
              <w:jc w:val="center"/>
            </w:pPr>
            <w:r w:rsidRPr="00CE706B">
              <w:t>-5.3 (5.9)</w:t>
            </w:r>
          </w:p>
        </w:tc>
        <w:tc>
          <w:tcPr>
            <w:tcW w:w="2014" w:type="dxa"/>
            <w:tcBorders>
              <w:left w:val="single" w:sz="4" w:space="0" w:color="auto"/>
              <w:right w:val="single" w:sz="4" w:space="0" w:color="auto"/>
            </w:tcBorders>
            <w:vAlign w:val="center"/>
          </w:tcPr>
          <w:p w14:paraId="0DEF26D3" w14:textId="77777777" w:rsidR="003828CA" w:rsidRPr="00CE706B" w:rsidRDefault="003828CA" w:rsidP="00873AF3">
            <w:pPr>
              <w:pStyle w:val="TableText"/>
              <w:widowControl/>
              <w:jc w:val="center"/>
            </w:pPr>
            <w:r w:rsidRPr="00CE706B">
              <w:t>-1.3 (4.3)</w:t>
            </w:r>
          </w:p>
        </w:tc>
      </w:tr>
      <w:tr w:rsidR="008C76DD" w:rsidRPr="00CE706B" w14:paraId="25249B18" w14:textId="77777777">
        <w:trPr>
          <w:trHeight w:val="70"/>
        </w:trPr>
        <w:tc>
          <w:tcPr>
            <w:tcW w:w="2977" w:type="dxa"/>
            <w:tcBorders>
              <w:top w:val="single" w:sz="4" w:space="0" w:color="auto"/>
              <w:left w:val="single" w:sz="4" w:space="0" w:color="auto"/>
              <w:bottom w:val="single" w:sz="4" w:space="0" w:color="auto"/>
              <w:right w:val="single" w:sz="4" w:space="0" w:color="auto"/>
            </w:tcBorders>
            <w:vAlign w:val="center"/>
          </w:tcPr>
          <w:p w14:paraId="6894BEDF" w14:textId="77777777" w:rsidR="003828CA" w:rsidRPr="00CE706B" w:rsidRDefault="003828CA" w:rsidP="00873AF3">
            <w:pPr>
              <w:pStyle w:val="TableText"/>
              <w:keepNext w:val="0"/>
              <w:widowControl/>
              <w:rPr>
                <w:b/>
                <w:bCs w:val="0"/>
              </w:rPr>
            </w:pPr>
            <w:r w:rsidRPr="00CE706B">
              <w:rPr>
                <w:b/>
                <w:bCs w:val="0"/>
              </w:rPr>
              <w:t>EQ-5D-5L VAS</w:t>
            </w:r>
          </w:p>
        </w:tc>
        <w:tc>
          <w:tcPr>
            <w:tcW w:w="2013" w:type="dxa"/>
            <w:tcBorders>
              <w:top w:val="single" w:sz="4" w:space="0" w:color="auto"/>
              <w:left w:val="single" w:sz="4" w:space="0" w:color="auto"/>
              <w:bottom w:val="single" w:sz="4" w:space="0" w:color="auto"/>
              <w:right w:val="single" w:sz="4" w:space="0" w:color="auto"/>
            </w:tcBorders>
            <w:vAlign w:val="center"/>
          </w:tcPr>
          <w:p w14:paraId="2D6B71BD" w14:textId="77777777" w:rsidR="003828CA" w:rsidRPr="00CE706B" w:rsidRDefault="003828CA" w:rsidP="00873AF3">
            <w:pPr>
              <w:pStyle w:val="TableText"/>
              <w:widowControl/>
              <w:jc w:val="center"/>
            </w:pPr>
          </w:p>
        </w:tc>
        <w:tc>
          <w:tcPr>
            <w:tcW w:w="2013" w:type="dxa"/>
            <w:tcBorders>
              <w:top w:val="single" w:sz="4" w:space="0" w:color="auto"/>
              <w:left w:val="single" w:sz="4" w:space="0" w:color="auto"/>
              <w:bottom w:val="single" w:sz="4" w:space="0" w:color="auto"/>
              <w:right w:val="single" w:sz="4" w:space="0" w:color="auto"/>
            </w:tcBorders>
            <w:vAlign w:val="center"/>
          </w:tcPr>
          <w:p w14:paraId="0DF73BC0" w14:textId="77777777" w:rsidR="003828CA" w:rsidRPr="00CE706B" w:rsidRDefault="003828CA" w:rsidP="00873AF3">
            <w:pPr>
              <w:pStyle w:val="TableText"/>
              <w:widowControl/>
              <w:jc w:val="center"/>
            </w:pPr>
          </w:p>
        </w:tc>
        <w:tc>
          <w:tcPr>
            <w:tcW w:w="2014" w:type="dxa"/>
            <w:tcBorders>
              <w:left w:val="single" w:sz="4" w:space="0" w:color="auto"/>
              <w:right w:val="single" w:sz="4" w:space="0" w:color="auto"/>
            </w:tcBorders>
            <w:vAlign w:val="center"/>
          </w:tcPr>
          <w:p w14:paraId="60BBF14A" w14:textId="77777777" w:rsidR="003828CA" w:rsidRPr="00CE706B" w:rsidRDefault="003828CA" w:rsidP="00873AF3">
            <w:pPr>
              <w:pStyle w:val="TableText"/>
              <w:widowControl/>
              <w:jc w:val="center"/>
            </w:pPr>
          </w:p>
        </w:tc>
      </w:tr>
      <w:tr w:rsidR="008C76DD" w:rsidRPr="00CE706B" w14:paraId="55CCA899" w14:textId="77777777">
        <w:trPr>
          <w:trHeight w:val="70"/>
        </w:trPr>
        <w:tc>
          <w:tcPr>
            <w:tcW w:w="2977" w:type="dxa"/>
            <w:tcBorders>
              <w:top w:val="single" w:sz="4" w:space="0" w:color="auto"/>
              <w:left w:val="single" w:sz="4" w:space="0" w:color="auto"/>
              <w:bottom w:val="single" w:sz="4" w:space="0" w:color="auto"/>
              <w:right w:val="single" w:sz="4" w:space="0" w:color="auto"/>
            </w:tcBorders>
            <w:vAlign w:val="center"/>
          </w:tcPr>
          <w:p w14:paraId="085EC130" w14:textId="77777777" w:rsidR="003828CA" w:rsidRPr="00CE706B" w:rsidRDefault="003828CA" w:rsidP="00873AF3">
            <w:pPr>
              <w:pStyle w:val="TableText"/>
              <w:keepNext w:val="0"/>
              <w:widowControl/>
            </w:pPr>
            <w:r w:rsidRPr="00CE706B">
              <w:t>Baseline Mean (SD)</w:t>
            </w:r>
          </w:p>
        </w:tc>
        <w:tc>
          <w:tcPr>
            <w:tcW w:w="2013" w:type="dxa"/>
            <w:tcBorders>
              <w:top w:val="single" w:sz="4" w:space="0" w:color="auto"/>
              <w:left w:val="single" w:sz="4" w:space="0" w:color="auto"/>
              <w:bottom w:val="single" w:sz="4" w:space="0" w:color="auto"/>
              <w:right w:val="single" w:sz="4" w:space="0" w:color="auto"/>
            </w:tcBorders>
            <w:vAlign w:val="center"/>
          </w:tcPr>
          <w:p w14:paraId="3625FD45" w14:textId="77777777" w:rsidR="003828CA" w:rsidRPr="00CE706B" w:rsidRDefault="003828CA" w:rsidP="00873AF3">
            <w:pPr>
              <w:pStyle w:val="TableText"/>
              <w:widowControl/>
              <w:jc w:val="center"/>
            </w:pPr>
            <w:r w:rsidRPr="00CE706B">
              <w:t>57.8 (16.5)</w:t>
            </w:r>
          </w:p>
        </w:tc>
        <w:tc>
          <w:tcPr>
            <w:tcW w:w="2013" w:type="dxa"/>
            <w:tcBorders>
              <w:top w:val="single" w:sz="4" w:space="0" w:color="auto"/>
              <w:left w:val="single" w:sz="4" w:space="0" w:color="auto"/>
              <w:bottom w:val="single" w:sz="4" w:space="0" w:color="auto"/>
              <w:right w:val="single" w:sz="4" w:space="0" w:color="auto"/>
            </w:tcBorders>
            <w:vAlign w:val="center"/>
          </w:tcPr>
          <w:p w14:paraId="6A7207B2" w14:textId="77777777" w:rsidR="003828CA" w:rsidRPr="00CE706B" w:rsidRDefault="003828CA" w:rsidP="00873AF3">
            <w:pPr>
              <w:pStyle w:val="TableText"/>
              <w:widowControl/>
              <w:jc w:val="center"/>
            </w:pPr>
            <w:r w:rsidRPr="00CE706B">
              <w:t>56.8 (17.2)</w:t>
            </w:r>
          </w:p>
        </w:tc>
        <w:tc>
          <w:tcPr>
            <w:tcW w:w="2014" w:type="dxa"/>
            <w:tcBorders>
              <w:left w:val="single" w:sz="4" w:space="0" w:color="auto"/>
              <w:right w:val="single" w:sz="4" w:space="0" w:color="auto"/>
            </w:tcBorders>
            <w:vAlign w:val="center"/>
          </w:tcPr>
          <w:p w14:paraId="339E2A61" w14:textId="77777777" w:rsidR="003828CA" w:rsidRPr="00CE706B" w:rsidRDefault="003828CA" w:rsidP="00873AF3">
            <w:pPr>
              <w:pStyle w:val="TableText"/>
              <w:widowControl/>
              <w:jc w:val="center"/>
            </w:pPr>
            <w:r w:rsidRPr="00CE706B">
              <w:t>54.4 (19.2)</w:t>
            </w:r>
          </w:p>
        </w:tc>
      </w:tr>
      <w:tr w:rsidR="008C76DD" w:rsidRPr="00CE706B" w14:paraId="2769C146" w14:textId="77777777">
        <w:trPr>
          <w:trHeight w:val="70"/>
        </w:trPr>
        <w:tc>
          <w:tcPr>
            <w:tcW w:w="2977" w:type="dxa"/>
            <w:tcBorders>
              <w:top w:val="single" w:sz="4" w:space="0" w:color="auto"/>
              <w:left w:val="single" w:sz="4" w:space="0" w:color="auto"/>
              <w:bottom w:val="single" w:sz="4" w:space="0" w:color="auto"/>
              <w:right w:val="single" w:sz="4" w:space="0" w:color="auto"/>
            </w:tcBorders>
            <w:vAlign w:val="center"/>
          </w:tcPr>
          <w:p w14:paraId="276CDBDC" w14:textId="77777777" w:rsidR="003828CA" w:rsidRPr="00CE706B" w:rsidRDefault="003828CA" w:rsidP="00873AF3">
            <w:pPr>
              <w:pStyle w:val="TableText"/>
              <w:keepNext w:val="0"/>
              <w:widowControl/>
            </w:pPr>
            <w:r w:rsidRPr="00CE706B">
              <w:t>Day 43 Mean (SD)</w:t>
            </w:r>
          </w:p>
        </w:tc>
        <w:tc>
          <w:tcPr>
            <w:tcW w:w="2013" w:type="dxa"/>
            <w:tcBorders>
              <w:top w:val="single" w:sz="4" w:space="0" w:color="auto"/>
              <w:left w:val="single" w:sz="4" w:space="0" w:color="auto"/>
              <w:bottom w:val="single" w:sz="4" w:space="0" w:color="auto"/>
              <w:right w:val="single" w:sz="4" w:space="0" w:color="auto"/>
            </w:tcBorders>
            <w:vAlign w:val="center"/>
          </w:tcPr>
          <w:p w14:paraId="163B5E71" w14:textId="77777777" w:rsidR="003828CA" w:rsidRPr="00CE706B" w:rsidRDefault="003828CA" w:rsidP="00873AF3">
            <w:pPr>
              <w:pStyle w:val="TableText"/>
              <w:widowControl/>
              <w:jc w:val="center"/>
            </w:pPr>
            <w:r w:rsidRPr="00CE706B">
              <w:t>70.2 (19.9)</w:t>
            </w:r>
          </w:p>
        </w:tc>
        <w:tc>
          <w:tcPr>
            <w:tcW w:w="2013" w:type="dxa"/>
            <w:tcBorders>
              <w:top w:val="single" w:sz="4" w:space="0" w:color="auto"/>
              <w:left w:val="single" w:sz="4" w:space="0" w:color="auto"/>
              <w:bottom w:val="single" w:sz="4" w:space="0" w:color="auto"/>
              <w:right w:val="single" w:sz="4" w:space="0" w:color="auto"/>
            </w:tcBorders>
            <w:vAlign w:val="center"/>
          </w:tcPr>
          <w:p w14:paraId="7EA2CE84" w14:textId="77777777" w:rsidR="003828CA" w:rsidRPr="00CE706B" w:rsidRDefault="003828CA" w:rsidP="00873AF3">
            <w:pPr>
              <w:pStyle w:val="TableText"/>
              <w:widowControl/>
              <w:jc w:val="center"/>
            </w:pPr>
            <w:r w:rsidRPr="00CE706B">
              <w:t>68.5 (19.4)</w:t>
            </w:r>
          </w:p>
        </w:tc>
        <w:tc>
          <w:tcPr>
            <w:tcW w:w="2014" w:type="dxa"/>
            <w:tcBorders>
              <w:left w:val="single" w:sz="4" w:space="0" w:color="auto"/>
              <w:right w:val="single" w:sz="4" w:space="0" w:color="auto"/>
            </w:tcBorders>
            <w:vAlign w:val="center"/>
          </w:tcPr>
          <w:p w14:paraId="46D9AA5E" w14:textId="77777777" w:rsidR="003828CA" w:rsidRPr="00CE706B" w:rsidRDefault="003828CA" w:rsidP="00873AF3">
            <w:pPr>
              <w:pStyle w:val="TableText"/>
              <w:widowControl/>
              <w:jc w:val="center"/>
            </w:pPr>
            <w:r w:rsidRPr="00CE706B">
              <w:t>60.0 (18.5)</w:t>
            </w:r>
          </w:p>
        </w:tc>
      </w:tr>
      <w:tr w:rsidR="008C76DD" w:rsidRPr="00CE706B" w14:paraId="615ED924" w14:textId="77777777">
        <w:trPr>
          <w:trHeight w:val="70"/>
        </w:trPr>
        <w:tc>
          <w:tcPr>
            <w:tcW w:w="2977" w:type="dxa"/>
            <w:tcBorders>
              <w:top w:val="single" w:sz="4" w:space="0" w:color="auto"/>
              <w:left w:val="single" w:sz="4" w:space="0" w:color="auto"/>
              <w:bottom w:val="single" w:sz="4" w:space="0" w:color="auto"/>
              <w:right w:val="single" w:sz="4" w:space="0" w:color="auto"/>
            </w:tcBorders>
            <w:vAlign w:val="center"/>
          </w:tcPr>
          <w:p w14:paraId="1F286E34" w14:textId="77777777" w:rsidR="003828CA" w:rsidRPr="00CE706B" w:rsidRDefault="003828CA" w:rsidP="00873AF3">
            <w:pPr>
              <w:pStyle w:val="TableText"/>
              <w:keepNext w:val="0"/>
              <w:widowControl/>
            </w:pPr>
            <w:r w:rsidRPr="00CE706B">
              <w:t>Mean change at Day 43 (SD)</w:t>
            </w:r>
          </w:p>
        </w:tc>
        <w:tc>
          <w:tcPr>
            <w:tcW w:w="2013" w:type="dxa"/>
            <w:tcBorders>
              <w:top w:val="single" w:sz="4" w:space="0" w:color="auto"/>
              <w:left w:val="single" w:sz="4" w:space="0" w:color="auto"/>
              <w:bottom w:val="single" w:sz="4" w:space="0" w:color="auto"/>
              <w:right w:val="single" w:sz="4" w:space="0" w:color="auto"/>
            </w:tcBorders>
            <w:vAlign w:val="center"/>
          </w:tcPr>
          <w:p w14:paraId="6D187736" w14:textId="77777777" w:rsidR="003828CA" w:rsidRPr="00CE706B" w:rsidRDefault="003828CA" w:rsidP="00873AF3">
            <w:pPr>
              <w:pStyle w:val="TableText"/>
              <w:widowControl/>
              <w:jc w:val="center"/>
            </w:pPr>
            <w:r w:rsidRPr="00CE706B">
              <w:t>12.2 (19.9)</w:t>
            </w:r>
          </w:p>
        </w:tc>
        <w:tc>
          <w:tcPr>
            <w:tcW w:w="2013" w:type="dxa"/>
            <w:tcBorders>
              <w:top w:val="single" w:sz="4" w:space="0" w:color="auto"/>
              <w:left w:val="single" w:sz="4" w:space="0" w:color="auto"/>
              <w:bottom w:val="single" w:sz="4" w:space="0" w:color="auto"/>
              <w:right w:val="single" w:sz="4" w:space="0" w:color="auto"/>
            </w:tcBorders>
            <w:vAlign w:val="center"/>
          </w:tcPr>
          <w:p w14:paraId="5EA246E8" w14:textId="77777777" w:rsidR="003828CA" w:rsidRPr="00CE706B" w:rsidRDefault="003828CA" w:rsidP="00873AF3">
            <w:pPr>
              <w:pStyle w:val="TableText"/>
              <w:widowControl/>
              <w:jc w:val="center"/>
            </w:pPr>
            <w:r w:rsidRPr="00CE706B">
              <w:t>11.4 (16.8)</w:t>
            </w:r>
          </w:p>
        </w:tc>
        <w:tc>
          <w:tcPr>
            <w:tcW w:w="2014" w:type="dxa"/>
            <w:tcBorders>
              <w:left w:val="single" w:sz="4" w:space="0" w:color="auto"/>
              <w:right w:val="single" w:sz="4" w:space="0" w:color="auto"/>
            </w:tcBorders>
            <w:vAlign w:val="center"/>
          </w:tcPr>
          <w:p w14:paraId="12870887" w14:textId="77777777" w:rsidR="003828CA" w:rsidRPr="00CE706B" w:rsidRDefault="003828CA" w:rsidP="00873AF3">
            <w:pPr>
              <w:pStyle w:val="TableText"/>
              <w:widowControl/>
              <w:jc w:val="center"/>
            </w:pPr>
            <w:r w:rsidRPr="00CE706B">
              <w:t>6.1 (18.2)</w:t>
            </w:r>
          </w:p>
        </w:tc>
      </w:tr>
    </w:tbl>
    <w:p w14:paraId="0EBD1977" w14:textId="17E63853" w:rsidR="003828CA" w:rsidRPr="00CE706B" w:rsidRDefault="574FE713" w:rsidP="00873AF3">
      <w:pPr>
        <w:pStyle w:val="COMTablefooter"/>
      </w:pPr>
      <w:r w:rsidRPr="7E0DBB7D">
        <w:t>Source: Table 7.3.19, pp1670-1672; Table 7.3.21, pp1683-1685, MG0003 Tables, MycarinG clinical study report.</w:t>
      </w:r>
    </w:p>
    <w:p w14:paraId="0786A67A" w14:textId="77777777" w:rsidR="003828CA" w:rsidRPr="00CE706B" w:rsidRDefault="003828CA" w:rsidP="00873AF3">
      <w:pPr>
        <w:pStyle w:val="COMTablefooter"/>
      </w:pPr>
      <w:r w:rsidRPr="00CE706B">
        <w:t>Abbreviations: VAS, visual analogue scale; MG-QOL15r, Myasthenia Gravis Quality of Life 15 item scale revised; SD, standard deviation</w:t>
      </w:r>
    </w:p>
    <w:p w14:paraId="53AD4B4B" w14:textId="5F95D637" w:rsidR="003828CA" w:rsidRPr="00CE706B" w:rsidRDefault="574FE713" w:rsidP="00873AF3">
      <w:pPr>
        <w:pStyle w:val="COMTablefooter"/>
      </w:pPr>
      <w:r w:rsidRPr="7E0DBB7D">
        <w:t>Note: Lower scores on the MG-QoL15r scale indicate better quality of life, while higher scores on the EQ-5D-5L VAS scale indicate better quality of life.</w:t>
      </w:r>
      <w:r w:rsidR="59AB7878" w:rsidRPr="7E0DBB7D">
        <w:t xml:space="preserve"> Quality of life outcomes were exploratory only in the MycarinG trial.</w:t>
      </w:r>
    </w:p>
    <w:p w14:paraId="21135FDC" w14:textId="6670BD09" w:rsidR="003828CA" w:rsidRDefault="574FE713" w:rsidP="00873AF3">
      <w:pPr>
        <w:pStyle w:val="COMexecsummnumbered"/>
      </w:pPr>
      <w:r w:rsidRPr="7E0DBB7D">
        <w:t>There was a higher mean improvement from baseline in MG-QoL15r and EQ-5D-5L VAS scores at Day 43 in the MycarinG trial for both rozanolixizumab groups compared with placebo.</w:t>
      </w:r>
    </w:p>
    <w:p w14:paraId="414F23BC" w14:textId="42C704DB" w:rsidR="002E3899" w:rsidRDefault="574FE713" w:rsidP="00873AF3">
      <w:pPr>
        <w:pStyle w:val="COMexecsummnumbered"/>
        <w:rPr>
          <w:color w:val="0066FF"/>
        </w:rPr>
      </w:pPr>
      <w:r w:rsidRPr="7E0DBB7D">
        <w:t>The MG0007 study report noted that patient-reported outcomes including EQ-5D-5L and MG-QoL15r supported the consistent benefit of rozanolixizumab in patients with myasthenia gravis. Improvements MG-QOL-15r and EQ-5D-5L VAS scores from baseline to Day 43 were observed for both rozanolixizumab treatment groups with a consistent response observed with repeated cyclic treatment.</w:t>
      </w:r>
    </w:p>
    <w:p w14:paraId="6C7DC788" w14:textId="5FCC59C5" w:rsidR="00E151C5" w:rsidRPr="00CE706B" w:rsidRDefault="00E151C5" w:rsidP="00873AF3">
      <w:pPr>
        <w:pStyle w:val="COMexecsummnumbered"/>
      </w:pPr>
      <w:r w:rsidRPr="00CE706B">
        <w:t xml:space="preserve">Treatment exposure in study MG0007 is summarised in </w:t>
      </w:r>
      <w:r w:rsidR="009B629B">
        <w:fldChar w:fldCharType="begin" w:fldLock="1"/>
      </w:r>
      <w:r w:rsidR="009B629B">
        <w:instrText xml:space="preserve"> REF _Ref185258738 \h  \* MERGEFORMAT </w:instrText>
      </w:r>
      <w:r w:rsidR="009B629B">
        <w:fldChar w:fldCharType="separate"/>
      </w:r>
      <w:r w:rsidR="00E70E55">
        <w:t xml:space="preserve">Table </w:t>
      </w:r>
      <w:r w:rsidR="00E70E55">
        <w:rPr>
          <w:noProof/>
        </w:rPr>
        <w:t>7</w:t>
      </w:r>
      <w:r w:rsidR="009B629B">
        <w:fldChar w:fldCharType="end"/>
      </w:r>
      <w:r w:rsidRPr="00CE706B">
        <w:t>.</w:t>
      </w:r>
    </w:p>
    <w:p w14:paraId="305C8BCB" w14:textId="584C42F5" w:rsidR="00E151C5" w:rsidRPr="00CE706B" w:rsidRDefault="00FB5E6D" w:rsidP="00873AF3">
      <w:pPr>
        <w:pStyle w:val="Caption"/>
        <w:keepNext/>
      </w:pPr>
      <w:bookmarkStart w:id="40" w:name="_Ref185258738"/>
      <w:bookmarkStart w:id="41" w:name="_Ref194442043"/>
      <w:r>
        <w:t>Table</w:t>
      </w:r>
      <w:r w:rsidR="00671206">
        <w:t xml:space="preserve"> </w:t>
      </w:r>
      <w:r>
        <w:fldChar w:fldCharType="begin" w:fldLock="1"/>
      </w:r>
      <w:r>
        <w:instrText>SEQ Table \* ARABIC</w:instrText>
      </w:r>
      <w:r>
        <w:fldChar w:fldCharType="separate"/>
      </w:r>
      <w:r w:rsidR="00E70E55">
        <w:rPr>
          <w:noProof/>
        </w:rPr>
        <w:t>7</w:t>
      </w:r>
      <w:r>
        <w:fldChar w:fldCharType="end"/>
      </w:r>
      <w:bookmarkEnd w:id="40"/>
      <w:r w:rsidR="00E151C5" w:rsidRPr="00CE706B">
        <w:t>: Study cycles and time in study, MG0007 extension study</w:t>
      </w:r>
      <w:bookmarkEnd w:id="41"/>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Caption w:val="Table 7: Study cycles and time in study, MG0007 extension study"/>
      </w:tblPr>
      <w:tblGrid>
        <w:gridCol w:w="6019"/>
        <w:gridCol w:w="2998"/>
      </w:tblGrid>
      <w:tr w:rsidR="00E151C5" w:rsidRPr="00CE706B" w14:paraId="0D1FABBB" w14:textId="77777777" w:rsidTr="7E0DBB7D">
        <w:trPr>
          <w:trHeight w:val="20"/>
        </w:trPr>
        <w:tc>
          <w:tcPr>
            <w:tcW w:w="6019" w:type="dxa"/>
            <w:tcMar>
              <w:left w:w="108" w:type="dxa"/>
              <w:right w:w="108" w:type="dxa"/>
            </w:tcMar>
          </w:tcPr>
          <w:p w14:paraId="696BA710" w14:textId="77777777" w:rsidR="00E151C5" w:rsidRPr="00CE706B" w:rsidRDefault="00E151C5" w:rsidP="00873AF3">
            <w:pPr>
              <w:pStyle w:val="COMTabletext"/>
              <w:ind w:left="38"/>
            </w:pPr>
          </w:p>
        </w:tc>
        <w:tc>
          <w:tcPr>
            <w:tcW w:w="2998" w:type="dxa"/>
            <w:tcMar>
              <w:left w:w="108" w:type="dxa"/>
              <w:right w:w="108" w:type="dxa"/>
            </w:tcMar>
          </w:tcPr>
          <w:p w14:paraId="61F4F31E" w14:textId="77777777" w:rsidR="00E151C5" w:rsidRPr="00CE706B" w:rsidRDefault="00E151C5" w:rsidP="00873AF3">
            <w:pPr>
              <w:pStyle w:val="COMTabletext"/>
              <w:ind w:left="38"/>
              <w:rPr>
                <w:b/>
              </w:rPr>
            </w:pPr>
            <w:r w:rsidRPr="7E0DBB7D">
              <w:rPr>
                <w:b/>
              </w:rPr>
              <w:t>Rozanolixizumab total N=157</w:t>
            </w:r>
          </w:p>
        </w:tc>
      </w:tr>
      <w:tr w:rsidR="00E151C5" w:rsidRPr="00CE706B" w14:paraId="611022BC" w14:textId="77777777" w:rsidTr="7E0DBB7D">
        <w:trPr>
          <w:trHeight w:val="20"/>
        </w:trPr>
        <w:tc>
          <w:tcPr>
            <w:tcW w:w="6019" w:type="dxa"/>
            <w:tcMar>
              <w:left w:w="108" w:type="dxa"/>
              <w:right w:w="108" w:type="dxa"/>
            </w:tcMar>
          </w:tcPr>
          <w:p w14:paraId="130BD2A5" w14:textId="77777777" w:rsidR="00E151C5" w:rsidRPr="0089220E" w:rsidRDefault="00E151C5" w:rsidP="00873AF3">
            <w:pPr>
              <w:pStyle w:val="COMTabletext"/>
              <w:ind w:left="38"/>
              <w:rPr>
                <w:b/>
                <w:bCs w:val="0"/>
              </w:rPr>
            </w:pPr>
            <w:r w:rsidRPr="0089220E">
              <w:rPr>
                <w:b/>
                <w:bCs w:val="0"/>
              </w:rPr>
              <w:t>Total Study Cycles</w:t>
            </w:r>
          </w:p>
        </w:tc>
        <w:tc>
          <w:tcPr>
            <w:tcW w:w="2998" w:type="dxa"/>
            <w:tcMar>
              <w:left w:w="108" w:type="dxa"/>
              <w:right w:w="108" w:type="dxa"/>
            </w:tcMar>
          </w:tcPr>
          <w:p w14:paraId="479CAFC6" w14:textId="77777777" w:rsidR="00E151C5" w:rsidRPr="0089220E" w:rsidRDefault="00E151C5" w:rsidP="00873AF3">
            <w:pPr>
              <w:pStyle w:val="COMTabletext"/>
              <w:ind w:left="38"/>
              <w:jc w:val="center"/>
              <w:rPr>
                <w:b/>
                <w:bCs w:val="0"/>
              </w:rPr>
            </w:pPr>
            <w:r w:rsidRPr="0089220E">
              <w:rPr>
                <w:b/>
                <w:bCs w:val="0"/>
              </w:rPr>
              <w:t>962</w:t>
            </w:r>
          </w:p>
        </w:tc>
      </w:tr>
      <w:tr w:rsidR="00E151C5" w:rsidRPr="00CE706B" w14:paraId="2BDC4A6B" w14:textId="77777777" w:rsidTr="7E0DBB7D">
        <w:trPr>
          <w:trHeight w:val="20"/>
        </w:trPr>
        <w:tc>
          <w:tcPr>
            <w:tcW w:w="6019" w:type="dxa"/>
            <w:tcMar>
              <w:left w:w="108" w:type="dxa"/>
              <w:right w:w="108" w:type="dxa"/>
            </w:tcMar>
          </w:tcPr>
          <w:p w14:paraId="43115E0A" w14:textId="77777777" w:rsidR="00E151C5" w:rsidRPr="0089220E" w:rsidRDefault="00E151C5" w:rsidP="00873AF3">
            <w:pPr>
              <w:pStyle w:val="COMTabletext"/>
              <w:ind w:left="38"/>
            </w:pPr>
            <w:r w:rsidRPr="0089220E">
              <w:t>Cycles per patient, mean (SD)</w:t>
            </w:r>
          </w:p>
        </w:tc>
        <w:tc>
          <w:tcPr>
            <w:tcW w:w="2998" w:type="dxa"/>
            <w:tcMar>
              <w:left w:w="108" w:type="dxa"/>
              <w:right w:w="108" w:type="dxa"/>
            </w:tcMar>
          </w:tcPr>
          <w:p w14:paraId="0C517403" w14:textId="77777777" w:rsidR="00E151C5" w:rsidRPr="0089220E" w:rsidRDefault="00E151C5" w:rsidP="00873AF3">
            <w:pPr>
              <w:pStyle w:val="COMTabletext"/>
              <w:ind w:left="38"/>
              <w:jc w:val="center"/>
            </w:pPr>
            <w:r w:rsidRPr="0089220E">
              <w:t>6.1 (4.4)</w:t>
            </w:r>
          </w:p>
        </w:tc>
      </w:tr>
      <w:tr w:rsidR="00E151C5" w:rsidRPr="00CE706B" w14:paraId="06A65808" w14:textId="77777777" w:rsidTr="7E0DBB7D">
        <w:trPr>
          <w:trHeight w:val="20"/>
        </w:trPr>
        <w:tc>
          <w:tcPr>
            <w:tcW w:w="6019" w:type="dxa"/>
            <w:tcMar>
              <w:left w:w="108" w:type="dxa"/>
              <w:right w:w="108" w:type="dxa"/>
            </w:tcMar>
          </w:tcPr>
          <w:p w14:paraId="3D1FAE9B" w14:textId="77777777" w:rsidR="00E151C5" w:rsidRPr="0089220E" w:rsidRDefault="00E151C5" w:rsidP="00873AF3">
            <w:pPr>
              <w:pStyle w:val="COMTabletext"/>
              <w:ind w:left="38"/>
            </w:pPr>
            <w:r w:rsidRPr="0089220E">
              <w:t>Cycles per patient, median (range)</w:t>
            </w:r>
          </w:p>
        </w:tc>
        <w:tc>
          <w:tcPr>
            <w:tcW w:w="2998" w:type="dxa"/>
            <w:tcMar>
              <w:left w:w="108" w:type="dxa"/>
              <w:right w:w="108" w:type="dxa"/>
            </w:tcMar>
          </w:tcPr>
          <w:p w14:paraId="037A51F2" w14:textId="77777777" w:rsidR="00E151C5" w:rsidRPr="0089220E" w:rsidRDefault="00E151C5" w:rsidP="00873AF3">
            <w:pPr>
              <w:pStyle w:val="COMTabletext"/>
              <w:ind w:left="38"/>
              <w:jc w:val="center"/>
            </w:pPr>
            <w:r w:rsidRPr="0089220E">
              <w:t>6.0 (1, 17)</w:t>
            </w:r>
          </w:p>
        </w:tc>
      </w:tr>
      <w:tr w:rsidR="00E151C5" w:rsidRPr="00CE706B" w14:paraId="4417A019" w14:textId="77777777" w:rsidTr="7E0DBB7D">
        <w:trPr>
          <w:trHeight w:val="20"/>
        </w:trPr>
        <w:tc>
          <w:tcPr>
            <w:tcW w:w="6019" w:type="dxa"/>
            <w:tcMar>
              <w:left w:w="108" w:type="dxa"/>
              <w:right w:w="108" w:type="dxa"/>
            </w:tcMar>
          </w:tcPr>
          <w:p w14:paraId="368BD757" w14:textId="77777777" w:rsidR="00E151C5" w:rsidRPr="0089220E" w:rsidRDefault="00E151C5" w:rsidP="00873AF3">
            <w:pPr>
              <w:pStyle w:val="COMTabletext"/>
              <w:ind w:left="38"/>
            </w:pPr>
            <w:r w:rsidRPr="0089220E">
              <w:t>Number of cycles per participant year</w:t>
            </w:r>
          </w:p>
        </w:tc>
        <w:tc>
          <w:tcPr>
            <w:tcW w:w="2998" w:type="dxa"/>
            <w:tcMar>
              <w:left w:w="108" w:type="dxa"/>
              <w:right w:w="108" w:type="dxa"/>
            </w:tcMar>
          </w:tcPr>
          <w:p w14:paraId="2DD0F36E" w14:textId="77777777" w:rsidR="00E151C5" w:rsidRPr="0089220E" w:rsidRDefault="00E151C5" w:rsidP="00873AF3">
            <w:pPr>
              <w:pStyle w:val="COMTabletext"/>
              <w:ind w:left="38"/>
              <w:jc w:val="center"/>
            </w:pPr>
            <w:r w:rsidRPr="0089220E">
              <w:t>3.59</w:t>
            </w:r>
          </w:p>
        </w:tc>
      </w:tr>
      <w:tr w:rsidR="00E151C5" w:rsidRPr="00CE706B" w14:paraId="07383C88" w14:textId="77777777" w:rsidTr="7E0DBB7D">
        <w:trPr>
          <w:trHeight w:val="20"/>
        </w:trPr>
        <w:tc>
          <w:tcPr>
            <w:tcW w:w="6019" w:type="dxa"/>
            <w:tcMar>
              <w:left w:w="108" w:type="dxa"/>
              <w:right w:w="108" w:type="dxa"/>
            </w:tcMar>
          </w:tcPr>
          <w:p w14:paraId="5965B074" w14:textId="77777777" w:rsidR="00E151C5" w:rsidRPr="0089220E" w:rsidRDefault="00E151C5" w:rsidP="00873AF3">
            <w:pPr>
              <w:pStyle w:val="COMTabletext"/>
              <w:ind w:left="38"/>
              <w:rPr>
                <w:b/>
                <w:bCs w:val="0"/>
              </w:rPr>
            </w:pPr>
            <w:r w:rsidRPr="0089220E">
              <w:rPr>
                <w:b/>
                <w:bCs w:val="0"/>
              </w:rPr>
              <w:t>Total Study Infusions</w:t>
            </w:r>
          </w:p>
        </w:tc>
        <w:tc>
          <w:tcPr>
            <w:tcW w:w="2998" w:type="dxa"/>
            <w:tcMar>
              <w:left w:w="108" w:type="dxa"/>
              <w:right w:w="108" w:type="dxa"/>
            </w:tcMar>
          </w:tcPr>
          <w:p w14:paraId="2D2F3606" w14:textId="77777777" w:rsidR="00E151C5" w:rsidRPr="0089220E" w:rsidRDefault="00E151C5" w:rsidP="00873AF3">
            <w:pPr>
              <w:pStyle w:val="COMTabletext"/>
              <w:ind w:left="38"/>
              <w:jc w:val="center"/>
              <w:rPr>
                <w:b/>
                <w:bCs w:val="0"/>
              </w:rPr>
            </w:pPr>
            <w:r w:rsidRPr="0089220E">
              <w:rPr>
                <w:b/>
                <w:bCs w:val="0"/>
              </w:rPr>
              <w:t>5,333</w:t>
            </w:r>
          </w:p>
        </w:tc>
      </w:tr>
      <w:tr w:rsidR="00E151C5" w:rsidRPr="00CE706B" w14:paraId="7B99EF0F" w14:textId="77777777" w:rsidTr="7E0DBB7D">
        <w:trPr>
          <w:trHeight w:val="20"/>
        </w:trPr>
        <w:tc>
          <w:tcPr>
            <w:tcW w:w="6019" w:type="dxa"/>
            <w:tcMar>
              <w:left w:w="108" w:type="dxa"/>
              <w:right w:w="108" w:type="dxa"/>
            </w:tcMar>
          </w:tcPr>
          <w:p w14:paraId="1376D14D" w14:textId="77777777" w:rsidR="00E151C5" w:rsidRPr="0089220E" w:rsidRDefault="00E151C5" w:rsidP="00873AF3">
            <w:pPr>
              <w:pStyle w:val="COMTabletext"/>
              <w:ind w:left="38"/>
            </w:pPr>
            <w:r w:rsidRPr="0089220E">
              <w:t>Infusions per patient, mean (SD)</w:t>
            </w:r>
          </w:p>
        </w:tc>
        <w:tc>
          <w:tcPr>
            <w:tcW w:w="2998" w:type="dxa"/>
            <w:tcMar>
              <w:left w:w="108" w:type="dxa"/>
              <w:right w:w="108" w:type="dxa"/>
            </w:tcMar>
          </w:tcPr>
          <w:p w14:paraId="50482AAC" w14:textId="77777777" w:rsidR="00E151C5" w:rsidRPr="0089220E" w:rsidRDefault="00E151C5" w:rsidP="00873AF3">
            <w:pPr>
              <w:pStyle w:val="COMTabletext"/>
              <w:ind w:left="38"/>
              <w:jc w:val="center"/>
            </w:pPr>
            <w:r w:rsidRPr="0089220E">
              <w:t>34.0 (25.2)</w:t>
            </w:r>
          </w:p>
        </w:tc>
      </w:tr>
      <w:tr w:rsidR="00E151C5" w:rsidRPr="00CE706B" w14:paraId="1815C1B2" w14:textId="77777777" w:rsidTr="7E0DBB7D">
        <w:trPr>
          <w:trHeight w:val="20"/>
        </w:trPr>
        <w:tc>
          <w:tcPr>
            <w:tcW w:w="6019" w:type="dxa"/>
            <w:tcMar>
              <w:left w:w="108" w:type="dxa"/>
              <w:right w:w="108" w:type="dxa"/>
            </w:tcMar>
          </w:tcPr>
          <w:p w14:paraId="5B7505D6" w14:textId="77777777" w:rsidR="00E151C5" w:rsidRPr="0089220E" w:rsidRDefault="00E151C5" w:rsidP="00873AF3">
            <w:pPr>
              <w:pStyle w:val="COMTabletext"/>
              <w:ind w:left="38"/>
            </w:pPr>
            <w:r w:rsidRPr="0089220E">
              <w:t>Infusions per patient, median (range)</w:t>
            </w:r>
          </w:p>
        </w:tc>
        <w:tc>
          <w:tcPr>
            <w:tcW w:w="2998" w:type="dxa"/>
            <w:tcMar>
              <w:left w:w="108" w:type="dxa"/>
              <w:right w:w="108" w:type="dxa"/>
            </w:tcMar>
          </w:tcPr>
          <w:p w14:paraId="336DD875" w14:textId="77777777" w:rsidR="00E151C5" w:rsidRPr="0089220E" w:rsidRDefault="00E151C5" w:rsidP="00873AF3">
            <w:pPr>
              <w:pStyle w:val="COMTabletext"/>
              <w:ind w:left="38"/>
              <w:jc w:val="center"/>
            </w:pPr>
            <w:r w:rsidRPr="0089220E">
              <w:t>33.0 (1, 98)</w:t>
            </w:r>
          </w:p>
        </w:tc>
      </w:tr>
      <w:tr w:rsidR="00E151C5" w:rsidRPr="00CE706B" w14:paraId="3AA42C9C" w14:textId="77777777" w:rsidTr="7E0DBB7D">
        <w:trPr>
          <w:trHeight w:val="20"/>
        </w:trPr>
        <w:tc>
          <w:tcPr>
            <w:tcW w:w="6019" w:type="dxa"/>
            <w:tcMar>
              <w:left w:w="108" w:type="dxa"/>
              <w:right w:w="108" w:type="dxa"/>
            </w:tcMar>
          </w:tcPr>
          <w:p w14:paraId="15B47E31" w14:textId="77777777" w:rsidR="00E151C5" w:rsidRPr="0089220E" w:rsidRDefault="00E151C5" w:rsidP="00873AF3">
            <w:pPr>
              <w:pStyle w:val="COMTabletext"/>
              <w:ind w:left="38"/>
            </w:pPr>
            <w:r w:rsidRPr="0089220E">
              <w:t>Infusions per patient per cycle, mean (SD)</w:t>
            </w:r>
          </w:p>
        </w:tc>
        <w:tc>
          <w:tcPr>
            <w:tcW w:w="2998" w:type="dxa"/>
            <w:tcMar>
              <w:left w:w="108" w:type="dxa"/>
              <w:right w:w="108" w:type="dxa"/>
            </w:tcMar>
          </w:tcPr>
          <w:p w14:paraId="4859DDF0" w14:textId="77777777" w:rsidR="00E151C5" w:rsidRPr="0089220E" w:rsidRDefault="00E151C5" w:rsidP="00873AF3">
            <w:pPr>
              <w:pStyle w:val="COMTabletext"/>
              <w:ind w:left="38"/>
              <w:jc w:val="center"/>
            </w:pPr>
            <w:r w:rsidRPr="0089220E">
              <w:t>5.4</w:t>
            </w:r>
          </w:p>
        </w:tc>
      </w:tr>
      <w:tr w:rsidR="00E151C5" w:rsidRPr="00CE706B" w14:paraId="2969E806" w14:textId="77777777" w:rsidTr="7E0DBB7D">
        <w:trPr>
          <w:trHeight w:val="20"/>
        </w:trPr>
        <w:tc>
          <w:tcPr>
            <w:tcW w:w="6019" w:type="dxa"/>
            <w:tcMar>
              <w:left w:w="108" w:type="dxa"/>
              <w:right w:w="108" w:type="dxa"/>
            </w:tcMar>
          </w:tcPr>
          <w:p w14:paraId="47503024" w14:textId="77777777" w:rsidR="00E151C5" w:rsidRPr="0089220E" w:rsidRDefault="00E151C5" w:rsidP="00873AF3">
            <w:pPr>
              <w:pStyle w:val="COMTabletext"/>
              <w:ind w:left="38"/>
            </w:pPr>
            <w:r w:rsidRPr="0089220E">
              <w:t>Infusions per patient per cycle, median (range)</w:t>
            </w:r>
          </w:p>
        </w:tc>
        <w:tc>
          <w:tcPr>
            <w:tcW w:w="2998" w:type="dxa"/>
            <w:tcMar>
              <w:left w:w="108" w:type="dxa"/>
              <w:right w:w="108" w:type="dxa"/>
            </w:tcMar>
          </w:tcPr>
          <w:p w14:paraId="6A53BC41" w14:textId="77777777" w:rsidR="00E151C5" w:rsidRPr="0089220E" w:rsidRDefault="00E151C5" w:rsidP="00873AF3">
            <w:pPr>
              <w:pStyle w:val="COMTabletext"/>
              <w:ind w:left="38"/>
              <w:jc w:val="center"/>
            </w:pPr>
            <w:r w:rsidRPr="0089220E">
              <w:t>6.0 (1, 6)</w:t>
            </w:r>
          </w:p>
        </w:tc>
      </w:tr>
      <w:tr w:rsidR="00E151C5" w:rsidRPr="00CE706B" w14:paraId="10BC693D" w14:textId="77777777" w:rsidTr="7E0DBB7D">
        <w:trPr>
          <w:trHeight w:val="20"/>
        </w:trPr>
        <w:tc>
          <w:tcPr>
            <w:tcW w:w="6019" w:type="dxa"/>
            <w:tcMar>
              <w:left w:w="108" w:type="dxa"/>
              <w:right w:w="108" w:type="dxa"/>
            </w:tcMar>
          </w:tcPr>
          <w:p w14:paraId="5EF702EC" w14:textId="77777777" w:rsidR="00E151C5" w:rsidRPr="0089220E" w:rsidRDefault="00E151C5" w:rsidP="00873AF3">
            <w:pPr>
              <w:pStyle w:val="COMTabletext"/>
              <w:ind w:left="38"/>
              <w:rPr>
                <w:b/>
                <w:bCs w:val="0"/>
              </w:rPr>
            </w:pPr>
            <w:r w:rsidRPr="0089220E">
              <w:rPr>
                <w:b/>
                <w:bCs w:val="0"/>
              </w:rPr>
              <w:t>Total time in study (months)</w:t>
            </w:r>
          </w:p>
        </w:tc>
        <w:tc>
          <w:tcPr>
            <w:tcW w:w="2998" w:type="dxa"/>
            <w:tcMar>
              <w:left w:w="108" w:type="dxa"/>
              <w:right w:w="108" w:type="dxa"/>
            </w:tcMar>
          </w:tcPr>
          <w:p w14:paraId="45380248" w14:textId="0041C9F0" w:rsidR="00E151C5" w:rsidRPr="0089220E" w:rsidRDefault="00E151C5" w:rsidP="00873AF3">
            <w:pPr>
              <w:pStyle w:val="COMTabletext"/>
              <w:ind w:left="38"/>
              <w:jc w:val="center"/>
              <w:rPr>
                <w:b/>
                <w:bCs w:val="0"/>
              </w:rPr>
            </w:pPr>
            <w:r w:rsidRPr="0089220E">
              <w:rPr>
                <w:b/>
                <w:bCs w:val="0"/>
              </w:rPr>
              <w:t>3</w:t>
            </w:r>
            <w:r w:rsidR="003849C3" w:rsidRPr="0089220E">
              <w:rPr>
                <w:b/>
                <w:bCs w:val="0"/>
              </w:rPr>
              <w:t>,</w:t>
            </w:r>
            <w:r w:rsidRPr="0089220E">
              <w:rPr>
                <w:b/>
                <w:bCs w:val="0"/>
              </w:rPr>
              <w:t>263.1</w:t>
            </w:r>
          </w:p>
        </w:tc>
      </w:tr>
      <w:tr w:rsidR="00E151C5" w:rsidRPr="00CE706B" w14:paraId="2F2E47FF" w14:textId="77777777" w:rsidTr="7E0DBB7D">
        <w:trPr>
          <w:trHeight w:val="20"/>
        </w:trPr>
        <w:tc>
          <w:tcPr>
            <w:tcW w:w="6019" w:type="dxa"/>
            <w:tcMar>
              <w:left w:w="108" w:type="dxa"/>
              <w:right w:w="108" w:type="dxa"/>
            </w:tcMar>
          </w:tcPr>
          <w:p w14:paraId="271DFDE9" w14:textId="77777777" w:rsidR="00E151C5" w:rsidRPr="0089220E" w:rsidRDefault="00E151C5" w:rsidP="00873AF3">
            <w:pPr>
              <w:pStyle w:val="COMTabletext"/>
              <w:ind w:left="38"/>
              <w:rPr>
                <w:b/>
                <w:bCs w:val="0"/>
              </w:rPr>
            </w:pPr>
            <w:r w:rsidRPr="0089220E">
              <w:rPr>
                <w:b/>
                <w:bCs w:val="0"/>
              </w:rPr>
              <w:t>Total time in study (days)</w:t>
            </w:r>
          </w:p>
        </w:tc>
        <w:tc>
          <w:tcPr>
            <w:tcW w:w="2998" w:type="dxa"/>
            <w:tcMar>
              <w:left w:w="108" w:type="dxa"/>
              <w:right w:w="108" w:type="dxa"/>
            </w:tcMar>
          </w:tcPr>
          <w:p w14:paraId="44A2A8B0" w14:textId="77777777" w:rsidR="00E151C5" w:rsidRPr="0089220E" w:rsidRDefault="00E151C5" w:rsidP="00873AF3">
            <w:pPr>
              <w:pStyle w:val="COMTabletext"/>
              <w:ind w:left="38"/>
              <w:jc w:val="center"/>
              <w:rPr>
                <w:b/>
                <w:bCs w:val="0"/>
              </w:rPr>
            </w:pPr>
            <w:r w:rsidRPr="0089220E">
              <w:rPr>
                <w:b/>
                <w:bCs w:val="0"/>
              </w:rPr>
              <w:t>97,893</w:t>
            </w:r>
          </w:p>
        </w:tc>
      </w:tr>
      <w:tr w:rsidR="002E2334" w:rsidRPr="00CE706B" w14:paraId="1A53EC6E" w14:textId="77777777" w:rsidTr="7E0DBB7D">
        <w:trPr>
          <w:trHeight w:val="20"/>
        </w:trPr>
        <w:tc>
          <w:tcPr>
            <w:tcW w:w="6019" w:type="dxa"/>
            <w:tcMar>
              <w:left w:w="108" w:type="dxa"/>
              <w:right w:w="108" w:type="dxa"/>
            </w:tcMar>
          </w:tcPr>
          <w:p w14:paraId="1054B1C3" w14:textId="28B6C229" w:rsidR="002E2334" w:rsidRPr="0089220E" w:rsidRDefault="002E2334" w:rsidP="00873AF3">
            <w:pPr>
              <w:pStyle w:val="COMTabletext"/>
              <w:ind w:left="38"/>
              <w:rPr>
                <w:b/>
                <w:bCs w:val="0"/>
              </w:rPr>
            </w:pPr>
            <w:r w:rsidRPr="0089220E">
              <w:rPr>
                <w:b/>
                <w:bCs w:val="0"/>
              </w:rPr>
              <w:t>Annualised cycles per patient (962 / (97,893/365.25))</w:t>
            </w:r>
          </w:p>
        </w:tc>
        <w:tc>
          <w:tcPr>
            <w:tcW w:w="2998" w:type="dxa"/>
            <w:tcMar>
              <w:left w:w="108" w:type="dxa"/>
              <w:right w:w="108" w:type="dxa"/>
            </w:tcMar>
          </w:tcPr>
          <w:p w14:paraId="1C3437F8" w14:textId="45FE938A" w:rsidR="002E2334" w:rsidRPr="0089220E" w:rsidRDefault="002E2334" w:rsidP="00873AF3">
            <w:pPr>
              <w:pStyle w:val="COMTabletext"/>
              <w:ind w:left="38"/>
              <w:jc w:val="center"/>
              <w:rPr>
                <w:b/>
                <w:bCs w:val="0"/>
              </w:rPr>
            </w:pPr>
            <w:r w:rsidRPr="0089220E">
              <w:rPr>
                <w:b/>
                <w:bCs w:val="0"/>
              </w:rPr>
              <w:t>3.59</w:t>
            </w:r>
          </w:p>
        </w:tc>
      </w:tr>
      <w:tr w:rsidR="00E151C5" w:rsidRPr="00CE706B" w14:paraId="023AFD52" w14:textId="77777777" w:rsidTr="7E0DBB7D">
        <w:trPr>
          <w:trHeight w:val="20"/>
        </w:trPr>
        <w:tc>
          <w:tcPr>
            <w:tcW w:w="6019" w:type="dxa"/>
            <w:tcMar>
              <w:left w:w="108" w:type="dxa"/>
              <w:right w:w="108" w:type="dxa"/>
            </w:tcMar>
          </w:tcPr>
          <w:p w14:paraId="1D8CD63C" w14:textId="77777777" w:rsidR="00E151C5" w:rsidRPr="0089220E" w:rsidRDefault="00E151C5" w:rsidP="00873AF3">
            <w:pPr>
              <w:pStyle w:val="COMTabletext"/>
              <w:ind w:left="38"/>
              <w:rPr>
                <w:b/>
              </w:rPr>
            </w:pPr>
            <w:r w:rsidRPr="0089220E">
              <w:rPr>
                <w:b/>
              </w:rPr>
              <w:t>Annualised infusions per patient (5,333 / (97,893/365.25))</w:t>
            </w:r>
          </w:p>
        </w:tc>
        <w:tc>
          <w:tcPr>
            <w:tcW w:w="2998" w:type="dxa"/>
            <w:tcMar>
              <w:left w:w="108" w:type="dxa"/>
              <w:right w:w="108" w:type="dxa"/>
            </w:tcMar>
          </w:tcPr>
          <w:p w14:paraId="3F03720C" w14:textId="77777777" w:rsidR="00E151C5" w:rsidRPr="0089220E" w:rsidRDefault="00E151C5" w:rsidP="00873AF3">
            <w:pPr>
              <w:pStyle w:val="COMTabletext"/>
              <w:ind w:left="38"/>
              <w:jc w:val="center"/>
              <w:rPr>
                <w:b/>
              </w:rPr>
            </w:pPr>
            <w:r w:rsidRPr="0089220E">
              <w:rPr>
                <w:b/>
              </w:rPr>
              <w:t>19.90</w:t>
            </w:r>
          </w:p>
        </w:tc>
      </w:tr>
      <w:tr w:rsidR="00E151C5" w:rsidRPr="00CE706B" w14:paraId="04E68882" w14:textId="77777777" w:rsidTr="7E0DBB7D">
        <w:trPr>
          <w:trHeight w:val="20"/>
        </w:trPr>
        <w:tc>
          <w:tcPr>
            <w:tcW w:w="6019" w:type="dxa"/>
            <w:tcMar>
              <w:left w:w="108" w:type="dxa"/>
              <w:right w:w="108" w:type="dxa"/>
            </w:tcMar>
          </w:tcPr>
          <w:p w14:paraId="2C14E6CA" w14:textId="77777777" w:rsidR="00E151C5" w:rsidRPr="0089220E" w:rsidRDefault="00E151C5" w:rsidP="00873AF3">
            <w:pPr>
              <w:pStyle w:val="COMTabletext"/>
              <w:ind w:left="38"/>
            </w:pPr>
            <w:r w:rsidRPr="0089220E">
              <w:t>Mean (SD)</w:t>
            </w:r>
          </w:p>
        </w:tc>
        <w:tc>
          <w:tcPr>
            <w:tcW w:w="2998" w:type="dxa"/>
            <w:tcMar>
              <w:left w:w="108" w:type="dxa"/>
              <w:right w:w="108" w:type="dxa"/>
            </w:tcMar>
          </w:tcPr>
          <w:p w14:paraId="38E6AF79" w14:textId="77777777" w:rsidR="00E151C5" w:rsidRPr="0089220E" w:rsidRDefault="00E151C5" w:rsidP="00873AF3">
            <w:pPr>
              <w:pStyle w:val="COMTabletext"/>
              <w:ind w:left="38"/>
              <w:jc w:val="center"/>
            </w:pPr>
            <w:r w:rsidRPr="0089220E">
              <w:t>20.78 (9.31)</w:t>
            </w:r>
          </w:p>
        </w:tc>
      </w:tr>
      <w:tr w:rsidR="00E151C5" w:rsidRPr="00CE706B" w14:paraId="3B57148E" w14:textId="77777777" w:rsidTr="7E0DBB7D">
        <w:trPr>
          <w:trHeight w:val="20"/>
        </w:trPr>
        <w:tc>
          <w:tcPr>
            <w:tcW w:w="6019" w:type="dxa"/>
            <w:tcMar>
              <w:left w:w="108" w:type="dxa"/>
              <w:right w:w="108" w:type="dxa"/>
            </w:tcMar>
          </w:tcPr>
          <w:p w14:paraId="1B0F84A6" w14:textId="77777777" w:rsidR="00E151C5" w:rsidRPr="0089220E" w:rsidRDefault="00E151C5" w:rsidP="00873AF3">
            <w:pPr>
              <w:pStyle w:val="COMTabletext"/>
              <w:ind w:left="38"/>
            </w:pPr>
            <w:r w:rsidRPr="0089220E">
              <w:t>Median</w:t>
            </w:r>
          </w:p>
        </w:tc>
        <w:tc>
          <w:tcPr>
            <w:tcW w:w="2998" w:type="dxa"/>
            <w:tcMar>
              <w:left w:w="108" w:type="dxa"/>
              <w:right w:w="108" w:type="dxa"/>
            </w:tcMar>
          </w:tcPr>
          <w:p w14:paraId="3D60883B" w14:textId="77777777" w:rsidR="00E151C5" w:rsidRPr="0089220E" w:rsidRDefault="00E151C5" w:rsidP="00873AF3">
            <w:pPr>
              <w:pStyle w:val="COMTabletext"/>
              <w:ind w:left="38"/>
              <w:jc w:val="center"/>
            </w:pPr>
            <w:r w:rsidRPr="0089220E">
              <w:t>24.20</w:t>
            </w:r>
          </w:p>
        </w:tc>
      </w:tr>
      <w:tr w:rsidR="00E151C5" w:rsidRPr="00CE706B" w14:paraId="5789AD31" w14:textId="77777777" w:rsidTr="7E0DBB7D">
        <w:trPr>
          <w:trHeight w:val="20"/>
        </w:trPr>
        <w:tc>
          <w:tcPr>
            <w:tcW w:w="6019" w:type="dxa"/>
            <w:tcBorders>
              <w:bottom w:val="single" w:sz="4" w:space="0" w:color="auto"/>
            </w:tcBorders>
            <w:tcMar>
              <w:left w:w="108" w:type="dxa"/>
              <w:right w:w="108" w:type="dxa"/>
            </w:tcMar>
          </w:tcPr>
          <w:p w14:paraId="16BC4C40" w14:textId="77777777" w:rsidR="00E151C5" w:rsidRPr="0089220E" w:rsidRDefault="00E151C5" w:rsidP="00873AF3">
            <w:pPr>
              <w:pStyle w:val="COMTabletext"/>
              <w:ind w:left="38"/>
            </w:pPr>
            <w:r w:rsidRPr="0089220E">
              <w:t>Min, max</w:t>
            </w:r>
          </w:p>
        </w:tc>
        <w:tc>
          <w:tcPr>
            <w:tcW w:w="2998" w:type="dxa"/>
            <w:tcBorders>
              <w:bottom w:val="single" w:sz="4" w:space="0" w:color="auto"/>
            </w:tcBorders>
            <w:tcMar>
              <w:left w:w="108" w:type="dxa"/>
              <w:right w:w="108" w:type="dxa"/>
            </w:tcMar>
          </w:tcPr>
          <w:p w14:paraId="50C603B9" w14:textId="77777777" w:rsidR="00E151C5" w:rsidRPr="0089220E" w:rsidRDefault="00E151C5" w:rsidP="00873AF3">
            <w:pPr>
              <w:pStyle w:val="COMTabletext"/>
              <w:ind w:left="38"/>
              <w:jc w:val="center"/>
            </w:pPr>
            <w:r w:rsidRPr="0089220E">
              <w:t>0.1, 34.6</w:t>
            </w:r>
          </w:p>
        </w:tc>
      </w:tr>
      <w:tr w:rsidR="00E151C5" w:rsidRPr="00CE706B" w14:paraId="65F74BB4" w14:textId="77777777" w:rsidTr="7E0DBB7D">
        <w:trPr>
          <w:trHeight w:val="20"/>
        </w:trPr>
        <w:tc>
          <w:tcPr>
            <w:tcW w:w="9017" w:type="dxa"/>
            <w:gridSpan w:val="2"/>
            <w:tcBorders>
              <w:bottom w:val="single" w:sz="4" w:space="0" w:color="auto"/>
            </w:tcBorders>
            <w:tcMar>
              <w:left w:w="108" w:type="dxa"/>
              <w:right w:w="108" w:type="dxa"/>
            </w:tcMar>
          </w:tcPr>
          <w:p w14:paraId="57C61A99" w14:textId="77777777" w:rsidR="00E151C5" w:rsidRPr="00CE706B" w:rsidRDefault="00E151C5" w:rsidP="00873AF3">
            <w:pPr>
              <w:pStyle w:val="COMTabletext"/>
              <w:ind w:left="38"/>
              <w:rPr>
                <w:b/>
                <w:bCs w:val="0"/>
              </w:rPr>
            </w:pPr>
            <w:r w:rsidRPr="00CE706B">
              <w:rPr>
                <w:b/>
                <w:bCs w:val="0"/>
              </w:rPr>
              <w:t>Time in study, n (%)</w:t>
            </w:r>
          </w:p>
        </w:tc>
      </w:tr>
      <w:tr w:rsidR="00E151C5" w:rsidRPr="00CE706B" w14:paraId="019E2C30" w14:textId="77777777" w:rsidTr="7E0DBB7D">
        <w:trPr>
          <w:trHeight w:val="20"/>
        </w:trPr>
        <w:tc>
          <w:tcPr>
            <w:tcW w:w="6019" w:type="dxa"/>
            <w:tcBorders>
              <w:top w:val="single" w:sz="4" w:space="0" w:color="auto"/>
            </w:tcBorders>
            <w:tcMar>
              <w:left w:w="108" w:type="dxa"/>
              <w:right w:w="108" w:type="dxa"/>
            </w:tcMar>
          </w:tcPr>
          <w:p w14:paraId="5B201659" w14:textId="317AB5B8" w:rsidR="00E151C5" w:rsidRPr="00CE706B" w:rsidRDefault="00E151C5" w:rsidP="00873AF3">
            <w:pPr>
              <w:pStyle w:val="COMTabletext"/>
              <w:ind w:left="38"/>
            </w:pPr>
            <w:r w:rsidRPr="00CE706B">
              <w:t>&lt;</w:t>
            </w:r>
            <w:r w:rsidR="003C08F1">
              <w:t xml:space="preserve"> </w:t>
            </w:r>
            <w:r w:rsidRPr="00CE706B">
              <w:t>3 months</w:t>
            </w:r>
          </w:p>
        </w:tc>
        <w:tc>
          <w:tcPr>
            <w:tcW w:w="2998" w:type="dxa"/>
            <w:tcBorders>
              <w:top w:val="single" w:sz="4" w:space="0" w:color="auto"/>
            </w:tcBorders>
            <w:tcMar>
              <w:left w:w="108" w:type="dxa"/>
              <w:right w:w="108" w:type="dxa"/>
            </w:tcMar>
          </w:tcPr>
          <w:p w14:paraId="79064BFD" w14:textId="77777777" w:rsidR="00E151C5" w:rsidRPr="00CE706B" w:rsidRDefault="00E151C5" w:rsidP="00873AF3">
            <w:pPr>
              <w:pStyle w:val="COMTabletext"/>
              <w:ind w:left="38"/>
              <w:jc w:val="center"/>
            </w:pPr>
            <w:r w:rsidRPr="00CE706B">
              <w:t>10 (6.4)</w:t>
            </w:r>
          </w:p>
        </w:tc>
      </w:tr>
      <w:tr w:rsidR="00E151C5" w:rsidRPr="00CE706B" w14:paraId="348294FC" w14:textId="77777777" w:rsidTr="7E0DBB7D">
        <w:trPr>
          <w:trHeight w:val="20"/>
        </w:trPr>
        <w:tc>
          <w:tcPr>
            <w:tcW w:w="6019" w:type="dxa"/>
            <w:tcMar>
              <w:left w:w="108" w:type="dxa"/>
              <w:right w:w="108" w:type="dxa"/>
            </w:tcMar>
          </w:tcPr>
          <w:p w14:paraId="2C11E9E8" w14:textId="698F84B9" w:rsidR="00E151C5" w:rsidRPr="00CE706B" w:rsidRDefault="00E151C5" w:rsidP="00873AF3">
            <w:pPr>
              <w:pStyle w:val="COMTabletext"/>
              <w:ind w:left="38"/>
            </w:pPr>
            <w:r w:rsidRPr="00CE706B">
              <w:t>≥</w:t>
            </w:r>
            <w:r w:rsidR="003C08F1">
              <w:t xml:space="preserve"> </w:t>
            </w:r>
            <w:r w:rsidRPr="00CE706B">
              <w:t>3 to &lt;</w:t>
            </w:r>
            <w:r w:rsidR="003C08F1">
              <w:t xml:space="preserve"> </w:t>
            </w:r>
            <w:r w:rsidRPr="00CE706B">
              <w:t>6 months</w:t>
            </w:r>
          </w:p>
        </w:tc>
        <w:tc>
          <w:tcPr>
            <w:tcW w:w="2998" w:type="dxa"/>
            <w:tcMar>
              <w:left w:w="108" w:type="dxa"/>
              <w:right w:w="108" w:type="dxa"/>
            </w:tcMar>
          </w:tcPr>
          <w:p w14:paraId="46473329" w14:textId="77777777" w:rsidR="00E151C5" w:rsidRPr="00CE706B" w:rsidRDefault="00E151C5" w:rsidP="00873AF3">
            <w:pPr>
              <w:pStyle w:val="COMTabletext"/>
              <w:ind w:left="38"/>
              <w:jc w:val="center"/>
            </w:pPr>
            <w:r w:rsidRPr="00CE706B">
              <w:t>8 (5.1)</w:t>
            </w:r>
          </w:p>
        </w:tc>
      </w:tr>
      <w:tr w:rsidR="00E151C5" w:rsidRPr="00CE706B" w14:paraId="7575AE7A" w14:textId="77777777" w:rsidTr="7E0DBB7D">
        <w:trPr>
          <w:trHeight w:val="20"/>
        </w:trPr>
        <w:tc>
          <w:tcPr>
            <w:tcW w:w="6019" w:type="dxa"/>
            <w:tcMar>
              <w:left w:w="108" w:type="dxa"/>
              <w:right w:w="108" w:type="dxa"/>
            </w:tcMar>
          </w:tcPr>
          <w:p w14:paraId="109A44B1" w14:textId="41E39F53" w:rsidR="00E151C5" w:rsidRPr="00CE706B" w:rsidRDefault="00E151C5" w:rsidP="00873AF3">
            <w:pPr>
              <w:pStyle w:val="COMTabletext"/>
              <w:ind w:left="38"/>
            </w:pPr>
            <w:r w:rsidRPr="00CE706B">
              <w:t>≥</w:t>
            </w:r>
            <w:r w:rsidR="003C08F1">
              <w:t xml:space="preserve"> </w:t>
            </w:r>
            <w:r w:rsidRPr="00CE706B">
              <w:t>6 to &lt;</w:t>
            </w:r>
            <w:r w:rsidR="003C08F1">
              <w:t xml:space="preserve"> </w:t>
            </w:r>
            <w:r w:rsidRPr="00CE706B">
              <w:t>9 months</w:t>
            </w:r>
          </w:p>
        </w:tc>
        <w:tc>
          <w:tcPr>
            <w:tcW w:w="2998" w:type="dxa"/>
            <w:tcMar>
              <w:left w:w="108" w:type="dxa"/>
              <w:right w:w="108" w:type="dxa"/>
            </w:tcMar>
          </w:tcPr>
          <w:p w14:paraId="0949F62C" w14:textId="77777777" w:rsidR="00E151C5" w:rsidRPr="00CE706B" w:rsidRDefault="00E151C5" w:rsidP="00873AF3">
            <w:pPr>
              <w:pStyle w:val="COMTabletext"/>
              <w:ind w:left="38"/>
              <w:jc w:val="center"/>
            </w:pPr>
            <w:r w:rsidRPr="00CE706B">
              <w:t>10 (6.4)</w:t>
            </w:r>
          </w:p>
        </w:tc>
      </w:tr>
      <w:tr w:rsidR="00E151C5" w:rsidRPr="00CE706B" w14:paraId="1F1B985D" w14:textId="77777777" w:rsidTr="7E0DBB7D">
        <w:trPr>
          <w:trHeight w:val="20"/>
        </w:trPr>
        <w:tc>
          <w:tcPr>
            <w:tcW w:w="6019" w:type="dxa"/>
            <w:tcMar>
              <w:left w:w="108" w:type="dxa"/>
              <w:right w:w="108" w:type="dxa"/>
            </w:tcMar>
          </w:tcPr>
          <w:p w14:paraId="3EB37CE0" w14:textId="5463FF21" w:rsidR="00E151C5" w:rsidRPr="00CE706B" w:rsidRDefault="00E151C5" w:rsidP="00873AF3">
            <w:pPr>
              <w:pStyle w:val="COMTabletext"/>
              <w:ind w:left="38"/>
            </w:pPr>
            <w:r w:rsidRPr="00CE706B">
              <w:t>≥</w:t>
            </w:r>
            <w:r w:rsidR="003C08F1">
              <w:t xml:space="preserve"> </w:t>
            </w:r>
            <w:r w:rsidRPr="00CE706B">
              <w:t>9 to &lt;</w:t>
            </w:r>
            <w:r w:rsidR="003C08F1">
              <w:t xml:space="preserve"> </w:t>
            </w:r>
            <w:r w:rsidRPr="00CE706B">
              <w:t>12 months</w:t>
            </w:r>
          </w:p>
        </w:tc>
        <w:tc>
          <w:tcPr>
            <w:tcW w:w="2998" w:type="dxa"/>
            <w:tcMar>
              <w:left w:w="108" w:type="dxa"/>
              <w:right w:w="108" w:type="dxa"/>
            </w:tcMar>
          </w:tcPr>
          <w:p w14:paraId="06CA6F47" w14:textId="77777777" w:rsidR="00E151C5" w:rsidRPr="00CE706B" w:rsidRDefault="00E151C5" w:rsidP="00873AF3">
            <w:pPr>
              <w:pStyle w:val="COMTabletext"/>
              <w:ind w:left="38"/>
              <w:jc w:val="center"/>
            </w:pPr>
            <w:r w:rsidRPr="00CE706B">
              <w:t>4 (2.5)</w:t>
            </w:r>
          </w:p>
        </w:tc>
      </w:tr>
      <w:tr w:rsidR="00E151C5" w:rsidRPr="00CE706B" w14:paraId="0D5D967E" w14:textId="77777777" w:rsidTr="7E0DBB7D">
        <w:trPr>
          <w:trHeight w:val="20"/>
        </w:trPr>
        <w:tc>
          <w:tcPr>
            <w:tcW w:w="6019" w:type="dxa"/>
            <w:tcMar>
              <w:left w:w="108" w:type="dxa"/>
              <w:right w:w="108" w:type="dxa"/>
            </w:tcMar>
          </w:tcPr>
          <w:p w14:paraId="00B0E9A7" w14:textId="1B3F75E0" w:rsidR="00E151C5" w:rsidRPr="00CE706B" w:rsidRDefault="00E151C5" w:rsidP="00873AF3">
            <w:pPr>
              <w:pStyle w:val="COMTabletext"/>
              <w:ind w:left="38"/>
            </w:pPr>
            <w:r w:rsidRPr="00CE706B">
              <w:t>≥</w:t>
            </w:r>
            <w:r w:rsidR="003C08F1">
              <w:t xml:space="preserve"> </w:t>
            </w:r>
            <w:r w:rsidRPr="00CE706B">
              <w:t>12 to &lt;</w:t>
            </w:r>
            <w:r w:rsidR="003C08F1">
              <w:t xml:space="preserve"> </w:t>
            </w:r>
            <w:r w:rsidRPr="00CE706B">
              <w:t>18 months</w:t>
            </w:r>
          </w:p>
        </w:tc>
        <w:tc>
          <w:tcPr>
            <w:tcW w:w="2998" w:type="dxa"/>
            <w:tcMar>
              <w:left w:w="108" w:type="dxa"/>
              <w:right w:w="108" w:type="dxa"/>
            </w:tcMar>
          </w:tcPr>
          <w:p w14:paraId="1E00522F" w14:textId="77777777" w:rsidR="00E151C5" w:rsidRPr="00CE706B" w:rsidRDefault="00E151C5" w:rsidP="00873AF3">
            <w:pPr>
              <w:pStyle w:val="COMTabletext"/>
              <w:ind w:left="38"/>
              <w:jc w:val="center"/>
            </w:pPr>
            <w:r w:rsidRPr="00CE706B">
              <w:t>14 (8.9)</w:t>
            </w:r>
          </w:p>
        </w:tc>
      </w:tr>
      <w:tr w:rsidR="00E151C5" w:rsidRPr="00CE706B" w14:paraId="5890D252" w14:textId="77777777" w:rsidTr="7E0DBB7D">
        <w:trPr>
          <w:trHeight w:val="20"/>
        </w:trPr>
        <w:tc>
          <w:tcPr>
            <w:tcW w:w="6019" w:type="dxa"/>
            <w:tcMar>
              <w:left w:w="108" w:type="dxa"/>
              <w:right w:w="108" w:type="dxa"/>
            </w:tcMar>
          </w:tcPr>
          <w:p w14:paraId="5A630E57" w14:textId="6C99C087" w:rsidR="00E151C5" w:rsidRPr="00CE706B" w:rsidRDefault="00E151C5" w:rsidP="00873AF3">
            <w:pPr>
              <w:pStyle w:val="COMTabletext"/>
              <w:ind w:left="38"/>
            </w:pPr>
            <w:r w:rsidRPr="00CE706B">
              <w:t>≥</w:t>
            </w:r>
            <w:r w:rsidR="003C08F1">
              <w:t xml:space="preserve"> </w:t>
            </w:r>
            <w:r w:rsidRPr="00CE706B">
              <w:t>18 to &lt;</w:t>
            </w:r>
            <w:r w:rsidR="003C08F1">
              <w:t xml:space="preserve"> </w:t>
            </w:r>
            <w:r w:rsidRPr="00CE706B">
              <w:t>24 months</w:t>
            </w:r>
          </w:p>
        </w:tc>
        <w:tc>
          <w:tcPr>
            <w:tcW w:w="2998" w:type="dxa"/>
            <w:tcMar>
              <w:left w:w="108" w:type="dxa"/>
              <w:right w:w="108" w:type="dxa"/>
            </w:tcMar>
          </w:tcPr>
          <w:p w14:paraId="252A0865" w14:textId="77777777" w:rsidR="00E151C5" w:rsidRPr="00CE706B" w:rsidRDefault="00E151C5" w:rsidP="00873AF3">
            <w:pPr>
              <w:pStyle w:val="COMTabletext"/>
              <w:ind w:left="38"/>
              <w:jc w:val="center"/>
            </w:pPr>
            <w:r w:rsidRPr="00CE706B">
              <w:t>31 (19.7)</w:t>
            </w:r>
          </w:p>
        </w:tc>
      </w:tr>
      <w:tr w:rsidR="00E151C5" w:rsidRPr="00CE706B" w14:paraId="5E33D0FC" w14:textId="77777777" w:rsidTr="7E0DBB7D">
        <w:trPr>
          <w:trHeight w:val="20"/>
        </w:trPr>
        <w:tc>
          <w:tcPr>
            <w:tcW w:w="6019" w:type="dxa"/>
            <w:tcMar>
              <w:left w:w="108" w:type="dxa"/>
              <w:right w:w="108" w:type="dxa"/>
            </w:tcMar>
          </w:tcPr>
          <w:p w14:paraId="46E18681" w14:textId="617BF70C" w:rsidR="00E151C5" w:rsidRPr="00CE706B" w:rsidRDefault="00E151C5" w:rsidP="00873AF3">
            <w:pPr>
              <w:pStyle w:val="COMTabletext"/>
              <w:ind w:left="38"/>
            </w:pPr>
            <w:r w:rsidRPr="00CE706B">
              <w:t>≥</w:t>
            </w:r>
            <w:r w:rsidR="003C08F1">
              <w:t xml:space="preserve"> </w:t>
            </w:r>
            <w:r w:rsidRPr="00CE706B">
              <w:t>24 to &lt;</w:t>
            </w:r>
            <w:r w:rsidR="003C08F1">
              <w:t xml:space="preserve"> </w:t>
            </w:r>
            <w:r w:rsidRPr="00CE706B">
              <w:t>30 months</w:t>
            </w:r>
          </w:p>
        </w:tc>
        <w:tc>
          <w:tcPr>
            <w:tcW w:w="2998" w:type="dxa"/>
            <w:tcMar>
              <w:left w:w="108" w:type="dxa"/>
              <w:right w:w="108" w:type="dxa"/>
            </w:tcMar>
          </w:tcPr>
          <w:p w14:paraId="54F1E039" w14:textId="77777777" w:rsidR="00E151C5" w:rsidRPr="00CE706B" w:rsidRDefault="00E151C5" w:rsidP="00873AF3">
            <w:pPr>
              <w:pStyle w:val="COMTabletext"/>
              <w:ind w:left="38"/>
              <w:jc w:val="center"/>
            </w:pPr>
            <w:r w:rsidRPr="00CE706B">
              <w:t>65 (41.4)</w:t>
            </w:r>
          </w:p>
        </w:tc>
      </w:tr>
      <w:tr w:rsidR="00E151C5" w:rsidRPr="00CE706B" w14:paraId="519D73FE" w14:textId="77777777" w:rsidTr="7E0DBB7D">
        <w:trPr>
          <w:trHeight w:val="20"/>
        </w:trPr>
        <w:tc>
          <w:tcPr>
            <w:tcW w:w="6019" w:type="dxa"/>
            <w:tcMar>
              <w:left w:w="108" w:type="dxa"/>
              <w:right w:w="108" w:type="dxa"/>
            </w:tcMar>
          </w:tcPr>
          <w:p w14:paraId="04E52B11" w14:textId="6125287F" w:rsidR="00E151C5" w:rsidRPr="00CE706B" w:rsidRDefault="00E151C5" w:rsidP="00873AF3">
            <w:pPr>
              <w:pStyle w:val="COMTabletext"/>
              <w:ind w:left="38"/>
            </w:pPr>
            <w:r w:rsidRPr="00CE706B">
              <w:t>≥</w:t>
            </w:r>
            <w:r w:rsidR="003C08F1">
              <w:t xml:space="preserve"> </w:t>
            </w:r>
            <w:r w:rsidRPr="00CE706B">
              <w:t>30 months</w:t>
            </w:r>
          </w:p>
        </w:tc>
        <w:tc>
          <w:tcPr>
            <w:tcW w:w="2998" w:type="dxa"/>
            <w:tcMar>
              <w:left w:w="108" w:type="dxa"/>
              <w:right w:w="108" w:type="dxa"/>
            </w:tcMar>
          </w:tcPr>
          <w:p w14:paraId="66B1E4A5" w14:textId="77777777" w:rsidR="00E151C5" w:rsidRPr="00CE706B" w:rsidRDefault="00E151C5" w:rsidP="00873AF3">
            <w:pPr>
              <w:pStyle w:val="COMTabletext"/>
              <w:ind w:left="38"/>
              <w:jc w:val="center"/>
            </w:pPr>
            <w:r w:rsidRPr="00CE706B">
              <w:t>15 (9.6)</w:t>
            </w:r>
          </w:p>
        </w:tc>
      </w:tr>
    </w:tbl>
    <w:p w14:paraId="2077C040" w14:textId="77777777" w:rsidR="00E151C5" w:rsidRPr="00CE706B" w:rsidRDefault="00E151C5" w:rsidP="00873AF3">
      <w:pPr>
        <w:pStyle w:val="COMTablefooter"/>
      </w:pPr>
      <w:r w:rsidRPr="00CE706B">
        <w:t xml:space="preserve">Source: Table 8-1, p101 MG0007 </w:t>
      </w:r>
      <w:r>
        <w:t>clinical study report</w:t>
      </w:r>
      <w:r w:rsidRPr="00CE706B">
        <w:t xml:space="preserve">, July 2024; Table 5.1.3, p291, MG0007 tables, MG0007 </w:t>
      </w:r>
      <w:r>
        <w:t>clinical study report</w:t>
      </w:r>
      <w:r w:rsidRPr="00CE706B">
        <w:t>, July 2024</w:t>
      </w:r>
    </w:p>
    <w:p w14:paraId="2D171D16" w14:textId="77777777" w:rsidR="00E151C5" w:rsidRPr="00CE706B" w:rsidRDefault="00E151C5" w:rsidP="00873AF3">
      <w:pPr>
        <w:pStyle w:val="COMTablefooter"/>
      </w:pPr>
      <w:r w:rsidRPr="00CE706B">
        <w:t>Abbreviations: SD, standard deviation</w:t>
      </w:r>
    </w:p>
    <w:p w14:paraId="6AC3938E" w14:textId="29A0A032" w:rsidR="00E151C5" w:rsidRPr="0089220E" w:rsidRDefault="00E151C5" w:rsidP="00873AF3">
      <w:pPr>
        <w:pStyle w:val="COMexecsummnumbered"/>
      </w:pPr>
      <w:bookmarkStart w:id="42" w:name="_Ref224891007"/>
      <w:r w:rsidRPr="0089220E">
        <w:t>The median time in the MG0007 study was 24.2 months (range 0.2 to 34.6 months), with 79.6% of the 157 patients enrolled for a year or more and 51% enrolled for 2 or more years. Overall, patients enrolled in MG0007 underwent 962 treatment cycles, with a median 6.0 (range 1 to 17) cycles, or 3.59 cycles per patient year. Patients received an average of 34 infusions during the study, with the majority of patients (75.2%) receiving all 6 infusions per cycle (mean 5.4 infusions per cycle per patient).</w:t>
      </w:r>
      <w:bookmarkEnd w:id="42"/>
    </w:p>
    <w:p w14:paraId="55DE6339" w14:textId="0C1B7013" w:rsidR="00E151C5" w:rsidRPr="00CE706B" w:rsidRDefault="00E151C5" w:rsidP="00873AF3">
      <w:pPr>
        <w:pStyle w:val="COMexecsummnumbered"/>
      </w:pPr>
      <w:r w:rsidRPr="7E0DBB7D">
        <w:t xml:space="preserve">No measure of time between cycles was available in the MycarinG trial as patients were treated for only one </w:t>
      </w:r>
      <w:r w:rsidR="00BA3F9A" w:rsidRPr="7E0DBB7D">
        <w:t>6-week</w:t>
      </w:r>
      <w:r w:rsidRPr="7E0DBB7D">
        <w:t xml:space="preserve"> cycle followed by an </w:t>
      </w:r>
      <w:r w:rsidR="00BA3F9A" w:rsidRPr="7E0DBB7D">
        <w:t>8-week</w:t>
      </w:r>
      <w:r w:rsidRPr="7E0DBB7D">
        <w:t xml:space="preserve"> observation period. Treatment-free intervals (time from last dose of previous cycle to first dose of subsequent cycle) were measured in the MG0007 extension study and are summarised in </w:t>
      </w:r>
      <w:r>
        <w:fldChar w:fldCharType="begin" w:fldLock="1"/>
      </w:r>
      <w:r>
        <w:instrText xml:space="preserve"> REF _Ref185258641 \h  \* MERGEFORMAT </w:instrText>
      </w:r>
      <w:r>
        <w:fldChar w:fldCharType="separate"/>
      </w:r>
      <w:r w:rsidR="00E70E55">
        <w:t xml:space="preserve">Table </w:t>
      </w:r>
      <w:r w:rsidR="00E70E55">
        <w:rPr>
          <w:noProof/>
        </w:rPr>
        <w:t>8</w:t>
      </w:r>
      <w:r>
        <w:fldChar w:fldCharType="end"/>
      </w:r>
      <w:r w:rsidR="39CF2819" w:rsidRPr="7E0DBB7D">
        <w:t xml:space="preserve"> </w:t>
      </w:r>
      <w:r w:rsidRPr="7E0DBB7D">
        <w:t>for all patients (n=157).</w:t>
      </w:r>
    </w:p>
    <w:p w14:paraId="4F916403" w14:textId="04262141" w:rsidR="00E151C5" w:rsidRPr="00CE706B" w:rsidRDefault="00FB5E6D" w:rsidP="00873AF3">
      <w:pPr>
        <w:pStyle w:val="COMtablefigcaption"/>
      </w:pPr>
      <w:bookmarkStart w:id="43" w:name="_Ref185258641"/>
      <w:r>
        <w:t>Table</w:t>
      </w:r>
      <w:r w:rsidR="00671206">
        <w:t xml:space="preserve"> </w:t>
      </w:r>
      <w:r>
        <w:fldChar w:fldCharType="begin" w:fldLock="1"/>
      </w:r>
      <w:r>
        <w:instrText>SEQ Table \* ARABIC</w:instrText>
      </w:r>
      <w:r>
        <w:fldChar w:fldCharType="separate"/>
      </w:r>
      <w:r w:rsidR="00E70E55">
        <w:rPr>
          <w:noProof/>
        </w:rPr>
        <w:t>8</w:t>
      </w:r>
      <w:r>
        <w:fldChar w:fldCharType="end"/>
      </w:r>
      <w:bookmarkEnd w:id="43"/>
      <w:r w:rsidR="00E151C5" w:rsidRPr="00CE706B">
        <w:t>: Survival analysis of treatment-free interval (Safety Set, MG0007 extension study)</w:t>
      </w: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Caption w:val="Table 8: Survival analysis of treatment-free interval (Safety Set, MG0007 extension study)"/>
      </w:tblPr>
      <w:tblGrid>
        <w:gridCol w:w="1831"/>
        <w:gridCol w:w="1105"/>
        <w:gridCol w:w="1635"/>
        <w:gridCol w:w="2204"/>
        <w:gridCol w:w="2296"/>
      </w:tblGrid>
      <w:tr w:rsidR="00E151C5" w:rsidRPr="00CE706B" w14:paraId="7F4B8A5E" w14:textId="77777777">
        <w:trPr>
          <w:trHeight w:val="20"/>
        </w:trPr>
        <w:tc>
          <w:tcPr>
            <w:tcW w:w="1832" w:type="dxa"/>
            <w:tcMar>
              <w:left w:w="85" w:type="dxa"/>
              <w:right w:w="85" w:type="dxa"/>
            </w:tcMar>
          </w:tcPr>
          <w:p w14:paraId="17B6ACEC" w14:textId="77777777" w:rsidR="00E151C5" w:rsidRPr="00CE706B" w:rsidRDefault="00E151C5" w:rsidP="00873AF3">
            <w:pPr>
              <w:pStyle w:val="COMTabletext"/>
              <w:ind w:left="61"/>
            </w:pPr>
            <w:r w:rsidRPr="00CE706B">
              <w:rPr>
                <w:b/>
              </w:rPr>
              <w:t>Between Cycles</w:t>
            </w:r>
          </w:p>
        </w:tc>
        <w:tc>
          <w:tcPr>
            <w:tcW w:w="1105" w:type="dxa"/>
            <w:tcMar>
              <w:left w:w="85" w:type="dxa"/>
              <w:right w:w="85" w:type="dxa"/>
            </w:tcMar>
          </w:tcPr>
          <w:p w14:paraId="56148771" w14:textId="77777777" w:rsidR="00E151C5" w:rsidRPr="00CE706B" w:rsidRDefault="00E151C5" w:rsidP="00873AF3">
            <w:pPr>
              <w:pStyle w:val="COMTabletext"/>
              <w:ind w:left="61"/>
              <w:jc w:val="center"/>
              <w:rPr>
                <w:b/>
              </w:rPr>
            </w:pPr>
            <w:r w:rsidRPr="00CE706B">
              <w:rPr>
                <w:b/>
              </w:rPr>
              <w:t>n</w:t>
            </w:r>
          </w:p>
        </w:tc>
        <w:tc>
          <w:tcPr>
            <w:tcW w:w="1635" w:type="dxa"/>
            <w:tcMar>
              <w:left w:w="85" w:type="dxa"/>
              <w:right w:w="85" w:type="dxa"/>
            </w:tcMar>
          </w:tcPr>
          <w:p w14:paraId="6C9CCC3F" w14:textId="77777777" w:rsidR="00E151C5" w:rsidRPr="00CE706B" w:rsidRDefault="00E151C5" w:rsidP="00873AF3">
            <w:pPr>
              <w:pStyle w:val="COMTabletext"/>
              <w:ind w:left="61"/>
              <w:jc w:val="center"/>
              <w:rPr>
                <w:b/>
              </w:rPr>
            </w:pPr>
            <w:r w:rsidRPr="00CE706B">
              <w:rPr>
                <w:b/>
              </w:rPr>
              <w:t>Median (days)</w:t>
            </w:r>
          </w:p>
        </w:tc>
        <w:tc>
          <w:tcPr>
            <w:tcW w:w="2204" w:type="dxa"/>
            <w:tcMar>
              <w:left w:w="85" w:type="dxa"/>
              <w:right w:w="85" w:type="dxa"/>
            </w:tcMar>
          </w:tcPr>
          <w:p w14:paraId="565470B1" w14:textId="77777777" w:rsidR="00E151C5" w:rsidRPr="00CE706B" w:rsidRDefault="00E151C5" w:rsidP="00873AF3">
            <w:pPr>
              <w:pStyle w:val="COMTabletext"/>
              <w:ind w:left="61"/>
              <w:jc w:val="center"/>
              <w:rPr>
                <w:b/>
              </w:rPr>
            </w:pPr>
            <w:r w:rsidRPr="00CE706B">
              <w:rPr>
                <w:b/>
              </w:rPr>
              <w:t>95% CI</w:t>
            </w:r>
          </w:p>
        </w:tc>
        <w:tc>
          <w:tcPr>
            <w:tcW w:w="2296" w:type="dxa"/>
            <w:tcMar>
              <w:left w:w="85" w:type="dxa"/>
              <w:right w:w="85" w:type="dxa"/>
            </w:tcMar>
          </w:tcPr>
          <w:p w14:paraId="00740E0C" w14:textId="77777777" w:rsidR="00E151C5" w:rsidRPr="00CE706B" w:rsidRDefault="00E151C5" w:rsidP="00873AF3">
            <w:pPr>
              <w:pStyle w:val="COMTabletext"/>
              <w:ind w:left="61"/>
              <w:jc w:val="center"/>
              <w:rPr>
                <w:b/>
              </w:rPr>
            </w:pPr>
            <w:r w:rsidRPr="00CE706B">
              <w:rPr>
                <w:b/>
              </w:rPr>
              <w:t>% Censored</w:t>
            </w:r>
          </w:p>
        </w:tc>
      </w:tr>
      <w:tr w:rsidR="00E151C5" w:rsidRPr="00CE706B" w14:paraId="581EF8A7" w14:textId="77777777">
        <w:trPr>
          <w:trHeight w:val="20"/>
        </w:trPr>
        <w:tc>
          <w:tcPr>
            <w:tcW w:w="1832" w:type="dxa"/>
            <w:tcMar>
              <w:left w:w="85" w:type="dxa"/>
              <w:right w:w="85" w:type="dxa"/>
            </w:tcMar>
          </w:tcPr>
          <w:p w14:paraId="10083835" w14:textId="77777777" w:rsidR="00E151C5" w:rsidRPr="00CE706B" w:rsidRDefault="00E151C5" w:rsidP="00873AF3">
            <w:pPr>
              <w:pStyle w:val="COMTabletext"/>
              <w:ind w:left="61"/>
            </w:pPr>
            <w:r w:rsidRPr="00CE706B">
              <w:t>1 to 2</w:t>
            </w:r>
          </w:p>
        </w:tc>
        <w:tc>
          <w:tcPr>
            <w:tcW w:w="1105" w:type="dxa"/>
            <w:tcMar>
              <w:left w:w="85" w:type="dxa"/>
              <w:right w:w="85" w:type="dxa"/>
            </w:tcMar>
          </w:tcPr>
          <w:p w14:paraId="2660F23E" w14:textId="77777777" w:rsidR="00E151C5" w:rsidRPr="00CE706B" w:rsidRDefault="00E151C5" w:rsidP="00873AF3">
            <w:pPr>
              <w:pStyle w:val="COMTabletext"/>
              <w:ind w:left="61"/>
              <w:jc w:val="center"/>
            </w:pPr>
            <w:r w:rsidRPr="00CE706B">
              <w:t>157</w:t>
            </w:r>
          </w:p>
        </w:tc>
        <w:tc>
          <w:tcPr>
            <w:tcW w:w="1635" w:type="dxa"/>
            <w:tcMar>
              <w:left w:w="85" w:type="dxa"/>
              <w:right w:w="85" w:type="dxa"/>
            </w:tcMar>
          </w:tcPr>
          <w:p w14:paraId="7039F5B5" w14:textId="77777777" w:rsidR="00E151C5" w:rsidRPr="00CE706B" w:rsidRDefault="00E151C5" w:rsidP="00873AF3">
            <w:pPr>
              <w:pStyle w:val="COMTabletext"/>
              <w:ind w:left="61"/>
              <w:jc w:val="center"/>
            </w:pPr>
            <w:r w:rsidRPr="00CE706B">
              <w:t>64.0</w:t>
            </w:r>
          </w:p>
        </w:tc>
        <w:tc>
          <w:tcPr>
            <w:tcW w:w="2204" w:type="dxa"/>
            <w:tcMar>
              <w:left w:w="85" w:type="dxa"/>
              <w:right w:w="85" w:type="dxa"/>
            </w:tcMar>
          </w:tcPr>
          <w:p w14:paraId="7A942201" w14:textId="77777777" w:rsidR="00E151C5" w:rsidRPr="00CE706B" w:rsidRDefault="00E151C5" w:rsidP="00873AF3">
            <w:pPr>
              <w:pStyle w:val="COMTabletext"/>
              <w:ind w:left="61"/>
              <w:jc w:val="center"/>
            </w:pPr>
            <w:r w:rsidRPr="00CE706B">
              <w:t>50.0, 71.0</w:t>
            </w:r>
          </w:p>
        </w:tc>
        <w:tc>
          <w:tcPr>
            <w:tcW w:w="2296" w:type="dxa"/>
            <w:tcMar>
              <w:left w:w="85" w:type="dxa"/>
              <w:right w:w="85" w:type="dxa"/>
            </w:tcMar>
          </w:tcPr>
          <w:p w14:paraId="1FE966F1" w14:textId="77777777" w:rsidR="00E151C5" w:rsidRPr="00CE706B" w:rsidRDefault="00E151C5" w:rsidP="00873AF3">
            <w:pPr>
              <w:pStyle w:val="COMTabletext"/>
              <w:ind w:left="61"/>
              <w:jc w:val="center"/>
            </w:pPr>
            <w:r w:rsidRPr="00CE706B">
              <w:t>19.7</w:t>
            </w:r>
          </w:p>
        </w:tc>
      </w:tr>
      <w:tr w:rsidR="00E151C5" w:rsidRPr="00CE706B" w14:paraId="3C6834C1" w14:textId="77777777">
        <w:trPr>
          <w:trHeight w:val="20"/>
        </w:trPr>
        <w:tc>
          <w:tcPr>
            <w:tcW w:w="1832" w:type="dxa"/>
            <w:tcMar>
              <w:left w:w="85" w:type="dxa"/>
              <w:right w:w="85" w:type="dxa"/>
            </w:tcMar>
          </w:tcPr>
          <w:p w14:paraId="3735F4FC" w14:textId="77777777" w:rsidR="00E151C5" w:rsidRPr="00CE706B" w:rsidRDefault="00E151C5" w:rsidP="00873AF3">
            <w:pPr>
              <w:pStyle w:val="COMTabletext"/>
              <w:ind w:left="61"/>
            </w:pPr>
            <w:r w:rsidRPr="00CE706B">
              <w:t>2 to 3</w:t>
            </w:r>
          </w:p>
        </w:tc>
        <w:tc>
          <w:tcPr>
            <w:tcW w:w="1105" w:type="dxa"/>
            <w:tcMar>
              <w:left w:w="85" w:type="dxa"/>
              <w:right w:w="85" w:type="dxa"/>
            </w:tcMar>
          </w:tcPr>
          <w:p w14:paraId="2C044AFA" w14:textId="77777777" w:rsidR="00E151C5" w:rsidRPr="00CE706B" w:rsidRDefault="00E151C5" w:rsidP="00873AF3">
            <w:pPr>
              <w:pStyle w:val="COMTabletext"/>
              <w:ind w:left="61"/>
              <w:jc w:val="center"/>
            </w:pPr>
            <w:r w:rsidRPr="00CE706B">
              <w:t>126</w:t>
            </w:r>
          </w:p>
        </w:tc>
        <w:tc>
          <w:tcPr>
            <w:tcW w:w="1635" w:type="dxa"/>
            <w:tcMar>
              <w:left w:w="85" w:type="dxa"/>
              <w:right w:w="85" w:type="dxa"/>
            </w:tcMar>
          </w:tcPr>
          <w:p w14:paraId="3BBD3415" w14:textId="77777777" w:rsidR="00E151C5" w:rsidRPr="00CE706B" w:rsidRDefault="00E151C5" w:rsidP="00873AF3">
            <w:pPr>
              <w:pStyle w:val="COMTabletext"/>
              <w:ind w:left="61"/>
              <w:jc w:val="center"/>
            </w:pPr>
            <w:r w:rsidRPr="00CE706B">
              <w:t>51.0</w:t>
            </w:r>
          </w:p>
        </w:tc>
        <w:tc>
          <w:tcPr>
            <w:tcW w:w="2204" w:type="dxa"/>
            <w:tcMar>
              <w:left w:w="85" w:type="dxa"/>
              <w:right w:w="85" w:type="dxa"/>
            </w:tcMar>
          </w:tcPr>
          <w:p w14:paraId="6483EC9B" w14:textId="77777777" w:rsidR="00E151C5" w:rsidRPr="00CE706B" w:rsidRDefault="00E151C5" w:rsidP="00873AF3">
            <w:pPr>
              <w:pStyle w:val="COMTabletext"/>
              <w:ind w:left="61"/>
              <w:jc w:val="center"/>
            </w:pPr>
            <w:r w:rsidRPr="00CE706B">
              <w:t>43.0, 66.0</w:t>
            </w:r>
          </w:p>
        </w:tc>
        <w:tc>
          <w:tcPr>
            <w:tcW w:w="2296" w:type="dxa"/>
            <w:tcMar>
              <w:left w:w="85" w:type="dxa"/>
              <w:right w:w="85" w:type="dxa"/>
            </w:tcMar>
          </w:tcPr>
          <w:p w14:paraId="3418F47D" w14:textId="77777777" w:rsidR="00E151C5" w:rsidRPr="00CE706B" w:rsidRDefault="00E151C5" w:rsidP="00873AF3">
            <w:pPr>
              <w:pStyle w:val="COMTabletext"/>
              <w:ind w:left="61"/>
              <w:jc w:val="center"/>
            </w:pPr>
            <w:r w:rsidRPr="00CE706B">
              <w:t>16.7</w:t>
            </w:r>
          </w:p>
        </w:tc>
      </w:tr>
      <w:tr w:rsidR="00E151C5" w:rsidRPr="00CE706B" w14:paraId="25E7963B" w14:textId="77777777">
        <w:trPr>
          <w:trHeight w:val="20"/>
        </w:trPr>
        <w:tc>
          <w:tcPr>
            <w:tcW w:w="1832" w:type="dxa"/>
            <w:tcMar>
              <w:left w:w="85" w:type="dxa"/>
              <w:right w:w="85" w:type="dxa"/>
            </w:tcMar>
          </w:tcPr>
          <w:p w14:paraId="04BCA5AF" w14:textId="77777777" w:rsidR="00E151C5" w:rsidRPr="00CE706B" w:rsidRDefault="00E151C5" w:rsidP="00873AF3">
            <w:pPr>
              <w:pStyle w:val="COMTabletext"/>
              <w:ind w:left="61"/>
            </w:pPr>
            <w:r w:rsidRPr="00CE706B">
              <w:t>3 to 4</w:t>
            </w:r>
          </w:p>
        </w:tc>
        <w:tc>
          <w:tcPr>
            <w:tcW w:w="1105" w:type="dxa"/>
            <w:tcMar>
              <w:left w:w="85" w:type="dxa"/>
              <w:right w:w="85" w:type="dxa"/>
            </w:tcMar>
          </w:tcPr>
          <w:p w14:paraId="542CEEAF" w14:textId="77777777" w:rsidR="00E151C5" w:rsidRPr="00CE706B" w:rsidRDefault="00E151C5" w:rsidP="00873AF3">
            <w:pPr>
              <w:pStyle w:val="COMTabletext"/>
              <w:ind w:left="61"/>
              <w:jc w:val="center"/>
            </w:pPr>
            <w:r w:rsidRPr="00CE706B">
              <w:t>105</w:t>
            </w:r>
          </w:p>
        </w:tc>
        <w:tc>
          <w:tcPr>
            <w:tcW w:w="1635" w:type="dxa"/>
            <w:tcMar>
              <w:left w:w="85" w:type="dxa"/>
              <w:right w:w="85" w:type="dxa"/>
            </w:tcMar>
          </w:tcPr>
          <w:p w14:paraId="5ACD8DAF" w14:textId="77777777" w:rsidR="00E151C5" w:rsidRPr="00CE706B" w:rsidRDefault="00E151C5" w:rsidP="00873AF3">
            <w:pPr>
              <w:pStyle w:val="COMTabletext"/>
              <w:ind w:left="61"/>
              <w:jc w:val="center"/>
            </w:pPr>
            <w:r w:rsidRPr="00CE706B">
              <w:t>43.0</w:t>
            </w:r>
          </w:p>
        </w:tc>
        <w:tc>
          <w:tcPr>
            <w:tcW w:w="2204" w:type="dxa"/>
            <w:tcMar>
              <w:left w:w="85" w:type="dxa"/>
              <w:right w:w="85" w:type="dxa"/>
            </w:tcMar>
          </w:tcPr>
          <w:p w14:paraId="1AC151D0" w14:textId="77777777" w:rsidR="00E151C5" w:rsidRPr="00CE706B" w:rsidRDefault="00E151C5" w:rsidP="00873AF3">
            <w:pPr>
              <w:pStyle w:val="COMTabletext"/>
              <w:ind w:left="61"/>
              <w:jc w:val="center"/>
            </w:pPr>
            <w:r w:rsidRPr="00CE706B">
              <w:t>38.0, 53.0</w:t>
            </w:r>
          </w:p>
        </w:tc>
        <w:tc>
          <w:tcPr>
            <w:tcW w:w="2296" w:type="dxa"/>
            <w:tcMar>
              <w:left w:w="85" w:type="dxa"/>
              <w:right w:w="85" w:type="dxa"/>
            </w:tcMar>
          </w:tcPr>
          <w:p w14:paraId="056C46DF" w14:textId="77777777" w:rsidR="00E151C5" w:rsidRPr="00CE706B" w:rsidRDefault="00E151C5" w:rsidP="00873AF3">
            <w:pPr>
              <w:pStyle w:val="COMTabletext"/>
              <w:ind w:left="61"/>
              <w:jc w:val="center"/>
            </w:pPr>
            <w:r w:rsidRPr="00CE706B">
              <w:t>9.5</w:t>
            </w:r>
          </w:p>
        </w:tc>
      </w:tr>
      <w:tr w:rsidR="00E151C5" w:rsidRPr="00CE706B" w14:paraId="1B0FE489" w14:textId="77777777">
        <w:trPr>
          <w:trHeight w:val="20"/>
        </w:trPr>
        <w:tc>
          <w:tcPr>
            <w:tcW w:w="1832" w:type="dxa"/>
            <w:tcMar>
              <w:left w:w="85" w:type="dxa"/>
              <w:right w:w="85" w:type="dxa"/>
            </w:tcMar>
          </w:tcPr>
          <w:p w14:paraId="407B1845" w14:textId="77777777" w:rsidR="00E151C5" w:rsidRPr="00CE706B" w:rsidRDefault="00E151C5" w:rsidP="00873AF3">
            <w:pPr>
              <w:pStyle w:val="COMTabletext"/>
              <w:ind w:left="61"/>
            </w:pPr>
            <w:r w:rsidRPr="00CE706B">
              <w:t>4 to 5</w:t>
            </w:r>
          </w:p>
        </w:tc>
        <w:tc>
          <w:tcPr>
            <w:tcW w:w="1105" w:type="dxa"/>
            <w:tcMar>
              <w:left w:w="85" w:type="dxa"/>
              <w:right w:w="85" w:type="dxa"/>
            </w:tcMar>
          </w:tcPr>
          <w:p w14:paraId="4D5EE9CE" w14:textId="77777777" w:rsidR="00E151C5" w:rsidRPr="00CE706B" w:rsidRDefault="00E151C5" w:rsidP="00873AF3">
            <w:pPr>
              <w:pStyle w:val="COMTabletext"/>
              <w:ind w:left="61"/>
              <w:jc w:val="center"/>
            </w:pPr>
            <w:r w:rsidRPr="00CE706B">
              <w:t>95</w:t>
            </w:r>
          </w:p>
        </w:tc>
        <w:tc>
          <w:tcPr>
            <w:tcW w:w="1635" w:type="dxa"/>
            <w:tcMar>
              <w:left w:w="85" w:type="dxa"/>
              <w:right w:w="85" w:type="dxa"/>
            </w:tcMar>
          </w:tcPr>
          <w:p w14:paraId="4D3C5C67" w14:textId="77777777" w:rsidR="00E151C5" w:rsidRPr="00CE706B" w:rsidRDefault="00E151C5" w:rsidP="00873AF3">
            <w:pPr>
              <w:pStyle w:val="COMTabletext"/>
              <w:ind w:left="61"/>
              <w:jc w:val="center"/>
            </w:pPr>
            <w:r w:rsidRPr="00CE706B">
              <w:t>43.0</w:t>
            </w:r>
          </w:p>
        </w:tc>
        <w:tc>
          <w:tcPr>
            <w:tcW w:w="2204" w:type="dxa"/>
            <w:tcMar>
              <w:left w:w="85" w:type="dxa"/>
              <w:right w:w="85" w:type="dxa"/>
            </w:tcMar>
          </w:tcPr>
          <w:p w14:paraId="1FB1A9B8" w14:textId="77777777" w:rsidR="00E151C5" w:rsidRPr="00CE706B" w:rsidRDefault="00E151C5" w:rsidP="00873AF3">
            <w:pPr>
              <w:pStyle w:val="COMTabletext"/>
              <w:ind w:left="61"/>
              <w:jc w:val="center"/>
            </w:pPr>
            <w:r w:rsidRPr="00CE706B">
              <w:t>37.0, 50.0</w:t>
            </w:r>
          </w:p>
        </w:tc>
        <w:tc>
          <w:tcPr>
            <w:tcW w:w="2296" w:type="dxa"/>
            <w:tcMar>
              <w:left w:w="85" w:type="dxa"/>
              <w:right w:w="85" w:type="dxa"/>
            </w:tcMar>
          </w:tcPr>
          <w:p w14:paraId="7DC8CA90" w14:textId="77777777" w:rsidR="00E151C5" w:rsidRPr="00CE706B" w:rsidRDefault="00E151C5" w:rsidP="00873AF3">
            <w:pPr>
              <w:pStyle w:val="COMTabletext"/>
              <w:ind w:left="61"/>
              <w:jc w:val="center"/>
            </w:pPr>
            <w:r w:rsidRPr="00CE706B">
              <w:t>8.4</w:t>
            </w:r>
          </w:p>
        </w:tc>
      </w:tr>
      <w:tr w:rsidR="00E151C5" w:rsidRPr="00CE706B" w14:paraId="5E79E2DD" w14:textId="77777777">
        <w:trPr>
          <w:trHeight w:val="20"/>
        </w:trPr>
        <w:tc>
          <w:tcPr>
            <w:tcW w:w="1832" w:type="dxa"/>
            <w:tcMar>
              <w:left w:w="85" w:type="dxa"/>
              <w:right w:w="85" w:type="dxa"/>
            </w:tcMar>
          </w:tcPr>
          <w:p w14:paraId="4BBF16BD" w14:textId="77777777" w:rsidR="00E151C5" w:rsidRPr="00CE706B" w:rsidRDefault="00E151C5" w:rsidP="00873AF3">
            <w:pPr>
              <w:pStyle w:val="COMTabletext"/>
              <w:ind w:left="61"/>
            </w:pPr>
            <w:r w:rsidRPr="00CE706B">
              <w:t>5 to 6</w:t>
            </w:r>
          </w:p>
        </w:tc>
        <w:tc>
          <w:tcPr>
            <w:tcW w:w="1105" w:type="dxa"/>
            <w:tcMar>
              <w:left w:w="85" w:type="dxa"/>
              <w:right w:w="85" w:type="dxa"/>
            </w:tcMar>
          </w:tcPr>
          <w:p w14:paraId="7CD8289F" w14:textId="77777777" w:rsidR="00E151C5" w:rsidRPr="00CE706B" w:rsidRDefault="00E151C5" w:rsidP="00873AF3">
            <w:pPr>
              <w:pStyle w:val="COMTabletext"/>
              <w:ind w:left="61"/>
              <w:jc w:val="center"/>
            </w:pPr>
            <w:r w:rsidRPr="00CE706B">
              <w:t>87</w:t>
            </w:r>
          </w:p>
        </w:tc>
        <w:tc>
          <w:tcPr>
            <w:tcW w:w="1635" w:type="dxa"/>
            <w:tcMar>
              <w:left w:w="85" w:type="dxa"/>
              <w:right w:w="85" w:type="dxa"/>
            </w:tcMar>
          </w:tcPr>
          <w:p w14:paraId="0B9B6569" w14:textId="77777777" w:rsidR="00E151C5" w:rsidRPr="00CE706B" w:rsidRDefault="00E151C5" w:rsidP="00873AF3">
            <w:pPr>
              <w:pStyle w:val="COMTabletext"/>
              <w:ind w:left="61"/>
              <w:jc w:val="center"/>
            </w:pPr>
            <w:r w:rsidRPr="00CE706B">
              <w:t>44.0</w:t>
            </w:r>
          </w:p>
        </w:tc>
        <w:tc>
          <w:tcPr>
            <w:tcW w:w="2204" w:type="dxa"/>
            <w:tcMar>
              <w:left w:w="85" w:type="dxa"/>
              <w:right w:w="85" w:type="dxa"/>
            </w:tcMar>
          </w:tcPr>
          <w:p w14:paraId="638E142E" w14:textId="77777777" w:rsidR="00E151C5" w:rsidRPr="00CE706B" w:rsidRDefault="00E151C5" w:rsidP="00873AF3">
            <w:pPr>
              <w:pStyle w:val="COMTabletext"/>
              <w:ind w:left="61"/>
              <w:jc w:val="center"/>
            </w:pPr>
            <w:r w:rsidRPr="00CE706B">
              <w:t>37.0, 50.0</w:t>
            </w:r>
          </w:p>
        </w:tc>
        <w:tc>
          <w:tcPr>
            <w:tcW w:w="2296" w:type="dxa"/>
            <w:tcMar>
              <w:left w:w="85" w:type="dxa"/>
              <w:right w:w="85" w:type="dxa"/>
            </w:tcMar>
          </w:tcPr>
          <w:p w14:paraId="5CA91AE6" w14:textId="77777777" w:rsidR="00E151C5" w:rsidRPr="00CE706B" w:rsidRDefault="00E151C5" w:rsidP="00873AF3">
            <w:pPr>
              <w:pStyle w:val="COMTabletext"/>
              <w:ind w:left="61"/>
              <w:jc w:val="center"/>
            </w:pPr>
            <w:r w:rsidRPr="00CE706B">
              <w:t>5.7</w:t>
            </w:r>
          </w:p>
        </w:tc>
      </w:tr>
      <w:tr w:rsidR="00E151C5" w:rsidRPr="00CE706B" w14:paraId="41FD7972" w14:textId="77777777">
        <w:trPr>
          <w:trHeight w:val="20"/>
        </w:trPr>
        <w:tc>
          <w:tcPr>
            <w:tcW w:w="1832" w:type="dxa"/>
            <w:tcMar>
              <w:left w:w="85" w:type="dxa"/>
              <w:right w:w="85" w:type="dxa"/>
            </w:tcMar>
          </w:tcPr>
          <w:p w14:paraId="0501150D" w14:textId="77777777" w:rsidR="00E151C5" w:rsidRPr="00CE706B" w:rsidRDefault="00E151C5" w:rsidP="00873AF3">
            <w:pPr>
              <w:pStyle w:val="COMTabletext"/>
              <w:ind w:left="61"/>
            </w:pPr>
            <w:r w:rsidRPr="00CE706B">
              <w:t>6 to 7</w:t>
            </w:r>
          </w:p>
        </w:tc>
        <w:tc>
          <w:tcPr>
            <w:tcW w:w="1105" w:type="dxa"/>
            <w:tcMar>
              <w:left w:w="85" w:type="dxa"/>
              <w:right w:w="85" w:type="dxa"/>
            </w:tcMar>
          </w:tcPr>
          <w:p w14:paraId="15914242" w14:textId="77777777" w:rsidR="00E151C5" w:rsidRPr="00CE706B" w:rsidRDefault="00E151C5" w:rsidP="00873AF3">
            <w:pPr>
              <w:pStyle w:val="COMTabletext"/>
              <w:ind w:left="61"/>
              <w:jc w:val="center"/>
            </w:pPr>
            <w:r w:rsidRPr="00CE706B">
              <w:t>82</w:t>
            </w:r>
          </w:p>
        </w:tc>
        <w:tc>
          <w:tcPr>
            <w:tcW w:w="1635" w:type="dxa"/>
            <w:tcMar>
              <w:left w:w="85" w:type="dxa"/>
              <w:right w:w="85" w:type="dxa"/>
            </w:tcMar>
          </w:tcPr>
          <w:p w14:paraId="00A789BD" w14:textId="77777777" w:rsidR="00E151C5" w:rsidRPr="00CE706B" w:rsidRDefault="00E151C5" w:rsidP="00873AF3">
            <w:pPr>
              <w:pStyle w:val="COMTabletext"/>
              <w:ind w:left="61"/>
              <w:jc w:val="center"/>
            </w:pPr>
            <w:r w:rsidRPr="00CE706B">
              <w:t>43.0</w:t>
            </w:r>
          </w:p>
        </w:tc>
        <w:tc>
          <w:tcPr>
            <w:tcW w:w="2204" w:type="dxa"/>
            <w:tcMar>
              <w:left w:w="85" w:type="dxa"/>
              <w:right w:w="85" w:type="dxa"/>
            </w:tcMar>
          </w:tcPr>
          <w:p w14:paraId="365BCE22" w14:textId="77777777" w:rsidR="00E151C5" w:rsidRPr="00CE706B" w:rsidRDefault="00E151C5" w:rsidP="00873AF3">
            <w:pPr>
              <w:pStyle w:val="COMTabletext"/>
              <w:ind w:left="61"/>
              <w:jc w:val="center"/>
            </w:pPr>
            <w:r w:rsidRPr="00CE706B">
              <w:t>36.0, 49.0</w:t>
            </w:r>
          </w:p>
        </w:tc>
        <w:tc>
          <w:tcPr>
            <w:tcW w:w="2296" w:type="dxa"/>
            <w:tcMar>
              <w:left w:w="85" w:type="dxa"/>
              <w:right w:w="85" w:type="dxa"/>
            </w:tcMar>
          </w:tcPr>
          <w:p w14:paraId="7AFFCA36" w14:textId="77777777" w:rsidR="00E151C5" w:rsidRPr="00CE706B" w:rsidRDefault="00E151C5" w:rsidP="00873AF3">
            <w:pPr>
              <w:pStyle w:val="COMTabletext"/>
              <w:ind w:left="61"/>
              <w:jc w:val="center"/>
            </w:pPr>
            <w:r w:rsidRPr="00CE706B">
              <w:t>13.4</w:t>
            </w:r>
          </w:p>
        </w:tc>
      </w:tr>
      <w:tr w:rsidR="00E151C5" w:rsidRPr="00CE706B" w14:paraId="5C0D52CB" w14:textId="77777777">
        <w:trPr>
          <w:trHeight w:val="20"/>
        </w:trPr>
        <w:tc>
          <w:tcPr>
            <w:tcW w:w="1832" w:type="dxa"/>
            <w:tcMar>
              <w:left w:w="85" w:type="dxa"/>
              <w:right w:w="85" w:type="dxa"/>
            </w:tcMar>
          </w:tcPr>
          <w:p w14:paraId="3428DFC2" w14:textId="77777777" w:rsidR="00E151C5" w:rsidRPr="00CE706B" w:rsidRDefault="00E151C5" w:rsidP="00873AF3">
            <w:pPr>
              <w:pStyle w:val="COMTabletext"/>
              <w:ind w:left="61"/>
            </w:pPr>
            <w:r w:rsidRPr="00CE706B">
              <w:t>7 to 8</w:t>
            </w:r>
          </w:p>
        </w:tc>
        <w:tc>
          <w:tcPr>
            <w:tcW w:w="1105" w:type="dxa"/>
            <w:tcMar>
              <w:left w:w="85" w:type="dxa"/>
              <w:right w:w="85" w:type="dxa"/>
            </w:tcMar>
          </w:tcPr>
          <w:p w14:paraId="1F1CEB0C" w14:textId="77777777" w:rsidR="00E151C5" w:rsidRPr="00CE706B" w:rsidRDefault="00E151C5" w:rsidP="00873AF3">
            <w:pPr>
              <w:pStyle w:val="COMTabletext"/>
              <w:ind w:left="61"/>
              <w:jc w:val="center"/>
            </w:pPr>
            <w:r w:rsidRPr="00CE706B">
              <w:t>71</w:t>
            </w:r>
          </w:p>
        </w:tc>
        <w:tc>
          <w:tcPr>
            <w:tcW w:w="1635" w:type="dxa"/>
            <w:tcMar>
              <w:left w:w="85" w:type="dxa"/>
              <w:right w:w="85" w:type="dxa"/>
            </w:tcMar>
          </w:tcPr>
          <w:p w14:paraId="3371EF78" w14:textId="77777777" w:rsidR="00E151C5" w:rsidRPr="00CE706B" w:rsidRDefault="00E151C5" w:rsidP="00873AF3">
            <w:pPr>
              <w:pStyle w:val="COMTabletext"/>
              <w:ind w:left="61"/>
              <w:jc w:val="center"/>
            </w:pPr>
            <w:r w:rsidRPr="00CE706B">
              <w:t>41.0</w:t>
            </w:r>
          </w:p>
        </w:tc>
        <w:tc>
          <w:tcPr>
            <w:tcW w:w="2204" w:type="dxa"/>
            <w:tcMar>
              <w:left w:w="85" w:type="dxa"/>
              <w:right w:w="85" w:type="dxa"/>
            </w:tcMar>
          </w:tcPr>
          <w:p w14:paraId="34FCACB4" w14:textId="77777777" w:rsidR="00E151C5" w:rsidRPr="00CE706B" w:rsidRDefault="00E151C5" w:rsidP="00873AF3">
            <w:pPr>
              <w:pStyle w:val="COMTabletext"/>
              <w:ind w:left="61"/>
              <w:jc w:val="center"/>
            </w:pPr>
            <w:r w:rsidRPr="00CE706B">
              <w:t>36.0, 43.0</w:t>
            </w:r>
          </w:p>
        </w:tc>
        <w:tc>
          <w:tcPr>
            <w:tcW w:w="2296" w:type="dxa"/>
            <w:tcMar>
              <w:left w:w="85" w:type="dxa"/>
              <w:right w:w="85" w:type="dxa"/>
            </w:tcMar>
          </w:tcPr>
          <w:p w14:paraId="5C7A54A0" w14:textId="77777777" w:rsidR="00E151C5" w:rsidRPr="00CE706B" w:rsidRDefault="00E151C5" w:rsidP="00873AF3">
            <w:pPr>
              <w:pStyle w:val="COMTabletext"/>
              <w:ind w:left="61"/>
              <w:jc w:val="center"/>
            </w:pPr>
            <w:r w:rsidRPr="00CE706B">
              <w:t>11.3</w:t>
            </w:r>
          </w:p>
        </w:tc>
      </w:tr>
      <w:tr w:rsidR="00E151C5" w:rsidRPr="00CE706B" w14:paraId="5B5484C8" w14:textId="77777777">
        <w:trPr>
          <w:trHeight w:val="20"/>
        </w:trPr>
        <w:tc>
          <w:tcPr>
            <w:tcW w:w="1832" w:type="dxa"/>
            <w:tcMar>
              <w:left w:w="85" w:type="dxa"/>
              <w:right w:w="85" w:type="dxa"/>
            </w:tcMar>
          </w:tcPr>
          <w:p w14:paraId="062E1954" w14:textId="77777777" w:rsidR="00E151C5" w:rsidRPr="00CE706B" w:rsidRDefault="00E151C5" w:rsidP="00873AF3">
            <w:pPr>
              <w:pStyle w:val="COMTabletext"/>
              <w:ind w:left="61"/>
            </w:pPr>
            <w:r w:rsidRPr="00CE706B">
              <w:t>8 to 9</w:t>
            </w:r>
          </w:p>
        </w:tc>
        <w:tc>
          <w:tcPr>
            <w:tcW w:w="1105" w:type="dxa"/>
            <w:tcMar>
              <w:left w:w="85" w:type="dxa"/>
              <w:right w:w="85" w:type="dxa"/>
            </w:tcMar>
          </w:tcPr>
          <w:p w14:paraId="318E6E5A" w14:textId="77777777" w:rsidR="00E151C5" w:rsidRPr="00CE706B" w:rsidRDefault="00E151C5" w:rsidP="00873AF3">
            <w:pPr>
              <w:pStyle w:val="COMTabletext"/>
              <w:ind w:left="61"/>
              <w:jc w:val="center"/>
            </w:pPr>
            <w:r w:rsidRPr="00CE706B">
              <w:t>63</w:t>
            </w:r>
          </w:p>
        </w:tc>
        <w:tc>
          <w:tcPr>
            <w:tcW w:w="1635" w:type="dxa"/>
            <w:tcMar>
              <w:left w:w="85" w:type="dxa"/>
              <w:right w:w="85" w:type="dxa"/>
            </w:tcMar>
          </w:tcPr>
          <w:p w14:paraId="402C4D6F" w14:textId="77777777" w:rsidR="00E151C5" w:rsidRPr="00CE706B" w:rsidRDefault="00E151C5" w:rsidP="00873AF3">
            <w:pPr>
              <w:pStyle w:val="COMTabletext"/>
              <w:ind w:left="61"/>
              <w:jc w:val="center"/>
            </w:pPr>
            <w:r w:rsidRPr="00CE706B">
              <w:t>37.0</w:t>
            </w:r>
          </w:p>
        </w:tc>
        <w:tc>
          <w:tcPr>
            <w:tcW w:w="2204" w:type="dxa"/>
            <w:tcMar>
              <w:left w:w="85" w:type="dxa"/>
              <w:right w:w="85" w:type="dxa"/>
            </w:tcMar>
          </w:tcPr>
          <w:p w14:paraId="7EA373E3" w14:textId="77777777" w:rsidR="00E151C5" w:rsidRPr="00CE706B" w:rsidRDefault="00E151C5" w:rsidP="00873AF3">
            <w:pPr>
              <w:pStyle w:val="COMTabletext"/>
              <w:ind w:left="61"/>
              <w:jc w:val="center"/>
            </w:pPr>
            <w:r w:rsidRPr="00CE706B">
              <w:t>35.0, 40.0</w:t>
            </w:r>
          </w:p>
        </w:tc>
        <w:tc>
          <w:tcPr>
            <w:tcW w:w="2296" w:type="dxa"/>
            <w:tcMar>
              <w:left w:w="85" w:type="dxa"/>
              <w:right w:w="85" w:type="dxa"/>
            </w:tcMar>
          </w:tcPr>
          <w:p w14:paraId="5FA1C020" w14:textId="77777777" w:rsidR="00E151C5" w:rsidRPr="00CE706B" w:rsidRDefault="00E151C5" w:rsidP="00873AF3">
            <w:pPr>
              <w:pStyle w:val="COMTabletext"/>
              <w:ind w:left="61"/>
              <w:jc w:val="center"/>
            </w:pPr>
            <w:r w:rsidRPr="00CE706B">
              <w:t>17.5</w:t>
            </w:r>
          </w:p>
        </w:tc>
      </w:tr>
      <w:tr w:rsidR="00E151C5" w:rsidRPr="00CE706B" w14:paraId="08C33537" w14:textId="77777777">
        <w:trPr>
          <w:trHeight w:val="20"/>
        </w:trPr>
        <w:tc>
          <w:tcPr>
            <w:tcW w:w="1832" w:type="dxa"/>
            <w:tcMar>
              <w:left w:w="85" w:type="dxa"/>
              <w:right w:w="85" w:type="dxa"/>
            </w:tcMar>
          </w:tcPr>
          <w:p w14:paraId="5476E1D8" w14:textId="77777777" w:rsidR="00E151C5" w:rsidRPr="00CE706B" w:rsidRDefault="00E151C5" w:rsidP="00873AF3">
            <w:pPr>
              <w:pStyle w:val="COMTabletext"/>
              <w:ind w:left="61"/>
            </w:pPr>
            <w:r w:rsidRPr="00CE706B">
              <w:t>9 to 10</w:t>
            </w:r>
          </w:p>
        </w:tc>
        <w:tc>
          <w:tcPr>
            <w:tcW w:w="1105" w:type="dxa"/>
            <w:tcMar>
              <w:left w:w="85" w:type="dxa"/>
              <w:right w:w="85" w:type="dxa"/>
            </w:tcMar>
          </w:tcPr>
          <w:p w14:paraId="6FC2F89A" w14:textId="77777777" w:rsidR="00E151C5" w:rsidRPr="00CE706B" w:rsidRDefault="00E151C5" w:rsidP="00873AF3">
            <w:pPr>
              <w:pStyle w:val="COMTabletext"/>
              <w:ind w:left="61"/>
              <w:jc w:val="center"/>
            </w:pPr>
            <w:r w:rsidRPr="00CE706B">
              <w:t>52</w:t>
            </w:r>
          </w:p>
        </w:tc>
        <w:tc>
          <w:tcPr>
            <w:tcW w:w="1635" w:type="dxa"/>
            <w:tcMar>
              <w:left w:w="85" w:type="dxa"/>
              <w:right w:w="85" w:type="dxa"/>
            </w:tcMar>
          </w:tcPr>
          <w:p w14:paraId="25C823AF" w14:textId="77777777" w:rsidR="00E151C5" w:rsidRPr="00CE706B" w:rsidRDefault="00E151C5" w:rsidP="00873AF3">
            <w:pPr>
              <w:pStyle w:val="COMTabletext"/>
              <w:ind w:left="61"/>
              <w:jc w:val="center"/>
            </w:pPr>
            <w:r w:rsidRPr="00CE706B">
              <w:t>31.0</w:t>
            </w:r>
          </w:p>
        </w:tc>
        <w:tc>
          <w:tcPr>
            <w:tcW w:w="2204" w:type="dxa"/>
            <w:tcMar>
              <w:left w:w="85" w:type="dxa"/>
              <w:right w:w="85" w:type="dxa"/>
            </w:tcMar>
          </w:tcPr>
          <w:p w14:paraId="0A0DAE3E" w14:textId="77777777" w:rsidR="00E151C5" w:rsidRPr="00CE706B" w:rsidRDefault="00E151C5" w:rsidP="00873AF3">
            <w:pPr>
              <w:pStyle w:val="COMTabletext"/>
              <w:ind w:left="61"/>
              <w:jc w:val="center"/>
            </w:pPr>
            <w:r w:rsidRPr="00CE706B">
              <w:t>29.0, 36.0</w:t>
            </w:r>
          </w:p>
        </w:tc>
        <w:tc>
          <w:tcPr>
            <w:tcW w:w="2296" w:type="dxa"/>
            <w:tcMar>
              <w:left w:w="85" w:type="dxa"/>
              <w:right w:w="85" w:type="dxa"/>
            </w:tcMar>
          </w:tcPr>
          <w:p w14:paraId="49E246CE" w14:textId="77777777" w:rsidR="00E151C5" w:rsidRPr="00CE706B" w:rsidRDefault="00E151C5" w:rsidP="00873AF3">
            <w:pPr>
              <w:pStyle w:val="COMTabletext"/>
              <w:ind w:left="61"/>
              <w:jc w:val="center"/>
            </w:pPr>
            <w:r w:rsidRPr="00CE706B">
              <w:t>21.2</w:t>
            </w:r>
          </w:p>
        </w:tc>
      </w:tr>
      <w:tr w:rsidR="00E151C5" w:rsidRPr="00CE706B" w14:paraId="4FEBDCFA" w14:textId="77777777">
        <w:trPr>
          <w:trHeight w:val="20"/>
        </w:trPr>
        <w:tc>
          <w:tcPr>
            <w:tcW w:w="1832" w:type="dxa"/>
            <w:tcMar>
              <w:left w:w="85" w:type="dxa"/>
              <w:right w:w="85" w:type="dxa"/>
            </w:tcMar>
          </w:tcPr>
          <w:p w14:paraId="43DD336E" w14:textId="77777777" w:rsidR="00E151C5" w:rsidRPr="00CE706B" w:rsidRDefault="00E151C5" w:rsidP="00873AF3">
            <w:pPr>
              <w:pStyle w:val="COMTabletext"/>
              <w:ind w:left="61"/>
            </w:pPr>
            <w:r w:rsidRPr="00CE706B">
              <w:t>10 to 11</w:t>
            </w:r>
          </w:p>
        </w:tc>
        <w:tc>
          <w:tcPr>
            <w:tcW w:w="1105" w:type="dxa"/>
            <w:tcMar>
              <w:left w:w="85" w:type="dxa"/>
              <w:right w:w="85" w:type="dxa"/>
            </w:tcMar>
          </w:tcPr>
          <w:p w14:paraId="180AE27F" w14:textId="77777777" w:rsidR="00E151C5" w:rsidRPr="00CE706B" w:rsidRDefault="00E151C5" w:rsidP="00873AF3">
            <w:pPr>
              <w:pStyle w:val="COMTabletext"/>
              <w:ind w:left="61"/>
              <w:jc w:val="center"/>
            </w:pPr>
            <w:r w:rsidRPr="00CE706B">
              <w:t>41</w:t>
            </w:r>
          </w:p>
        </w:tc>
        <w:tc>
          <w:tcPr>
            <w:tcW w:w="1635" w:type="dxa"/>
            <w:tcMar>
              <w:left w:w="85" w:type="dxa"/>
              <w:right w:w="85" w:type="dxa"/>
            </w:tcMar>
          </w:tcPr>
          <w:p w14:paraId="749FEC50" w14:textId="77777777" w:rsidR="00E151C5" w:rsidRPr="00CE706B" w:rsidRDefault="00E151C5" w:rsidP="00873AF3">
            <w:pPr>
              <w:pStyle w:val="COMTabletext"/>
              <w:ind w:left="61"/>
              <w:jc w:val="center"/>
            </w:pPr>
            <w:r w:rsidRPr="00CE706B">
              <w:t>31.0</w:t>
            </w:r>
          </w:p>
        </w:tc>
        <w:tc>
          <w:tcPr>
            <w:tcW w:w="2204" w:type="dxa"/>
            <w:tcMar>
              <w:left w:w="85" w:type="dxa"/>
              <w:right w:w="85" w:type="dxa"/>
            </w:tcMar>
          </w:tcPr>
          <w:p w14:paraId="3639B286" w14:textId="77777777" w:rsidR="00E151C5" w:rsidRPr="00CE706B" w:rsidRDefault="00E151C5" w:rsidP="00873AF3">
            <w:pPr>
              <w:pStyle w:val="COMTabletext"/>
              <w:ind w:left="61"/>
              <w:jc w:val="center"/>
            </w:pPr>
            <w:r w:rsidRPr="00CE706B">
              <w:t>28.0, 36.0</w:t>
            </w:r>
          </w:p>
        </w:tc>
        <w:tc>
          <w:tcPr>
            <w:tcW w:w="2296" w:type="dxa"/>
            <w:tcMar>
              <w:left w:w="85" w:type="dxa"/>
              <w:right w:w="85" w:type="dxa"/>
            </w:tcMar>
          </w:tcPr>
          <w:p w14:paraId="5E828316" w14:textId="77777777" w:rsidR="00E151C5" w:rsidRPr="00CE706B" w:rsidRDefault="00E151C5" w:rsidP="00873AF3">
            <w:pPr>
              <w:pStyle w:val="COMTabletext"/>
              <w:ind w:left="61"/>
              <w:jc w:val="center"/>
            </w:pPr>
            <w:r w:rsidRPr="00CE706B">
              <w:t>26.8</w:t>
            </w:r>
          </w:p>
        </w:tc>
      </w:tr>
      <w:tr w:rsidR="00E151C5" w:rsidRPr="00CE706B" w14:paraId="09FAF534" w14:textId="77777777">
        <w:trPr>
          <w:trHeight w:val="20"/>
        </w:trPr>
        <w:tc>
          <w:tcPr>
            <w:tcW w:w="1832" w:type="dxa"/>
            <w:tcMar>
              <w:left w:w="85" w:type="dxa"/>
              <w:right w:w="85" w:type="dxa"/>
            </w:tcMar>
          </w:tcPr>
          <w:p w14:paraId="26893192" w14:textId="77777777" w:rsidR="00E151C5" w:rsidRPr="00CE706B" w:rsidRDefault="00E151C5" w:rsidP="00873AF3">
            <w:pPr>
              <w:pStyle w:val="COMTabletext"/>
              <w:ind w:left="61"/>
            </w:pPr>
            <w:r w:rsidRPr="00CE706B">
              <w:t>11 to 12</w:t>
            </w:r>
          </w:p>
        </w:tc>
        <w:tc>
          <w:tcPr>
            <w:tcW w:w="1105" w:type="dxa"/>
            <w:tcMar>
              <w:left w:w="85" w:type="dxa"/>
              <w:right w:w="85" w:type="dxa"/>
            </w:tcMar>
          </w:tcPr>
          <w:p w14:paraId="783F8434" w14:textId="77777777" w:rsidR="00E151C5" w:rsidRPr="00CE706B" w:rsidRDefault="00E151C5" w:rsidP="00873AF3">
            <w:pPr>
              <w:pStyle w:val="COMTabletext"/>
              <w:ind w:left="61"/>
              <w:jc w:val="center"/>
            </w:pPr>
            <w:r w:rsidRPr="00CE706B">
              <w:t>30</w:t>
            </w:r>
          </w:p>
        </w:tc>
        <w:tc>
          <w:tcPr>
            <w:tcW w:w="1635" w:type="dxa"/>
            <w:tcMar>
              <w:left w:w="85" w:type="dxa"/>
              <w:right w:w="85" w:type="dxa"/>
            </w:tcMar>
          </w:tcPr>
          <w:p w14:paraId="37BFBABF" w14:textId="77777777" w:rsidR="00E151C5" w:rsidRPr="00CE706B" w:rsidRDefault="00E151C5" w:rsidP="00873AF3">
            <w:pPr>
              <w:pStyle w:val="COMTabletext"/>
              <w:ind w:left="61"/>
              <w:jc w:val="center"/>
            </w:pPr>
            <w:r w:rsidRPr="00CE706B">
              <w:t>29.0</w:t>
            </w:r>
          </w:p>
        </w:tc>
        <w:tc>
          <w:tcPr>
            <w:tcW w:w="2204" w:type="dxa"/>
            <w:tcMar>
              <w:left w:w="85" w:type="dxa"/>
              <w:right w:w="85" w:type="dxa"/>
            </w:tcMar>
          </w:tcPr>
          <w:p w14:paraId="516C14F7" w14:textId="77777777" w:rsidR="00E151C5" w:rsidRPr="00CE706B" w:rsidRDefault="00E151C5" w:rsidP="00873AF3">
            <w:pPr>
              <w:pStyle w:val="COMTabletext"/>
              <w:ind w:left="61"/>
              <w:jc w:val="center"/>
            </w:pPr>
            <w:r w:rsidRPr="00CE706B">
              <w:t>22.0, 34.0</w:t>
            </w:r>
          </w:p>
        </w:tc>
        <w:tc>
          <w:tcPr>
            <w:tcW w:w="2296" w:type="dxa"/>
            <w:tcMar>
              <w:left w:w="85" w:type="dxa"/>
              <w:right w:w="85" w:type="dxa"/>
            </w:tcMar>
          </w:tcPr>
          <w:p w14:paraId="3A6D30EE" w14:textId="77777777" w:rsidR="00E151C5" w:rsidRPr="00CE706B" w:rsidRDefault="00E151C5" w:rsidP="00873AF3">
            <w:pPr>
              <w:pStyle w:val="COMTabletext"/>
              <w:ind w:left="61"/>
              <w:jc w:val="center"/>
            </w:pPr>
            <w:r w:rsidRPr="00CE706B">
              <w:t>26.7</w:t>
            </w:r>
          </w:p>
        </w:tc>
      </w:tr>
    </w:tbl>
    <w:p w14:paraId="7B9D7E17" w14:textId="77777777" w:rsidR="00E151C5" w:rsidRPr="00CE706B" w:rsidRDefault="00E151C5" w:rsidP="00873AF3">
      <w:pPr>
        <w:pStyle w:val="COMTablefooter"/>
        <w:ind w:left="709" w:hanging="709"/>
      </w:pPr>
      <w:r w:rsidRPr="00CE706B">
        <w:t xml:space="preserve">Source: Table 9-10, p177 MG0007 </w:t>
      </w:r>
      <w:r>
        <w:t>clinical study report</w:t>
      </w:r>
      <w:r w:rsidRPr="00CE706B">
        <w:t>, July 2024</w:t>
      </w:r>
    </w:p>
    <w:p w14:paraId="63FB2D04" w14:textId="1A118474" w:rsidR="00E151C5" w:rsidRPr="00CE706B" w:rsidRDefault="00E151C5" w:rsidP="00873AF3">
      <w:pPr>
        <w:pStyle w:val="COMTablefooter"/>
        <w:ind w:left="709" w:hanging="709"/>
      </w:pPr>
      <w:r w:rsidRPr="00CE706B">
        <w:t>Abbreviations: CI, confidence interval</w:t>
      </w:r>
    </w:p>
    <w:p w14:paraId="35FAEB9D" w14:textId="450A5C27" w:rsidR="00E151C5" w:rsidRPr="00CE706B" w:rsidRDefault="00E151C5" w:rsidP="00873AF3">
      <w:pPr>
        <w:pStyle w:val="COMexecsummnumbered"/>
      </w:pPr>
      <w:r w:rsidRPr="7E0DBB7D">
        <w:t xml:space="preserve">The median treatment-free interval was approximately 9 weeks between Cycles 1 and 2, and approximately 7 to 9 weeks between Cycles 2 and 3. Over subsequent cycles, the median treatment-free interval gradually decreased from approximately 6 weeks to approximately 4 weeks by Cycle 12. </w:t>
      </w:r>
    </w:p>
    <w:p w14:paraId="2BC566B8" w14:textId="6173C6B8" w:rsidR="007C548E" w:rsidRPr="006077B2" w:rsidRDefault="00E151C5" w:rsidP="00873AF3">
      <w:pPr>
        <w:pStyle w:val="COMexecsummnumbered"/>
      </w:pPr>
      <w:r w:rsidRPr="7E0DBB7D">
        <w:t>Three (4.5%) placebo-treated patients received rescue therapy during the MycarinG treatment period, with one of these patients requiring additional rescue therapy during the observation period. One patient (1.5%) in the rozanolixizumab ~7</w:t>
      </w:r>
      <w:r w:rsidR="00ED3CEE">
        <w:t> </w:t>
      </w:r>
      <w:r w:rsidRPr="7E0DBB7D">
        <w:t xml:space="preserve">mg/kg arm and 2 patients (3%) in the ~10 mg/kg arm required rescue therapy during the observation period. All patients received IVIg as rescue medication. Additional patients who required rescue therapy during the observation period of MycarinG opted to roll over to the </w:t>
      </w:r>
      <w:r w:rsidR="51F0D92A" w:rsidRPr="7E0DBB7D">
        <w:t xml:space="preserve">MG0004 (10.5% of total study population) or MG0007 (12.5%) </w:t>
      </w:r>
      <w:r w:rsidRPr="7E0DBB7D">
        <w:t>extension studies to receive further treatment with rozanolixizumab.</w:t>
      </w:r>
      <w:r w:rsidR="59A9152B" w:rsidRPr="7E0DBB7D">
        <w:t xml:space="preserve"> During </w:t>
      </w:r>
      <w:r w:rsidRPr="7E0DBB7D">
        <w:t>the MG0007 extension study, 15.9% of patients received rescue therapy (IVIg, PLEX or intravenous steroids). The median time to rescue therapy was not reached in the rozanolixizumab ~7 mg/kg arm and was 969 days in the ~10 mg/kg treatment arm.</w:t>
      </w:r>
      <w:r w:rsidR="59A9152B" w:rsidRPr="7E0DBB7D">
        <w:t xml:space="preserve"> Exacerbations or myasthenic crisis events were not captured as clinical outcomes in the rozanolixizumab studies.</w:t>
      </w:r>
    </w:p>
    <w:p w14:paraId="3A6FA542" w14:textId="2CFA2BBF" w:rsidR="00503DDE" w:rsidRDefault="20CA1919" w:rsidP="00873AF3">
      <w:pPr>
        <w:pStyle w:val="COMH4"/>
        <w:ind w:left="142" w:hanging="142"/>
      </w:pPr>
      <w:bookmarkStart w:id="44" w:name="_Hlk193974573"/>
      <w:r w:rsidRPr="7E0DBB7D">
        <w:t>Rozanolixizumab versus IVIg</w:t>
      </w:r>
    </w:p>
    <w:bookmarkEnd w:id="44"/>
    <w:p w14:paraId="2DFA72B4" w14:textId="11EA067C" w:rsidR="0008695A" w:rsidRPr="006077B2" w:rsidRDefault="650E5A87" w:rsidP="00873AF3">
      <w:pPr>
        <w:pStyle w:val="COMexecsummnumbered"/>
      </w:pPr>
      <w:r w:rsidRPr="7E0DBB7D">
        <w:t xml:space="preserve">The submission noted that there were several differences across the IVIg trials including dose regimens, timepoints for outcome assessments and disease characteristics that precluded a pooled analysis of </w:t>
      </w:r>
      <w:r w:rsidR="00BA3F9A" w:rsidRPr="7E0DBB7D">
        <w:t>outcomes and</w:t>
      </w:r>
      <w:r w:rsidRPr="7E0DBB7D">
        <w:t xml:space="preserve"> therefore conducted indirect comparisons </w:t>
      </w:r>
      <w:bookmarkStart w:id="45" w:name="_Hlk194041928"/>
      <w:r w:rsidRPr="7E0DBB7D">
        <w:t xml:space="preserve">between the MycarinG rozanolixizumab trial and the IVIg trials </w:t>
      </w:r>
      <w:bookmarkEnd w:id="45"/>
      <w:r w:rsidRPr="7E0DBB7D">
        <w:t xml:space="preserve">individually. No non-inferiority margins were specified, with </w:t>
      </w:r>
      <w:r w:rsidR="00AB48CD">
        <w:t xml:space="preserve">the submission assuming </w:t>
      </w:r>
      <w:r w:rsidRPr="7E0DBB7D">
        <w:t>non-inferiority between treatments based on a lack of statistically significant difference.</w:t>
      </w:r>
    </w:p>
    <w:p w14:paraId="6DD56750" w14:textId="6DF5A658" w:rsidR="0008695A" w:rsidRPr="006077B2" w:rsidRDefault="650E5A87" w:rsidP="00873AF3">
      <w:pPr>
        <w:pStyle w:val="COMexecsummnumbered"/>
      </w:pPr>
      <w:r w:rsidRPr="7E0DBB7D">
        <w:t xml:space="preserve">The submission did not describe the methods used for performing the indirect </w:t>
      </w:r>
      <w:r w:rsidR="00BA3F9A" w:rsidRPr="7E0DBB7D">
        <w:t>comparisons and</w:t>
      </w:r>
      <w:r w:rsidRPr="7E0DBB7D">
        <w:t xml:space="preserve"> did not provide documentation in order to verify the results of the indirect comparisons.</w:t>
      </w:r>
    </w:p>
    <w:p w14:paraId="62B1D508" w14:textId="5156233E" w:rsidR="009C50BF" w:rsidRPr="00052A96" w:rsidRDefault="3171A27C" w:rsidP="00873AF3">
      <w:pPr>
        <w:pStyle w:val="COMexecsummnumbered"/>
      </w:pPr>
      <w:r w:rsidRPr="7E0DBB7D">
        <w:t>The indirect comparison of the MycarinG trial</w:t>
      </w:r>
      <w:r w:rsidR="4C5AC3D2" w:rsidRPr="7E0DBB7D">
        <w:t xml:space="preserve"> (~7 mg/kg arm only)</w:t>
      </w:r>
      <w:r w:rsidRPr="7E0DBB7D">
        <w:t xml:space="preserve"> and Bril 2024 </w:t>
      </w:r>
      <w:r w:rsidR="75EB27CC" w:rsidRPr="7E0DBB7D">
        <w:t>was the key evidence presented</w:t>
      </w:r>
      <w:r w:rsidRPr="7E0DBB7D">
        <w:t xml:space="preserve"> for the submission’s </w:t>
      </w:r>
      <w:r w:rsidR="75EB27CC" w:rsidRPr="7E0DBB7D">
        <w:t xml:space="preserve">claim of non-inferiority of rozanolixizumab and IVIg. </w:t>
      </w:r>
      <w:r w:rsidR="43A4A473" w:rsidRPr="7E0DBB7D">
        <w:t>The submission noted differences between the trials in terms of baseline disease severity</w:t>
      </w:r>
      <w:r w:rsidR="70D45115" w:rsidRPr="7E0DBB7D">
        <w:t xml:space="preserve"> and functional impairment. </w:t>
      </w:r>
      <w:r w:rsidR="7A9756CF" w:rsidRPr="7E0DBB7D">
        <w:t xml:space="preserve">Concomitant myasthenia gravis therapies could not be compared between trials as details were not provided in </w:t>
      </w:r>
      <w:bookmarkStart w:id="46" w:name="_Hlk194041944"/>
      <w:r w:rsidR="7A9756CF" w:rsidRPr="7E0DBB7D">
        <w:t>Bril 2024</w:t>
      </w:r>
      <w:bookmarkEnd w:id="46"/>
      <w:r w:rsidR="7A9756CF" w:rsidRPr="7E0DBB7D">
        <w:t xml:space="preserve">. The </w:t>
      </w:r>
      <w:r w:rsidR="0B3E8ACD" w:rsidRPr="7E0DBB7D">
        <w:t xml:space="preserve">submission noted that the </w:t>
      </w:r>
      <w:r w:rsidR="7A9756CF" w:rsidRPr="7E0DBB7D">
        <w:t>IVIg dosing regimen used in Bril</w:t>
      </w:r>
      <w:r w:rsidR="00ED3CEE">
        <w:t> </w:t>
      </w:r>
      <w:r w:rsidR="7A9756CF" w:rsidRPr="7E0DBB7D">
        <w:t xml:space="preserve">2024 was more intensive </w:t>
      </w:r>
      <w:r w:rsidR="7A9756CF" w:rsidRPr="00052A96">
        <w:t xml:space="preserve">than recommended in the Australian product information or subsidised </w:t>
      </w:r>
      <w:r w:rsidR="000159C2">
        <w:t>by</w:t>
      </w:r>
      <w:r w:rsidR="7A9756CF" w:rsidRPr="00052A96">
        <w:t xml:space="preserve"> the </w:t>
      </w:r>
      <w:r w:rsidR="000159C2">
        <w:t>NBA</w:t>
      </w:r>
      <w:r w:rsidR="0B3E8ACD" w:rsidRPr="00052A96">
        <w:t>, which may overestimate the efficacy of IVIg at doses recommended in Australia</w:t>
      </w:r>
      <w:r w:rsidR="7A9756CF" w:rsidRPr="00052A96">
        <w:t>.</w:t>
      </w:r>
      <w:r w:rsidR="2A6A0D3E" w:rsidRPr="00052A96">
        <w:t xml:space="preserve"> The PSCR </w:t>
      </w:r>
      <w:r w:rsidR="3BD09458" w:rsidRPr="00052A96">
        <w:t>argued that</w:t>
      </w:r>
      <w:r w:rsidR="4D8F40B2" w:rsidRPr="00052A96">
        <w:t xml:space="preserve"> the </w:t>
      </w:r>
      <w:r w:rsidR="53CE76C7" w:rsidRPr="00052A96">
        <w:t>full publication of</w:t>
      </w:r>
      <w:r w:rsidR="3BD09458" w:rsidRPr="00052A96">
        <w:t xml:space="preserve"> Bril</w:t>
      </w:r>
      <w:r w:rsidR="00ED3CEE">
        <w:t> </w:t>
      </w:r>
      <w:r w:rsidR="3644BCC6" w:rsidRPr="00052A96">
        <w:t>2024</w:t>
      </w:r>
      <w:r w:rsidR="59D83561" w:rsidRPr="00052A96">
        <w:t xml:space="preserve"> (which </w:t>
      </w:r>
      <w:r w:rsidR="5EADCE7F" w:rsidRPr="00052A96">
        <w:t>became available after lodgement of the submission)</w:t>
      </w:r>
      <w:r w:rsidR="3644BCC6" w:rsidRPr="00052A96">
        <w:t xml:space="preserve"> </w:t>
      </w:r>
      <w:r w:rsidR="00B97E2A" w:rsidRPr="00052A96">
        <w:t>enable</w:t>
      </w:r>
      <w:r w:rsidR="00B97E2A">
        <w:t>d</w:t>
      </w:r>
      <w:r w:rsidR="00B97E2A" w:rsidRPr="00052A96">
        <w:t xml:space="preserve"> </w:t>
      </w:r>
      <w:r w:rsidR="6DD9540C" w:rsidRPr="00052A96">
        <w:t xml:space="preserve">a comparison of </w:t>
      </w:r>
      <w:r w:rsidR="71A6F405" w:rsidRPr="00052A96">
        <w:t xml:space="preserve">the </w:t>
      </w:r>
      <w:r w:rsidR="3CF13E49" w:rsidRPr="00052A96">
        <w:t>baseline characteristics across MycarinG and Bril</w:t>
      </w:r>
      <w:r w:rsidR="00F32FF1" w:rsidRPr="00052A96">
        <w:t> </w:t>
      </w:r>
      <w:r w:rsidR="3CF13E49" w:rsidRPr="00052A96">
        <w:t>2024</w:t>
      </w:r>
      <w:r w:rsidR="61C5FE34" w:rsidRPr="00052A96">
        <w:t>. The PSCR</w:t>
      </w:r>
      <w:r w:rsidR="6416B4E1" w:rsidRPr="00052A96">
        <w:t xml:space="preserve"> stated “</w:t>
      </w:r>
      <w:r w:rsidR="3CF13E49" w:rsidRPr="00052A96">
        <w:t>both trials enrolled patients of a similar age and functional impairment at baseline: a mean MG-ADL score across treatment arms of 7-8, QMG of 15-16, and MGC of 15-17.</w:t>
      </w:r>
      <w:r w:rsidR="25000263" w:rsidRPr="00052A96">
        <w:t xml:space="preserve"> </w:t>
      </w:r>
      <w:r w:rsidR="0A8C4F97" w:rsidRPr="00052A96">
        <w:t xml:space="preserve">MycarinG enrolled slightly more severe patients based on the MGFA </w:t>
      </w:r>
      <w:r w:rsidR="00BA3F9A" w:rsidRPr="00052A96">
        <w:t>classification,</w:t>
      </w:r>
      <w:r w:rsidR="0A8C4F97" w:rsidRPr="00052A96">
        <w:t xml:space="preserve"> but similar proportions of patients received concomitant treatment with </w:t>
      </w:r>
      <w:r w:rsidR="000159C2">
        <w:t>an NS-IST</w:t>
      </w:r>
      <w:r w:rsidR="0A8C4F97" w:rsidRPr="00052A96">
        <w:t xml:space="preserve"> at baseline across treatment arms and the studies (49-56%).</w:t>
      </w:r>
      <w:r w:rsidR="1BF27188" w:rsidRPr="00052A96">
        <w:t>”</w:t>
      </w:r>
      <w:r w:rsidR="0A8C4F97" w:rsidRPr="00052A96">
        <w:t xml:space="preserve"> </w:t>
      </w:r>
    </w:p>
    <w:p w14:paraId="2674C3C1" w14:textId="4FF5CDED" w:rsidR="00233655" w:rsidRPr="00052A96" w:rsidRDefault="664123CF" w:rsidP="00873AF3">
      <w:pPr>
        <w:pStyle w:val="COMexecsummnumbered"/>
      </w:pPr>
      <w:r w:rsidRPr="00052A96">
        <w:t>The submission noted that outcomes</w:t>
      </w:r>
      <w:r w:rsidRPr="7E0DBB7D">
        <w:t xml:space="preserve"> were assessed at 24 weeks in Bril 2024 compared to 6 weeks in MycarinG</w:t>
      </w:r>
      <w:r w:rsidR="62B8C343" w:rsidRPr="7E0DBB7D">
        <w:t xml:space="preserve"> and argued that IVIg </w:t>
      </w:r>
      <w:r w:rsidRPr="7E0DBB7D">
        <w:t xml:space="preserve">results at week 24 would be a likely overestimate of the efficacy of IVIg at Week 6. </w:t>
      </w:r>
      <w:r w:rsidR="25042852" w:rsidRPr="7E0DBB7D">
        <w:t>Th</w:t>
      </w:r>
      <w:r w:rsidR="1FDA7803" w:rsidRPr="7E0DBB7D">
        <w:t>e evaluation considered that th</w:t>
      </w:r>
      <w:r w:rsidR="25042852" w:rsidRPr="7E0DBB7D">
        <w:t>is was not adequately supported</w:t>
      </w:r>
      <w:r w:rsidR="6451B912" w:rsidRPr="7E0DBB7D">
        <w:t xml:space="preserve">, as </w:t>
      </w:r>
      <w:r w:rsidR="6451B912" w:rsidRPr="00052A96">
        <w:t xml:space="preserve">the comparison </w:t>
      </w:r>
      <w:r w:rsidR="30B06A3A" w:rsidRPr="00052A96">
        <w:t>does</w:t>
      </w:r>
      <w:r w:rsidRPr="00052A96">
        <w:t xml:space="preserve"> not take into account the differences in treatment effects over time, with waning efficacy of rozanolixizumab after each </w:t>
      </w:r>
      <w:r w:rsidR="00BA3F9A" w:rsidRPr="00052A96">
        <w:t>6-week</w:t>
      </w:r>
      <w:r w:rsidRPr="00052A96">
        <w:t xml:space="preserve"> cycle compared to a constant treatment effect for IVIg.</w:t>
      </w:r>
      <w:r w:rsidR="4F72D18F" w:rsidRPr="00052A96">
        <w:t xml:space="preserve"> </w:t>
      </w:r>
      <w:r w:rsidR="53CFC008" w:rsidRPr="00052A96">
        <w:t xml:space="preserve">The PSCR provided </w:t>
      </w:r>
      <w:r w:rsidR="7543751C" w:rsidRPr="00052A96">
        <w:t>the r</w:t>
      </w:r>
      <w:r w:rsidR="0E9A6674" w:rsidRPr="00052A96">
        <w:t xml:space="preserve">esults from Bril 2024 at </w:t>
      </w:r>
      <w:r w:rsidR="47EEA10F" w:rsidRPr="00052A96">
        <w:t>Week 6</w:t>
      </w:r>
      <w:r w:rsidR="65AE6D38" w:rsidRPr="00052A96">
        <w:t xml:space="preserve"> (which were included in the full publication)</w:t>
      </w:r>
      <w:r w:rsidR="2340BC7F" w:rsidRPr="00052A96">
        <w:t xml:space="preserve"> to enable </w:t>
      </w:r>
      <w:r w:rsidR="4F72D18F" w:rsidRPr="00052A96">
        <w:t xml:space="preserve">a comparison </w:t>
      </w:r>
      <w:r w:rsidR="580FAECC" w:rsidRPr="00052A96">
        <w:t xml:space="preserve">of outcomes </w:t>
      </w:r>
      <w:r w:rsidR="4F72D18F" w:rsidRPr="00052A96">
        <w:t>at the same time-point.</w:t>
      </w:r>
    </w:p>
    <w:p w14:paraId="3FC71101" w14:textId="1867D8AC" w:rsidR="00A05D17" w:rsidRPr="00052A96" w:rsidRDefault="664123CF" w:rsidP="00873AF3">
      <w:pPr>
        <w:pStyle w:val="COMexecsummnumbered"/>
      </w:pPr>
      <w:r w:rsidRPr="00052A96">
        <w:t>Results for the indirect comparisons of MG-ADL, MGC and QMG responder rates for the MycarinG trial ITT population (~7 mg/kg arm only) and the Bril 2024 ITT population are summarised in</w:t>
      </w:r>
      <w:r w:rsidR="03490723" w:rsidRPr="00052A96">
        <w:t xml:space="preserve"> </w:t>
      </w:r>
      <w:r w:rsidR="00A05D17" w:rsidRPr="00052A96">
        <w:fldChar w:fldCharType="begin" w:fldLock="1"/>
      </w:r>
      <w:r w:rsidR="00A05D17" w:rsidRPr="00052A96">
        <w:instrText xml:space="preserve"> REF _Ref185264668 \h </w:instrText>
      </w:r>
      <w:r w:rsidR="00052A96" w:rsidRPr="00052A96">
        <w:instrText xml:space="preserve"> \* MERGEFORMAT </w:instrText>
      </w:r>
      <w:r w:rsidR="00A05D17" w:rsidRPr="00052A96">
        <w:fldChar w:fldCharType="separate"/>
      </w:r>
      <w:r w:rsidR="00E70E55" w:rsidRPr="7E0DBB7D">
        <w:t xml:space="preserve">Table </w:t>
      </w:r>
      <w:r w:rsidR="00E70E55">
        <w:rPr>
          <w:noProof/>
        </w:rPr>
        <w:t>9</w:t>
      </w:r>
      <w:r w:rsidR="00A05D17" w:rsidRPr="00052A96">
        <w:fldChar w:fldCharType="end"/>
      </w:r>
      <w:r w:rsidRPr="00052A96">
        <w:t>.</w:t>
      </w:r>
    </w:p>
    <w:p w14:paraId="14766EC9" w14:textId="4B3322EF" w:rsidR="00A05D17" w:rsidRDefault="0E87CBCA" w:rsidP="00873AF3">
      <w:pPr>
        <w:pStyle w:val="COMtablefigcaption"/>
      </w:pPr>
      <w:bookmarkStart w:id="47" w:name="_Ref185264668"/>
      <w:r w:rsidRPr="7E0DBB7D">
        <w:t>Table</w:t>
      </w:r>
      <w:r w:rsidR="2606A4B9" w:rsidRPr="7E0DBB7D">
        <w:t xml:space="preserve"> </w:t>
      </w:r>
      <w:r w:rsidR="00FB5E6D">
        <w:fldChar w:fldCharType="begin" w:fldLock="1"/>
      </w:r>
      <w:r w:rsidR="00FB5E6D">
        <w:instrText>SEQ Table \* ARABIC</w:instrText>
      </w:r>
      <w:r w:rsidR="00FB5E6D">
        <w:fldChar w:fldCharType="separate"/>
      </w:r>
      <w:r w:rsidR="00E70E55">
        <w:rPr>
          <w:noProof/>
        </w:rPr>
        <w:t>9</w:t>
      </w:r>
      <w:r w:rsidR="00FB5E6D">
        <w:fldChar w:fldCharType="end"/>
      </w:r>
      <w:bookmarkEnd w:id="47"/>
      <w:r w:rsidR="664123CF" w:rsidRPr="7E0DBB7D">
        <w:t xml:space="preserve">: Indirect comparison of responder efficacy outcomes, rozanolixizumab </w:t>
      </w:r>
      <w:r w:rsidR="534030B0" w:rsidRPr="7E0DBB7D">
        <w:t xml:space="preserve">(MycarinG ITT population) </w:t>
      </w:r>
      <w:r w:rsidR="664123CF" w:rsidRPr="7E0DBB7D">
        <w:t>versus IVIg</w:t>
      </w:r>
      <w:r w:rsidR="534030B0" w:rsidRPr="7E0DBB7D">
        <w:t xml:space="preserve"> (Bril 2024)</w:t>
      </w:r>
    </w:p>
    <w:tbl>
      <w:tblPr>
        <w:tblStyle w:val="TableGrid"/>
        <w:tblW w:w="5000" w:type="pct"/>
        <w:tblCellMar>
          <w:left w:w="28" w:type="dxa"/>
          <w:right w:w="28" w:type="dxa"/>
        </w:tblCellMar>
        <w:tblLook w:val="04A0" w:firstRow="1" w:lastRow="0" w:firstColumn="1" w:lastColumn="0" w:noHBand="0" w:noVBand="1"/>
        <w:tblCaption w:val="Table 9: Indirect comparison of responder efficacy outcomes, rozanolixizumab (MycarinG ITT population) versus IVIg (Bril 2024)"/>
      </w:tblPr>
      <w:tblGrid>
        <w:gridCol w:w="2547"/>
        <w:gridCol w:w="1559"/>
        <w:gridCol w:w="47"/>
        <w:gridCol w:w="1606"/>
        <w:gridCol w:w="48"/>
        <w:gridCol w:w="1559"/>
        <w:gridCol w:w="1651"/>
      </w:tblGrid>
      <w:tr w:rsidR="00BC1741" w14:paraId="446694F0" w14:textId="77777777" w:rsidTr="7E0DBB7D">
        <w:tc>
          <w:tcPr>
            <w:tcW w:w="2547" w:type="dxa"/>
            <w:vAlign w:val="center"/>
          </w:tcPr>
          <w:p w14:paraId="20C5C274" w14:textId="77777777" w:rsidR="00BC1741" w:rsidRPr="00715F74" w:rsidRDefault="00BC1741" w:rsidP="00873AF3">
            <w:pPr>
              <w:pStyle w:val="COMTabletext"/>
              <w:ind w:left="107"/>
              <w:rPr>
                <w:b/>
                <w:bCs w:val="0"/>
              </w:rPr>
            </w:pPr>
            <w:r w:rsidRPr="00715F74">
              <w:rPr>
                <w:b/>
                <w:bCs w:val="0"/>
              </w:rPr>
              <w:t>Trial</w:t>
            </w:r>
          </w:p>
        </w:tc>
        <w:tc>
          <w:tcPr>
            <w:tcW w:w="1606" w:type="dxa"/>
            <w:gridSpan w:val="2"/>
            <w:vAlign w:val="center"/>
          </w:tcPr>
          <w:p w14:paraId="6630CC40" w14:textId="3E768AF2" w:rsidR="00BC1741" w:rsidRPr="00715F74" w:rsidRDefault="00BC1741" w:rsidP="00873AF3">
            <w:pPr>
              <w:pStyle w:val="COMTabletext"/>
              <w:ind w:left="107"/>
              <w:jc w:val="center"/>
              <w:rPr>
                <w:b/>
                <w:bCs w:val="0"/>
              </w:rPr>
            </w:pPr>
            <w:r w:rsidRPr="00715F74">
              <w:rPr>
                <w:b/>
                <w:bCs w:val="0"/>
              </w:rPr>
              <w:t>R</w:t>
            </w:r>
            <w:r w:rsidR="00866A07">
              <w:rPr>
                <w:b/>
                <w:bCs w:val="0"/>
              </w:rPr>
              <w:t xml:space="preserve">LZ </w:t>
            </w:r>
            <w:r>
              <w:rPr>
                <w:b/>
                <w:bCs w:val="0"/>
              </w:rPr>
              <w:t>~7 mg/kg</w:t>
            </w:r>
          </w:p>
        </w:tc>
        <w:tc>
          <w:tcPr>
            <w:tcW w:w="1606" w:type="dxa"/>
            <w:vAlign w:val="center"/>
          </w:tcPr>
          <w:p w14:paraId="79189301" w14:textId="77777777" w:rsidR="00BC1741" w:rsidRPr="00715F74" w:rsidRDefault="00BC1741" w:rsidP="00873AF3">
            <w:pPr>
              <w:pStyle w:val="COMTabletext"/>
              <w:ind w:left="107"/>
              <w:jc w:val="center"/>
              <w:rPr>
                <w:b/>
                <w:bCs w:val="0"/>
              </w:rPr>
            </w:pPr>
            <w:r w:rsidRPr="00715F74">
              <w:rPr>
                <w:b/>
                <w:bCs w:val="0"/>
              </w:rPr>
              <w:t>Placebo</w:t>
            </w:r>
          </w:p>
        </w:tc>
        <w:tc>
          <w:tcPr>
            <w:tcW w:w="1607" w:type="dxa"/>
            <w:gridSpan w:val="2"/>
            <w:vAlign w:val="center"/>
          </w:tcPr>
          <w:p w14:paraId="3ECC92D0" w14:textId="77777777" w:rsidR="00BC1741" w:rsidRPr="00715F74" w:rsidRDefault="00BC1741" w:rsidP="00873AF3">
            <w:pPr>
              <w:pStyle w:val="COMTabletext"/>
              <w:ind w:left="107"/>
              <w:jc w:val="center"/>
              <w:rPr>
                <w:b/>
                <w:bCs w:val="0"/>
              </w:rPr>
            </w:pPr>
            <w:r>
              <w:rPr>
                <w:b/>
                <w:bCs w:val="0"/>
              </w:rPr>
              <w:t>IVIg</w:t>
            </w:r>
          </w:p>
        </w:tc>
        <w:tc>
          <w:tcPr>
            <w:tcW w:w="1651" w:type="dxa"/>
            <w:vAlign w:val="center"/>
          </w:tcPr>
          <w:p w14:paraId="4928FC5F" w14:textId="77777777" w:rsidR="00BC1741" w:rsidRPr="00715F74" w:rsidRDefault="00BC1741" w:rsidP="00873AF3">
            <w:pPr>
              <w:pStyle w:val="COMTabletext"/>
              <w:ind w:left="107"/>
              <w:jc w:val="center"/>
              <w:rPr>
                <w:b/>
                <w:bCs w:val="0"/>
              </w:rPr>
            </w:pPr>
            <w:r>
              <w:rPr>
                <w:b/>
                <w:bCs w:val="0"/>
              </w:rPr>
              <w:t>Odds ratio (95% CI)</w:t>
            </w:r>
          </w:p>
        </w:tc>
      </w:tr>
      <w:tr w:rsidR="00BC1741" w:rsidRPr="00D721CA" w14:paraId="18306D1D" w14:textId="77777777" w:rsidTr="7E0DBB7D">
        <w:tc>
          <w:tcPr>
            <w:tcW w:w="9017" w:type="dxa"/>
            <w:gridSpan w:val="7"/>
          </w:tcPr>
          <w:p w14:paraId="2E6C9F85" w14:textId="2A936E54" w:rsidR="00BC1741" w:rsidRPr="00D721CA" w:rsidRDefault="00BC1741" w:rsidP="00873AF3">
            <w:pPr>
              <w:pStyle w:val="COMTabletext"/>
              <w:ind w:left="107"/>
              <w:rPr>
                <w:b/>
                <w:lang w:val="en-GB"/>
              </w:rPr>
            </w:pPr>
            <w:r w:rsidRPr="00D721CA">
              <w:rPr>
                <w:b/>
                <w:lang w:val="en-GB"/>
              </w:rPr>
              <w:t>MG-ADL responder (≥2-point improvement): all patients (</w:t>
            </w:r>
            <w:r w:rsidR="00BA3F9A" w:rsidRPr="00D721CA">
              <w:rPr>
                <w:b/>
                <w:lang w:val="en-GB"/>
              </w:rPr>
              <w:t>6-week</w:t>
            </w:r>
            <w:r w:rsidRPr="00D721CA">
              <w:rPr>
                <w:b/>
                <w:lang w:val="en-GB"/>
              </w:rPr>
              <w:t xml:space="preserve"> data from MycarinG ~7 mg/kg arm versus </w:t>
            </w:r>
            <w:r w:rsidR="00BA3F9A" w:rsidRPr="00D721CA">
              <w:rPr>
                <w:b/>
                <w:lang w:val="en-GB"/>
              </w:rPr>
              <w:t>24-week</w:t>
            </w:r>
            <w:r w:rsidRPr="00D721CA">
              <w:rPr>
                <w:b/>
                <w:lang w:val="en-GB"/>
              </w:rPr>
              <w:t xml:space="preserve"> data from Bril 2024)</w:t>
            </w:r>
          </w:p>
        </w:tc>
      </w:tr>
      <w:tr w:rsidR="00BC1741" w:rsidRPr="00D721CA" w14:paraId="59E82137" w14:textId="77777777" w:rsidTr="7E0DBB7D">
        <w:tc>
          <w:tcPr>
            <w:tcW w:w="2547" w:type="dxa"/>
          </w:tcPr>
          <w:p w14:paraId="14D6A311" w14:textId="42245FDD" w:rsidR="00BC1741" w:rsidRPr="00D721CA" w:rsidRDefault="1233032B" w:rsidP="00873AF3">
            <w:pPr>
              <w:pStyle w:val="COMTabletext"/>
              <w:ind w:left="107"/>
            </w:pPr>
            <w:r w:rsidRPr="00D721CA">
              <w:t>MycarinG</w:t>
            </w:r>
          </w:p>
        </w:tc>
        <w:tc>
          <w:tcPr>
            <w:tcW w:w="1606" w:type="dxa"/>
            <w:gridSpan w:val="2"/>
            <w:vAlign w:val="center"/>
          </w:tcPr>
          <w:p w14:paraId="093A7921" w14:textId="77777777" w:rsidR="00BC1741" w:rsidRPr="00D721CA" w:rsidRDefault="00BC1741" w:rsidP="00873AF3">
            <w:pPr>
              <w:pStyle w:val="COMTabletext"/>
              <w:ind w:left="107"/>
              <w:jc w:val="center"/>
            </w:pPr>
            <w:r w:rsidRPr="00D721CA">
              <w:t>46/66 (70%)</w:t>
            </w:r>
          </w:p>
        </w:tc>
        <w:tc>
          <w:tcPr>
            <w:tcW w:w="1606" w:type="dxa"/>
            <w:vAlign w:val="center"/>
          </w:tcPr>
          <w:p w14:paraId="23459213" w14:textId="77777777" w:rsidR="00BC1741" w:rsidRPr="00D721CA" w:rsidRDefault="00BC1741" w:rsidP="00873AF3">
            <w:pPr>
              <w:pStyle w:val="COMTabletext"/>
              <w:ind w:left="107"/>
              <w:jc w:val="center"/>
            </w:pPr>
            <w:r w:rsidRPr="00D721CA">
              <w:t>20/67 (30%)</w:t>
            </w:r>
          </w:p>
        </w:tc>
        <w:tc>
          <w:tcPr>
            <w:tcW w:w="1607" w:type="dxa"/>
            <w:gridSpan w:val="2"/>
            <w:vAlign w:val="center"/>
          </w:tcPr>
          <w:p w14:paraId="3F01A763" w14:textId="77777777" w:rsidR="00BC1741" w:rsidRPr="00D721CA" w:rsidRDefault="00BC1741" w:rsidP="00873AF3">
            <w:pPr>
              <w:pStyle w:val="COMTabletext"/>
              <w:ind w:left="107"/>
              <w:jc w:val="center"/>
            </w:pPr>
            <w:r w:rsidRPr="00D721CA">
              <w:t>-</w:t>
            </w:r>
          </w:p>
        </w:tc>
        <w:tc>
          <w:tcPr>
            <w:tcW w:w="1651" w:type="dxa"/>
            <w:vAlign w:val="center"/>
          </w:tcPr>
          <w:p w14:paraId="3D7F5B8E" w14:textId="77777777" w:rsidR="00BC1741" w:rsidRPr="00D721CA" w:rsidRDefault="00BC1741" w:rsidP="00873AF3">
            <w:pPr>
              <w:pStyle w:val="COMTabletext"/>
              <w:ind w:left="107"/>
              <w:jc w:val="center"/>
            </w:pPr>
            <w:r w:rsidRPr="00D721CA">
              <w:t>5.40 (2.58, 11.34)</w:t>
            </w:r>
          </w:p>
        </w:tc>
      </w:tr>
      <w:tr w:rsidR="00BC1741" w:rsidRPr="00D721CA" w14:paraId="0604F38A" w14:textId="77777777" w:rsidTr="7E0DBB7D">
        <w:tc>
          <w:tcPr>
            <w:tcW w:w="2547" w:type="dxa"/>
          </w:tcPr>
          <w:p w14:paraId="394F1186" w14:textId="0CED7C6A" w:rsidR="00BC1741" w:rsidRPr="00D721CA" w:rsidRDefault="1233032B" w:rsidP="00873AF3">
            <w:pPr>
              <w:pStyle w:val="COMTabletext"/>
              <w:ind w:left="107"/>
            </w:pPr>
            <w:r w:rsidRPr="00D721CA">
              <w:t>Bril 2024</w:t>
            </w:r>
            <w:r w:rsidR="5225CAF3" w:rsidRPr="00D721CA">
              <w:t xml:space="preserve"> (</w:t>
            </w:r>
            <w:r w:rsidR="00BA3F9A" w:rsidRPr="00D721CA">
              <w:t>24-week</w:t>
            </w:r>
            <w:r w:rsidR="5225CAF3" w:rsidRPr="00D721CA">
              <w:t xml:space="preserve"> data)</w:t>
            </w:r>
          </w:p>
        </w:tc>
        <w:tc>
          <w:tcPr>
            <w:tcW w:w="1606" w:type="dxa"/>
            <w:gridSpan w:val="2"/>
            <w:vAlign w:val="center"/>
          </w:tcPr>
          <w:p w14:paraId="296013A7" w14:textId="77777777" w:rsidR="00BC1741" w:rsidRPr="00D721CA" w:rsidRDefault="00BC1741" w:rsidP="00873AF3">
            <w:pPr>
              <w:pStyle w:val="COMTabletext"/>
              <w:ind w:left="107"/>
              <w:jc w:val="center"/>
            </w:pPr>
            <w:r w:rsidRPr="00D721CA">
              <w:t>-</w:t>
            </w:r>
          </w:p>
        </w:tc>
        <w:tc>
          <w:tcPr>
            <w:tcW w:w="1606" w:type="dxa"/>
            <w:vAlign w:val="center"/>
          </w:tcPr>
          <w:p w14:paraId="65DEBC91" w14:textId="77777777" w:rsidR="00BC1741" w:rsidRPr="00D721CA" w:rsidRDefault="00BC1741" w:rsidP="00873AF3">
            <w:pPr>
              <w:pStyle w:val="COMTabletext"/>
              <w:ind w:left="107"/>
              <w:jc w:val="center"/>
            </w:pPr>
            <w:r w:rsidRPr="00D721CA">
              <w:t>13/32 (41%)</w:t>
            </w:r>
          </w:p>
        </w:tc>
        <w:tc>
          <w:tcPr>
            <w:tcW w:w="1607" w:type="dxa"/>
            <w:gridSpan w:val="2"/>
            <w:vAlign w:val="center"/>
          </w:tcPr>
          <w:p w14:paraId="2CF4EAC8" w14:textId="77777777" w:rsidR="00BC1741" w:rsidRPr="00D721CA" w:rsidRDefault="00BC1741" w:rsidP="00873AF3">
            <w:pPr>
              <w:pStyle w:val="COMTabletext"/>
              <w:ind w:left="107"/>
              <w:jc w:val="center"/>
            </w:pPr>
            <w:r w:rsidRPr="00D721CA">
              <w:t>21/30 (70%)</w:t>
            </w:r>
          </w:p>
        </w:tc>
        <w:tc>
          <w:tcPr>
            <w:tcW w:w="1651" w:type="dxa"/>
            <w:vAlign w:val="center"/>
          </w:tcPr>
          <w:p w14:paraId="4ADFC7E8" w14:textId="77777777" w:rsidR="00BC1741" w:rsidRPr="00D721CA" w:rsidRDefault="00BC1741" w:rsidP="00873AF3">
            <w:pPr>
              <w:pStyle w:val="COMTabletext"/>
              <w:ind w:left="107"/>
              <w:jc w:val="center"/>
            </w:pPr>
            <w:r w:rsidRPr="00D721CA">
              <w:t>3.41 (1.19, 9.77)</w:t>
            </w:r>
          </w:p>
        </w:tc>
      </w:tr>
      <w:tr w:rsidR="00BC1741" w:rsidRPr="00D721CA" w14:paraId="2D628D64" w14:textId="77777777" w:rsidTr="7E0DBB7D">
        <w:tc>
          <w:tcPr>
            <w:tcW w:w="7366" w:type="dxa"/>
            <w:gridSpan w:val="6"/>
          </w:tcPr>
          <w:p w14:paraId="06FFA9F6" w14:textId="6BC178E0" w:rsidR="00BC1741" w:rsidRPr="00D721CA" w:rsidRDefault="1233032B" w:rsidP="00873AF3">
            <w:pPr>
              <w:pStyle w:val="COMTabletext"/>
              <w:ind w:left="107"/>
            </w:pPr>
            <w:r w:rsidRPr="00D721CA">
              <w:t>Indirect comparison of rozanolixizumab versus IVIg (results &gt;</w:t>
            </w:r>
            <w:r w:rsidR="003C08F1">
              <w:t xml:space="preserve"> </w:t>
            </w:r>
            <w:r w:rsidRPr="00D721CA">
              <w:t>1 favour rozanolixizumab)</w:t>
            </w:r>
          </w:p>
        </w:tc>
        <w:tc>
          <w:tcPr>
            <w:tcW w:w="1651" w:type="dxa"/>
            <w:vAlign w:val="center"/>
          </w:tcPr>
          <w:p w14:paraId="1927F805" w14:textId="77777777" w:rsidR="00BC1741" w:rsidRPr="00D721CA" w:rsidRDefault="00BC1741" w:rsidP="00873AF3">
            <w:pPr>
              <w:pStyle w:val="COMTabletext"/>
              <w:ind w:left="107"/>
              <w:jc w:val="center"/>
            </w:pPr>
            <w:r w:rsidRPr="00D721CA">
              <w:t>1.58 (0.44, 5.74)</w:t>
            </w:r>
          </w:p>
        </w:tc>
      </w:tr>
      <w:tr w:rsidR="00BC1741" w:rsidRPr="00D721CA" w14:paraId="2CB2DEB3" w14:textId="77777777" w:rsidTr="7E0DBB7D">
        <w:tc>
          <w:tcPr>
            <w:tcW w:w="9017" w:type="dxa"/>
            <w:gridSpan w:val="7"/>
          </w:tcPr>
          <w:p w14:paraId="38D70A4C" w14:textId="10E2FAFB" w:rsidR="00BC1741" w:rsidRPr="00D721CA" w:rsidRDefault="1233032B" w:rsidP="00873AF3">
            <w:pPr>
              <w:pStyle w:val="COMTabletext"/>
              <w:ind w:left="107"/>
              <w:rPr>
                <w:b/>
              </w:rPr>
            </w:pPr>
            <w:r w:rsidRPr="00D721CA">
              <w:rPr>
                <w:b/>
              </w:rPr>
              <w:t>MGC responder (≥3-point improvement): all patients (</w:t>
            </w:r>
            <w:r w:rsidR="00BA3F9A" w:rsidRPr="00D721CA">
              <w:rPr>
                <w:b/>
              </w:rPr>
              <w:t>6-week</w:t>
            </w:r>
            <w:r w:rsidRPr="00D721CA">
              <w:rPr>
                <w:b/>
              </w:rPr>
              <w:t xml:space="preserve"> data from MycarinG ~7 mg/kg arm versus </w:t>
            </w:r>
            <w:r w:rsidR="00BA3F9A" w:rsidRPr="00D721CA">
              <w:rPr>
                <w:b/>
              </w:rPr>
              <w:t>24-week</w:t>
            </w:r>
            <w:r w:rsidRPr="00D721CA">
              <w:rPr>
                <w:b/>
              </w:rPr>
              <w:t xml:space="preserve"> data from Bril 2024)</w:t>
            </w:r>
          </w:p>
        </w:tc>
      </w:tr>
      <w:tr w:rsidR="00BC1741" w:rsidRPr="00D721CA" w14:paraId="4AC7C8EE" w14:textId="77777777" w:rsidTr="7E0DBB7D">
        <w:tc>
          <w:tcPr>
            <w:tcW w:w="2547" w:type="dxa"/>
          </w:tcPr>
          <w:p w14:paraId="651651BE" w14:textId="0C9650B3" w:rsidR="00BC1741" w:rsidRPr="00D721CA" w:rsidRDefault="1233032B" w:rsidP="00873AF3">
            <w:pPr>
              <w:pStyle w:val="COMTabletext"/>
              <w:ind w:left="107"/>
            </w:pPr>
            <w:r w:rsidRPr="00D721CA">
              <w:t>MycarinG</w:t>
            </w:r>
          </w:p>
        </w:tc>
        <w:tc>
          <w:tcPr>
            <w:tcW w:w="1606" w:type="dxa"/>
            <w:gridSpan w:val="2"/>
            <w:vAlign w:val="center"/>
          </w:tcPr>
          <w:p w14:paraId="244AC243" w14:textId="7FE2AFE8" w:rsidR="00BC1741" w:rsidRPr="00D721CA" w:rsidRDefault="00352D65" w:rsidP="00873AF3">
            <w:pPr>
              <w:pStyle w:val="COMTabletext"/>
              <w:ind w:left="107"/>
              <w:jc w:val="center"/>
            </w:pPr>
            <w:r w:rsidRPr="00D721CA">
              <w:t>39/66 (59%)</w:t>
            </w:r>
          </w:p>
        </w:tc>
        <w:tc>
          <w:tcPr>
            <w:tcW w:w="1606" w:type="dxa"/>
            <w:vAlign w:val="center"/>
          </w:tcPr>
          <w:p w14:paraId="630B4ED1" w14:textId="77777777" w:rsidR="00BC1741" w:rsidRPr="00D721CA" w:rsidRDefault="00BC1741" w:rsidP="00873AF3">
            <w:pPr>
              <w:pStyle w:val="COMTabletext"/>
              <w:ind w:left="107"/>
              <w:jc w:val="center"/>
            </w:pPr>
            <w:r w:rsidRPr="00D721CA">
              <w:t>26/67 (39%)</w:t>
            </w:r>
          </w:p>
        </w:tc>
        <w:tc>
          <w:tcPr>
            <w:tcW w:w="1607" w:type="dxa"/>
            <w:gridSpan w:val="2"/>
            <w:vAlign w:val="center"/>
          </w:tcPr>
          <w:p w14:paraId="43DB96E5" w14:textId="77777777" w:rsidR="00BC1741" w:rsidRPr="00D721CA" w:rsidRDefault="00BC1741" w:rsidP="00873AF3">
            <w:pPr>
              <w:pStyle w:val="COMTabletext"/>
              <w:ind w:left="107"/>
              <w:jc w:val="center"/>
            </w:pPr>
            <w:r w:rsidRPr="00D721CA">
              <w:t>-</w:t>
            </w:r>
          </w:p>
        </w:tc>
        <w:tc>
          <w:tcPr>
            <w:tcW w:w="1651" w:type="dxa"/>
            <w:vAlign w:val="center"/>
          </w:tcPr>
          <w:p w14:paraId="5A38A967" w14:textId="77777777" w:rsidR="00BC1741" w:rsidRPr="00D721CA" w:rsidRDefault="00BC1741" w:rsidP="00873AF3">
            <w:pPr>
              <w:pStyle w:val="COMTabletext"/>
              <w:ind w:left="107"/>
              <w:jc w:val="center"/>
            </w:pPr>
            <w:r w:rsidRPr="00D721CA">
              <w:t>2.28 (1.14, 4.56)</w:t>
            </w:r>
          </w:p>
        </w:tc>
      </w:tr>
      <w:tr w:rsidR="00BC1741" w:rsidRPr="00D721CA" w14:paraId="035A33E2" w14:textId="77777777" w:rsidTr="7E0DBB7D">
        <w:tc>
          <w:tcPr>
            <w:tcW w:w="2547" w:type="dxa"/>
          </w:tcPr>
          <w:p w14:paraId="6D743D9B" w14:textId="516B642A" w:rsidR="00BC1741" w:rsidRPr="00D721CA" w:rsidRDefault="1233032B" w:rsidP="00873AF3">
            <w:pPr>
              <w:pStyle w:val="COMTabletext"/>
              <w:ind w:left="107"/>
            </w:pPr>
            <w:r w:rsidRPr="00D721CA">
              <w:t>Bril 2024</w:t>
            </w:r>
            <w:r w:rsidR="5225CAF3" w:rsidRPr="00D721CA">
              <w:t xml:space="preserve"> (</w:t>
            </w:r>
            <w:r w:rsidR="00BA3F9A" w:rsidRPr="00D721CA">
              <w:t>24-week</w:t>
            </w:r>
            <w:r w:rsidR="5225CAF3" w:rsidRPr="00D721CA">
              <w:t xml:space="preserve"> data)</w:t>
            </w:r>
          </w:p>
        </w:tc>
        <w:tc>
          <w:tcPr>
            <w:tcW w:w="1606" w:type="dxa"/>
            <w:gridSpan w:val="2"/>
            <w:vAlign w:val="center"/>
          </w:tcPr>
          <w:p w14:paraId="1F6C59C6" w14:textId="2A5D8982" w:rsidR="00BC1741" w:rsidRPr="00D721CA" w:rsidRDefault="00352D65" w:rsidP="00873AF3">
            <w:pPr>
              <w:pStyle w:val="COMTabletext"/>
              <w:ind w:left="107"/>
              <w:jc w:val="center"/>
            </w:pPr>
            <w:r w:rsidRPr="00D721CA">
              <w:t>-</w:t>
            </w:r>
          </w:p>
        </w:tc>
        <w:tc>
          <w:tcPr>
            <w:tcW w:w="1606" w:type="dxa"/>
            <w:vAlign w:val="center"/>
          </w:tcPr>
          <w:p w14:paraId="1ABCBB27" w14:textId="77777777" w:rsidR="00BC1741" w:rsidRPr="00D721CA" w:rsidRDefault="00BC1741" w:rsidP="00873AF3">
            <w:pPr>
              <w:pStyle w:val="COMTabletext"/>
              <w:ind w:left="107"/>
              <w:jc w:val="center"/>
            </w:pPr>
            <w:r w:rsidRPr="00D721CA">
              <w:t>17/32 (53%)</w:t>
            </w:r>
          </w:p>
        </w:tc>
        <w:tc>
          <w:tcPr>
            <w:tcW w:w="1607" w:type="dxa"/>
            <w:gridSpan w:val="2"/>
            <w:vAlign w:val="center"/>
          </w:tcPr>
          <w:p w14:paraId="55647FD0" w14:textId="77777777" w:rsidR="00BC1741" w:rsidRPr="00D721CA" w:rsidRDefault="00BC1741" w:rsidP="00873AF3">
            <w:pPr>
              <w:pStyle w:val="COMTabletext"/>
              <w:ind w:left="107"/>
              <w:jc w:val="center"/>
            </w:pPr>
            <w:r w:rsidRPr="00D721CA">
              <w:t>18/30 (60%)</w:t>
            </w:r>
          </w:p>
        </w:tc>
        <w:tc>
          <w:tcPr>
            <w:tcW w:w="1651" w:type="dxa"/>
            <w:vAlign w:val="center"/>
          </w:tcPr>
          <w:p w14:paraId="0B8834B1" w14:textId="77777777" w:rsidR="00BC1741" w:rsidRPr="00D721CA" w:rsidRDefault="00BC1741" w:rsidP="00873AF3">
            <w:pPr>
              <w:pStyle w:val="COMTabletext"/>
              <w:ind w:left="107"/>
              <w:jc w:val="center"/>
            </w:pPr>
            <w:r w:rsidRPr="00D721CA">
              <w:t>1.32 (0.48, 3.63)</w:t>
            </w:r>
          </w:p>
        </w:tc>
      </w:tr>
      <w:tr w:rsidR="00BC1741" w:rsidRPr="00D721CA" w14:paraId="7A28B44D" w14:textId="77777777" w:rsidTr="7E0DBB7D">
        <w:tc>
          <w:tcPr>
            <w:tcW w:w="7366" w:type="dxa"/>
            <w:gridSpan w:val="6"/>
          </w:tcPr>
          <w:p w14:paraId="368526D1" w14:textId="78470A54" w:rsidR="00BC1741" w:rsidRPr="00D721CA" w:rsidRDefault="1233032B" w:rsidP="00873AF3">
            <w:pPr>
              <w:pStyle w:val="COMTabletext"/>
              <w:ind w:left="107"/>
            </w:pPr>
            <w:r w:rsidRPr="00D721CA">
              <w:t>Indirect comparison of rozanolixizumab versus IVIg (results &gt;</w:t>
            </w:r>
            <w:r w:rsidR="003C08F1">
              <w:t xml:space="preserve"> </w:t>
            </w:r>
            <w:r w:rsidRPr="00D721CA">
              <w:t>1 favour rozanolixizumab)</w:t>
            </w:r>
          </w:p>
        </w:tc>
        <w:tc>
          <w:tcPr>
            <w:tcW w:w="1651" w:type="dxa"/>
            <w:vAlign w:val="center"/>
          </w:tcPr>
          <w:p w14:paraId="2D2EDEDE" w14:textId="77777777" w:rsidR="00BC1741" w:rsidRPr="00D721CA" w:rsidRDefault="00BC1741" w:rsidP="00873AF3">
            <w:pPr>
              <w:pStyle w:val="COMTabletext"/>
              <w:ind w:left="107"/>
              <w:jc w:val="center"/>
            </w:pPr>
            <w:r w:rsidRPr="00D721CA">
              <w:t>1.73 (0.51, 5.89)</w:t>
            </w:r>
          </w:p>
        </w:tc>
      </w:tr>
      <w:tr w:rsidR="001F5BD1" w:rsidRPr="00D721CA" w14:paraId="36EF567C" w14:textId="77777777" w:rsidTr="7E0DBB7D">
        <w:tc>
          <w:tcPr>
            <w:tcW w:w="2547" w:type="dxa"/>
          </w:tcPr>
          <w:p w14:paraId="07F37AF7" w14:textId="1E62DAD2" w:rsidR="001F5BD1" w:rsidRPr="00D721CA" w:rsidRDefault="3D21F833" w:rsidP="00873AF3">
            <w:pPr>
              <w:pStyle w:val="COMTabletext"/>
              <w:ind w:left="107"/>
              <w:rPr>
                <w:vertAlign w:val="superscript"/>
              </w:rPr>
            </w:pPr>
            <w:r w:rsidRPr="00D721CA">
              <w:t>Bril 2024 (</w:t>
            </w:r>
            <w:r w:rsidR="00BA3F9A" w:rsidRPr="00D721CA">
              <w:t>6-week</w:t>
            </w:r>
            <w:r w:rsidRPr="00D721CA">
              <w:t xml:space="preserve"> data)</w:t>
            </w:r>
          </w:p>
        </w:tc>
        <w:tc>
          <w:tcPr>
            <w:tcW w:w="1559" w:type="dxa"/>
          </w:tcPr>
          <w:p w14:paraId="22C10CBB" w14:textId="77777777" w:rsidR="001F5BD1" w:rsidRPr="00D721CA" w:rsidRDefault="001F5BD1" w:rsidP="00873AF3">
            <w:pPr>
              <w:pStyle w:val="COMTabletext"/>
              <w:ind w:left="107"/>
            </w:pPr>
          </w:p>
        </w:tc>
        <w:tc>
          <w:tcPr>
            <w:tcW w:w="1701" w:type="dxa"/>
            <w:gridSpan w:val="3"/>
          </w:tcPr>
          <w:p w14:paraId="631221D8" w14:textId="3573916C" w:rsidR="001F5BD1" w:rsidRPr="00D721CA" w:rsidRDefault="001F5BD1" w:rsidP="00873AF3">
            <w:pPr>
              <w:pStyle w:val="COMTabletext"/>
              <w:ind w:left="107"/>
              <w:jc w:val="center"/>
            </w:pPr>
            <w:r w:rsidRPr="00D721CA">
              <w:t>17/32 (53%)</w:t>
            </w:r>
          </w:p>
        </w:tc>
        <w:tc>
          <w:tcPr>
            <w:tcW w:w="1559" w:type="dxa"/>
          </w:tcPr>
          <w:p w14:paraId="67329B68" w14:textId="2D9EADFC" w:rsidR="001F5BD1" w:rsidRPr="00D721CA" w:rsidRDefault="001F5BD1" w:rsidP="00873AF3">
            <w:pPr>
              <w:pStyle w:val="COMTabletext"/>
              <w:ind w:left="107"/>
              <w:jc w:val="center"/>
            </w:pPr>
            <w:r w:rsidRPr="00D721CA">
              <w:t>18/30 (60%)</w:t>
            </w:r>
          </w:p>
        </w:tc>
        <w:tc>
          <w:tcPr>
            <w:tcW w:w="1651" w:type="dxa"/>
          </w:tcPr>
          <w:p w14:paraId="1B80CAC3" w14:textId="3D384315" w:rsidR="001F5BD1" w:rsidRPr="00D721CA" w:rsidRDefault="001F5BD1" w:rsidP="00873AF3">
            <w:pPr>
              <w:pStyle w:val="COMTabletext"/>
              <w:ind w:left="107"/>
              <w:jc w:val="center"/>
              <w:rPr>
                <w:vertAlign w:val="superscript"/>
              </w:rPr>
            </w:pPr>
            <w:r w:rsidRPr="00D721CA">
              <w:t>1.32 (0.48, 3.63)</w:t>
            </w:r>
          </w:p>
        </w:tc>
      </w:tr>
      <w:tr w:rsidR="00E9100A" w:rsidRPr="00D721CA" w14:paraId="0CFC709C" w14:textId="77777777" w:rsidTr="7E0DBB7D">
        <w:tc>
          <w:tcPr>
            <w:tcW w:w="7366" w:type="dxa"/>
            <w:gridSpan w:val="6"/>
          </w:tcPr>
          <w:p w14:paraId="210423C4" w14:textId="07042469" w:rsidR="00E9100A" w:rsidRPr="00D721CA" w:rsidRDefault="4F65C060" w:rsidP="00873AF3">
            <w:pPr>
              <w:pStyle w:val="COMTabletext"/>
              <w:ind w:left="107"/>
              <w:jc w:val="right"/>
            </w:pPr>
            <w:r w:rsidRPr="00D721CA">
              <w:t xml:space="preserve">Indirect comparison of rozanolixizumab versus IVIg – </w:t>
            </w:r>
            <w:r w:rsidR="00BA3F9A" w:rsidRPr="00D721CA">
              <w:t>6-week</w:t>
            </w:r>
            <w:r w:rsidRPr="00D721CA">
              <w:t xml:space="preserve"> data</w:t>
            </w:r>
          </w:p>
        </w:tc>
        <w:tc>
          <w:tcPr>
            <w:tcW w:w="1651" w:type="dxa"/>
          </w:tcPr>
          <w:p w14:paraId="73688D2A" w14:textId="06C28867" w:rsidR="00E9100A" w:rsidRPr="00D721CA" w:rsidRDefault="0060237E" w:rsidP="00873AF3">
            <w:pPr>
              <w:pStyle w:val="COMTabletext"/>
              <w:ind w:left="107"/>
              <w:jc w:val="center"/>
            </w:pPr>
            <w:r w:rsidRPr="00D721CA">
              <w:t>1.73 (0.51, 5.89)</w:t>
            </w:r>
          </w:p>
        </w:tc>
      </w:tr>
      <w:tr w:rsidR="00E9100A" w:rsidRPr="00D721CA" w14:paraId="57C0C3C9" w14:textId="77777777" w:rsidTr="7E0DBB7D">
        <w:tc>
          <w:tcPr>
            <w:tcW w:w="9017" w:type="dxa"/>
            <w:gridSpan w:val="7"/>
          </w:tcPr>
          <w:p w14:paraId="0699DD05" w14:textId="75B315ED" w:rsidR="00E9100A" w:rsidRPr="00D721CA" w:rsidRDefault="4F65C060" w:rsidP="00873AF3">
            <w:pPr>
              <w:pStyle w:val="COMTabletext"/>
              <w:ind w:left="107"/>
              <w:rPr>
                <w:b/>
              </w:rPr>
            </w:pPr>
            <w:r w:rsidRPr="00D721CA">
              <w:rPr>
                <w:b/>
              </w:rPr>
              <w:t>QMG responder (≥3-point improvement): all patients (</w:t>
            </w:r>
            <w:r w:rsidR="00BA3F9A" w:rsidRPr="00D721CA">
              <w:rPr>
                <w:b/>
              </w:rPr>
              <w:t>6-week</w:t>
            </w:r>
            <w:r w:rsidRPr="00D721CA">
              <w:rPr>
                <w:b/>
              </w:rPr>
              <w:t xml:space="preserve"> data from MycarinG ~7 mg/kg arm versus </w:t>
            </w:r>
            <w:r w:rsidR="00BA3F9A" w:rsidRPr="00D721CA">
              <w:rPr>
                <w:b/>
              </w:rPr>
              <w:t>24-week</w:t>
            </w:r>
            <w:r w:rsidRPr="00D721CA">
              <w:rPr>
                <w:b/>
              </w:rPr>
              <w:t xml:space="preserve"> data from Bril 2024)</w:t>
            </w:r>
          </w:p>
        </w:tc>
      </w:tr>
      <w:tr w:rsidR="00E9100A" w:rsidRPr="00D721CA" w14:paraId="01B46B05" w14:textId="77777777" w:rsidTr="7E0DBB7D">
        <w:tc>
          <w:tcPr>
            <w:tcW w:w="2547" w:type="dxa"/>
          </w:tcPr>
          <w:p w14:paraId="1923CDFD" w14:textId="178C429C" w:rsidR="00E9100A" w:rsidRPr="00D721CA" w:rsidRDefault="4F65C060" w:rsidP="00873AF3">
            <w:pPr>
              <w:pStyle w:val="COMTabletext"/>
              <w:ind w:left="107"/>
            </w:pPr>
            <w:r w:rsidRPr="00D721CA">
              <w:t>MycarinG</w:t>
            </w:r>
          </w:p>
        </w:tc>
        <w:tc>
          <w:tcPr>
            <w:tcW w:w="1606" w:type="dxa"/>
            <w:gridSpan w:val="2"/>
            <w:vAlign w:val="center"/>
          </w:tcPr>
          <w:p w14:paraId="0DA21FD5" w14:textId="77777777" w:rsidR="00E9100A" w:rsidRPr="00D721CA" w:rsidRDefault="00E9100A" w:rsidP="00873AF3">
            <w:pPr>
              <w:pStyle w:val="COMTabletext"/>
              <w:ind w:left="107"/>
              <w:jc w:val="center"/>
            </w:pPr>
            <w:r w:rsidRPr="00D721CA">
              <w:t>35/66 (53%)</w:t>
            </w:r>
          </w:p>
        </w:tc>
        <w:tc>
          <w:tcPr>
            <w:tcW w:w="1606" w:type="dxa"/>
            <w:vAlign w:val="center"/>
          </w:tcPr>
          <w:p w14:paraId="1FABD558" w14:textId="77777777" w:rsidR="00E9100A" w:rsidRPr="00D721CA" w:rsidRDefault="00E9100A" w:rsidP="00873AF3">
            <w:pPr>
              <w:pStyle w:val="COMTabletext"/>
              <w:ind w:left="107"/>
              <w:jc w:val="center"/>
            </w:pPr>
            <w:r w:rsidRPr="00D721CA">
              <w:t>25/67 (37%)</w:t>
            </w:r>
          </w:p>
        </w:tc>
        <w:tc>
          <w:tcPr>
            <w:tcW w:w="1607" w:type="dxa"/>
            <w:gridSpan w:val="2"/>
            <w:vAlign w:val="center"/>
          </w:tcPr>
          <w:p w14:paraId="1E2455D5" w14:textId="77777777" w:rsidR="00E9100A" w:rsidRPr="00D721CA" w:rsidRDefault="00E9100A" w:rsidP="00873AF3">
            <w:pPr>
              <w:pStyle w:val="COMTabletext"/>
              <w:ind w:left="107"/>
              <w:jc w:val="center"/>
            </w:pPr>
            <w:r w:rsidRPr="00D721CA">
              <w:t>-</w:t>
            </w:r>
          </w:p>
        </w:tc>
        <w:tc>
          <w:tcPr>
            <w:tcW w:w="1651" w:type="dxa"/>
            <w:vAlign w:val="center"/>
          </w:tcPr>
          <w:p w14:paraId="72FD7D14" w14:textId="77777777" w:rsidR="00E9100A" w:rsidRPr="00D721CA" w:rsidRDefault="00E9100A" w:rsidP="00873AF3">
            <w:pPr>
              <w:pStyle w:val="COMTabletext"/>
              <w:ind w:left="107"/>
              <w:jc w:val="center"/>
            </w:pPr>
            <w:r w:rsidRPr="00D721CA">
              <w:t>1.90 (0.95; 3.79)</w:t>
            </w:r>
          </w:p>
        </w:tc>
      </w:tr>
      <w:tr w:rsidR="00E9100A" w:rsidRPr="00D721CA" w14:paraId="025F703D" w14:textId="77777777" w:rsidTr="7E0DBB7D">
        <w:tc>
          <w:tcPr>
            <w:tcW w:w="2547" w:type="dxa"/>
          </w:tcPr>
          <w:p w14:paraId="017A50F3" w14:textId="76568754" w:rsidR="00E9100A" w:rsidRPr="00D721CA" w:rsidRDefault="4F65C060" w:rsidP="00873AF3">
            <w:pPr>
              <w:pStyle w:val="COMTabletext"/>
              <w:ind w:left="107"/>
            </w:pPr>
            <w:r w:rsidRPr="00D721CA">
              <w:t>Bril 2024 (</w:t>
            </w:r>
            <w:r w:rsidR="00BA3F9A" w:rsidRPr="00D721CA">
              <w:t>24-week</w:t>
            </w:r>
            <w:r w:rsidRPr="00D721CA">
              <w:t xml:space="preserve"> data)</w:t>
            </w:r>
          </w:p>
        </w:tc>
        <w:tc>
          <w:tcPr>
            <w:tcW w:w="1606" w:type="dxa"/>
            <w:gridSpan w:val="2"/>
            <w:vAlign w:val="center"/>
          </w:tcPr>
          <w:p w14:paraId="4C801B3F" w14:textId="77777777" w:rsidR="00E9100A" w:rsidRPr="00D721CA" w:rsidRDefault="00E9100A" w:rsidP="00873AF3">
            <w:pPr>
              <w:pStyle w:val="COMTabletext"/>
              <w:ind w:left="107"/>
              <w:jc w:val="center"/>
            </w:pPr>
            <w:r w:rsidRPr="00D721CA">
              <w:t>-</w:t>
            </w:r>
          </w:p>
        </w:tc>
        <w:tc>
          <w:tcPr>
            <w:tcW w:w="1606" w:type="dxa"/>
            <w:vAlign w:val="center"/>
          </w:tcPr>
          <w:p w14:paraId="69A22DB9" w14:textId="77777777" w:rsidR="00E9100A" w:rsidRPr="00D721CA" w:rsidRDefault="00E9100A" w:rsidP="00873AF3">
            <w:pPr>
              <w:pStyle w:val="COMTabletext"/>
              <w:ind w:left="107"/>
              <w:jc w:val="center"/>
            </w:pPr>
            <w:r w:rsidRPr="00D721CA">
              <w:t>19/32 (59%)</w:t>
            </w:r>
          </w:p>
        </w:tc>
        <w:tc>
          <w:tcPr>
            <w:tcW w:w="1607" w:type="dxa"/>
            <w:gridSpan w:val="2"/>
            <w:vAlign w:val="center"/>
          </w:tcPr>
          <w:p w14:paraId="0DC10A3F" w14:textId="77777777" w:rsidR="00E9100A" w:rsidRPr="00D721CA" w:rsidRDefault="00E9100A" w:rsidP="00873AF3">
            <w:pPr>
              <w:pStyle w:val="COMTabletext"/>
              <w:ind w:left="107"/>
              <w:jc w:val="center"/>
            </w:pPr>
            <w:r w:rsidRPr="00D721CA">
              <w:t>21/30 (70%)</w:t>
            </w:r>
          </w:p>
        </w:tc>
        <w:tc>
          <w:tcPr>
            <w:tcW w:w="1651" w:type="dxa"/>
            <w:vAlign w:val="center"/>
          </w:tcPr>
          <w:p w14:paraId="41B2C5EA" w14:textId="77777777" w:rsidR="00E9100A" w:rsidRPr="00D721CA" w:rsidRDefault="00E9100A" w:rsidP="00873AF3">
            <w:pPr>
              <w:pStyle w:val="COMTabletext"/>
              <w:ind w:left="107"/>
              <w:jc w:val="center"/>
            </w:pPr>
            <w:r w:rsidRPr="00D721CA">
              <w:t>1.60 (0.56, 4.57)</w:t>
            </w:r>
          </w:p>
        </w:tc>
      </w:tr>
      <w:tr w:rsidR="00E9100A" w:rsidRPr="00D721CA" w14:paraId="3B72B66A" w14:textId="77777777" w:rsidTr="7E0DBB7D">
        <w:tc>
          <w:tcPr>
            <w:tcW w:w="7366" w:type="dxa"/>
            <w:gridSpan w:val="6"/>
          </w:tcPr>
          <w:p w14:paraId="2261798D" w14:textId="58643A84" w:rsidR="00E9100A" w:rsidRPr="00D721CA" w:rsidRDefault="4F65C060" w:rsidP="00873AF3">
            <w:pPr>
              <w:pStyle w:val="COMTabletext"/>
              <w:ind w:left="107"/>
            </w:pPr>
            <w:r w:rsidRPr="00D721CA">
              <w:t>Indirect comparison of rozanolixizumab versus IVIg (results &gt;</w:t>
            </w:r>
            <w:r w:rsidR="003C08F1">
              <w:t xml:space="preserve"> </w:t>
            </w:r>
            <w:r w:rsidRPr="00D721CA">
              <w:t>1 favour rozanolixizumab)</w:t>
            </w:r>
          </w:p>
        </w:tc>
        <w:tc>
          <w:tcPr>
            <w:tcW w:w="1651" w:type="dxa"/>
            <w:vAlign w:val="center"/>
          </w:tcPr>
          <w:p w14:paraId="1080E235" w14:textId="77777777" w:rsidR="00E9100A" w:rsidRPr="00D721CA" w:rsidRDefault="00E9100A" w:rsidP="00873AF3">
            <w:pPr>
              <w:pStyle w:val="COMTabletext"/>
              <w:ind w:left="107"/>
              <w:jc w:val="center"/>
            </w:pPr>
            <w:r w:rsidRPr="00D721CA">
              <w:t>1.19 (0.34, 4.17)</w:t>
            </w:r>
          </w:p>
        </w:tc>
      </w:tr>
      <w:tr w:rsidR="00E9100A" w:rsidRPr="00D721CA" w14:paraId="5E9DC130" w14:textId="77777777" w:rsidTr="7E0DBB7D">
        <w:tc>
          <w:tcPr>
            <w:tcW w:w="2547" w:type="dxa"/>
          </w:tcPr>
          <w:p w14:paraId="4B161124" w14:textId="45BD114C" w:rsidR="00E9100A" w:rsidRPr="00D721CA" w:rsidRDefault="4F65C060" w:rsidP="00873AF3">
            <w:pPr>
              <w:pStyle w:val="COMTabletext"/>
              <w:ind w:left="107"/>
            </w:pPr>
            <w:r w:rsidRPr="00D721CA">
              <w:t>Bril 2024 (</w:t>
            </w:r>
            <w:r w:rsidR="00BA3F9A" w:rsidRPr="00D721CA">
              <w:t>6-week</w:t>
            </w:r>
            <w:r w:rsidRPr="00D721CA">
              <w:t xml:space="preserve"> data)</w:t>
            </w:r>
          </w:p>
        </w:tc>
        <w:tc>
          <w:tcPr>
            <w:tcW w:w="1559" w:type="dxa"/>
          </w:tcPr>
          <w:p w14:paraId="289C7A88" w14:textId="77777777" w:rsidR="00E9100A" w:rsidRPr="00D721CA" w:rsidRDefault="00E9100A" w:rsidP="00873AF3">
            <w:pPr>
              <w:pStyle w:val="COMTabletext"/>
              <w:ind w:left="107"/>
            </w:pPr>
          </w:p>
        </w:tc>
        <w:tc>
          <w:tcPr>
            <w:tcW w:w="1701" w:type="dxa"/>
            <w:gridSpan w:val="3"/>
          </w:tcPr>
          <w:p w14:paraId="16156ED4" w14:textId="3D1C380E" w:rsidR="00E9100A" w:rsidRPr="00D721CA" w:rsidRDefault="00E9100A" w:rsidP="00873AF3">
            <w:pPr>
              <w:pStyle w:val="COMTabletext"/>
              <w:ind w:left="107"/>
              <w:jc w:val="center"/>
            </w:pPr>
            <w:r w:rsidRPr="00D721CA">
              <w:t>11/32 (34.4%)</w:t>
            </w:r>
          </w:p>
        </w:tc>
        <w:tc>
          <w:tcPr>
            <w:tcW w:w="1559" w:type="dxa"/>
          </w:tcPr>
          <w:p w14:paraId="0F8E3D3A" w14:textId="7E9F503E" w:rsidR="00E9100A" w:rsidRPr="00D721CA" w:rsidRDefault="00E9100A" w:rsidP="00873AF3">
            <w:pPr>
              <w:pStyle w:val="COMTabletext"/>
              <w:ind w:left="107"/>
              <w:jc w:val="center"/>
            </w:pPr>
            <w:r w:rsidRPr="00D721CA">
              <w:t>16/30 (53%)</w:t>
            </w:r>
          </w:p>
        </w:tc>
        <w:tc>
          <w:tcPr>
            <w:tcW w:w="1651" w:type="dxa"/>
          </w:tcPr>
          <w:p w14:paraId="5ECFA299" w14:textId="40D64E96" w:rsidR="00E9100A" w:rsidRPr="00D721CA" w:rsidRDefault="00E9100A" w:rsidP="00873AF3">
            <w:pPr>
              <w:pStyle w:val="COMTabletext"/>
              <w:ind w:left="107"/>
              <w:jc w:val="center"/>
            </w:pPr>
            <w:r w:rsidRPr="00D721CA">
              <w:t>2.18 (0.78, 6.07)</w:t>
            </w:r>
          </w:p>
        </w:tc>
      </w:tr>
      <w:tr w:rsidR="00E9100A" w:rsidRPr="00D721CA" w14:paraId="479A0634" w14:textId="77777777" w:rsidTr="7E0DBB7D">
        <w:tc>
          <w:tcPr>
            <w:tcW w:w="7366" w:type="dxa"/>
            <w:gridSpan w:val="6"/>
          </w:tcPr>
          <w:p w14:paraId="398D3BB1" w14:textId="0FE2E782" w:rsidR="00E9100A" w:rsidRPr="00D721CA" w:rsidRDefault="7EA78C81" w:rsidP="00873AF3">
            <w:pPr>
              <w:pStyle w:val="COMTabletext"/>
              <w:ind w:left="107"/>
              <w:jc w:val="right"/>
            </w:pPr>
            <w:r w:rsidRPr="00D721CA">
              <w:t xml:space="preserve">Indirect comparison of rozanolixizumab versus IVIg – </w:t>
            </w:r>
            <w:r w:rsidR="00BA3F9A" w:rsidRPr="00D721CA">
              <w:t>6-week</w:t>
            </w:r>
            <w:r w:rsidRPr="00D721CA">
              <w:t xml:space="preserve"> data</w:t>
            </w:r>
          </w:p>
        </w:tc>
        <w:tc>
          <w:tcPr>
            <w:tcW w:w="1651" w:type="dxa"/>
          </w:tcPr>
          <w:p w14:paraId="7A37BEA7" w14:textId="7A4248F1" w:rsidR="00E9100A" w:rsidRPr="00D721CA" w:rsidRDefault="00461650" w:rsidP="00873AF3">
            <w:pPr>
              <w:pStyle w:val="COMTabletext"/>
              <w:ind w:left="107"/>
              <w:jc w:val="center"/>
            </w:pPr>
            <w:r w:rsidRPr="00D721CA">
              <w:t>0.87 (0.25, 3.00)</w:t>
            </w:r>
          </w:p>
        </w:tc>
      </w:tr>
    </w:tbl>
    <w:p w14:paraId="2DC4DB74" w14:textId="77777777" w:rsidR="00A05D17" w:rsidRPr="00D721CA" w:rsidRDefault="00A05D17" w:rsidP="00873AF3">
      <w:pPr>
        <w:pStyle w:val="COMTablefooter"/>
      </w:pPr>
      <w:r w:rsidRPr="00D721CA">
        <w:t>Source: Table 2.6-2, p137; Table 2.6-3, p138; Table 2.6-5, p140 of the submission</w:t>
      </w:r>
    </w:p>
    <w:p w14:paraId="7423C50F" w14:textId="1330EDA3" w:rsidR="00A05D17" w:rsidRPr="00D721CA" w:rsidRDefault="664123CF" w:rsidP="00873AF3">
      <w:pPr>
        <w:pStyle w:val="COMTablefooter"/>
        <w:spacing w:after="0"/>
      </w:pPr>
      <w:r w:rsidRPr="00D721CA">
        <w:t xml:space="preserve">Abbreviations: CI, confidence interval; ITT, intent-to-treat; IVIg, intravenous immunoglobulin; </w:t>
      </w:r>
      <w:r w:rsidR="00BA3F9A" w:rsidRPr="00D721CA">
        <w:t>OR</w:t>
      </w:r>
      <w:r w:rsidRPr="00D721CA">
        <w:t xml:space="preserve"> odds ratio; RR, relative risk; RD, risk difference; RLZ, rozanolixizumab</w:t>
      </w:r>
    </w:p>
    <w:p w14:paraId="1B4BBB13" w14:textId="52D16017" w:rsidR="00A05D17" w:rsidRPr="006077B2" w:rsidRDefault="00A05D17" w:rsidP="00873AF3">
      <w:pPr>
        <w:pStyle w:val="COMexecsummnumbered"/>
        <w:rPr>
          <w:lang w:val="en-GB"/>
        </w:rPr>
      </w:pPr>
      <w:r w:rsidRPr="5FA77DAB">
        <w:rPr>
          <w:lang w:val="en-GB"/>
        </w:rPr>
        <w:t xml:space="preserve">Based on the indirect analyses of responder outcomes using the MG-ADL, MGC and QMG scales, there were </w:t>
      </w:r>
      <w:bookmarkStart w:id="48" w:name="_Hlk194041984"/>
      <w:r w:rsidRPr="5FA77DAB">
        <w:rPr>
          <w:lang w:val="en-GB"/>
        </w:rPr>
        <w:t>no statistically significant differences in functional outcomes between rozanolixizumab and IVIg</w:t>
      </w:r>
      <w:bookmarkEnd w:id="48"/>
      <w:r w:rsidRPr="5FA77DAB">
        <w:rPr>
          <w:lang w:val="en-GB"/>
        </w:rPr>
        <w:t xml:space="preserve">. The submission suggested that inconsistencies in response rates between the placebo arms of the trials may have been due to the differences in timepoints or a difference in the patient populations of the trials. </w:t>
      </w:r>
    </w:p>
    <w:p w14:paraId="7405D375" w14:textId="34497DB0" w:rsidR="00A05D17" w:rsidRPr="006077B2" w:rsidRDefault="006C1B2E" w:rsidP="00873AF3">
      <w:pPr>
        <w:pStyle w:val="COMexecsummnumbered"/>
        <w:rPr>
          <w:lang w:val="en-GB"/>
        </w:rPr>
      </w:pPr>
      <w:r w:rsidRPr="5FA77DAB">
        <w:rPr>
          <w:lang w:val="en-GB"/>
        </w:rPr>
        <w:t xml:space="preserve">The submission also presented an </w:t>
      </w:r>
      <w:r w:rsidR="00A05D17" w:rsidRPr="5FA77DAB">
        <w:rPr>
          <w:lang w:val="en-GB"/>
        </w:rPr>
        <w:t>indirect comparison of change from baseline in QMG score</w:t>
      </w:r>
      <w:r w:rsidRPr="5FA77DAB">
        <w:rPr>
          <w:lang w:val="en-GB"/>
        </w:rPr>
        <w:t>, which</w:t>
      </w:r>
      <w:r w:rsidR="00A05D17" w:rsidRPr="5FA77DAB">
        <w:rPr>
          <w:lang w:val="en-GB"/>
        </w:rPr>
        <w:t xml:space="preserve"> </w:t>
      </w:r>
      <w:r w:rsidR="0025006E" w:rsidRPr="5FA77DAB">
        <w:rPr>
          <w:lang w:val="en-GB"/>
        </w:rPr>
        <w:t>did not identify any statistically significant differences between treatments</w:t>
      </w:r>
      <w:r w:rsidR="00B859AD" w:rsidRPr="5FA77DAB">
        <w:rPr>
          <w:lang w:val="en-GB"/>
        </w:rPr>
        <w:t xml:space="preserve"> (</w:t>
      </w:r>
      <w:r w:rsidR="0045481A" w:rsidRPr="5FA77DAB">
        <w:rPr>
          <w:lang w:val="en-GB"/>
        </w:rPr>
        <w:t xml:space="preserve">QMG scores mean difference </w:t>
      </w:r>
      <w:r w:rsidR="00B859AD" w:rsidRPr="5FA77DAB">
        <w:rPr>
          <w:lang w:val="en-GB"/>
        </w:rPr>
        <w:t>-1.58</w:t>
      </w:r>
      <w:r w:rsidR="0045481A" w:rsidRPr="5FA77DAB">
        <w:rPr>
          <w:lang w:val="en-GB"/>
        </w:rPr>
        <w:t>, 95% CI</w:t>
      </w:r>
      <w:r w:rsidR="00B859AD" w:rsidRPr="5FA77DAB">
        <w:rPr>
          <w:lang w:val="en-GB"/>
        </w:rPr>
        <w:t xml:space="preserve"> -4.73, 0.93)</w:t>
      </w:r>
      <w:r w:rsidRPr="5FA77DAB">
        <w:rPr>
          <w:lang w:val="en-GB"/>
        </w:rPr>
        <w:t>.</w:t>
      </w:r>
    </w:p>
    <w:p w14:paraId="2925FE60" w14:textId="1ACA59C6" w:rsidR="003D2075" w:rsidRPr="006077B2" w:rsidRDefault="003D2075" w:rsidP="00873AF3">
      <w:pPr>
        <w:pStyle w:val="COMexecsummnumbered"/>
        <w:rPr>
          <w:lang w:val="en-GB"/>
        </w:rPr>
      </w:pPr>
      <w:r w:rsidRPr="5FA77DAB">
        <w:rPr>
          <w:lang w:val="en-GB"/>
        </w:rPr>
        <w:t xml:space="preserve">This indirect analysis appeared to be the most robust comparison currently available between </w:t>
      </w:r>
      <w:r w:rsidR="00B36E44" w:rsidRPr="5FA77DAB">
        <w:rPr>
          <w:lang w:val="en-GB"/>
        </w:rPr>
        <w:t>rozanolixizumab</w:t>
      </w:r>
      <w:r w:rsidR="006078BA" w:rsidRPr="5FA77DAB">
        <w:rPr>
          <w:lang w:val="en-GB"/>
        </w:rPr>
        <w:t xml:space="preserve"> </w:t>
      </w:r>
      <w:r w:rsidRPr="5FA77DAB">
        <w:rPr>
          <w:lang w:val="en-GB"/>
        </w:rPr>
        <w:t xml:space="preserve">and chronic IVIg, however </w:t>
      </w:r>
      <w:r w:rsidR="00895C67" w:rsidRPr="5FA77DAB">
        <w:rPr>
          <w:lang w:val="en-GB"/>
        </w:rPr>
        <w:t xml:space="preserve">the evaluation considered that </w:t>
      </w:r>
      <w:r w:rsidRPr="5FA77DAB">
        <w:rPr>
          <w:lang w:val="en-GB"/>
        </w:rPr>
        <w:t xml:space="preserve">its applicability to Australian clinical practice was unclear as the IVIg dosing regimen used in the Bril 2024 trial was more intensive than recommended in Australia. The comparison </w:t>
      </w:r>
      <w:r w:rsidR="00925ADB" w:rsidRPr="5FA77DAB">
        <w:rPr>
          <w:lang w:val="en-GB"/>
        </w:rPr>
        <w:t xml:space="preserve">did </w:t>
      </w:r>
      <w:r w:rsidRPr="5FA77DAB">
        <w:rPr>
          <w:lang w:val="en-GB"/>
        </w:rPr>
        <w:t>not address the deterioration in clinical effects that occurs between rozanolixizumab treatment cycles.</w:t>
      </w:r>
    </w:p>
    <w:p w14:paraId="0A7D06EB" w14:textId="6DAF757F" w:rsidR="003C5308" w:rsidRPr="006077B2" w:rsidRDefault="007A5625" w:rsidP="00873AF3">
      <w:pPr>
        <w:pStyle w:val="COMexecsummnumbered"/>
        <w:rPr>
          <w:color w:val="0066FF"/>
          <w:lang w:val="en-GB"/>
        </w:rPr>
      </w:pPr>
      <w:r w:rsidRPr="5FA77DAB">
        <w:rPr>
          <w:lang w:val="en-GB"/>
        </w:rPr>
        <w:t>The</w:t>
      </w:r>
      <w:r w:rsidR="009D6DF1" w:rsidRPr="5FA77DAB">
        <w:rPr>
          <w:lang w:val="en-GB"/>
        </w:rPr>
        <w:t xml:space="preserve"> indirect comparison of MycarinG and Wolfe 2002</w:t>
      </w:r>
      <w:r w:rsidR="004265AF" w:rsidRPr="5FA77DAB">
        <w:rPr>
          <w:lang w:val="en-GB"/>
        </w:rPr>
        <w:t xml:space="preserve"> compared outcomes at the same </w:t>
      </w:r>
      <w:r w:rsidR="00BA3F9A" w:rsidRPr="5FA77DAB">
        <w:rPr>
          <w:lang w:val="en-GB"/>
        </w:rPr>
        <w:t>6-week</w:t>
      </w:r>
      <w:r w:rsidR="004265AF" w:rsidRPr="5FA77DAB">
        <w:rPr>
          <w:lang w:val="en-GB"/>
        </w:rPr>
        <w:t xml:space="preserve"> time point</w:t>
      </w:r>
      <w:r w:rsidR="00CB3D1B" w:rsidRPr="5FA77DAB">
        <w:rPr>
          <w:lang w:val="en-GB"/>
        </w:rPr>
        <w:t xml:space="preserve">, </w:t>
      </w:r>
      <w:r w:rsidR="00391C38" w:rsidRPr="5FA77DAB">
        <w:rPr>
          <w:lang w:val="en-GB"/>
        </w:rPr>
        <w:t>however there were difference</w:t>
      </w:r>
      <w:r w:rsidR="00F3221B" w:rsidRPr="5FA77DAB">
        <w:rPr>
          <w:lang w:val="en-GB"/>
        </w:rPr>
        <w:t>s</w:t>
      </w:r>
      <w:r w:rsidR="00391C38" w:rsidRPr="5FA77DAB">
        <w:rPr>
          <w:lang w:val="en-GB"/>
        </w:rPr>
        <w:t xml:space="preserve"> between the trials in eligibility criteria</w:t>
      </w:r>
      <w:r w:rsidR="007C1779" w:rsidRPr="5FA77DAB">
        <w:rPr>
          <w:lang w:val="en-GB"/>
        </w:rPr>
        <w:t>.</w:t>
      </w:r>
      <w:r w:rsidR="0017216D" w:rsidRPr="5FA77DAB">
        <w:rPr>
          <w:lang w:val="en-GB"/>
        </w:rPr>
        <w:t xml:space="preserve"> The submission noted that Wolfe 2002 was prematurely terminated with only 15 of the planned 88 patients enrolled at the time of </w:t>
      </w:r>
      <w:r w:rsidR="00BA3F9A" w:rsidRPr="5FA77DAB">
        <w:rPr>
          <w:lang w:val="en-GB"/>
        </w:rPr>
        <w:t>termination and</w:t>
      </w:r>
      <w:r w:rsidR="0017216D" w:rsidRPr="5FA77DAB">
        <w:rPr>
          <w:lang w:val="en-GB"/>
        </w:rPr>
        <w:t xml:space="preserve"> was therefore underpowered to determine a treatment difference. The submission noted that the IVIg dose received in Wolfe 2002 was 1 g/kg on days 1, 2 and 22, which was at the higher end of the recommended range for induction and maintenance dosing in the TGA Product Information and NBA criteria.</w:t>
      </w:r>
    </w:p>
    <w:p w14:paraId="7D1F8F7B" w14:textId="6EB8436B" w:rsidR="0017216D" w:rsidRPr="006077B2" w:rsidRDefault="00243619" w:rsidP="00873AF3">
      <w:pPr>
        <w:pStyle w:val="COMexecsummnumbered"/>
        <w:rPr>
          <w:lang w:val="en-GB"/>
        </w:rPr>
      </w:pPr>
      <w:r w:rsidRPr="5FA77DAB">
        <w:rPr>
          <w:lang w:val="en-GB"/>
        </w:rPr>
        <w:t>Based on the indirect analyses, t</w:t>
      </w:r>
      <w:r w:rsidR="0017216D" w:rsidRPr="5FA77DAB">
        <w:rPr>
          <w:lang w:val="en-GB"/>
        </w:rPr>
        <w:t>reatment with rozanolixizumab led to statistically significantly greater improvement in MG-ADL scores and QMG scores compared with IVIg (MG-ADL scores mean difference 4.89; 95% CI 7.54, 2.24; QMG scores mean difference -5.08, 95% CI -9.14, -1.02). Given the limited data</w:t>
      </w:r>
      <w:r w:rsidR="00E038EB" w:rsidRPr="5FA77DAB">
        <w:rPr>
          <w:lang w:val="en-GB"/>
        </w:rPr>
        <w:t>,</w:t>
      </w:r>
      <w:r w:rsidR="00A76B86" w:rsidRPr="5FA77DAB">
        <w:rPr>
          <w:lang w:val="en-GB"/>
        </w:rPr>
        <w:t xml:space="preserve"> differences in</w:t>
      </w:r>
      <w:r w:rsidR="00E038EB" w:rsidRPr="5FA77DAB">
        <w:rPr>
          <w:lang w:val="en-GB"/>
        </w:rPr>
        <w:t xml:space="preserve"> baseline levels of functional impairment</w:t>
      </w:r>
      <w:r w:rsidR="0017216D" w:rsidRPr="5FA77DAB">
        <w:rPr>
          <w:lang w:val="en-GB"/>
        </w:rPr>
        <w:t xml:space="preserve"> and small patient numbers from Wolfe 2002, results of the indirect comparison should be interpreted with caution. The Wolfe 2002 paper did not present a summary of safety </w:t>
      </w:r>
      <w:r w:rsidR="000828C9" w:rsidRPr="5FA77DAB">
        <w:rPr>
          <w:lang w:val="en-GB"/>
        </w:rPr>
        <w:t>outcomes,</w:t>
      </w:r>
      <w:r w:rsidR="0017216D" w:rsidRPr="5FA77DAB">
        <w:rPr>
          <w:lang w:val="en-GB"/>
        </w:rPr>
        <w:t xml:space="preserve"> and no indirect comparison could be made</w:t>
      </w:r>
      <w:r w:rsidR="00E038EB" w:rsidRPr="5FA77DAB">
        <w:rPr>
          <w:lang w:val="en-GB"/>
        </w:rPr>
        <w:t>.</w:t>
      </w:r>
    </w:p>
    <w:p w14:paraId="2D418823" w14:textId="6EA5CBBF" w:rsidR="00F44DE2" w:rsidRPr="006077B2" w:rsidRDefault="00E038EB" w:rsidP="00873AF3">
      <w:pPr>
        <w:pStyle w:val="COMexecsummnumbered"/>
        <w:rPr>
          <w:lang w:val="en-GB"/>
        </w:rPr>
      </w:pPr>
      <w:r w:rsidRPr="5FA77DAB">
        <w:rPr>
          <w:lang w:val="en-GB"/>
        </w:rPr>
        <w:t xml:space="preserve">The indirect comparison of MycarinG with the Zinman 2007 IVIg trial was hampered by </w:t>
      </w:r>
      <w:r w:rsidR="00F44DE2" w:rsidRPr="5FA77DAB">
        <w:rPr>
          <w:lang w:val="en-GB"/>
        </w:rPr>
        <w:t>the limited details on eligibility criteria and baseline characteristics reported in Zinman 2007</w:t>
      </w:r>
      <w:r w:rsidR="009554A6" w:rsidRPr="5FA77DAB">
        <w:rPr>
          <w:lang w:val="en-GB"/>
        </w:rPr>
        <w:t xml:space="preserve">, although there were differences between </w:t>
      </w:r>
      <w:r w:rsidR="00CD209A" w:rsidRPr="5FA77DAB">
        <w:rPr>
          <w:lang w:val="en-GB"/>
        </w:rPr>
        <w:t>the trials in baseline functional impairment</w:t>
      </w:r>
      <w:r w:rsidR="00F44DE2" w:rsidRPr="5FA77DAB">
        <w:rPr>
          <w:lang w:val="en-GB"/>
        </w:rPr>
        <w:t>. Patients in Zinman 2007 received IVIg 2 g/kg in divided doses over 2 days, corresponding to the maximum dose for induction treatment recommended in the IVIg Product Information. No further maintenance doses were administered in the trial.</w:t>
      </w:r>
    </w:p>
    <w:p w14:paraId="77A7CA0F" w14:textId="3BDADCBC" w:rsidR="0017216D" w:rsidRPr="002010BE" w:rsidRDefault="00911510" w:rsidP="00873AF3">
      <w:pPr>
        <w:pStyle w:val="COMexecsummnumbered"/>
        <w:rPr>
          <w:lang w:val="en-GB"/>
        </w:rPr>
      </w:pPr>
      <w:r w:rsidRPr="5FA77DAB">
        <w:rPr>
          <w:lang w:val="en-GB"/>
        </w:rPr>
        <w:t>Based on the indirect comparison, t</w:t>
      </w:r>
      <w:r w:rsidR="00F44DE2" w:rsidRPr="5FA77DAB">
        <w:rPr>
          <w:lang w:val="en-GB"/>
        </w:rPr>
        <w:t xml:space="preserve">here were no statistically significant differences between rozanolixizumab and IVIg for change from baseline in QMG scores at either 2 or 4 weeks. </w:t>
      </w:r>
      <w:r w:rsidR="0028760A" w:rsidRPr="5FA77DAB">
        <w:rPr>
          <w:lang w:val="en-GB"/>
        </w:rPr>
        <w:t xml:space="preserve">Given the </w:t>
      </w:r>
      <w:r w:rsidR="00D155A7" w:rsidRPr="5FA77DAB">
        <w:rPr>
          <w:lang w:val="en-GB"/>
        </w:rPr>
        <w:t>paucity of</w:t>
      </w:r>
      <w:r w:rsidR="0028760A" w:rsidRPr="5FA77DAB">
        <w:rPr>
          <w:lang w:val="en-GB"/>
        </w:rPr>
        <w:t xml:space="preserve"> </w:t>
      </w:r>
      <w:r w:rsidR="0006233E" w:rsidRPr="5FA77DAB">
        <w:rPr>
          <w:lang w:val="en-GB"/>
        </w:rPr>
        <w:t xml:space="preserve">data </w:t>
      </w:r>
      <w:r w:rsidR="00D155A7" w:rsidRPr="5FA77DAB">
        <w:rPr>
          <w:lang w:val="en-GB"/>
        </w:rPr>
        <w:t>reported</w:t>
      </w:r>
      <w:r w:rsidR="0006233E" w:rsidRPr="5FA77DAB">
        <w:rPr>
          <w:lang w:val="en-GB"/>
        </w:rPr>
        <w:t xml:space="preserve"> </w:t>
      </w:r>
      <w:r w:rsidR="00D155A7" w:rsidRPr="5FA77DAB">
        <w:rPr>
          <w:lang w:val="en-GB"/>
        </w:rPr>
        <w:t>in Zinman 2007</w:t>
      </w:r>
      <w:r w:rsidR="0006233E" w:rsidRPr="5FA77DAB">
        <w:rPr>
          <w:lang w:val="en-GB"/>
        </w:rPr>
        <w:t xml:space="preserve"> and the </w:t>
      </w:r>
      <w:r w:rsidR="00D155A7" w:rsidRPr="5FA77DAB">
        <w:rPr>
          <w:lang w:val="en-GB"/>
        </w:rPr>
        <w:t xml:space="preserve">IVIg dose limited to induction treatment only with no maintenance dose, the results of the indirect comparison should be interpreted with caution. </w:t>
      </w:r>
      <w:r w:rsidR="00F44DE2" w:rsidRPr="5FA77DAB">
        <w:rPr>
          <w:lang w:val="en-GB"/>
        </w:rPr>
        <w:t>The Zinman 2007 paper did not present a summary of safety outcomes</w:t>
      </w:r>
      <w:r w:rsidR="0028760A" w:rsidRPr="5FA77DAB">
        <w:rPr>
          <w:lang w:val="en-GB"/>
        </w:rPr>
        <w:t>.</w:t>
      </w:r>
    </w:p>
    <w:p w14:paraId="0C553116" w14:textId="0986EEEF" w:rsidR="00D155A7" w:rsidRDefault="00D155A7" w:rsidP="00873AF3">
      <w:pPr>
        <w:pStyle w:val="COMH4"/>
        <w:ind w:left="709" w:hanging="709"/>
        <w:rPr>
          <w:lang w:val="en-GB"/>
        </w:rPr>
      </w:pPr>
      <w:r w:rsidRPr="5FA77DAB">
        <w:rPr>
          <w:lang w:val="en-GB"/>
        </w:rPr>
        <w:t>Rozanolixizumab versus efgartigimod</w:t>
      </w:r>
    </w:p>
    <w:p w14:paraId="1A87A9B9" w14:textId="38E2CA12" w:rsidR="00446B62" w:rsidRPr="006077B2" w:rsidRDefault="00446B62" w:rsidP="00873AF3">
      <w:pPr>
        <w:pStyle w:val="COMexecsummnumbered"/>
        <w:rPr>
          <w:lang w:val="en-GB"/>
        </w:rPr>
      </w:pPr>
      <w:r w:rsidRPr="5FA77DAB">
        <w:rPr>
          <w:lang w:val="en-GB"/>
        </w:rPr>
        <w:t>The submission presented an indirect comparison of a 6-week treatment cycle of rozanolixizumab ~7 mg/kg once weekly (based on the MycarinG trial) versus a 4-week treatment cycle of efgartigimod 10 mg/kg intravenously once weekly (based on a meta-analysis of the ADAPT and Howard 2019 trials) for the treatment of adults with MGFA class II to IV AChR-positive generalised myasthenia gravis, with placebo as the common reference. The submission did not adequately justify inclusion of Howard</w:t>
      </w:r>
      <w:r w:rsidR="0013265A">
        <w:rPr>
          <w:lang w:val="en-GB"/>
        </w:rPr>
        <w:t> </w:t>
      </w:r>
      <w:r w:rsidRPr="5FA77DAB">
        <w:rPr>
          <w:lang w:val="en-GB"/>
        </w:rPr>
        <w:t xml:space="preserve">2019, a phase 2 exploratory study of 24 patients that was not adequately powered for hypothesis testing. </w:t>
      </w:r>
    </w:p>
    <w:p w14:paraId="3EC3E11C" w14:textId="7934D346" w:rsidR="004C2497" w:rsidRPr="006077B2" w:rsidRDefault="004C2497" w:rsidP="00873AF3">
      <w:pPr>
        <w:pStyle w:val="COMexecsummnumbered"/>
        <w:rPr>
          <w:lang w:val="en-GB"/>
        </w:rPr>
      </w:pPr>
      <w:r w:rsidRPr="5FA77DAB">
        <w:rPr>
          <w:lang w:val="en-GB"/>
        </w:rPr>
        <w:t>The submission acknowledged that there were differences between the trials in terms of trial duration, AChR antibody status, degree of functional impairment at baseline, and baseline disease severity. During the evaluation, it was also noted that there were differences between the trials in terms of prior thymectomy, and baseline corticosteroid use.</w:t>
      </w:r>
    </w:p>
    <w:p w14:paraId="212C5D12" w14:textId="73B0937E" w:rsidR="004C2497" w:rsidRPr="006077B2" w:rsidRDefault="4616DA7B" w:rsidP="00873AF3">
      <w:pPr>
        <w:pStyle w:val="COMexecsummnumbered"/>
      </w:pPr>
      <w:r w:rsidRPr="7E0DBB7D">
        <w:t>The MycarinG and ADAPT trials used the same definitions of response (2-point improvement from baseline in MG-ADL; 3-point improvement from baseline in QMG). However, while the proportion of responders was based on change from baseline to day 43 (week 6) in MycarinG; in ADAPT, a responder was required to sustain the response for at least 4 consecutive weeks, with the first improvement occurring by week 4 of the cycle. The submission acknowledged that it may be harder for patients in the ADAPT trial to achieve response compared to the MycarinG trial. The use of less rigorous response outcomes in the MycarinG trial was in favour of rozanolixizumab. In Howard 2019, the proportion of responders was based on change from baseline to day 29 or 36.</w:t>
      </w:r>
    </w:p>
    <w:p w14:paraId="6CFBE7EF" w14:textId="6B2CEBF9" w:rsidR="004C2497" w:rsidRPr="00C828F6" w:rsidRDefault="004C2497" w:rsidP="00873AF3">
      <w:pPr>
        <w:pStyle w:val="COMexecsummnumbered"/>
        <w:rPr>
          <w:lang w:val="en-GB"/>
        </w:rPr>
      </w:pPr>
      <w:r w:rsidRPr="5FA77DAB">
        <w:rPr>
          <w:lang w:val="en-GB"/>
        </w:rPr>
        <w:t xml:space="preserve">The indirect comparisons of rozanolixizumab versus efgartigimod for responder outcomes are summarised in </w:t>
      </w:r>
      <w:r w:rsidR="000E68B7">
        <w:fldChar w:fldCharType="begin" w:fldLock="1"/>
      </w:r>
      <w:r w:rsidR="000E68B7">
        <w:instrText xml:space="preserve"> REF _Ref185266642 \h  \* MERGEFORMAT </w:instrText>
      </w:r>
      <w:r w:rsidR="000E68B7">
        <w:fldChar w:fldCharType="separate"/>
      </w:r>
      <w:r w:rsidR="00E70E55" w:rsidRPr="5FA77DAB">
        <w:rPr>
          <w:lang w:val="en-GB"/>
        </w:rPr>
        <w:t xml:space="preserve">Table </w:t>
      </w:r>
      <w:r w:rsidR="00E70E55" w:rsidRPr="00E70E55">
        <w:rPr>
          <w:lang w:val="en-GB"/>
        </w:rPr>
        <w:t>10</w:t>
      </w:r>
      <w:r w:rsidR="000E68B7">
        <w:fldChar w:fldCharType="end"/>
      </w:r>
      <w:r w:rsidRPr="5FA77DAB">
        <w:rPr>
          <w:lang w:val="en-GB"/>
        </w:rPr>
        <w:t>.</w:t>
      </w:r>
    </w:p>
    <w:p w14:paraId="16FDBB35" w14:textId="5A87380A" w:rsidR="004C2497" w:rsidRDefault="00FB5E6D" w:rsidP="00873AF3">
      <w:pPr>
        <w:pStyle w:val="COMtablefigcaption"/>
        <w:rPr>
          <w:lang w:val="en-GB"/>
        </w:rPr>
      </w:pPr>
      <w:bookmarkStart w:id="49" w:name="_Ref185266642"/>
      <w:r w:rsidRPr="5FA77DAB">
        <w:rPr>
          <w:lang w:val="en-GB"/>
        </w:rPr>
        <w:t>Table</w:t>
      </w:r>
      <w:r w:rsidR="00FE3CB3" w:rsidRPr="5FA77DAB">
        <w:rPr>
          <w:lang w:val="en-GB"/>
        </w:rPr>
        <w:t xml:space="preserve"> </w:t>
      </w:r>
      <w:r>
        <w:fldChar w:fldCharType="begin" w:fldLock="1"/>
      </w:r>
      <w:r>
        <w:instrText>SEQ Table \* ARABIC</w:instrText>
      </w:r>
      <w:r>
        <w:fldChar w:fldCharType="separate"/>
      </w:r>
      <w:r w:rsidR="00E70E55">
        <w:rPr>
          <w:noProof/>
        </w:rPr>
        <w:t>10</w:t>
      </w:r>
      <w:r>
        <w:fldChar w:fldCharType="end"/>
      </w:r>
      <w:bookmarkEnd w:id="49"/>
      <w:r w:rsidR="004C2497" w:rsidRPr="5FA77DAB">
        <w:rPr>
          <w:lang w:val="en-GB"/>
        </w:rPr>
        <w:t>: Indirect comparison of responder efficacy outcomes with rozanolixizumab and efgartigimod</w:t>
      </w:r>
    </w:p>
    <w:tbl>
      <w:tblPr>
        <w:tblStyle w:val="TableGrid"/>
        <w:tblW w:w="5000" w:type="pct"/>
        <w:tblCellMar>
          <w:left w:w="28" w:type="dxa"/>
          <w:right w:w="28" w:type="dxa"/>
        </w:tblCellMar>
        <w:tblLook w:val="04A0" w:firstRow="1" w:lastRow="0" w:firstColumn="1" w:lastColumn="0" w:noHBand="0" w:noVBand="1"/>
        <w:tblCaption w:val="Table 10: Indirect comparison of responder efficacy outcomes with rozanolixizumab and efgartigimod"/>
      </w:tblPr>
      <w:tblGrid>
        <w:gridCol w:w="2547"/>
        <w:gridCol w:w="1606"/>
        <w:gridCol w:w="1606"/>
        <w:gridCol w:w="1607"/>
        <w:gridCol w:w="1651"/>
      </w:tblGrid>
      <w:tr w:rsidR="004C2497" w14:paraId="729A54F9" w14:textId="77777777" w:rsidTr="7E0DBB7D">
        <w:tc>
          <w:tcPr>
            <w:tcW w:w="2547" w:type="dxa"/>
            <w:vAlign w:val="center"/>
          </w:tcPr>
          <w:p w14:paraId="1F038BA4" w14:textId="77777777" w:rsidR="004C2497" w:rsidRPr="00715F74" w:rsidRDefault="004C2497" w:rsidP="00873AF3">
            <w:pPr>
              <w:pStyle w:val="COMTabletext"/>
              <w:ind w:left="119"/>
              <w:rPr>
                <w:b/>
                <w:bCs w:val="0"/>
              </w:rPr>
            </w:pPr>
            <w:r w:rsidRPr="00715F74">
              <w:rPr>
                <w:b/>
                <w:bCs w:val="0"/>
              </w:rPr>
              <w:t>Trial</w:t>
            </w:r>
          </w:p>
        </w:tc>
        <w:tc>
          <w:tcPr>
            <w:tcW w:w="1606" w:type="dxa"/>
            <w:vAlign w:val="center"/>
          </w:tcPr>
          <w:p w14:paraId="6610CC92" w14:textId="77777777" w:rsidR="004C2497" w:rsidRDefault="004C2497" w:rsidP="00873AF3">
            <w:pPr>
              <w:pStyle w:val="COMTabletext"/>
              <w:ind w:left="119"/>
              <w:jc w:val="center"/>
              <w:rPr>
                <w:b/>
                <w:lang w:val="en-GB"/>
              </w:rPr>
            </w:pPr>
            <w:r w:rsidRPr="5FA77DAB">
              <w:rPr>
                <w:b/>
                <w:lang w:val="en-GB"/>
              </w:rPr>
              <w:t xml:space="preserve">Rozanolixizumab </w:t>
            </w:r>
          </w:p>
          <w:p w14:paraId="2D84ED82" w14:textId="77777777" w:rsidR="004C2497" w:rsidRPr="00715F74" w:rsidRDefault="004C2497" w:rsidP="00873AF3">
            <w:pPr>
              <w:pStyle w:val="COMTabletext"/>
              <w:ind w:left="119"/>
              <w:jc w:val="center"/>
              <w:rPr>
                <w:b/>
                <w:bCs w:val="0"/>
              </w:rPr>
            </w:pPr>
            <w:r>
              <w:rPr>
                <w:b/>
                <w:bCs w:val="0"/>
              </w:rPr>
              <w:t>~7 mg/kg</w:t>
            </w:r>
          </w:p>
        </w:tc>
        <w:tc>
          <w:tcPr>
            <w:tcW w:w="1606" w:type="dxa"/>
            <w:vAlign w:val="center"/>
          </w:tcPr>
          <w:p w14:paraId="5F98605A" w14:textId="77777777" w:rsidR="004C2497" w:rsidRPr="00715F74" w:rsidRDefault="004C2497" w:rsidP="00873AF3">
            <w:pPr>
              <w:pStyle w:val="COMTabletext"/>
              <w:ind w:left="-35"/>
              <w:jc w:val="center"/>
              <w:rPr>
                <w:b/>
                <w:bCs w:val="0"/>
              </w:rPr>
            </w:pPr>
            <w:r w:rsidRPr="00715F74">
              <w:rPr>
                <w:b/>
                <w:bCs w:val="0"/>
              </w:rPr>
              <w:t>Placebo</w:t>
            </w:r>
          </w:p>
        </w:tc>
        <w:tc>
          <w:tcPr>
            <w:tcW w:w="1607" w:type="dxa"/>
            <w:vAlign w:val="center"/>
          </w:tcPr>
          <w:p w14:paraId="73B54B83" w14:textId="77777777" w:rsidR="004C2497" w:rsidRPr="00715F74" w:rsidRDefault="004C2497" w:rsidP="00873AF3">
            <w:pPr>
              <w:pStyle w:val="COMTabletext"/>
              <w:ind w:left="-35"/>
              <w:jc w:val="center"/>
              <w:rPr>
                <w:b/>
                <w:bCs w:val="0"/>
              </w:rPr>
            </w:pPr>
            <w:r w:rsidRPr="00715F74">
              <w:rPr>
                <w:b/>
                <w:bCs w:val="0"/>
              </w:rPr>
              <w:t>Efgartigimod</w:t>
            </w:r>
          </w:p>
        </w:tc>
        <w:tc>
          <w:tcPr>
            <w:tcW w:w="1651" w:type="dxa"/>
            <w:vAlign w:val="center"/>
          </w:tcPr>
          <w:p w14:paraId="0D1ED33C" w14:textId="77777777" w:rsidR="004C2497" w:rsidRPr="00715F74" w:rsidRDefault="004C2497" w:rsidP="00873AF3">
            <w:pPr>
              <w:pStyle w:val="COMTabletext"/>
              <w:ind w:left="-35"/>
              <w:jc w:val="center"/>
              <w:rPr>
                <w:b/>
                <w:bCs w:val="0"/>
              </w:rPr>
            </w:pPr>
            <w:r>
              <w:rPr>
                <w:b/>
                <w:bCs w:val="0"/>
              </w:rPr>
              <w:t>Odds ratio (95% CI)</w:t>
            </w:r>
          </w:p>
        </w:tc>
      </w:tr>
      <w:tr w:rsidR="004C2497" w14:paraId="0A4F56CD" w14:textId="77777777" w:rsidTr="7E0DBB7D">
        <w:tc>
          <w:tcPr>
            <w:tcW w:w="9017" w:type="dxa"/>
            <w:gridSpan w:val="5"/>
          </w:tcPr>
          <w:p w14:paraId="25BACCCB" w14:textId="23C3F7BE" w:rsidR="004C2497" w:rsidRPr="007A73CE" w:rsidRDefault="4616DA7B" w:rsidP="00873AF3">
            <w:pPr>
              <w:pStyle w:val="COMTabletext"/>
              <w:ind w:left="119"/>
              <w:rPr>
                <w:b/>
              </w:rPr>
            </w:pPr>
            <w:r w:rsidRPr="7E0DBB7D">
              <w:rPr>
                <w:b/>
              </w:rPr>
              <w:t>MG-ADL responder (≥2-point improvement) in cycle 1: all patients (</w:t>
            </w:r>
            <w:r w:rsidR="00C440A8" w:rsidRPr="7E0DBB7D">
              <w:rPr>
                <w:b/>
              </w:rPr>
              <w:t>6-week</w:t>
            </w:r>
            <w:r w:rsidRPr="7E0DBB7D">
              <w:rPr>
                <w:b/>
              </w:rPr>
              <w:t xml:space="preserve"> data from MycarinG versus </w:t>
            </w:r>
            <w:r w:rsidR="00C440A8" w:rsidRPr="7E0DBB7D">
              <w:rPr>
                <w:b/>
              </w:rPr>
              <w:t>4-week</w:t>
            </w:r>
            <w:r w:rsidRPr="7E0DBB7D">
              <w:rPr>
                <w:b/>
              </w:rPr>
              <w:t xml:space="preserve"> data from ADAPT; Howard 2019)</w:t>
            </w:r>
          </w:p>
        </w:tc>
      </w:tr>
      <w:tr w:rsidR="004C2497" w14:paraId="2C1F59A7" w14:textId="77777777" w:rsidTr="7E0DBB7D">
        <w:tc>
          <w:tcPr>
            <w:tcW w:w="2547" w:type="dxa"/>
          </w:tcPr>
          <w:p w14:paraId="20C19BCA" w14:textId="77777777" w:rsidR="004C2497" w:rsidRDefault="4616DA7B" w:rsidP="00873AF3">
            <w:pPr>
              <w:pStyle w:val="COMTabletext"/>
              <w:ind w:left="119"/>
              <w:rPr>
                <w:vertAlign w:val="superscript"/>
              </w:rPr>
            </w:pPr>
            <w:r w:rsidRPr="7E0DBB7D">
              <w:t>MycarinG</w:t>
            </w:r>
            <w:r w:rsidRPr="7E0DBB7D">
              <w:rPr>
                <w:vertAlign w:val="superscript"/>
              </w:rPr>
              <w:t>a</w:t>
            </w:r>
          </w:p>
        </w:tc>
        <w:tc>
          <w:tcPr>
            <w:tcW w:w="1606" w:type="dxa"/>
            <w:vAlign w:val="center"/>
          </w:tcPr>
          <w:p w14:paraId="3E825964" w14:textId="77777777" w:rsidR="004C2497" w:rsidRDefault="004C2497" w:rsidP="00873AF3">
            <w:pPr>
              <w:pStyle w:val="COMTabletext"/>
              <w:ind w:left="119"/>
              <w:jc w:val="center"/>
            </w:pPr>
            <w:r>
              <w:t>46/66 (70%)</w:t>
            </w:r>
          </w:p>
        </w:tc>
        <w:tc>
          <w:tcPr>
            <w:tcW w:w="1606" w:type="dxa"/>
            <w:vAlign w:val="center"/>
          </w:tcPr>
          <w:p w14:paraId="29AC3655" w14:textId="77777777" w:rsidR="004C2497" w:rsidRDefault="004C2497" w:rsidP="00873AF3">
            <w:pPr>
              <w:pStyle w:val="COMTabletext"/>
              <w:ind w:left="-35"/>
              <w:jc w:val="center"/>
            </w:pPr>
            <w:r>
              <w:t>20/67 (30%)</w:t>
            </w:r>
          </w:p>
        </w:tc>
        <w:tc>
          <w:tcPr>
            <w:tcW w:w="1607" w:type="dxa"/>
            <w:vAlign w:val="center"/>
          </w:tcPr>
          <w:p w14:paraId="4EAD2F06" w14:textId="77777777" w:rsidR="004C2497" w:rsidRDefault="004C2497" w:rsidP="00873AF3">
            <w:pPr>
              <w:pStyle w:val="COMTabletext"/>
              <w:ind w:left="-35"/>
              <w:jc w:val="center"/>
            </w:pPr>
            <w:r>
              <w:t>-</w:t>
            </w:r>
          </w:p>
        </w:tc>
        <w:tc>
          <w:tcPr>
            <w:tcW w:w="1651" w:type="dxa"/>
            <w:vAlign w:val="center"/>
          </w:tcPr>
          <w:p w14:paraId="64F1D258" w14:textId="77777777" w:rsidR="004C2497" w:rsidRDefault="004C2497" w:rsidP="00873AF3">
            <w:pPr>
              <w:pStyle w:val="COMTabletext"/>
              <w:ind w:left="-35"/>
              <w:jc w:val="center"/>
            </w:pPr>
            <w:r>
              <w:t>5.40 (2.58, 11.34)</w:t>
            </w:r>
          </w:p>
        </w:tc>
      </w:tr>
      <w:tr w:rsidR="004C2497" w14:paraId="6DDAD360" w14:textId="77777777" w:rsidTr="7E0DBB7D">
        <w:tc>
          <w:tcPr>
            <w:tcW w:w="2547" w:type="dxa"/>
          </w:tcPr>
          <w:p w14:paraId="49BF33C9" w14:textId="77777777" w:rsidR="004C2497" w:rsidRDefault="4616DA7B" w:rsidP="00873AF3">
            <w:pPr>
              <w:pStyle w:val="COMTabletext"/>
              <w:ind w:left="119"/>
              <w:rPr>
                <w:vertAlign w:val="superscript"/>
              </w:rPr>
            </w:pPr>
            <w:r w:rsidRPr="7E0DBB7D">
              <w:t>ADAPT</w:t>
            </w:r>
            <w:r w:rsidRPr="7E0DBB7D">
              <w:rPr>
                <w:vertAlign w:val="superscript"/>
              </w:rPr>
              <w:t>b</w:t>
            </w:r>
          </w:p>
        </w:tc>
        <w:tc>
          <w:tcPr>
            <w:tcW w:w="1606" w:type="dxa"/>
            <w:vAlign w:val="center"/>
          </w:tcPr>
          <w:p w14:paraId="473270DF" w14:textId="77777777" w:rsidR="004C2497" w:rsidRDefault="004C2497" w:rsidP="00873AF3">
            <w:pPr>
              <w:pStyle w:val="COMTabletext"/>
              <w:ind w:left="119"/>
              <w:jc w:val="center"/>
            </w:pPr>
            <w:r>
              <w:t>-</w:t>
            </w:r>
          </w:p>
        </w:tc>
        <w:tc>
          <w:tcPr>
            <w:tcW w:w="1606" w:type="dxa"/>
            <w:vAlign w:val="center"/>
          </w:tcPr>
          <w:p w14:paraId="75210675" w14:textId="77777777" w:rsidR="004C2497" w:rsidRDefault="004C2497" w:rsidP="00873AF3">
            <w:pPr>
              <w:pStyle w:val="COMTabletext"/>
              <w:ind w:left="-35"/>
              <w:jc w:val="center"/>
            </w:pPr>
            <w:r>
              <w:t>31/83 (37%)</w:t>
            </w:r>
          </w:p>
        </w:tc>
        <w:tc>
          <w:tcPr>
            <w:tcW w:w="1607" w:type="dxa"/>
            <w:vAlign w:val="center"/>
          </w:tcPr>
          <w:p w14:paraId="0F01A27B" w14:textId="77777777" w:rsidR="004C2497" w:rsidRDefault="004C2497" w:rsidP="00873AF3">
            <w:pPr>
              <w:pStyle w:val="COMTabletext"/>
              <w:ind w:left="-35"/>
              <w:jc w:val="center"/>
            </w:pPr>
            <w:r>
              <w:t>57/84 (68%)</w:t>
            </w:r>
          </w:p>
        </w:tc>
        <w:tc>
          <w:tcPr>
            <w:tcW w:w="1651" w:type="dxa"/>
            <w:vAlign w:val="center"/>
          </w:tcPr>
          <w:p w14:paraId="4CC2F26B" w14:textId="77777777" w:rsidR="004C2497" w:rsidRDefault="004C2497" w:rsidP="00873AF3">
            <w:pPr>
              <w:pStyle w:val="COMTabletext"/>
              <w:ind w:left="-35"/>
              <w:jc w:val="center"/>
            </w:pPr>
            <w:r>
              <w:t>3.54 (1.87, 6.70)</w:t>
            </w:r>
          </w:p>
        </w:tc>
      </w:tr>
      <w:tr w:rsidR="004C2497" w14:paraId="6336DB56" w14:textId="77777777" w:rsidTr="7E0DBB7D">
        <w:tc>
          <w:tcPr>
            <w:tcW w:w="2547" w:type="dxa"/>
          </w:tcPr>
          <w:p w14:paraId="7EEC0847" w14:textId="77777777" w:rsidR="004C2497" w:rsidRDefault="004C2497" w:rsidP="00873AF3">
            <w:pPr>
              <w:pStyle w:val="COMTabletext"/>
              <w:ind w:left="119"/>
            </w:pPr>
            <w:r>
              <w:t>Howard 2019</w:t>
            </w:r>
            <w:r w:rsidRPr="00992AB2">
              <w:rPr>
                <w:vertAlign w:val="superscript"/>
              </w:rPr>
              <w:t>c</w:t>
            </w:r>
          </w:p>
        </w:tc>
        <w:tc>
          <w:tcPr>
            <w:tcW w:w="1606" w:type="dxa"/>
            <w:vAlign w:val="center"/>
          </w:tcPr>
          <w:p w14:paraId="4006761E" w14:textId="77777777" w:rsidR="004C2497" w:rsidRDefault="004C2497" w:rsidP="00873AF3">
            <w:pPr>
              <w:pStyle w:val="COMTabletext"/>
              <w:ind w:left="119"/>
              <w:jc w:val="center"/>
            </w:pPr>
            <w:r>
              <w:t>-</w:t>
            </w:r>
          </w:p>
        </w:tc>
        <w:tc>
          <w:tcPr>
            <w:tcW w:w="1606" w:type="dxa"/>
            <w:vAlign w:val="center"/>
          </w:tcPr>
          <w:p w14:paraId="52EE2D25" w14:textId="77777777" w:rsidR="004C2497" w:rsidRDefault="004C2497" w:rsidP="00873AF3">
            <w:pPr>
              <w:pStyle w:val="COMTabletext"/>
              <w:ind w:left="-35"/>
              <w:jc w:val="center"/>
            </w:pPr>
            <w:r>
              <w:t>5/12 (42%)</w:t>
            </w:r>
          </w:p>
        </w:tc>
        <w:tc>
          <w:tcPr>
            <w:tcW w:w="1607" w:type="dxa"/>
            <w:vAlign w:val="center"/>
          </w:tcPr>
          <w:p w14:paraId="1646D2E3" w14:textId="77777777" w:rsidR="004C2497" w:rsidRDefault="004C2497" w:rsidP="00873AF3">
            <w:pPr>
              <w:pStyle w:val="COMTabletext"/>
              <w:ind w:left="-35"/>
              <w:jc w:val="center"/>
            </w:pPr>
            <w:r>
              <w:t>10/12 (83%)</w:t>
            </w:r>
          </w:p>
        </w:tc>
        <w:tc>
          <w:tcPr>
            <w:tcW w:w="1651" w:type="dxa"/>
            <w:vAlign w:val="center"/>
          </w:tcPr>
          <w:p w14:paraId="36151E44" w14:textId="77777777" w:rsidR="004C2497" w:rsidRDefault="004C2497" w:rsidP="00873AF3">
            <w:pPr>
              <w:pStyle w:val="COMTabletext"/>
              <w:ind w:left="-35"/>
              <w:jc w:val="center"/>
            </w:pPr>
            <w:r>
              <w:t>7.00 (1.04, 46.95)</w:t>
            </w:r>
          </w:p>
        </w:tc>
      </w:tr>
      <w:tr w:rsidR="004C2497" w14:paraId="5360DCEE" w14:textId="77777777" w:rsidTr="7E0DBB7D">
        <w:tc>
          <w:tcPr>
            <w:tcW w:w="7366" w:type="dxa"/>
            <w:gridSpan w:val="4"/>
          </w:tcPr>
          <w:p w14:paraId="4A895AC4" w14:textId="77777777" w:rsidR="004C2497" w:rsidRDefault="004C2497" w:rsidP="00873AF3">
            <w:pPr>
              <w:pStyle w:val="COMTabletext"/>
              <w:ind w:left="119"/>
            </w:pPr>
            <w:r>
              <w:t>Meta-analysis of efgartigimod versus placebo (I</w:t>
            </w:r>
            <w:r w:rsidRPr="00F54756">
              <w:rPr>
                <w:vertAlign w:val="superscript"/>
              </w:rPr>
              <w:t>2</w:t>
            </w:r>
            <w:r>
              <w:t>=0)</w:t>
            </w:r>
          </w:p>
        </w:tc>
        <w:tc>
          <w:tcPr>
            <w:tcW w:w="1651" w:type="dxa"/>
            <w:vAlign w:val="center"/>
          </w:tcPr>
          <w:p w14:paraId="126BF9F5" w14:textId="77777777" w:rsidR="004C2497" w:rsidRDefault="004C2497" w:rsidP="00873AF3">
            <w:pPr>
              <w:pStyle w:val="COMTabletext"/>
              <w:ind w:left="-35"/>
              <w:jc w:val="center"/>
            </w:pPr>
            <w:r>
              <w:t>3.79 (2.07, 6.95)</w:t>
            </w:r>
          </w:p>
        </w:tc>
      </w:tr>
      <w:tr w:rsidR="004C2497" w14:paraId="2BE80A1C" w14:textId="77777777" w:rsidTr="7E0DBB7D">
        <w:tc>
          <w:tcPr>
            <w:tcW w:w="7366" w:type="dxa"/>
            <w:gridSpan w:val="4"/>
          </w:tcPr>
          <w:p w14:paraId="460887C1" w14:textId="296A3A05" w:rsidR="004C2497" w:rsidRDefault="004C2497" w:rsidP="00873AF3">
            <w:pPr>
              <w:pStyle w:val="COMTabletext"/>
              <w:ind w:left="119"/>
              <w:rPr>
                <w:lang w:val="en-GB"/>
              </w:rPr>
            </w:pPr>
            <w:r w:rsidRPr="5FA77DAB">
              <w:rPr>
                <w:lang w:val="en-GB"/>
              </w:rPr>
              <w:t>Indirect comparison of rozanolixizumab versus efgartigimod (results &gt;</w:t>
            </w:r>
            <w:r w:rsidR="00102C1A">
              <w:rPr>
                <w:lang w:val="en-GB"/>
              </w:rPr>
              <w:t xml:space="preserve"> </w:t>
            </w:r>
            <w:r w:rsidRPr="5FA77DAB">
              <w:rPr>
                <w:lang w:val="en-GB"/>
              </w:rPr>
              <w:t>1 favour rozanolixizumab)</w:t>
            </w:r>
          </w:p>
        </w:tc>
        <w:tc>
          <w:tcPr>
            <w:tcW w:w="1651" w:type="dxa"/>
            <w:vAlign w:val="center"/>
          </w:tcPr>
          <w:p w14:paraId="504CC32A" w14:textId="77777777" w:rsidR="004C2497" w:rsidRDefault="004C2497" w:rsidP="00873AF3">
            <w:pPr>
              <w:pStyle w:val="COMTabletext"/>
              <w:ind w:left="-35"/>
              <w:jc w:val="center"/>
            </w:pPr>
            <w:r>
              <w:t>1.42 (0.55, 3.71)</w:t>
            </w:r>
          </w:p>
        </w:tc>
      </w:tr>
      <w:tr w:rsidR="004C2497" w14:paraId="352E4B0F" w14:textId="77777777" w:rsidTr="7E0DBB7D">
        <w:tc>
          <w:tcPr>
            <w:tcW w:w="9017" w:type="dxa"/>
            <w:gridSpan w:val="5"/>
          </w:tcPr>
          <w:p w14:paraId="7FD8A491" w14:textId="44788ADA" w:rsidR="004C2497" w:rsidRPr="007A73CE" w:rsidRDefault="004C2497" w:rsidP="00873AF3">
            <w:pPr>
              <w:pStyle w:val="COMTabletext"/>
              <w:ind w:left="119"/>
              <w:rPr>
                <w:b/>
                <w:lang w:val="en-GB"/>
              </w:rPr>
            </w:pPr>
            <w:r w:rsidRPr="5FA77DAB">
              <w:rPr>
                <w:b/>
                <w:lang w:val="en-GB"/>
              </w:rPr>
              <w:t>MG-ADL responder (≥2-point improvement) in cycle 1: AChR-positive patients (</w:t>
            </w:r>
            <w:r w:rsidR="00C440A8" w:rsidRPr="5FA77DAB">
              <w:rPr>
                <w:b/>
                <w:lang w:val="en-GB"/>
              </w:rPr>
              <w:t>6-week</w:t>
            </w:r>
            <w:r w:rsidRPr="5FA77DAB">
              <w:rPr>
                <w:b/>
                <w:lang w:val="en-GB"/>
              </w:rPr>
              <w:t xml:space="preserve"> data from MycarinG versus </w:t>
            </w:r>
            <w:r w:rsidR="00C440A8" w:rsidRPr="5FA77DAB">
              <w:rPr>
                <w:b/>
                <w:lang w:val="en-GB"/>
              </w:rPr>
              <w:t>4-week</w:t>
            </w:r>
            <w:r w:rsidRPr="5FA77DAB">
              <w:rPr>
                <w:b/>
                <w:lang w:val="en-GB"/>
              </w:rPr>
              <w:t xml:space="preserve"> data from ADAPT; Howard 2019)</w:t>
            </w:r>
          </w:p>
        </w:tc>
      </w:tr>
      <w:tr w:rsidR="004C2497" w14:paraId="3F324457" w14:textId="77777777" w:rsidTr="7E0DBB7D">
        <w:tc>
          <w:tcPr>
            <w:tcW w:w="2547" w:type="dxa"/>
          </w:tcPr>
          <w:p w14:paraId="4C024601" w14:textId="72E74E84" w:rsidR="004C2497" w:rsidRDefault="004C2497" w:rsidP="00873AF3">
            <w:pPr>
              <w:pStyle w:val="COMTabletext"/>
              <w:ind w:left="119"/>
              <w:rPr>
                <w:vertAlign w:val="superscript"/>
                <w:lang w:val="en-GB"/>
              </w:rPr>
            </w:pPr>
            <w:r w:rsidRPr="5FA77DAB">
              <w:rPr>
                <w:lang w:val="en-GB"/>
              </w:rPr>
              <w:t>MycarinG</w:t>
            </w:r>
            <w:r w:rsidRPr="5FA77DAB">
              <w:rPr>
                <w:vertAlign w:val="superscript"/>
                <w:lang w:val="en-GB"/>
              </w:rPr>
              <w:t>a</w:t>
            </w:r>
          </w:p>
        </w:tc>
        <w:tc>
          <w:tcPr>
            <w:tcW w:w="1606" w:type="dxa"/>
            <w:vAlign w:val="center"/>
          </w:tcPr>
          <w:p w14:paraId="0E44801D" w14:textId="77777777" w:rsidR="004C2497" w:rsidRDefault="004C2497" w:rsidP="00873AF3">
            <w:pPr>
              <w:pStyle w:val="COMTabletext"/>
              <w:ind w:left="119"/>
              <w:jc w:val="center"/>
            </w:pPr>
            <w:r>
              <w:t>41/60 (68%)</w:t>
            </w:r>
          </w:p>
        </w:tc>
        <w:tc>
          <w:tcPr>
            <w:tcW w:w="1606" w:type="dxa"/>
            <w:vAlign w:val="center"/>
          </w:tcPr>
          <w:p w14:paraId="74F393A7" w14:textId="77777777" w:rsidR="004C2497" w:rsidRDefault="004C2497" w:rsidP="00873AF3">
            <w:pPr>
              <w:pStyle w:val="COMTabletext"/>
              <w:ind w:left="-35"/>
              <w:jc w:val="center"/>
            </w:pPr>
            <w:r>
              <w:t>17/54 (31%)</w:t>
            </w:r>
          </w:p>
        </w:tc>
        <w:tc>
          <w:tcPr>
            <w:tcW w:w="1607" w:type="dxa"/>
            <w:vAlign w:val="center"/>
          </w:tcPr>
          <w:p w14:paraId="3F745392" w14:textId="77777777" w:rsidR="004C2497" w:rsidRDefault="004C2497" w:rsidP="00873AF3">
            <w:pPr>
              <w:pStyle w:val="COMTabletext"/>
              <w:ind w:left="-35"/>
              <w:jc w:val="center"/>
            </w:pPr>
            <w:r>
              <w:t>-</w:t>
            </w:r>
          </w:p>
        </w:tc>
        <w:tc>
          <w:tcPr>
            <w:tcW w:w="1651" w:type="dxa"/>
            <w:vAlign w:val="center"/>
          </w:tcPr>
          <w:p w14:paraId="6CB6E313" w14:textId="77777777" w:rsidR="004C2497" w:rsidRDefault="004C2497" w:rsidP="00873AF3">
            <w:pPr>
              <w:pStyle w:val="COMTabletext"/>
              <w:ind w:left="-35"/>
              <w:jc w:val="center"/>
            </w:pPr>
            <w:r>
              <w:t>4.70 (2.13, 10.36)</w:t>
            </w:r>
          </w:p>
        </w:tc>
      </w:tr>
      <w:tr w:rsidR="004C2497" w14:paraId="6FEC8F70" w14:textId="77777777" w:rsidTr="7E0DBB7D">
        <w:tc>
          <w:tcPr>
            <w:tcW w:w="2547" w:type="dxa"/>
          </w:tcPr>
          <w:p w14:paraId="0674A1F0" w14:textId="02B39BC4" w:rsidR="004C2497" w:rsidRDefault="004C2497" w:rsidP="00873AF3">
            <w:pPr>
              <w:pStyle w:val="COMTabletext"/>
              <w:ind w:left="119"/>
              <w:rPr>
                <w:vertAlign w:val="superscript"/>
                <w:lang w:val="en-GB"/>
              </w:rPr>
            </w:pPr>
            <w:r w:rsidRPr="5FA77DAB">
              <w:rPr>
                <w:lang w:val="en-GB"/>
              </w:rPr>
              <w:t>ADAPT</w:t>
            </w:r>
            <w:r w:rsidRPr="5FA77DAB">
              <w:rPr>
                <w:vertAlign w:val="superscript"/>
                <w:lang w:val="en-GB"/>
              </w:rPr>
              <w:t>b</w:t>
            </w:r>
          </w:p>
        </w:tc>
        <w:tc>
          <w:tcPr>
            <w:tcW w:w="1606" w:type="dxa"/>
            <w:vAlign w:val="center"/>
          </w:tcPr>
          <w:p w14:paraId="43752FFB" w14:textId="77777777" w:rsidR="004C2497" w:rsidRDefault="004C2497" w:rsidP="00873AF3">
            <w:pPr>
              <w:pStyle w:val="COMTabletext"/>
              <w:ind w:left="119"/>
              <w:jc w:val="center"/>
            </w:pPr>
            <w:r>
              <w:t>-</w:t>
            </w:r>
          </w:p>
        </w:tc>
        <w:tc>
          <w:tcPr>
            <w:tcW w:w="1606" w:type="dxa"/>
            <w:vAlign w:val="center"/>
          </w:tcPr>
          <w:p w14:paraId="01BE8814" w14:textId="77777777" w:rsidR="004C2497" w:rsidRDefault="004C2497" w:rsidP="00873AF3">
            <w:pPr>
              <w:pStyle w:val="COMTabletext"/>
              <w:ind w:left="-35"/>
              <w:jc w:val="center"/>
            </w:pPr>
            <w:r>
              <w:t>19/64 (30%)</w:t>
            </w:r>
          </w:p>
        </w:tc>
        <w:tc>
          <w:tcPr>
            <w:tcW w:w="1607" w:type="dxa"/>
            <w:vAlign w:val="center"/>
          </w:tcPr>
          <w:p w14:paraId="05771D38" w14:textId="77777777" w:rsidR="004C2497" w:rsidRDefault="004C2497" w:rsidP="00873AF3">
            <w:pPr>
              <w:pStyle w:val="COMTabletext"/>
              <w:ind w:left="-35"/>
              <w:jc w:val="center"/>
            </w:pPr>
            <w:r>
              <w:t>44/65 (68%)</w:t>
            </w:r>
          </w:p>
        </w:tc>
        <w:tc>
          <w:tcPr>
            <w:tcW w:w="1651" w:type="dxa"/>
            <w:vAlign w:val="center"/>
          </w:tcPr>
          <w:p w14:paraId="45A8986E" w14:textId="77777777" w:rsidR="004C2497" w:rsidRDefault="004C2497" w:rsidP="00873AF3">
            <w:pPr>
              <w:pStyle w:val="COMTabletext"/>
              <w:ind w:left="-35"/>
              <w:jc w:val="center"/>
            </w:pPr>
            <w:r>
              <w:t>4.96 (2.35, 10.47)</w:t>
            </w:r>
          </w:p>
        </w:tc>
      </w:tr>
      <w:tr w:rsidR="004C2497" w14:paraId="1DE4038E" w14:textId="77777777" w:rsidTr="7E0DBB7D">
        <w:tc>
          <w:tcPr>
            <w:tcW w:w="2547" w:type="dxa"/>
          </w:tcPr>
          <w:p w14:paraId="6147A449" w14:textId="77777777" w:rsidR="004C2497" w:rsidRDefault="004C2497" w:rsidP="00873AF3">
            <w:pPr>
              <w:pStyle w:val="COMTabletext"/>
              <w:ind w:left="119"/>
            </w:pPr>
            <w:r>
              <w:t>Howard 2019</w:t>
            </w:r>
            <w:r w:rsidRPr="00992AB2">
              <w:rPr>
                <w:vertAlign w:val="superscript"/>
              </w:rPr>
              <w:t>c</w:t>
            </w:r>
          </w:p>
        </w:tc>
        <w:tc>
          <w:tcPr>
            <w:tcW w:w="1606" w:type="dxa"/>
            <w:vAlign w:val="center"/>
          </w:tcPr>
          <w:p w14:paraId="1476743E" w14:textId="77777777" w:rsidR="004C2497" w:rsidRDefault="004C2497" w:rsidP="00873AF3">
            <w:pPr>
              <w:pStyle w:val="COMTabletext"/>
              <w:ind w:left="119"/>
              <w:jc w:val="center"/>
            </w:pPr>
            <w:r>
              <w:t>-</w:t>
            </w:r>
          </w:p>
        </w:tc>
        <w:tc>
          <w:tcPr>
            <w:tcW w:w="1606" w:type="dxa"/>
            <w:vAlign w:val="center"/>
          </w:tcPr>
          <w:p w14:paraId="1F561B55" w14:textId="77777777" w:rsidR="004C2497" w:rsidRDefault="004C2497" w:rsidP="00873AF3">
            <w:pPr>
              <w:pStyle w:val="COMTabletext"/>
              <w:ind w:left="-35"/>
              <w:jc w:val="center"/>
            </w:pPr>
            <w:r>
              <w:t>5/12 (42%)</w:t>
            </w:r>
          </w:p>
        </w:tc>
        <w:tc>
          <w:tcPr>
            <w:tcW w:w="1607" w:type="dxa"/>
            <w:vAlign w:val="center"/>
          </w:tcPr>
          <w:p w14:paraId="4563572F" w14:textId="77777777" w:rsidR="004C2497" w:rsidRDefault="004C2497" w:rsidP="00873AF3">
            <w:pPr>
              <w:pStyle w:val="COMTabletext"/>
              <w:ind w:left="-35"/>
              <w:jc w:val="center"/>
            </w:pPr>
            <w:r>
              <w:t>10/12 (83%)</w:t>
            </w:r>
          </w:p>
        </w:tc>
        <w:tc>
          <w:tcPr>
            <w:tcW w:w="1651" w:type="dxa"/>
            <w:vAlign w:val="center"/>
          </w:tcPr>
          <w:p w14:paraId="0F146E9C" w14:textId="77777777" w:rsidR="004C2497" w:rsidRDefault="004C2497" w:rsidP="00873AF3">
            <w:pPr>
              <w:pStyle w:val="COMTabletext"/>
              <w:ind w:left="-35"/>
              <w:jc w:val="center"/>
            </w:pPr>
            <w:r>
              <w:t>7.00 (1.04, 46.95)</w:t>
            </w:r>
          </w:p>
        </w:tc>
      </w:tr>
      <w:tr w:rsidR="004C2497" w14:paraId="16A58C80" w14:textId="77777777" w:rsidTr="7E0DBB7D">
        <w:tc>
          <w:tcPr>
            <w:tcW w:w="7366" w:type="dxa"/>
            <w:gridSpan w:val="4"/>
          </w:tcPr>
          <w:p w14:paraId="4F6930DB" w14:textId="77777777" w:rsidR="004C2497" w:rsidRDefault="004C2497" w:rsidP="00873AF3">
            <w:pPr>
              <w:pStyle w:val="COMTabletext"/>
              <w:ind w:left="119"/>
            </w:pPr>
            <w:r>
              <w:t>Meta-analysis of efgartigimod versus placebo (I</w:t>
            </w:r>
            <w:r w:rsidRPr="00F54756">
              <w:rPr>
                <w:vertAlign w:val="superscript"/>
              </w:rPr>
              <w:t>2</w:t>
            </w:r>
            <w:r>
              <w:t>=0)</w:t>
            </w:r>
          </w:p>
        </w:tc>
        <w:tc>
          <w:tcPr>
            <w:tcW w:w="1651" w:type="dxa"/>
            <w:vAlign w:val="center"/>
          </w:tcPr>
          <w:p w14:paraId="11842C56" w14:textId="77777777" w:rsidR="004C2497" w:rsidRDefault="004C2497" w:rsidP="00873AF3">
            <w:pPr>
              <w:pStyle w:val="COMTabletext"/>
              <w:ind w:left="-35"/>
              <w:jc w:val="center"/>
            </w:pPr>
            <w:r>
              <w:t>5.20 (2.59, 10.41)</w:t>
            </w:r>
          </w:p>
        </w:tc>
      </w:tr>
      <w:tr w:rsidR="004C2497" w14:paraId="1DF2D85E" w14:textId="77777777" w:rsidTr="7E0DBB7D">
        <w:tc>
          <w:tcPr>
            <w:tcW w:w="7366" w:type="dxa"/>
            <w:gridSpan w:val="4"/>
          </w:tcPr>
          <w:p w14:paraId="680BD93F" w14:textId="6B40A06A" w:rsidR="004C2497" w:rsidRDefault="004C2497" w:rsidP="00873AF3">
            <w:pPr>
              <w:pStyle w:val="COMTabletext"/>
              <w:ind w:left="119"/>
              <w:rPr>
                <w:lang w:val="en-GB"/>
              </w:rPr>
            </w:pPr>
            <w:r w:rsidRPr="5FA77DAB">
              <w:rPr>
                <w:lang w:val="en-GB"/>
              </w:rPr>
              <w:t>Indirect comparison of rozanolixizumab versus efgartigimod (results &gt;</w:t>
            </w:r>
            <w:r w:rsidR="00102C1A">
              <w:rPr>
                <w:lang w:val="en-GB"/>
              </w:rPr>
              <w:t xml:space="preserve"> </w:t>
            </w:r>
            <w:r w:rsidRPr="5FA77DAB">
              <w:rPr>
                <w:lang w:val="en-GB"/>
              </w:rPr>
              <w:t>1 favour rozanolixizumab)</w:t>
            </w:r>
          </w:p>
        </w:tc>
        <w:tc>
          <w:tcPr>
            <w:tcW w:w="1651" w:type="dxa"/>
            <w:vAlign w:val="center"/>
          </w:tcPr>
          <w:p w14:paraId="299A426B" w14:textId="77777777" w:rsidR="004C2497" w:rsidRDefault="004C2497" w:rsidP="00873AF3">
            <w:pPr>
              <w:pStyle w:val="COMTabletext"/>
              <w:ind w:left="-35"/>
              <w:jc w:val="center"/>
            </w:pPr>
            <w:r>
              <w:t>0.90 (0.32, 2.59)</w:t>
            </w:r>
          </w:p>
        </w:tc>
      </w:tr>
      <w:tr w:rsidR="004C2497" w14:paraId="644C381D" w14:textId="77777777" w:rsidTr="7E0DBB7D">
        <w:tc>
          <w:tcPr>
            <w:tcW w:w="9017" w:type="dxa"/>
            <w:gridSpan w:val="5"/>
          </w:tcPr>
          <w:p w14:paraId="08634B4B" w14:textId="7B797423" w:rsidR="004C2497" w:rsidRPr="00055F65" w:rsidRDefault="004C2497" w:rsidP="00873AF3">
            <w:pPr>
              <w:pStyle w:val="COMTabletext"/>
              <w:ind w:left="119"/>
              <w:rPr>
                <w:b/>
                <w:lang w:val="en-GB"/>
              </w:rPr>
            </w:pPr>
            <w:r w:rsidRPr="5FA77DAB">
              <w:rPr>
                <w:b/>
                <w:lang w:val="en-GB"/>
              </w:rPr>
              <w:t>QMG responder (≥3-point improvement) in cycle 1: AChR-positive patients (</w:t>
            </w:r>
            <w:r w:rsidR="00C440A8" w:rsidRPr="5FA77DAB">
              <w:rPr>
                <w:b/>
                <w:lang w:val="en-GB"/>
              </w:rPr>
              <w:t>6-week</w:t>
            </w:r>
            <w:r w:rsidRPr="5FA77DAB">
              <w:rPr>
                <w:b/>
                <w:lang w:val="en-GB"/>
              </w:rPr>
              <w:t xml:space="preserve"> data from MycarinG versus </w:t>
            </w:r>
            <w:r w:rsidR="00C440A8" w:rsidRPr="5FA77DAB">
              <w:rPr>
                <w:b/>
                <w:lang w:val="en-GB"/>
              </w:rPr>
              <w:t>4-week</w:t>
            </w:r>
            <w:r w:rsidRPr="5FA77DAB">
              <w:rPr>
                <w:b/>
                <w:lang w:val="en-GB"/>
              </w:rPr>
              <w:t xml:space="preserve"> data from ADAPT; Howard 2019)</w:t>
            </w:r>
          </w:p>
        </w:tc>
      </w:tr>
      <w:tr w:rsidR="004C2497" w14:paraId="6E3B129C" w14:textId="77777777" w:rsidTr="7E0DBB7D">
        <w:tc>
          <w:tcPr>
            <w:tcW w:w="2547" w:type="dxa"/>
          </w:tcPr>
          <w:p w14:paraId="5B118F65" w14:textId="1B1BE1A5" w:rsidR="004C2497" w:rsidRDefault="004C2497" w:rsidP="00873AF3">
            <w:pPr>
              <w:pStyle w:val="COMTabletext"/>
              <w:ind w:left="119"/>
              <w:rPr>
                <w:vertAlign w:val="superscript"/>
                <w:lang w:val="en-GB"/>
              </w:rPr>
            </w:pPr>
            <w:r w:rsidRPr="5FA77DAB">
              <w:rPr>
                <w:lang w:val="en-GB"/>
              </w:rPr>
              <w:t>MycarinG</w:t>
            </w:r>
            <w:r w:rsidRPr="5FA77DAB">
              <w:rPr>
                <w:vertAlign w:val="superscript"/>
                <w:lang w:val="en-GB"/>
              </w:rPr>
              <w:t>a</w:t>
            </w:r>
          </w:p>
        </w:tc>
        <w:tc>
          <w:tcPr>
            <w:tcW w:w="1606" w:type="dxa"/>
            <w:vAlign w:val="center"/>
          </w:tcPr>
          <w:p w14:paraId="4BB6EDE2" w14:textId="77777777" w:rsidR="004C2497" w:rsidRDefault="004C2497" w:rsidP="00873AF3">
            <w:pPr>
              <w:pStyle w:val="COMTabletext"/>
              <w:ind w:left="119"/>
              <w:jc w:val="center"/>
            </w:pPr>
            <w:r>
              <w:t>30/60 (50%)</w:t>
            </w:r>
          </w:p>
        </w:tc>
        <w:tc>
          <w:tcPr>
            <w:tcW w:w="1606" w:type="dxa"/>
            <w:vAlign w:val="center"/>
          </w:tcPr>
          <w:p w14:paraId="43D0C8EC" w14:textId="77777777" w:rsidR="004C2497" w:rsidRDefault="004C2497" w:rsidP="00873AF3">
            <w:pPr>
              <w:pStyle w:val="COMTabletext"/>
              <w:ind w:left="-35"/>
              <w:jc w:val="center"/>
            </w:pPr>
            <w:r>
              <w:t>18/54 (33%)</w:t>
            </w:r>
          </w:p>
        </w:tc>
        <w:tc>
          <w:tcPr>
            <w:tcW w:w="1607" w:type="dxa"/>
            <w:vAlign w:val="center"/>
          </w:tcPr>
          <w:p w14:paraId="3BB8ED10" w14:textId="77777777" w:rsidR="004C2497" w:rsidRDefault="004C2497" w:rsidP="00873AF3">
            <w:pPr>
              <w:pStyle w:val="COMTabletext"/>
              <w:ind w:left="-35"/>
              <w:jc w:val="center"/>
            </w:pPr>
            <w:r>
              <w:t>-</w:t>
            </w:r>
          </w:p>
        </w:tc>
        <w:tc>
          <w:tcPr>
            <w:tcW w:w="1651" w:type="dxa"/>
            <w:vAlign w:val="center"/>
          </w:tcPr>
          <w:p w14:paraId="406B44CC" w14:textId="77777777" w:rsidR="004C2497" w:rsidRDefault="004C2497" w:rsidP="00873AF3">
            <w:pPr>
              <w:pStyle w:val="COMTabletext"/>
              <w:ind w:left="-35"/>
              <w:jc w:val="center"/>
            </w:pPr>
            <w:r>
              <w:t>2.00 (0.94, 4.27)</w:t>
            </w:r>
          </w:p>
        </w:tc>
      </w:tr>
      <w:tr w:rsidR="004C2497" w14:paraId="13F2B594" w14:textId="77777777" w:rsidTr="7E0DBB7D">
        <w:tc>
          <w:tcPr>
            <w:tcW w:w="2547" w:type="dxa"/>
          </w:tcPr>
          <w:p w14:paraId="6B45D5F8" w14:textId="355D1A04" w:rsidR="004C2497" w:rsidRDefault="004C2497" w:rsidP="00873AF3">
            <w:pPr>
              <w:pStyle w:val="COMTabletext"/>
              <w:ind w:left="119"/>
              <w:rPr>
                <w:vertAlign w:val="superscript"/>
                <w:lang w:val="en-GB"/>
              </w:rPr>
            </w:pPr>
            <w:r w:rsidRPr="5FA77DAB">
              <w:rPr>
                <w:lang w:val="en-GB"/>
              </w:rPr>
              <w:t>ADAPT</w:t>
            </w:r>
            <w:r w:rsidRPr="5FA77DAB">
              <w:rPr>
                <w:vertAlign w:val="superscript"/>
                <w:lang w:val="en-GB"/>
              </w:rPr>
              <w:t>b</w:t>
            </w:r>
          </w:p>
        </w:tc>
        <w:tc>
          <w:tcPr>
            <w:tcW w:w="1606" w:type="dxa"/>
            <w:vAlign w:val="center"/>
          </w:tcPr>
          <w:p w14:paraId="712E6920" w14:textId="77777777" w:rsidR="004C2497" w:rsidRDefault="004C2497" w:rsidP="00873AF3">
            <w:pPr>
              <w:pStyle w:val="COMTabletext"/>
              <w:ind w:left="119"/>
              <w:jc w:val="center"/>
            </w:pPr>
            <w:r>
              <w:t>-</w:t>
            </w:r>
          </w:p>
        </w:tc>
        <w:tc>
          <w:tcPr>
            <w:tcW w:w="1606" w:type="dxa"/>
            <w:vAlign w:val="center"/>
          </w:tcPr>
          <w:p w14:paraId="1C83EF55" w14:textId="77777777" w:rsidR="004C2497" w:rsidRDefault="004C2497" w:rsidP="00873AF3">
            <w:pPr>
              <w:pStyle w:val="COMTabletext"/>
              <w:ind w:left="-35"/>
              <w:jc w:val="center"/>
            </w:pPr>
            <w:r>
              <w:t>9/64 (14%)</w:t>
            </w:r>
          </w:p>
        </w:tc>
        <w:tc>
          <w:tcPr>
            <w:tcW w:w="1607" w:type="dxa"/>
            <w:vAlign w:val="center"/>
          </w:tcPr>
          <w:p w14:paraId="0C81495A" w14:textId="77777777" w:rsidR="004C2497" w:rsidRDefault="004C2497" w:rsidP="00873AF3">
            <w:pPr>
              <w:pStyle w:val="COMTabletext"/>
              <w:ind w:left="-35"/>
              <w:jc w:val="center"/>
            </w:pPr>
            <w:r>
              <w:t>41/65 (63%)</w:t>
            </w:r>
          </w:p>
        </w:tc>
        <w:tc>
          <w:tcPr>
            <w:tcW w:w="1651" w:type="dxa"/>
            <w:vAlign w:val="center"/>
          </w:tcPr>
          <w:p w14:paraId="56E7C162" w14:textId="77777777" w:rsidR="004C2497" w:rsidRDefault="004C2497" w:rsidP="00873AF3">
            <w:pPr>
              <w:pStyle w:val="COMTabletext"/>
              <w:ind w:left="-35"/>
              <w:jc w:val="center"/>
            </w:pPr>
            <w:r>
              <w:t>10.84 (4.18, 31.20)</w:t>
            </w:r>
          </w:p>
        </w:tc>
      </w:tr>
      <w:tr w:rsidR="004C2497" w14:paraId="614D0CC4" w14:textId="77777777" w:rsidTr="7E0DBB7D">
        <w:tc>
          <w:tcPr>
            <w:tcW w:w="7366" w:type="dxa"/>
            <w:gridSpan w:val="4"/>
          </w:tcPr>
          <w:p w14:paraId="612CB499" w14:textId="2956F11B" w:rsidR="004C2497" w:rsidRDefault="004C2497" w:rsidP="00873AF3">
            <w:pPr>
              <w:pStyle w:val="COMTabletext"/>
              <w:ind w:left="119"/>
              <w:rPr>
                <w:lang w:val="en-GB"/>
              </w:rPr>
            </w:pPr>
            <w:r w:rsidRPr="5FA77DAB">
              <w:rPr>
                <w:lang w:val="en-GB"/>
              </w:rPr>
              <w:t>Indirect comparison of rozanolixizumab versus efgartigimod (results &gt;</w:t>
            </w:r>
            <w:r w:rsidR="00102C1A">
              <w:rPr>
                <w:lang w:val="en-GB"/>
              </w:rPr>
              <w:t xml:space="preserve"> </w:t>
            </w:r>
            <w:r w:rsidRPr="5FA77DAB">
              <w:rPr>
                <w:lang w:val="en-GB"/>
              </w:rPr>
              <w:t>1 favour rozanolixizumab)</w:t>
            </w:r>
          </w:p>
        </w:tc>
        <w:tc>
          <w:tcPr>
            <w:tcW w:w="1651" w:type="dxa"/>
            <w:vAlign w:val="center"/>
          </w:tcPr>
          <w:p w14:paraId="0B193684" w14:textId="77777777" w:rsidR="004C2497" w:rsidRDefault="004C2497" w:rsidP="00873AF3">
            <w:pPr>
              <w:pStyle w:val="COMTabletext"/>
              <w:ind w:left="-35"/>
              <w:jc w:val="center"/>
            </w:pPr>
            <w:r>
              <w:t>0.19 (0.06, 0.61)</w:t>
            </w:r>
          </w:p>
        </w:tc>
      </w:tr>
    </w:tbl>
    <w:p w14:paraId="63EF987D" w14:textId="77777777" w:rsidR="004C2497" w:rsidRPr="005A4301" w:rsidRDefault="004C2497" w:rsidP="00873AF3">
      <w:pPr>
        <w:pStyle w:val="COMTablefooter"/>
      </w:pPr>
      <w:r w:rsidRPr="005A4301">
        <w:t>Source: Table 2.6.4, p59; Table 2.6.5, p61; Table 2.6.6, p63 of Appendix 10 of the submission</w:t>
      </w:r>
    </w:p>
    <w:p w14:paraId="79B9D2B7" w14:textId="77777777" w:rsidR="004C2497" w:rsidRPr="005A4301" w:rsidRDefault="004C2497" w:rsidP="00873AF3">
      <w:pPr>
        <w:pStyle w:val="COMTablefooter"/>
        <w:rPr>
          <w:lang w:val="en-GB"/>
        </w:rPr>
      </w:pPr>
      <w:r w:rsidRPr="5FA77DAB">
        <w:rPr>
          <w:lang w:val="en-GB"/>
        </w:rPr>
        <w:t>Abbreviations: AChR, acetylcholine receptor; MG-ADL, Myasthenia Gravis Activities of Daily Living; QMG, Quantitative Myasthenia Gravis</w:t>
      </w:r>
    </w:p>
    <w:p w14:paraId="68D5B87B" w14:textId="0E8F0B93" w:rsidR="004C2497" w:rsidRPr="005A4301" w:rsidRDefault="004C2497" w:rsidP="00873AF3">
      <w:pPr>
        <w:pStyle w:val="COMTablefooter"/>
        <w:rPr>
          <w:lang w:val="en-GB"/>
        </w:rPr>
      </w:pPr>
      <w:r w:rsidRPr="5FA77DAB">
        <w:rPr>
          <w:vertAlign w:val="superscript"/>
          <w:lang w:val="en-GB"/>
        </w:rPr>
        <w:t xml:space="preserve">a </w:t>
      </w:r>
      <w:r w:rsidRPr="5FA77DAB">
        <w:rPr>
          <w:lang w:val="en-GB"/>
        </w:rPr>
        <w:t>Based on patients achieving response (≥</w:t>
      </w:r>
      <w:r w:rsidR="00102C1A">
        <w:rPr>
          <w:lang w:val="en-GB"/>
        </w:rPr>
        <w:t xml:space="preserve"> </w:t>
      </w:r>
      <w:r w:rsidR="0068534B" w:rsidRPr="5FA77DAB">
        <w:rPr>
          <w:lang w:val="en-GB"/>
        </w:rPr>
        <w:t>2-point</w:t>
      </w:r>
      <w:r w:rsidRPr="5FA77DAB">
        <w:rPr>
          <w:lang w:val="en-GB"/>
        </w:rPr>
        <w:t xml:space="preserve"> improvement in MG-ADL or ≥</w:t>
      </w:r>
      <w:r w:rsidR="00102C1A">
        <w:rPr>
          <w:lang w:val="en-GB"/>
        </w:rPr>
        <w:t xml:space="preserve"> </w:t>
      </w:r>
      <w:r w:rsidR="0068534B" w:rsidRPr="5FA77DAB">
        <w:rPr>
          <w:lang w:val="en-GB"/>
        </w:rPr>
        <w:t>3-point</w:t>
      </w:r>
      <w:r w:rsidRPr="5FA77DAB">
        <w:rPr>
          <w:lang w:val="en-GB"/>
        </w:rPr>
        <w:t xml:space="preserve"> improvement in QMG) from baseline to day 43 </w:t>
      </w:r>
      <w:r w:rsidR="00102C1A">
        <w:rPr>
          <w:lang w:val="en-GB"/>
        </w:rPr>
        <w:br/>
      </w:r>
      <w:r w:rsidRPr="5FA77DAB">
        <w:rPr>
          <w:lang w:val="en-GB"/>
        </w:rPr>
        <w:t>(6 weeks).</w:t>
      </w:r>
    </w:p>
    <w:p w14:paraId="6A132637" w14:textId="3185D368" w:rsidR="004C2497" w:rsidRPr="005A4301" w:rsidRDefault="004C2497" w:rsidP="00873AF3">
      <w:pPr>
        <w:pStyle w:val="COMTablefooter"/>
      </w:pPr>
      <w:r w:rsidRPr="005A4301">
        <w:rPr>
          <w:vertAlign w:val="superscript"/>
        </w:rPr>
        <w:t xml:space="preserve">b </w:t>
      </w:r>
      <w:r w:rsidRPr="005A4301">
        <w:t>Based on patients achieving sustained response (≥</w:t>
      </w:r>
      <w:r w:rsidR="00102C1A">
        <w:t xml:space="preserve"> </w:t>
      </w:r>
      <w:r w:rsidR="0068534B" w:rsidRPr="005A4301">
        <w:t>2-point</w:t>
      </w:r>
      <w:r w:rsidRPr="005A4301">
        <w:t xml:space="preserve"> improvement in MG-ADL or ≥</w:t>
      </w:r>
      <w:r w:rsidR="00102C1A">
        <w:t xml:space="preserve"> </w:t>
      </w:r>
      <w:r w:rsidR="0068534B" w:rsidRPr="005A4301">
        <w:t>3-point</w:t>
      </w:r>
      <w:r w:rsidRPr="005A4301">
        <w:t xml:space="preserve"> improvement in QMG) for at least 4 consecutive weeks, with the first improvement occurring by week 4 of the treatment cycle.</w:t>
      </w:r>
    </w:p>
    <w:p w14:paraId="7BADFC85" w14:textId="5C07C7B8" w:rsidR="004C2497" w:rsidRPr="005A4301" w:rsidRDefault="004C2497" w:rsidP="00873AF3">
      <w:pPr>
        <w:pStyle w:val="COMTablefooter"/>
      </w:pPr>
      <w:r w:rsidRPr="005A4301">
        <w:rPr>
          <w:vertAlign w:val="superscript"/>
        </w:rPr>
        <w:t xml:space="preserve">c </w:t>
      </w:r>
      <w:r w:rsidRPr="005A4301">
        <w:t>Based on patients achieving response (≥</w:t>
      </w:r>
      <w:r w:rsidR="00102C1A">
        <w:t xml:space="preserve"> </w:t>
      </w:r>
      <w:r w:rsidR="0068534B" w:rsidRPr="005A4301">
        <w:t>2-point</w:t>
      </w:r>
      <w:r w:rsidRPr="005A4301">
        <w:t xml:space="preserve"> improvement in MG-ADL or ≥</w:t>
      </w:r>
      <w:r w:rsidR="00102C1A">
        <w:t xml:space="preserve"> </w:t>
      </w:r>
      <w:r w:rsidR="0068534B" w:rsidRPr="005A4301">
        <w:t>3-point</w:t>
      </w:r>
      <w:r w:rsidRPr="005A4301">
        <w:t xml:space="preserve"> improvement in QMG) from baseline to day 29 (4 weeks).</w:t>
      </w:r>
    </w:p>
    <w:p w14:paraId="6B0F5DB3" w14:textId="30D6FEC1" w:rsidR="004C2497" w:rsidRPr="006077B2" w:rsidRDefault="004C2497" w:rsidP="00873AF3">
      <w:pPr>
        <w:pStyle w:val="COMexecsummnumbered"/>
        <w:rPr>
          <w:lang w:val="en-GB"/>
        </w:rPr>
      </w:pPr>
      <w:r w:rsidRPr="5FA77DAB">
        <w:rPr>
          <w:lang w:val="en-GB"/>
        </w:rPr>
        <w:t>The submission noted differences between trials in the proportions of responders in the placebo common reference arms, with the proportion of QMG responders in the placebo arm of MycarinG (33%) more than double the proportion of responders in ADAPT (14%). Based on the indirect comparisons for MG-ADL responders, there were no statistically significant differences between rozanolixizumab and efgartigimod based on whole trial populations and the AChR-positive subgroups. However, the indirect comparison based on QMG responders in the AChR-positive subgroups was statistically significant, in favour of efgartigimod. The submission noted that the indirect comparison may not be reliable. The results were difficult to interpret given differences in outcome definitions between MycarinG and ADAPT and uncertainty in estimates from the exploratory Howard 2019 trial.</w:t>
      </w:r>
    </w:p>
    <w:p w14:paraId="47D8DA9F" w14:textId="365348DB" w:rsidR="004C2497" w:rsidRPr="006077B2" w:rsidRDefault="004C2497" w:rsidP="00873AF3">
      <w:pPr>
        <w:pStyle w:val="COMexecsummnumbered"/>
        <w:rPr>
          <w:lang w:val="en-GB"/>
        </w:rPr>
      </w:pPr>
      <w:r w:rsidRPr="5FA77DAB">
        <w:rPr>
          <w:lang w:val="en-GB"/>
        </w:rPr>
        <w:t>Indirect comparisons based on changes from baseline in MG-ADL, QMG and MGC were also presented in the submission</w:t>
      </w:r>
      <w:r w:rsidR="00FF405D" w:rsidRPr="5FA77DAB">
        <w:rPr>
          <w:lang w:val="en-GB"/>
        </w:rPr>
        <w:t xml:space="preserve">. </w:t>
      </w:r>
      <w:r w:rsidRPr="5FA77DAB">
        <w:rPr>
          <w:lang w:val="en-GB"/>
        </w:rPr>
        <w:t xml:space="preserve">The submission noted differences between trials in the mean changes from baseline in functional outcomes in the placebo common reference arms. Based on the indirect analyses, there were no statistically significant differences in functional outcomes between rozanolixizumab and efgartigimod. However, </w:t>
      </w:r>
      <w:r w:rsidR="00760086">
        <w:rPr>
          <w:lang w:val="en-GB"/>
        </w:rPr>
        <w:t xml:space="preserve">the evaluation considered </w:t>
      </w:r>
      <w:r w:rsidRPr="5FA77DAB">
        <w:rPr>
          <w:lang w:val="en-GB"/>
        </w:rPr>
        <w:t>there were wide confidence intervals around the indirect estimates of effect.</w:t>
      </w:r>
    </w:p>
    <w:p w14:paraId="11936609" w14:textId="35E7C7BE" w:rsidR="004C2497" w:rsidRPr="00884B0D" w:rsidRDefault="003B49CB" w:rsidP="00873AF3">
      <w:pPr>
        <w:pStyle w:val="COMexecsummnumbered"/>
      </w:pPr>
      <w:r>
        <w:fldChar w:fldCharType="begin" w:fldLock="1"/>
      </w:r>
      <w:r>
        <w:instrText xml:space="preserve"> REF _Ref185266421 \h  \* MERGEFORMAT </w:instrText>
      </w:r>
      <w:r>
        <w:fldChar w:fldCharType="separate"/>
      </w:r>
      <w:r w:rsidR="00E70E55" w:rsidRPr="00E70E55">
        <w:t xml:space="preserve">Table </w:t>
      </w:r>
      <w:r w:rsidR="00E70E55">
        <w:rPr>
          <w:noProof/>
        </w:rPr>
        <w:t>11</w:t>
      </w:r>
      <w:r>
        <w:fldChar w:fldCharType="end"/>
      </w:r>
      <w:r w:rsidR="00EDC3D8" w:rsidRPr="7E0DBB7D">
        <w:t xml:space="preserve"> </w:t>
      </w:r>
      <w:r w:rsidR="4616DA7B" w:rsidRPr="7E0DBB7D">
        <w:t>compares safety data from the MycarinG trial with available safety data from the efgartigimod trial publications. The submission noted that safety outcomes were reported over 6 weeks in the MycarinG trial, compared to 26 weeks in ADAPT and 11</w:t>
      </w:r>
      <w:r w:rsidR="0013265A">
        <w:t> </w:t>
      </w:r>
      <w:r w:rsidR="4616DA7B" w:rsidRPr="7E0DBB7D">
        <w:t>weeks in Howard 2019. The submission stated that this may bias the outcomes in favour of rozanolixizumab. The resubmission noted differences in the incidence of adverse events across the placebo arms of the trials.</w:t>
      </w:r>
    </w:p>
    <w:p w14:paraId="5EBE1499" w14:textId="698C5F81" w:rsidR="004C2497" w:rsidRDefault="00FB5E6D" w:rsidP="00873AF3">
      <w:pPr>
        <w:pStyle w:val="Caption"/>
        <w:keepNext/>
        <w:rPr>
          <w:lang w:val="en-GB"/>
        </w:rPr>
      </w:pPr>
      <w:bookmarkStart w:id="50" w:name="_Ref185266421"/>
      <w:r w:rsidRPr="5FA77DAB">
        <w:rPr>
          <w:lang w:val="en-GB"/>
        </w:rPr>
        <w:t>Table</w:t>
      </w:r>
      <w:r w:rsidR="00FE3CB3" w:rsidRPr="5FA77DAB">
        <w:rPr>
          <w:lang w:val="en-GB"/>
        </w:rPr>
        <w:t xml:space="preserve"> </w:t>
      </w:r>
      <w:r>
        <w:fldChar w:fldCharType="begin" w:fldLock="1"/>
      </w:r>
      <w:r>
        <w:instrText>SEQ Table \* ARABIC</w:instrText>
      </w:r>
      <w:r>
        <w:fldChar w:fldCharType="separate"/>
      </w:r>
      <w:r w:rsidR="00E70E55">
        <w:rPr>
          <w:noProof/>
        </w:rPr>
        <w:t>11</w:t>
      </w:r>
      <w:r>
        <w:fldChar w:fldCharType="end"/>
      </w:r>
      <w:bookmarkEnd w:id="50"/>
      <w:r w:rsidR="004C2497" w:rsidRPr="5FA77DAB">
        <w:rPr>
          <w:lang w:val="en-GB"/>
        </w:rPr>
        <w:t>: Comparison of safety outcomes in the MycarinG, ADAPT and Howard 2019 trials (whole trial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Comparison of safety outcomes in the MycarinG, ADAPT and Howard 2019 trials (whole trial population)"/>
      </w:tblPr>
      <w:tblGrid>
        <w:gridCol w:w="1838"/>
        <w:gridCol w:w="945"/>
        <w:gridCol w:w="945"/>
        <w:gridCol w:w="945"/>
        <w:gridCol w:w="1134"/>
        <w:gridCol w:w="1038"/>
        <w:gridCol w:w="1086"/>
        <w:gridCol w:w="1086"/>
      </w:tblGrid>
      <w:tr w:rsidR="004C2497" w:rsidRPr="002A6421" w14:paraId="2B154D3E" w14:textId="77777777">
        <w:tc>
          <w:tcPr>
            <w:tcW w:w="1838" w:type="dxa"/>
            <w:vMerge w:val="restart"/>
            <w:tcMar>
              <w:left w:w="57" w:type="dxa"/>
              <w:right w:w="57" w:type="dxa"/>
            </w:tcMar>
            <w:vAlign w:val="center"/>
            <w:hideMark/>
          </w:tcPr>
          <w:p w14:paraId="3D292DAA" w14:textId="77777777" w:rsidR="004C2497" w:rsidRPr="00376E95" w:rsidRDefault="004C2497" w:rsidP="00873AF3">
            <w:pPr>
              <w:pStyle w:val="COMTabletext"/>
              <w:ind w:left="222"/>
              <w:rPr>
                <w:b/>
                <w:bCs w:val="0"/>
              </w:rPr>
            </w:pPr>
            <w:r w:rsidRPr="00376E95">
              <w:rPr>
                <w:b/>
                <w:bCs w:val="0"/>
              </w:rPr>
              <w:t>Adverse event</w:t>
            </w:r>
          </w:p>
        </w:tc>
        <w:tc>
          <w:tcPr>
            <w:tcW w:w="2835" w:type="dxa"/>
            <w:gridSpan w:val="3"/>
          </w:tcPr>
          <w:p w14:paraId="6FC9A4CD" w14:textId="1E105526" w:rsidR="004C2497" w:rsidRPr="00621BBF" w:rsidRDefault="004C2497" w:rsidP="00873AF3">
            <w:pPr>
              <w:pStyle w:val="COMTabletext"/>
              <w:ind w:left="118"/>
              <w:jc w:val="center"/>
              <w:rPr>
                <w:b/>
                <w:lang w:val="en-GB"/>
              </w:rPr>
            </w:pPr>
            <w:r w:rsidRPr="5FA77DAB">
              <w:rPr>
                <w:b/>
                <w:lang w:val="en-GB"/>
              </w:rPr>
              <w:t>MycarinG</w:t>
            </w:r>
          </w:p>
        </w:tc>
        <w:tc>
          <w:tcPr>
            <w:tcW w:w="2172" w:type="dxa"/>
            <w:gridSpan w:val="2"/>
            <w:tcMar>
              <w:left w:w="57" w:type="dxa"/>
              <w:right w:w="57" w:type="dxa"/>
            </w:tcMar>
            <w:vAlign w:val="center"/>
          </w:tcPr>
          <w:p w14:paraId="25C448B5" w14:textId="77777777" w:rsidR="004C2497" w:rsidRPr="00621BBF" w:rsidRDefault="004C2497" w:rsidP="00873AF3">
            <w:pPr>
              <w:pStyle w:val="COMTabletext"/>
              <w:ind w:left="118"/>
              <w:jc w:val="center"/>
              <w:rPr>
                <w:b/>
                <w:bCs w:val="0"/>
              </w:rPr>
            </w:pPr>
            <w:r w:rsidRPr="00621BBF">
              <w:rPr>
                <w:b/>
                <w:bCs w:val="0"/>
              </w:rPr>
              <w:t>ADAPT</w:t>
            </w:r>
          </w:p>
        </w:tc>
        <w:tc>
          <w:tcPr>
            <w:tcW w:w="2172" w:type="dxa"/>
            <w:gridSpan w:val="2"/>
          </w:tcPr>
          <w:p w14:paraId="76260185" w14:textId="77777777" w:rsidR="004C2497" w:rsidRPr="00621BBF" w:rsidRDefault="004C2497" w:rsidP="00873AF3">
            <w:pPr>
              <w:pStyle w:val="COMTabletext"/>
              <w:ind w:left="118"/>
              <w:jc w:val="center"/>
              <w:rPr>
                <w:b/>
                <w:bCs w:val="0"/>
              </w:rPr>
            </w:pPr>
            <w:r w:rsidRPr="00621BBF">
              <w:rPr>
                <w:b/>
                <w:bCs w:val="0"/>
              </w:rPr>
              <w:t>Howard 2019</w:t>
            </w:r>
          </w:p>
        </w:tc>
      </w:tr>
      <w:tr w:rsidR="004C2497" w:rsidRPr="002A6421" w14:paraId="513D08A3" w14:textId="77777777" w:rsidTr="62956CF7">
        <w:tc>
          <w:tcPr>
            <w:tcW w:w="1838" w:type="dxa"/>
            <w:vMerge/>
            <w:tcMar>
              <w:left w:w="57" w:type="dxa"/>
              <w:right w:w="57" w:type="dxa"/>
            </w:tcMar>
            <w:vAlign w:val="center"/>
          </w:tcPr>
          <w:p w14:paraId="6B411C29" w14:textId="77777777" w:rsidR="004C2497" w:rsidRDefault="004C2497" w:rsidP="00873AF3">
            <w:pPr>
              <w:pStyle w:val="COMTabletext"/>
              <w:ind w:left="222"/>
            </w:pPr>
          </w:p>
        </w:tc>
        <w:tc>
          <w:tcPr>
            <w:tcW w:w="945" w:type="dxa"/>
            <w:vAlign w:val="center"/>
          </w:tcPr>
          <w:p w14:paraId="3BE24C87" w14:textId="77777777" w:rsidR="004C2497" w:rsidRPr="00621BBF" w:rsidRDefault="004C2497" w:rsidP="00873AF3">
            <w:pPr>
              <w:pStyle w:val="COMTableheadingrow"/>
              <w:ind w:left="118"/>
              <w:jc w:val="center"/>
            </w:pPr>
            <w:r w:rsidRPr="00621BBF">
              <w:t>RLZ ~7mg/kg</w:t>
            </w:r>
          </w:p>
          <w:p w14:paraId="739EA5CA" w14:textId="77777777" w:rsidR="004C2497" w:rsidRPr="00621BBF" w:rsidRDefault="004C2497" w:rsidP="00873AF3">
            <w:pPr>
              <w:pStyle w:val="COMTabletext"/>
              <w:ind w:left="118"/>
              <w:jc w:val="center"/>
              <w:rPr>
                <w:b/>
                <w:bCs w:val="0"/>
              </w:rPr>
            </w:pPr>
            <w:r>
              <w:rPr>
                <w:b/>
                <w:bCs w:val="0"/>
              </w:rPr>
              <w:t>(</w:t>
            </w:r>
            <w:r w:rsidRPr="00621BBF">
              <w:rPr>
                <w:b/>
                <w:bCs w:val="0"/>
              </w:rPr>
              <w:t>N=64</w:t>
            </w:r>
            <w:r>
              <w:rPr>
                <w:b/>
                <w:bCs w:val="0"/>
              </w:rPr>
              <w:t>)</w:t>
            </w:r>
          </w:p>
        </w:tc>
        <w:tc>
          <w:tcPr>
            <w:tcW w:w="945" w:type="dxa"/>
            <w:vAlign w:val="center"/>
          </w:tcPr>
          <w:p w14:paraId="284B32EA" w14:textId="77777777" w:rsidR="004C2497" w:rsidRDefault="004C2497" w:rsidP="00873AF3">
            <w:pPr>
              <w:pStyle w:val="COMTableheadingrow"/>
              <w:ind w:left="118"/>
              <w:jc w:val="center"/>
            </w:pPr>
            <w:r w:rsidRPr="00621BBF">
              <w:t>RLZ</w:t>
            </w:r>
          </w:p>
          <w:p w14:paraId="67ED10A6" w14:textId="77777777" w:rsidR="004C2497" w:rsidRPr="00621BBF" w:rsidRDefault="004C2497" w:rsidP="00873AF3">
            <w:pPr>
              <w:pStyle w:val="COMTableheadingrow"/>
              <w:ind w:left="118"/>
              <w:jc w:val="center"/>
            </w:pPr>
            <w:r w:rsidRPr="00621BBF">
              <w:t>~10 mg/kg</w:t>
            </w:r>
          </w:p>
          <w:p w14:paraId="0CA4A1C0" w14:textId="77777777" w:rsidR="004C2497" w:rsidRPr="00621BBF" w:rsidRDefault="004C2497" w:rsidP="00873AF3">
            <w:pPr>
              <w:pStyle w:val="COMTabletext"/>
              <w:ind w:left="118"/>
              <w:jc w:val="center"/>
              <w:rPr>
                <w:b/>
                <w:bCs w:val="0"/>
              </w:rPr>
            </w:pPr>
            <w:r>
              <w:rPr>
                <w:b/>
                <w:bCs w:val="0"/>
              </w:rPr>
              <w:t>(</w:t>
            </w:r>
            <w:r w:rsidRPr="00621BBF">
              <w:rPr>
                <w:b/>
                <w:bCs w:val="0"/>
              </w:rPr>
              <w:t>N=69</w:t>
            </w:r>
            <w:r>
              <w:rPr>
                <w:b/>
                <w:bCs w:val="0"/>
              </w:rPr>
              <w:t>)</w:t>
            </w:r>
          </w:p>
        </w:tc>
        <w:tc>
          <w:tcPr>
            <w:tcW w:w="945" w:type="dxa"/>
            <w:vAlign w:val="center"/>
          </w:tcPr>
          <w:p w14:paraId="22DDF661" w14:textId="77777777" w:rsidR="004C2497" w:rsidRPr="00621BBF" w:rsidRDefault="004C2497" w:rsidP="00873AF3">
            <w:pPr>
              <w:pStyle w:val="COMTableheadingrow"/>
              <w:ind w:left="118"/>
              <w:jc w:val="center"/>
            </w:pPr>
            <w:r w:rsidRPr="00621BBF">
              <w:t>Placebo</w:t>
            </w:r>
          </w:p>
          <w:p w14:paraId="3841A07C" w14:textId="77777777" w:rsidR="004C2497" w:rsidRPr="00621BBF" w:rsidRDefault="004C2497" w:rsidP="00873AF3">
            <w:pPr>
              <w:pStyle w:val="COMTabletext"/>
              <w:ind w:left="118"/>
              <w:jc w:val="center"/>
              <w:rPr>
                <w:b/>
                <w:bCs w:val="0"/>
              </w:rPr>
            </w:pPr>
            <w:r>
              <w:rPr>
                <w:b/>
                <w:bCs w:val="0"/>
              </w:rPr>
              <w:t>(</w:t>
            </w:r>
            <w:r w:rsidRPr="00621BBF">
              <w:rPr>
                <w:b/>
                <w:bCs w:val="0"/>
              </w:rPr>
              <w:t>N=67</w:t>
            </w:r>
            <w:r>
              <w:rPr>
                <w:b/>
                <w:bCs w:val="0"/>
              </w:rPr>
              <w:t>)</w:t>
            </w:r>
          </w:p>
        </w:tc>
        <w:tc>
          <w:tcPr>
            <w:tcW w:w="1134" w:type="dxa"/>
            <w:tcMar>
              <w:left w:w="57" w:type="dxa"/>
              <w:right w:w="57" w:type="dxa"/>
            </w:tcMar>
            <w:vAlign w:val="center"/>
          </w:tcPr>
          <w:p w14:paraId="48B68632" w14:textId="77777777" w:rsidR="004C2497" w:rsidRPr="00621BBF" w:rsidRDefault="004C2497" w:rsidP="00873AF3">
            <w:pPr>
              <w:pStyle w:val="COMTabletext"/>
              <w:ind w:left="118"/>
              <w:jc w:val="center"/>
              <w:rPr>
                <w:b/>
                <w:bCs w:val="0"/>
              </w:rPr>
            </w:pPr>
            <w:r w:rsidRPr="00621BBF">
              <w:rPr>
                <w:b/>
                <w:bCs w:val="0"/>
              </w:rPr>
              <w:t>Efgartigimod</w:t>
            </w:r>
          </w:p>
          <w:p w14:paraId="1D46FB24" w14:textId="77777777" w:rsidR="004C2497" w:rsidRPr="00621BBF" w:rsidRDefault="004C2497" w:rsidP="00873AF3">
            <w:pPr>
              <w:pStyle w:val="COMTabletext"/>
              <w:ind w:left="118"/>
              <w:jc w:val="center"/>
              <w:rPr>
                <w:b/>
                <w:bCs w:val="0"/>
              </w:rPr>
            </w:pPr>
            <w:r w:rsidRPr="00621BBF">
              <w:rPr>
                <w:b/>
                <w:bCs w:val="0"/>
              </w:rPr>
              <w:t>(N=84)</w:t>
            </w:r>
          </w:p>
        </w:tc>
        <w:tc>
          <w:tcPr>
            <w:tcW w:w="1038" w:type="dxa"/>
            <w:tcMar>
              <w:left w:w="57" w:type="dxa"/>
              <w:right w:w="57" w:type="dxa"/>
            </w:tcMar>
            <w:vAlign w:val="center"/>
          </w:tcPr>
          <w:p w14:paraId="471D58CA" w14:textId="77777777" w:rsidR="004C2497" w:rsidRPr="00621BBF" w:rsidRDefault="004C2497" w:rsidP="00873AF3">
            <w:pPr>
              <w:pStyle w:val="COMTabletext"/>
              <w:ind w:left="118"/>
              <w:jc w:val="center"/>
              <w:rPr>
                <w:b/>
                <w:bCs w:val="0"/>
              </w:rPr>
            </w:pPr>
            <w:r w:rsidRPr="00621BBF">
              <w:rPr>
                <w:b/>
                <w:bCs w:val="0"/>
              </w:rPr>
              <w:t>Placebo</w:t>
            </w:r>
          </w:p>
          <w:p w14:paraId="4BE40683" w14:textId="77777777" w:rsidR="004C2497" w:rsidRPr="00621BBF" w:rsidRDefault="004C2497" w:rsidP="00873AF3">
            <w:pPr>
              <w:pStyle w:val="COMTabletext"/>
              <w:ind w:left="118"/>
              <w:jc w:val="center"/>
              <w:rPr>
                <w:b/>
                <w:bCs w:val="0"/>
              </w:rPr>
            </w:pPr>
            <w:r w:rsidRPr="00621BBF">
              <w:rPr>
                <w:b/>
                <w:bCs w:val="0"/>
              </w:rPr>
              <w:t>(N=83)</w:t>
            </w:r>
          </w:p>
        </w:tc>
        <w:tc>
          <w:tcPr>
            <w:tcW w:w="1086" w:type="dxa"/>
            <w:vAlign w:val="center"/>
          </w:tcPr>
          <w:p w14:paraId="05DAB439" w14:textId="77777777" w:rsidR="004C2497" w:rsidRPr="00621BBF" w:rsidRDefault="004C2497" w:rsidP="00873AF3">
            <w:pPr>
              <w:pStyle w:val="COMTabletext"/>
              <w:ind w:left="118"/>
              <w:jc w:val="center"/>
              <w:rPr>
                <w:b/>
                <w:bCs w:val="0"/>
              </w:rPr>
            </w:pPr>
            <w:r w:rsidRPr="00621BBF">
              <w:rPr>
                <w:b/>
                <w:bCs w:val="0"/>
              </w:rPr>
              <w:t>Efgartigimod</w:t>
            </w:r>
          </w:p>
          <w:p w14:paraId="3240A003" w14:textId="77777777" w:rsidR="004C2497" w:rsidRPr="00621BBF" w:rsidRDefault="004C2497" w:rsidP="00873AF3">
            <w:pPr>
              <w:pStyle w:val="COMTabletext"/>
              <w:ind w:left="118"/>
              <w:jc w:val="center"/>
              <w:rPr>
                <w:b/>
                <w:bCs w:val="0"/>
              </w:rPr>
            </w:pPr>
            <w:r w:rsidRPr="00621BBF">
              <w:rPr>
                <w:b/>
                <w:bCs w:val="0"/>
              </w:rPr>
              <w:t>(N=12)</w:t>
            </w:r>
          </w:p>
        </w:tc>
        <w:tc>
          <w:tcPr>
            <w:tcW w:w="1086" w:type="dxa"/>
            <w:vAlign w:val="center"/>
          </w:tcPr>
          <w:p w14:paraId="74475A7E" w14:textId="77777777" w:rsidR="004C2497" w:rsidRPr="00621BBF" w:rsidRDefault="004C2497" w:rsidP="00873AF3">
            <w:pPr>
              <w:pStyle w:val="COMTabletext"/>
              <w:ind w:left="118"/>
              <w:jc w:val="center"/>
              <w:rPr>
                <w:b/>
                <w:bCs w:val="0"/>
              </w:rPr>
            </w:pPr>
            <w:r w:rsidRPr="00621BBF">
              <w:rPr>
                <w:b/>
                <w:bCs w:val="0"/>
              </w:rPr>
              <w:t>Placebo</w:t>
            </w:r>
          </w:p>
          <w:p w14:paraId="706797F2" w14:textId="77777777" w:rsidR="004C2497" w:rsidRPr="00621BBF" w:rsidRDefault="004C2497" w:rsidP="00873AF3">
            <w:pPr>
              <w:pStyle w:val="COMTabletext"/>
              <w:ind w:left="118"/>
              <w:jc w:val="center"/>
              <w:rPr>
                <w:b/>
                <w:bCs w:val="0"/>
              </w:rPr>
            </w:pPr>
            <w:r w:rsidRPr="00621BBF">
              <w:rPr>
                <w:b/>
                <w:bCs w:val="0"/>
              </w:rPr>
              <w:t>(N=12)</w:t>
            </w:r>
          </w:p>
        </w:tc>
      </w:tr>
      <w:tr w:rsidR="004C2497" w:rsidRPr="002A6421" w14:paraId="11039D81" w14:textId="77777777">
        <w:tc>
          <w:tcPr>
            <w:tcW w:w="1838" w:type="dxa"/>
            <w:tcMar>
              <w:left w:w="57" w:type="dxa"/>
              <w:right w:w="57" w:type="dxa"/>
            </w:tcMar>
            <w:hideMark/>
          </w:tcPr>
          <w:p w14:paraId="2D813A72" w14:textId="77777777" w:rsidR="004C2497" w:rsidRPr="00430B28" w:rsidRDefault="004C2497" w:rsidP="00873AF3">
            <w:pPr>
              <w:pStyle w:val="COMTabletext"/>
              <w:ind w:left="222"/>
            </w:pPr>
            <w:r w:rsidRPr="00430B28">
              <w:t xml:space="preserve">Any </w:t>
            </w:r>
            <w:r>
              <w:t>adverse event</w:t>
            </w:r>
          </w:p>
        </w:tc>
        <w:tc>
          <w:tcPr>
            <w:tcW w:w="945" w:type="dxa"/>
            <w:vAlign w:val="center"/>
          </w:tcPr>
          <w:p w14:paraId="51ABEA19" w14:textId="77777777" w:rsidR="004C2497" w:rsidRPr="00430B28" w:rsidRDefault="004C2497" w:rsidP="00873AF3">
            <w:pPr>
              <w:pStyle w:val="COMTabletext"/>
              <w:ind w:left="118"/>
              <w:jc w:val="center"/>
            </w:pPr>
            <w:r w:rsidRPr="00F26580">
              <w:rPr>
                <w:szCs w:val="20"/>
              </w:rPr>
              <w:t>52 (81</w:t>
            </w:r>
            <w:r>
              <w:rPr>
                <w:szCs w:val="20"/>
              </w:rPr>
              <w:t>%</w:t>
            </w:r>
            <w:r w:rsidRPr="00F26580">
              <w:rPr>
                <w:szCs w:val="20"/>
              </w:rPr>
              <w:t>)</w:t>
            </w:r>
          </w:p>
        </w:tc>
        <w:tc>
          <w:tcPr>
            <w:tcW w:w="945" w:type="dxa"/>
            <w:vAlign w:val="center"/>
          </w:tcPr>
          <w:p w14:paraId="4B40B43F" w14:textId="77777777" w:rsidR="004C2497" w:rsidRPr="00430B28" w:rsidRDefault="004C2497" w:rsidP="00873AF3">
            <w:pPr>
              <w:pStyle w:val="COMTabletext"/>
              <w:ind w:left="118"/>
              <w:jc w:val="center"/>
            </w:pPr>
            <w:r w:rsidRPr="00F26580">
              <w:rPr>
                <w:szCs w:val="20"/>
              </w:rPr>
              <w:t>57 (8</w:t>
            </w:r>
            <w:r>
              <w:rPr>
                <w:szCs w:val="20"/>
              </w:rPr>
              <w:t>3%</w:t>
            </w:r>
            <w:r w:rsidRPr="00F26580">
              <w:rPr>
                <w:szCs w:val="20"/>
              </w:rPr>
              <w:t>)</w:t>
            </w:r>
          </w:p>
        </w:tc>
        <w:tc>
          <w:tcPr>
            <w:tcW w:w="945" w:type="dxa"/>
            <w:vAlign w:val="center"/>
          </w:tcPr>
          <w:p w14:paraId="0C4FB5B3" w14:textId="77777777" w:rsidR="004C2497" w:rsidRPr="00430B28" w:rsidRDefault="004C2497" w:rsidP="00873AF3">
            <w:pPr>
              <w:pStyle w:val="COMTabletext"/>
              <w:ind w:left="118"/>
              <w:jc w:val="center"/>
            </w:pPr>
            <w:r w:rsidRPr="00F26580">
              <w:rPr>
                <w:szCs w:val="20"/>
              </w:rPr>
              <w:t>45 (67</w:t>
            </w:r>
            <w:r>
              <w:rPr>
                <w:szCs w:val="20"/>
              </w:rPr>
              <w:t>%</w:t>
            </w:r>
            <w:r w:rsidRPr="00F26580">
              <w:rPr>
                <w:szCs w:val="20"/>
              </w:rPr>
              <w:t>)</w:t>
            </w:r>
          </w:p>
        </w:tc>
        <w:tc>
          <w:tcPr>
            <w:tcW w:w="1134" w:type="dxa"/>
            <w:tcMar>
              <w:left w:w="57" w:type="dxa"/>
              <w:right w:w="57" w:type="dxa"/>
            </w:tcMar>
            <w:vAlign w:val="center"/>
            <w:hideMark/>
          </w:tcPr>
          <w:p w14:paraId="68FA3B36" w14:textId="77777777" w:rsidR="004C2497" w:rsidRPr="00430B28" w:rsidRDefault="004C2497" w:rsidP="00873AF3">
            <w:pPr>
              <w:pStyle w:val="COMTabletext"/>
              <w:ind w:left="118"/>
              <w:jc w:val="center"/>
            </w:pPr>
            <w:r w:rsidRPr="00430B28">
              <w:t>65 (77</w:t>
            </w:r>
            <w:r>
              <w:t>%</w:t>
            </w:r>
            <w:r w:rsidRPr="00430B28">
              <w:t>)</w:t>
            </w:r>
          </w:p>
        </w:tc>
        <w:tc>
          <w:tcPr>
            <w:tcW w:w="1038" w:type="dxa"/>
            <w:tcMar>
              <w:left w:w="57" w:type="dxa"/>
              <w:right w:w="57" w:type="dxa"/>
            </w:tcMar>
            <w:vAlign w:val="center"/>
            <w:hideMark/>
          </w:tcPr>
          <w:p w14:paraId="62BE86BE" w14:textId="77777777" w:rsidR="004C2497" w:rsidRPr="00430B28" w:rsidRDefault="004C2497" w:rsidP="00873AF3">
            <w:pPr>
              <w:pStyle w:val="COMTabletext"/>
              <w:ind w:left="118"/>
              <w:jc w:val="center"/>
            </w:pPr>
            <w:r w:rsidRPr="00430B28">
              <w:t>70 (84</w:t>
            </w:r>
            <w:r>
              <w:t>%</w:t>
            </w:r>
            <w:r w:rsidRPr="00430B28">
              <w:t>)</w:t>
            </w:r>
          </w:p>
        </w:tc>
        <w:tc>
          <w:tcPr>
            <w:tcW w:w="1086" w:type="dxa"/>
          </w:tcPr>
          <w:p w14:paraId="42441817" w14:textId="77777777" w:rsidR="004C2497" w:rsidRPr="00430B28" w:rsidRDefault="004C2497" w:rsidP="00873AF3">
            <w:pPr>
              <w:pStyle w:val="COMTabletext"/>
              <w:ind w:left="118"/>
              <w:jc w:val="center"/>
            </w:pPr>
            <w:r>
              <w:t>10 (83%)</w:t>
            </w:r>
          </w:p>
        </w:tc>
        <w:tc>
          <w:tcPr>
            <w:tcW w:w="1086" w:type="dxa"/>
          </w:tcPr>
          <w:p w14:paraId="495D07DE" w14:textId="77777777" w:rsidR="004C2497" w:rsidRPr="00430B28" w:rsidRDefault="004C2497" w:rsidP="00873AF3">
            <w:pPr>
              <w:pStyle w:val="COMTabletext"/>
              <w:ind w:left="118"/>
              <w:jc w:val="center"/>
            </w:pPr>
            <w:r>
              <w:t>10 (83%)</w:t>
            </w:r>
          </w:p>
        </w:tc>
      </w:tr>
      <w:tr w:rsidR="004C2497" w:rsidRPr="002A6421" w14:paraId="70288CF0" w14:textId="77777777">
        <w:tc>
          <w:tcPr>
            <w:tcW w:w="1838" w:type="dxa"/>
            <w:tcMar>
              <w:left w:w="57" w:type="dxa"/>
              <w:right w:w="57" w:type="dxa"/>
            </w:tcMar>
            <w:hideMark/>
          </w:tcPr>
          <w:p w14:paraId="52BE06C6" w14:textId="77777777" w:rsidR="004C2497" w:rsidRPr="00430B28" w:rsidRDefault="004C2497" w:rsidP="00873AF3">
            <w:pPr>
              <w:pStyle w:val="COMTabletext"/>
              <w:ind w:left="222"/>
            </w:pPr>
            <w:r w:rsidRPr="00430B28">
              <w:t xml:space="preserve">Serious </w:t>
            </w:r>
            <w:r>
              <w:t>adverse event</w:t>
            </w:r>
            <w:r w:rsidRPr="00430B28">
              <w:t> </w:t>
            </w:r>
          </w:p>
        </w:tc>
        <w:tc>
          <w:tcPr>
            <w:tcW w:w="945" w:type="dxa"/>
            <w:vAlign w:val="center"/>
          </w:tcPr>
          <w:p w14:paraId="5F16BA83" w14:textId="77777777" w:rsidR="004C2497" w:rsidRPr="00430B28" w:rsidRDefault="004C2497" w:rsidP="00873AF3">
            <w:pPr>
              <w:pStyle w:val="COMTabletext"/>
              <w:ind w:left="118"/>
              <w:jc w:val="center"/>
            </w:pPr>
            <w:r w:rsidRPr="00F26580">
              <w:rPr>
                <w:szCs w:val="20"/>
              </w:rPr>
              <w:t>5 (8</w:t>
            </w:r>
            <w:r>
              <w:rPr>
                <w:szCs w:val="20"/>
              </w:rPr>
              <w:t>%</w:t>
            </w:r>
            <w:r w:rsidRPr="00F26580">
              <w:rPr>
                <w:szCs w:val="20"/>
              </w:rPr>
              <w:t>)</w:t>
            </w:r>
          </w:p>
        </w:tc>
        <w:tc>
          <w:tcPr>
            <w:tcW w:w="945" w:type="dxa"/>
            <w:vAlign w:val="center"/>
          </w:tcPr>
          <w:p w14:paraId="05FE129A" w14:textId="77777777" w:rsidR="004C2497" w:rsidRPr="00430B28" w:rsidRDefault="004C2497" w:rsidP="00873AF3">
            <w:pPr>
              <w:pStyle w:val="COMTabletext"/>
              <w:ind w:left="118"/>
              <w:jc w:val="center"/>
            </w:pPr>
            <w:r w:rsidRPr="00F26580">
              <w:rPr>
                <w:szCs w:val="20"/>
              </w:rPr>
              <w:t>7 (10</w:t>
            </w:r>
            <w:r>
              <w:rPr>
                <w:szCs w:val="20"/>
              </w:rPr>
              <w:t>%</w:t>
            </w:r>
            <w:r w:rsidRPr="00F26580">
              <w:rPr>
                <w:szCs w:val="20"/>
              </w:rPr>
              <w:t>)</w:t>
            </w:r>
          </w:p>
        </w:tc>
        <w:tc>
          <w:tcPr>
            <w:tcW w:w="945" w:type="dxa"/>
            <w:vAlign w:val="center"/>
          </w:tcPr>
          <w:p w14:paraId="7F1C5DB5" w14:textId="77777777" w:rsidR="004C2497" w:rsidRPr="00430B28" w:rsidRDefault="004C2497" w:rsidP="00873AF3">
            <w:pPr>
              <w:pStyle w:val="COMTabletext"/>
              <w:ind w:left="118"/>
              <w:jc w:val="center"/>
            </w:pPr>
            <w:r w:rsidRPr="00F26580">
              <w:rPr>
                <w:szCs w:val="20"/>
              </w:rPr>
              <w:t>6 (9</w:t>
            </w:r>
            <w:r>
              <w:rPr>
                <w:szCs w:val="20"/>
              </w:rPr>
              <w:t>%</w:t>
            </w:r>
            <w:r w:rsidRPr="00F26580">
              <w:rPr>
                <w:szCs w:val="20"/>
              </w:rPr>
              <w:t>)</w:t>
            </w:r>
          </w:p>
        </w:tc>
        <w:tc>
          <w:tcPr>
            <w:tcW w:w="1134" w:type="dxa"/>
            <w:tcMar>
              <w:left w:w="57" w:type="dxa"/>
              <w:right w:w="57" w:type="dxa"/>
            </w:tcMar>
            <w:vAlign w:val="center"/>
            <w:hideMark/>
          </w:tcPr>
          <w:p w14:paraId="7E43D8B1" w14:textId="77777777" w:rsidR="004C2497" w:rsidRPr="00430B28" w:rsidRDefault="004C2497" w:rsidP="00873AF3">
            <w:pPr>
              <w:pStyle w:val="COMTabletext"/>
              <w:ind w:left="118"/>
              <w:jc w:val="center"/>
            </w:pPr>
            <w:r w:rsidRPr="00430B28">
              <w:t>4 (5</w:t>
            </w:r>
            <w:r>
              <w:t>%</w:t>
            </w:r>
            <w:r w:rsidRPr="00430B28">
              <w:t>)</w:t>
            </w:r>
          </w:p>
        </w:tc>
        <w:tc>
          <w:tcPr>
            <w:tcW w:w="1038" w:type="dxa"/>
            <w:tcMar>
              <w:left w:w="57" w:type="dxa"/>
              <w:right w:w="57" w:type="dxa"/>
            </w:tcMar>
            <w:vAlign w:val="center"/>
            <w:hideMark/>
          </w:tcPr>
          <w:p w14:paraId="0BDD0CE5" w14:textId="77777777" w:rsidR="004C2497" w:rsidRPr="00430B28" w:rsidRDefault="004C2497" w:rsidP="00873AF3">
            <w:pPr>
              <w:pStyle w:val="COMTabletext"/>
              <w:ind w:left="118"/>
              <w:jc w:val="center"/>
            </w:pPr>
            <w:r w:rsidRPr="00430B28">
              <w:t>7 (8</w:t>
            </w:r>
            <w:r>
              <w:t>%</w:t>
            </w:r>
            <w:r w:rsidRPr="00430B28">
              <w:t>)</w:t>
            </w:r>
          </w:p>
        </w:tc>
        <w:tc>
          <w:tcPr>
            <w:tcW w:w="1086" w:type="dxa"/>
          </w:tcPr>
          <w:p w14:paraId="3A4453C8" w14:textId="77777777" w:rsidR="004C2497" w:rsidRPr="00430B28" w:rsidRDefault="004C2497" w:rsidP="00873AF3">
            <w:pPr>
              <w:pStyle w:val="COMTabletext"/>
              <w:ind w:left="118"/>
              <w:jc w:val="center"/>
            </w:pPr>
            <w:r>
              <w:t>0</w:t>
            </w:r>
          </w:p>
        </w:tc>
        <w:tc>
          <w:tcPr>
            <w:tcW w:w="1086" w:type="dxa"/>
          </w:tcPr>
          <w:p w14:paraId="6A4EE809" w14:textId="77777777" w:rsidR="004C2497" w:rsidRPr="00430B28" w:rsidRDefault="004C2497" w:rsidP="00873AF3">
            <w:pPr>
              <w:pStyle w:val="COMTabletext"/>
              <w:ind w:left="118"/>
              <w:jc w:val="center"/>
            </w:pPr>
            <w:r>
              <w:t>0</w:t>
            </w:r>
          </w:p>
        </w:tc>
      </w:tr>
      <w:tr w:rsidR="004C2497" w:rsidRPr="002A6421" w14:paraId="25C3516E" w14:textId="77777777">
        <w:tc>
          <w:tcPr>
            <w:tcW w:w="1838" w:type="dxa"/>
            <w:tcMar>
              <w:left w:w="57" w:type="dxa"/>
              <w:right w:w="57" w:type="dxa"/>
            </w:tcMar>
            <w:hideMark/>
          </w:tcPr>
          <w:p w14:paraId="5EB3D410" w14:textId="77777777" w:rsidR="004C2497" w:rsidRPr="00430B28" w:rsidRDefault="004C2497" w:rsidP="00873AF3">
            <w:pPr>
              <w:pStyle w:val="COMTabletext"/>
              <w:ind w:left="222"/>
            </w:pPr>
            <w:r w:rsidRPr="00430B28">
              <w:t xml:space="preserve">Severe </w:t>
            </w:r>
            <w:r>
              <w:t>adverse event</w:t>
            </w:r>
          </w:p>
        </w:tc>
        <w:tc>
          <w:tcPr>
            <w:tcW w:w="945" w:type="dxa"/>
            <w:vAlign w:val="center"/>
          </w:tcPr>
          <w:p w14:paraId="33DB53D6" w14:textId="77777777" w:rsidR="004C2497" w:rsidRPr="00430B28" w:rsidRDefault="004C2497" w:rsidP="00873AF3">
            <w:pPr>
              <w:pStyle w:val="COMTabletext"/>
              <w:ind w:left="118"/>
              <w:jc w:val="center"/>
            </w:pPr>
            <w:r w:rsidRPr="00F26580">
              <w:rPr>
                <w:szCs w:val="20"/>
              </w:rPr>
              <w:t>3 (</w:t>
            </w:r>
            <w:r>
              <w:rPr>
                <w:szCs w:val="20"/>
              </w:rPr>
              <w:t>5%</w:t>
            </w:r>
            <w:r w:rsidRPr="00F26580">
              <w:rPr>
                <w:szCs w:val="20"/>
              </w:rPr>
              <w:t>)</w:t>
            </w:r>
          </w:p>
        </w:tc>
        <w:tc>
          <w:tcPr>
            <w:tcW w:w="945" w:type="dxa"/>
            <w:vAlign w:val="center"/>
          </w:tcPr>
          <w:p w14:paraId="002C1369" w14:textId="77777777" w:rsidR="004C2497" w:rsidRPr="00430B28" w:rsidRDefault="004C2497" w:rsidP="00873AF3">
            <w:pPr>
              <w:pStyle w:val="COMTabletext"/>
              <w:ind w:left="118"/>
              <w:jc w:val="center"/>
            </w:pPr>
            <w:r w:rsidRPr="00F26580">
              <w:rPr>
                <w:szCs w:val="20"/>
              </w:rPr>
              <w:t>13 (1</w:t>
            </w:r>
            <w:r>
              <w:rPr>
                <w:szCs w:val="20"/>
              </w:rPr>
              <w:t>9%</w:t>
            </w:r>
            <w:r w:rsidRPr="00F26580">
              <w:rPr>
                <w:szCs w:val="20"/>
              </w:rPr>
              <w:t>)</w:t>
            </w:r>
          </w:p>
        </w:tc>
        <w:tc>
          <w:tcPr>
            <w:tcW w:w="945" w:type="dxa"/>
            <w:vAlign w:val="center"/>
          </w:tcPr>
          <w:p w14:paraId="35F14E61" w14:textId="77777777" w:rsidR="004C2497" w:rsidRPr="00430B28" w:rsidRDefault="004C2497" w:rsidP="00873AF3">
            <w:pPr>
              <w:pStyle w:val="COMTabletext"/>
              <w:ind w:left="118"/>
              <w:jc w:val="center"/>
            </w:pPr>
            <w:r w:rsidRPr="00F26580">
              <w:rPr>
                <w:szCs w:val="20"/>
              </w:rPr>
              <w:t>3 (4</w:t>
            </w:r>
            <w:r>
              <w:rPr>
                <w:szCs w:val="20"/>
              </w:rPr>
              <w:t>%</w:t>
            </w:r>
            <w:r w:rsidRPr="00F26580">
              <w:rPr>
                <w:szCs w:val="20"/>
              </w:rPr>
              <w:t>)</w:t>
            </w:r>
          </w:p>
        </w:tc>
        <w:tc>
          <w:tcPr>
            <w:tcW w:w="1134" w:type="dxa"/>
            <w:tcMar>
              <w:left w:w="57" w:type="dxa"/>
              <w:right w:w="57" w:type="dxa"/>
            </w:tcMar>
            <w:vAlign w:val="center"/>
            <w:hideMark/>
          </w:tcPr>
          <w:p w14:paraId="0558B1AA" w14:textId="77777777" w:rsidR="004C2497" w:rsidRPr="00430B28" w:rsidRDefault="004C2497" w:rsidP="00873AF3">
            <w:pPr>
              <w:pStyle w:val="COMTabletext"/>
              <w:ind w:left="118"/>
              <w:jc w:val="center"/>
            </w:pPr>
            <w:r w:rsidRPr="00430B28">
              <w:t>9 (11</w:t>
            </w:r>
            <w:r>
              <w:t>%</w:t>
            </w:r>
            <w:r w:rsidRPr="00430B28">
              <w:t>)</w:t>
            </w:r>
          </w:p>
        </w:tc>
        <w:tc>
          <w:tcPr>
            <w:tcW w:w="1038" w:type="dxa"/>
            <w:tcMar>
              <w:left w:w="57" w:type="dxa"/>
              <w:right w:w="57" w:type="dxa"/>
            </w:tcMar>
            <w:vAlign w:val="center"/>
            <w:hideMark/>
          </w:tcPr>
          <w:p w14:paraId="36A48121" w14:textId="77777777" w:rsidR="004C2497" w:rsidRPr="00430B28" w:rsidRDefault="004C2497" w:rsidP="00873AF3">
            <w:pPr>
              <w:pStyle w:val="COMTabletext"/>
              <w:ind w:left="118"/>
              <w:jc w:val="center"/>
            </w:pPr>
            <w:r w:rsidRPr="00430B28">
              <w:t>8 (10</w:t>
            </w:r>
            <w:r>
              <w:t>%</w:t>
            </w:r>
            <w:r w:rsidRPr="00430B28">
              <w:t>)</w:t>
            </w:r>
          </w:p>
        </w:tc>
        <w:tc>
          <w:tcPr>
            <w:tcW w:w="1086" w:type="dxa"/>
          </w:tcPr>
          <w:p w14:paraId="5FFA9592" w14:textId="77777777" w:rsidR="004C2497" w:rsidRPr="00430B28" w:rsidRDefault="004C2497" w:rsidP="00873AF3">
            <w:pPr>
              <w:pStyle w:val="COMTabletext"/>
              <w:ind w:left="118"/>
              <w:jc w:val="center"/>
            </w:pPr>
            <w:r>
              <w:t>0</w:t>
            </w:r>
          </w:p>
        </w:tc>
        <w:tc>
          <w:tcPr>
            <w:tcW w:w="1086" w:type="dxa"/>
          </w:tcPr>
          <w:p w14:paraId="2B48DFED" w14:textId="77777777" w:rsidR="004C2497" w:rsidRPr="00430B28" w:rsidRDefault="004C2497" w:rsidP="00873AF3">
            <w:pPr>
              <w:pStyle w:val="COMTabletext"/>
              <w:ind w:left="118"/>
              <w:jc w:val="center"/>
            </w:pPr>
            <w:r>
              <w:t>0</w:t>
            </w:r>
          </w:p>
        </w:tc>
      </w:tr>
      <w:tr w:rsidR="004C2497" w:rsidRPr="002A6421" w14:paraId="6FA8D373" w14:textId="77777777">
        <w:tc>
          <w:tcPr>
            <w:tcW w:w="1838" w:type="dxa"/>
            <w:tcMar>
              <w:left w:w="57" w:type="dxa"/>
              <w:right w:w="57" w:type="dxa"/>
            </w:tcMar>
            <w:hideMark/>
          </w:tcPr>
          <w:p w14:paraId="5117A3A1" w14:textId="77777777" w:rsidR="004C2497" w:rsidRPr="00430B28" w:rsidRDefault="004C2497" w:rsidP="00873AF3">
            <w:pPr>
              <w:pStyle w:val="COMTabletext"/>
              <w:ind w:left="222"/>
            </w:pPr>
            <w:r w:rsidRPr="00430B28">
              <w:t xml:space="preserve">Any </w:t>
            </w:r>
            <w:r>
              <w:t>AE</w:t>
            </w:r>
            <w:r w:rsidRPr="00430B28">
              <w:t xml:space="preserve"> leading to discontinuation </w:t>
            </w:r>
          </w:p>
        </w:tc>
        <w:tc>
          <w:tcPr>
            <w:tcW w:w="945" w:type="dxa"/>
            <w:vAlign w:val="center"/>
          </w:tcPr>
          <w:p w14:paraId="12ED39F2" w14:textId="77777777" w:rsidR="004C2497" w:rsidRPr="00430B28" w:rsidRDefault="004C2497" w:rsidP="00873AF3">
            <w:pPr>
              <w:pStyle w:val="COMTabletext"/>
              <w:ind w:left="118"/>
              <w:jc w:val="center"/>
            </w:pPr>
            <w:r w:rsidRPr="00F26580">
              <w:rPr>
                <w:szCs w:val="20"/>
              </w:rPr>
              <w:t>2 (3</w:t>
            </w:r>
            <w:r>
              <w:rPr>
                <w:szCs w:val="20"/>
              </w:rPr>
              <w:t>%</w:t>
            </w:r>
            <w:r w:rsidRPr="00F26580">
              <w:rPr>
                <w:szCs w:val="20"/>
              </w:rPr>
              <w:t>)</w:t>
            </w:r>
          </w:p>
        </w:tc>
        <w:tc>
          <w:tcPr>
            <w:tcW w:w="945" w:type="dxa"/>
            <w:vAlign w:val="center"/>
          </w:tcPr>
          <w:p w14:paraId="31D4C651" w14:textId="77777777" w:rsidR="004C2497" w:rsidRPr="00430B28" w:rsidRDefault="004C2497" w:rsidP="00873AF3">
            <w:pPr>
              <w:pStyle w:val="COMTabletext"/>
              <w:ind w:left="118"/>
              <w:jc w:val="center"/>
            </w:pPr>
            <w:r w:rsidRPr="00F26580">
              <w:rPr>
                <w:szCs w:val="20"/>
              </w:rPr>
              <w:t>5 (7</w:t>
            </w:r>
            <w:r>
              <w:rPr>
                <w:szCs w:val="20"/>
              </w:rPr>
              <w:t>%</w:t>
            </w:r>
            <w:r w:rsidRPr="00F26580">
              <w:rPr>
                <w:szCs w:val="20"/>
              </w:rPr>
              <w:t>)</w:t>
            </w:r>
          </w:p>
        </w:tc>
        <w:tc>
          <w:tcPr>
            <w:tcW w:w="945" w:type="dxa"/>
            <w:vAlign w:val="center"/>
          </w:tcPr>
          <w:p w14:paraId="4AC8DD41" w14:textId="77777777" w:rsidR="004C2497" w:rsidRPr="00430B28" w:rsidRDefault="004C2497" w:rsidP="00873AF3">
            <w:pPr>
              <w:pStyle w:val="COMTabletext"/>
              <w:ind w:left="118"/>
              <w:jc w:val="center"/>
            </w:pPr>
            <w:r w:rsidRPr="00F26580">
              <w:rPr>
                <w:szCs w:val="20"/>
              </w:rPr>
              <w:t>2 (3</w:t>
            </w:r>
            <w:r>
              <w:rPr>
                <w:szCs w:val="20"/>
              </w:rPr>
              <w:t>%</w:t>
            </w:r>
            <w:r w:rsidRPr="00F26580">
              <w:rPr>
                <w:szCs w:val="20"/>
              </w:rPr>
              <w:t>)</w:t>
            </w:r>
          </w:p>
        </w:tc>
        <w:tc>
          <w:tcPr>
            <w:tcW w:w="1134" w:type="dxa"/>
            <w:tcMar>
              <w:left w:w="57" w:type="dxa"/>
              <w:right w:w="57" w:type="dxa"/>
            </w:tcMar>
            <w:vAlign w:val="center"/>
            <w:hideMark/>
          </w:tcPr>
          <w:p w14:paraId="16DCD990" w14:textId="77777777" w:rsidR="004C2497" w:rsidRPr="00430B28" w:rsidRDefault="004C2497" w:rsidP="00873AF3">
            <w:pPr>
              <w:pStyle w:val="COMTabletext"/>
              <w:ind w:left="118"/>
              <w:jc w:val="center"/>
            </w:pPr>
            <w:r w:rsidRPr="00430B28">
              <w:t>3 (4</w:t>
            </w:r>
            <w:r>
              <w:t>%</w:t>
            </w:r>
            <w:r w:rsidRPr="00430B28">
              <w:t>)</w:t>
            </w:r>
          </w:p>
        </w:tc>
        <w:tc>
          <w:tcPr>
            <w:tcW w:w="1038" w:type="dxa"/>
            <w:tcMar>
              <w:left w:w="57" w:type="dxa"/>
              <w:right w:w="57" w:type="dxa"/>
            </w:tcMar>
            <w:vAlign w:val="center"/>
            <w:hideMark/>
          </w:tcPr>
          <w:p w14:paraId="31931FB6" w14:textId="77777777" w:rsidR="004C2497" w:rsidRPr="00430B28" w:rsidRDefault="004C2497" w:rsidP="00873AF3">
            <w:pPr>
              <w:pStyle w:val="COMTabletext"/>
              <w:ind w:left="118"/>
              <w:jc w:val="center"/>
            </w:pPr>
            <w:r w:rsidRPr="00430B28">
              <w:t>3 (4</w:t>
            </w:r>
            <w:r>
              <w:t>%</w:t>
            </w:r>
            <w:r w:rsidRPr="00430B28">
              <w:t>)</w:t>
            </w:r>
          </w:p>
        </w:tc>
        <w:tc>
          <w:tcPr>
            <w:tcW w:w="1086" w:type="dxa"/>
            <w:vAlign w:val="center"/>
          </w:tcPr>
          <w:p w14:paraId="74345E02" w14:textId="77777777" w:rsidR="004C2497" w:rsidRPr="00430B28" w:rsidRDefault="004C2497" w:rsidP="00873AF3">
            <w:pPr>
              <w:pStyle w:val="COMTabletext"/>
              <w:ind w:left="118"/>
              <w:jc w:val="center"/>
            </w:pPr>
            <w:r>
              <w:t>0</w:t>
            </w:r>
          </w:p>
        </w:tc>
        <w:tc>
          <w:tcPr>
            <w:tcW w:w="1086" w:type="dxa"/>
            <w:vAlign w:val="center"/>
          </w:tcPr>
          <w:p w14:paraId="18076B37" w14:textId="77777777" w:rsidR="004C2497" w:rsidRPr="00430B28" w:rsidRDefault="004C2497" w:rsidP="00873AF3">
            <w:pPr>
              <w:pStyle w:val="COMTabletext"/>
              <w:ind w:left="118"/>
              <w:jc w:val="center"/>
            </w:pPr>
            <w:r>
              <w:t>0</w:t>
            </w:r>
          </w:p>
        </w:tc>
      </w:tr>
      <w:tr w:rsidR="004C2497" w:rsidRPr="002A6421" w14:paraId="67D64C8E" w14:textId="77777777">
        <w:trPr>
          <w:trHeight w:val="65"/>
        </w:trPr>
        <w:tc>
          <w:tcPr>
            <w:tcW w:w="1838" w:type="dxa"/>
            <w:tcMar>
              <w:left w:w="57" w:type="dxa"/>
              <w:right w:w="57" w:type="dxa"/>
            </w:tcMar>
            <w:hideMark/>
          </w:tcPr>
          <w:p w14:paraId="3AC4E501" w14:textId="77777777" w:rsidR="004C2497" w:rsidRPr="00430B28" w:rsidRDefault="004C2497" w:rsidP="00873AF3">
            <w:pPr>
              <w:pStyle w:val="COMTabletext"/>
              <w:ind w:left="222"/>
            </w:pPr>
            <w:r w:rsidRPr="00430B28">
              <w:t>Any infection </w:t>
            </w:r>
          </w:p>
        </w:tc>
        <w:tc>
          <w:tcPr>
            <w:tcW w:w="945" w:type="dxa"/>
            <w:vAlign w:val="center"/>
          </w:tcPr>
          <w:p w14:paraId="2E922584" w14:textId="77777777" w:rsidR="004C2497" w:rsidRPr="00430B28" w:rsidRDefault="004C2497" w:rsidP="00873AF3">
            <w:pPr>
              <w:pStyle w:val="COMTabletext"/>
              <w:ind w:left="118"/>
              <w:jc w:val="center"/>
            </w:pPr>
            <w:r w:rsidRPr="00F26580">
              <w:rPr>
                <w:szCs w:val="20"/>
              </w:rPr>
              <w:t>10 (16</w:t>
            </w:r>
            <w:r>
              <w:rPr>
                <w:szCs w:val="20"/>
              </w:rPr>
              <w:t>%</w:t>
            </w:r>
            <w:r w:rsidRPr="00F26580">
              <w:rPr>
                <w:szCs w:val="20"/>
              </w:rPr>
              <w:t>)</w:t>
            </w:r>
          </w:p>
        </w:tc>
        <w:tc>
          <w:tcPr>
            <w:tcW w:w="945" w:type="dxa"/>
            <w:vAlign w:val="center"/>
          </w:tcPr>
          <w:p w14:paraId="37B5FDBD" w14:textId="77777777" w:rsidR="004C2497" w:rsidRPr="00430B28" w:rsidRDefault="004C2497" w:rsidP="00873AF3">
            <w:pPr>
              <w:pStyle w:val="COMTabletext"/>
              <w:ind w:left="118"/>
              <w:jc w:val="center"/>
            </w:pPr>
            <w:r w:rsidRPr="00F26580">
              <w:rPr>
                <w:szCs w:val="20"/>
              </w:rPr>
              <w:t>21 (30</w:t>
            </w:r>
            <w:r>
              <w:rPr>
                <w:szCs w:val="20"/>
              </w:rPr>
              <w:t>%</w:t>
            </w:r>
            <w:r w:rsidRPr="00F26580">
              <w:rPr>
                <w:szCs w:val="20"/>
              </w:rPr>
              <w:t>)</w:t>
            </w:r>
          </w:p>
        </w:tc>
        <w:tc>
          <w:tcPr>
            <w:tcW w:w="945" w:type="dxa"/>
            <w:vAlign w:val="center"/>
          </w:tcPr>
          <w:p w14:paraId="5BD40BC2" w14:textId="77777777" w:rsidR="004C2497" w:rsidRPr="00430B28" w:rsidRDefault="004C2497" w:rsidP="00873AF3">
            <w:pPr>
              <w:pStyle w:val="COMTabletext"/>
              <w:ind w:left="118"/>
              <w:jc w:val="center"/>
            </w:pPr>
            <w:r w:rsidRPr="00F26580">
              <w:rPr>
                <w:szCs w:val="20"/>
              </w:rPr>
              <w:t>13 (19</w:t>
            </w:r>
            <w:r>
              <w:rPr>
                <w:szCs w:val="20"/>
              </w:rPr>
              <w:t>%</w:t>
            </w:r>
            <w:r w:rsidRPr="00F26580">
              <w:rPr>
                <w:szCs w:val="20"/>
              </w:rPr>
              <w:t>)</w:t>
            </w:r>
          </w:p>
        </w:tc>
        <w:tc>
          <w:tcPr>
            <w:tcW w:w="1134" w:type="dxa"/>
            <w:tcMar>
              <w:left w:w="57" w:type="dxa"/>
              <w:right w:w="57" w:type="dxa"/>
            </w:tcMar>
            <w:vAlign w:val="center"/>
            <w:hideMark/>
          </w:tcPr>
          <w:p w14:paraId="70D3F1FB" w14:textId="77777777" w:rsidR="004C2497" w:rsidRPr="00430B28" w:rsidRDefault="004C2497" w:rsidP="00873AF3">
            <w:pPr>
              <w:pStyle w:val="COMTabletext"/>
              <w:ind w:left="118"/>
              <w:jc w:val="center"/>
            </w:pPr>
            <w:r w:rsidRPr="00430B28">
              <w:t>39 (46</w:t>
            </w:r>
            <w:r>
              <w:t>%</w:t>
            </w:r>
            <w:r w:rsidRPr="00430B28">
              <w:t>)</w:t>
            </w:r>
          </w:p>
        </w:tc>
        <w:tc>
          <w:tcPr>
            <w:tcW w:w="1038" w:type="dxa"/>
            <w:tcMar>
              <w:left w:w="57" w:type="dxa"/>
              <w:right w:w="57" w:type="dxa"/>
            </w:tcMar>
            <w:vAlign w:val="center"/>
            <w:hideMark/>
          </w:tcPr>
          <w:p w14:paraId="0DF72897" w14:textId="77777777" w:rsidR="004C2497" w:rsidRPr="00430B28" w:rsidRDefault="004C2497" w:rsidP="00873AF3">
            <w:pPr>
              <w:pStyle w:val="COMTabletext"/>
              <w:ind w:left="118"/>
              <w:jc w:val="center"/>
            </w:pPr>
            <w:r w:rsidRPr="00430B28">
              <w:t>31 (37</w:t>
            </w:r>
            <w:r>
              <w:t>%</w:t>
            </w:r>
            <w:r w:rsidRPr="00430B28">
              <w:t>)</w:t>
            </w:r>
          </w:p>
        </w:tc>
        <w:tc>
          <w:tcPr>
            <w:tcW w:w="1086" w:type="dxa"/>
          </w:tcPr>
          <w:p w14:paraId="5DDCECD0" w14:textId="77777777" w:rsidR="004C2497" w:rsidRPr="00430B28" w:rsidRDefault="004C2497" w:rsidP="00873AF3">
            <w:pPr>
              <w:pStyle w:val="COMTabletext"/>
              <w:ind w:left="118"/>
              <w:jc w:val="center"/>
            </w:pPr>
            <w:r>
              <w:t>NR</w:t>
            </w:r>
          </w:p>
        </w:tc>
        <w:tc>
          <w:tcPr>
            <w:tcW w:w="1086" w:type="dxa"/>
          </w:tcPr>
          <w:p w14:paraId="7F75DE18" w14:textId="77777777" w:rsidR="004C2497" w:rsidRPr="00430B28" w:rsidRDefault="004C2497" w:rsidP="00873AF3">
            <w:pPr>
              <w:pStyle w:val="COMTabletext"/>
              <w:ind w:left="118"/>
              <w:jc w:val="center"/>
            </w:pPr>
            <w:r>
              <w:t>NR</w:t>
            </w:r>
          </w:p>
        </w:tc>
      </w:tr>
      <w:tr w:rsidR="004C2497" w:rsidRPr="002A6421" w14:paraId="6DE28C81" w14:textId="77777777">
        <w:tc>
          <w:tcPr>
            <w:tcW w:w="1838" w:type="dxa"/>
            <w:tcMar>
              <w:left w:w="57" w:type="dxa"/>
              <w:right w:w="57" w:type="dxa"/>
            </w:tcMar>
            <w:hideMark/>
          </w:tcPr>
          <w:p w14:paraId="2343DDF2" w14:textId="77777777" w:rsidR="004C2497" w:rsidRPr="00430B28" w:rsidRDefault="004C2497" w:rsidP="00873AF3">
            <w:pPr>
              <w:pStyle w:val="COMTabletext"/>
              <w:ind w:left="222"/>
            </w:pPr>
            <w:r w:rsidRPr="00430B28">
              <w:t>Deaths </w:t>
            </w:r>
          </w:p>
        </w:tc>
        <w:tc>
          <w:tcPr>
            <w:tcW w:w="945" w:type="dxa"/>
            <w:vAlign w:val="center"/>
          </w:tcPr>
          <w:p w14:paraId="7DA65823" w14:textId="77777777" w:rsidR="004C2497" w:rsidRPr="00430B28" w:rsidRDefault="004C2497" w:rsidP="00873AF3">
            <w:pPr>
              <w:pStyle w:val="COMTabletext"/>
              <w:ind w:left="118"/>
              <w:jc w:val="center"/>
            </w:pPr>
            <w:r w:rsidRPr="00821AA6">
              <w:rPr>
                <w:szCs w:val="20"/>
              </w:rPr>
              <w:t>0</w:t>
            </w:r>
          </w:p>
        </w:tc>
        <w:tc>
          <w:tcPr>
            <w:tcW w:w="945" w:type="dxa"/>
            <w:vAlign w:val="center"/>
          </w:tcPr>
          <w:p w14:paraId="71904500" w14:textId="77777777" w:rsidR="004C2497" w:rsidRPr="00430B28" w:rsidRDefault="004C2497" w:rsidP="00873AF3">
            <w:pPr>
              <w:pStyle w:val="COMTabletext"/>
              <w:ind w:left="118"/>
              <w:jc w:val="center"/>
            </w:pPr>
            <w:r w:rsidRPr="00821AA6">
              <w:rPr>
                <w:szCs w:val="20"/>
              </w:rPr>
              <w:t>0</w:t>
            </w:r>
          </w:p>
        </w:tc>
        <w:tc>
          <w:tcPr>
            <w:tcW w:w="945" w:type="dxa"/>
            <w:vAlign w:val="center"/>
          </w:tcPr>
          <w:p w14:paraId="46B40ECE" w14:textId="77777777" w:rsidR="004C2497" w:rsidRPr="00430B28" w:rsidRDefault="004C2497" w:rsidP="00873AF3">
            <w:pPr>
              <w:pStyle w:val="COMTabletext"/>
              <w:ind w:left="118"/>
              <w:jc w:val="center"/>
            </w:pPr>
            <w:r w:rsidRPr="00821AA6">
              <w:rPr>
                <w:szCs w:val="20"/>
              </w:rPr>
              <w:t>0</w:t>
            </w:r>
          </w:p>
        </w:tc>
        <w:tc>
          <w:tcPr>
            <w:tcW w:w="1134" w:type="dxa"/>
            <w:tcMar>
              <w:left w:w="57" w:type="dxa"/>
              <w:right w:w="57" w:type="dxa"/>
            </w:tcMar>
            <w:vAlign w:val="center"/>
            <w:hideMark/>
          </w:tcPr>
          <w:p w14:paraId="04A8CDC8" w14:textId="77777777" w:rsidR="004C2497" w:rsidRPr="00430B28" w:rsidRDefault="004C2497" w:rsidP="00873AF3">
            <w:pPr>
              <w:pStyle w:val="COMTabletext"/>
              <w:ind w:left="118"/>
              <w:jc w:val="center"/>
            </w:pPr>
            <w:r w:rsidRPr="00430B28">
              <w:t>0</w:t>
            </w:r>
          </w:p>
        </w:tc>
        <w:tc>
          <w:tcPr>
            <w:tcW w:w="1038" w:type="dxa"/>
            <w:tcMar>
              <w:left w:w="57" w:type="dxa"/>
              <w:right w:w="57" w:type="dxa"/>
            </w:tcMar>
            <w:vAlign w:val="center"/>
            <w:hideMark/>
          </w:tcPr>
          <w:p w14:paraId="5AEB1612" w14:textId="77777777" w:rsidR="004C2497" w:rsidRPr="00430B28" w:rsidRDefault="004C2497" w:rsidP="00873AF3">
            <w:pPr>
              <w:pStyle w:val="COMTabletext"/>
              <w:ind w:left="118"/>
              <w:jc w:val="center"/>
            </w:pPr>
            <w:r w:rsidRPr="00430B28">
              <w:t>0</w:t>
            </w:r>
          </w:p>
        </w:tc>
        <w:tc>
          <w:tcPr>
            <w:tcW w:w="1086" w:type="dxa"/>
          </w:tcPr>
          <w:p w14:paraId="07BA9506" w14:textId="77777777" w:rsidR="004C2497" w:rsidRPr="00430B28" w:rsidRDefault="004C2497" w:rsidP="00873AF3">
            <w:pPr>
              <w:pStyle w:val="COMTabletext"/>
              <w:ind w:left="118"/>
              <w:jc w:val="center"/>
            </w:pPr>
            <w:r>
              <w:t>0</w:t>
            </w:r>
          </w:p>
        </w:tc>
        <w:tc>
          <w:tcPr>
            <w:tcW w:w="1086" w:type="dxa"/>
          </w:tcPr>
          <w:p w14:paraId="1BF3AA8C" w14:textId="77777777" w:rsidR="004C2497" w:rsidRPr="00430B28" w:rsidRDefault="004C2497" w:rsidP="00873AF3">
            <w:pPr>
              <w:pStyle w:val="COMTabletext"/>
              <w:ind w:left="118"/>
              <w:jc w:val="center"/>
            </w:pPr>
            <w:r>
              <w:t>0</w:t>
            </w:r>
          </w:p>
        </w:tc>
      </w:tr>
      <w:tr w:rsidR="004C2497" w:rsidRPr="002A6421" w14:paraId="3F23C570" w14:textId="77777777">
        <w:tc>
          <w:tcPr>
            <w:tcW w:w="9017" w:type="dxa"/>
            <w:gridSpan w:val="8"/>
            <w:tcMar>
              <w:left w:w="57" w:type="dxa"/>
              <w:right w:w="57" w:type="dxa"/>
            </w:tcMar>
            <w:hideMark/>
          </w:tcPr>
          <w:p w14:paraId="2735344A" w14:textId="77777777" w:rsidR="004C2497" w:rsidRPr="00E12D79" w:rsidRDefault="004C2497" w:rsidP="00873AF3">
            <w:pPr>
              <w:pStyle w:val="COMTabletext"/>
              <w:ind w:left="118"/>
              <w:rPr>
                <w:b/>
                <w:bCs w:val="0"/>
              </w:rPr>
            </w:pPr>
            <w:r w:rsidRPr="00E12D79">
              <w:rPr>
                <w:b/>
                <w:bCs w:val="0"/>
              </w:rPr>
              <w:t>Most common adverse events (reported in at least 2 trials)</w:t>
            </w:r>
          </w:p>
        </w:tc>
      </w:tr>
      <w:tr w:rsidR="004C2497" w:rsidRPr="002A6421" w14:paraId="78A4C52C" w14:textId="77777777">
        <w:tc>
          <w:tcPr>
            <w:tcW w:w="1838" w:type="dxa"/>
            <w:tcMar>
              <w:left w:w="57" w:type="dxa"/>
              <w:right w:w="57" w:type="dxa"/>
            </w:tcMar>
          </w:tcPr>
          <w:p w14:paraId="5A5A2943" w14:textId="77777777" w:rsidR="004C2497" w:rsidRPr="00430B28" w:rsidRDefault="004C2497" w:rsidP="00873AF3">
            <w:pPr>
              <w:pStyle w:val="COMTabletext"/>
              <w:ind w:left="222"/>
            </w:pPr>
            <w:r w:rsidRPr="00430B28">
              <w:t>Headache</w:t>
            </w:r>
          </w:p>
        </w:tc>
        <w:tc>
          <w:tcPr>
            <w:tcW w:w="945" w:type="dxa"/>
          </w:tcPr>
          <w:p w14:paraId="4FEDC56F" w14:textId="77777777" w:rsidR="004C2497" w:rsidRDefault="004C2497" w:rsidP="00873AF3">
            <w:pPr>
              <w:pStyle w:val="COMTabletext"/>
              <w:ind w:left="118"/>
              <w:jc w:val="center"/>
            </w:pPr>
            <w:r>
              <w:t>29 (45%)</w:t>
            </w:r>
          </w:p>
        </w:tc>
        <w:tc>
          <w:tcPr>
            <w:tcW w:w="945" w:type="dxa"/>
          </w:tcPr>
          <w:p w14:paraId="6FBC01D9" w14:textId="77777777" w:rsidR="004C2497" w:rsidRDefault="004C2497" w:rsidP="00873AF3">
            <w:pPr>
              <w:pStyle w:val="COMTabletext"/>
              <w:ind w:left="118"/>
              <w:jc w:val="center"/>
            </w:pPr>
            <w:r>
              <w:t>26 (38%)</w:t>
            </w:r>
          </w:p>
        </w:tc>
        <w:tc>
          <w:tcPr>
            <w:tcW w:w="945" w:type="dxa"/>
          </w:tcPr>
          <w:p w14:paraId="1A9FC976" w14:textId="77777777" w:rsidR="004C2497" w:rsidRDefault="004C2497" w:rsidP="00873AF3">
            <w:pPr>
              <w:pStyle w:val="COMTabletext"/>
              <w:ind w:left="118"/>
              <w:jc w:val="center"/>
            </w:pPr>
            <w:r>
              <w:t>13 (19%)</w:t>
            </w:r>
          </w:p>
        </w:tc>
        <w:tc>
          <w:tcPr>
            <w:tcW w:w="1134" w:type="dxa"/>
            <w:tcMar>
              <w:left w:w="57" w:type="dxa"/>
              <w:right w:w="57" w:type="dxa"/>
            </w:tcMar>
            <w:vAlign w:val="center"/>
          </w:tcPr>
          <w:p w14:paraId="7F006F6F" w14:textId="77777777" w:rsidR="004C2497" w:rsidRPr="00430B28" w:rsidRDefault="004C2497" w:rsidP="00873AF3">
            <w:pPr>
              <w:pStyle w:val="COMTabletext"/>
              <w:ind w:left="118"/>
              <w:jc w:val="center"/>
            </w:pPr>
            <w:r w:rsidRPr="00430B28">
              <w:t>24 (29</w:t>
            </w:r>
            <w:r>
              <w:t>%</w:t>
            </w:r>
            <w:r w:rsidRPr="00430B28">
              <w:t>)</w:t>
            </w:r>
          </w:p>
        </w:tc>
        <w:tc>
          <w:tcPr>
            <w:tcW w:w="1038" w:type="dxa"/>
            <w:tcMar>
              <w:left w:w="57" w:type="dxa"/>
              <w:right w:w="57" w:type="dxa"/>
            </w:tcMar>
            <w:vAlign w:val="center"/>
          </w:tcPr>
          <w:p w14:paraId="4EBFDEAC" w14:textId="77777777" w:rsidR="004C2497" w:rsidRPr="00430B28" w:rsidRDefault="004C2497" w:rsidP="00873AF3">
            <w:pPr>
              <w:pStyle w:val="COMTabletext"/>
              <w:ind w:left="118"/>
              <w:jc w:val="center"/>
            </w:pPr>
            <w:r w:rsidRPr="00430B28">
              <w:t>23 (28</w:t>
            </w:r>
            <w:r>
              <w:t>%</w:t>
            </w:r>
            <w:r w:rsidRPr="00430B28">
              <w:t>)</w:t>
            </w:r>
          </w:p>
        </w:tc>
        <w:tc>
          <w:tcPr>
            <w:tcW w:w="1086" w:type="dxa"/>
          </w:tcPr>
          <w:p w14:paraId="31CE554F" w14:textId="77777777" w:rsidR="004C2497" w:rsidRDefault="004C2497" w:rsidP="00873AF3">
            <w:pPr>
              <w:pStyle w:val="COMTabletext"/>
              <w:ind w:left="118"/>
              <w:jc w:val="center"/>
            </w:pPr>
            <w:r>
              <w:t>4 (33%)</w:t>
            </w:r>
          </w:p>
        </w:tc>
        <w:tc>
          <w:tcPr>
            <w:tcW w:w="1086" w:type="dxa"/>
          </w:tcPr>
          <w:p w14:paraId="53AB95F5" w14:textId="77777777" w:rsidR="004C2497" w:rsidRDefault="004C2497" w:rsidP="00873AF3">
            <w:pPr>
              <w:pStyle w:val="COMTabletext"/>
              <w:ind w:left="118"/>
              <w:jc w:val="center"/>
            </w:pPr>
            <w:r>
              <w:t>3 (24%)</w:t>
            </w:r>
          </w:p>
        </w:tc>
      </w:tr>
      <w:tr w:rsidR="004C2497" w:rsidRPr="002A6421" w14:paraId="21ED7DCD" w14:textId="77777777">
        <w:tc>
          <w:tcPr>
            <w:tcW w:w="1838" w:type="dxa"/>
            <w:tcMar>
              <w:left w:w="57" w:type="dxa"/>
              <w:right w:w="57" w:type="dxa"/>
            </w:tcMar>
          </w:tcPr>
          <w:p w14:paraId="642D1BC6" w14:textId="77777777" w:rsidR="004C2497" w:rsidRPr="00430B28" w:rsidRDefault="004C2497" w:rsidP="00873AF3">
            <w:pPr>
              <w:pStyle w:val="COMTabletext"/>
              <w:ind w:left="222"/>
            </w:pPr>
            <w:r w:rsidRPr="00430B28">
              <w:t>Nasopharyngitis</w:t>
            </w:r>
          </w:p>
        </w:tc>
        <w:tc>
          <w:tcPr>
            <w:tcW w:w="945" w:type="dxa"/>
          </w:tcPr>
          <w:p w14:paraId="318F5F43" w14:textId="77777777" w:rsidR="004C2497" w:rsidRDefault="004C2497" w:rsidP="00873AF3">
            <w:pPr>
              <w:pStyle w:val="COMTabletext"/>
              <w:ind w:left="118"/>
              <w:jc w:val="center"/>
            </w:pPr>
            <w:r>
              <w:t>1 (2%)</w:t>
            </w:r>
          </w:p>
        </w:tc>
        <w:tc>
          <w:tcPr>
            <w:tcW w:w="945" w:type="dxa"/>
          </w:tcPr>
          <w:p w14:paraId="64464921" w14:textId="77777777" w:rsidR="004C2497" w:rsidRDefault="004C2497" w:rsidP="00873AF3">
            <w:pPr>
              <w:pStyle w:val="COMTabletext"/>
              <w:ind w:left="118"/>
              <w:jc w:val="center"/>
            </w:pPr>
            <w:r>
              <w:t>5 (7%)</w:t>
            </w:r>
          </w:p>
        </w:tc>
        <w:tc>
          <w:tcPr>
            <w:tcW w:w="945" w:type="dxa"/>
          </w:tcPr>
          <w:p w14:paraId="7770753D" w14:textId="77777777" w:rsidR="004C2497" w:rsidRDefault="004C2497" w:rsidP="00873AF3">
            <w:pPr>
              <w:pStyle w:val="COMTabletext"/>
              <w:ind w:left="118"/>
              <w:jc w:val="center"/>
            </w:pPr>
            <w:r>
              <w:t>3 (4%)</w:t>
            </w:r>
          </w:p>
        </w:tc>
        <w:tc>
          <w:tcPr>
            <w:tcW w:w="1134" w:type="dxa"/>
            <w:tcMar>
              <w:left w:w="57" w:type="dxa"/>
              <w:right w:w="57" w:type="dxa"/>
            </w:tcMar>
            <w:vAlign w:val="center"/>
          </w:tcPr>
          <w:p w14:paraId="304EA7D6" w14:textId="77777777" w:rsidR="004C2497" w:rsidRPr="00430B28" w:rsidRDefault="004C2497" w:rsidP="00873AF3">
            <w:pPr>
              <w:pStyle w:val="COMTabletext"/>
              <w:ind w:left="118"/>
              <w:jc w:val="center"/>
            </w:pPr>
            <w:r w:rsidRPr="00430B28">
              <w:t>10 (12</w:t>
            </w:r>
            <w:r>
              <w:t>%</w:t>
            </w:r>
            <w:r w:rsidRPr="00430B28">
              <w:t>)</w:t>
            </w:r>
          </w:p>
        </w:tc>
        <w:tc>
          <w:tcPr>
            <w:tcW w:w="1038" w:type="dxa"/>
            <w:tcMar>
              <w:left w:w="57" w:type="dxa"/>
              <w:right w:w="57" w:type="dxa"/>
            </w:tcMar>
            <w:vAlign w:val="center"/>
          </w:tcPr>
          <w:p w14:paraId="54898E30" w14:textId="77777777" w:rsidR="004C2497" w:rsidRPr="00430B28" w:rsidRDefault="004C2497" w:rsidP="00873AF3">
            <w:pPr>
              <w:pStyle w:val="COMTabletext"/>
              <w:ind w:left="118"/>
              <w:jc w:val="center"/>
            </w:pPr>
            <w:r w:rsidRPr="00430B28">
              <w:t>15 (18</w:t>
            </w:r>
            <w:r>
              <w:t>%</w:t>
            </w:r>
            <w:r w:rsidRPr="00430B28">
              <w:t>)</w:t>
            </w:r>
          </w:p>
        </w:tc>
        <w:tc>
          <w:tcPr>
            <w:tcW w:w="1086" w:type="dxa"/>
          </w:tcPr>
          <w:p w14:paraId="3C20B249" w14:textId="77777777" w:rsidR="004C2497" w:rsidRDefault="004C2497" w:rsidP="00873AF3">
            <w:pPr>
              <w:pStyle w:val="COMTabletext"/>
              <w:ind w:left="118"/>
              <w:jc w:val="center"/>
            </w:pPr>
            <w:r>
              <w:t>NR</w:t>
            </w:r>
          </w:p>
        </w:tc>
        <w:tc>
          <w:tcPr>
            <w:tcW w:w="1086" w:type="dxa"/>
          </w:tcPr>
          <w:p w14:paraId="4D64751B" w14:textId="77777777" w:rsidR="004C2497" w:rsidRDefault="004C2497" w:rsidP="00873AF3">
            <w:pPr>
              <w:pStyle w:val="COMTabletext"/>
              <w:ind w:left="118"/>
              <w:jc w:val="center"/>
            </w:pPr>
            <w:r>
              <w:t>NR</w:t>
            </w:r>
          </w:p>
        </w:tc>
      </w:tr>
      <w:tr w:rsidR="004C2497" w:rsidRPr="002A6421" w14:paraId="3478A66A" w14:textId="77777777">
        <w:tc>
          <w:tcPr>
            <w:tcW w:w="1838" w:type="dxa"/>
            <w:tcMar>
              <w:left w:w="57" w:type="dxa"/>
              <w:right w:w="57" w:type="dxa"/>
            </w:tcMar>
          </w:tcPr>
          <w:p w14:paraId="2EFFF804" w14:textId="77777777" w:rsidR="004C2497" w:rsidRPr="00430B28" w:rsidRDefault="004C2497" w:rsidP="00873AF3">
            <w:pPr>
              <w:pStyle w:val="COMTabletext"/>
              <w:ind w:left="222"/>
            </w:pPr>
            <w:r w:rsidRPr="00430B28">
              <w:t>Nausea</w:t>
            </w:r>
          </w:p>
        </w:tc>
        <w:tc>
          <w:tcPr>
            <w:tcW w:w="945" w:type="dxa"/>
          </w:tcPr>
          <w:p w14:paraId="2CDA836D" w14:textId="77777777" w:rsidR="004C2497" w:rsidRDefault="004C2497" w:rsidP="00873AF3">
            <w:pPr>
              <w:pStyle w:val="COMTabletext"/>
              <w:ind w:left="118"/>
              <w:jc w:val="center"/>
            </w:pPr>
            <w:r>
              <w:t>5 (8%)</w:t>
            </w:r>
          </w:p>
        </w:tc>
        <w:tc>
          <w:tcPr>
            <w:tcW w:w="945" w:type="dxa"/>
          </w:tcPr>
          <w:p w14:paraId="55F0BB7F" w14:textId="77777777" w:rsidR="004C2497" w:rsidRDefault="004C2497" w:rsidP="00873AF3">
            <w:pPr>
              <w:pStyle w:val="COMTabletext"/>
              <w:ind w:left="118"/>
              <w:jc w:val="center"/>
            </w:pPr>
            <w:r>
              <w:t>8 (12%)</w:t>
            </w:r>
          </w:p>
        </w:tc>
        <w:tc>
          <w:tcPr>
            <w:tcW w:w="945" w:type="dxa"/>
          </w:tcPr>
          <w:p w14:paraId="0F55DB3F" w14:textId="77777777" w:rsidR="004C2497" w:rsidRDefault="004C2497" w:rsidP="00873AF3">
            <w:pPr>
              <w:pStyle w:val="COMTabletext"/>
              <w:ind w:left="118"/>
              <w:jc w:val="center"/>
            </w:pPr>
            <w:r>
              <w:t>5 (7%)</w:t>
            </w:r>
          </w:p>
        </w:tc>
        <w:tc>
          <w:tcPr>
            <w:tcW w:w="1134" w:type="dxa"/>
            <w:tcMar>
              <w:left w:w="57" w:type="dxa"/>
              <w:right w:w="57" w:type="dxa"/>
            </w:tcMar>
            <w:vAlign w:val="center"/>
          </w:tcPr>
          <w:p w14:paraId="6BC8A6C6" w14:textId="77777777" w:rsidR="004C2497" w:rsidRPr="00430B28" w:rsidRDefault="004C2497" w:rsidP="00873AF3">
            <w:pPr>
              <w:pStyle w:val="COMTabletext"/>
              <w:ind w:left="118"/>
              <w:jc w:val="center"/>
            </w:pPr>
            <w:r w:rsidRPr="00430B28">
              <w:t>7 (8</w:t>
            </w:r>
            <w:r>
              <w:t>%</w:t>
            </w:r>
            <w:r w:rsidRPr="00430B28">
              <w:t>)</w:t>
            </w:r>
          </w:p>
        </w:tc>
        <w:tc>
          <w:tcPr>
            <w:tcW w:w="1038" w:type="dxa"/>
            <w:tcMar>
              <w:left w:w="57" w:type="dxa"/>
              <w:right w:w="57" w:type="dxa"/>
            </w:tcMar>
            <w:vAlign w:val="center"/>
          </w:tcPr>
          <w:p w14:paraId="0BB2DE30" w14:textId="77777777" w:rsidR="004C2497" w:rsidRPr="00430B28" w:rsidRDefault="004C2497" w:rsidP="00873AF3">
            <w:pPr>
              <w:pStyle w:val="COMTabletext"/>
              <w:ind w:left="118"/>
              <w:jc w:val="center"/>
            </w:pPr>
            <w:r w:rsidRPr="00430B28">
              <w:t>9 (11</w:t>
            </w:r>
            <w:r>
              <w:t>%</w:t>
            </w:r>
            <w:r w:rsidRPr="00430B28">
              <w:t>)</w:t>
            </w:r>
          </w:p>
        </w:tc>
        <w:tc>
          <w:tcPr>
            <w:tcW w:w="1086" w:type="dxa"/>
          </w:tcPr>
          <w:p w14:paraId="68028C69" w14:textId="77777777" w:rsidR="004C2497" w:rsidRDefault="004C2497" w:rsidP="00873AF3">
            <w:pPr>
              <w:pStyle w:val="COMTabletext"/>
              <w:ind w:left="118"/>
              <w:jc w:val="center"/>
            </w:pPr>
            <w:r>
              <w:t>1 (8%)</w:t>
            </w:r>
          </w:p>
        </w:tc>
        <w:tc>
          <w:tcPr>
            <w:tcW w:w="1086" w:type="dxa"/>
          </w:tcPr>
          <w:p w14:paraId="44D18218" w14:textId="77777777" w:rsidR="004C2497" w:rsidRDefault="004C2497" w:rsidP="00873AF3">
            <w:pPr>
              <w:pStyle w:val="COMTabletext"/>
              <w:ind w:left="118"/>
              <w:jc w:val="center"/>
            </w:pPr>
            <w:r>
              <w:t>1 (8%)</w:t>
            </w:r>
          </w:p>
        </w:tc>
      </w:tr>
      <w:tr w:rsidR="004C2497" w:rsidRPr="002A6421" w14:paraId="748E018B" w14:textId="77777777">
        <w:tc>
          <w:tcPr>
            <w:tcW w:w="1838" w:type="dxa"/>
            <w:tcMar>
              <w:left w:w="57" w:type="dxa"/>
              <w:right w:w="57" w:type="dxa"/>
            </w:tcMar>
          </w:tcPr>
          <w:p w14:paraId="1395063B" w14:textId="77777777" w:rsidR="004C2497" w:rsidRPr="00430B28" w:rsidRDefault="004C2497" w:rsidP="00873AF3">
            <w:pPr>
              <w:pStyle w:val="COMTabletext"/>
              <w:ind w:left="222"/>
            </w:pPr>
            <w:r w:rsidRPr="00430B28">
              <w:t>Diarrhoea</w:t>
            </w:r>
          </w:p>
        </w:tc>
        <w:tc>
          <w:tcPr>
            <w:tcW w:w="945" w:type="dxa"/>
          </w:tcPr>
          <w:p w14:paraId="571CB11E" w14:textId="77777777" w:rsidR="004C2497" w:rsidRDefault="004C2497" w:rsidP="00873AF3">
            <w:pPr>
              <w:pStyle w:val="COMTabletext"/>
              <w:ind w:left="118"/>
              <w:jc w:val="center"/>
            </w:pPr>
            <w:r>
              <w:t>16 (25%)</w:t>
            </w:r>
          </w:p>
        </w:tc>
        <w:tc>
          <w:tcPr>
            <w:tcW w:w="945" w:type="dxa"/>
          </w:tcPr>
          <w:p w14:paraId="02C3A1C5" w14:textId="77777777" w:rsidR="004C2497" w:rsidRDefault="004C2497" w:rsidP="00873AF3">
            <w:pPr>
              <w:pStyle w:val="COMTabletext"/>
              <w:ind w:left="118"/>
              <w:jc w:val="center"/>
            </w:pPr>
            <w:r>
              <w:t>11 (16%)</w:t>
            </w:r>
          </w:p>
        </w:tc>
        <w:tc>
          <w:tcPr>
            <w:tcW w:w="945" w:type="dxa"/>
          </w:tcPr>
          <w:p w14:paraId="2621BC30" w14:textId="77777777" w:rsidR="004C2497" w:rsidRDefault="004C2497" w:rsidP="00873AF3">
            <w:pPr>
              <w:pStyle w:val="COMTabletext"/>
              <w:ind w:left="118"/>
              <w:jc w:val="center"/>
            </w:pPr>
            <w:r>
              <w:t>9 (13%)</w:t>
            </w:r>
          </w:p>
        </w:tc>
        <w:tc>
          <w:tcPr>
            <w:tcW w:w="1134" w:type="dxa"/>
            <w:tcMar>
              <w:left w:w="57" w:type="dxa"/>
              <w:right w:w="57" w:type="dxa"/>
            </w:tcMar>
            <w:vAlign w:val="center"/>
          </w:tcPr>
          <w:p w14:paraId="773D4B10" w14:textId="77777777" w:rsidR="004C2497" w:rsidRPr="00430B28" w:rsidRDefault="004C2497" w:rsidP="00873AF3">
            <w:pPr>
              <w:pStyle w:val="COMTabletext"/>
              <w:ind w:left="118"/>
              <w:jc w:val="center"/>
            </w:pPr>
            <w:r w:rsidRPr="00430B28">
              <w:t>6 (7</w:t>
            </w:r>
            <w:r>
              <w:t>%</w:t>
            </w:r>
            <w:r w:rsidRPr="00430B28">
              <w:t>)</w:t>
            </w:r>
          </w:p>
        </w:tc>
        <w:tc>
          <w:tcPr>
            <w:tcW w:w="1038" w:type="dxa"/>
            <w:tcMar>
              <w:left w:w="57" w:type="dxa"/>
              <w:right w:w="57" w:type="dxa"/>
            </w:tcMar>
            <w:vAlign w:val="center"/>
          </w:tcPr>
          <w:p w14:paraId="05759C8D" w14:textId="77777777" w:rsidR="004C2497" w:rsidRPr="00430B28" w:rsidRDefault="004C2497" w:rsidP="00873AF3">
            <w:pPr>
              <w:pStyle w:val="COMTabletext"/>
              <w:ind w:left="118"/>
              <w:jc w:val="center"/>
            </w:pPr>
            <w:r w:rsidRPr="00430B28">
              <w:t>9 (11</w:t>
            </w:r>
            <w:r>
              <w:t>%</w:t>
            </w:r>
            <w:r w:rsidRPr="00430B28">
              <w:t>)</w:t>
            </w:r>
          </w:p>
        </w:tc>
        <w:tc>
          <w:tcPr>
            <w:tcW w:w="1086" w:type="dxa"/>
          </w:tcPr>
          <w:p w14:paraId="0C038AE4" w14:textId="77777777" w:rsidR="004C2497" w:rsidRDefault="004C2497" w:rsidP="00873AF3">
            <w:pPr>
              <w:pStyle w:val="COMTabletext"/>
              <w:ind w:left="118"/>
              <w:jc w:val="center"/>
            </w:pPr>
            <w:r>
              <w:t>1 (8%)</w:t>
            </w:r>
          </w:p>
        </w:tc>
        <w:tc>
          <w:tcPr>
            <w:tcW w:w="1086" w:type="dxa"/>
          </w:tcPr>
          <w:p w14:paraId="7EF4131B" w14:textId="77777777" w:rsidR="004C2497" w:rsidRDefault="004C2497" w:rsidP="00873AF3">
            <w:pPr>
              <w:pStyle w:val="COMTabletext"/>
              <w:ind w:left="118"/>
              <w:jc w:val="center"/>
            </w:pPr>
            <w:r>
              <w:t>1 (8%)</w:t>
            </w:r>
          </w:p>
        </w:tc>
      </w:tr>
      <w:tr w:rsidR="004C2497" w:rsidRPr="002A6421" w14:paraId="4E164C17" w14:textId="77777777">
        <w:tc>
          <w:tcPr>
            <w:tcW w:w="1838" w:type="dxa"/>
            <w:tcMar>
              <w:left w:w="57" w:type="dxa"/>
              <w:right w:w="57" w:type="dxa"/>
            </w:tcMar>
          </w:tcPr>
          <w:p w14:paraId="06DE32C0" w14:textId="77777777" w:rsidR="004C2497" w:rsidRPr="00430B28" w:rsidRDefault="004C2497" w:rsidP="00873AF3">
            <w:pPr>
              <w:pStyle w:val="COMTabletext"/>
              <w:ind w:left="222"/>
            </w:pPr>
            <w:r w:rsidRPr="00430B28">
              <w:t>U</w:t>
            </w:r>
            <w:r>
              <w:t>pper respiratory tract infection</w:t>
            </w:r>
          </w:p>
        </w:tc>
        <w:tc>
          <w:tcPr>
            <w:tcW w:w="945" w:type="dxa"/>
            <w:vAlign w:val="center"/>
          </w:tcPr>
          <w:p w14:paraId="154DAFF7" w14:textId="77777777" w:rsidR="004C2497" w:rsidRDefault="004C2497" w:rsidP="00873AF3">
            <w:pPr>
              <w:pStyle w:val="COMTabletext"/>
              <w:ind w:left="118"/>
              <w:jc w:val="center"/>
            </w:pPr>
            <w:r>
              <w:t>2 (3%)</w:t>
            </w:r>
          </w:p>
        </w:tc>
        <w:tc>
          <w:tcPr>
            <w:tcW w:w="945" w:type="dxa"/>
            <w:vAlign w:val="center"/>
          </w:tcPr>
          <w:p w14:paraId="606463C1" w14:textId="77777777" w:rsidR="004C2497" w:rsidRDefault="004C2497" w:rsidP="00873AF3">
            <w:pPr>
              <w:pStyle w:val="COMTabletext"/>
              <w:ind w:left="118"/>
              <w:jc w:val="center"/>
            </w:pPr>
            <w:r>
              <w:t>1 (1%)</w:t>
            </w:r>
          </w:p>
        </w:tc>
        <w:tc>
          <w:tcPr>
            <w:tcW w:w="945" w:type="dxa"/>
            <w:vAlign w:val="center"/>
          </w:tcPr>
          <w:p w14:paraId="0653D8D4" w14:textId="77777777" w:rsidR="004C2497" w:rsidRDefault="004C2497" w:rsidP="00873AF3">
            <w:pPr>
              <w:pStyle w:val="COMTabletext"/>
              <w:ind w:left="118"/>
              <w:jc w:val="center"/>
            </w:pPr>
            <w:r>
              <w:t>1 (1%)</w:t>
            </w:r>
          </w:p>
        </w:tc>
        <w:tc>
          <w:tcPr>
            <w:tcW w:w="1134" w:type="dxa"/>
            <w:tcMar>
              <w:left w:w="57" w:type="dxa"/>
              <w:right w:w="57" w:type="dxa"/>
            </w:tcMar>
            <w:vAlign w:val="center"/>
          </w:tcPr>
          <w:p w14:paraId="59B1FE34" w14:textId="77777777" w:rsidR="004C2497" w:rsidRPr="00430B28" w:rsidRDefault="004C2497" w:rsidP="00873AF3">
            <w:pPr>
              <w:pStyle w:val="COMTabletext"/>
              <w:ind w:left="118"/>
              <w:jc w:val="center"/>
            </w:pPr>
            <w:r w:rsidRPr="00430B28">
              <w:t>9 (11</w:t>
            </w:r>
            <w:r>
              <w:t>%)</w:t>
            </w:r>
          </w:p>
        </w:tc>
        <w:tc>
          <w:tcPr>
            <w:tcW w:w="1038" w:type="dxa"/>
            <w:tcMar>
              <w:left w:w="57" w:type="dxa"/>
              <w:right w:w="57" w:type="dxa"/>
            </w:tcMar>
            <w:vAlign w:val="center"/>
          </w:tcPr>
          <w:p w14:paraId="1C71EBC8" w14:textId="77777777" w:rsidR="004C2497" w:rsidRPr="00430B28" w:rsidRDefault="004C2497" w:rsidP="00873AF3">
            <w:pPr>
              <w:pStyle w:val="COMTabletext"/>
              <w:ind w:left="118"/>
              <w:jc w:val="center"/>
            </w:pPr>
            <w:r w:rsidRPr="00430B28">
              <w:t>4 (5</w:t>
            </w:r>
            <w:r>
              <w:t>%</w:t>
            </w:r>
            <w:r w:rsidRPr="00430B28">
              <w:t>)</w:t>
            </w:r>
          </w:p>
        </w:tc>
        <w:tc>
          <w:tcPr>
            <w:tcW w:w="1086" w:type="dxa"/>
            <w:vAlign w:val="center"/>
          </w:tcPr>
          <w:p w14:paraId="596F17CB" w14:textId="77777777" w:rsidR="004C2497" w:rsidRDefault="004C2497" w:rsidP="00873AF3">
            <w:pPr>
              <w:pStyle w:val="COMTabletext"/>
              <w:ind w:left="118"/>
              <w:jc w:val="center"/>
            </w:pPr>
            <w:r>
              <w:t>NR</w:t>
            </w:r>
          </w:p>
        </w:tc>
        <w:tc>
          <w:tcPr>
            <w:tcW w:w="1086" w:type="dxa"/>
            <w:vAlign w:val="center"/>
          </w:tcPr>
          <w:p w14:paraId="15F0B32C" w14:textId="77777777" w:rsidR="004C2497" w:rsidRDefault="004C2497" w:rsidP="00873AF3">
            <w:pPr>
              <w:pStyle w:val="COMTabletext"/>
              <w:ind w:left="118"/>
              <w:jc w:val="center"/>
            </w:pPr>
            <w:r>
              <w:t>NR</w:t>
            </w:r>
          </w:p>
        </w:tc>
      </w:tr>
      <w:tr w:rsidR="004C2497" w:rsidRPr="002A6421" w14:paraId="5194A3C1" w14:textId="77777777">
        <w:tc>
          <w:tcPr>
            <w:tcW w:w="1838" w:type="dxa"/>
            <w:tcMar>
              <w:left w:w="57" w:type="dxa"/>
              <w:right w:w="57" w:type="dxa"/>
            </w:tcMar>
          </w:tcPr>
          <w:p w14:paraId="4871F588" w14:textId="77777777" w:rsidR="004C2497" w:rsidRPr="00430B28" w:rsidRDefault="004C2497" w:rsidP="00873AF3">
            <w:pPr>
              <w:pStyle w:val="COMTabletext"/>
              <w:ind w:left="222"/>
            </w:pPr>
            <w:r w:rsidRPr="00430B28">
              <w:t>Urinary tract infection</w:t>
            </w:r>
          </w:p>
        </w:tc>
        <w:tc>
          <w:tcPr>
            <w:tcW w:w="945" w:type="dxa"/>
          </w:tcPr>
          <w:p w14:paraId="56E540D1" w14:textId="77777777" w:rsidR="004C2497" w:rsidRDefault="004C2497" w:rsidP="00873AF3">
            <w:pPr>
              <w:pStyle w:val="COMTabletext"/>
              <w:ind w:left="118"/>
              <w:jc w:val="center"/>
            </w:pPr>
            <w:r>
              <w:t>2 (3%)</w:t>
            </w:r>
          </w:p>
        </w:tc>
        <w:tc>
          <w:tcPr>
            <w:tcW w:w="945" w:type="dxa"/>
          </w:tcPr>
          <w:p w14:paraId="33F466AC" w14:textId="77777777" w:rsidR="004C2497" w:rsidRDefault="004C2497" w:rsidP="00873AF3">
            <w:pPr>
              <w:pStyle w:val="COMTabletext"/>
              <w:ind w:left="118"/>
              <w:jc w:val="center"/>
            </w:pPr>
            <w:r>
              <w:t>2 (3%)</w:t>
            </w:r>
          </w:p>
        </w:tc>
        <w:tc>
          <w:tcPr>
            <w:tcW w:w="945" w:type="dxa"/>
          </w:tcPr>
          <w:p w14:paraId="421398AB" w14:textId="77777777" w:rsidR="004C2497" w:rsidRDefault="004C2497" w:rsidP="00873AF3">
            <w:pPr>
              <w:pStyle w:val="COMTabletext"/>
              <w:ind w:left="118"/>
              <w:jc w:val="center"/>
            </w:pPr>
            <w:r>
              <w:t>4 (6%)</w:t>
            </w:r>
          </w:p>
        </w:tc>
        <w:tc>
          <w:tcPr>
            <w:tcW w:w="1134" w:type="dxa"/>
            <w:tcMar>
              <w:left w:w="57" w:type="dxa"/>
              <w:right w:w="57" w:type="dxa"/>
            </w:tcMar>
            <w:vAlign w:val="center"/>
          </w:tcPr>
          <w:p w14:paraId="04D4BD34" w14:textId="77777777" w:rsidR="004C2497" w:rsidRPr="00430B28" w:rsidRDefault="004C2497" w:rsidP="00873AF3">
            <w:pPr>
              <w:pStyle w:val="COMTabletext"/>
              <w:ind w:left="118"/>
              <w:jc w:val="center"/>
            </w:pPr>
            <w:r w:rsidRPr="00430B28">
              <w:t>8 (10</w:t>
            </w:r>
            <w:r>
              <w:t>%</w:t>
            </w:r>
            <w:r w:rsidRPr="00430B28">
              <w:t>)</w:t>
            </w:r>
          </w:p>
        </w:tc>
        <w:tc>
          <w:tcPr>
            <w:tcW w:w="1038" w:type="dxa"/>
            <w:tcMar>
              <w:left w:w="57" w:type="dxa"/>
              <w:right w:w="57" w:type="dxa"/>
            </w:tcMar>
            <w:vAlign w:val="center"/>
          </w:tcPr>
          <w:p w14:paraId="706B28A3" w14:textId="77777777" w:rsidR="004C2497" w:rsidRPr="00430B28" w:rsidRDefault="004C2497" w:rsidP="00873AF3">
            <w:pPr>
              <w:pStyle w:val="COMTabletext"/>
              <w:ind w:left="118"/>
              <w:jc w:val="center"/>
            </w:pPr>
            <w:r w:rsidRPr="00430B28">
              <w:t>4 (5</w:t>
            </w:r>
            <w:r>
              <w:t>%</w:t>
            </w:r>
            <w:r w:rsidRPr="00430B28">
              <w:t>)</w:t>
            </w:r>
          </w:p>
        </w:tc>
        <w:tc>
          <w:tcPr>
            <w:tcW w:w="1086" w:type="dxa"/>
          </w:tcPr>
          <w:p w14:paraId="5A02F09F" w14:textId="77777777" w:rsidR="004C2497" w:rsidRDefault="004C2497" w:rsidP="00873AF3">
            <w:pPr>
              <w:pStyle w:val="COMTabletext"/>
              <w:ind w:left="118"/>
              <w:jc w:val="center"/>
            </w:pPr>
            <w:r>
              <w:t>NR</w:t>
            </w:r>
          </w:p>
        </w:tc>
        <w:tc>
          <w:tcPr>
            <w:tcW w:w="1086" w:type="dxa"/>
          </w:tcPr>
          <w:p w14:paraId="3DD5E3E5" w14:textId="77777777" w:rsidR="004C2497" w:rsidRDefault="004C2497" w:rsidP="00873AF3">
            <w:pPr>
              <w:pStyle w:val="COMTabletext"/>
              <w:ind w:left="118"/>
              <w:jc w:val="center"/>
            </w:pPr>
            <w:r>
              <w:t>NR</w:t>
            </w:r>
          </w:p>
        </w:tc>
      </w:tr>
      <w:tr w:rsidR="004C2497" w:rsidRPr="002A6421" w14:paraId="40FD91AB" w14:textId="77777777">
        <w:tc>
          <w:tcPr>
            <w:tcW w:w="1838" w:type="dxa"/>
            <w:tcMar>
              <w:left w:w="57" w:type="dxa"/>
              <w:right w:w="57" w:type="dxa"/>
            </w:tcMar>
          </w:tcPr>
          <w:p w14:paraId="4E5AFB9A" w14:textId="77777777" w:rsidR="004C2497" w:rsidRPr="00430B28" w:rsidRDefault="004C2497" w:rsidP="00873AF3">
            <w:pPr>
              <w:pStyle w:val="COMTabletext"/>
              <w:ind w:left="222"/>
            </w:pPr>
            <w:r>
              <w:t>Abdominal pain upper</w:t>
            </w:r>
          </w:p>
        </w:tc>
        <w:tc>
          <w:tcPr>
            <w:tcW w:w="945" w:type="dxa"/>
          </w:tcPr>
          <w:p w14:paraId="137330A5" w14:textId="77777777" w:rsidR="004C2497" w:rsidRDefault="004C2497" w:rsidP="00873AF3">
            <w:pPr>
              <w:pStyle w:val="COMTabletext"/>
              <w:ind w:left="118"/>
              <w:jc w:val="center"/>
            </w:pPr>
            <w:r>
              <w:t>3 (5%)</w:t>
            </w:r>
          </w:p>
        </w:tc>
        <w:tc>
          <w:tcPr>
            <w:tcW w:w="945" w:type="dxa"/>
          </w:tcPr>
          <w:p w14:paraId="451DDA6C" w14:textId="77777777" w:rsidR="004C2497" w:rsidRDefault="004C2497" w:rsidP="00873AF3">
            <w:pPr>
              <w:pStyle w:val="COMTabletext"/>
              <w:ind w:left="118"/>
              <w:jc w:val="center"/>
            </w:pPr>
            <w:r>
              <w:t>2 (3%)</w:t>
            </w:r>
          </w:p>
        </w:tc>
        <w:tc>
          <w:tcPr>
            <w:tcW w:w="945" w:type="dxa"/>
          </w:tcPr>
          <w:p w14:paraId="255128B8" w14:textId="77777777" w:rsidR="004C2497" w:rsidRDefault="004C2497" w:rsidP="00873AF3">
            <w:pPr>
              <w:pStyle w:val="COMTabletext"/>
              <w:ind w:left="118"/>
              <w:jc w:val="center"/>
            </w:pPr>
            <w:r>
              <w:t>2 (3%)</w:t>
            </w:r>
          </w:p>
        </w:tc>
        <w:tc>
          <w:tcPr>
            <w:tcW w:w="1134" w:type="dxa"/>
            <w:tcMar>
              <w:left w:w="57" w:type="dxa"/>
              <w:right w:w="57" w:type="dxa"/>
            </w:tcMar>
            <w:vAlign w:val="center"/>
          </w:tcPr>
          <w:p w14:paraId="3593D943" w14:textId="77777777" w:rsidR="004C2497" w:rsidRPr="00430B28" w:rsidRDefault="004C2497" w:rsidP="00873AF3">
            <w:pPr>
              <w:pStyle w:val="COMTabletext"/>
              <w:ind w:left="118"/>
              <w:jc w:val="center"/>
            </w:pPr>
            <w:r>
              <w:t>NR</w:t>
            </w:r>
          </w:p>
        </w:tc>
        <w:tc>
          <w:tcPr>
            <w:tcW w:w="1038" w:type="dxa"/>
            <w:tcMar>
              <w:left w:w="57" w:type="dxa"/>
              <w:right w:w="57" w:type="dxa"/>
            </w:tcMar>
            <w:vAlign w:val="center"/>
          </w:tcPr>
          <w:p w14:paraId="04029E95" w14:textId="77777777" w:rsidR="004C2497" w:rsidRPr="00430B28" w:rsidRDefault="004C2497" w:rsidP="00873AF3">
            <w:pPr>
              <w:pStyle w:val="COMTabletext"/>
              <w:ind w:left="118"/>
              <w:jc w:val="center"/>
            </w:pPr>
            <w:r>
              <w:t>NR</w:t>
            </w:r>
          </w:p>
        </w:tc>
        <w:tc>
          <w:tcPr>
            <w:tcW w:w="1086" w:type="dxa"/>
          </w:tcPr>
          <w:p w14:paraId="738A794A" w14:textId="77777777" w:rsidR="004C2497" w:rsidRDefault="004C2497" w:rsidP="00873AF3">
            <w:pPr>
              <w:pStyle w:val="COMTabletext"/>
              <w:ind w:left="118"/>
              <w:jc w:val="center"/>
            </w:pPr>
            <w:r>
              <w:t>1 (8%)</w:t>
            </w:r>
          </w:p>
        </w:tc>
        <w:tc>
          <w:tcPr>
            <w:tcW w:w="1086" w:type="dxa"/>
          </w:tcPr>
          <w:p w14:paraId="225C10CF" w14:textId="77777777" w:rsidR="004C2497" w:rsidRDefault="004C2497" w:rsidP="00873AF3">
            <w:pPr>
              <w:pStyle w:val="COMTabletext"/>
              <w:ind w:left="118"/>
              <w:jc w:val="center"/>
            </w:pPr>
            <w:r>
              <w:t>1 (8%)</w:t>
            </w:r>
          </w:p>
        </w:tc>
      </w:tr>
      <w:tr w:rsidR="004C2497" w:rsidRPr="002A6421" w14:paraId="207B33AA" w14:textId="77777777">
        <w:tc>
          <w:tcPr>
            <w:tcW w:w="1838" w:type="dxa"/>
            <w:tcMar>
              <w:left w:w="57" w:type="dxa"/>
              <w:right w:w="57" w:type="dxa"/>
            </w:tcMar>
          </w:tcPr>
          <w:p w14:paraId="5ACA1700" w14:textId="77777777" w:rsidR="004C2497" w:rsidRPr="00430B28" w:rsidRDefault="004C2497" w:rsidP="00873AF3">
            <w:pPr>
              <w:pStyle w:val="COMTabletext"/>
              <w:ind w:left="222"/>
            </w:pPr>
            <w:r>
              <w:t>Arthralgia</w:t>
            </w:r>
          </w:p>
        </w:tc>
        <w:tc>
          <w:tcPr>
            <w:tcW w:w="945" w:type="dxa"/>
          </w:tcPr>
          <w:p w14:paraId="15E13897" w14:textId="77777777" w:rsidR="004C2497" w:rsidRDefault="004C2497" w:rsidP="00873AF3">
            <w:pPr>
              <w:pStyle w:val="COMTabletext"/>
              <w:ind w:left="118"/>
              <w:jc w:val="center"/>
            </w:pPr>
            <w:r>
              <w:t>4 (6%)</w:t>
            </w:r>
          </w:p>
        </w:tc>
        <w:tc>
          <w:tcPr>
            <w:tcW w:w="945" w:type="dxa"/>
          </w:tcPr>
          <w:p w14:paraId="7C44A74F" w14:textId="77777777" w:rsidR="004C2497" w:rsidRDefault="004C2497" w:rsidP="00873AF3">
            <w:pPr>
              <w:pStyle w:val="COMTabletext"/>
              <w:ind w:left="118"/>
              <w:jc w:val="center"/>
            </w:pPr>
            <w:r>
              <w:t>5 (7%)</w:t>
            </w:r>
          </w:p>
        </w:tc>
        <w:tc>
          <w:tcPr>
            <w:tcW w:w="945" w:type="dxa"/>
          </w:tcPr>
          <w:p w14:paraId="70D37337" w14:textId="77777777" w:rsidR="004C2497" w:rsidRDefault="004C2497" w:rsidP="00873AF3">
            <w:pPr>
              <w:pStyle w:val="COMTabletext"/>
              <w:ind w:left="118"/>
              <w:jc w:val="center"/>
            </w:pPr>
            <w:r>
              <w:t>2 (3%)</w:t>
            </w:r>
          </w:p>
        </w:tc>
        <w:tc>
          <w:tcPr>
            <w:tcW w:w="1134" w:type="dxa"/>
            <w:tcMar>
              <w:left w:w="57" w:type="dxa"/>
              <w:right w:w="57" w:type="dxa"/>
            </w:tcMar>
            <w:vAlign w:val="center"/>
          </w:tcPr>
          <w:p w14:paraId="7AF7E602" w14:textId="77777777" w:rsidR="004C2497" w:rsidRPr="00430B28" w:rsidRDefault="004C2497" w:rsidP="00873AF3">
            <w:pPr>
              <w:pStyle w:val="COMTabletext"/>
              <w:ind w:left="118"/>
              <w:jc w:val="center"/>
            </w:pPr>
            <w:r>
              <w:t>NR</w:t>
            </w:r>
          </w:p>
        </w:tc>
        <w:tc>
          <w:tcPr>
            <w:tcW w:w="1038" w:type="dxa"/>
            <w:tcMar>
              <w:left w:w="57" w:type="dxa"/>
              <w:right w:w="57" w:type="dxa"/>
            </w:tcMar>
            <w:vAlign w:val="center"/>
          </w:tcPr>
          <w:p w14:paraId="133FE3A0" w14:textId="77777777" w:rsidR="004C2497" w:rsidRPr="00430B28" w:rsidRDefault="004C2497" w:rsidP="00873AF3">
            <w:pPr>
              <w:pStyle w:val="COMTabletext"/>
              <w:ind w:left="118"/>
              <w:jc w:val="center"/>
            </w:pPr>
            <w:r>
              <w:t>NR</w:t>
            </w:r>
          </w:p>
        </w:tc>
        <w:tc>
          <w:tcPr>
            <w:tcW w:w="1086" w:type="dxa"/>
            <w:vAlign w:val="center"/>
          </w:tcPr>
          <w:p w14:paraId="150C1F35" w14:textId="77777777" w:rsidR="004C2497" w:rsidRDefault="004C2497" w:rsidP="00873AF3">
            <w:pPr>
              <w:pStyle w:val="COMTabletext"/>
              <w:ind w:left="118"/>
              <w:jc w:val="center"/>
            </w:pPr>
            <w:r>
              <w:t>0</w:t>
            </w:r>
          </w:p>
        </w:tc>
        <w:tc>
          <w:tcPr>
            <w:tcW w:w="1086" w:type="dxa"/>
          </w:tcPr>
          <w:p w14:paraId="0D1602EF" w14:textId="77777777" w:rsidR="004C2497" w:rsidRDefault="004C2497" w:rsidP="00873AF3">
            <w:pPr>
              <w:pStyle w:val="COMTabletext"/>
              <w:ind w:left="118"/>
              <w:jc w:val="center"/>
            </w:pPr>
            <w:r>
              <w:t>2 (17%)</w:t>
            </w:r>
          </w:p>
        </w:tc>
      </w:tr>
      <w:tr w:rsidR="004C2497" w:rsidRPr="002A6421" w14:paraId="5F72CC81" w14:textId="77777777">
        <w:tc>
          <w:tcPr>
            <w:tcW w:w="1838" w:type="dxa"/>
            <w:tcMar>
              <w:left w:w="57" w:type="dxa"/>
              <w:right w:w="57" w:type="dxa"/>
            </w:tcMar>
          </w:tcPr>
          <w:p w14:paraId="3179B403" w14:textId="77777777" w:rsidR="004C2497" w:rsidRPr="00430B28" w:rsidRDefault="004C2497" w:rsidP="00873AF3">
            <w:pPr>
              <w:pStyle w:val="COMTabletext"/>
              <w:ind w:left="222"/>
            </w:pPr>
            <w:r>
              <w:t>Myalgia</w:t>
            </w:r>
          </w:p>
        </w:tc>
        <w:tc>
          <w:tcPr>
            <w:tcW w:w="945" w:type="dxa"/>
          </w:tcPr>
          <w:p w14:paraId="24FB93DC" w14:textId="77777777" w:rsidR="004C2497" w:rsidRDefault="004C2497" w:rsidP="00873AF3">
            <w:pPr>
              <w:pStyle w:val="COMTabletext"/>
              <w:ind w:left="118"/>
              <w:jc w:val="center"/>
            </w:pPr>
            <w:r>
              <w:t>2 (3%)</w:t>
            </w:r>
          </w:p>
        </w:tc>
        <w:tc>
          <w:tcPr>
            <w:tcW w:w="945" w:type="dxa"/>
          </w:tcPr>
          <w:p w14:paraId="62641E4F" w14:textId="77777777" w:rsidR="004C2497" w:rsidRDefault="004C2497" w:rsidP="00873AF3">
            <w:pPr>
              <w:pStyle w:val="COMTabletext"/>
              <w:ind w:left="118"/>
              <w:jc w:val="center"/>
            </w:pPr>
            <w:r>
              <w:t>4 (6%)</w:t>
            </w:r>
          </w:p>
        </w:tc>
        <w:tc>
          <w:tcPr>
            <w:tcW w:w="945" w:type="dxa"/>
          </w:tcPr>
          <w:p w14:paraId="35EBB02A" w14:textId="77777777" w:rsidR="004C2497" w:rsidRDefault="004C2497" w:rsidP="00873AF3">
            <w:pPr>
              <w:pStyle w:val="COMTabletext"/>
              <w:ind w:left="118"/>
              <w:jc w:val="center"/>
            </w:pPr>
            <w:r>
              <w:t>1 (1%)</w:t>
            </w:r>
          </w:p>
        </w:tc>
        <w:tc>
          <w:tcPr>
            <w:tcW w:w="1134" w:type="dxa"/>
            <w:tcMar>
              <w:left w:w="57" w:type="dxa"/>
              <w:right w:w="57" w:type="dxa"/>
            </w:tcMar>
            <w:vAlign w:val="center"/>
          </w:tcPr>
          <w:p w14:paraId="2DD21194" w14:textId="77777777" w:rsidR="004C2497" w:rsidRPr="00430B28" w:rsidRDefault="004C2497" w:rsidP="00873AF3">
            <w:pPr>
              <w:pStyle w:val="COMTabletext"/>
              <w:ind w:left="118"/>
              <w:jc w:val="center"/>
            </w:pPr>
            <w:r>
              <w:t>NR</w:t>
            </w:r>
          </w:p>
        </w:tc>
        <w:tc>
          <w:tcPr>
            <w:tcW w:w="1038" w:type="dxa"/>
            <w:tcMar>
              <w:left w:w="57" w:type="dxa"/>
              <w:right w:w="57" w:type="dxa"/>
            </w:tcMar>
            <w:vAlign w:val="center"/>
          </w:tcPr>
          <w:p w14:paraId="6EF917D4" w14:textId="77777777" w:rsidR="004C2497" w:rsidRPr="00430B28" w:rsidRDefault="004C2497" w:rsidP="00873AF3">
            <w:pPr>
              <w:pStyle w:val="COMTabletext"/>
              <w:ind w:left="118"/>
              <w:jc w:val="center"/>
            </w:pPr>
            <w:r>
              <w:t>NR</w:t>
            </w:r>
          </w:p>
        </w:tc>
        <w:tc>
          <w:tcPr>
            <w:tcW w:w="1086" w:type="dxa"/>
          </w:tcPr>
          <w:p w14:paraId="651421A4" w14:textId="77777777" w:rsidR="004C2497" w:rsidRDefault="004C2497" w:rsidP="00873AF3">
            <w:pPr>
              <w:pStyle w:val="COMTabletext"/>
              <w:ind w:left="118"/>
              <w:jc w:val="center"/>
            </w:pPr>
            <w:r>
              <w:t>2 (17%)</w:t>
            </w:r>
          </w:p>
        </w:tc>
        <w:tc>
          <w:tcPr>
            <w:tcW w:w="1086" w:type="dxa"/>
          </w:tcPr>
          <w:p w14:paraId="505B73B5" w14:textId="77777777" w:rsidR="004C2497" w:rsidRDefault="004C2497" w:rsidP="00873AF3">
            <w:pPr>
              <w:pStyle w:val="COMTabletext"/>
              <w:ind w:left="118"/>
              <w:jc w:val="center"/>
            </w:pPr>
            <w:r>
              <w:t>0</w:t>
            </w:r>
          </w:p>
        </w:tc>
      </w:tr>
    </w:tbl>
    <w:p w14:paraId="521C6454" w14:textId="77777777" w:rsidR="004C2497" w:rsidRDefault="004C2497" w:rsidP="00873AF3">
      <w:pPr>
        <w:pStyle w:val="COMTablefooter"/>
      </w:pPr>
      <w:r>
        <w:t>Source: Table 2.5-10, pp12-113 of the submission; Table 2.5.3, p46 and Table 2.5.4, p48 of Appendix 10 of the submission</w:t>
      </w:r>
    </w:p>
    <w:p w14:paraId="2641C0D6" w14:textId="240724E6" w:rsidR="004C2497" w:rsidRDefault="4616DA7B" w:rsidP="00873AF3">
      <w:pPr>
        <w:pStyle w:val="COMTablefooter"/>
        <w:ind w:left="709" w:hanging="709"/>
      </w:pPr>
      <w:r w:rsidRPr="7E0DBB7D">
        <w:t>Abbreviations: AE, adverse event; NR, not reported; RLZ, rozanolixizumab</w:t>
      </w:r>
    </w:p>
    <w:p w14:paraId="313E139B" w14:textId="7A81881E" w:rsidR="00B34FE2" w:rsidRPr="006077B2" w:rsidRDefault="4616DA7B" w:rsidP="00873AF3">
      <w:pPr>
        <w:pStyle w:val="COMexecsummnumbered"/>
        <w:rPr>
          <w:color w:val="0066FF"/>
        </w:rPr>
      </w:pPr>
      <w:r w:rsidRPr="7E0DBB7D">
        <w:t xml:space="preserve">The submission presented indirect comparisons of safety outcomes </w:t>
      </w:r>
      <w:r w:rsidR="00B97E2A">
        <w:t>which</w:t>
      </w:r>
      <w:r w:rsidRPr="7E0DBB7D">
        <w:t xml:space="preserve"> did not identify statistically significant differences between rozanolixizumab and efgartigimod for serious adverse events, adverse events leading to discontinuation, and severe adverse events. However, results based on any adverse event were statistically significant, favouring efgartigimod. The submission considered that the lower proportion of patients reporting adverse events in the placebo arm of MycarinG (67%) compared to the efgartigimod trials (83-84%) may have biased the results in favour of efgartigimod. However, rates of adverse events (e.g. events per patient-year) were not reported. A comparison of the incidence of adverse events based on different durations of follow-up is not informative.</w:t>
      </w:r>
    </w:p>
    <w:p w14:paraId="5A18E8BD" w14:textId="77777777" w:rsidR="00AF10A4" w:rsidRDefault="00AF10A4" w:rsidP="00873AF3">
      <w:pPr>
        <w:pStyle w:val="COMH4"/>
        <w:tabs>
          <w:tab w:val="left" w:pos="993"/>
        </w:tabs>
      </w:pPr>
      <w:bookmarkStart w:id="51" w:name="_Toc22897642"/>
      <w:r>
        <w:t>Indirect comparisons with near market comparators</w:t>
      </w:r>
    </w:p>
    <w:p w14:paraId="08A572C8" w14:textId="2A43D762" w:rsidR="00AF10A4" w:rsidRPr="006077B2" w:rsidRDefault="0E32B2C2" w:rsidP="00873AF3">
      <w:pPr>
        <w:pStyle w:val="COMexecsummnumbered"/>
      </w:pPr>
      <w:r w:rsidRPr="7E0DBB7D">
        <w:t xml:space="preserve">During the evaluation, summary details were presented of 5 published network meta-analyses that compared zilucoplan and near market comparators efgartigimod, ravulizumab, and rozanolixizumab (Chen 2023, Gu 2024, Sacca 2023, Smith 2024, Zhong 2024) and one published matching adjusted indirect comparison that compared efgartigimod and ravulizumab (van Steen 2024). A full assessment of these analyses was beyond the scope of the evaluation. </w:t>
      </w:r>
    </w:p>
    <w:p w14:paraId="4E310725" w14:textId="2E393DB3" w:rsidR="00AF10A4" w:rsidRPr="008C328A" w:rsidRDefault="0E32B2C2" w:rsidP="00873AF3">
      <w:pPr>
        <w:pStyle w:val="COMexecsummnumbered"/>
      </w:pPr>
      <w:r w:rsidRPr="7E0DBB7D">
        <w:t xml:space="preserve">Results of the indirect treatment comparisons suggest that </w:t>
      </w:r>
      <w:r w:rsidR="00516E39">
        <w:t>FcRn</w:t>
      </w:r>
      <w:r w:rsidR="00050D53" w:rsidRPr="7E0DBB7D">
        <w:t xml:space="preserve"> </w:t>
      </w:r>
      <w:r w:rsidRPr="7E0DBB7D">
        <w:t xml:space="preserve">blockers (e.g. efgartigimod, rozanolixizumab) may provide improved outcomes for patients with generalised myasthenia gravis, compared to complement inhibitors (e.g. ravulizumab, zilucoplan). However, the published analyses acknowledge the difficulties in comparing the different therapies due to differences between treatments administered with fixed dosing intervals compared to treatments administered as on/off treatment cycles, which does not account for the treatment effects waning over time during the off-treatment period. The publications also noted other limitations, including </w:t>
      </w:r>
      <w:r w:rsidRPr="008C328A">
        <w:t>differences between trials in patient characteristics and prior and concomitant therapies, and the lack of direct evidence resulting in reliance on indirect estimates.</w:t>
      </w:r>
    </w:p>
    <w:p w14:paraId="6F6E1641" w14:textId="6500B98B" w:rsidR="002E6A89" w:rsidRPr="008C328A" w:rsidRDefault="36F0F961" w:rsidP="00873AF3">
      <w:pPr>
        <w:pStyle w:val="COMexecsummnumbered"/>
      </w:pPr>
      <w:r w:rsidRPr="008C328A">
        <w:t xml:space="preserve">The ESC considered that there was no evidence to suggest superior efficacy or safety between any of the four new gMG therapies (zilucoplan, ravulizumab, efgartigimod alfa and rozanolixizumab). The ESC considered that the published NMAs had substantial limitations, notably the poor transitivity between the included trials and lack of accounting for the treatment effects of </w:t>
      </w:r>
      <w:r w:rsidR="00516E39">
        <w:t>FcRn</w:t>
      </w:r>
      <w:r w:rsidRPr="008C328A">
        <w:t xml:space="preserve"> blockers waning over time during the off-treatment period.</w:t>
      </w:r>
    </w:p>
    <w:p w14:paraId="7E114D6F" w14:textId="77777777" w:rsidR="00AF10A4" w:rsidRPr="006077B2" w:rsidRDefault="00AF10A4" w:rsidP="00873AF3">
      <w:pPr>
        <w:pStyle w:val="COMexecsummnumbered"/>
        <w:rPr>
          <w:color w:val="0066FF"/>
        </w:rPr>
      </w:pPr>
      <w:r w:rsidRPr="006077B2">
        <w:t>None of the indirect treatment comparisons included IVIg or PLEX trials.</w:t>
      </w:r>
    </w:p>
    <w:p w14:paraId="1452C351" w14:textId="64ED4EBB" w:rsidR="00B60939" w:rsidRPr="00CE706B" w:rsidRDefault="00B60939" w:rsidP="00873AF3">
      <w:pPr>
        <w:pStyle w:val="COMH2-non-numbered"/>
      </w:pPr>
      <w:bookmarkStart w:id="52" w:name="_Toc188272890"/>
      <w:r w:rsidRPr="00CE706B">
        <w:t>Comparative harms</w:t>
      </w:r>
      <w:bookmarkEnd w:id="51"/>
      <w:bookmarkEnd w:id="52"/>
    </w:p>
    <w:p w14:paraId="4F4EA998" w14:textId="684DC5CC" w:rsidR="00FE1D0C" w:rsidRDefault="0060464C" w:rsidP="00873AF3">
      <w:pPr>
        <w:pStyle w:val="COMexecsummnumbered"/>
      </w:pPr>
      <w:r>
        <w:fldChar w:fldCharType="begin" w:fldLock="1"/>
      </w:r>
      <w:r>
        <w:instrText xml:space="preserve"> REF _Ref185266883 \h </w:instrText>
      </w:r>
      <w:r>
        <w:fldChar w:fldCharType="separate"/>
      </w:r>
      <w:r w:rsidR="00E70E55" w:rsidRPr="7E0DBB7D">
        <w:t xml:space="preserve">Table </w:t>
      </w:r>
      <w:r w:rsidR="00E70E55">
        <w:rPr>
          <w:noProof/>
        </w:rPr>
        <w:t>12</w:t>
      </w:r>
      <w:r>
        <w:fldChar w:fldCharType="end"/>
      </w:r>
      <w:r w:rsidR="298A2BC5" w:rsidRPr="7E0DBB7D">
        <w:t xml:space="preserve"> </w:t>
      </w:r>
      <w:r w:rsidR="5DE3A033" w:rsidRPr="7E0DBB7D">
        <w:t>presents an overall summary of adverse events reported in the MycarinG trial and MG0004 and MG0007 extension studies. Safety was assessed as the primary outcome in the extension studies.</w:t>
      </w:r>
    </w:p>
    <w:p w14:paraId="302356FA" w14:textId="5D1FA7E2" w:rsidR="00FE1D0C" w:rsidRPr="00CE706B" w:rsidRDefault="0E87CBCA" w:rsidP="00873AF3">
      <w:pPr>
        <w:pStyle w:val="COMtablefigcaption"/>
      </w:pPr>
      <w:bookmarkStart w:id="53" w:name="_Ref185266883"/>
      <w:r w:rsidRPr="7E0DBB7D">
        <w:t>Table</w:t>
      </w:r>
      <w:r w:rsidR="33353FA6" w:rsidRPr="7E0DBB7D">
        <w:t xml:space="preserve"> </w:t>
      </w:r>
      <w:r w:rsidR="00FB5E6D">
        <w:fldChar w:fldCharType="begin" w:fldLock="1"/>
      </w:r>
      <w:r w:rsidR="00FB5E6D">
        <w:instrText>SEQ Table \* ARABIC</w:instrText>
      </w:r>
      <w:r w:rsidR="00FB5E6D">
        <w:fldChar w:fldCharType="separate"/>
      </w:r>
      <w:r w:rsidR="00E70E55">
        <w:rPr>
          <w:noProof/>
        </w:rPr>
        <w:t>12</w:t>
      </w:r>
      <w:r w:rsidR="00FB5E6D">
        <w:fldChar w:fldCharType="end"/>
      </w:r>
      <w:bookmarkEnd w:id="53"/>
      <w:r w:rsidR="5DE3A033" w:rsidRPr="7E0DBB7D">
        <w:t>: Summary of key adverse events in the MycarinG trial and extension studies</w:t>
      </w:r>
    </w:p>
    <w:tbl>
      <w:tblPr>
        <w:tblStyle w:val="TableGrid"/>
        <w:tblW w:w="5000" w:type="pct"/>
        <w:tblCellMar>
          <w:left w:w="28" w:type="dxa"/>
          <w:right w:w="28" w:type="dxa"/>
        </w:tblCellMar>
        <w:tblLook w:val="04A0" w:firstRow="1" w:lastRow="0" w:firstColumn="1" w:lastColumn="0" w:noHBand="0" w:noVBand="1"/>
        <w:tblCaption w:val="Table 12: Summary of key adverse events in the MycarinG trial and extension studies"/>
      </w:tblPr>
      <w:tblGrid>
        <w:gridCol w:w="2122"/>
        <w:gridCol w:w="1379"/>
        <w:gridCol w:w="1379"/>
        <w:gridCol w:w="1379"/>
        <w:gridCol w:w="1379"/>
        <w:gridCol w:w="1379"/>
      </w:tblGrid>
      <w:tr w:rsidR="00FE1D0C" w14:paraId="77B0D92E" w14:textId="77777777" w:rsidTr="7E0DBB7D">
        <w:trPr>
          <w:trHeight w:val="20"/>
        </w:trPr>
        <w:tc>
          <w:tcPr>
            <w:tcW w:w="2122" w:type="dxa"/>
            <w:vMerge w:val="restart"/>
          </w:tcPr>
          <w:p w14:paraId="56CC70C3" w14:textId="77777777" w:rsidR="00FE1D0C" w:rsidRPr="00DD1665" w:rsidRDefault="00FE1D0C" w:rsidP="00873AF3">
            <w:pPr>
              <w:pStyle w:val="COMTabletext"/>
              <w:ind w:left="107"/>
            </w:pPr>
          </w:p>
        </w:tc>
        <w:tc>
          <w:tcPr>
            <w:tcW w:w="4137" w:type="dxa"/>
            <w:gridSpan w:val="3"/>
            <w:vAlign w:val="center"/>
          </w:tcPr>
          <w:p w14:paraId="7C0ECEAA" w14:textId="77777777" w:rsidR="00FE1D0C" w:rsidRDefault="00FE1D0C" w:rsidP="00873AF3">
            <w:pPr>
              <w:pStyle w:val="COMTableheadingrow"/>
              <w:ind w:left="107"/>
              <w:jc w:val="center"/>
              <w:rPr>
                <w:bCs/>
              </w:rPr>
            </w:pPr>
            <w:r>
              <w:t>MycarinG</w:t>
            </w:r>
          </w:p>
        </w:tc>
        <w:tc>
          <w:tcPr>
            <w:tcW w:w="1379" w:type="dxa"/>
            <w:vAlign w:val="center"/>
          </w:tcPr>
          <w:p w14:paraId="5F1B4A30" w14:textId="77777777" w:rsidR="00FE1D0C" w:rsidRPr="00DD1665" w:rsidRDefault="00FE1D0C" w:rsidP="00873AF3">
            <w:pPr>
              <w:pStyle w:val="COMTableheadingrow"/>
              <w:ind w:left="107"/>
              <w:jc w:val="center"/>
              <w:rPr>
                <w:bCs/>
              </w:rPr>
            </w:pPr>
            <w:r>
              <w:rPr>
                <w:bCs/>
              </w:rPr>
              <w:t>MG0004</w:t>
            </w:r>
          </w:p>
        </w:tc>
        <w:tc>
          <w:tcPr>
            <w:tcW w:w="1379" w:type="dxa"/>
            <w:vAlign w:val="center"/>
          </w:tcPr>
          <w:p w14:paraId="34FA0C26" w14:textId="77777777" w:rsidR="00FE1D0C" w:rsidRPr="00DD1665" w:rsidRDefault="00FE1D0C" w:rsidP="00873AF3">
            <w:pPr>
              <w:pStyle w:val="COMTableheadingrow"/>
              <w:ind w:left="107"/>
              <w:jc w:val="center"/>
              <w:rPr>
                <w:bCs/>
              </w:rPr>
            </w:pPr>
            <w:r>
              <w:rPr>
                <w:bCs/>
              </w:rPr>
              <w:t>MG0007</w:t>
            </w:r>
          </w:p>
        </w:tc>
      </w:tr>
      <w:tr w:rsidR="00FE1D0C" w14:paraId="33E27365" w14:textId="77777777" w:rsidTr="7E0DBB7D">
        <w:trPr>
          <w:trHeight w:val="20"/>
        </w:trPr>
        <w:tc>
          <w:tcPr>
            <w:tcW w:w="2122" w:type="dxa"/>
            <w:vMerge/>
          </w:tcPr>
          <w:p w14:paraId="5688AF92" w14:textId="77777777" w:rsidR="00FE1D0C" w:rsidRPr="00DD1665" w:rsidRDefault="00FE1D0C" w:rsidP="00873AF3">
            <w:pPr>
              <w:pStyle w:val="COMTabletext"/>
              <w:ind w:left="107"/>
            </w:pPr>
          </w:p>
        </w:tc>
        <w:tc>
          <w:tcPr>
            <w:tcW w:w="1379" w:type="dxa"/>
            <w:vAlign w:val="center"/>
          </w:tcPr>
          <w:p w14:paraId="54C4699A" w14:textId="77777777" w:rsidR="00FE1D0C" w:rsidRPr="00DD1665" w:rsidRDefault="00FE1D0C" w:rsidP="00873AF3">
            <w:pPr>
              <w:pStyle w:val="COMTableheadingrow"/>
              <w:ind w:left="107"/>
              <w:jc w:val="center"/>
              <w:rPr>
                <w:bCs/>
              </w:rPr>
            </w:pPr>
            <w:r w:rsidRPr="00DD1665">
              <w:rPr>
                <w:bCs/>
              </w:rPr>
              <w:t>RLZ</w:t>
            </w:r>
            <w:r>
              <w:t xml:space="preserve"> ~</w:t>
            </w:r>
            <w:r w:rsidRPr="00DD1665">
              <w:rPr>
                <w:bCs/>
              </w:rPr>
              <w:t>7mg/kg</w:t>
            </w:r>
          </w:p>
          <w:p w14:paraId="0E141290" w14:textId="77777777" w:rsidR="00FE1D0C" w:rsidRPr="00DD1665" w:rsidRDefault="00FE1D0C" w:rsidP="00873AF3">
            <w:pPr>
              <w:pStyle w:val="COMTableheadingrow"/>
              <w:ind w:left="107"/>
              <w:jc w:val="center"/>
              <w:rPr>
                <w:bCs/>
              </w:rPr>
            </w:pPr>
            <w:r w:rsidRPr="00DD1665">
              <w:rPr>
                <w:bCs/>
              </w:rPr>
              <w:t>N</w:t>
            </w:r>
            <w:r>
              <w:rPr>
                <w:bCs/>
              </w:rPr>
              <w:t xml:space="preserve"> </w:t>
            </w:r>
            <w:r w:rsidRPr="00DD1665">
              <w:rPr>
                <w:bCs/>
              </w:rPr>
              <w:t>=</w:t>
            </w:r>
            <w:r>
              <w:rPr>
                <w:bCs/>
              </w:rPr>
              <w:t xml:space="preserve"> </w:t>
            </w:r>
            <w:r w:rsidRPr="00DD1665">
              <w:rPr>
                <w:bCs/>
              </w:rPr>
              <w:t>64</w:t>
            </w:r>
          </w:p>
        </w:tc>
        <w:tc>
          <w:tcPr>
            <w:tcW w:w="1379" w:type="dxa"/>
            <w:vAlign w:val="center"/>
          </w:tcPr>
          <w:p w14:paraId="3318DB15" w14:textId="77777777" w:rsidR="00FE1D0C" w:rsidRPr="00DD1665" w:rsidRDefault="00FE1D0C" w:rsidP="00873AF3">
            <w:pPr>
              <w:pStyle w:val="COMTableheadingrow"/>
              <w:ind w:left="107"/>
              <w:jc w:val="center"/>
              <w:rPr>
                <w:bCs/>
              </w:rPr>
            </w:pPr>
            <w:r w:rsidRPr="00DD1665">
              <w:rPr>
                <w:bCs/>
              </w:rPr>
              <w:t xml:space="preserve">RLZ </w:t>
            </w:r>
            <w:r>
              <w:rPr>
                <w:bCs/>
              </w:rPr>
              <w:t>~</w:t>
            </w:r>
            <w:r w:rsidRPr="00DD1665">
              <w:rPr>
                <w:bCs/>
              </w:rPr>
              <w:t>10mg/kg</w:t>
            </w:r>
          </w:p>
          <w:p w14:paraId="5B997404" w14:textId="77777777" w:rsidR="00FE1D0C" w:rsidRPr="00DD1665" w:rsidRDefault="00FE1D0C" w:rsidP="00873AF3">
            <w:pPr>
              <w:pStyle w:val="COMTableheadingrow"/>
              <w:ind w:left="107"/>
              <w:jc w:val="center"/>
              <w:rPr>
                <w:bCs/>
              </w:rPr>
            </w:pPr>
            <w:r w:rsidRPr="00DD1665">
              <w:rPr>
                <w:bCs/>
              </w:rPr>
              <w:t>N</w:t>
            </w:r>
            <w:r>
              <w:rPr>
                <w:bCs/>
              </w:rPr>
              <w:t xml:space="preserve"> </w:t>
            </w:r>
            <w:r w:rsidRPr="00DD1665">
              <w:rPr>
                <w:bCs/>
              </w:rPr>
              <w:t>=</w:t>
            </w:r>
            <w:r>
              <w:rPr>
                <w:bCs/>
              </w:rPr>
              <w:t xml:space="preserve"> </w:t>
            </w:r>
            <w:r w:rsidRPr="00DD1665">
              <w:rPr>
                <w:bCs/>
              </w:rPr>
              <w:t>69</w:t>
            </w:r>
          </w:p>
        </w:tc>
        <w:tc>
          <w:tcPr>
            <w:tcW w:w="1379" w:type="dxa"/>
            <w:vAlign w:val="center"/>
          </w:tcPr>
          <w:p w14:paraId="2904B0EB" w14:textId="77777777" w:rsidR="00FE1D0C" w:rsidRPr="00DD1665" w:rsidRDefault="00FE1D0C" w:rsidP="00873AF3">
            <w:pPr>
              <w:pStyle w:val="COMTableheadingrow"/>
              <w:ind w:left="107"/>
              <w:jc w:val="center"/>
              <w:rPr>
                <w:bCs/>
              </w:rPr>
            </w:pPr>
            <w:r w:rsidRPr="00DD1665">
              <w:rPr>
                <w:bCs/>
              </w:rPr>
              <w:t>Placebo</w:t>
            </w:r>
          </w:p>
          <w:p w14:paraId="3403FDB1" w14:textId="77777777" w:rsidR="00FE1D0C" w:rsidRPr="00DD1665" w:rsidRDefault="00FE1D0C" w:rsidP="00873AF3">
            <w:pPr>
              <w:pStyle w:val="COMTableheadingrow"/>
              <w:ind w:left="107"/>
              <w:jc w:val="center"/>
              <w:rPr>
                <w:bCs/>
              </w:rPr>
            </w:pPr>
            <w:r w:rsidRPr="00DD1665">
              <w:rPr>
                <w:bCs/>
              </w:rPr>
              <w:t>N</w:t>
            </w:r>
            <w:r>
              <w:rPr>
                <w:bCs/>
              </w:rPr>
              <w:t xml:space="preserve"> </w:t>
            </w:r>
            <w:r w:rsidRPr="00DD1665">
              <w:rPr>
                <w:bCs/>
              </w:rPr>
              <w:t>=</w:t>
            </w:r>
            <w:r>
              <w:rPr>
                <w:bCs/>
              </w:rPr>
              <w:t xml:space="preserve"> </w:t>
            </w:r>
            <w:r w:rsidRPr="00DD1665">
              <w:rPr>
                <w:bCs/>
              </w:rPr>
              <w:t>67</w:t>
            </w:r>
          </w:p>
        </w:tc>
        <w:tc>
          <w:tcPr>
            <w:tcW w:w="1379" w:type="dxa"/>
            <w:vAlign w:val="center"/>
          </w:tcPr>
          <w:p w14:paraId="18282C5F" w14:textId="77777777" w:rsidR="00FE1D0C" w:rsidRDefault="00FE1D0C" w:rsidP="00873AF3">
            <w:pPr>
              <w:pStyle w:val="COMTableheadingrow"/>
              <w:ind w:left="107"/>
              <w:jc w:val="center"/>
              <w:rPr>
                <w:bCs/>
              </w:rPr>
            </w:pPr>
            <w:r>
              <w:rPr>
                <w:bCs/>
              </w:rPr>
              <w:t>RLZ total</w:t>
            </w:r>
          </w:p>
          <w:p w14:paraId="583AED69" w14:textId="77777777" w:rsidR="00FE1D0C" w:rsidRPr="00DD1665" w:rsidRDefault="00FE1D0C" w:rsidP="00873AF3">
            <w:pPr>
              <w:pStyle w:val="COMTableheadingrow"/>
              <w:ind w:left="107"/>
              <w:jc w:val="center"/>
              <w:rPr>
                <w:bCs/>
              </w:rPr>
            </w:pPr>
            <w:r>
              <w:rPr>
                <w:bCs/>
              </w:rPr>
              <w:t>N=70</w:t>
            </w:r>
          </w:p>
        </w:tc>
        <w:tc>
          <w:tcPr>
            <w:tcW w:w="1379" w:type="dxa"/>
            <w:vAlign w:val="center"/>
          </w:tcPr>
          <w:p w14:paraId="67B2B81F" w14:textId="77777777" w:rsidR="00FE1D0C" w:rsidRDefault="00FE1D0C" w:rsidP="00873AF3">
            <w:pPr>
              <w:pStyle w:val="COMTableheadingrow"/>
              <w:ind w:left="107"/>
              <w:jc w:val="center"/>
              <w:rPr>
                <w:bCs/>
              </w:rPr>
            </w:pPr>
            <w:r>
              <w:rPr>
                <w:bCs/>
              </w:rPr>
              <w:t>RLZ total</w:t>
            </w:r>
          </w:p>
          <w:p w14:paraId="4E4E7B71" w14:textId="77777777" w:rsidR="00FE1D0C" w:rsidRPr="00DD1665" w:rsidRDefault="00FE1D0C" w:rsidP="00873AF3">
            <w:pPr>
              <w:pStyle w:val="COMTableheadingrow"/>
              <w:ind w:left="107"/>
              <w:jc w:val="center"/>
              <w:rPr>
                <w:bCs/>
              </w:rPr>
            </w:pPr>
            <w:r>
              <w:rPr>
                <w:bCs/>
              </w:rPr>
              <w:t>N=157</w:t>
            </w:r>
          </w:p>
        </w:tc>
      </w:tr>
      <w:tr w:rsidR="00FE1D0C" w14:paraId="60495005" w14:textId="77777777" w:rsidTr="7E0DBB7D">
        <w:trPr>
          <w:trHeight w:val="20"/>
        </w:trPr>
        <w:tc>
          <w:tcPr>
            <w:tcW w:w="2122" w:type="dxa"/>
            <w:tcBorders>
              <w:bottom w:val="single" w:sz="4" w:space="0" w:color="auto"/>
            </w:tcBorders>
          </w:tcPr>
          <w:p w14:paraId="1171BF43" w14:textId="77777777" w:rsidR="00FE1D0C" w:rsidRPr="00DD1665" w:rsidRDefault="00FE1D0C" w:rsidP="00873AF3">
            <w:pPr>
              <w:pStyle w:val="COMTabletext"/>
              <w:ind w:left="107"/>
            </w:pPr>
            <w:r w:rsidRPr="00DD1665">
              <w:t>Any TEAE</w:t>
            </w:r>
          </w:p>
        </w:tc>
        <w:tc>
          <w:tcPr>
            <w:tcW w:w="1379" w:type="dxa"/>
            <w:tcBorders>
              <w:bottom w:val="single" w:sz="4" w:space="0" w:color="auto"/>
            </w:tcBorders>
            <w:vAlign w:val="center"/>
          </w:tcPr>
          <w:p w14:paraId="53C33173" w14:textId="77777777" w:rsidR="00FE1D0C" w:rsidRPr="00F26580" w:rsidRDefault="00FE1D0C" w:rsidP="00873AF3">
            <w:pPr>
              <w:pStyle w:val="COMTabletext"/>
              <w:ind w:left="107"/>
              <w:jc w:val="center"/>
              <w:rPr>
                <w:szCs w:val="20"/>
              </w:rPr>
            </w:pPr>
            <w:r w:rsidRPr="00F26580">
              <w:rPr>
                <w:szCs w:val="20"/>
              </w:rPr>
              <w:t>52 (81.3)</w:t>
            </w:r>
          </w:p>
        </w:tc>
        <w:tc>
          <w:tcPr>
            <w:tcW w:w="1379" w:type="dxa"/>
            <w:tcBorders>
              <w:bottom w:val="single" w:sz="4" w:space="0" w:color="auto"/>
            </w:tcBorders>
            <w:vAlign w:val="center"/>
          </w:tcPr>
          <w:p w14:paraId="024CE6E4" w14:textId="77777777" w:rsidR="00FE1D0C" w:rsidRPr="00F26580" w:rsidRDefault="00FE1D0C" w:rsidP="00873AF3">
            <w:pPr>
              <w:pStyle w:val="COMTabletext"/>
              <w:ind w:left="107"/>
              <w:jc w:val="center"/>
              <w:rPr>
                <w:szCs w:val="20"/>
              </w:rPr>
            </w:pPr>
            <w:r w:rsidRPr="00F26580">
              <w:rPr>
                <w:szCs w:val="20"/>
              </w:rPr>
              <w:t>57 (82.6)</w:t>
            </w:r>
          </w:p>
        </w:tc>
        <w:tc>
          <w:tcPr>
            <w:tcW w:w="1379" w:type="dxa"/>
            <w:tcBorders>
              <w:bottom w:val="single" w:sz="4" w:space="0" w:color="auto"/>
            </w:tcBorders>
            <w:vAlign w:val="center"/>
          </w:tcPr>
          <w:p w14:paraId="5B4271B3" w14:textId="77777777" w:rsidR="00FE1D0C" w:rsidRPr="00F26580" w:rsidRDefault="00FE1D0C" w:rsidP="00873AF3">
            <w:pPr>
              <w:pStyle w:val="COMTabletext"/>
              <w:ind w:left="107"/>
              <w:jc w:val="center"/>
              <w:rPr>
                <w:rFonts w:cstheme="minorHAnsi"/>
                <w:szCs w:val="20"/>
              </w:rPr>
            </w:pPr>
            <w:r w:rsidRPr="00F26580">
              <w:rPr>
                <w:szCs w:val="20"/>
              </w:rPr>
              <w:t>45 (67.2)</w:t>
            </w:r>
          </w:p>
        </w:tc>
        <w:tc>
          <w:tcPr>
            <w:tcW w:w="1379" w:type="dxa"/>
            <w:tcBorders>
              <w:bottom w:val="single" w:sz="4" w:space="0" w:color="auto"/>
            </w:tcBorders>
            <w:vAlign w:val="center"/>
          </w:tcPr>
          <w:p w14:paraId="1F10B4B3" w14:textId="77777777" w:rsidR="00FE1D0C" w:rsidRPr="00F26580" w:rsidRDefault="00FE1D0C" w:rsidP="00873AF3">
            <w:pPr>
              <w:pStyle w:val="COMTabletext"/>
              <w:ind w:left="107"/>
              <w:jc w:val="center"/>
              <w:rPr>
                <w:rFonts w:cstheme="minorHAnsi"/>
                <w:szCs w:val="20"/>
              </w:rPr>
            </w:pPr>
            <w:r>
              <w:rPr>
                <w:szCs w:val="20"/>
              </w:rPr>
              <w:t>60 (85.7)</w:t>
            </w:r>
          </w:p>
        </w:tc>
        <w:tc>
          <w:tcPr>
            <w:tcW w:w="1379" w:type="dxa"/>
            <w:tcBorders>
              <w:bottom w:val="single" w:sz="4" w:space="0" w:color="auto"/>
            </w:tcBorders>
            <w:vAlign w:val="center"/>
          </w:tcPr>
          <w:p w14:paraId="5EF10B3F" w14:textId="77777777" w:rsidR="00FE1D0C" w:rsidRPr="00F26580" w:rsidRDefault="00FE1D0C" w:rsidP="00873AF3">
            <w:pPr>
              <w:pStyle w:val="COMTabletext"/>
              <w:ind w:left="107"/>
              <w:jc w:val="center"/>
              <w:rPr>
                <w:rFonts w:cstheme="minorHAnsi"/>
                <w:szCs w:val="20"/>
              </w:rPr>
            </w:pPr>
            <w:r w:rsidRPr="00F26580">
              <w:rPr>
                <w:rFonts w:cstheme="minorHAnsi"/>
                <w:szCs w:val="20"/>
              </w:rPr>
              <w:t>142 (90.4)</w:t>
            </w:r>
          </w:p>
        </w:tc>
      </w:tr>
      <w:tr w:rsidR="00FE1D0C" w14:paraId="2C793493" w14:textId="77777777" w:rsidTr="7E0DBB7D">
        <w:trPr>
          <w:trHeight w:val="20"/>
        </w:trPr>
        <w:tc>
          <w:tcPr>
            <w:tcW w:w="2122" w:type="dxa"/>
          </w:tcPr>
          <w:p w14:paraId="778FAB60" w14:textId="77777777" w:rsidR="00FE1D0C" w:rsidRPr="00DD1665" w:rsidRDefault="00FE1D0C" w:rsidP="00873AF3">
            <w:pPr>
              <w:pStyle w:val="COMTabletext"/>
              <w:ind w:left="107"/>
            </w:pPr>
            <w:r w:rsidRPr="00DD1665">
              <w:t>Serious TEAEs</w:t>
            </w:r>
          </w:p>
        </w:tc>
        <w:tc>
          <w:tcPr>
            <w:tcW w:w="1379" w:type="dxa"/>
            <w:vAlign w:val="center"/>
          </w:tcPr>
          <w:p w14:paraId="5DAE80BA" w14:textId="77777777" w:rsidR="00FE1D0C" w:rsidRPr="00F26580" w:rsidRDefault="00FE1D0C" w:rsidP="00873AF3">
            <w:pPr>
              <w:pStyle w:val="COMTabletext"/>
              <w:ind w:left="107"/>
              <w:jc w:val="center"/>
              <w:rPr>
                <w:szCs w:val="20"/>
              </w:rPr>
            </w:pPr>
            <w:r w:rsidRPr="00F26580">
              <w:rPr>
                <w:szCs w:val="20"/>
              </w:rPr>
              <w:t>5 (7.8)</w:t>
            </w:r>
          </w:p>
        </w:tc>
        <w:tc>
          <w:tcPr>
            <w:tcW w:w="1379" w:type="dxa"/>
            <w:vAlign w:val="center"/>
          </w:tcPr>
          <w:p w14:paraId="0A8D4D58" w14:textId="77777777" w:rsidR="00FE1D0C" w:rsidRPr="00F26580" w:rsidRDefault="00FE1D0C" w:rsidP="00873AF3">
            <w:pPr>
              <w:pStyle w:val="COMTabletext"/>
              <w:ind w:left="107"/>
              <w:jc w:val="center"/>
              <w:rPr>
                <w:szCs w:val="20"/>
              </w:rPr>
            </w:pPr>
            <w:r w:rsidRPr="00F26580">
              <w:rPr>
                <w:szCs w:val="20"/>
              </w:rPr>
              <w:t>7 (10.1)</w:t>
            </w:r>
          </w:p>
        </w:tc>
        <w:tc>
          <w:tcPr>
            <w:tcW w:w="1379" w:type="dxa"/>
            <w:vAlign w:val="center"/>
          </w:tcPr>
          <w:p w14:paraId="69DCE06A" w14:textId="77777777" w:rsidR="00FE1D0C" w:rsidRPr="00F26580" w:rsidRDefault="00FE1D0C" w:rsidP="00873AF3">
            <w:pPr>
              <w:pStyle w:val="COMTabletext"/>
              <w:ind w:left="107"/>
              <w:jc w:val="center"/>
              <w:rPr>
                <w:rFonts w:cstheme="minorHAnsi"/>
                <w:szCs w:val="20"/>
              </w:rPr>
            </w:pPr>
            <w:r w:rsidRPr="00F26580">
              <w:rPr>
                <w:szCs w:val="20"/>
              </w:rPr>
              <w:t>6 (9.0)</w:t>
            </w:r>
          </w:p>
        </w:tc>
        <w:tc>
          <w:tcPr>
            <w:tcW w:w="1379" w:type="dxa"/>
            <w:vAlign w:val="center"/>
          </w:tcPr>
          <w:p w14:paraId="599A2C3B" w14:textId="77777777" w:rsidR="00FE1D0C" w:rsidRPr="00F26580" w:rsidRDefault="00FE1D0C" w:rsidP="00873AF3">
            <w:pPr>
              <w:pStyle w:val="COMTabletext"/>
              <w:ind w:left="107"/>
              <w:jc w:val="center"/>
              <w:rPr>
                <w:rFonts w:cstheme="minorHAnsi"/>
                <w:szCs w:val="20"/>
              </w:rPr>
            </w:pPr>
            <w:r>
              <w:rPr>
                <w:szCs w:val="20"/>
              </w:rPr>
              <w:t>9</w:t>
            </w:r>
            <w:r w:rsidRPr="00F26580">
              <w:rPr>
                <w:szCs w:val="20"/>
              </w:rPr>
              <w:t xml:space="preserve"> (</w:t>
            </w:r>
            <w:r>
              <w:rPr>
                <w:szCs w:val="20"/>
              </w:rPr>
              <w:t>12.9</w:t>
            </w:r>
            <w:r w:rsidRPr="00F26580">
              <w:rPr>
                <w:szCs w:val="20"/>
              </w:rPr>
              <w:t>)</w:t>
            </w:r>
          </w:p>
        </w:tc>
        <w:tc>
          <w:tcPr>
            <w:tcW w:w="1379" w:type="dxa"/>
            <w:vAlign w:val="center"/>
          </w:tcPr>
          <w:p w14:paraId="0A9FB897" w14:textId="77777777" w:rsidR="00FE1D0C" w:rsidRPr="00F26580" w:rsidRDefault="00FE1D0C" w:rsidP="00873AF3">
            <w:pPr>
              <w:pStyle w:val="COMTabletext"/>
              <w:ind w:left="107"/>
              <w:jc w:val="center"/>
              <w:rPr>
                <w:rFonts w:cstheme="minorHAnsi"/>
                <w:szCs w:val="20"/>
              </w:rPr>
            </w:pPr>
            <w:r w:rsidRPr="00F26580">
              <w:rPr>
                <w:rFonts w:cstheme="minorHAnsi"/>
                <w:szCs w:val="20"/>
              </w:rPr>
              <w:t>45 (28.7)</w:t>
            </w:r>
          </w:p>
        </w:tc>
      </w:tr>
      <w:tr w:rsidR="00FE1D0C" w14:paraId="6CCB58EB" w14:textId="77777777" w:rsidTr="7E0DBB7D">
        <w:trPr>
          <w:trHeight w:val="20"/>
        </w:trPr>
        <w:tc>
          <w:tcPr>
            <w:tcW w:w="2122" w:type="dxa"/>
          </w:tcPr>
          <w:p w14:paraId="40E2BC53" w14:textId="77777777" w:rsidR="00FE1D0C" w:rsidRPr="00DD1665" w:rsidRDefault="00FE1D0C" w:rsidP="00873AF3">
            <w:pPr>
              <w:pStyle w:val="COMTabletext"/>
              <w:ind w:left="107"/>
            </w:pPr>
            <w:r>
              <w:t>D</w:t>
            </w:r>
            <w:r w:rsidRPr="00C01510">
              <w:t>iscontinuation from study</w:t>
            </w:r>
            <w:r>
              <w:t xml:space="preserve"> </w:t>
            </w:r>
            <w:r w:rsidRPr="00C01510">
              <w:t>due to TEAEs</w:t>
            </w:r>
          </w:p>
        </w:tc>
        <w:tc>
          <w:tcPr>
            <w:tcW w:w="1379" w:type="dxa"/>
            <w:vAlign w:val="center"/>
          </w:tcPr>
          <w:p w14:paraId="555F9C96" w14:textId="77777777" w:rsidR="00FE1D0C" w:rsidRPr="00F26580" w:rsidRDefault="00FE1D0C" w:rsidP="00873AF3">
            <w:pPr>
              <w:pStyle w:val="COMTabletext"/>
              <w:ind w:left="107"/>
              <w:jc w:val="center"/>
              <w:rPr>
                <w:szCs w:val="20"/>
              </w:rPr>
            </w:pPr>
            <w:r w:rsidRPr="00F26580">
              <w:rPr>
                <w:szCs w:val="20"/>
              </w:rPr>
              <w:t>2 (3.1)</w:t>
            </w:r>
          </w:p>
        </w:tc>
        <w:tc>
          <w:tcPr>
            <w:tcW w:w="1379" w:type="dxa"/>
            <w:vAlign w:val="center"/>
          </w:tcPr>
          <w:p w14:paraId="5006F790" w14:textId="77777777" w:rsidR="00FE1D0C" w:rsidRPr="00F26580" w:rsidRDefault="00FE1D0C" w:rsidP="00873AF3">
            <w:pPr>
              <w:pStyle w:val="COMTabletext"/>
              <w:ind w:left="107"/>
              <w:jc w:val="center"/>
              <w:rPr>
                <w:szCs w:val="20"/>
              </w:rPr>
            </w:pPr>
            <w:r w:rsidRPr="00F26580">
              <w:rPr>
                <w:szCs w:val="20"/>
              </w:rPr>
              <w:t>5 (7.2)</w:t>
            </w:r>
          </w:p>
        </w:tc>
        <w:tc>
          <w:tcPr>
            <w:tcW w:w="1379" w:type="dxa"/>
            <w:vAlign w:val="center"/>
          </w:tcPr>
          <w:p w14:paraId="36543DAF" w14:textId="77777777" w:rsidR="00FE1D0C" w:rsidRPr="00F26580" w:rsidRDefault="00FE1D0C" w:rsidP="00873AF3">
            <w:pPr>
              <w:pStyle w:val="COMTabletext"/>
              <w:ind w:left="107"/>
              <w:jc w:val="center"/>
              <w:rPr>
                <w:rFonts w:cstheme="minorHAnsi"/>
                <w:szCs w:val="20"/>
              </w:rPr>
            </w:pPr>
            <w:r w:rsidRPr="00F26580">
              <w:rPr>
                <w:szCs w:val="20"/>
              </w:rPr>
              <w:t>2 (3.0)</w:t>
            </w:r>
          </w:p>
        </w:tc>
        <w:tc>
          <w:tcPr>
            <w:tcW w:w="1379" w:type="dxa"/>
            <w:vAlign w:val="center"/>
          </w:tcPr>
          <w:p w14:paraId="58CF2B67" w14:textId="77777777" w:rsidR="00FE1D0C" w:rsidRPr="00F26580" w:rsidRDefault="00FE1D0C" w:rsidP="00873AF3">
            <w:pPr>
              <w:pStyle w:val="COMTabletext"/>
              <w:ind w:left="107"/>
              <w:jc w:val="center"/>
              <w:rPr>
                <w:rFonts w:cstheme="minorHAnsi"/>
                <w:szCs w:val="20"/>
              </w:rPr>
            </w:pPr>
            <w:r>
              <w:rPr>
                <w:szCs w:val="20"/>
              </w:rPr>
              <w:t>4</w:t>
            </w:r>
            <w:r w:rsidRPr="003C259C">
              <w:rPr>
                <w:szCs w:val="20"/>
              </w:rPr>
              <w:t xml:space="preserve"> (</w:t>
            </w:r>
            <w:r>
              <w:rPr>
                <w:szCs w:val="20"/>
              </w:rPr>
              <w:t>5.7</w:t>
            </w:r>
            <w:r w:rsidRPr="003C259C">
              <w:rPr>
                <w:szCs w:val="20"/>
              </w:rPr>
              <w:t>)</w:t>
            </w:r>
          </w:p>
        </w:tc>
        <w:tc>
          <w:tcPr>
            <w:tcW w:w="1379" w:type="dxa"/>
            <w:vAlign w:val="center"/>
          </w:tcPr>
          <w:p w14:paraId="1EC0FD8A" w14:textId="77777777" w:rsidR="00FE1D0C" w:rsidRPr="00F26580" w:rsidRDefault="00FE1D0C" w:rsidP="00873AF3">
            <w:pPr>
              <w:pStyle w:val="COMTabletext"/>
              <w:ind w:left="107"/>
              <w:jc w:val="center"/>
              <w:rPr>
                <w:rFonts w:cstheme="minorHAnsi"/>
                <w:szCs w:val="20"/>
              </w:rPr>
            </w:pPr>
            <w:r w:rsidRPr="00F26580">
              <w:rPr>
                <w:rFonts w:cstheme="minorHAnsi"/>
                <w:szCs w:val="20"/>
              </w:rPr>
              <w:t>26 (16.6)</w:t>
            </w:r>
          </w:p>
        </w:tc>
      </w:tr>
      <w:tr w:rsidR="00FE1D0C" w14:paraId="15BBB76D" w14:textId="77777777" w:rsidTr="7E0DBB7D">
        <w:trPr>
          <w:trHeight w:val="20"/>
        </w:trPr>
        <w:tc>
          <w:tcPr>
            <w:tcW w:w="2122" w:type="dxa"/>
          </w:tcPr>
          <w:p w14:paraId="501F1BA4" w14:textId="77777777" w:rsidR="00FE1D0C" w:rsidRDefault="00FE1D0C" w:rsidP="00873AF3">
            <w:pPr>
              <w:pStyle w:val="COMTabletext"/>
              <w:ind w:left="107"/>
            </w:pPr>
            <w:r w:rsidRPr="004A6CE4">
              <w:t xml:space="preserve">Permanent discontinuation of </w:t>
            </w:r>
            <w:r>
              <w:t>study drug</w:t>
            </w:r>
            <w:r w:rsidRPr="004A6CE4">
              <w:t xml:space="preserve"> due</w:t>
            </w:r>
            <w:r>
              <w:t xml:space="preserve"> </w:t>
            </w:r>
            <w:r w:rsidRPr="004A6CE4">
              <w:t>to TEAEs</w:t>
            </w:r>
          </w:p>
        </w:tc>
        <w:tc>
          <w:tcPr>
            <w:tcW w:w="1379" w:type="dxa"/>
            <w:vAlign w:val="center"/>
          </w:tcPr>
          <w:p w14:paraId="54744E8D" w14:textId="77777777" w:rsidR="00FE1D0C" w:rsidRPr="00F26580" w:rsidRDefault="00FE1D0C" w:rsidP="00873AF3">
            <w:pPr>
              <w:pStyle w:val="COMTabletext"/>
              <w:ind w:left="107"/>
              <w:jc w:val="center"/>
              <w:rPr>
                <w:szCs w:val="20"/>
              </w:rPr>
            </w:pPr>
            <w:r w:rsidRPr="00F26580">
              <w:rPr>
                <w:szCs w:val="20"/>
              </w:rPr>
              <w:t>2 (3.1)</w:t>
            </w:r>
          </w:p>
        </w:tc>
        <w:tc>
          <w:tcPr>
            <w:tcW w:w="1379" w:type="dxa"/>
            <w:vAlign w:val="center"/>
          </w:tcPr>
          <w:p w14:paraId="0CF64740" w14:textId="77777777" w:rsidR="00FE1D0C" w:rsidRPr="00F26580" w:rsidRDefault="00FE1D0C" w:rsidP="00873AF3">
            <w:pPr>
              <w:pStyle w:val="COMTabletext"/>
              <w:ind w:left="107"/>
              <w:jc w:val="center"/>
              <w:rPr>
                <w:szCs w:val="20"/>
              </w:rPr>
            </w:pPr>
            <w:r w:rsidRPr="00F26580">
              <w:rPr>
                <w:szCs w:val="20"/>
              </w:rPr>
              <w:t>4 (5.8)</w:t>
            </w:r>
          </w:p>
        </w:tc>
        <w:tc>
          <w:tcPr>
            <w:tcW w:w="1379" w:type="dxa"/>
            <w:vAlign w:val="center"/>
          </w:tcPr>
          <w:p w14:paraId="5F18156D" w14:textId="77777777" w:rsidR="00FE1D0C" w:rsidRPr="00F26580" w:rsidRDefault="00FE1D0C" w:rsidP="00873AF3">
            <w:pPr>
              <w:pStyle w:val="COMTabletext"/>
              <w:ind w:left="107"/>
              <w:jc w:val="center"/>
              <w:rPr>
                <w:rFonts w:cstheme="minorHAnsi"/>
                <w:szCs w:val="20"/>
              </w:rPr>
            </w:pPr>
            <w:r w:rsidRPr="00F26580">
              <w:rPr>
                <w:szCs w:val="20"/>
              </w:rPr>
              <w:t>2 (3.0)</w:t>
            </w:r>
          </w:p>
        </w:tc>
        <w:tc>
          <w:tcPr>
            <w:tcW w:w="1379" w:type="dxa"/>
            <w:vAlign w:val="center"/>
          </w:tcPr>
          <w:p w14:paraId="39FAD2C3" w14:textId="77777777" w:rsidR="00FE1D0C" w:rsidRPr="00F26580" w:rsidRDefault="00FE1D0C" w:rsidP="00873AF3">
            <w:pPr>
              <w:pStyle w:val="COMTabletext"/>
              <w:ind w:left="107"/>
              <w:jc w:val="center"/>
              <w:rPr>
                <w:rFonts w:cstheme="minorHAnsi"/>
                <w:szCs w:val="20"/>
              </w:rPr>
            </w:pPr>
            <w:r>
              <w:rPr>
                <w:szCs w:val="20"/>
              </w:rPr>
              <w:t>3</w:t>
            </w:r>
            <w:r w:rsidRPr="003C259C">
              <w:rPr>
                <w:szCs w:val="20"/>
              </w:rPr>
              <w:t xml:space="preserve"> (</w:t>
            </w:r>
            <w:r>
              <w:rPr>
                <w:szCs w:val="20"/>
              </w:rPr>
              <w:t>4.3</w:t>
            </w:r>
            <w:r w:rsidRPr="003C259C">
              <w:rPr>
                <w:szCs w:val="20"/>
              </w:rPr>
              <w:t>)</w:t>
            </w:r>
          </w:p>
        </w:tc>
        <w:tc>
          <w:tcPr>
            <w:tcW w:w="1379" w:type="dxa"/>
            <w:vAlign w:val="center"/>
          </w:tcPr>
          <w:p w14:paraId="66744659" w14:textId="77777777" w:rsidR="00FE1D0C" w:rsidRPr="00F26580" w:rsidRDefault="00FE1D0C" w:rsidP="00873AF3">
            <w:pPr>
              <w:pStyle w:val="COMTabletext"/>
              <w:ind w:left="107"/>
              <w:jc w:val="center"/>
              <w:rPr>
                <w:rFonts w:cstheme="minorHAnsi"/>
                <w:szCs w:val="20"/>
              </w:rPr>
            </w:pPr>
            <w:r w:rsidRPr="00F26580">
              <w:rPr>
                <w:rFonts w:cstheme="minorHAnsi"/>
                <w:szCs w:val="20"/>
              </w:rPr>
              <w:t>27 (17.2)</w:t>
            </w:r>
          </w:p>
        </w:tc>
      </w:tr>
      <w:tr w:rsidR="00FE1D0C" w14:paraId="7D12AE4D" w14:textId="77777777" w:rsidTr="7E0DBB7D">
        <w:trPr>
          <w:trHeight w:val="20"/>
        </w:trPr>
        <w:tc>
          <w:tcPr>
            <w:tcW w:w="2122" w:type="dxa"/>
          </w:tcPr>
          <w:p w14:paraId="5D788412" w14:textId="77777777" w:rsidR="00FE1D0C" w:rsidRPr="00DD1665" w:rsidRDefault="00FE1D0C" w:rsidP="00873AF3">
            <w:pPr>
              <w:pStyle w:val="COMTabletext"/>
              <w:ind w:left="107"/>
            </w:pPr>
            <w:r>
              <w:t>Temporary discontinuation of study drug due to TEAEs</w:t>
            </w:r>
          </w:p>
        </w:tc>
        <w:tc>
          <w:tcPr>
            <w:tcW w:w="1379" w:type="dxa"/>
            <w:vAlign w:val="center"/>
          </w:tcPr>
          <w:p w14:paraId="736F9E92" w14:textId="77777777" w:rsidR="00FE1D0C" w:rsidRPr="00F26580" w:rsidRDefault="00FE1D0C" w:rsidP="00873AF3">
            <w:pPr>
              <w:pStyle w:val="COMTabletext"/>
              <w:ind w:left="107"/>
              <w:jc w:val="center"/>
              <w:rPr>
                <w:szCs w:val="20"/>
              </w:rPr>
            </w:pPr>
            <w:r w:rsidRPr="00F26580">
              <w:rPr>
                <w:szCs w:val="20"/>
              </w:rPr>
              <w:t>3 (4.7)</w:t>
            </w:r>
          </w:p>
        </w:tc>
        <w:tc>
          <w:tcPr>
            <w:tcW w:w="1379" w:type="dxa"/>
            <w:vAlign w:val="center"/>
          </w:tcPr>
          <w:p w14:paraId="1C2346CB" w14:textId="77777777" w:rsidR="00FE1D0C" w:rsidRPr="00F26580" w:rsidRDefault="00FE1D0C" w:rsidP="00873AF3">
            <w:pPr>
              <w:pStyle w:val="COMTabletext"/>
              <w:ind w:left="107"/>
              <w:jc w:val="center"/>
              <w:rPr>
                <w:szCs w:val="20"/>
              </w:rPr>
            </w:pPr>
            <w:r w:rsidRPr="00F26580">
              <w:rPr>
                <w:szCs w:val="20"/>
              </w:rPr>
              <w:t>6 (8.7)</w:t>
            </w:r>
          </w:p>
        </w:tc>
        <w:tc>
          <w:tcPr>
            <w:tcW w:w="1379" w:type="dxa"/>
            <w:vAlign w:val="center"/>
          </w:tcPr>
          <w:p w14:paraId="105FA80D" w14:textId="77777777" w:rsidR="00FE1D0C" w:rsidRPr="00F26580" w:rsidRDefault="00FE1D0C" w:rsidP="00873AF3">
            <w:pPr>
              <w:pStyle w:val="COMTabletext"/>
              <w:ind w:left="107"/>
              <w:jc w:val="center"/>
              <w:rPr>
                <w:rFonts w:cstheme="minorHAnsi"/>
                <w:szCs w:val="20"/>
              </w:rPr>
            </w:pPr>
            <w:r w:rsidRPr="00F26580">
              <w:rPr>
                <w:szCs w:val="20"/>
              </w:rPr>
              <w:t>1 (1.5)</w:t>
            </w:r>
          </w:p>
        </w:tc>
        <w:tc>
          <w:tcPr>
            <w:tcW w:w="1379" w:type="dxa"/>
            <w:vAlign w:val="center"/>
          </w:tcPr>
          <w:p w14:paraId="40BEA715" w14:textId="77777777" w:rsidR="00FE1D0C" w:rsidRPr="00F26580" w:rsidRDefault="00FE1D0C" w:rsidP="00873AF3">
            <w:pPr>
              <w:pStyle w:val="COMTabletext"/>
              <w:ind w:left="107"/>
              <w:jc w:val="center"/>
              <w:rPr>
                <w:rFonts w:cstheme="minorHAnsi"/>
                <w:szCs w:val="20"/>
              </w:rPr>
            </w:pPr>
            <w:r>
              <w:rPr>
                <w:szCs w:val="20"/>
              </w:rPr>
              <w:t>22</w:t>
            </w:r>
            <w:r w:rsidRPr="00F26580">
              <w:rPr>
                <w:szCs w:val="20"/>
              </w:rPr>
              <w:t xml:space="preserve"> (</w:t>
            </w:r>
            <w:r>
              <w:rPr>
                <w:szCs w:val="20"/>
              </w:rPr>
              <w:t>31.4</w:t>
            </w:r>
            <w:r w:rsidRPr="00F26580">
              <w:rPr>
                <w:szCs w:val="20"/>
              </w:rPr>
              <w:t>)</w:t>
            </w:r>
          </w:p>
        </w:tc>
        <w:tc>
          <w:tcPr>
            <w:tcW w:w="1379" w:type="dxa"/>
            <w:vAlign w:val="center"/>
          </w:tcPr>
          <w:p w14:paraId="6D1C987C" w14:textId="77777777" w:rsidR="00FE1D0C" w:rsidRPr="00F26580" w:rsidRDefault="00FE1D0C" w:rsidP="00873AF3">
            <w:pPr>
              <w:pStyle w:val="COMTabletext"/>
              <w:ind w:left="107"/>
              <w:jc w:val="center"/>
              <w:rPr>
                <w:rFonts w:cstheme="minorHAnsi"/>
                <w:szCs w:val="20"/>
              </w:rPr>
            </w:pPr>
            <w:r w:rsidRPr="00F26580">
              <w:rPr>
                <w:rFonts w:cstheme="minorHAnsi"/>
                <w:szCs w:val="20"/>
              </w:rPr>
              <w:t>39 (24.8)</w:t>
            </w:r>
          </w:p>
        </w:tc>
      </w:tr>
      <w:tr w:rsidR="00FE1D0C" w14:paraId="70178DB4" w14:textId="77777777" w:rsidTr="7E0DBB7D">
        <w:trPr>
          <w:trHeight w:val="20"/>
        </w:trPr>
        <w:tc>
          <w:tcPr>
            <w:tcW w:w="2122" w:type="dxa"/>
          </w:tcPr>
          <w:p w14:paraId="50B5B77C" w14:textId="4363CEBD" w:rsidR="00FE1D0C" w:rsidRDefault="5DE3A033" w:rsidP="00873AF3">
            <w:pPr>
              <w:pStyle w:val="COMTabletext"/>
              <w:ind w:left="107"/>
            </w:pPr>
            <w:r w:rsidRPr="7E0DBB7D">
              <w:t>TEAE requiring dose change</w:t>
            </w:r>
          </w:p>
        </w:tc>
        <w:tc>
          <w:tcPr>
            <w:tcW w:w="1379" w:type="dxa"/>
            <w:vAlign w:val="center"/>
          </w:tcPr>
          <w:p w14:paraId="664CDF18" w14:textId="77777777" w:rsidR="00FE1D0C" w:rsidRPr="00F26580" w:rsidRDefault="00FE1D0C" w:rsidP="00873AF3">
            <w:pPr>
              <w:pStyle w:val="COMTabletext"/>
              <w:ind w:left="107"/>
              <w:jc w:val="center"/>
              <w:rPr>
                <w:szCs w:val="20"/>
              </w:rPr>
            </w:pPr>
            <w:r>
              <w:rPr>
                <w:szCs w:val="20"/>
              </w:rPr>
              <w:t>NR</w:t>
            </w:r>
          </w:p>
        </w:tc>
        <w:tc>
          <w:tcPr>
            <w:tcW w:w="1379" w:type="dxa"/>
            <w:vAlign w:val="center"/>
          </w:tcPr>
          <w:p w14:paraId="2E178DC3" w14:textId="77777777" w:rsidR="00FE1D0C" w:rsidRPr="00F26580" w:rsidRDefault="00FE1D0C" w:rsidP="00873AF3">
            <w:pPr>
              <w:pStyle w:val="COMTabletext"/>
              <w:ind w:left="107"/>
              <w:jc w:val="center"/>
              <w:rPr>
                <w:szCs w:val="20"/>
              </w:rPr>
            </w:pPr>
            <w:r>
              <w:rPr>
                <w:szCs w:val="20"/>
              </w:rPr>
              <w:t>NR</w:t>
            </w:r>
          </w:p>
        </w:tc>
        <w:tc>
          <w:tcPr>
            <w:tcW w:w="1379" w:type="dxa"/>
            <w:vAlign w:val="center"/>
          </w:tcPr>
          <w:p w14:paraId="58A636D9" w14:textId="77777777" w:rsidR="00FE1D0C" w:rsidRPr="00F26580" w:rsidRDefault="00FE1D0C" w:rsidP="00873AF3">
            <w:pPr>
              <w:pStyle w:val="COMTabletext"/>
              <w:ind w:left="107"/>
              <w:jc w:val="center"/>
              <w:rPr>
                <w:szCs w:val="20"/>
              </w:rPr>
            </w:pPr>
            <w:r>
              <w:rPr>
                <w:szCs w:val="20"/>
              </w:rPr>
              <w:t>NR</w:t>
            </w:r>
          </w:p>
        </w:tc>
        <w:tc>
          <w:tcPr>
            <w:tcW w:w="1379" w:type="dxa"/>
            <w:vAlign w:val="center"/>
          </w:tcPr>
          <w:p w14:paraId="7B9307D5" w14:textId="77777777" w:rsidR="00FE1D0C" w:rsidRPr="00F26580" w:rsidRDefault="00FE1D0C" w:rsidP="00873AF3">
            <w:pPr>
              <w:pStyle w:val="COMTabletext"/>
              <w:ind w:left="107"/>
              <w:jc w:val="center"/>
              <w:rPr>
                <w:szCs w:val="20"/>
              </w:rPr>
            </w:pPr>
            <w:r w:rsidRPr="00F26580">
              <w:rPr>
                <w:szCs w:val="20"/>
              </w:rPr>
              <w:t>1 (2.4)</w:t>
            </w:r>
          </w:p>
        </w:tc>
        <w:tc>
          <w:tcPr>
            <w:tcW w:w="1379" w:type="dxa"/>
            <w:vAlign w:val="center"/>
          </w:tcPr>
          <w:p w14:paraId="52A070E3" w14:textId="77777777" w:rsidR="00FE1D0C" w:rsidRPr="00F26580" w:rsidRDefault="00FE1D0C" w:rsidP="00873AF3">
            <w:pPr>
              <w:pStyle w:val="COMTabletext"/>
              <w:ind w:left="107"/>
              <w:jc w:val="center"/>
              <w:rPr>
                <w:rFonts w:cstheme="minorHAnsi"/>
                <w:szCs w:val="20"/>
              </w:rPr>
            </w:pPr>
            <w:r w:rsidRPr="00F26580">
              <w:rPr>
                <w:rFonts w:cstheme="minorHAnsi"/>
                <w:szCs w:val="20"/>
              </w:rPr>
              <w:t>4 (2.5)</w:t>
            </w:r>
          </w:p>
        </w:tc>
      </w:tr>
      <w:tr w:rsidR="00FE1D0C" w14:paraId="34B0AAA4" w14:textId="77777777" w:rsidTr="7E0DBB7D">
        <w:trPr>
          <w:trHeight w:val="20"/>
        </w:trPr>
        <w:tc>
          <w:tcPr>
            <w:tcW w:w="2122" w:type="dxa"/>
          </w:tcPr>
          <w:p w14:paraId="52A4190B" w14:textId="77777777" w:rsidR="00FE1D0C" w:rsidRPr="00E87122" w:rsidRDefault="00FE1D0C" w:rsidP="00873AF3">
            <w:pPr>
              <w:pStyle w:val="COMTabletext"/>
              <w:ind w:left="107"/>
            </w:pPr>
            <w:r w:rsidRPr="00DD1665">
              <w:t>Treatment-related TEAEs</w:t>
            </w:r>
            <w:r>
              <w:t xml:space="preserve"> </w:t>
            </w:r>
            <w:r>
              <w:rPr>
                <w:vertAlign w:val="superscript"/>
              </w:rPr>
              <w:t>a</w:t>
            </w:r>
          </w:p>
        </w:tc>
        <w:tc>
          <w:tcPr>
            <w:tcW w:w="1379" w:type="dxa"/>
            <w:vAlign w:val="center"/>
          </w:tcPr>
          <w:p w14:paraId="7C618F23" w14:textId="77777777" w:rsidR="00FE1D0C" w:rsidRPr="00F26580" w:rsidRDefault="00FE1D0C" w:rsidP="00873AF3">
            <w:pPr>
              <w:pStyle w:val="COMTabletext"/>
              <w:ind w:left="107"/>
              <w:jc w:val="center"/>
              <w:rPr>
                <w:szCs w:val="20"/>
              </w:rPr>
            </w:pPr>
            <w:r w:rsidRPr="00F26580">
              <w:rPr>
                <w:szCs w:val="20"/>
              </w:rPr>
              <w:t>32 (50.0)</w:t>
            </w:r>
          </w:p>
        </w:tc>
        <w:tc>
          <w:tcPr>
            <w:tcW w:w="1379" w:type="dxa"/>
            <w:vAlign w:val="center"/>
          </w:tcPr>
          <w:p w14:paraId="45BD313E" w14:textId="77777777" w:rsidR="00FE1D0C" w:rsidRPr="00F26580" w:rsidRDefault="00FE1D0C" w:rsidP="00873AF3">
            <w:pPr>
              <w:pStyle w:val="COMTabletext"/>
              <w:ind w:left="107"/>
              <w:jc w:val="center"/>
              <w:rPr>
                <w:szCs w:val="20"/>
              </w:rPr>
            </w:pPr>
            <w:r w:rsidRPr="00F26580">
              <w:rPr>
                <w:szCs w:val="20"/>
              </w:rPr>
              <w:t>39 (56.5)</w:t>
            </w:r>
          </w:p>
        </w:tc>
        <w:tc>
          <w:tcPr>
            <w:tcW w:w="1379" w:type="dxa"/>
            <w:vAlign w:val="center"/>
          </w:tcPr>
          <w:p w14:paraId="0616F75C" w14:textId="77777777" w:rsidR="00FE1D0C" w:rsidRPr="00F26580" w:rsidRDefault="00FE1D0C" w:rsidP="00873AF3">
            <w:pPr>
              <w:pStyle w:val="COMTabletext"/>
              <w:ind w:left="107"/>
              <w:jc w:val="center"/>
              <w:rPr>
                <w:rFonts w:cstheme="minorHAnsi"/>
                <w:szCs w:val="20"/>
              </w:rPr>
            </w:pPr>
            <w:r w:rsidRPr="00F26580">
              <w:rPr>
                <w:szCs w:val="20"/>
              </w:rPr>
              <w:t>22 (32.8)</w:t>
            </w:r>
          </w:p>
        </w:tc>
        <w:tc>
          <w:tcPr>
            <w:tcW w:w="1379" w:type="dxa"/>
            <w:vAlign w:val="center"/>
          </w:tcPr>
          <w:p w14:paraId="3A1C441D" w14:textId="77777777" w:rsidR="00FE1D0C" w:rsidRPr="00F26580" w:rsidRDefault="00FE1D0C" w:rsidP="00873AF3">
            <w:pPr>
              <w:pStyle w:val="COMTabletext"/>
              <w:ind w:left="107"/>
              <w:jc w:val="center"/>
              <w:rPr>
                <w:rFonts w:cstheme="minorHAnsi"/>
                <w:szCs w:val="20"/>
              </w:rPr>
            </w:pPr>
            <w:r>
              <w:rPr>
                <w:szCs w:val="20"/>
              </w:rPr>
              <w:t>41 (58.6</w:t>
            </w:r>
            <w:r w:rsidRPr="00F26580">
              <w:rPr>
                <w:szCs w:val="20"/>
              </w:rPr>
              <w:t>)</w:t>
            </w:r>
          </w:p>
        </w:tc>
        <w:tc>
          <w:tcPr>
            <w:tcW w:w="1379" w:type="dxa"/>
            <w:vAlign w:val="center"/>
          </w:tcPr>
          <w:p w14:paraId="696DCF25" w14:textId="77777777" w:rsidR="00FE1D0C" w:rsidRPr="00F26580" w:rsidRDefault="00FE1D0C" w:rsidP="00873AF3">
            <w:pPr>
              <w:pStyle w:val="COMTabletext"/>
              <w:ind w:left="107"/>
              <w:jc w:val="center"/>
              <w:rPr>
                <w:rFonts w:cstheme="minorHAnsi"/>
                <w:szCs w:val="20"/>
              </w:rPr>
            </w:pPr>
            <w:r w:rsidRPr="00F26580">
              <w:rPr>
                <w:rFonts w:cstheme="minorHAnsi"/>
                <w:szCs w:val="20"/>
              </w:rPr>
              <w:t>88 (56.1)</w:t>
            </w:r>
          </w:p>
        </w:tc>
      </w:tr>
      <w:tr w:rsidR="00FE1D0C" w14:paraId="3AAFF015" w14:textId="77777777" w:rsidTr="7E0DBB7D">
        <w:trPr>
          <w:trHeight w:val="20"/>
        </w:trPr>
        <w:tc>
          <w:tcPr>
            <w:tcW w:w="2122" w:type="dxa"/>
          </w:tcPr>
          <w:p w14:paraId="788F1424" w14:textId="77777777" w:rsidR="00FE1D0C" w:rsidRPr="00E87122" w:rsidRDefault="00FE1D0C" w:rsidP="00873AF3">
            <w:pPr>
              <w:pStyle w:val="COMTabletext"/>
              <w:ind w:left="107"/>
              <w:rPr>
                <w:vertAlign w:val="superscript"/>
              </w:rPr>
            </w:pPr>
            <w:r w:rsidRPr="00DD1665">
              <w:t>Severe TEAEs</w:t>
            </w:r>
            <w:r>
              <w:t xml:space="preserve"> </w:t>
            </w:r>
            <w:r>
              <w:rPr>
                <w:vertAlign w:val="superscript"/>
              </w:rPr>
              <w:t>b</w:t>
            </w:r>
          </w:p>
        </w:tc>
        <w:tc>
          <w:tcPr>
            <w:tcW w:w="1379" w:type="dxa"/>
            <w:vAlign w:val="center"/>
          </w:tcPr>
          <w:p w14:paraId="24049C9F" w14:textId="77777777" w:rsidR="00FE1D0C" w:rsidRPr="00F26580" w:rsidRDefault="00FE1D0C" w:rsidP="00873AF3">
            <w:pPr>
              <w:pStyle w:val="COMTabletext"/>
              <w:ind w:left="107"/>
              <w:jc w:val="center"/>
              <w:rPr>
                <w:szCs w:val="20"/>
              </w:rPr>
            </w:pPr>
            <w:r w:rsidRPr="00F26580">
              <w:rPr>
                <w:szCs w:val="20"/>
              </w:rPr>
              <w:t>3 (4.7)</w:t>
            </w:r>
          </w:p>
        </w:tc>
        <w:tc>
          <w:tcPr>
            <w:tcW w:w="1379" w:type="dxa"/>
            <w:vAlign w:val="center"/>
          </w:tcPr>
          <w:p w14:paraId="5FF936D5" w14:textId="77777777" w:rsidR="00FE1D0C" w:rsidRPr="00F26580" w:rsidRDefault="00FE1D0C" w:rsidP="00873AF3">
            <w:pPr>
              <w:pStyle w:val="COMTabletext"/>
              <w:ind w:left="107"/>
              <w:jc w:val="center"/>
              <w:rPr>
                <w:szCs w:val="20"/>
              </w:rPr>
            </w:pPr>
            <w:r w:rsidRPr="00F26580">
              <w:rPr>
                <w:szCs w:val="20"/>
              </w:rPr>
              <w:t>13 (18.8)</w:t>
            </w:r>
          </w:p>
        </w:tc>
        <w:tc>
          <w:tcPr>
            <w:tcW w:w="1379" w:type="dxa"/>
            <w:vAlign w:val="center"/>
          </w:tcPr>
          <w:p w14:paraId="76B9769F" w14:textId="77777777" w:rsidR="00FE1D0C" w:rsidRPr="00F26580" w:rsidRDefault="00FE1D0C" w:rsidP="00873AF3">
            <w:pPr>
              <w:pStyle w:val="COMTabletext"/>
              <w:ind w:left="107"/>
              <w:jc w:val="center"/>
              <w:rPr>
                <w:rFonts w:cstheme="minorHAnsi"/>
                <w:szCs w:val="20"/>
              </w:rPr>
            </w:pPr>
            <w:r w:rsidRPr="00F26580">
              <w:rPr>
                <w:szCs w:val="20"/>
              </w:rPr>
              <w:t>3 (4.5)</w:t>
            </w:r>
          </w:p>
        </w:tc>
        <w:tc>
          <w:tcPr>
            <w:tcW w:w="1379" w:type="dxa"/>
            <w:vAlign w:val="center"/>
          </w:tcPr>
          <w:p w14:paraId="4408AB85" w14:textId="77777777" w:rsidR="00FE1D0C" w:rsidRPr="00F26580" w:rsidRDefault="00FE1D0C" w:rsidP="00873AF3">
            <w:pPr>
              <w:pStyle w:val="COMTabletext"/>
              <w:ind w:left="107"/>
              <w:jc w:val="center"/>
              <w:rPr>
                <w:rFonts w:cstheme="minorHAnsi"/>
                <w:szCs w:val="20"/>
              </w:rPr>
            </w:pPr>
            <w:r>
              <w:rPr>
                <w:szCs w:val="20"/>
              </w:rPr>
              <w:t>17 (24.3</w:t>
            </w:r>
            <w:r w:rsidRPr="00F26580">
              <w:rPr>
                <w:szCs w:val="20"/>
              </w:rPr>
              <w:t>)</w:t>
            </w:r>
          </w:p>
        </w:tc>
        <w:tc>
          <w:tcPr>
            <w:tcW w:w="1379" w:type="dxa"/>
            <w:vAlign w:val="center"/>
          </w:tcPr>
          <w:p w14:paraId="1BA8ED9A" w14:textId="77777777" w:rsidR="00FE1D0C" w:rsidRPr="00F26580" w:rsidRDefault="00FE1D0C" w:rsidP="00873AF3">
            <w:pPr>
              <w:pStyle w:val="COMTabletext"/>
              <w:ind w:left="107"/>
              <w:jc w:val="center"/>
              <w:rPr>
                <w:rFonts w:cstheme="minorHAnsi"/>
                <w:szCs w:val="20"/>
              </w:rPr>
            </w:pPr>
            <w:r w:rsidRPr="00F26580">
              <w:rPr>
                <w:rFonts w:cstheme="minorHAnsi"/>
                <w:szCs w:val="20"/>
              </w:rPr>
              <w:t>47 (29.9)</w:t>
            </w:r>
          </w:p>
        </w:tc>
      </w:tr>
      <w:tr w:rsidR="00FE1D0C" w14:paraId="396B63E9" w14:textId="77777777" w:rsidTr="7E0DBB7D">
        <w:trPr>
          <w:trHeight w:val="20"/>
        </w:trPr>
        <w:tc>
          <w:tcPr>
            <w:tcW w:w="2122" w:type="dxa"/>
          </w:tcPr>
          <w:p w14:paraId="0A9A25E1" w14:textId="77777777" w:rsidR="00FE1D0C" w:rsidRPr="00DD1665" w:rsidRDefault="00FE1D0C" w:rsidP="00873AF3">
            <w:pPr>
              <w:pStyle w:val="COMTabletext"/>
              <w:ind w:left="107"/>
            </w:pPr>
            <w:r w:rsidRPr="00DD1665">
              <w:t>All deaths</w:t>
            </w:r>
          </w:p>
          <w:p w14:paraId="56ABF0D1" w14:textId="77777777" w:rsidR="00FE1D0C" w:rsidRPr="00DD1665" w:rsidRDefault="00FE1D0C" w:rsidP="00873AF3">
            <w:pPr>
              <w:pStyle w:val="COMTabletext"/>
              <w:ind w:left="107"/>
            </w:pPr>
            <w:r w:rsidRPr="00DD1665">
              <w:t>(AEs leading to deaths)</w:t>
            </w:r>
          </w:p>
        </w:tc>
        <w:tc>
          <w:tcPr>
            <w:tcW w:w="1379" w:type="dxa"/>
            <w:vAlign w:val="center"/>
          </w:tcPr>
          <w:p w14:paraId="1D427817" w14:textId="77777777" w:rsidR="00FE1D0C" w:rsidRPr="00F26580" w:rsidRDefault="00FE1D0C" w:rsidP="00873AF3">
            <w:pPr>
              <w:pStyle w:val="COMTabletext"/>
              <w:ind w:left="107"/>
              <w:jc w:val="center"/>
              <w:rPr>
                <w:szCs w:val="20"/>
              </w:rPr>
            </w:pPr>
            <w:r w:rsidRPr="00821AA6">
              <w:rPr>
                <w:szCs w:val="20"/>
              </w:rPr>
              <w:t>0 (0)</w:t>
            </w:r>
          </w:p>
        </w:tc>
        <w:tc>
          <w:tcPr>
            <w:tcW w:w="1379" w:type="dxa"/>
            <w:vAlign w:val="center"/>
          </w:tcPr>
          <w:p w14:paraId="1A05CEFE" w14:textId="77777777" w:rsidR="00FE1D0C" w:rsidRPr="00F26580" w:rsidRDefault="00FE1D0C" w:rsidP="00873AF3">
            <w:pPr>
              <w:pStyle w:val="COMTabletext"/>
              <w:ind w:left="107"/>
              <w:jc w:val="center"/>
              <w:rPr>
                <w:szCs w:val="20"/>
              </w:rPr>
            </w:pPr>
            <w:r w:rsidRPr="00821AA6">
              <w:rPr>
                <w:szCs w:val="20"/>
              </w:rPr>
              <w:t>0 (0)</w:t>
            </w:r>
          </w:p>
        </w:tc>
        <w:tc>
          <w:tcPr>
            <w:tcW w:w="1379" w:type="dxa"/>
            <w:vAlign w:val="center"/>
          </w:tcPr>
          <w:p w14:paraId="6BE2A86F" w14:textId="77777777" w:rsidR="00FE1D0C" w:rsidRPr="00F26580" w:rsidRDefault="00FE1D0C" w:rsidP="00873AF3">
            <w:pPr>
              <w:pStyle w:val="COMTabletext"/>
              <w:ind w:left="107"/>
              <w:jc w:val="center"/>
              <w:rPr>
                <w:rFonts w:cstheme="minorHAnsi"/>
                <w:szCs w:val="20"/>
              </w:rPr>
            </w:pPr>
            <w:r w:rsidRPr="00821AA6">
              <w:rPr>
                <w:szCs w:val="20"/>
              </w:rPr>
              <w:t>0 (0)</w:t>
            </w:r>
          </w:p>
        </w:tc>
        <w:tc>
          <w:tcPr>
            <w:tcW w:w="1379" w:type="dxa"/>
            <w:vAlign w:val="center"/>
          </w:tcPr>
          <w:p w14:paraId="71649312" w14:textId="77777777" w:rsidR="00FE1D0C" w:rsidRPr="00F26580" w:rsidRDefault="00FE1D0C" w:rsidP="00873AF3">
            <w:pPr>
              <w:pStyle w:val="COMTabletext"/>
              <w:ind w:left="107"/>
              <w:jc w:val="center"/>
              <w:rPr>
                <w:rFonts w:cstheme="minorHAnsi"/>
                <w:szCs w:val="20"/>
              </w:rPr>
            </w:pPr>
            <w:r w:rsidRPr="00821AA6">
              <w:rPr>
                <w:szCs w:val="20"/>
              </w:rPr>
              <w:t>0 (0)</w:t>
            </w:r>
          </w:p>
        </w:tc>
        <w:tc>
          <w:tcPr>
            <w:tcW w:w="1379" w:type="dxa"/>
            <w:vAlign w:val="center"/>
          </w:tcPr>
          <w:p w14:paraId="3A6B1758" w14:textId="77777777" w:rsidR="00FE1D0C" w:rsidRPr="00F26580" w:rsidRDefault="00FE1D0C" w:rsidP="00873AF3">
            <w:pPr>
              <w:pStyle w:val="COMTabletext"/>
              <w:ind w:left="107"/>
              <w:jc w:val="center"/>
              <w:rPr>
                <w:rFonts w:cstheme="minorHAnsi"/>
                <w:szCs w:val="20"/>
              </w:rPr>
            </w:pPr>
            <w:r w:rsidRPr="00F26580">
              <w:rPr>
                <w:rFonts w:cstheme="minorHAnsi"/>
                <w:szCs w:val="20"/>
              </w:rPr>
              <w:t>4 (2.5)</w:t>
            </w:r>
          </w:p>
        </w:tc>
      </w:tr>
      <w:tr w:rsidR="00FE1D0C" w14:paraId="4AB78FB6" w14:textId="77777777" w:rsidTr="7E0DBB7D">
        <w:trPr>
          <w:trHeight w:val="20"/>
        </w:trPr>
        <w:tc>
          <w:tcPr>
            <w:tcW w:w="9017" w:type="dxa"/>
            <w:gridSpan w:val="6"/>
          </w:tcPr>
          <w:p w14:paraId="67E4AC6C" w14:textId="77777777" w:rsidR="00FE1D0C" w:rsidRPr="002D0C85" w:rsidRDefault="00FE1D0C" w:rsidP="00873AF3">
            <w:pPr>
              <w:pStyle w:val="COMTableheadingrow"/>
              <w:ind w:left="107"/>
              <w:rPr>
                <w:rFonts w:asciiTheme="minorHAnsi" w:hAnsiTheme="minorHAnsi" w:cstheme="minorHAnsi"/>
              </w:rPr>
            </w:pPr>
            <w:r>
              <w:t>Adverse events of interest</w:t>
            </w:r>
          </w:p>
        </w:tc>
      </w:tr>
      <w:tr w:rsidR="00FE1D0C" w14:paraId="5AE1B76A" w14:textId="77777777" w:rsidTr="7E0DBB7D">
        <w:trPr>
          <w:trHeight w:val="275"/>
        </w:trPr>
        <w:tc>
          <w:tcPr>
            <w:tcW w:w="2122" w:type="dxa"/>
          </w:tcPr>
          <w:p w14:paraId="7F112935" w14:textId="77777777" w:rsidR="00FE1D0C" w:rsidRPr="00DD1665" w:rsidRDefault="00FE1D0C" w:rsidP="00873AF3">
            <w:pPr>
              <w:pStyle w:val="COMTabletext"/>
              <w:ind w:left="107"/>
            </w:pPr>
            <w:r>
              <w:t>Hy’s Law (liver injury)</w:t>
            </w:r>
          </w:p>
        </w:tc>
        <w:tc>
          <w:tcPr>
            <w:tcW w:w="1379" w:type="dxa"/>
          </w:tcPr>
          <w:p w14:paraId="5066CC44" w14:textId="77777777" w:rsidR="00FE1D0C" w:rsidRPr="00F26580" w:rsidRDefault="00FE1D0C" w:rsidP="00873AF3">
            <w:pPr>
              <w:pStyle w:val="COMTabletext"/>
              <w:ind w:left="107"/>
              <w:jc w:val="center"/>
              <w:rPr>
                <w:szCs w:val="20"/>
              </w:rPr>
            </w:pPr>
            <w:r w:rsidRPr="009833C0">
              <w:rPr>
                <w:szCs w:val="20"/>
              </w:rPr>
              <w:t>0 (0)</w:t>
            </w:r>
          </w:p>
        </w:tc>
        <w:tc>
          <w:tcPr>
            <w:tcW w:w="1379" w:type="dxa"/>
          </w:tcPr>
          <w:p w14:paraId="12B729D8" w14:textId="77777777" w:rsidR="00FE1D0C" w:rsidRPr="00F26580" w:rsidRDefault="00FE1D0C" w:rsidP="00873AF3">
            <w:pPr>
              <w:pStyle w:val="COMTabletext"/>
              <w:ind w:left="107"/>
              <w:jc w:val="center"/>
              <w:rPr>
                <w:szCs w:val="20"/>
              </w:rPr>
            </w:pPr>
            <w:r w:rsidRPr="009833C0">
              <w:rPr>
                <w:szCs w:val="20"/>
              </w:rPr>
              <w:t>0 (0)</w:t>
            </w:r>
          </w:p>
        </w:tc>
        <w:tc>
          <w:tcPr>
            <w:tcW w:w="1379" w:type="dxa"/>
          </w:tcPr>
          <w:p w14:paraId="17CCEE7B" w14:textId="77777777" w:rsidR="00FE1D0C" w:rsidRPr="00F26580" w:rsidRDefault="00FE1D0C" w:rsidP="00873AF3">
            <w:pPr>
              <w:pStyle w:val="COMTabletext"/>
              <w:ind w:left="107"/>
              <w:jc w:val="center"/>
              <w:rPr>
                <w:szCs w:val="20"/>
              </w:rPr>
            </w:pPr>
            <w:r w:rsidRPr="009833C0">
              <w:rPr>
                <w:szCs w:val="20"/>
              </w:rPr>
              <w:t>0 (0)</w:t>
            </w:r>
          </w:p>
        </w:tc>
        <w:tc>
          <w:tcPr>
            <w:tcW w:w="1379" w:type="dxa"/>
          </w:tcPr>
          <w:p w14:paraId="2BE5A234" w14:textId="77777777" w:rsidR="00FE1D0C" w:rsidRPr="007B3E02" w:rsidRDefault="00FE1D0C" w:rsidP="00873AF3">
            <w:pPr>
              <w:pStyle w:val="COMTabletext"/>
              <w:ind w:left="107"/>
              <w:jc w:val="center"/>
              <w:rPr>
                <w:szCs w:val="20"/>
                <w:highlight w:val="yellow"/>
              </w:rPr>
            </w:pPr>
            <w:r w:rsidRPr="00996EDC">
              <w:rPr>
                <w:szCs w:val="20"/>
              </w:rPr>
              <w:t>0 (0)</w:t>
            </w:r>
          </w:p>
        </w:tc>
        <w:tc>
          <w:tcPr>
            <w:tcW w:w="1379" w:type="dxa"/>
            <w:vAlign w:val="center"/>
          </w:tcPr>
          <w:p w14:paraId="238C5D3D" w14:textId="77777777" w:rsidR="00FE1D0C" w:rsidRPr="00F26580" w:rsidRDefault="00FE1D0C" w:rsidP="00873AF3">
            <w:pPr>
              <w:pStyle w:val="COMTabletext"/>
              <w:ind w:left="107"/>
              <w:jc w:val="center"/>
              <w:rPr>
                <w:rFonts w:cstheme="minorHAnsi"/>
                <w:szCs w:val="20"/>
              </w:rPr>
            </w:pPr>
            <w:r w:rsidRPr="00F26580">
              <w:rPr>
                <w:rFonts w:cstheme="minorHAnsi"/>
                <w:szCs w:val="20"/>
              </w:rPr>
              <w:t>0</w:t>
            </w:r>
            <w:r>
              <w:rPr>
                <w:rFonts w:cstheme="minorHAnsi"/>
                <w:szCs w:val="20"/>
              </w:rPr>
              <w:t xml:space="preserve"> (0)</w:t>
            </w:r>
          </w:p>
        </w:tc>
      </w:tr>
      <w:tr w:rsidR="00FE1D0C" w14:paraId="7E220066" w14:textId="77777777" w:rsidTr="7E0DBB7D">
        <w:trPr>
          <w:trHeight w:val="20"/>
        </w:trPr>
        <w:tc>
          <w:tcPr>
            <w:tcW w:w="2122" w:type="dxa"/>
          </w:tcPr>
          <w:p w14:paraId="20463793" w14:textId="77777777" w:rsidR="00FE1D0C" w:rsidRDefault="00FE1D0C" w:rsidP="00873AF3">
            <w:pPr>
              <w:pStyle w:val="COMTabletext"/>
              <w:ind w:left="107"/>
            </w:pPr>
            <w:r>
              <w:t>Severe headache</w:t>
            </w:r>
          </w:p>
        </w:tc>
        <w:tc>
          <w:tcPr>
            <w:tcW w:w="1379" w:type="dxa"/>
            <w:vAlign w:val="center"/>
          </w:tcPr>
          <w:p w14:paraId="40CEC29E" w14:textId="77777777" w:rsidR="00FE1D0C" w:rsidRPr="00F26580" w:rsidRDefault="00FE1D0C" w:rsidP="00873AF3">
            <w:pPr>
              <w:pStyle w:val="COMTabletext"/>
              <w:ind w:left="107"/>
              <w:jc w:val="center"/>
              <w:rPr>
                <w:szCs w:val="20"/>
              </w:rPr>
            </w:pPr>
            <w:r w:rsidRPr="00F26580">
              <w:rPr>
                <w:szCs w:val="20"/>
              </w:rPr>
              <w:t>1 (1.6)</w:t>
            </w:r>
          </w:p>
        </w:tc>
        <w:tc>
          <w:tcPr>
            <w:tcW w:w="1379" w:type="dxa"/>
            <w:vAlign w:val="center"/>
          </w:tcPr>
          <w:p w14:paraId="570CF46C" w14:textId="77777777" w:rsidR="00FE1D0C" w:rsidRPr="00F26580" w:rsidRDefault="00FE1D0C" w:rsidP="00873AF3">
            <w:pPr>
              <w:pStyle w:val="COMTabletext"/>
              <w:ind w:left="107"/>
              <w:jc w:val="center"/>
              <w:rPr>
                <w:szCs w:val="20"/>
              </w:rPr>
            </w:pPr>
            <w:r w:rsidRPr="00F26580">
              <w:rPr>
                <w:szCs w:val="20"/>
              </w:rPr>
              <w:t>6 (8.7)</w:t>
            </w:r>
          </w:p>
        </w:tc>
        <w:tc>
          <w:tcPr>
            <w:tcW w:w="1379" w:type="dxa"/>
            <w:vAlign w:val="center"/>
          </w:tcPr>
          <w:p w14:paraId="2709C8F3" w14:textId="77777777" w:rsidR="00FE1D0C" w:rsidRPr="00F26580" w:rsidRDefault="00FE1D0C" w:rsidP="00873AF3">
            <w:pPr>
              <w:pStyle w:val="COMTabletext"/>
              <w:ind w:left="107"/>
              <w:jc w:val="center"/>
              <w:rPr>
                <w:szCs w:val="20"/>
              </w:rPr>
            </w:pPr>
            <w:r w:rsidRPr="00F26580">
              <w:rPr>
                <w:szCs w:val="20"/>
              </w:rPr>
              <w:t>0 (0)</w:t>
            </w:r>
          </w:p>
        </w:tc>
        <w:tc>
          <w:tcPr>
            <w:tcW w:w="1379" w:type="dxa"/>
            <w:vAlign w:val="center"/>
          </w:tcPr>
          <w:p w14:paraId="3D6ED377" w14:textId="77777777" w:rsidR="00FE1D0C" w:rsidRPr="007B3E02" w:rsidRDefault="00FE1D0C" w:rsidP="00873AF3">
            <w:pPr>
              <w:pStyle w:val="COMTabletext"/>
              <w:ind w:left="107"/>
              <w:jc w:val="center"/>
              <w:rPr>
                <w:szCs w:val="20"/>
                <w:highlight w:val="yellow"/>
              </w:rPr>
            </w:pPr>
            <w:r w:rsidRPr="00F97E9A">
              <w:rPr>
                <w:szCs w:val="20"/>
              </w:rPr>
              <w:t>5 (7.1)</w:t>
            </w:r>
          </w:p>
        </w:tc>
        <w:tc>
          <w:tcPr>
            <w:tcW w:w="1379" w:type="dxa"/>
            <w:vAlign w:val="center"/>
          </w:tcPr>
          <w:p w14:paraId="5FB3571E" w14:textId="77777777" w:rsidR="00FE1D0C" w:rsidRPr="00F26580" w:rsidRDefault="00FE1D0C" w:rsidP="00873AF3">
            <w:pPr>
              <w:pStyle w:val="COMTabletext"/>
              <w:ind w:left="107"/>
              <w:jc w:val="center"/>
              <w:rPr>
                <w:rFonts w:cstheme="minorHAnsi"/>
                <w:szCs w:val="20"/>
              </w:rPr>
            </w:pPr>
            <w:r>
              <w:rPr>
                <w:rFonts w:cstheme="minorHAnsi"/>
                <w:szCs w:val="20"/>
              </w:rPr>
              <w:t>1 (0.6)</w:t>
            </w:r>
          </w:p>
        </w:tc>
      </w:tr>
      <w:tr w:rsidR="00FE1D0C" w14:paraId="2CD0C131" w14:textId="77777777" w:rsidTr="7E0DBB7D">
        <w:trPr>
          <w:trHeight w:val="20"/>
        </w:trPr>
        <w:tc>
          <w:tcPr>
            <w:tcW w:w="2122" w:type="dxa"/>
          </w:tcPr>
          <w:p w14:paraId="79763579" w14:textId="77777777" w:rsidR="00FE1D0C" w:rsidRDefault="00FE1D0C" w:rsidP="00873AF3">
            <w:pPr>
              <w:pStyle w:val="COMTabletext"/>
              <w:ind w:left="107"/>
            </w:pPr>
            <w:r>
              <w:t>Severe diarrhoea</w:t>
            </w:r>
          </w:p>
        </w:tc>
        <w:tc>
          <w:tcPr>
            <w:tcW w:w="1379" w:type="dxa"/>
            <w:vAlign w:val="center"/>
          </w:tcPr>
          <w:p w14:paraId="46EE5CDE" w14:textId="77777777" w:rsidR="00FE1D0C" w:rsidRPr="00F26580" w:rsidRDefault="00FE1D0C" w:rsidP="00873AF3">
            <w:pPr>
              <w:pStyle w:val="COMTabletext"/>
              <w:ind w:left="107"/>
              <w:jc w:val="center"/>
              <w:rPr>
                <w:szCs w:val="20"/>
              </w:rPr>
            </w:pPr>
            <w:r w:rsidRPr="00F26580">
              <w:rPr>
                <w:szCs w:val="20"/>
              </w:rPr>
              <w:t>0 (0)</w:t>
            </w:r>
          </w:p>
        </w:tc>
        <w:tc>
          <w:tcPr>
            <w:tcW w:w="1379" w:type="dxa"/>
            <w:vAlign w:val="center"/>
          </w:tcPr>
          <w:p w14:paraId="416D7881" w14:textId="77777777" w:rsidR="00FE1D0C" w:rsidRPr="00F26580" w:rsidRDefault="00FE1D0C" w:rsidP="00873AF3">
            <w:pPr>
              <w:pStyle w:val="COMTabletext"/>
              <w:ind w:left="107"/>
              <w:jc w:val="center"/>
              <w:rPr>
                <w:szCs w:val="20"/>
              </w:rPr>
            </w:pPr>
            <w:r w:rsidRPr="00F26580">
              <w:rPr>
                <w:szCs w:val="20"/>
              </w:rPr>
              <w:t>2 (2.9)</w:t>
            </w:r>
          </w:p>
        </w:tc>
        <w:tc>
          <w:tcPr>
            <w:tcW w:w="1379" w:type="dxa"/>
            <w:vAlign w:val="center"/>
          </w:tcPr>
          <w:p w14:paraId="1FB4CE1F" w14:textId="77777777" w:rsidR="00FE1D0C" w:rsidRPr="00F26580" w:rsidRDefault="00FE1D0C" w:rsidP="00873AF3">
            <w:pPr>
              <w:pStyle w:val="COMTabletext"/>
              <w:ind w:left="107"/>
              <w:jc w:val="center"/>
              <w:rPr>
                <w:szCs w:val="20"/>
              </w:rPr>
            </w:pPr>
            <w:r w:rsidRPr="00F26580">
              <w:rPr>
                <w:szCs w:val="20"/>
              </w:rPr>
              <w:t>0 (0)</w:t>
            </w:r>
          </w:p>
        </w:tc>
        <w:tc>
          <w:tcPr>
            <w:tcW w:w="1379" w:type="dxa"/>
            <w:vAlign w:val="center"/>
          </w:tcPr>
          <w:p w14:paraId="76544C42" w14:textId="77777777" w:rsidR="00FE1D0C" w:rsidRPr="007B3E02" w:rsidRDefault="00FE1D0C" w:rsidP="00873AF3">
            <w:pPr>
              <w:pStyle w:val="COMTabletext"/>
              <w:ind w:left="107"/>
              <w:jc w:val="center"/>
              <w:rPr>
                <w:szCs w:val="20"/>
                <w:highlight w:val="yellow"/>
              </w:rPr>
            </w:pPr>
            <w:r w:rsidRPr="00EF382D">
              <w:rPr>
                <w:szCs w:val="20"/>
              </w:rPr>
              <w:t>1 (1.4)</w:t>
            </w:r>
          </w:p>
        </w:tc>
        <w:tc>
          <w:tcPr>
            <w:tcW w:w="1379" w:type="dxa"/>
            <w:vAlign w:val="center"/>
          </w:tcPr>
          <w:p w14:paraId="1AFE6761" w14:textId="77777777" w:rsidR="00FE1D0C" w:rsidRPr="00F26580" w:rsidRDefault="00FE1D0C" w:rsidP="00873AF3">
            <w:pPr>
              <w:pStyle w:val="COMTabletext"/>
              <w:ind w:left="107"/>
              <w:jc w:val="center"/>
              <w:rPr>
                <w:rFonts w:cstheme="minorHAnsi"/>
                <w:szCs w:val="20"/>
              </w:rPr>
            </w:pPr>
            <w:r>
              <w:rPr>
                <w:rFonts w:cstheme="minorHAnsi"/>
                <w:szCs w:val="20"/>
              </w:rPr>
              <w:t>1 (0.6)</w:t>
            </w:r>
          </w:p>
        </w:tc>
      </w:tr>
      <w:tr w:rsidR="00FE1D0C" w14:paraId="4626D204" w14:textId="77777777" w:rsidTr="7E0DBB7D">
        <w:trPr>
          <w:trHeight w:val="20"/>
        </w:trPr>
        <w:tc>
          <w:tcPr>
            <w:tcW w:w="2122" w:type="dxa"/>
          </w:tcPr>
          <w:p w14:paraId="5F903D2E" w14:textId="77777777" w:rsidR="00FE1D0C" w:rsidRDefault="00FE1D0C" w:rsidP="00873AF3">
            <w:pPr>
              <w:pStyle w:val="COMTabletext"/>
              <w:ind w:left="107"/>
            </w:pPr>
            <w:r>
              <w:t>Severe vomiting</w:t>
            </w:r>
          </w:p>
        </w:tc>
        <w:tc>
          <w:tcPr>
            <w:tcW w:w="1379" w:type="dxa"/>
            <w:vAlign w:val="center"/>
          </w:tcPr>
          <w:p w14:paraId="3B87F962" w14:textId="77777777" w:rsidR="00FE1D0C" w:rsidRPr="00F26580" w:rsidRDefault="00FE1D0C" w:rsidP="00873AF3">
            <w:pPr>
              <w:pStyle w:val="COMTabletext"/>
              <w:ind w:left="107"/>
              <w:jc w:val="center"/>
              <w:rPr>
                <w:szCs w:val="20"/>
              </w:rPr>
            </w:pPr>
            <w:r w:rsidRPr="00F26580">
              <w:rPr>
                <w:szCs w:val="20"/>
              </w:rPr>
              <w:t>0 (0)</w:t>
            </w:r>
          </w:p>
        </w:tc>
        <w:tc>
          <w:tcPr>
            <w:tcW w:w="1379" w:type="dxa"/>
            <w:vAlign w:val="center"/>
          </w:tcPr>
          <w:p w14:paraId="6A76FF1D" w14:textId="77777777" w:rsidR="00FE1D0C" w:rsidRPr="00F26580" w:rsidRDefault="00FE1D0C" w:rsidP="00873AF3">
            <w:pPr>
              <w:pStyle w:val="COMTabletext"/>
              <w:ind w:left="107"/>
              <w:jc w:val="center"/>
              <w:rPr>
                <w:szCs w:val="20"/>
              </w:rPr>
            </w:pPr>
            <w:r w:rsidRPr="00F26580">
              <w:rPr>
                <w:szCs w:val="20"/>
              </w:rPr>
              <w:t>1 (1.6)</w:t>
            </w:r>
          </w:p>
        </w:tc>
        <w:tc>
          <w:tcPr>
            <w:tcW w:w="1379" w:type="dxa"/>
            <w:vAlign w:val="center"/>
          </w:tcPr>
          <w:p w14:paraId="7225E58E" w14:textId="77777777" w:rsidR="00FE1D0C" w:rsidRPr="00F26580" w:rsidRDefault="00FE1D0C" w:rsidP="00873AF3">
            <w:pPr>
              <w:pStyle w:val="COMTabletext"/>
              <w:ind w:left="107"/>
              <w:jc w:val="center"/>
              <w:rPr>
                <w:szCs w:val="20"/>
              </w:rPr>
            </w:pPr>
            <w:r w:rsidRPr="00F26580">
              <w:rPr>
                <w:szCs w:val="20"/>
              </w:rPr>
              <w:t>0 (0)</w:t>
            </w:r>
          </w:p>
        </w:tc>
        <w:tc>
          <w:tcPr>
            <w:tcW w:w="1379" w:type="dxa"/>
            <w:vAlign w:val="center"/>
          </w:tcPr>
          <w:p w14:paraId="32E4799D" w14:textId="77777777" w:rsidR="00FE1D0C" w:rsidRPr="007B3E02" w:rsidRDefault="00FE1D0C" w:rsidP="00873AF3">
            <w:pPr>
              <w:pStyle w:val="COMTabletext"/>
              <w:ind w:left="107"/>
              <w:jc w:val="center"/>
              <w:rPr>
                <w:szCs w:val="20"/>
                <w:highlight w:val="yellow"/>
              </w:rPr>
            </w:pPr>
            <w:r w:rsidRPr="00EF382D">
              <w:rPr>
                <w:szCs w:val="20"/>
              </w:rPr>
              <w:t>0 (0)</w:t>
            </w:r>
          </w:p>
        </w:tc>
        <w:tc>
          <w:tcPr>
            <w:tcW w:w="1379" w:type="dxa"/>
            <w:vAlign w:val="center"/>
          </w:tcPr>
          <w:p w14:paraId="021A4DC9" w14:textId="77777777" w:rsidR="00FE1D0C" w:rsidRPr="00F26580" w:rsidRDefault="00FE1D0C" w:rsidP="00873AF3">
            <w:pPr>
              <w:pStyle w:val="COMTabletext"/>
              <w:ind w:left="107"/>
              <w:jc w:val="center"/>
              <w:rPr>
                <w:rFonts w:cstheme="minorHAnsi"/>
                <w:szCs w:val="20"/>
              </w:rPr>
            </w:pPr>
            <w:r>
              <w:rPr>
                <w:rFonts w:cstheme="minorHAnsi"/>
                <w:szCs w:val="20"/>
              </w:rPr>
              <w:t>0 (0)</w:t>
            </w:r>
          </w:p>
        </w:tc>
      </w:tr>
      <w:tr w:rsidR="00FE1D0C" w14:paraId="7F61107C" w14:textId="77777777" w:rsidTr="7E0DBB7D">
        <w:trPr>
          <w:trHeight w:val="20"/>
        </w:trPr>
        <w:tc>
          <w:tcPr>
            <w:tcW w:w="2122" w:type="dxa"/>
          </w:tcPr>
          <w:p w14:paraId="5A53AD8F" w14:textId="77777777" w:rsidR="00FE1D0C" w:rsidRDefault="00FE1D0C" w:rsidP="00873AF3">
            <w:pPr>
              <w:pStyle w:val="COMTabletext"/>
              <w:ind w:left="107"/>
            </w:pPr>
            <w:r>
              <w:t>Opportunistic infection</w:t>
            </w:r>
          </w:p>
        </w:tc>
        <w:tc>
          <w:tcPr>
            <w:tcW w:w="1379" w:type="dxa"/>
            <w:vAlign w:val="center"/>
          </w:tcPr>
          <w:p w14:paraId="57362A14" w14:textId="77777777" w:rsidR="00FE1D0C" w:rsidRPr="00F26580" w:rsidRDefault="00FE1D0C" w:rsidP="00873AF3">
            <w:pPr>
              <w:pStyle w:val="COMTabletext"/>
              <w:ind w:left="107"/>
              <w:jc w:val="center"/>
              <w:rPr>
                <w:szCs w:val="20"/>
              </w:rPr>
            </w:pPr>
            <w:r w:rsidRPr="00F26580">
              <w:rPr>
                <w:szCs w:val="20"/>
              </w:rPr>
              <w:t>0 (0)</w:t>
            </w:r>
          </w:p>
        </w:tc>
        <w:tc>
          <w:tcPr>
            <w:tcW w:w="1379" w:type="dxa"/>
            <w:vAlign w:val="center"/>
          </w:tcPr>
          <w:p w14:paraId="53F92704" w14:textId="77777777" w:rsidR="00FE1D0C" w:rsidRPr="00F26580" w:rsidRDefault="00FE1D0C" w:rsidP="00873AF3">
            <w:pPr>
              <w:pStyle w:val="COMTabletext"/>
              <w:ind w:left="107"/>
              <w:jc w:val="center"/>
              <w:rPr>
                <w:szCs w:val="20"/>
              </w:rPr>
            </w:pPr>
            <w:r w:rsidRPr="00F26580">
              <w:rPr>
                <w:szCs w:val="20"/>
              </w:rPr>
              <w:t>0 (0)</w:t>
            </w:r>
          </w:p>
        </w:tc>
        <w:tc>
          <w:tcPr>
            <w:tcW w:w="1379" w:type="dxa"/>
            <w:vAlign w:val="center"/>
          </w:tcPr>
          <w:p w14:paraId="185AB7EC" w14:textId="77777777" w:rsidR="00FE1D0C" w:rsidRPr="00F26580" w:rsidRDefault="00FE1D0C" w:rsidP="00873AF3">
            <w:pPr>
              <w:pStyle w:val="COMTabletext"/>
              <w:ind w:left="107"/>
              <w:jc w:val="center"/>
              <w:rPr>
                <w:szCs w:val="20"/>
              </w:rPr>
            </w:pPr>
            <w:r w:rsidRPr="00F26580">
              <w:rPr>
                <w:szCs w:val="20"/>
              </w:rPr>
              <w:t>0 (0)</w:t>
            </w:r>
          </w:p>
        </w:tc>
        <w:tc>
          <w:tcPr>
            <w:tcW w:w="1379" w:type="dxa"/>
            <w:vAlign w:val="center"/>
          </w:tcPr>
          <w:p w14:paraId="6B4E88B0" w14:textId="77777777" w:rsidR="00FE1D0C" w:rsidRPr="007B3E02" w:rsidRDefault="00FE1D0C" w:rsidP="00873AF3">
            <w:pPr>
              <w:pStyle w:val="COMTabletext"/>
              <w:ind w:left="107"/>
              <w:jc w:val="center"/>
              <w:rPr>
                <w:szCs w:val="20"/>
                <w:highlight w:val="yellow"/>
              </w:rPr>
            </w:pPr>
            <w:r w:rsidRPr="00E37526">
              <w:rPr>
                <w:szCs w:val="20"/>
              </w:rPr>
              <w:t>0 (0)</w:t>
            </w:r>
          </w:p>
        </w:tc>
        <w:tc>
          <w:tcPr>
            <w:tcW w:w="1379" w:type="dxa"/>
            <w:vAlign w:val="center"/>
          </w:tcPr>
          <w:p w14:paraId="3EDEAB5E" w14:textId="77777777" w:rsidR="00FE1D0C" w:rsidRPr="00F26580" w:rsidRDefault="00FE1D0C" w:rsidP="00873AF3">
            <w:pPr>
              <w:pStyle w:val="COMTabletext"/>
              <w:ind w:left="107"/>
              <w:jc w:val="center"/>
              <w:rPr>
                <w:rFonts w:cstheme="minorHAnsi"/>
                <w:szCs w:val="20"/>
              </w:rPr>
            </w:pPr>
            <w:r>
              <w:rPr>
                <w:rFonts w:cstheme="minorHAnsi"/>
                <w:szCs w:val="20"/>
              </w:rPr>
              <w:t>4 (2.5)</w:t>
            </w:r>
          </w:p>
        </w:tc>
      </w:tr>
      <w:tr w:rsidR="00FE1D0C" w14:paraId="320C8370" w14:textId="77777777" w:rsidTr="7E0DBB7D">
        <w:trPr>
          <w:trHeight w:val="20"/>
        </w:trPr>
        <w:tc>
          <w:tcPr>
            <w:tcW w:w="2122" w:type="dxa"/>
          </w:tcPr>
          <w:p w14:paraId="49C24EFF" w14:textId="77777777" w:rsidR="00FE1D0C" w:rsidRDefault="00FE1D0C" w:rsidP="00873AF3">
            <w:pPr>
              <w:pStyle w:val="COMTabletext"/>
              <w:ind w:left="107"/>
            </w:pPr>
            <w:r>
              <w:t>Hypersensitivity reactions</w:t>
            </w:r>
          </w:p>
        </w:tc>
        <w:tc>
          <w:tcPr>
            <w:tcW w:w="1379" w:type="dxa"/>
            <w:vAlign w:val="center"/>
          </w:tcPr>
          <w:p w14:paraId="3E5D607B" w14:textId="77777777" w:rsidR="00FE1D0C" w:rsidRPr="00F26580" w:rsidRDefault="00FE1D0C" w:rsidP="00873AF3">
            <w:pPr>
              <w:pStyle w:val="COMTabletext"/>
              <w:ind w:left="107"/>
              <w:jc w:val="center"/>
              <w:rPr>
                <w:szCs w:val="20"/>
              </w:rPr>
            </w:pPr>
            <w:r w:rsidRPr="00F26580">
              <w:rPr>
                <w:szCs w:val="20"/>
              </w:rPr>
              <w:t>7 (10.9)</w:t>
            </w:r>
          </w:p>
        </w:tc>
        <w:tc>
          <w:tcPr>
            <w:tcW w:w="1379" w:type="dxa"/>
            <w:vAlign w:val="center"/>
          </w:tcPr>
          <w:p w14:paraId="1F4B3257" w14:textId="77777777" w:rsidR="00FE1D0C" w:rsidRPr="00F26580" w:rsidRDefault="00FE1D0C" w:rsidP="00873AF3">
            <w:pPr>
              <w:pStyle w:val="COMTabletext"/>
              <w:ind w:left="107"/>
              <w:jc w:val="center"/>
              <w:rPr>
                <w:szCs w:val="20"/>
              </w:rPr>
            </w:pPr>
            <w:r w:rsidRPr="00F26580">
              <w:rPr>
                <w:szCs w:val="20"/>
              </w:rPr>
              <w:t>4 (5.8)</w:t>
            </w:r>
          </w:p>
        </w:tc>
        <w:tc>
          <w:tcPr>
            <w:tcW w:w="1379" w:type="dxa"/>
            <w:vAlign w:val="center"/>
          </w:tcPr>
          <w:p w14:paraId="22D6FD69" w14:textId="77777777" w:rsidR="00FE1D0C" w:rsidRPr="00F26580" w:rsidRDefault="00FE1D0C" w:rsidP="00873AF3">
            <w:pPr>
              <w:pStyle w:val="COMTabletext"/>
              <w:ind w:left="107"/>
              <w:jc w:val="center"/>
              <w:rPr>
                <w:szCs w:val="20"/>
              </w:rPr>
            </w:pPr>
            <w:r w:rsidRPr="00F26580">
              <w:rPr>
                <w:szCs w:val="20"/>
              </w:rPr>
              <w:t>1 (1.5)</w:t>
            </w:r>
          </w:p>
        </w:tc>
        <w:tc>
          <w:tcPr>
            <w:tcW w:w="1379" w:type="dxa"/>
            <w:vAlign w:val="center"/>
          </w:tcPr>
          <w:p w14:paraId="2CC47BC3" w14:textId="77777777" w:rsidR="00FE1D0C" w:rsidRPr="007B3E02" w:rsidRDefault="00FE1D0C" w:rsidP="00873AF3">
            <w:pPr>
              <w:pStyle w:val="COMTabletext"/>
              <w:ind w:left="107"/>
              <w:jc w:val="center"/>
              <w:rPr>
                <w:szCs w:val="20"/>
                <w:highlight w:val="yellow"/>
              </w:rPr>
            </w:pPr>
            <w:r w:rsidRPr="004364EE">
              <w:rPr>
                <w:szCs w:val="20"/>
              </w:rPr>
              <w:t>12 (17.1)</w:t>
            </w:r>
          </w:p>
        </w:tc>
        <w:tc>
          <w:tcPr>
            <w:tcW w:w="1379" w:type="dxa"/>
            <w:vAlign w:val="center"/>
          </w:tcPr>
          <w:p w14:paraId="08CCC0C9" w14:textId="77777777" w:rsidR="00FE1D0C" w:rsidRPr="00F26580" w:rsidRDefault="00FE1D0C" w:rsidP="00873AF3">
            <w:pPr>
              <w:pStyle w:val="COMTabletext"/>
              <w:ind w:left="107"/>
              <w:jc w:val="center"/>
              <w:rPr>
                <w:rFonts w:cstheme="minorHAnsi"/>
                <w:szCs w:val="20"/>
              </w:rPr>
            </w:pPr>
            <w:r>
              <w:rPr>
                <w:rFonts w:cstheme="minorHAnsi"/>
                <w:szCs w:val="20"/>
              </w:rPr>
              <w:t>21 (13.4)</w:t>
            </w:r>
          </w:p>
        </w:tc>
      </w:tr>
      <w:tr w:rsidR="00FE1D0C" w14:paraId="7D5E9D47" w14:textId="77777777" w:rsidTr="7E0DBB7D">
        <w:trPr>
          <w:trHeight w:val="20"/>
        </w:trPr>
        <w:tc>
          <w:tcPr>
            <w:tcW w:w="2122" w:type="dxa"/>
          </w:tcPr>
          <w:p w14:paraId="251B1DCE" w14:textId="77777777" w:rsidR="00FE1D0C" w:rsidRPr="00DD1665" w:rsidRDefault="00FE1D0C" w:rsidP="00873AF3">
            <w:pPr>
              <w:pStyle w:val="COMTabletext"/>
              <w:ind w:left="107"/>
            </w:pPr>
            <w:r>
              <w:t>Infections</w:t>
            </w:r>
          </w:p>
        </w:tc>
        <w:tc>
          <w:tcPr>
            <w:tcW w:w="1379" w:type="dxa"/>
            <w:vAlign w:val="center"/>
          </w:tcPr>
          <w:p w14:paraId="1C533191" w14:textId="77777777" w:rsidR="00FE1D0C" w:rsidRPr="00F26580" w:rsidRDefault="00FE1D0C" w:rsidP="00873AF3">
            <w:pPr>
              <w:pStyle w:val="COMTabletext"/>
              <w:ind w:left="107"/>
              <w:jc w:val="center"/>
              <w:rPr>
                <w:szCs w:val="20"/>
              </w:rPr>
            </w:pPr>
            <w:r w:rsidRPr="00F26580">
              <w:rPr>
                <w:szCs w:val="20"/>
              </w:rPr>
              <w:t>10 (15.6)</w:t>
            </w:r>
          </w:p>
        </w:tc>
        <w:tc>
          <w:tcPr>
            <w:tcW w:w="1379" w:type="dxa"/>
            <w:vAlign w:val="center"/>
          </w:tcPr>
          <w:p w14:paraId="3EA15753" w14:textId="77777777" w:rsidR="00FE1D0C" w:rsidRPr="00F26580" w:rsidRDefault="00FE1D0C" w:rsidP="00873AF3">
            <w:pPr>
              <w:pStyle w:val="COMTabletext"/>
              <w:ind w:left="107"/>
              <w:jc w:val="center"/>
              <w:rPr>
                <w:szCs w:val="20"/>
              </w:rPr>
            </w:pPr>
            <w:r w:rsidRPr="00F26580">
              <w:rPr>
                <w:szCs w:val="20"/>
              </w:rPr>
              <w:t>21 (30.4)</w:t>
            </w:r>
          </w:p>
        </w:tc>
        <w:tc>
          <w:tcPr>
            <w:tcW w:w="1379" w:type="dxa"/>
            <w:vAlign w:val="center"/>
          </w:tcPr>
          <w:p w14:paraId="4E9FE836" w14:textId="77777777" w:rsidR="00FE1D0C" w:rsidRPr="00F26580" w:rsidRDefault="00FE1D0C" w:rsidP="00873AF3">
            <w:pPr>
              <w:pStyle w:val="COMTabletext"/>
              <w:ind w:left="107"/>
              <w:jc w:val="center"/>
              <w:rPr>
                <w:szCs w:val="20"/>
              </w:rPr>
            </w:pPr>
            <w:r w:rsidRPr="00F26580">
              <w:rPr>
                <w:szCs w:val="20"/>
              </w:rPr>
              <w:t>13 (19.4)</w:t>
            </w:r>
          </w:p>
        </w:tc>
        <w:tc>
          <w:tcPr>
            <w:tcW w:w="1379" w:type="dxa"/>
            <w:vAlign w:val="center"/>
          </w:tcPr>
          <w:p w14:paraId="679C5062" w14:textId="77777777" w:rsidR="00FE1D0C" w:rsidRPr="00740557" w:rsidRDefault="00FE1D0C" w:rsidP="00873AF3">
            <w:pPr>
              <w:pStyle w:val="COMTabletext"/>
              <w:ind w:left="107"/>
              <w:jc w:val="center"/>
              <w:rPr>
                <w:szCs w:val="20"/>
              </w:rPr>
            </w:pPr>
            <w:r w:rsidRPr="00740557">
              <w:rPr>
                <w:szCs w:val="20"/>
              </w:rPr>
              <w:t>22 (31.4)</w:t>
            </w:r>
          </w:p>
        </w:tc>
        <w:tc>
          <w:tcPr>
            <w:tcW w:w="1379" w:type="dxa"/>
            <w:vAlign w:val="center"/>
          </w:tcPr>
          <w:p w14:paraId="72C4A799" w14:textId="77777777" w:rsidR="00FE1D0C" w:rsidRPr="00F26580" w:rsidRDefault="00FE1D0C" w:rsidP="00873AF3">
            <w:pPr>
              <w:pStyle w:val="COMTabletext"/>
              <w:ind w:left="107"/>
              <w:jc w:val="center"/>
              <w:rPr>
                <w:rFonts w:cstheme="minorHAnsi"/>
                <w:szCs w:val="20"/>
              </w:rPr>
            </w:pPr>
            <w:r>
              <w:rPr>
                <w:rFonts w:cstheme="minorHAnsi"/>
                <w:szCs w:val="20"/>
              </w:rPr>
              <w:t>90 (57.3)</w:t>
            </w:r>
          </w:p>
        </w:tc>
      </w:tr>
      <w:tr w:rsidR="00FE1D0C" w14:paraId="44804757" w14:textId="77777777" w:rsidTr="7E0DBB7D">
        <w:trPr>
          <w:trHeight w:val="20"/>
        </w:trPr>
        <w:tc>
          <w:tcPr>
            <w:tcW w:w="2122" w:type="dxa"/>
          </w:tcPr>
          <w:p w14:paraId="31C4A102" w14:textId="77777777" w:rsidR="00FE1D0C" w:rsidRDefault="00FE1D0C" w:rsidP="00873AF3">
            <w:pPr>
              <w:pStyle w:val="COMTabletext"/>
              <w:ind w:left="107"/>
            </w:pPr>
            <w:r>
              <w:t>Aseptic meningitis</w:t>
            </w:r>
          </w:p>
        </w:tc>
        <w:tc>
          <w:tcPr>
            <w:tcW w:w="1379" w:type="dxa"/>
            <w:vAlign w:val="center"/>
          </w:tcPr>
          <w:p w14:paraId="5F619913" w14:textId="77777777" w:rsidR="00FE1D0C" w:rsidRPr="00F26580" w:rsidRDefault="00FE1D0C" w:rsidP="00873AF3">
            <w:pPr>
              <w:pStyle w:val="COMTabletext"/>
              <w:ind w:left="107"/>
              <w:jc w:val="center"/>
              <w:rPr>
                <w:szCs w:val="20"/>
              </w:rPr>
            </w:pPr>
            <w:r>
              <w:rPr>
                <w:szCs w:val="20"/>
              </w:rPr>
              <w:t>NR</w:t>
            </w:r>
          </w:p>
        </w:tc>
        <w:tc>
          <w:tcPr>
            <w:tcW w:w="1379" w:type="dxa"/>
            <w:vAlign w:val="center"/>
          </w:tcPr>
          <w:p w14:paraId="3E3A5574" w14:textId="77777777" w:rsidR="00FE1D0C" w:rsidRPr="00F26580" w:rsidRDefault="00FE1D0C" w:rsidP="00873AF3">
            <w:pPr>
              <w:pStyle w:val="COMTabletext"/>
              <w:ind w:left="107"/>
              <w:jc w:val="center"/>
              <w:rPr>
                <w:szCs w:val="20"/>
              </w:rPr>
            </w:pPr>
            <w:r>
              <w:rPr>
                <w:szCs w:val="20"/>
              </w:rPr>
              <w:t>NR</w:t>
            </w:r>
          </w:p>
        </w:tc>
        <w:tc>
          <w:tcPr>
            <w:tcW w:w="1379" w:type="dxa"/>
            <w:vAlign w:val="center"/>
          </w:tcPr>
          <w:p w14:paraId="5EED1E07" w14:textId="77777777" w:rsidR="00FE1D0C" w:rsidRPr="00F26580" w:rsidRDefault="00FE1D0C" w:rsidP="00873AF3">
            <w:pPr>
              <w:pStyle w:val="COMTabletext"/>
              <w:ind w:left="107"/>
              <w:jc w:val="center"/>
              <w:rPr>
                <w:szCs w:val="20"/>
              </w:rPr>
            </w:pPr>
            <w:r>
              <w:rPr>
                <w:szCs w:val="20"/>
              </w:rPr>
              <w:t>NR</w:t>
            </w:r>
          </w:p>
        </w:tc>
        <w:tc>
          <w:tcPr>
            <w:tcW w:w="1379" w:type="dxa"/>
            <w:vAlign w:val="center"/>
          </w:tcPr>
          <w:p w14:paraId="49A5D90B" w14:textId="77777777" w:rsidR="00FE1D0C" w:rsidRPr="00740557" w:rsidRDefault="00FE1D0C" w:rsidP="00873AF3">
            <w:pPr>
              <w:pStyle w:val="COMTabletext"/>
              <w:ind w:left="107"/>
              <w:jc w:val="center"/>
              <w:rPr>
                <w:szCs w:val="20"/>
              </w:rPr>
            </w:pPr>
            <w:r w:rsidRPr="00740557">
              <w:rPr>
                <w:szCs w:val="20"/>
              </w:rPr>
              <w:t>NR</w:t>
            </w:r>
          </w:p>
        </w:tc>
        <w:tc>
          <w:tcPr>
            <w:tcW w:w="1379" w:type="dxa"/>
            <w:vAlign w:val="center"/>
          </w:tcPr>
          <w:p w14:paraId="7A84676A" w14:textId="77777777" w:rsidR="00FE1D0C" w:rsidRPr="00F26580" w:rsidRDefault="00FE1D0C" w:rsidP="00873AF3">
            <w:pPr>
              <w:pStyle w:val="COMTabletext"/>
              <w:ind w:left="107"/>
              <w:jc w:val="center"/>
              <w:rPr>
                <w:rFonts w:cstheme="minorHAnsi"/>
                <w:szCs w:val="20"/>
              </w:rPr>
            </w:pPr>
            <w:r>
              <w:rPr>
                <w:rFonts w:cstheme="minorHAnsi"/>
                <w:szCs w:val="20"/>
              </w:rPr>
              <w:t>1 (0.6)</w:t>
            </w:r>
          </w:p>
        </w:tc>
      </w:tr>
      <w:tr w:rsidR="00FE1D0C" w:rsidRPr="00DD1665" w14:paraId="435F85CF" w14:textId="77777777" w:rsidTr="7E0DBB7D">
        <w:trPr>
          <w:trHeight w:val="20"/>
        </w:trPr>
        <w:tc>
          <w:tcPr>
            <w:tcW w:w="9017" w:type="dxa"/>
            <w:gridSpan w:val="6"/>
          </w:tcPr>
          <w:p w14:paraId="083DBBEF" w14:textId="77777777" w:rsidR="00FE1D0C" w:rsidRPr="00F26580" w:rsidRDefault="00FE1D0C" w:rsidP="00873AF3">
            <w:pPr>
              <w:pStyle w:val="COMTableheadingrow"/>
              <w:ind w:left="107"/>
              <w:rPr>
                <w:rFonts w:cstheme="minorHAnsi"/>
                <w:szCs w:val="20"/>
              </w:rPr>
            </w:pPr>
            <w:r w:rsidRPr="00F26580">
              <w:rPr>
                <w:szCs w:val="20"/>
              </w:rPr>
              <w:t>Common TEAEs</w:t>
            </w:r>
          </w:p>
        </w:tc>
      </w:tr>
      <w:tr w:rsidR="00FE1D0C" w:rsidRPr="00DD1665" w14:paraId="3CF93DBB" w14:textId="77777777" w:rsidTr="7E0DBB7D">
        <w:trPr>
          <w:trHeight w:val="20"/>
        </w:trPr>
        <w:tc>
          <w:tcPr>
            <w:tcW w:w="2122" w:type="dxa"/>
          </w:tcPr>
          <w:p w14:paraId="429D22B4" w14:textId="77777777" w:rsidR="00FE1D0C" w:rsidRPr="00DD1665" w:rsidRDefault="00FE1D0C" w:rsidP="00873AF3">
            <w:pPr>
              <w:pStyle w:val="COMTabletext"/>
              <w:ind w:left="107"/>
            </w:pPr>
            <w:r>
              <w:t>Headache</w:t>
            </w:r>
          </w:p>
        </w:tc>
        <w:tc>
          <w:tcPr>
            <w:tcW w:w="1379" w:type="dxa"/>
            <w:vAlign w:val="center"/>
          </w:tcPr>
          <w:p w14:paraId="21491854" w14:textId="77777777" w:rsidR="00FE1D0C" w:rsidRPr="00F26580" w:rsidRDefault="00FE1D0C" w:rsidP="00873AF3">
            <w:pPr>
              <w:pStyle w:val="COMTabletext"/>
              <w:ind w:left="107"/>
              <w:jc w:val="center"/>
              <w:rPr>
                <w:szCs w:val="20"/>
              </w:rPr>
            </w:pPr>
            <w:r w:rsidRPr="00F26580">
              <w:rPr>
                <w:szCs w:val="20"/>
              </w:rPr>
              <w:t>29 (45.3)</w:t>
            </w:r>
          </w:p>
        </w:tc>
        <w:tc>
          <w:tcPr>
            <w:tcW w:w="1379" w:type="dxa"/>
            <w:vAlign w:val="center"/>
          </w:tcPr>
          <w:p w14:paraId="0C370631" w14:textId="77777777" w:rsidR="00FE1D0C" w:rsidRPr="00F26580" w:rsidRDefault="00FE1D0C" w:rsidP="00873AF3">
            <w:pPr>
              <w:pStyle w:val="COMTabletext"/>
              <w:ind w:left="107"/>
              <w:jc w:val="center"/>
              <w:rPr>
                <w:szCs w:val="20"/>
              </w:rPr>
            </w:pPr>
            <w:r w:rsidRPr="00F26580">
              <w:rPr>
                <w:szCs w:val="20"/>
              </w:rPr>
              <w:t>26 (37.7)</w:t>
            </w:r>
          </w:p>
        </w:tc>
        <w:tc>
          <w:tcPr>
            <w:tcW w:w="1379" w:type="dxa"/>
            <w:vAlign w:val="center"/>
          </w:tcPr>
          <w:p w14:paraId="35F537B4" w14:textId="77777777" w:rsidR="00FE1D0C" w:rsidRPr="00F26580" w:rsidRDefault="00FE1D0C" w:rsidP="00873AF3">
            <w:pPr>
              <w:pStyle w:val="COMTabletext"/>
              <w:ind w:left="107"/>
              <w:jc w:val="center"/>
              <w:rPr>
                <w:szCs w:val="20"/>
              </w:rPr>
            </w:pPr>
            <w:r w:rsidRPr="00F26580">
              <w:rPr>
                <w:szCs w:val="20"/>
              </w:rPr>
              <w:t>13 (19.4)</w:t>
            </w:r>
          </w:p>
        </w:tc>
        <w:tc>
          <w:tcPr>
            <w:tcW w:w="1379" w:type="dxa"/>
            <w:vAlign w:val="center"/>
          </w:tcPr>
          <w:p w14:paraId="1B66CD2F" w14:textId="77777777" w:rsidR="00FE1D0C" w:rsidRPr="00F26580" w:rsidRDefault="00FE1D0C" w:rsidP="00873AF3">
            <w:pPr>
              <w:pStyle w:val="COMTabletext"/>
              <w:ind w:left="107"/>
              <w:jc w:val="center"/>
              <w:rPr>
                <w:rFonts w:cstheme="minorHAnsi"/>
                <w:szCs w:val="20"/>
              </w:rPr>
            </w:pPr>
            <w:r w:rsidRPr="00000D2B">
              <w:rPr>
                <w:rFonts w:cstheme="minorHAnsi"/>
                <w:szCs w:val="20"/>
              </w:rPr>
              <w:t>25 (35.7)</w:t>
            </w:r>
          </w:p>
        </w:tc>
        <w:tc>
          <w:tcPr>
            <w:tcW w:w="1379" w:type="dxa"/>
            <w:vAlign w:val="center"/>
          </w:tcPr>
          <w:p w14:paraId="51DA40EA" w14:textId="77777777" w:rsidR="00FE1D0C" w:rsidRPr="00F26580" w:rsidRDefault="00FE1D0C" w:rsidP="00873AF3">
            <w:pPr>
              <w:pStyle w:val="COMTabletext"/>
              <w:ind w:left="107"/>
              <w:jc w:val="center"/>
              <w:rPr>
                <w:rFonts w:cstheme="minorHAnsi"/>
                <w:szCs w:val="20"/>
              </w:rPr>
            </w:pPr>
            <w:r w:rsidRPr="00F26580">
              <w:rPr>
                <w:rFonts w:cstheme="minorHAnsi"/>
                <w:szCs w:val="20"/>
              </w:rPr>
              <w:t>68 (43.3)</w:t>
            </w:r>
          </w:p>
        </w:tc>
      </w:tr>
      <w:tr w:rsidR="00FE1D0C" w:rsidRPr="00DD1665" w14:paraId="3DCE4AB8" w14:textId="77777777" w:rsidTr="7E0DBB7D">
        <w:trPr>
          <w:trHeight w:val="20"/>
        </w:trPr>
        <w:tc>
          <w:tcPr>
            <w:tcW w:w="2122" w:type="dxa"/>
          </w:tcPr>
          <w:p w14:paraId="40C1F7EA" w14:textId="77777777" w:rsidR="00FE1D0C" w:rsidRPr="00DD1665" w:rsidRDefault="00FE1D0C" w:rsidP="00873AF3">
            <w:pPr>
              <w:pStyle w:val="COMTabletext"/>
              <w:ind w:left="107"/>
            </w:pPr>
            <w:r>
              <w:t>Diarrhoea</w:t>
            </w:r>
          </w:p>
        </w:tc>
        <w:tc>
          <w:tcPr>
            <w:tcW w:w="1379" w:type="dxa"/>
            <w:vAlign w:val="center"/>
          </w:tcPr>
          <w:p w14:paraId="6C50A2B3" w14:textId="77777777" w:rsidR="00FE1D0C" w:rsidRPr="00F26580" w:rsidRDefault="00FE1D0C" w:rsidP="00873AF3">
            <w:pPr>
              <w:pStyle w:val="COMTabletext"/>
              <w:ind w:left="107"/>
              <w:jc w:val="center"/>
              <w:rPr>
                <w:szCs w:val="20"/>
              </w:rPr>
            </w:pPr>
            <w:r w:rsidRPr="00F26580">
              <w:rPr>
                <w:szCs w:val="20"/>
              </w:rPr>
              <w:t>16 (25.0)</w:t>
            </w:r>
          </w:p>
        </w:tc>
        <w:tc>
          <w:tcPr>
            <w:tcW w:w="1379" w:type="dxa"/>
            <w:vAlign w:val="center"/>
          </w:tcPr>
          <w:p w14:paraId="6C7E8CEF" w14:textId="77777777" w:rsidR="00FE1D0C" w:rsidRPr="00F26580" w:rsidRDefault="00FE1D0C" w:rsidP="00873AF3">
            <w:pPr>
              <w:pStyle w:val="COMTabletext"/>
              <w:ind w:left="107"/>
              <w:jc w:val="center"/>
              <w:rPr>
                <w:szCs w:val="20"/>
              </w:rPr>
            </w:pPr>
            <w:r w:rsidRPr="00F26580">
              <w:rPr>
                <w:szCs w:val="20"/>
              </w:rPr>
              <w:t>11 (15.9)</w:t>
            </w:r>
          </w:p>
        </w:tc>
        <w:tc>
          <w:tcPr>
            <w:tcW w:w="1379" w:type="dxa"/>
            <w:vAlign w:val="center"/>
          </w:tcPr>
          <w:p w14:paraId="4DF199D8" w14:textId="77777777" w:rsidR="00FE1D0C" w:rsidRPr="00F26580" w:rsidRDefault="00FE1D0C" w:rsidP="00873AF3">
            <w:pPr>
              <w:pStyle w:val="COMTabletext"/>
              <w:ind w:left="107"/>
              <w:jc w:val="center"/>
              <w:rPr>
                <w:szCs w:val="20"/>
              </w:rPr>
            </w:pPr>
            <w:r w:rsidRPr="00F26580">
              <w:rPr>
                <w:szCs w:val="20"/>
              </w:rPr>
              <w:t>9 (13.4)</w:t>
            </w:r>
          </w:p>
        </w:tc>
        <w:tc>
          <w:tcPr>
            <w:tcW w:w="1379" w:type="dxa"/>
            <w:vAlign w:val="center"/>
          </w:tcPr>
          <w:p w14:paraId="48A7D866" w14:textId="77777777" w:rsidR="00FE1D0C" w:rsidRPr="00F26580" w:rsidRDefault="00FE1D0C" w:rsidP="00873AF3">
            <w:pPr>
              <w:pStyle w:val="COMTabletext"/>
              <w:ind w:left="107"/>
              <w:jc w:val="center"/>
              <w:rPr>
                <w:rFonts w:cstheme="minorHAnsi"/>
                <w:szCs w:val="20"/>
              </w:rPr>
            </w:pPr>
            <w:r w:rsidRPr="00D54659">
              <w:rPr>
                <w:rFonts w:cstheme="minorHAnsi"/>
                <w:szCs w:val="20"/>
              </w:rPr>
              <w:t>13 (18.6)</w:t>
            </w:r>
          </w:p>
        </w:tc>
        <w:tc>
          <w:tcPr>
            <w:tcW w:w="1379" w:type="dxa"/>
            <w:vAlign w:val="center"/>
          </w:tcPr>
          <w:p w14:paraId="6A258E3B" w14:textId="77777777" w:rsidR="00FE1D0C" w:rsidRPr="00F26580" w:rsidRDefault="00FE1D0C" w:rsidP="00873AF3">
            <w:pPr>
              <w:pStyle w:val="COMTabletext"/>
              <w:ind w:left="107"/>
              <w:jc w:val="center"/>
              <w:rPr>
                <w:rFonts w:cstheme="minorHAnsi"/>
                <w:szCs w:val="20"/>
              </w:rPr>
            </w:pPr>
            <w:r w:rsidRPr="00F26580">
              <w:rPr>
                <w:rFonts w:cstheme="minorHAnsi"/>
                <w:szCs w:val="20"/>
              </w:rPr>
              <w:t>44 (28.0)</w:t>
            </w:r>
          </w:p>
        </w:tc>
      </w:tr>
      <w:tr w:rsidR="00FE1D0C" w:rsidRPr="00DD1665" w14:paraId="281CAF0C" w14:textId="77777777" w:rsidTr="7E0DBB7D">
        <w:trPr>
          <w:trHeight w:val="20"/>
        </w:trPr>
        <w:tc>
          <w:tcPr>
            <w:tcW w:w="2122" w:type="dxa"/>
          </w:tcPr>
          <w:p w14:paraId="2E155427" w14:textId="77777777" w:rsidR="00FE1D0C" w:rsidRPr="00DD1665" w:rsidRDefault="00FE1D0C" w:rsidP="00873AF3">
            <w:pPr>
              <w:pStyle w:val="COMTabletext"/>
              <w:ind w:left="107"/>
            </w:pPr>
            <w:r>
              <w:t>Pyrexia</w:t>
            </w:r>
          </w:p>
        </w:tc>
        <w:tc>
          <w:tcPr>
            <w:tcW w:w="1379" w:type="dxa"/>
            <w:vAlign w:val="center"/>
          </w:tcPr>
          <w:p w14:paraId="034A37CF" w14:textId="77777777" w:rsidR="00FE1D0C" w:rsidRPr="00F26580" w:rsidRDefault="00FE1D0C" w:rsidP="00873AF3">
            <w:pPr>
              <w:pStyle w:val="COMTabletext"/>
              <w:ind w:left="107"/>
              <w:jc w:val="center"/>
              <w:rPr>
                <w:szCs w:val="20"/>
              </w:rPr>
            </w:pPr>
            <w:r w:rsidRPr="00F26580">
              <w:rPr>
                <w:szCs w:val="20"/>
              </w:rPr>
              <w:t>8 (12.5)</w:t>
            </w:r>
          </w:p>
        </w:tc>
        <w:tc>
          <w:tcPr>
            <w:tcW w:w="1379" w:type="dxa"/>
            <w:vAlign w:val="center"/>
          </w:tcPr>
          <w:p w14:paraId="514BB94B" w14:textId="77777777" w:rsidR="00FE1D0C" w:rsidRPr="00F26580" w:rsidRDefault="00FE1D0C" w:rsidP="00873AF3">
            <w:pPr>
              <w:pStyle w:val="COMTabletext"/>
              <w:ind w:left="107"/>
              <w:jc w:val="center"/>
              <w:rPr>
                <w:szCs w:val="20"/>
              </w:rPr>
            </w:pPr>
            <w:r w:rsidRPr="00F26580">
              <w:rPr>
                <w:szCs w:val="20"/>
              </w:rPr>
              <w:t>14 (20.3)</w:t>
            </w:r>
          </w:p>
        </w:tc>
        <w:tc>
          <w:tcPr>
            <w:tcW w:w="1379" w:type="dxa"/>
            <w:vAlign w:val="center"/>
          </w:tcPr>
          <w:p w14:paraId="61105BD2" w14:textId="77777777" w:rsidR="00FE1D0C" w:rsidRPr="00F26580" w:rsidRDefault="00FE1D0C" w:rsidP="00873AF3">
            <w:pPr>
              <w:pStyle w:val="COMTabletext"/>
              <w:ind w:left="107"/>
              <w:jc w:val="center"/>
              <w:rPr>
                <w:szCs w:val="20"/>
              </w:rPr>
            </w:pPr>
            <w:r w:rsidRPr="00F26580">
              <w:rPr>
                <w:szCs w:val="20"/>
              </w:rPr>
              <w:t>1 (1.5)</w:t>
            </w:r>
          </w:p>
        </w:tc>
        <w:tc>
          <w:tcPr>
            <w:tcW w:w="1379" w:type="dxa"/>
            <w:vAlign w:val="center"/>
          </w:tcPr>
          <w:p w14:paraId="4B9F7582" w14:textId="77777777" w:rsidR="00FE1D0C" w:rsidRPr="00F26580" w:rsidRDefault="00FE1D0C" w:rsidP="00873AF3">
            <w:pPr>
              <w:pStyle w:val="COMTabletext"/>
              <w:ind w:left="107"/>
              <w:jc w:val="center"/>
              <w:rPr>
                <w:rFonts w:cstheme="minorHAnsi"/>
                <w:szCs w:val="20"/>
              </w:rPr>
            </w:pPr>
            <w:r>
              <w:rPr>
                <w:rFonts w:cstheme="minorHAnsi"/>
                <w:szCs w:val="20"/>
              </w:rPr>
              <w:t>7 (10.0)</w:t>
            </w:r>
          </w:p>
        </w:tc>
        <w:tc>
          <w:tcPr>
            <w:tcW w:w="1379" w:type="dxa"/>
            <w:vAlign w:val="center"/>
          </w:tcPr>
          <w:p w14:paraId="3F6BDD7C" w14:textId="77777777" w:rsidR="00FE1D0C" w:rsidRPr="00F26580" w:rsidRDefault="00FE1D0C" w:rsidP="00873AF3">
            <w:pPr>
              <w:pStyle w:val="COMTabletext"/>
              <w:ind w:left="107"/>
              <w:jc w:val="center"/>
              <w:rPr>
                <w:rFonts w:cstheme="minorHAnsi"/>
                <w:szCs w:val="20"/>
              </w:rPr>
            </w:pPr>
            <w:r w:rsidRPr="00F26580">
              <w:rPr>
                <w:rFonts w:cstheme="minorHAnsi"/>
                <w:szCs w:val="20"/>
              </w:rPr>
              <w:t>26 (16.6)</w:t>
            </w:r>
          </w:p>
        </w:tc>
      </w:tr>
    </w:tbl>
    <w:p w14:paraId="6F742065" w14:textId="77777777" w:rsidR="00FE1D0C" w:rsidRDefault="00FE1D0C" w:rsidP="00873AF3">
      <w:pPr>
        <w:pStyle w:val="COMTablefooter"/>
      </w:pPr>
      <w:r>
        <w:t>Source: Table 2.5-10, pp112-113; Table 2.5-15, p119 of the submission; Section 8.8 pp87-94 of the MG0004 clinical study report; Table 8.1.1, Table 8.1.2, MG0004 Tables.pdf; Table 8-2, p103; Table 8-4, p109; Section 8.9, pp120-126 MG0007 clinical study report, July 2024.</w:t>
      </w:r>
    </w:p>
    <w:p w14:paraId="550BB601" w14:textId="52501978" w:rsidR="00FE1D0C" w:rsidRDefault="5DE3A033" w:rsidP="00873AF3">
      <w:pPr>
        <w:pStyle w:val="COMTablefooter"/>
      </w:pPr>
      <w:r w:rsidRPr="7E0DBB7D">
        <w:t>Abbreviations: AE, adverse event; CTCAE, common terminology criteria for adverse events; RLZ, rozanolixizumab; TEAE, treatment-emergent adverse event</w:t>
      </w:r>
    </w:p>
    <w:p w14:paraId="3D52332F" w14:textId="0099F5C7" w:rsidR="00FE1D0C" w:rsidRDefault="5DE3A033" w:rsidP="00873AF3">
      <w:pPr>
        <w:pStyle w:val="COMTablefooter"/>
      </w:pPr>
      <w:r w:rsidRPr="7E0DBB7D">
        <w:rPr>
          <w:vertAlign w:val="superscript"/>
        </w:rPr>
        <w:t>a</w:t>
      </w:r>
      <w:r w:rsidRPr="7E0DBB7D">
        <w:t xml:space="preserve"> based on investigator assessment</w:t>
      </w:r>
    </w:p>
    <w:p w14:paraId="15825E5B" w14:textId="77777777" w:rsidR="00FE1D0C" w:rsidRDefault="00FE1D0C" w:rsidP="00873AF3">
      <w:pPr>
        <w:pStyle w:val="COMTablefooter"/>
      </w:pPr>
      <w:r>
        <w:rPr>
          <w:vertAlign w:val="superscript"/>
        </w:rPr>
        <w:t>b</w:t>
      </w:r>
      <w:r>
        <w:t> Severe TEAEs are those with CTCAE Grade 3 or higher, or with intensity recorded as ‘severe’ by the investigator</w:t>
      </w:r>
    </w:p>
    <w:p w14:paraId="21186693" w14:textId="3797E348" w:rsidR="00FE1D0C" w:rsidRPr="006077B2" w:rsidRDefault="5DE3A033" w:rsidP="00873AF3">
      <w:pPr>
        <w:pStyle w:val="COMexecsummnumbered"/>
      </w:pPr>
      <w:r w:rsidRPr="7E0DBB7D">
        <w:t>In the MycarinG trial, the number of patients who experienced treatment emergent adverse events (TEAEs) and treatment-related TEAEs was comparable across the rozanolixizumab treatment arms but lower in the placebo arm. The most frequently reported adverse events in each treatment arm were headache, diarrhoea and pyrexia, occurring more frequently in the rozanolixizumab arms compared to placebo. No deaths were reported during the study. The number of patients reporting serious adverse events in the MycarinG trial was comparable across all groups, with the only serious events occurring in more than one patient per group being myasthenia gravis (1 patient in rozanolixizumab ~7 mg/kg arm, 2 in the ~10 mg/kg arm, and 1 patient in placebo arm) or myasthenia gravis crisis (2 patients in placebo arm). Serious TEAEs considered to be related to rozanolixizumab treatment were reported by 3 patients in the ~7 mg/kg arm (joint pain of moderate intensity, vomiting of severe intensity, and gastritis of mild intensity) and two patients in the ~10 mg/kg arm (chest pain of moderate intensity, headache of severe intensity). TEAEs leading to temporary or permanent treatment discontinuation or withdrawal from the study, along with severe TEAEs, occurred in more patients treated with rozanolixizumab ~10 mg/kg arm than the rozanolixizumab ~7 mg/kg arm or placebo.</w:t>
      </w:r>
      <w:r w:rsidR="298A2BC5" w:rsidRPr="7E0DBB7D">
        <w:t xml:space="preserve"> </w:t>
      </w:r>
      <w:r w:rsidRPr="7E0DBB7D">
        <w:t>Safety data from MycarinG was limited to 6 weeks of treatment and 8 weeks of observation, with many patients discontinuing the trial during the observation period to roll-over to either of the MG0004 or MG0007 extension studies, limiting the usefulness of the data in determining comparative safety.</w:t>
      </w:r>
    </w:p>
    <w:p w14:paraId="39DAFA85" w14:textId="597BDA5F" w:rsidR="00FE1D0C" w:rsidRPr="006077B2" w:rsidRDefault="5DE3A033" w:rsidP="00873AF3">
      <w:pPr>
        <w:pStyle w:val="COMexecsummnumbered"/>
      </w:pPr>
      <w:r w:rsidRPr="7E0DBB7D">
        <w:t>Safety outcomes reported in the MG0004 study were consistent with the MycarinG trial, however greater proportions of patients in MG0004 experienced adverse events given the longer duration of the study treatment (52 weeks of continuous treatment, with a median duration of exposure 22.9 weeks). Of all patients treated with rozanolixizumab, 85.7% experienced any TEAE, 12.9% a serious TEAE and 24% a severe TEAE. Only 4.3% of patients permanently discontinued treatment due to a TEAE and there were no deaths reported due to a TEAE.</w:t>
      </w:r>
    </w:p>
    <w:p w14:paraId="710663E2" w14:textId="1FFEA0BA" w:rsidR="00FE1D0C" w:rsidRPr="006077B2" w:rsidRDefault="5DE3A033" w:rsidP="00873AF3">
      <w:pPr>
        <w:pStyle w:val="COMexecsummnumbered"/>
      </w:pPr>
      <w:r w:rsidRPr="7E0DBB7D">
        <w:t>Safety outcomes in the MG0007 study (July 2024 complete dataset) were based on patients enrolled for a median 24.2 months (maximum 34.6 months, with the majority of patients in the study for 18 to 30 months). Adverse event outcomes were grouped according to the most recent dose level of rozanolixizumab received prior to the onset of the adverse event, with the report noting a higher incidence of treatment emergent adverse events in the ~10 mg/kg arm than the ~7 mg/kg arm, including serious or treatment-related adverse events, and those leading to discontinuation from the study drug. There were 6 deaths reported in the MG0007 study: 3 due to treatment emergent adverse events (COVID-19, cardiac failure), 1 due to a combination of a treatment emergent adverse event (pneumonia) and non-treatment emergent adverse events, and one due to a non-treatment emergent adverse event (myocardial infarction). A further death occurred 804 days after the last dose of rozanolixizumab due to small cell lung cancer progressing to a fatal outcome after the study. Serious treatment emergent adverse events included myasthenia gravis (15 patients; 9.6%), myasthenia gravis crisis (4 patients; 2.5%), COVID-19 (3 patients; 1.9%) or pneumonia (2 patients; 1.3%). Approximately 16% of patients discontinued from the study, while 17% and 25% permanently or temporarily halted their study treatment respectively, with the most common reason for all discontinuations being infections and infestations. A total of 39% of MG0007 study participants discontinued from the study due to adverse events, lack of efficacy or withdrawal by subject.</w:t>
      </w:r>
    </w:p>
    <w:p w14:paraId="3EA46BBF" w14:textId="69B6BF23" w:rsidR="00FE1D0C" w:rsidRPr="006077B2" w:rsidRDefault="5DE3A033" w:rsidP="00873AF3">
      <w:pPr>
        <w:pStyle w:val="COMexecsummnumbered"/>
      </w:pPr>
      <w:r w:rsidRPr="7E0DBB7D">
        <w:t xml:space="preserve">The MG0007 study report also reported the incidence of any treatment emergent adverse event by treatment cycle. Overall, there was no increase in the incidence of treatment emergent adverse events from cycle to cycle, with the incidence of serious adverse events or those leading to study or treatment discontinuation remaining low with repeated cyclic treatment. </w:t>
      </w:r>
    </w:p>
    <w:p w14:paraId="7E43A741" w14:textId="05F74695" w:rsidR="005D26B4" w:rsidRDefault="5DE3A033" w:rsidP="00873AF3">
      <w:pPr>
        <w:pStyle w:val="COMexecsummnumbered"/>
      </w:pPr>
      <w:r w:rsidRPr="7E0DBB7D">
        <w:t>Immunogenicity data from MG0007 were available for 121 patients over a period of at least 1 year. Prevalence of pre-existing anti-drug antibodies (ADAs) against rozanolixizumab was low (&lt;1%). There was a general increase in ADAs observed on repeated cyclic rozanolixizumab treatment. By Cycle 1, 33.6% of participants developed treatment-emergent ADAs and 23.4% developed ADAs that were neutralising. By Cycle 12, 68.4% of participants developed treatment-emergent ADAs and 42.1% developed ADAs that were neutralising. Up to the individual last visit, 89 (58.9%) patients had developed treatment-emergent ADAs to rozanolixizumab, and 33.8% were neutralising-antibody positive. The clinical study report noted that there was no apparent impact of immunogenicity on clinical efficacy or safety.</w:t>
      </w:r>
    </w:p>
    <w:p w14:paraId="61798E68" w14:textId="77777777" w:rsidR="000A6630" w:rsidRDefault="000A6630" w:rsidP="00873AF3">
      <w:pPr>
        <w:pStyle w:val="COMH4"/>
        <w:ind w:left="142" w:hanging="142"/>
      </w:pPr>
      <w:r w:rsidRPr="7E0DBB7D">
        <w:t>Rozanolixizumab versus IVIg</w:t>
      </w:r>
    </w:p>
    <w:p w14:paraId="215AB13D" w14:textId="62EBE1DE" w:rsidR="001A3CF7" w:rsidRDefault="001A3CF7" w:rsidP="00873AF3">
      <w:pPr>
        <w:pStyle w:val="COMexecsummnumbered"/>
      </w:pPr>
      <w:r w:rsidRPr="001A3CF7">
        <w:t>The submission also presented an indirect comparison of serious adverse events which did not identify any statistically significant differences in adverse events between rozanolixizumab and IVIg</w:t>
      </w:r>
      <w:r>
        <w:t>.</w:t>
      </w:r>
      <w:r w:rsidRPr="001A3CF7">
        <w:t xml:space="preserve"> The Bril 2024 publication provided limited additional adverse event data for the IVIg trial that were not provided in the submission (see</w:t>
      </w:r>
      <w:r>
        <w:t xml:space="preserve"> </w:t>
      </w:r>
      <w:r>
        <w:fldChar w:fldCharType="begin" w:fldLock="1"/>
      </w:r>
      <w:r>
        <w:instrText xml:space="preserve"> REF _Ref193974317 \h </w:instrText>
      </w:r>
      <w:r>
        <w:fldChar w:fldCharType="separate"/>
      </w:r>
      <w:r w:rsidR="00E70E55">
        <w:t xml:space="preserve">Table </w:t>
      </w:r>
      <w:r w:rsidR="00E70E55">
        <w:rPr>
          <w:noProof/>
        </w:rPr>
        <w:t>13</w:t>
      </w:r>
      <w:r>
        <w:fldChar w:fldCharType="end"/>
      </w:r>
      <w:r w:rsidRPr="001A3CF7">
        <w:t xml:space="preserve">). However, rates of adverse events (e.g. events per patient-year) were not reported. </w:t>
      </w:r>
      <w:r>
        <w:t>The evaluation noted that the</w:t>
      </w:r>
      <w:r w:rsidRPr="001A3CF7">
        <w:t xml:space="preserve"> comparison of the incidence of adverse events based on different durations of follow-up </w:t>
      </w:r>
      <w:r>
        <w:t>wa</w:t>
      </w:r>
      <w:r w:rsidRPr="001A3CF7">
        <w:t>s not informative.</w:t>
      </w:r>
    </w:p>
    <w:p w14:paraId="5E2D2563" w14:textId="6351A31B" w:rsidR="001A3CF7" w:rsidRPr="00CE706B" w:rsidRDefault="001A3CF7" w:rsidP="00873AF3">
      <w:pPr>
        <w:pStyle w:val="Caption"/>
      </w:pPr>
      <w:bookmarkStart w:id="54" w:name="_Ref193974317"/>
      <w:r>
        <w:t xml:space="preserve">Table </w:t>
      </w:r>
      <w:r>
        <w:fldChar w:fldCharType="begin" w:fldLock="1"/>
      </w:r>
      <w:r>
        <w:instrText xml:space="preserve"> SEQ Table \* ARABIC </w:instrText>
      </w:r>
      <w:r>
        <w:fldChar w:fldCharType="separate"/>
      </w:r>
      <w:r w:rsidR="00E70E55">
        <w:rPr>
          <w:noProof/>
        </w:rPr>
        <w:t>13</w:t>
      </w:r>
      <w:r>
        <w:fldChar w:fldCharType="end"/>
      </w:r>
      <w:bookmarkEnd w:id="54"/>
      <w:r w:rsidRPr="00CE706B">
        <w:t xml:space="preserve">: </w:t>
      </w:r>
      <w:r>
        <w:t>Adverse event outcomes from MycarinG trial ITT population and Brill 2024</w:t>
      </w:r>
    </w:p>
    <w:tbl>
      <w:tblPr>
        <w:tblStyle w:val="TableGrid"/>
        <w:tblW w:w="5000" w:type="pct"/>
        <w:tblCellMar>
          <w:left w:w="28" w:type="dxa"/>
          <w:right w:w="28" w:type="dxa"/>
        </w:tblCellMar>
        <w:tblLook w:val="04A0" w:firstRow="1" w:lastRow="0" w:firstColumn="1" w:lastColumn="0" w:noHBand="0" w:noVBand="1"/>
        <w:tblCaption w:val="Table 13: Adverse event outcomes from MycarinG trial ITT population and Brill 2024"/>
      </w:tblPr>
      <w:tblGrid>
        <w:gridCol w:w="2443"/>
        <w:gridCol w:w="1150"/>
        <w:gridCol w:w="1357"/>
        <w:gridCol w:w="1357"/>
        <w:gridCol w:w="1355"/>
        <w:gridCol w:w="1355"/>
      </w:tblGrid>
      <w:tr w:rsidR="001A3CF7" w14:paraId="4131701B" w14:textId="77777777" w:rsidTr="00BB7A7D">
        <w:trPr>
          <w:trHeight w:val="20"/>
        </w:trPr>
        <w:tc>
          <w:tcPr>
            <w:tcW w:w="2123" w:type="dxa"/>
            <w:vMerge w:val="restart"/>
          </w:tcPr>
          <w:p w14:paraId="050020F5" w14:textId="77777777" w:rsidR="001A3CF7" w:rsidRPr="00DD1665" w:rsidRDefault="001A3CF7" w:rsidP="00873AF3">
            <w:pPr>
              <w:pStyle w:val="COMTabletext"/>
            </w:pPr>
          </w:p>
        </w:tc>
        <w:tc>
          <w:tcPr>
            <w:tcW w:w="3359" w:type="dxa"/>
            <w:gridSpan w:val="3"/>
            <w:vAlign w:val="center"/>
          </w:tcPr>
          <w:p w14:paraId="70FD103F" w14:textId="062121D9" w:rsidR="001A3CF7" w:rsidRDefault="001A3CF7" w:rsidP="00873AF3">
            <w:pPr>
              <w:pStyle w:val="COMTableheadingrow"/>
              <w:jc w:val="center"/>
              <w:rPr>
                <w:bCs/>
              </w:rPr>
            </w:pPr>
            <w:r>
              <w:t>MycarinG</w:t>
            </w:r>
            <w:r w:rsidR="000A6630">
              <w:t xml:space="preserve"> (6 weeks)</w:t>
            </w:r>
          </w:p>
        </w:tc>
        <w:tc>
          <w:tcPr>
            <w:tcW w:w="2356" w:type="dxa"/>
            <w:gridSpan w:val="2"/>
            <w:vAlign w:val="center"/>
          </w:tcPr>
          <w:p w14:paraId="37653866" w14:textId="1060A360" w:rsidR="001A3CF7" w:rsidRPr="00DD1665" w:rsidRDefault="001A3CF7" w:rsidP="00873AF3">
            <w:pPr>
              <w:pStyle w:val="COMTableheadingrow"/>
              <w:jc w:val="center"/>
              <w:rPr>
                <w:bCs/>
              </w:rPr>
            </w:pPr>
            <w:r>
              <w:rPr>
                <w:bCs/>
              </w:rPr>
              <w:t>Bril 2024</w:t>
            </w:r>
            <w:r w:rsidR="000A6630">
              <w:rPr>
                <w:bCs/>
              </w:rPr>
              <w:t xml:space="preserve"> (24 weeks)</w:t>
            </w:r>
          </w:p>
        </w:tc>
      </w:tr>
      <w:tr w:rsidR="001A3CF7" w14:paraId="0E5781C3" w14:textId="77777777" w:rsidTr="00BB7A7D">
        <w:trPr>
          <w:trHeight w:val="20"/>
        </w:trPr>
        <w:tc>
          <w:tcPr>
            <w:tcW w:w="2123" w:type="dxa"/>
            <w:vMerge/>
          </w:tcPr>
          <w:p w14:paraId="20A6877D" w14:textId="77777777" w:rsidR="001A3CF7" w:rsidRPr="00DD1665" w:rsidRDefault="001A3CF7" w:rsidP="00873AF3">
            <w:pPr>
              <w:pStyle w:val="COMTabletext"/>
            </w:pPr>
          </w:p>
        </w:tc>
        <w:tc>
          <w:tcPr>
            <w:tcW w:w="999" w:type="dxa"/>
            <w:vAlign w:val="center"/>
          </w:tcPr>
          <w:p w14:paraId="2FA88B6C" w14:textId="77777777" w:rsidR="001A3CF7" w:rsidRPr="00DD1665" w:rsidRDefault="001A3CF7" w:rsidP="00873AF3">
            <w:pPr>
              <w:pStyle w:val="COMTableheadingrow"/>
              <w:jc w:val="center"/>
              <w:rPr>
                <w:bCs/>
              </w:rPr>
            </w:pPr>
            <w:r w:rsidRPr="00DD1665">
              <w:rPr>
                <w:bCs/>
              </w:rPr>
              <w:t>RLZ</w:t>
            </w:r>
            <w:r>
              <w:t xml:space="preserve"> </w:t>
            </w:r>
            <w:r w:rsidRPr="00DD1665">
              <w:rPr>
                <w:bCs/>
              </w:rPr>
              <w:t>7mg/kg</w:t>
            </w:r>
          </w:p>
          <w:p w14:paraId="6FF96CDF" w14:textId="77777777" w:rsidR="001A3CF7" w:rsidRPr="00DD1665" w:rsidRDefault="001A3CF7" w:rsidP="00873AF3">
            <w:pPr>
              <w:pStyle w:val="COMTableheadingrow"/>
              <w:jc w:val="center"/>
              <w:rPr>
                <w:bCs/>
              </w:rPr>
            </w:pPr>
            <w:r w:rsidRPr="00DD1665">
              <w:rPr>
                <w:bCs/>
              </w:rPr>
              <w:t>N</w:t>
            </w:r>
            <w:r>
              <w:rPr>
                <w:bCs/>
              </w:rPr>
              <w:t xml:space="preserve"> </w:t>
            </w:r>
            <w:r w:rsidRPr="00DD1665">
              <w:rPr>
                <w:bCs/>
              </w:rPr>
              <w:t>=</w:t>
            </w:r>
            <w:r>
              <w:rPr>
                <w:bCs/>
              </w:rPr>
              <w:t xml:space="preserve"> </w:t>
            </w:r>
            <w:r w:rsidRPr="00DD1665">
              <w:rPr>
                <w:bCs/>
              </w:rPr>
              <w:t>64</w:t>
            </w:r>
          </w:p>
        </w:tc>
        <w:tc>
          <w:tcPr>
            <w:tcW w:w="1180" w:type="dxa"/>
            <w:vAlign w:val="center"/>
          </w:tcPr>
          <w:p w14:paraId="4ED2A185" w14:textId="77777777" w:rsidR="001A3CF7" w:rsidRPr="00DD1665" w:rsidRDefault="001A3CF7" w:rsidP="00873AF3">
            <w:pPr>
              <w:pStyle w:val="COMTableheadingrow"/>
              <w:jc w:val="center"/>
              <w:rPr>
                <w:bCs/>
              </w:rPr>
            </w:pPr>
            <w:r w:rsidRPr="00DD1665">
              <w:rPr>
                <w:bCs/>
              </w:rPr>
              <w:t>RLZ 10mg/kg</w:t>
            </w:r>
          </w:p>
          <w:p w14:paraId="018B448F" w14:textId="77777777" w:rsidR="001A3CF7" w:rsidRPr="00DD1665" w:rsidRDefault="001A3CF7" w:rsidP="00873AF3">
            <w:pPr>
              <w:pStyle w:val="COMTableheadingrow"/>
              <w:jc w:val="center"/>
              <w:rPr>
                <w:bCs/>
              </w:rPr>
            </w:pPr>
            <w:r w:rsidRPr="00DD1665">
              <w:rPr>
                <w:bCs/>
              </w:rPr>
              <w:t>N</w:t>
            </w:r>
            <w:r>
              <w:rPr>
                <w:bCs/>
              </w:rPr>
              <w:t xml:space="preserve"> </w:t>
            </w:r>
            <w:r w:rsidRPr="00DD1665">
              <w:rPr>
                <w:bCs/>
              </w:rPr>
              <w:t>=</w:t>
            </w:r>
            <w:r>
              <w:rPr>
                <w:bCs/>
              </w:rPr>
              <w:t xml:space="preserve"> </w:t>
            </w:r>
            <w:r w:rsidRPr="00DD1665">
              <w:rPr>
                <w:bCs/>
              </w:rPr>
              <w:t>69</w:t>
            </w:r>
          </w:p>
        </w:tc>
        <w:tc>
          <w:tcPr>
            <w:tcW w:w="1180" w:type="dxa"/>
            <w:vAlign w:val="center"/>
          </w:tcPr>
          <w:p w14:paraId="56D1E23D" w14:textId="77777777" w:rsidR="001A3CF7" w:rsidRPr="00DD1665" w:rsidRDefault="001A3CF7" w:rsidP="00873AF3">
            <w:pPr>
              <w:pStyle w:val="COMTableheadingrow"/>
              <w:jc w:val="center"/>
              <w:rPr>
                <w:bCs/>
              </w:rPr>
            </w:pPr>
            <w:r w:rsidRPr="00DD1665">
              <w:rPr>
                <w:bCs/>
              </w:rPr>
              <w:t>Placebo</w:t>
            </w:r>
          </w:p>
          <w:p w14:paraId="4CE11228" w14:textId="77777777" w:rsidR="001A3CF7" w:rsidRPr="00DD1665" w:rsidRDefault="001A3CF7" w:rsidP="00873AF3">
            <w:pPr>
              <w:pStyle w:val="COMTableheadingrow"/>
              <w:jc w:val="center"/>
              <w:rPr>
                <w:bCs/>
              </w:rPr>
            </w:pPr>
            <w:r w:rsidRPr="00DD1665">
              <w:rPr>
                <w:bCs/>
              </w:rPr>
              <w:t>N</w:t>
            </w:r>
            <w:r>
              <w:rPr>
                <w:bCs/>
              </w:rPr>
              <w:t xml:space="preserve"> </w:t>
            </w:r>
            <w:r w:rsidRPr="00DD1665">
              <w:rPr>
                <w:bCs/>
              </w:rPr>
              <w:t>=</w:t>
            </w:r>
            <w:r>
              <w:rPr>
                <w:bCs/>
              </w:rPr>
              <w:t xml:space="preserve"> </w:t>
            </w:r>
            <w:r w:rsidRPr="00DD1665">
              <w:rPr>
                <w:bCs/>
              </w:rPr>
              <w:t>67</w:t>
            </w:r>
          </w:p>
        </w:tc>
        <w:tc>
          <w:tcPr>
            <w:tcW w:w="1178" w:type="dxa"/>
            <w:vAlign w:val="center"/>
          </w:tcPr>
          <w:p w14:paraId="71825F38" w14:textId="77777777" w:rsidR="001A3CF7" w:rsidRDefault="001A3CF7" w:rsidP="00873AF3">
            <w:pPr>
              <w:pStyle w:val="COMTableheadingrow"/>
              <w:jc w:val="center"/>
              <w:rPr>
                <w:bCs/>
              </w:rPr>
            </w:pPr>
            <w:r>
              <w:rPr>
                <w:bCs/>
              </w:rPr>
              <w:t>IVIg</w:t>
            </w:r>
          </w:p>
          <w:p w14:paraId="318BED9E" w14:textId="77777777" w:rsidR="001A3CF7" w:rsidRPr="00DD1665" w:rsidRDefault="001A3CF7" w:rsidP="00873AF3">
            <w:pPr>
              <w:pStyle w:val="COMTableheadingrow"/>
              <w:jc w:val="center"/>
              <w:rPr>
                <w:bCs/>
              </w:rPr>
            </w:pPr>
            <w:r>
              <w:rPr>
                <w:bCs/>
              </w:rPr>
              <w:t>N = 30</w:t>
            </w:r>
          </w:p>
        </w:tc>
        <w:tc>
          <w:tcPr>
            <w:tcW w:w="1178" w:type="dxa"/>
            <w:vAlign w:val="center"/>
          </w:tcPr>
          <w:p w14:paraId="60278D0E" w14:textId="77777777" w:rsidR="001A3CF7" w:rsidRDefault="001A3CF7" w:rsidP="00873AF3">
            <w:pPr>
              <w:pStyle w:val="COMTableheadingrow"/>
              <w:jc w:val="center"/>
              <w:rPr>
                <w:bCs/>
              </w:rPr>
            </w:pPr>
            <w:r>
              <w:rPr>
                <w:bCs/>
              </w:rPr>
              <w:t>Placebo</w:t>
            </w:r>
          </w:p>
          <w:p w14:paraId="685B36F0" w14:textId="77777777" w:rsidR="001A3CF7" w:rsidRPr="00DD1665" w:rsidRDefault="001A3CF7" w:rsidP="00873AF3">
            <w:pPr>
              <w:pStyle w:val="COMTableheadingrow"/>
              <w:jc w:val="center"/>
              <w:rPr>
                <w:bCs/>
              </w:rPr>
            </w:pPr>
            <w:r>
              <w:rPr>
                <w:bCs/>
              </w:rPr>
              <w:t>N = 32</w:t>
            </w:r>
          </w:p>
        </w:tc>
      </w:tr>
      <w:tr w:rsidR="001A3CF7" w14:paraId="6074BAA5" w14:textId="77777777" w:rsidTr="00BB7A7D">
        <w:trPr>
          <w:trHeight w:val="20"/>
        </w:trPr>
        <w:tc>
          <w:tcPr>
            <w:tcW w:w="2123" w:type="dxa"/>
            <w:tcBorders>
              <w:bottom w:val="single" w:sz="4" w:space="0" w:color="auto"/>
            </w:tcBorders>
          </w:tcPr>
          <w:p w14:paraId="4E19D0E2" w14:textId="77777777" w:rsidR="001A3CF7" w:rsidRPr="00DD1665" w:rsidRDefault="001A3CF7" w:rsidP="00873AF3">
            <w:pPr>
              <w:pStyle w:val="COMTabletext"/>
            </w:pPr>
            <w:r w:rsidRPr="00DD1665">
              <w:t>Any TEAE</w:t>
            </w:r>
          </w:p>
        </w:tc>
        <w:tc>
          <w:tcPr>
            <w:tcW w:w="999" w:type="dxa"/>
            <w:tcBorders>
              <w:bottom w:val="single" w:sz="4" w:space="0" w:color="auto"/>
            </w:tcBorders>
            <w:vAlign w:val="center"/>
          </w:tcPr>
          <w:p w14:paraId="4F6F4D09" w14:textId="77777777" w:rsidR="001A3CF7" w:rsidRPr="00F26580" w:rsidRDefault="001A3CF7" w:rsidP="00873AF3">
            <w:pPr>
              <w:pStyle w:val="COMTabletext"/>
              <w:jc w:val="center"/>
              <w:rPr>
                <w:szCs w:val="20"/>
              </w:rPr>
            </w:pPr>
            <w:r w:rsidRPr="00F26580">
              <w:rPr>
                <w:szCs w:val="20"/>
              </w:rPr>
              <w:t>52 (81.3)</w:t>
            </w:r>
          </w:p>
        </w:tc>
        <w:tc>
          <w:tcPr>
            <w:tcW w:w="1180" w:type="dxa"/>
            <w:tcBorders>
              <w:bottom w:val="single" w:sz="4" w:space="0" w:color="auto"/>
            </w:tcBorders>
            <w:vAlign w:val="center"/>
          </w:tcPr>
          <w:p w14:paraId="7BEB316D" w14:textId="77777777" w:rsidR="001A3CF7" w:rsidRPr="00F26580" w:rsidRDefault="001A3CF7" w:rsidP="00873AF3">
            <w:pPr>
              <w:pStyle w:val="COMTabletext"/>
              <w:jc w:val="center"/>
              <w:rPr>
                <w:szCs w:val="20"/>
              </w:rPr>
            </w:pPr>
            <w:r w:rsidRPr="00F26580">
              <w:rPr>
                <w:szCs w:val="20"/>
              </w:rPr>
              <w:t>57 (82.6)</w:t>
            </w:r>
          </w:p>
        </w:tc>
        <w:tc>
          <w:tcPr>
            <w:tcW w:w="1180" w:type="dxa"/>
            <w:tcBorders>
              <w:bottom w:val="single" w:sz="4" w:space="0" w:color="auto"/>
            </w:tcBorders>
            <w:vAlign w:val="center"/>
          </w:tcPr>
          <w:p w14:paraId="08D416AA" w14:textId="77777777" w:rsidR="001A3CF7" w:rsidRPr="00F26580" w:rsidRDefault="001A3CF7" w:rsidP="00873AF3">
            <w:pPr>
              <w:pStyle w:val="COMTabletext"/>
              <w:jc w:val="center"/>
              <w:rPr>
                <w:rFonts w:cstheme="minorHAnsi"/>
                <w:szCs w:val="20"/>
              </w:rPr>
            </w:pPr>
            <w:r w:rsidRPr="00F26580">
              <w:rPr>
                <w:szCs w:val="20"/>
              </w:rPr>
              <w:t>45 (67.2)</w:t>
            </w:r>
          </w:p>
        </w:tc>
        <w:tc>
          <w:tcPr>
            <w:tcW w:w="1178" w:type="dxa"/>
            <w:tcBorders>
              <w:bottom w:val="single" w:sz="4" w:space="0" w:color="auto"/>
            </w:tcBorders>
            <w:vAlign w:val="center"/>
          </w:tcPr>
          <w:p w14:paraId="4B76392B" w14:textId="77777777" w:rsidR="001A3CF7" w:rsidRPr="00F26580" w:rsidRDefault="001A3CF7" w:rsidP="00873AF3">
            <w:pPr>
              <w:pStyle w:val="COMTabletext"/>
              <w:jc w:val="center"/>
              <w:rPr>
                <w:rFonts w:cstheme="minorHAnsi"/>
                <w:szCs w:val="20"/>
              </w:rPr>
            </w:pPr>
            <w:r>
              <w:rPr>
                <w:rFonts w:cstheme="minorHAnsi"/>
                <w:szCs w:val="20"/>
              </w:rPr>
              <w:t>22 (73.3)</w:t>
            </w:r>
          </w:p>
        </w:tc>
        <w:tc>
          <w:tcPr>
            <w:tcW w:w="1178" w:type="dxa"/>
            <w:tcBorders>
              <w:bottom w:val="single" w:sz="4" w:space="0" w:color="auto"/>
            </w:tcBorders>
            <w:vAlign w:val="center"/>
          </w:tcPr>
          <w:p w14:paraId="117C166B" w14:textId="77777777" w:rsidR="001A3CF7" w:rsidRPr="00F26580" w:rsidRDefault="001A3CF7" w:rsidP="00873AF3">
            <w:pPr>
              <w:pStyle w:val="COMTabletext"/>
              <w:jc w:val="center"/>
              <w:rPr>
                <w:rFonts w:cstheme="minorHAnsi"/>
                <w:szCs w:val="20"/>
              </w:rPr>
            </w:pPr>
            <w:r>
              <w:rPr>
                <w:rFonts w:cstheme="minorHAnsi"/>
                <w:szCs w:val="20"/>
              </w:rPr>
              <w:t>22 (68.8)</w:t>
            </w:r>
          </w:p>
        </w:tc>
      </w:tr>
      <w:tr w:rsidR="001A3CF7" w14:paraId="696478C4" w14:textId="77777777" w:rsidTr="00BB7A7D">
        <w:trPr>
          <w:trHeight w:val="20"/>
        </w:trPr>
        <w:tc>
          <w:tcPr>
            <w:tcW w:w="2123" w:type="dxa"/>
          </w:tcPr>
          <w:p w14:paraId="7929397C" w14:textId="77777777" w:rsidR="001A3CF7" w:rsidRPr="00DD1665" w:rsidRDefault="001A3CF7" w:rsidP="00873AF3">
            <w:pPr>
              <w:pStyle w:val="COMTabletext"/>
            </w:pPr>
            <w:r w:rsidRPr="00DD1665">
              <w:t>Serious TEAEs</w:t>
            </w:r>
          </w:p>
        </w:tc>
        <w:tc>
          <w:tcPr>
            <w:tcW w:w="999" w:type="dxa"/>
            <w:vAlign w:val="center"/>
          </w:tcPr>
          <w:p w14:paraId="3D8F3951" w14:textId="77777777" w:rsidR="001A3CF7" w:rsidRPr="00F26580" w:rsidRDefault="001A3CF7" w:rsidP="00873AF3">
            <w:pPr>
              <w:pStyle w:val="COMTabletext"/>
              <w:jc w:val="center"/>
              <w:rPr>
                <w:szCs w:val="20"/>
              </w:rPr>
            </w:pPr>
            <w:r w:rsidRPr="00F26580">
              <w:rPr>
                <w:szCs w:val="20"/>
              </w:rPr>
              <w:t>5 (7.8)</w:t>
            </w:r>
          </w:p>
        </w:tc>
        <w:tc>
          <w:tcPr>
            <w:tcW w:w="1180" w:type="dxa"/>
            <w:vAlign w:val="center"/>
          </w:tcPr>
          <w:p w14:paraId="3A96A83A" w14:textId="77777777" w:rsidR="001A3CF7" w:rsidRPr="00F26580" w:rsidRDefault="001A3CF7" w:rsidP="00873AF3">
            <w:pPr>
              <w:pStyle w:val="COMTabletext"/>
              <w:jc w:val="center"/>
              <w:rPr>
                <w:szCs w:val="20"/>
              </w:rPr>
            </w:pPr>
            <w:r w:rsidRPr="00F26580">
              <w:rPr>
                <w:szCs w:val="20"/>
              </w:rPr>
              <w:t>7 (10.1)</w:t>
            </w:r>
          </w:p>
        </w:tc>
        <w:tc>
          <w:tcPr>
            <w:tcW w:w="1180" w:type="dxa"/>
            <w:vAlign w:val="center"/>
          </w:tcPr>
          <w:p w14:paraId="40C07DB4" w14:textId="77777777" w:rsidR="001A3CF7" w:rsidRPr="00F26580" w:rsidRDefault="001A3CF7" w:rsidP="00873AF3">
            <w:pPr>
              <w:pStyle w:val="COMTabletext"/>
              <w:jc w:val="center"/>
              <w:rPr>
                <w:rFonts w:cstheme="minorHAnsi"/>
                <w:szCs w:val="20"/>
              </w:rPr>
            </w:pPr>
            <w:r w:rsidRPr="00F26580">
              <w:rPr>
                <w:szCs w:val="20"/>
              </w:rPr>
              <w:t>6 (9.0)</w:t>
            </w:r>
          </w:p>
        </w:tc>
        <w:tc>
          <w:tcPr>
            <w:tcW w:w="1178" w:type="dxa"/>
            <w:vAlign w:val="center"/>
          </w:tcPr>
          <w:p w14:paraId="33A34AEB" w14:textId="77777777" w:rsidR="001A3CF7" w:rsidRPr="00F26580" w:rsidRDefault="001A3CF7" w:rsidP="00873AF3">
            <w:pPr>
              <w:pStyle w:val="COMTabletext"/>
              <w:jc w:val="center"/>
              <w:rPr>
                <w:rFonts w:cstheme="minorHAnsi"/>
                <w:szCs w:val="20"/>
              </w:rPr>
            </w:pPr>
            <w:r>
              <w:rPr>
                <w:rFonts w:cstheme="minorHAnsi"/>
                <w:szCs w:val="20"/>
              </w:rPr>
              <w:t>5 (16.7)</w:t>
            </w:r>
          </w:p>
        </w:tc>
        <w:tc>
          <w:tcPr>
            <w:tcW w:w="1178" w:type="dxa"/>
            <w:vAlign w:val="center"/>
          </w:tcPr>
          <w:p w14:paraId="1A7DDBC3" w14:textId="77777777" w:rsidR="001A3CF7" w:rsidRPr="00F26580" w:rsidRDefault="001A3CF7" w:rsidP="00873AF3">
            <w:pPr>
              <w:pStyle w:val="COMTabletext"/>
              <w:jc w:val="center"/>
              <w:rPr>
                <w:rFonts w:cstheme="minorHAnsi"/>
                <w:szCs w:val="20"/>
              </w:rPr>
            </w:pPr>
            <w:r>
              <w:rPr>
                <w:rFonts w:cstheme="minorHAnsi"/>
                <w:szCs w:val="20"/>
              </w:rPr>
              <w:t>4 (12.5)</w:t>
            </w:r>
          </w:p>
        </w:tc>
      </w:tr>
      <w:tr w:rsidR="001A3CF7" w14:paraId="2AA752BE" w14:textId="77777777" w:rsidTr="00BB7A7D">
        <w:trPr>
          <w:trHeight w:val="20"/>
        </w:trPr>
        <w:tc>
          <w:tcPr>
            <w:tcW w:w="2123" w:type="dxa"/>
          </w:tcPr>
          <w:p w14:paraId="4E79E87F" w14:textId="77777777" w:rsidR="001A3CF7" w:rsidRPr="00DD1665" w:rsidRDefault="001A3CF7" w:rsidP="00873AF3">
            <w:pPr>
              <w:pStyle w:val="COMTabletext"/>
            </w:pPr>
            <w:r>
              <w:t>D</w:t>
            </w:r>
            <w:r w:rsidRPr="00C01510">
              <w:t>iscontinuation from study</w:t>
            </w:r>
            <w:r>
              <w:t xml:space="preserve"> </w:t>
            </w:r>
            <w:r w:rsidRPr="00C01510">
              <w:t>due to TEAEs</w:t>
            </w:r>
          </w:p>
        </w:tc>
        <w:tc>
          <w:tcPr>
            <w:tcW w:w="999" w:type="dxa"/>
            <w:vAlign w:val="center"/>
          </w:tcPr>
          <w:p w14:paraId="35D91C31" w14:textId="77777777" w:rsidR="001A3CF7" w:rsidRPr="00F26580" w:rsidRDefault="001A3CF7" w:rsidP="00873AF3">
            <w:pPr>
              <w:pStyle w:val="COMTabletext"/>
              <w:jc w:val="center"/>
              <w:rPr>
                <w:szCs w:val="20"/>
              </w:rPr>
            </w:pPr>
            <w:r w:rsidRPr="00F26580">
              <w:rPr>
                <w:szCs w:val="20"/>
              </w:rPr>
              <w:t>2 (3.1)</w:t>
            </w:r>
          </w:p>
        </w:tc>
        <w:tc>
          <w:tcPr>
            <w:tcW w:w="1180" w:type="dxa"/>
            <w:vAlign w:val="center"/>
          </w:tcPr>
          <w:p w14:paraId="651B4549" w14:textId="77777777" w:rsidR="001A3CF7" w:rsidRPr="00F26580" w:rsidRDefault="001A3CF7" w:rsidP="00873AF3">
            <w:pPr>
              <w:pStyle w:val="COMTabletext"/>
              <w:jc w:val="center"/>
              <w:rPr>
                <w:szCs w:val="20"/>
              </w:rPr>
            </w:pPr>
            <w:r w:rsidRPr="00F26580">
              <w:rPr>
                <w:szCs w:val="20"/>
              </w:rPr>
              <w:t>5 (7.2)</w:t>
            </w:r>
          </w:p>
        </w:tc>
        <w:tc>
          <w:tcPr>
            <w:tcW w:w="1180" w:type="dxa"/>
            <w:vAlign w:val="center"/>
          </w:tcPr>
          <w:p w14:paraId="623DF847" w14:textId="77777777" w:rsidR="001A3CF7" w:rsidRPr="00F26580" w:rsidRDefault="001A3CF7" w:rsidP="00873AF3">
            <w:pPr>
              <w:pStyle w:val="COMTabletext"/>
              <w:jc w:val="center"/>
              <w:rPr>
                <w:rFonts w:cstheme="minorHAnsi"/>
                <w:szCs w:val="20"/>
              </w:rPr>
            </w:pPr>
            <w:r w:rsidRPr="00F26580">
              <w:rPr>
                <w:szCs w:val="20"/>
              </w:rPr>
              <w:t>2 (3.0)</w:t>
            </w:r>
          </w:p>
        </w:tc>
        <w:tc>
          <w:tcPr>
            <w:tcW w:w="1178" w:type="dxa"/>
            <w:vAlign w:val="center"/>
          </w:tcPr>
          <w:p w14:paraId="7E6AB82C" w14:textId="77777777" w:rsidR="001A3CF7" w:rsidRPr="00F26580" w:rsidRDefault="001A3CF7" w:rsidP="00873AF3">
            <w:pPr>
              <w:pStyle w:val="COMTabletext"/>
              <w:jc w:val="center"/>
              <w:rPr>
                <w:rFonts w:cstheme="minorHAnsi"/>
                <w:szCs w:val="20"/>
              </w:rPr>
            </w:pPr>
            <w:r>
              <w:rPr>
                <w:rFonts w:cstheme="minorHAnsi"/>
                <w:szCs w:val="20"/>
              </w:rPr>
              <w:t>2 (6.7)</w:t>
            </w:r>
          </w:p>
        </w:tc>
        <w:tc>
          <w:tcPr>
            <w:tcW w:w="1178" w:type="dxa"/>
            <w:vAlign w:val="center"/>
          </w:tcPr>
          <w:p w14:paraId="5F285DE7" w14:textId="77777777" w:rsidR="001A3CF7" w:rsidRPr="00F26580" w:rsidRDefault="001A3CF7" w:rsidP="00873AF3">
            <w:pPr>
              <w:pStyle w:val="COMTabletext"/>
              <w:jc w:val="center"/>
              <w:rPr>
                <w:rFonts w:cstheme="minorHAnsi"/>
                <w:szCs w:val="20"/>
              </w:rPr>
            </w:pPr>
            <w:r>
              <w:rPr>
                <w:rFonts w:cstheme="minorHAnsi"/>
                <w:szCs w:val="20"/>
              </w:rPr>
              <w:t>2 (6.3)</w:t>
            </w:r>
          </w:p>
        </w:tc>
      </w:tr>
      <w:tr w:rsidR="001A3CF7" w14:paraId="00CDE0D2" w14:textId="77777777" w:rsidTr="00BB7A7D">
        <w:trPr>
          <w:trHeight w:val="20"/>
        </w:trPr>
        <w:tc>
          <w:tcPr>
            <w:tcW w:w="2123" w:type="dxa"/>
          </w:tcPr>
          <w:p w14:paraId="701E051C" w14:textId="77777777" w:rsidR="001A3CF7" w:rsidRPr="00DD1665" w:rsidRDefault="001A3CF7" w:rsidP="00873AF3">
            <w:pPr>
              <w:pStyle w:val="COMTabletext"/>
            </w:pPr>
            <w:r w:rsidRPr="00DD1665">
              <w:t>All deaths</w:t>
            </w:r>
          </w:p>
          <w:p w14:paraId="4AB6E4F4" w14:textId="77777777" w:rsidR="001A3CF7" w:rsidRPr="00DD1665" w:rsidRDefault="001A3CF7" w:rsidP="00873AF3">
            <w:pPr>
              <w:pStyle w:val="COMTabletext"/>
            </w:pPr>
            <w:r w:rsidRPr="00DD1665">
              <w:t>(AEs leading to deaths)</w:t>
            </w:r>
          </w:p>
        </w:tc>
        <w:tc>
          <w:tcPr>
            <w:tcW w:w="999" w:type="dxa"/>
            <w:vAlign w:val="center"/>
          </w:tcPr>
          <w:p w14:paraId="657A4020" w14:textId="77777777" w:rsidR="001A3CF7" w:rsidRPr="00F26580" w:rsidRDefault="001A3CF7" w:rsidP="00873AF3">
            <w:pPr>
              <w:pStyle w:val="COMTabletext"/>
              <w:jc w:val="center"/>
              <w:rPr>
                <w:szCs w:val="20"/>
              </w:rPr>
            </w:pPr>
            <w:r w:rsidRPr="00821AA6">
              <w:rPr>
                <w:szCs w:val="20"/>
              </w:rPr>
              <w:t>0 (0)</w:t>
            </w:r>
          </w:p>
        </w:tc>
        <w:tc>
          <w:tcPr>
            <w:tcW w:w="1180" w:type="dxa"/>
            <w:vAlign w:val="center"/>
          </w:tcPr>
          <w:p w14:paraId="1DFB0383" w14:textId="77777777" w:rsidR="001A3CF7" w:rsidRPr="00F26580" w:rsidRDefault="001A3CF7" w:rsidP="00873AF3">
            <w:pPr>
              <w:pStyle w:val="COMTabletext"/>
              <w:jc w:val="center"/>
              <w:rPr>
                <w:szCs w:val="20"/>
              </w:rPr>
            </w:pPr>
            <w:r w:rsidRPr="00821AA6">
              <w:rPr>
                <w:szCs w:val="20"/>
              </w:rPr>
              <w:t>0 (0)</w:t>
            </w:r>
          </w:p>
        </w:tc>
        <w:tc>
          <w:tcPr>
            <w:tcW w:w="1180" w:type="dxa"/>
            <w:vAlign w:val="center"/>
          </w:tcPr>
          <w:p w14:paraId="41C2840B" w14:textId="77777777" w:rsidR="001A3CF7" w:rsidRPr="00F26580" w:rsidRDefault="001A3CF7" w:rsidP="00873AF3">
            <w:pPr>
              <w:pStyle w:val="COMTabletext"/>
              <w:jc w:val="center"/>
              <w:rPr>
                <w:rFonts w:cstheme="minorHAnsi"/>
                <w:szCs w:val="20"/>
              </w:rPr>
            </w:pPr>
            <w:r w:rsidRPr="00821AA6">
              <w:rPr>
                <w:szCs w:val="20"/>
              </w:rPr>
              <w:t>0 (0)</w:t>
            </w:r>
          </w:p>
        </w:tc>
        <w:tc>
          <w:tcPr>
            <w:tcW w:w="1178" w:type="dxa"/>
            <w:vAlign w:val="center"/>
          </w:tcPr>
          <w:p w14:paraId="5E507076" w14:textId="77777777" w:rsidR="001A3CF7" w:rsidRPr="00F26580" w:rsidRDefault="001A3CF7" w:rsidP="00873AF3">
            <w:pPr>
              <w:pStyle w:val="COMTabletext"/>
              <w:jc w:val="center"/>
              <w:rPr>
                <w:rFonts w:cstheme="minorHAnsi"/>
                <w:szCs w:val="20"/>
              </w:rPr>
            </w:pPr>
            <w:r>
              <w:rPr>
                <w:rFonts w:cstheme="minorHAnsi"/>
                <w:szCs w:val="20"/>
              </w:rPr>
              <w:t>1 (3.3)</w:t>
            </w:r>
          </w:p>
        </w:tc>
        <w:tc>
          <w:tcPr>
            <w:tcW w:w="1178" w:type="dxa"/>
            <w:vAlign w:val="center"/>
          </w:tcPr>
          <w:p w14:paraId="4EF7503C" w14:textId="77777777" w:rsidR="001A3CF7" w:rsidRPr="00F26580" w:rsidRDefault="001A3CF7" w:rsidP="00873AF3">
            <w:pPr>
              <w:pStyle w:val="COMTabletext"/>
              <w:jc w:val="center"/>
              <w:rPr>
                <w:rFonts w:cstheme="minorHAnsi"/>
                <w:szCs w:val="20"/>
              </w:rPr>
            </w:pPr>
            <w:r>
              <w:rPr>
                <w:rFonts w:cstheme="minorHAnsi"/>
                <w:szCs w:val="20"/>
              </w:rPr>
              <w:t>0 (0)</w:t>
            </w:r>
          </w:p>
        </w:tc>
      </w:tr>
      <w:tr w:rsidR="001A3CF7" w:rsidRPr="00DD1665" w14:paraId="2FFE919A" w14:textId="77777777" w:rsidTr="00BB7A7D">
        <w:trPr>
          <w:trHeight w:val="20"/>
        </w:trPr>
        <w:tc>
          <w:tcPr>
            <w:tcW w:w="2123" w:type="dxa"/>
          </w:tcPr>
          <w:p w14:paraId="753695A7" w14:textId="77777777" w:rsidR="001A3CF7" w:rsidRPr="00DD1665" w:rsidRDefault="001A3CF7" w:rsidP="00873AF3">
            <w:pPr>
              <w:pStyle w:val="COMTabletext"/>
            </w:pPr>
            <w:r>
              <w:t>Headache</w:t>
            </w:r>
          </w:p>
        </w:tc>
        <w:tc>
          <w:tcPr>
            <w:tcW w:w="999" w:type="dxa"/>
            <w:vAlign w:val="center"/>
          </w:tcPr>
          <w:p w14:paraId="4A181ECE" w14:textId="77777777" w:rsidR="001A3CF7" w:rsidRPr="00F26580" w:rsidRDefault="001A3CF7" w:rsidP="00873AF3">
            <w:pPr>
              <w:pStyle w:val="COMTabletext"/>
              <w:jc w:val="center"/>
              <w:rPr>
                <w:szCs w:val="20"/>
              </w:rPr>
            </w:pPr>
            <w:r w:rsidRPr="00F26580">
              <w:rPr>
                <w:szCs w:val="20"/>
              </w:rPr>
              <w:t>29 (45.3)</w:t>
            </w:r>
          </w:p>
        </w:tc>
        <w:tc>
          <w:tcPr>
            <w:tcW w:w="1180" w:type="dxa"/>
            <w:vAlign w:val="center"/>
          </w:tcPr>
          <w:p w14:paraId="1A62A2E0" w14:textId="77777777" w:rsidR="001A3CF7" w:rsidRPr="00F26580" w:rsidRDefault="001A3CF7" w:rsidP="00873AF3">
            <w:pPr>
              <w:pStyle w:val="COMTabletext"/>
              <w:jc w:val="center"/>
              <w:rPr>
                <w:szCs w:val="20"/>
              </w:rPr>
            </w:pPr>
            <w:r w:rsidRPr="00F26580">
              <w:rPr>
                <w:szCs w:val="20"/>
              </w:rPr>
              <w:t>26 (37.7)</w:t>
            </w:r>
          </w:p>
        </w:tc>
        <w:tc>
          <w:tcPr>
            <w:tcW w:w="1180" w:type="dxa"/>
            <w:vAlign w:val="center"/>
          </w:tcPr>
          <w:p w14:paraId="550F1D47" w14:textId="77777777" w:rsidR="001A3CF7" w:rsidRPr="00F26580" w:rsidRDefault="001A3CF7" w:rsidP="00873AF3">
            <w:pPr>
              <w:pStyle w:val="COMTabletext"/>
              <w:jc w:val="center"/>
              <w:rPr>
                <w:szCs w:val="20"/>
              </w:rPr>
            </w:pPr>
            <w:r w:rsidRPr="00F26580">
              <w:rPr>
                <w:szCs w:val="20"/>
              </w:rPr>
              <w:t>13 (19.4)</w:t>
            </w:r>
          </w:p>
        </w:tc>
        <w:tc>
          <w:tcPr>
            <w:tcW w:w="1178" w:type="dxa"/>
            <w:vAlign w:val="center"/>
          </w:tcPr>
          <w:p w14:paraId="3FE30595" w14:textId="77777777" w:rsidR="001A3CF7" w:rsidRPr="00F26580" w:rsidRDefault="001A3CF7" w:rsidP="00873AF3">
            <w:pPr>
              <w:pStyle w:val="COMTabletext"/>
              <w:jc w:val="center"/>
              <w:rPr>
                <w:szCs w:val="20"/>
              </w:rPr>
            </w:pPr>
            <w:r>
              <w:rPr>
                <w:szCs w:val="20"/>
              </w:rPr>
              <w:t>9 (30.0)</w:t>
            </w:r>
          </w:p>
        </w:tc>
        <w:tc>
          <w:tcPr>
            <w:tcW w:w="1178" w:type="dxa"/>
            <w:vAlign w:val="center"/>
          </w:tcPr>
          <w:p w14:paraId="035A0857" w14:textId="77777777" w:rsidR="001A3CF7" w:rsidRPr="00F26580" w:rsidRDefault="001A3CF7" w:rsidP="00873AF3">
            <w:pPr>
              <w:pStyle w:val="COMTabletext"/>
              <w:jc w:val="center"/>
              <w:rPr>
                <w:rFonts w:cstheme="minorHAnsi"/>
                <w:szCs w:val="20"/>
              </w:rPr>
            </w:pPr>
            <w:r>
              <w:rPr>
                <w:rFonts w:cstheme="minorHAnsi"/>
                <w:szCs w:val="20"/>
              </w:rPr>
              <w:t>4 (12.5)</w:t>
            </w:r>
          </w:p>
        </w:tc>
      </w:tr>
      <w:tr w:rsidR="001A3CF7" w:rsidRPr="00DD1665" w14:paraId="0A599320" w14:textId="77777777" w:rsidTr="00BB7A7D">
        <w:trPr>
          <w:trHeight w:val="20"/>
        </w:trPr>
        <w:tc>
          <w:tcPr>
            <w:tcW w:w="2123" w:type="dxa"/>
          </w:tcPr>
          <w:p w14:paraId="542489ED" w14:textId="77777777" w:rsidR="001A3CF7" w:rsidRPr="00DD1665" w:rsidRDefault="001A3CF7" w:rsidP="00873AF3">
            <w:pPr>
              <w:pStyle w:val="COMTabletext"/>
            </w:pPr>
            <w:r>
              <w:t>Diarrhoea</w:t>
            </w:r>
          </w:p>
        </w:tc>
        <w:tc>
          <w:tcPr>
            <w:tcW w:w="999" w:type="dxa"/>
            <w:vAlign w:val="center"/>
          </w:tcPr>
          <w:p w14:paraId="18CC1FCB" w14:textId="77777777" w:rsidR="001A3CF7" w:rsidRPr="00F26580" w:rsidRDefault="001A3CF7" w:rsidP="00873AF3">
            <w:pPr>
              <w:pStyle w:val="COMTabletext"/>
              <w:jc w:val="center"/>
              <w:rPr>
                <w:szCs w:val="20"/>
              </w:rPr>
            </w:pPr>
            <w:r w:rsidRPr="00F26580">
              <w:rPr>
                <w:szCs w:val="20"/>
              </w:rPr>
              <w:t>16 (25.0)</w:t>
            </w:r>
          </w:p>
        </w:tc>
        <w:tc>
          <w:tcPr>
            <w:tcW w:w="1180" w:type="dxa"/>
            <w:vAlign w:val="center"/>
          </w:tcPr>
          <w:p w14:paraId="69EC684A" w14:textId="77777777" w:rsidR="001A3CF7" w:rsidRPr="00F26580" w:rsidRDefault="001A3CF7" w:rsidP="00873AF3">
            <w:pPr>
              <w:pStyle w:val="COMTabletext"/>
              <w:jc w:val="center"/>
              <w:rPr>
                <w:szCs w:val="20"/>
              </w:rPr>
            </w:pPr>
            <w:r w:rsidRPr="00F26580">
              <w:rPr>
                <w:szCs w:val="20"/>
              </w:rPr>
              <w:t>11 (15.9)</w:t>
            </w:r>
          </w:p>
        </w:tc>
        <w:tc>
          <w:tcPr>
            <w:tcW w:w="1180" w:type="dxa"/>
            <w:vAlign w:val="center"/>
          </w:tcPr>
          <w:p w14:paraId="2D69CBE8" w14:textId="77777777" w:rsidR="001A3CF7" w:rsidRPr="00F26580" w:rsidRDefault="001A3CF7" w:rsidP="00873AF3">
            <w:pPr>
              <w:pStyle w:val="COMTabletext"/>
              <w:jc w:val="center"/>
              <w:rPr>
                <w:szCs w:val="20"/>
              </w:rPr>
            </w:pPr>
            <w:r w:rsidRPr="00F26580">
              <w:rPr>
                <w:szCs w:val="20"/>
              </w:rPr>
              <w:t>9 (13.4)</w:t>
            </w:r>
          </w:p>
        </w:tc>
        <w:tc>
          <w:tcPr>
            <w:tcW w:w="1178" w:type="dxa"/>
            <w:vAlign w:val="center"/>
          </w:tcPr>
          <w:p w14:paraId="4EC041C5" w14:textId="77777777" w:rsidR="001A3CF7" w:rsidRPr="00F26580" w:rsidRDefault="001A3CF7" w:rsidP="00873AF3">
            <w:pPr>
              <w:pStyle w:val="COMTabletext"/>
              <w:jc w:val="center"/>
              <w:rPr>
                <w:szCs w:val="20"/>
              </w:rPr>
            </w:pPr>
            <w:r>
              <w:rPr>
                <w:szCs w:val="20"/>
              </w:rPr>
              <w:t>3 (10.0)</w:t>
            </w:r>
          </w:p>
        </w:tc>
        <w:tc>
          <w:tcPr>
            <w:tcW w:w="1178" w:type="dxa"/>
            <w:vAlign w:val="center"/>
          </w:tcPr>
          <w:p w14:paraId="40A80F23" w14:textId="77777777" w:rsidR="001A3CF7" w:rsidRPr="00F26580" w:rsidRDefault="001A3CF7" w:rsidP="00873AF3">
            <w:pPr>
              <w:pStyle w:val="COMTabletext"/>
              <w:jc w:val="center"/>
              <w:rPr>
                <w:rFonts w:cstheme="minorHAnsi"/>
                <w:szCs w:val="20"/>
              </w:rPr>
            </w:pPr>
            <w:r>
              <w:rPr>
                <w:rFonts w:cstheme="minorHAnsi"/>
                <w:szCs w:val="20"/>
              </w:rPr>
              <w:t>2 (6.3)</w:t>
            </w:r>
          </w:p>
        </w:tc>
      </w:tr>
    </w:tbl>
    <w:p w14:paraId="296DEB33" w14:textId="77777777" w:rsidR="001A3CF7" w:rsidRDefault="001A3CF7" w:rsidP="00873AF3">
      <w:pPr>
        <w:pStyle w:val="COMTablefooter"/>
      </w:pPr>
      <w:r>
        <w:t>Source: Table 2.5-10, pp112-113; Table 2.5-15, p119 of the submission; Table 3, Bril 2024.</w:t>
      </w:r>
    </w:p>
    <w:p w14:paraId="78E4BC52" w14:textId="77777777" w:rsidR="001A3CF7" w:rsidRDefault="001A3CF7" w:rsidP="00873AF3">
      <w:pPr>
        <w:pStyle w:val="COMTablefooter"/>
      </w:pPr>
      <w:r>
        <w:t>Abbreviations: AE, adverse event; CTCAE, common terminology criteria for adverse events; RLZ, rozanolixizumab; TEAE, treatment-emergent adverse event</w:t>
      </w:r>
    </w:p>
    <w:p w14:paraId="04908C7F" w14:textId="0786502E" w:rsidR="007F1017" w:rsidRPr="00CE706B" w:rsidRDefault="007F1017" w:rsidP="00873AF3">
      <w:pPr>
        <w:pStyle w:val="COMH2-non-numbered"/>
        <w:tabs>
          <w:tab w:val="left" w:pos="1276"/>
        </w:tabs>
      </w:pPr>
      <w:bookmarkStart w:id="55" w:name="_Toc22897643"/>
      <w:bookmarkStart w:id="56" w:name="_Toc188272891"/>
      <w:r w:rsidRPr="00CE706B">
        <w:t>Benefits/harms</w:t>
      </w:r>
      <w:bookmarkEnd w:id="55"/>
      <w:bookmarkEnd w:id="56"/>
    </w:p>
    <w:p w14:paraId="4BA5DD0A" w14:textId="77777777" w:rsidR="00F85FC7" w:rsidRPr="00CE706B" w:rsidRDefault="00F85FC7" w:rsidP="00873AF3">
      <w:pPr>
        <w:pStyle w:val="COMexecsummnumbered"/>
      </w:pPr>
      <w:r w:rsidRPr="00460362">
        <w:t>A benefits/harms table was not presented as the submission made a claim of non-</w:t>
      </w:r>
      <w:r w:rsidRPr="009412CD">
        <w:t xml:space="preserve">inferiority. </w:t>
      </w:r>
    </w:p>
    <w:p w14:paraId="7A1772B6" w14:textId="23BB3145" w:rsidR="00B60939" w:rsidRPr="00CE706B" w:rsidRDefault="00B60939" w:rsidP="00873AF3">
      <w:pPr>
        <w:pStyle w:val="COMH2-non-numbered"/>
      </w:pPr>
      <w:bookmarkStart w:id="57" w:name="_Toc22897644"/>
      <w:bookmarkStart w:id="58" w:name="_Toc188272892"/>
      <w:r w:rsidRPr="00CE706B">
        <w:t>Clinical claim</w:t>
      </w:r>
      <w:bookmarkEnd w:id="57"/>
      <w:bookmarkEnd w:id="58"/>
    </w:p>
    <w:p w14:paraId="78F15D19" w14:textId="7BC077DB" w:rsidR="00D11968" w:rsidRPr="006077B2" w:rsidRDefault="7E4864C4" w:rsidP="00873AF3">
      <w:pPr>
        <w:pStyle w:val="COMexecsummnumbered"/>
      </w:pPr>
      <w:r w:rsidRPr="7E0DBB7D">
        <w:t xml:space="preserve">The submission described rozanolixizumab </w:t>
      </w:r>
      <w:r w:rsidR="4D7CFCD7" w:rsidRPr="7E0DBB7D">
        <w:t xml:space="preserve">in combination with standard of care </w:t>
      </w:r>
      <w:r w:rsidRPr="7E0DBB7D">
        <w:t>as superior in terms of efficacy and non-inferior in terms of safety compared to standard of care</w:t>
      </w:r>
      <w:r w:rsidR="4D7CFCD7" w:rsidRPr="7E0DBB7D">
        <w:t xml:space="preserve"> alone</w:t>
      </w:r>
      <w:r w:rsidR="4171D694" w:rsidRPr="7E0DBB7D">
        <w:t xml:space="preserve"> (including</w:t>
      </w:r>
      <w:r w:rsidR="6F837A4E" w:rsidRPr="7E0DBB7D">
        <w:t xml:space="preserve"> </w:t>
      </w:r>
      <w:r w:rsidR="0E32B2C2" w:rsidRPr="7E0DBB7D">
        <w:t>anti-cholinesterase inhibitors, corticosteroids and other immunosuppressants such as mycophenolate mofetil, azathioprine, methotrexate, cyclophosphamide, ciclosporin)</w:t>
      </w:r>
      <w:r w:rsidRPr="7E0DBB7D">
        <w:t>. Th</w:t>
      </w:r>
      <w:r w:rsidR="000A6630">
        <w:t>e evaluation considered th</w:t>
      </w:r>
      <w:r w:rsidRPr="7E0DBB7D">
        <w:t xml:space="preserve">is claim was reasonable </w:t>
      </w:r>
      <w:r w:rsidR="565ADE90" w:rsidRPr="7E0DBB7D">
        <w:t>in regard to</w:t>
      </w:r>
      <w:r w:rsidRPr="7E0DBB7D">
        <w:t xml:space="preserve"> efficacy and unclear in regard to safety. The </w:t>
      </w:r>
      <w:r w:rsidR="000A6630">
        <w:t xml:space="preserve">evaluation considered the </w:t>
      </w:r>
      <w:r w:rsidRPr="7E0DBB7D">
        <w:t>following issues should be considered:</w:t>
      </w:r>
    </w:p>
    <w:p w14:paraId="5E8D72C7" w14:textId="14896A02" w:rsidR="00D11968" w:rsidRPr="006077B2" w:rsidRDefault="7E4864C4" w:rsidP="00873AF3">
      <w:pPr>
        <w:pStyle w:val="COMexecsummbulletlist"/>
        <w:ind w:left="1276" w:hanging="567"/>
      </w:pPr>
      <w:r w:rsidRPr="7E0DBB7D">
        <w:t xml:space="preserve">The results from the MycarinG trial do not address sustained efficacy beyond the first cycle of treatment, and no evidence of comparative efficacy or safety were available beyond 6 weeks of treatment and 8 weeks of observation. </w:t>
      </w:r>
    </w:p>
    <w:p w14:paraId="73792F4E" w14:textId="352BC2CA" w:rsidR="00D11968" w:rsidRPr="006077B2" w:rsidRDefault="7E4864C4" w:rsidP="00873AF3">
      <w:pPr>
        <w:pStyle w:val="COMexecsummbulletlist"/>
        <w:ind w:left="1276" w:hanging="567"/>
      </w:pPr>
      <w:r w:rsidRPr="7E0DBB7D">
        <w:t>Available observational data from the longer-term extension studies suggest that a reduction in symptoms can be maintained while patients are on therapy, but the gap between treatment cycles reduces over time.</w:t>
      </w:r>
    </w:p>
    <w:p w14:paraId="0B18BC93" w14:textId="0BD606C5" w:rsidR="00D11968" w:rsidRPr="006077B2" w:rsidRDefault="7E4864C4" w:rsidP="00873AF3">
      <w:pPr>
        <w:pStyle w:val="COMexecsummbulletlist"/>
        <w:ind w:left="1276" w:hanging="567"/>
      </w:pPr>
      <w:r w:rsidRPr="7E0DBB7D">
        <w:t>The overall incidence of treatment emergent adverse events was higher in the rozanolixizumab ~7 mg/kg arm than in the placebo arm, with the submission noting a statistically significantly greater incidence of headache, pyrexia, and treatment-related adverse events in the rozanolixizumab ~7 mg/kg arm compared to placebo. However, the incidence of other adverse events, serious and severe adverse events and discontinuations due to adverse events were similar between treatment arms. Safety data from MycarinG w</w:t>
      </w:r>
      <w:r w:rsidR="198AC940" w:rsidRPr="7E0DBB7D">
        <w:t>ere</w:t>
      </w:r>
      <w:r w:rsidRPr="7E0DBB7D">
        <w:t xml:space="preserve"> limited to 6</w:t>
      </w:r>
      <w:r w:rsidR="00D463E8">
        <w:t> </w:t>
      </w:r>
      <w:r w:rsidRPr="7E0DBB7D">
        <w:t>weeks of treatment and 8 weeks of observation, with many patients discontinuing the trial during the observation period to roll-over to either of the MG0004 or MG0007 extension studies, limiting the usefulness of the data in determining comparative safety. There is an important identified risk of aseptic meningitis with rozanolixizumab treatment.</w:t>
      </w:r>
    </w:p>
    <w:p w14:paraId="4F0702FB" w14:textId="613C93CB" w:rsidR="00D11968" w:rsidRPr="008C328A" w:rsidRDefault="7E4864C4" w:rsidP="00873AF3">
      <w:pPr>
        <w:pStyle w:val="COMexecsummnumbered"/>
      </w:pPr>
      <w:r w:rsidRPr="7E0DBB7D">
        <w:t xml:space="preserve">The submission claimed the limited evidence base available for chronic IVIg/PLEX precludes any robust clinical conclusion on the comparative efficacy and safety of treatments. However, the submission considered that </w:t>
      </w:r>
      <w:r w:rsidR="0504A328" w:rsidRPr="7E0DBB7D">
        <w:t xml:space="preserve">it </w:t>
      </w:r>
      <w:r w:rsidRPr="7E0DBB7D">
        <w:t xml:space="preserve">is likely that 6 weeks of rozanolixizumab (1 treatment cycle in MycarinG trial) is at least non-inferior in terms of efficacy and safety compared to 24 weeks of IVIg/PLEX (from Bril 2024). </w:t>
      </w:r>
      <w:r w:rsidR="31BE1353" w:rsidRPr="7E0DBB7D">
        <w:t>Th</w:t>
      </w:r>
      <w:r w:rsidR="000A6630">
        <w:t>e evaluation considere</w:t>
      </w:r>
      <w:r w:rsidR="005229A8">
        <w:t>d</w:t>
      </w:r>
      <w:r w:rsidR="000A6630">
        <w:t xml:space="preserve"> th</w:t>
      </w:r>
      <w:r w:rsidR="31BE1353" w:rsidRPr="7E0DBB7D">
        <w:t xml:space="preserve">is claim was uncertain </w:t>
      </w:r>
      <w:r w:rsidR="00DF389E" w:rsidRPr="7E0DBB7D">
        <w:t xml:space="preserve">due to the limitations of the indirect analyses and the available evidence for IVIg. There were differences between the included trials in study duration </w:t>
      </w:r>
      <w:r w:rsidR="63914A8B" w:rsidRPr="7E0DBB7D">
        <w:t xml:space="preserve">and </w:t>
      </w:r>
      <w:r w:rsidR="00DF389E" w:rsidRPr="7E0DBB7D">
        <w:t xml:space="preserve">baseline disease </w:t>
      </w:r>
      <w:r w:rsidR="00C440A8" w:rsidRPr="7E0DBB7D">
        <w:t>severity and</w:t>
      </w:r>
      <w:r w:rsidR="711B9A45" w:rsidRPr="008C328A">
        <w:t xml:space="preserve"> also </w:t>
      </w:r>
      <w:r w:rsidR="663151D7" w:rsidRPr="008C328A">
        <w:t>differences in outcomes across the placebo arms of the MycarinG trial and the key IVIg evidence (Bril</w:t>
      </w:r>
      <w:r w:rsidR="006A05A7">
        <w:t> </w:t>
      </w:r>
      <w:r w:rsidR="663151D7" w:rsidRPr="008C328A">
        <w:t>2024)</w:t>
      </w:r>
      <w:r w:rsidR="6C478C84" w:rsidRPr="008C328A">
        <w:t>.</w:t>
      </w:r>
      <w:r w:rsidR="09987C9B" w:rsidRPr="008C328A">
        <w:t xml:space="preserve"> </w:t>
      </w:r>
      <w:r w:rsidRPr="008C328A">
        <w:t>Additionally</w:t>
      </w:r>
      <w:r w:rsidR="23DCF56F" w:rsidRPr="008C328A">
        <w:t>,</w:t>
      </w:r>
      <w:r w:rsidRPr="008C328A">
        <w:t xml:space="preserve"> the indirect comparison</w:t>
      </w:r>
      <w:r w:rsidR="6C478C84" w:rsidRPr="008C328A">
        <w:t>s</w:t>
      </w:r>
      <w:r w:rsidRPr="008C328A">
        <w:t xml:space="preserve"> d</w:t>
      </w:r>
      <w:r w:rsidR="6C478C84" w:rsidRPr="008C328A">
        <w:t>id</w:t>
      </w:r>
      <w:r w:rsidRPr="008C328A">
        <w:t xml:space="preserve"> not address the deterioration in clinical effects that occurs between rozanolixizumab treatment cycles.</w:t>
      </w:r>
      <w:r w:rsidR="2BFE9F91" w:rsidRPr="008C328A">
        <w:t xml:space="preserve"> The ESC </w:t>
      </w:r>
      <w:r w:rsidR="00F578BF">
        <w:t xml:space="preserve">and the PBAC </w:t>
      </w:r>
      <w:r w:rsidR="2BFE9F91" w:rsidRPr="008C328A">
        <w:t xml:space="preserve">acknowledged the limitations of the available evidence for chronic IVIg </w:t>
      </w:r>
      <w:r w:rsidR="00752F90">
        <w:t xml:space="preserve">and </w:t>
      </w:r>
      <w:r w:rsidR="00752F90" w:rsidRPr="00752F90">
        <w:t>agreed with the submission’s claim of non-inferior efficacy and safety versus chronic IVIg and PLEX</w:t>
      </w:r>
      <w:r w:rsidR="2BFE9F91" w:rsidRPr="008C328A">
        <w:t>.</w:t>
      </w:r>
    </w:p>
    <w:p w14:paraId="7F613CD1" w14:textId="1AE05778" w:rsidR="005F7588" w:rsidRPr="000A6630" w:rsidRDefault="7E4864C4" w:rsidP="00873AF3">
      <w:pPr>
        <w:pStyle w:val="COMexecsummnumbered"/>
        <w:rPr>
          <w:rFonts w:eastAsia="Calibri"/>
        </w:rPr>
      </w:pPr>
      <w:r w:rsidRPr="008C328A">
        <w:t>The submission described rozanolixizumab as non-inferior in terms of efficacy and safety compared to efgartigimod. Th</w:t>
      </w:r>
      <w:r w:rsidR="00305F40">
        <w:t xml:space="preserve">e evaluation considered </w:t>
      </w:r>
      <w:r w:rsidR="00F578BF">
        <w:t>there were</w:t>
      </w:r>
      <w:r w:rsidRPr="008C328A">
        <w:t xml:space="preserve"> limitations </w:t>
      </w:r>
      <w:r w:rsidR="00F578BF">
        <w:t>with</w:t>
      </w:r>
      <w:r w:rsidR="00F578BF" w:rsidRPr="008C328A">
        <w:t xml:space="preserve"> </w:t>
      </w:r>
      <w:r w:rsidRPr="008C328A">
        <w:t>the indirect analyses</w:t>
      </w:r>
      <w:r w:rsidR="00F578BF">
        <w:t xml:space="preserve"> due to</w:t>
      </w:r>
      <w:r w:rsidRPr="008C328A">
        <w:t xml:space="preserve"> differences between included trials in study duration, baseline disease characteristics, baseline therapies</w:t>
      </w:r>
      <w:r w:rsidRPr="7E0DBB7D">
        <w:t xml:space="preserve">, and outcome definitions. The submission noted large differences in outcomes across the placebo arms of the trials; and considered that the indirect analyses were not reliable for some outcomes where results were statistically significantly in favour of efgartigimod (QMG responders, any adverse event). </w:t>
      </w:r>
      <w:r w:rsidR="00F578BF">
        <w:t>Overall, t</w:t>
      </w:r>
      <w:r w:rsidR="79BE3449" w:rsidRPr="000A6630">
        <w:t>he ESC considered that there was no evidence to suggest superior efficacy or safety between any of the four new gMG therapies (zilucoplan, ravulizumab, efgartigimod and rozanolixizumab).</w:t>
      </w:r>
    </w:p>
    <w:p w14:paraId="768AAC7A" w14:textId="21A15010" w:rsidR="009B4FE2" w:rsidRPr="000A6630" w:rsidRDefault="000A6630" w:rsidP="00873AF3">
      <w:pPr>
        <w:pStyle w:val="COMexecsummnumbered"/>
      </w:pPr>
      <w:r w:rsidRPr="000A6630">
        <w:t xml:space="preserve">Overall, the PBAC considered that rozanolixizumab has non-inferior comparative effectiveness and safety versus chronic IVIg and also against ravulizumab, efgartigimod and zilucoplan. </w:t>
      </w:r>
    </w:p>
    <w:p w14:paraId="74A1172E" w14:textId="128C170E" w:rsidR="00B60939" w:rsidRPr="00CE706B" w:rsidRDefault="00B60939" w:rsidP="00873AF3">
      <w:pPr>
        <w:pStyle w:val="COMH2-non-numbered"/>
      </w:pPr>
      <w:bookmarkStart w:id="59" w:name="_Toc22897645"/>
      <w:bookmarkStart w:id="60" w:name="_Toc188272893"/>
      <w:r w:rsidRPr="000A6630">
        <w:t>Economic analysis</w:t>
      </w:r>
      <w:bookmarkEnd w:id="59"/>
      <w:bookmarkEnd w:id="60"/>
      <w:r w:rsidR="00491B3A" w:rsidRPr="00CE706B">
        <w:t xml:space="preserve"> </w:t>
      </w:r>
    </w:p>
    <w:p w14:paraId="68374978" w14:textId="5E862F6B" w:rsidR="008E2E7E" w:rsidRPr="00B12B3E" w:rsidRDefault="4F39D637" w:rsidP="00873AF3">
      <w:pPr>
        <w:pStyle w:val="COMexecsummnumbered"/>
      </w:pPr>
      <w:bookmarkStart w:id="61" w:name="_Toc22897646"/>
      <w:r w:rsidRPr="7E0DBB7D">
        <w:t>The submission claimed that one six-week treatment cycle of rozanolixizumab (6</w:t>
      </w:r>
      <w:r w:rsidR="006A05A7">
        <w:t> </w:t>
      </w:r>
      <w:r w:rsidRPr="7E0DBB7D">
        <w:t xml:space="preserve">infusions with tiered weight-based dosing) was non-inferior to six months of treatment with IVIg (2 g/kg induction dose split over 2 infusions and 7 × </w:t>
      </w:r>
      <w:r w:rsidR="006A05A7" w:rsidRPr="7E0DBB7D">
        <w:t>1</w:t>
      </w:r>
      <w:r w:rsidR="006A05A7">
        <w:t> </w:t>
      </w:r>
      <w:r w:rsidRPr="7E0DBB7D">
        <w:t>g/kg maintenance infusions). This claim was not adequately supported by the available clinical data but was not the basis of the equi-effective doses used in the cost-minimisation approach.</w:t>
      </w:r>
    </w:p>
    <w:p w14:paraId="2C0A7DCD" w14:textId="5CD605D1" w:rsidR="008E2E7E" w:rsidRPr="00225382" w:rsidRDefault="008E2E7E" w:rsidP="00873AF3">
      <w:pPr>
        <w:pStyle w:val="COMexecsummnumbered"/>
        <w:rPr>
          <w:lang w:val="en-GB"/>
        </w:rPr>
      </w:pPr>
      <w:r w:rsidRPr="00225382">
        <w:rPr>
          <w:lang w:val="en-GB"/>
        </w:rPr>
        <w:t>The submission estimated equi-effective doses based on separate annualised estimates of use for both rozanolixizumab (17.80 infusions per year) and IVIg (19.26</w:t>
      </w:r>
      <w:r w:rsidR="006A05A7" w:rsidRPr="00225382">
        <w:rPr>
          <w:lang w:val="en-GB"/>
        </w:rPr>
        <w:t> </w:t>
      </w:r>
      <w:r w:rsidRPr="00225382">
        <w:rPr>
          <w:lang w:val="en-GB"/>
        </w:rPr>
        <w:t>infusions per year).</w:t>
      </w:r>
      <w:r w:rsidR="000D7BA9" w:rsidRPr="00225382">
        <w:rPr>
          <w:lang w:val="en-GB"/>
        </w:rPr>
        <w:t xml:space="preserve"> </w:t>
      </w:r>
      <w:r w:rsidR="00AF10A4" w:rsidRPr="00225382">
        <w:rPr>
          <w:lang w:val="en-GB"/>
        </w:rPr>
        <w:t>This corresponded to</w:t>
      </w:r>
      <w:r w:rsidR="000D7BA9" w:rsidRPr="00225382">
        <w:rPr>
          <w:lang w:val="en-GB"/>
        </w:rPr>
        <w:t xml:space="preserve"> equi-effective doses</w:t>
      </w:r>
      <w:r w:rsidR="00F42CCD" w:rsidRPr="00225382">
        <w:rPr>
          <w:lang w:val="en-GB"/>
        </w:rPr>
        <w:t xml:space="preserve"> </w:t>
      </w:r>
      <w:r w:rsidR="00AF10A4" w:rsidRPr="00225382">
        <w:rPr>
          <w:lang w:val="en-GB"/>
        </w:rPr>
        <w:t>of</w:t>
      </w:r>
      <w:r w:rsidR="00C73994" w:rsidRPr="00225382">
        <w:rPr>
          <w:lang w:val="en-GB"/>
        </w:rPr>
        <w:t xml:space="preserve"> </w:t>
      </w:r>
      <w:r w:rsidR="00AF10A4" w:rsidRPr="00225382">
        <w:rPr>
          <w:lang w:val="en-GB"/>
        </w:rPr>
        <w:t>rozanolixizumab</w:t>
      </w:r>
      <w:r w:rsidR="00E8432B" w:rsidRPr="00225382">
        <w:rPr>
          <w:lang w:val="en-GB"/>
        </w:rPr>
        <w:t xml:space="preserve"> </w:t>
      </w:r>
      <w:bookmarkStart w:id="62" w:name="_Hlk193980084"/>
      <w:r w:rsidR="001B0D71" w:rsidRPr="00225382">
        <w:rPr>
          <w:lang w:val="en-GB"/>
        </w:rPr>
        <w:t>10,50</w:t>
      </w:r>
      <w:r w:rsidR="00AB072C" w:rsidRPr="00225382">
        <w:rPr>
          <w:lang w:val="en-GB"/>
        </w:rPr>
        <w:t>8</w:t>
      </w:r>
      <w:r w:rsidR="00E8432B" w:rsidRPr="00225382">
        <w:rPr>
          <w:lang w:val="en-GB"/>
        </w:rPr>
        <w:t xml:space="preserve"> mg </w:t>
      </w:r>
      <w:bookmarkEnd w:id="62"/>
      <w:r w:rsidR="00E8432B" w:rsidRPr="00225382">
        <w:rPr>
          <w:lang w:val="en-GB"/>
        </w:rPr>
        <w:t xml:space="preserve">and IVIg </w:t>
      </w:r>
      <w:r w:rsidR="00AB072C" w:rsidRPr="00225382">
        <w:rPr>
          <w:lang w:val="en-GB"/>
        </w:rPr>
        <w:t>927</w:t>
      </w:r>
      <w:r w:rsidR="00ED222C" w:rsidRPr="00225382">
        <w:rPr>
          <w:lang w:val="en-GB"/>
        </w:rPr>
        <w:t xml:space="preserve"> </w:t>
      </w:r>
      <w:r w:rsidR="00E8432B" w:rsidRPr="00225382">
        <w:rPr>
          <w:lang w:val="en-GB"/>
        </w:rPr>
        <w:t>g per year.</w:t>
      </w:r>
    </w:p>
    <w:p w14:paraId="17B261AF" w14:textId="611586B9" w:rsidR="003F7FA6" w:rsidRPr="008C328A" w:rsidRDefault="4F39D637" w:rsidP="00873AF3">
      <w:pPr>
        <w:pStyle w:val="COMexecsummnumbered"/>
      </w:pPr>
      <w:r w:rsidRPr="7E0DBB7D">
        <w:t xml:space="preserve">The submission estimated the annualised number of rozanolixizumab infusions per year based on a </w:t>
      </w:r>
      <w:r w:rsidRPr="00255139">
        <w:rPr>
          <w:i/>
          <w:iCs/>
        </w:rPr>
        <w:t>post hoc</w:t>
      </w:r>
      <w:r w:rsidRPr="7E0DBB7D">
        <w:t xml:space="preserve"> analysis of data from the MycarinG trial and an interim analysis of the MG0007 extension. Patients in the MycarinG trial and MG0007 study were required to meet specific thresholds for re-treatment (increase of 2.0 points on the MG-ADL or 3.0 points on the QMG scale), with a suggested minimum time of 4</w:t>
      </w:r>
      <w:r w:rsidR="006A05A7">
        <w:t> </w:t>
      </w:r>
      <w:r w:rsidRPr="7E0DBB7D">
        <w:t>weeks between cycles, which may not be representative of clinical practice. Additionally, patients in the MG0007 study could use higher doses than recommended in the product information, which may affect compliance as well as longer-term measures of efficacy and safety. Finally, the estimate used in the submission was based on interim data from the MG0007 extension study which appeared to underestimate utilisation compared to estimates from the final MG0007 study report</w:t>
      </w:r>
      <w:r w:rsidR="633DE63A" w:rsidRPr="7E0DBB7D">
        <w:t xml:space="preserve">, which reported </w:t>
      </w:r>
      <w:r w:rsidR="5478350C" w:rsidRPr="7E0DBB7D">
        <w:t xml:space="preserve">higher numbers of </w:t>
      </w:r>
      <w:r w:rsidR="5478350C" w:rsidRPr="008C328A">
        <w:t>average cycles and infusions per year along with decreasing time periods between later cycles</w:t>
      </w:r>
      <w:r w:rsidRPr="008C328A">
        <w:t>.</w:t>
      </w:r>
      <w:r w:rsidR="27D8B2B9" w:rsidRPr="008C328A">
        <w:t xml:space="preserve"> Sensitivity analyses based on </w:t>
      </w:r>
      <w:r w:rsidR="0EEDE948" w:rsidRPr="008C328A">
        <w:t xml:space="preserve">utilisation data from </w:t>
      </w:r>
      <w:r w:rsidR="27D8B2B9" w:rsidRPr="008C328A">
        <w:t xml:space="preserve">the </w:t>
      </w:r>
      <w:r w:rsidR="0EEDE948" w:rsidRPr="008C328A">
        <w:t xml:space="preserve">final MG0007 report are included in </w:t>
      </w:r>
      <w:r w:rsidR="008E2E7E" w:rsidRPr="008C328A">
        <w:fldChar w:fldCharType="begin" w:fldLock="1"/>
      </w:r>
      <w:r w:rsidR="008E2E7E" w:rsidRPr="008C328A">
        <w:instrText xml:space="preserve"> REF _Ref185274223 \h  \* MERGEFORMAT </w:instrText>
      </w:r>
      <w:r w:rsidR="008E2E7E" w:rsidRPr="008C328A">
        <w:fldChar w:fldCharType="separate"/>
      </w:r>
      <w:r w:rsidR="00E70E55" w:rsidRPr="00E70E55">
        <w:t>Table 15</w:t>
      </w:r>
      <w:r w:rsidR="008E2E7E" w:rsidRPr="008C328A">
        <w:fldChar w:fldCharType="end"/>
      </w:r>
      <w:r w:rsidR="0EEDE948" w:rsidRPr="008C328A">
        <w:t>.</w:t>
      </w:r>
      <w:r w:rsidR="512E3EBB" w:rsidRPr="008C328A">
        <w:t xml:space="preserve"> </w:t>
      </w:r>
    </w:p>
    <w:p w14:paraId="2988E8F5" w14:textId="67B874BE" w:rsidR="008E2E7E" w:rsidRPr="00B65FD6" w:rsidRDefault="512E3EBB" w:rsidP="00873AF3">
      <w:pPr>
        <w:pStyle w:val="COMexecsummnumbered"/>
      </w:pPr>
      <w:r w:rsidRPr="00B65FD6">
        <w:t xml:space="preserve">The PSCR </w:t>
      </w:r>
      <w:r w:rsidR="00255139" w:rsidRPr="00B65FD6">
        <w:t>and pre-PBAC response</w:t>
      </w:r>
      <w:r w:rsidRPr="00B65FD6">
        <w:t xml:space="preserve"> </w:t>
      </w:r>
      <w:r w:rsidR="079778B8" w:rsidRPr="00B65FD6">
        <w:t xml:space="preserve">presented </w:t>
      </w:r>
      <w:r w:rsidR="04C5B138" w:rsidRPr="00B65FD6">
        <w:t xml:space="preserve">new estimates </w:t>
      </w:r>
      <w:r w:rsidR="72F7D1AD" w:rsidRPr="00B65FD6">
        <w:t xml:space="preserve">derived </w:t>
      </w:r>
      <w:r w:rsidR="1F3C4747" w:rsidRPr="00B65FD6">
        <w:t xml:space="preserve">from a dataset which included </w:t>
      </w:r>
      <w:r w:rsidR="5477C33E" w:rsidRPr="00B65FD6">
        <w:t xml:space="preserve">final data from the </w:t>
      </w:r>
      <w:r w:rsidR="1F3C4747" w:rsidRPr="00B65FD6">
        <w:t>MG0007</w:t>
      </w:r>
      <w:r w:rsidR="5477C33E" w:rsidRPr="00B65FD6">
        <w:t xml:space="preserve"> tria</w:t>
      </w:r>
      <w:r w:rsidR="00CF6072" w:rsidRPr="00B65FD6">
        <w:t>l (pooled data set S2</w:t>
      </w:r>
      <w:r w:rsidR="00C440A8" w:rsidRPr="00B65FD6">
        <w:t>) and</w:t>
      </w:r>
      <w:r w:rsidR="41F5A6C5" w:rsidRPr="00B65FD6">
        <w:t xml:space="preserve"> </w:t>
      </w:r>
      <w:r w:rsidR="0DB88CB8" w:rsidRPr="00B65FD6">
        <w:t>claimed</w:t>
      </w:r>
      <w:r w:rsidRPr="00B65FD6">
        <w:t xml:space="preserve"> </w:t>
      </w:r>
      <w:r w:rsidR="0DB88CB8" w:rsidRPr="00B65FD6">
        <w:t>these</w:t>
      </w:r>
      <w:r w:rsidR="165487D9" w:rsidRPr="00B65FD6">
        <w:t xml:space="preserve"> </w:t>
      </w:r>
      <w:r w:rsidR="11993742" w:rsidRPr="00B65FD6">
        <w:t>show</w:t>
      </w:r>
      <w:r w:rsidR="09ADFCEA" w:rsidRPr="00B65FD6">
        <w:t xml:space="preserve">ed that the annualised mean cycles </w:t>
      </w:r>
      <w:r w:rsidR="13C4DCEA" w:rsidRPr="00B65FD6">
        <w:t xml:space="preserve">of </w:t>
      </w:r>
      <w:r w:rsidR="658D2320" w:rsidRPr="00B65FD6">
        <w:t xml:space="preserve">rozanolixizumab </w:t>
      </w:r>
      <w:r w:rsidR="2DD31BCD" w:rsidRPr="00B65FD6">
        <w:t xml:space="preserve">had </w:t>
      </w:r>
      <w:r w:rsidR="09ADFCEA" w:rsidRPr="00B65FD6">
        <w:t>decreased from 3.4 to 2.9 cycles while the mean number of infusions</w:t>
      </w:r>
      <w:r w:rsidR="2DD31BCD" w:rsidRPr="00B65FD6">
        <w:t xml:space="preserve"> had</w:t>
      </w:r>
      <w:r w:rsidR="09ADFCEA" w:rsidRPr="00B65FD6">
        <w:t xml:space="preserve"> decreased from 17.8 to 16.0 per year</w:t>
      </w:r>
      <w:r w:rsidR="1063F3D4" w:rsidRPr="00B65FD6">
        <w:t xml:space="preserve">. The ESC commented that </w:t>
      </w:r>
      <w:r w:rsidR="70A0C34A" w:rsidRPr="00B65FD6">
        <w:t xml:space="preserve">the </w:t>
      </w:r>
      <w:r w:rsidR="56C214B8" w:rsidRPr="00B65FD6">
        <w:t>PSCR’s calculations were poorly documented</w:t>
      </w:r>
      <w:r w:rsidR="589AEE59" w:rsidRPr="00B65FD6">
        <w:t>, presented as</w:t>
      </w:r>
      <w:r w:rsidR="2DEDBF19" w:rsidRPr="00B65FD6">
        <w:t xml:space="preserve"> a single PowerPoint slide</w:t>
      </w:r>
      <w:r w:rsidR="59ABD13F" w:rsidRPr="00B65FD6">
        <w:t>, and that it was unclear whether the estimates included both complete and incomplete cycles.</w:t>
      </w:r>
      <w:r w:rsidR="2DEDBF19" w:rsidRPr="00B65FD6">
        <w:t xml:space="preserve"> </w:t>
      </w:r>
      <w:r w:rsidR="654EA4EB" w:rsidRPr="00B65FD6">
        <w:t>Additionally</w:t>
      </w:r>
      <w:r w:rsidR="2DEDBF19" w:rsidRPr="00B65FD6">
        <w:t>, the</w:t>
      </w:r>
      <w:r w:rsidR="00CF6072" w:rsidRPr="00B65FD6">
        <w:t xml:space="preserve"> </w:t>
      </w:r>
      <w:r w:rsidR="2DEDBF19" w:rsidRPr="00B65FD6">
        <w:t xml:space="preserve">reporting </w:t>
      </w:r>
      <w:r w:rsidR="00CF6072" w:rsidRPr="00B65FD6">
        <w:t>of</w:t>
      </w:r>
      <w:r w:rsidR="2DEDBF19" w:rsidRPr="00B65FD6">
        <w:t xml:space="preserve"> the mean annualised number of cycles</w:t>
      </w:r>
      <w:r w:rsidR="00CF6072" w:rsidRPr="00B65FD6">
        <w:t xml:space="preserve"> was inconsistent</w:t>
      </w:r>
      <w:r w:rsidR="2DEDBF19" w:rsidRPr="00B65FD6">
        <w:t xml:space="preserve">, with both 2.9 and 3.2 cycles per year reported </w:t>
      </w:r>
      <w:r w:rsidR="00CF6072" w:rsidRPr="00B65FD6">
        <w:t xml:space="preserve">on the same slide </w:t>
      </w:r>
      <w:r w:rsidR="2DEDBF19" w:rsidRPr="00B65FD6">
        <w:t xml:space="preserve">for the S2 Pool. </w:t>
      </w:r>
      <w:r w:rsidR="3FF7192E" w:rsidRPr="00B65FD6">
        <w:t>Further, the results appeared to be inconsistent with other data (from the MG0007 study) which suggest</w:t>
      </w:r>
      <w:r w:rsidR="00F32FF1" w:rsidRPr="00B65FD6">
        <w:t>ed</w:t>
      </w:r>
      <w:r w:rsidR="3FF7192E" w:rsidRPr="00B65FD6">
        <w:t xml:space="preserve"> that the frequency of treatment cycles increases with extended use of rozanolixizumab. </w:t>
      </w:r>
      <w:r w:rsidR="0FCC0ABB" w:rsidRPr="00B65FD6">
        <w:t xml:space="preserve">The ESC </w:t>
      </w:r>
      <w:r w:rsidR="00255139" w:rsidRPr="00B65FD6">
        <w:t>and the PBAC</w:t>
      </w:r>
      <w:r w:rsidR="0FCC0ABB" w:rsidRPr="00B65FD6">
        <w:t xml:space="preserve"> considered the updated values</w:t>
      </w:r>
      <w:r w:rsidR="00CF6072" w:rsidRPr="00B65FD6">
        <w:t xml:space="preserve"> from the PSCR and pre-PBAC response</w:t>
      </w:r>
      <w:r w:rsidR="0FCC0ABB" w:rsidRPr="00B65FD6">
        <w:t xml:space="preserve"> could not be verified </w:t>
      </w:r>
      <w:r w:rsidR="082754E6" w:rsidRPr="00B65FD6">
        <w:t>and were not reliable for decision making.</w:t>
      </w:r>
      <w:r w:rsidR="00255139" w:rsidRPr="00B65FD6">
        <w:t xml:space="preserve"> </w:t>
      </w:r>
    </w:p>
    <w:p w14:paraId="6D7AC003" w14:textId="018BC55F" w:rsidR="0085339D" w:rsidRPr="00B65FD6" w:rsidRDefault="00682383" w:rsidP="00873AF3">
      <w:pPr>
        <w:pStyle w:val="COMexecsummnumbered"/>
      </w:pPr>
      <w:bookmarkStart w:id="63" w:name="_Ref194442686"/>
      <w:r>
        <w:t>O</w:t>
      </w:r>
      <w:r w:rsidRPr="00B65FD6">
        <w:t>verall, the PBAC considered the submission’s base case assumption of 17.80</w:t>
      </w:r>
      <w:r w:rsidR="006A05A7" w:rsidRPr="00B65FD6">
        <w:t> </w:t>
      </w:r>
      <w:r w:rsidRPr="00B65FD6">
        <w:t xml:space="preserve">infusions per patient per year </w:t>
      </w:r>
      <w:bookmarkStart w:id="64" w:name="_Hlk193980154"/>
      <w:r w:rsidR="0085339D" w:rsidRPr="00B65FD6">
        <w:t>(i.e. based on 3.4 cycles per year and 9.</w:t>
      </w:r>
      <w:r w:rsidR="006A05A7" w:rsidRPr="00B65FD6">
        <w:t>3 </w:t>
      </w:r>
      <w:r w:rsidR="0085339D" w:rsidRPr="00B65FD6">
        <w:t xml:space="preserve">weeks between cycles) </w:t>
      </w:r>
      <w:r w:rsidR="00B66CBB" w:rsidRPr="00B65FD6">
        <w:t xml:space="preserve">may underestimate the number of infusions </w:t>
      </w:r>
      <w:r w:rsidR="00B466F8" w:rsidRPr="00B65FD6">
        <w:t xml:space="preserve">in clinical practice </w:t>
      </w:r>
      <w:r w:rsidR="00B66CBB" w:rsidRPr="00B65FD6">
        <w:t>given long term follow-up data indicated decreasing time periods between later cycles.</w:t>
      </w:r>
      <w:r w:rsidR="0085339D" w:rsidRPr="00B65FD6">
        <w:t xml:space="preserve"> In particular, the PBAC noted that the median time between cycles reduced from 64 days between cycles 1 and 2, to 29 days between cycles 11 and 12</w:t>
      </w:r>
      <w:r w:rsidR="00A6392F" w:rsidRPr="00B65FD6">
        <w:t xml:space="preserve"> (</w:t>
      </w:r>
      <w:r w:rsidR="00A6392F" w:rsidRPr="00B65FD6">
        <w:fldChar w:fldCharType="begin" w:fldLock="1"/>
      </w:r>
      <w:r w:rsidR="00A6392F" w:rsidRPr="00B65FD6">
        <w:instrText xml:space="preserve"> REF _Ref185258641 \h </w:instrText>
      </w:r>
      <w:r w:rsidR="00B65FD6">
        <w:instrText xml:space="preserve"> \* MERGEFORMAT </w:instrText>
      </w:r>
      <w:r w:rsidR="00A6392F" w:rsidRPr="00B65FD6">
        <w:fldChar w:fldCharType="separate"/>
      </w:r>
      <w:r w:rsidR="00E70E55">
        <w:t xml:space="preserve">Table </w:t>
      </w:r>
      <w:r w:rsidR="00E70E55">
        <w:rPr>
          <w:noProof/>
        </w:rPr>
        <w:t>8</w:t>
      </w:r>
      <w:r w:rsidR="00A6392F" w:rsidRPr="00B65FD6">
        <w:fldChar w:fldCharType="end"/>
      </w:r>
      <w:r w:rsidR="00A6392F" w:rsidRPr="00B65FD6">
        <w:t>)</w:t>
      </w:r>
      <w:r w:rsidR="0085339D" w:rsidRPr="00B65FD6">
        <w:t>. The PBAC noted that if the minimum treatment interval of 4 weeks was used, the number of infusions would increase from 17.8 to 27.2 per year (i.e. 5.2 cycles per year)</w:t>
      </w:r>
      <w:r w:rsidR="00F610BA" w:rsidRPr="00B65FD6">
        <w:t>, representing a 53% increase in annual dosing</w:t>
      </w:r>
      <w:r w:rsidR="0085339D" w:rsidRPr="00B65FD6">
        <w:t>.</w:t>
      </w:r>
      <w:bookmarkEnd w:id="63"/>
    </w:p>
    <w:p w14:paraId="075E920E" w14:textId="51A62232" w:rsidR="00682383" w:rsidRPr="008C328A" w:rsidRDefault="00B66CBB" w:rsidP="00873AF3">
      <w:pPr>
        <w:pStyle w:val="COMexecsummnumbered"/>
      </w:pPr>
      <w:bookmarkStart w:id="65" w:name="_Ref194442709"/>
      <w:r>
        <w:t xml:space="preserve">The PBAC considered that if re-treatment criteria in the PBS restriction were less stringent than in the trial, this may further increase the </w:t>
      </w:r>
      <w:r w:rsidR="00B466F8">
        <w:t xml:space="preserve">annual </w:t>
      </w:r>
      <w:r>
        <w:t>dose of rozanolixizumab used in clinical practice</w:t>
      </w:r>
      <w:bookmarkEnd w:id="64"/>
      <w:r>
        <w:t>.</w:t>
      </w:r>
      <w:bookmarkEnd w:id="65"/>
      <w:r>
        <w:t xml:space="preserve"> </w:t>
      </w:r>
    </w:p>
    <w:p w14:paraId="045DBD6C" w14:textId="097AB9CE" w:rsidR="008E2E7E" w:rsidRPr="00B65FD6" w:rsidRDefault="4F39D637" w:rsidP="00873AF3">
      <w:pPr>
        <w:pStyle w:val="COMexecsummnumbered"/>
      </w:pPr>
      <w:r w:rsidRPr="00B65FD6">
        <w:t>The submission estimated the annualised number of IVIg infusions per cycle based on the dosing regimen used in the Bril 2024 trial (2 g/kg loading dose split over 2</w:t>
      </w:r>
      <w:r w:rsidR="006A05A7" w:rsidRPr="00B65FD6">
        <w:t> </w:t>
      </w:r>
      <w:r w:rsidRPr="00B65FD6">
        <w:t>administrations and then a maintenance dose of 1 g/kg every 3 weeks; total of 24</w:t>
      </w:r>
      <w:r w:rsidR="006A05A7" w:rsidRPr="00B65FD6">
        <w:t> </w:t>
      </w:r>
      <w:r w:rsidRPr="00B65FD6">
        <w:t xml:space="preserve">weeks treatment). The total IVIg use per cycle was then reduced by 40% based on </w:t>
      </w:r>
      <w:r w:rsidR="44B23C36" w:rsidRPr="00B65FD6">
        <w:t>a sensitivity analysis included</w:t>
      </w:r>
      <w:r w:rsidRPr="00B65FD6">
        <w:t xml:space="preserve"> in the zilucoplan July 2024 PBAC </w:t>
      </w:r>
      <w:r w:rsidR="008E1058" w:rsidRPr="00B65FD6">
        <w:t>PSD</w:t>
      </w:r>
      <w:r w:rsidRPr="00B65FD6">
        <w:t xml:space="preserve">. The submission estimated the number of IVIg cycles per year based on intermittent IVIg users in the first 12 months of treatment using data from a retrospective review of US claims data (Qi 2022). The dose regimen used in the Bril 2024 trial </w:t>
      </w:r>
      <w:r w:rsidR="3AE34F95" w:rsidRPr="00B65FD6">
        <w:t>wa</w:t>
      </w:r>
      <w:r w:rsidRPr="00B65FD6">
        <w:t xml:space="preserve">s unlikely to be representative of Australian clinical practice </w:t>
      </w:r>
      <w:r w:rsidR="3082AF00" w:rsidRPr="00B65FD6">
        <w:t xml:space="preserve">(as it </w:t>
      </w:r>
      <w:r w:rsidR="21E9118D" w:rsidRPr="00B65FD6">
        <w:t>wa</w:t>
      </w:r>
      <w:r w:rsidR="3082AF00" w:rsidRPr="00B65FD6">
        <w:t xml:space="preserve">s inconsistent with the approved product information, </w:t>
      </w:r>
      <w:r w:rsidR="21E9118D" w:rsidRPr="00B65FD6">
        <w:t xml:space="preserve">exceeded </w:t>
      </w:r>
      <w:r w:rsidR="3082AF00" w:rsidRPr="00B65FD6">
        <w:t xml:space="preserve">the maximum subsidised dose under the NBA and </w:t>
      </w:r>
      <w:r w:rsidR="21E9118D" w:rsidRPr="00B65FD6">
        <w:t>wa</w:t>
      </w:r>
      <w:r w:rsidR="3082AF00" w:rsidRPr="00B65FD6">
        <w:t xml:space="preserve">s substantially higher than supported by the available Australian IVIg utilisation data) </w:t>
      </w:r>
      <w:r w:rsidRPr="00B65FD6">
        <w:t>and the number of cycles estimated in the Qi (2022) study has no relevance to the estimates from the Bril 2024 trial.</w:t>
      </w:r>
      <w:r w:rsidR="740D2C9F" w:rsidRPr="00B65FD6">
        <w:t xml:space="preserve"> The PSCR </w:t>
      </w:r>
      <w:r w:rsidR="39059B25" w:rsidRPr="00B65FD6">
        <w:t xml:space="preserve">argued </w:t>
      </w:r>
      <w:r w:rsidR="3143FAC0" w:rsidRPr="00B65FD6">
        <w:t xml:space="preserve">that the IVIg dosing used in the </w:t>
      </w:r>
      <w:r w:rsidR="000C0821" w:rsidRPr="00B65FD6">
        <w:t xml:space="preserve">Bril 2024 </w:t>
      </w:r>
      <w:r w:rsidR="3143FAC0" w:rsidRPr="00B65FD6">
        <w:t xml:space="preserve">trial should form the basis of the equi-effective dose </w:t>
      </w:r>
      <w:r w:rsidR="7550675B" w:rsidRPr="00B65FD6">
        <w:t xml:space="preserve">because </w:t>
      </w:r>
      <w:r w:rsidR="4B04B25B" w:rsidRPr="00B65FD6">
        <w:t xml:space="preserve">the </w:t>
      </w:r>
      <w:r w:rsidR="4C580C12" w:rsidRPr="00B65FD6">
        <w:t>indirect comparison using this trial</w:t>
      </w:r>
      <w:r w:rsidR="728DD5D8" w:rsidRPr="00B65FD6">
        <w:t xml:space="preserve"> showed that rozanolixizumab was at least non-inferior to IVIg</w:t>
      </w:r>
      <w:r w:rsidR="3772E0D0" w:rsidRPr="00B65FD6">
        <w:t>,</w:t>
      </w:r>
      <w:r w:rsidR="728DD5D8" w:rsidRPr="00B65FD6">
        <w:t xml:space="preserve"> </w:t>
      </w:r>
      <w:r w:rsidR="50126662" w:rsidRPr="00B65FD6">
        <w:t xml:space="preserve">and </w:t>
      </w:r>
      <w:r w:rsidR="2A2EAD51" w:rsidRPr="00B65FD6">
        <w:t xml:space="preserve">reducing the dose of IVIg per administration </w:t>
      </w:r>
      <w:r w:rsidR="3D824BF8" w:rsidRPr="00B65FD6">
        <w:t>‘</w:t>
      </w:r>
      <w:r w:rsidR="4B4E4D02" w:rsidRPr="00B65FD6">
        <w:t xml:space="preserve">would likely result in </w:t>
      </w:r>
      <w:r w:rsidR="7B607D1F" w:rsidRPr="00B65FD6">
        <w:t>a reduction of the treatment effect</w:t>
      </w:r>
      <w:r w:rsidR="3C3B8112" w:rsidRPr="00B65FD6">
        <w:t>’</w:t>
      </w:r>
      <w:r w:rsidR="7B607D1F" w:rsidRPr="00B65FD6">
        <w:t xml:space="preserve"> </w:t>
      </w:r>
      <w:r w:rsidR="2907EEC0" w:rsidRPr="00B65FD6">
        <w:t>even when dos</w:t>
      </w:r>
      <w:r w:rsidR="3087BBD8" w:rsidRPr="00B65FD6">
        <w:t xml:space="preserve">ing frequency is unchanged. </w:t>
      </w:r>
      <w:r w:rsidR="77A021F7" w:rsidRPr="00B65FD6">
        <w:t xml:space="preserve">However, </w:t>
      </w:r>
      <w:r w:rsidR="009149E3" w:rsidRPr="00B65FD6">
        <w:t xml:space="preserve">in the context of the limitations of the available evidence for chronic IVIg and the frame of reference approach, </w:t>
      </w:r>
      <w:r w:rsidR="77A021F7" w:rsidRPr="00B65FD6">
        <w:t>the ESC considered that</w:t>
      </w:r>
      <w:r w:rsidR="739701C9" w:rsidRPr="00B65FD6">
        <w:t xml:space="preserve"> </w:t>
      </w:r>
      <w:r w:rsidR="2CA751A0" w:rsidRPr="00B65FD6">
        <w:t>the equi-effective dose</w:t>
      </w:r>
      <w:r w:rsidR="00F32FF1" w:rsidRPr="00B65FD6">
        <w:t xml:space="preserve"> </w:t>
      </w:r>
      <w:r w:rsidR="739701C9" w:rsidRPr="00B65FD6">
        <w:t>should be based on</w:t>
      </w:r>
      <w:r w:rsidR="153DB288" w:rsidRPr="00B65FD6">
        <w:t xml:space="preserve"> the</w:t>
      </w:r>
      <w:r w:rsidR="39423663" w:rsidRPr="00B65FD6">
        <w:t xml:space="preserve"> </w:t>
      </w:r>
      <w:r w:rsidR="71F5B829" w:rsidRPr="00B65FD6">
        <w:t xml:space="preserve">average total annual </w:t>
      </w:r>
      <w:r w:rsidR="0488B01D" w:rsidRPr="00B65FD6">
        <w:t xml:space="preserve">dose </w:t>
      </w:r>
      <w:r w:rsidR="00A0667C" w:rsidRPr="00B65FD6">
        <w:t xml:space="preserve">supplied to Australian patients, as </w:t>
      </w:r>
      <w:r w:rsidR="69596666" w:rsidRPr="00B65FD6">
        <w:t>recorded in the</w:t>
      </w:r>
      <w:r w:rsidR="739701C9" w:rsidRPr="00B65FD6">
        <w:t xml:space="preserve"> updated NBA data</w:t>
      </w:r>
      <w:r w:rsidR="2C4DC3D4" w:rsidRPr="00B65FD6">
        <w:t xml:space="preserve"> of 541.1 grams</w:t>
      </w:r>
      <w:r w:rsidR="69596666" w:rsidRPr="00B65FD6">
        <w:t>.</w:t>
      </w:r>
      <w:r w:rsidR="7E6BED0E" w:rsidRPr="00B65FD6">
        <w:t xml:space="preserve"> </w:t>
      </w:r>
    </w:p>
    <w:p w14:paraId="1B38977A" w14:textId="193DE8E7" w:rsidR="008E2E7E" w:rsidRPr="008C328A" w:rsidRDefault="5031D3B1" w:rsidP="00873AF3">
      <w:pPr>
        <w:pStyle w:val="COMexecsummnumbered"/>
      </w:pPr>
      <w:r w:rsidRPr="00B65FD6">
        <w:t>Further, t</w:t>
      </w:r>
      <w:r w:rsidR="4F39D637" w:rsidRPr="00B65FD6">
        <w:t xml:space="preserve">he </w:t>
      </w:r>
      <w:r w:rsidR="1A376901" w:rsidRPr="00B65FD6">
        <w:t xml:space="preserve">evaluation noted that the </w:t>
      </w:r>
      <w:r w:rsidR="4F39D637" w:rsidRPr="00B65FD6">
        <w:t xml:space="preserve">estimated 40% reduction </w:t>
      </w:r>
      <w:r w:rsidR="7DE7533A" w:rsidRPr="00B65FD6">
        <w:t xml:space="preserve">in IVIg dose </w:t>
      </w:r>
      <w:r w:rsidR="4F39D637" w:rsidRPr="00B65FD6">
        <w:t xml:space="preserve">used in the submission was based on an incorrect interpretation of sensitivity analyses reported in the zilucoplan July 2024 PBAC </w:t>
      </w:r>
      <w:r w:rsidR="008E1058" w:rsidRPr="00B65FD6">
        <w:t>PSD</w:t>
      </w:r>
      <w:r w:rsidR="0CAFD7F8" w:rsidRPr="00B65FD6">
        <w:t xml:space="preserve">, </w:t>
      </w:r>
      <w:r w:rsidR="4F39D637" w:rsidRPr="00B65FD6">
        <w:t>which noted that a 60% reduction (i.e. 40% of base case units) was needed to reduce the estimated dose of 1,247 g (based on 89.1 kg patients with 2 g/kg loading dose and 1 g/kg maintenance dose every 4</w:t>
      </w:r>
      <w:r w:rsidR="006A05A7" w:rsidRPr="00B65FD6">
        <w:t> </w:t>
      </w:r>
      <w:r w:rsidR="4F39D637" w:rsidRPr="00B65FD6">
        <w:t>weeks) to a dose consistent with average dose reported in the MSAC</w:t>
      </w:r>
      <w:r w:rsidR="4F39D637" w:rsidRPr="008C328A">
        <w:t xml:space="preserve"> review of IVIg use for myasthenia gravis (492 g per patient).</w:t>
      </w:r>
      <w:r w:rsidR="243DE7E3" w:rsidRPr="008C328A">
        <w:t xml:space="preserve"> </w:t>
      </w:r>
      <w:r w:rsidR="5A300F47" w:rsidRPr="008C328A">
        <w:t xml:space="preserve">Correcting this issue would reduce the proposed AEMP for rozanolixizumab by </w:t>
      </w:r>
      <w:r w:rsidR="00D63E16" w:rsidRPr="006233F7">
        <w:rPr>
          <w:color w:val="000000"/>
          <w:w w:val="15"/>
          <w:shd w:val="solid" w:color="000000" w:fill="000000"/>
          <w:fitText w:val="-20" w:id="-691363325"/>
          <w14:textFill>
            <w14:solidFill>
              <w14:srgbClr w14:val="000000">
                <w14:alpha w14:val="100000"/>
              </w14:srgbClr>
            </w14:solidFill>
          </w14:textFill>
        </w:rPr>
        <w:t>|</w:t>
      </w:r>
      <w:r w:rsidR="00A91274" w:rsidRPr="006233F7">
        <w:rPr>
          <w:color w:val="000000"/>
          <w:w w:val="15"/>
          <w:shd w:val="solid" w:color="000000" w:fill="000000"/>
          <w:fitText w:val="-20" w:id="-691363325"/>
          <w14:textFill>
            <w14:solidFill>
              <w14:srgbClr w14:val="000000">
                <w14:alpha w14:val="100000"/>
              </w14:srgbClr>
            </w14:solidFill>
          </w14:textFill>
        </w:rPr>
        <w:t xml:space="preserve"> </w:t>
      </w:r>
      <w:r w:rsidR="00D63E16" w:rsidRPr="006233F7">
        <w:rPr>
          <w:color w:val="000000"/>
          <w:spacing w:val="-61"/>
          <w:w w:val="15"/>
          <w:shd w:val="solid" w:color="000000" w:fill="000000"/>
          <w:fitText w:val="-20" w:id="-691363325"/>
          <w14:textFill>
            <w14:solidFill>
              <w14:srgbClr w14:val="000000">
                <w14:alpha w14:val="100000"/>
              </w14:srgbClr>
            </w14:solidFill>
          </w14:textFill>
        </w:rPr>
        <w:t>|</w:t>
      </w:r>
      <w:r w:rsidR="5A300F47" w:rsidRPr="00B65FD6">
        <w:t>%</w:t>
      </w:r>
      <w:r w:rsidR="5A300F47" w:rsidRPr="008C328A">
        <w:t xml:space="preserve"> as shown in </w:t>
      </w:r>
      <w:r w:rsidR="00C76533">
        <w:fldChar w:fldCharType="begin" w:fldLock="1"/>
      </w:r>
      <w:r w:rsidR="00C76533">
        <w:instrText xml:space="preserve"> REF _Ref185274223 \h  \* MERGEFORMAT </w:instrText>
      </w:r>
      <w:r w:rsidR="00C76533">
        <w:fldChar w:fldCharType="separate"/>
      </w:r>
      <w:r w:rsidR="00E70E55" w:rsidRPr="00E70E55">
        <w:t>Table 15</w:t>
      </w:r>
      <w:r w:rsidR="00C76533">
        <w:fldChar w:fldCharType="end"/>
      </w:r>
      <w:r w:rsidR="5A300F47" w:rsidRPr="008C328A">
        <w:t>.</w:t>
      </w:r>
    </w:p>
    <w:p w14:paraId="6517E27C" w14:textId="592211F8" w:rsidR="008E2E7E" w:rsidRPr="008C328A" w:rsidRDefault="0056064F" w:rsidP="00873AF3">
      <w:pPr>
        <w:pStyle w:val="COMexecsummnumbered"/>
      </w:pPr>
      <w:r>
        <w:fldChar w:fldCharType="begin" w:fldLock="1"/>
      </w:r>
      <w:r>
        <w:instrText xml:space="preserve"> REF _Ref185274860 \h </w:instrText>
      </w:r>
      <w:r>
        <w:fldChar w:fldCharType="separate"/>
      </w:r>
      <w:r w:rsidR="00E70E55" w:rsidRPr="008C328A">
        <w:t xml:space="preserve">Table </w:t>
      </w:r>
      <w:r w:rsidR="00E70E55">
        <w:rPr>
          <w:noProof/>
        </w:rPr>
        <w:t>14</w:t>
      </w:r>
      <w:r>
        <w:fldChar w:fldCharType="end"/>
      </w:r>
      <w:r>
        <w:t xml:space="preserve"> </w:t>
      </w:r>
      <w:r w:rsidR="4F39D637" w:rsidRPr="008C328A">
        <w:t>presents the derivation of the effective cost-minimised price for rozanolixizumab. The cost-minimisation was performed at the AEMP level.</w:t>
      </w:r>
    </w:p>
    <w:p w14:paraId="60588D9B" w14:textId="08BD4F95" w:rsidR="008E2E7E" w:rsidRPr="008C328A" w:rsidRDefault="4F39D637" w:rsidP="00873AF3">
      <w:pPr>
        <w:pStyle w:val="COMexecsummnumbered"/>
      </w:pPr>
      <w:r w:rsidRPr="008C328A">
        <w:t xml:space="preserve">The submission proposed a </w:t>
      </w:r>
      <w:r w:rsidR="00D63E16" w:rsidRPr="004030DB">
        <w:rPr>
          <w:color w:val="000000"/>
          <w:spacing w:val="6"/>
          <w:w w:val="62"/>
          <w:shd w:val="solid" w:color="000000" w:fill="000000"/>
          <w:fitText w:val="481" w:id="-691363324"/>
          <w14:textFill>
            <w14:solidFill>
              <w14:srgbClr w14:val="000000">
                <w14:alpha w14:val="100000"/>
              </w14:srgbClr>
            </w14:solidFill>
          </w14:textFill>
        </w:rPr>
        <w:t>|||</w:t>
      </w:r>
      <w:r w:rsidR="00A91274" w:rsidRPr="004030DB">
        <w:rPr>
          <w:color w:val="000000"/>
          <w:spacing w:val="6"/>
          <w:w w:val="62"/>
          <w:shd w:val="solid" w:color="000000" w:fill="000000"/>
          <w:fitText w:val="481" w:id="-691363324"/>
          <w14:textFill>
            <w14:solidFill>
              <w14:srgbClr w14:val="000000">
                <w14:alpha w14:val="100000"/>
              </w14:srgbClr>
            </w14:solidFill>
          </w14:textFill>
        </w:rPr>
        <w:t xml:space="preserve"> </w:t>
      </w:r>
      <w:r w:rsidR="00D63E16" w:rsidRPr="004030DB">
        <w:rPr>
          <w:color w:val="000000"/>
          <w:spacing w:val="6"/>
          <w:w w:val="62"/>
          <w:shd w:val="solid" w:color="000000" w:fill="000000"/>
          <w:fitText w:val="481" w:id="-691363324"/>
          <w14:textFill>
            <w14:solidFill>
              <w14:srgbClr w14:val="000000">
                <w14:alpha w14:val="100000"/>
              </w14:srgbClr>
            </w14:solidFill>
          </w14:textFill>
        </w:rPr>
        <w:t>||</w:t>
      </w:r>
      <w:r w:rsidR="00D63E16" w:rsidRPr="004030DB">
        <w:rPr>
          <w:color w:val="000000"/>
          <w:spacing w:val="1"/>
          <w:w w:val="62"/>
          <w:shd w:val="solid" w:color="000000" w:fill="000000"/>
          <w:fitText w:val="481" w:id="-691363324"/>
          <w14:textFill>
            <w14:solidFill>
              <w14:srgbClr w14:val="000000">
                <w14:alpha w14:val="100000"/>
              </w14:srgbClr>
            </w14:solidFill>
          </w14:textFill>
        </w:rPr>
        <w:t>|</w:t>
      </w:r>
      <w:r w:rsidRPr="008C328A">
        <w:t xml:space="preserve">% price premium for rozanolixizumab on the basis that </w:t>
      </w:r>
      <w:r w:rsidR="7D174FDB" w:rsidRPr="008C328A">
        <w:t xml:space="preserve">the submission claimed </w:t>
      </w:r>
      <w:r w:rsidRPr="008C328A">
        <w:t xml:space="preserve">there is a shortage of </w:t>
      </w:r>
      <w:r w:rsidR="00C440A8" w:rsidRPr="008C328A">
        <w:t>IVIg,</w:t>
      </w:r>
      <w:r w:rsidRPr="008C328A">
        <w:t xml:space="preserve"> and it may be difficult to access, particularly in rural and regional areas. The submission did not justify the specific value nominated as the price premium.</w:t>
      </w:r>
      <w:r w:rsidR="53E4E02F" w:rsidRPr="008C328A">
        <w:t xml:space="preserve"> The PSCR </w:t>
      </w:r>
      <w:r w:rsidR="009149E3" w:rsidRPr="008C328A">
        <w:t>stated that there are “</w:t>
      </w:r>
      <w:r w:rsidR="53E4E02F" w:rsidRPr="008C328A">
        <w:t>supply and access challenges of IVIg, particularly in rural and regional Australia</w:t>
      </w:r>
      <w:r w:rsidR="009149E3" w:rsidRPr="008C328A">
        <w:t>”</w:t>
      </w:r>
      <w:r w:rsidR="53E4E02F" w:rsidRPr="008C328A">
        <w:t xml:space="preserve"> </w:t>
      </w:r>
      <w:r w:rsidR="009149E3" w:rsidRPr="008C328A">
        <w:t>which are</w:t>
      </w:r>
      <w:r w:rsidR="53E4E02F" w:rsidRPr="008C328A">
        <w:t xml:space="preserve"> difficult to quantify. The </w:t>
      </w:r>
      <w:r w:rsidR="009149E3" w:rsidRPr="008C328A">
        <w:t xml:space="preserve">PSCR stated “the </w:t>
      </w:r>
      <w:r w:rsidR="53E4E02F" w:rsidRPr="008C328A">
        <w:t xml:space="preserve">originally proposed </w:t>
      </w:r>
      <w:r w:rsidR="00D63E16" w:rsidRPr="006233F7">
        <w:rPr>
          <w:color w:val="000000"/>
          <w:w w:val="15"/>
          <w:shd w:val="solid" w:color="000000" w:fill="000000"/>
          <w:fitText w:val="-20" w:id="-691363323"/>
          <w14:textFill>
            <w14:solidFill>
              <w14:srgbClr w14:val="000000">
                <w14:alpha w14:val="100000"/>
              </w14:srgbClr>
            </w14:solidFill>
          </w14:textFill>
        </w:rPr>
        <w:t>|</w:t>
      </w:r>
      <w:r w:rsidR="00A91274" w:rsidRPr="006233F7">
        <w:rPr>
          <w:color w:val="000000"/>
          <w:w w:val="15"/>
          <w:shd w:val="solid" w:color="000000" w:fill="000000"/>
          <w:fitText w:val="-20" w:id="-691363323"/>
          <w14:textFill>
            <w14:solidFill>
              <w14:srgbClr w14:val="000000">
                <w14:alpha w14:val="100000"/>
              </w14:srgbClr>
            </w14:solidFill>
          </w14:textFill>
        </w:rPr>
        <w:t xml:space="preserve"> </w:t>
      </w:r>
      <w:r w:rsidR="00D63E16" w:rsidRPr="006233F7">
        <w:rPr>
          <w:color w:val="000000"/>
          <w:spacing w:val="-61"/>
          <w:w w:val="15"/>
          <w:shd w:val="solid" w:color="000000" w:fill="000000"/>
          <w:fitText w:val="-20" w:id="-691363323"/>
          <w14:textFill>
            <w14:solidFill>
              <w14:srgbClr w14:val="000000">
                <w14:alpha w14:val="100000"/>
              </w14:srgbClr>
            </w14:solidFill>
          </w14:textFill>
        </w:rPr>
        <w:t>|</w:t>
      </w:r>
      <w:r w:rsidR="53E4E02F" w:rsidRPr="008C328A">
        <w:t xml:space="preserve">% premium </w:t>
      </w:r>
      <w:r w:rsidR="00CD4336" w:rsidRPr="00CD4336">
        <w:rPr>
          <w:highlight w:val="black"/>
        </w:rPr>
        <w:t>&amp;&amp;&amp;&amp;</w:t>
      </w:r>
      <w:r w:rsidR="00CD4336" w:rsidRPr="00CD4336">
        <w:t xml:space="preserve"> </w:t>
      </w:r>
      <w:r w:rsidR="00CD4336" w:rsidRPr="00CD4336">
        <w:rPr>
          <w:highlight w:val="black"/>
        </w:rPr>
        <w:t>&amp;&amp;&amp;&amp;</w:t>
      </w:r>
      <w:r w:rsidR="00CD4336" w:rsidRPr="00CD4336">
        <w:t xml:space="preserve"> </w:t>
      </w:r>
      <w:r w:rsidR="00CD4336" w:rsidRPr="00CD4336">
        <w:rPr>
          <w:highlight w:val="black"/>
        </w:rPr>
        <w:t>&amp;&amp;&amp;&amp;</w:t>
      </w:r>
      <w:r w:rsidR="00CD4336" w:rsidRPr="00CD4336">
        <w:t xml:space="preserve"> </w:t>
      </w:r>
      <w:r w:rsidR="00CD4336" w:rsidRPr="00CD4336">
        <w:rPr>
          <w:highlight w:val="black"/>
        </w:rPr>
        <w:t>&amp;&amp;&amp;&amp;</w:t>
      </w:r>
      <w:r w:rsidR="00CD4336" w:rsidRPr="00CD4336">
        <w:t xml:space="preserve"> </w:t>
      </w:r>
      <w:r w:rsidR="00CD4336" w:rsidRPr="00CD4336">
        <w:rPr>
          <w:highlight w:val="black"/>
        </w:rPr>
        <w:t>&amp;&amp;&amp;&amp;</w:t>
      </w:r>
      <w:r w:rsidR="00CD4336" w:rsidRPr="00CD4336">
        <w:t xml:space="preserve"> </w:t>
      </w:r>
      <w:r w:rsidR="00CD4336" w:rsidRPr="00CD4336">
        <w:rPr>
          <w:highlight w:val="black"/>
        </w:rPr>
        <w:t>&amp;&amp;&amp;&amp;</w:t>
      </w:r>
      <w:r w:rsidR="00CD4336" w:rsidRPr="00CD4336">
        <w:t xml:space="preserve"> </w:t>
      </w:r>
      <w:r w:rsidR="00CD4336" w:rsidRPr="00CD4336">
        <w:rPr>
          <w:highlight w:val="black"/>
        </w:rPr>
        <w:t>&amp;&amp;&amp;&amp;</w:t>
      </w:r>
      <w:r w:rsidR="00CD4336" w:rsidRPr="00CD4336">
        <w:t xml:space="preserve"> </w:t>
      </w:r>
      <w:r w:rsidR="00CD4336" w:rsidRPr="00CD4336">
        <w:rPr>
          <w:highlight w:val="black"/>
        </w:rPr>
        <w:t>&amp;&amp;&amp;&amp;</w:t>
      </w:r>
      <w:r w:rsidR="00CD4336" w:rsidRPr="00CD4336">
        <w:t xml:space="preserve"> </w:t>
      </w:r>
      <w:r w:rsidR="00CD4336" w:rsidRPr="00CD4336">
        <w:rPr>
          <w:highlight w:val="black"/>
        </w:rPr>
        <w:t>&amp;&amp;&amp;&amp;</w:t>
      </w:r>
      <w:r w:rsidR="00CD4336" w:rsidRPr="00CD4336">
        <w:t xml:space="preserve"> </w:t>
      </w:r>
      <w:r w:rsidR="00CD4336" w:rsidRPr="00CD4336">
        <w:rPr>
          <w:highlight w:val="black"/>
        </w:rPr>
        <w:t>&amp;&amp;&amp;&amp;</w:t>
      </w:r>
      <w:r w:rsidR="00CD4336" w:rsidRPr="00CD4336">
        <w:t xml:space="preserve"> </w:t>
      </w:r>
      <w:r w:rsidR="00CD4336" w:rsidRPr="00CD4336">
        <w:rPr>
          <w:highlight w:val="black"/>
        </w:rPr>
        <w:t>&amp;&amp;&amp;&amp;</w:t>
      </w:r>
      <w:r w:rsidR="00CD4336" w:rsidRPr="00CD4336">
        <w:t xml:space="preserve"> </w:t>
      </w:r>
      <w:r w:rsidR="00CD4336" w:rsidRPr="00CD4336">
        <w:rPr>
          <w:highlight w:val="black"/>
        </w:rPr>
        <w:t>&amp;&amp;&amp;&amp;</w:t>
      </w:r>
      <w:r w:rsidR="00CD4336" w:rsidRPr="00CD4336">
        <w:t xml:space="preserve"> </w:t>
      </w:r>
      <w:r w:rsidR="00CD4336" w:rsidRPr="00CD4336">
        <w:rPr>
          <w:highlight w:val="black"/>
        </w:rPr>
        <w:t>&amp;&amp;&amp;&amp;</w:t>
      </w:r>
      <w:r w:rsidR="00CD4336" w:rsidRPr="00CD4336">
        <w:t xml:space="preserve"> </w:t>
      </w:r>
      <w:r w:rsidR="00CD4336" w:rsidRPr="00CD4336">
        <w:rPr>
          <w:highlight w:val="black"/>
        </w:rPr>
        <w:t>&amp;&amp;&amp;&amp;</w:t>
      </w:r>
      <w:r w:rsidR="00CD4336" w:rsidRPr="00CD4336">
        <w:t xml:space="preserve"> </w:t>
      </w:r>
      <w:r w:rsidR="00CD4336" w:rsidRPr="00CD4336">
        <w:rPr>
          <w:highlight w:val="black"/>
        </w:rPr>
        <w:t>&amp;&amp;&amp;&amp;</w:t>
      </w:r>
      <w:r w:rsidR="00CD4336" w:rsidRPr="00CD4336">
        <w:t xml:space="preserve"> </w:t>
      </w:r>
      <w:r w:rsidR="00CD4336" w:rsidRPr="00CD4336">
        <w:rPr>
          <w:highlight w:val="black"/>
        </w:rPr>
        <w:t>&amp;&amp;&amp;&amp;</w:t>
      </w:r>
      <w:r w:rsidR="00CD4336" w:rsidRPr="00CD4336">
        <w:t xml:space="preserve"> </w:t>
      </w:r>
      <w:r w:rsidR="00CD4336" w:rsidRPr="00CD4336">
        <w:rPr>
          <w:highlight w:val="black"/>
        </w:rPr>
        <w:t>&amp;&amp;&amp;&amp;</w:t>
      </w:r>
      <w:r w:rsidR="00CD4336" w:rsidRPr="00CD4336">
        <w:t xml:space="preserve"> </w:t>
      </w:r>
      <w:r w:rsidR="00CD4336" w:rsidRPr="00CD4336">
        <w:rPr>
          <w:highlight w:val="black"/>
        </w:rPr>
        <w:t>&amp;&amp;&amp;&amp;</w:t>
      </w:r>
      <w:r w:rsidR="00CE21AA">
        <w:t xml:space="preserve"> </w:t>
      </w:r>
      <w:r w:rsidR="5A0EE0E8" w:rsidRPr="00682383">
        <w:t xml:space="preserve">The ESC considered </w:t>
      </w:r>
      <w:r w:rsidR="56690215" w:rsidRPr="00682383">
        <w:t xml:space="preserve">a </w:t>
      </w:r>
      <w:r w:rsidR="3CFE497D" w:rsidRPr="00682383">
        <w:t xml:space="preserve">price premium over IVIg </w:t>
      </w:r>
      <w:r w:rsidR="05510DD4" w:rsidRPr="00682383">
        <w:t>was</w:t>
      </w:r>
      <w:r w:rsidR="7B7E5BD5" w:rsidRPr="00682383">
        <w:t xml:space="preserve"> not </w:t>
      </w:r>
      <w:r w:rsidR="430724FC" w:rsidRPr="00682383">
        <w:t>appropriate</w:t>
      </w:r>
      <w:r w:rsidR="5CDE2F31" w:rsidRPr="00682383">
        <w:t xml:space="preserve">, given there was no evidence to </w:t>
      </w:r>
      <w:r w:rsidR="006D715C" w:rsidRPr="00682383">
        <w:t>support</w:t>
      </w:r>
      <w:r w:rsidR="5CDE2F31" w:rsidRPr="00682383">
        <w:t xml:space="preserve"> superior efficacy</w:t>
      </w:r>
      <w:r w:rsidR="7B7E5BD5" w:rsidRPr="00682383">
        <w:t>.</w:t>
      </w:r>
      <w:r w:rsidR="000C0821">
        <w:t xml:space="preserve"> The pre-PBAC response outlined further rationale for a price premium versus IVIg including administration advantages given IVIg infusions can take up to 14 hours, while rozanolixizumab is a subcutaneous infusion.</w:t>
      </w:r>
      <w:r w:rsidR="00682383">
        <w:t xml:space="preserve"> </w:t>
      </w:r>
      <w:r w:rsidR="00682383" w:rsidRPr="00682383">
        <w:t xml:space="preserve">Refer to paragraph </w:t>
      </w:r>
      <w:r w:rsidR="00B43D21">
        <w:fldChar w:fldCharType="begin" w:fldLock="1"/>
      </w:r>
      <w:r w:rsidR="00B43D21">
        <w:instrText xml:space="preserve"> REF _Ref194664828 \r \h </w:instrText>
      </w:r>
      <w:r w:rsidR="00B43D21">
        <w:fldChar w:fldCharType="separate"/>
      </w:r>
      <w:r w:rsidR="00E70E55">
        <w:t>8.23</w:t>
      </w:r>
      <w:r w:rsidR="00B43D21">
        <w:fldChar w:fldCharType="end"/>
      </w:r>
      <w:r w:rsidR="00B43D21">
        <w:t xml:space="preserve"> </w:t>
      </w:r>
      <w:r w:rsidR="00682383" w:rsidRPr="00682383">
        <w:t xml:space="preserve">for the PBAC’s advice regarding the </w:t>
      </w:r>
      <w:r w:rsidR="00682383">
        <w:t>requested price premium.</w:t>
      </w:r>
    </w:p>
    <w:p w14:paraId="403D55FD" w14:textId="379D7AA6" w:rsidR="008E2E7E" w:rsidRPr="008C328A" w:rsidRDefault="0E87CBCA" w:rsidP="00873AF3">
      <w:pPr>
        <w:pStyle w:val="COMtablefigcaption"/>
        <w:keepLines/>
      </w:pPr>
      <w:bookmarkStart w:id="66" w:name="_Ref185274860"/>
      <w:r w:rsidRPr="008C328A">
        <w:t>Table</w:t>
      </w:r>
      <w:r w:rsidR="65E251B2" w:rsidRPr="008C328A">
        <w:t xml:space="preserve"> </w:t>
      </w:r>
      <w:r w:rsidR="00FB5E6D" w:rsidRPr="008C328A">
        <w:fldChar w:fldCharType="begin" w:fldLock="1"/>
      </w:r>
      <w:r w:rsidR="00FB5E6D" w:rsidRPr="008C328A">
        <w:instrText>SEQ Table \* ARABIC</w:instrText>
      </w:r>
      <w:r w:rsidR="00FB5E6D" w:rsidRPr="008C328A">
        <w:fldChar w:fldCharType="separate"/>
      </w:r>
      <w:r w:rsidR="00E70E55">
        <w:rPr>
          <w:noProof/>
        </w:rPr>
        <w:t>14</w:t>
      </w:r>
      <w:r w:rsidR="00FB5E6D" w:rsidRPr="008C328A">
        <w:fldChar w:fldCharType="end"/>
      </w:r>
      <w:bookmarkEnd w:id="66"/>
      <w:r w:rsidR="4F39D637" w:rsidRPr="008C328A">
        <w:t>: Derivation of the cost-minimised price for rozanolixizumab</w:t>
      </w:r>
    </w:p>
    <w:tbl>
      <w:tblPr>
        <w:tblW w:w="499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4: Derivation of the cost-minimised price for rozanolixizumab"/>
      </w:tblPr>
      <w:tblGrid>
        <w:gridCol w:w="1828"/>
        <w:gridCol w:w="1135"/>
        <w:gridCol w:w="6043"/>
      </w:tblGrid>
      <w:tr w:rsidR="008E2E7E" w:rsidRPr="008C328A" w14:paraId="124DDA44" w14:textId="77777777" w:rsidTr="7E0DBB7D">
        <w:trPr>
          <w:trHeight w:val="40"/>
          <w:tblHeader/>
        </w:trPr>
        <w:tc>
          <w:tcPr>
            <w:tcW w:w="1015" w:type="pct"/>
            <w:vAlign w:val="center"/>
          </w:tcPr>
          <w:p w14:paraId="0C18AD38" w14:textId="77777777" w:rsidR="008E2E7E" w:rsidRPr="008C328A" w:rsidRDefault="008E2E7E" w:rsidP="00873AF3">
            <w:pPr>
              <w:pStyle w:val="TableText"/>
              <w:widowControl/>
              <w:rPr>
                <w:b/>
              </w:rPr>
            </w:pPr>
            <w:r w:rsidRPr="008C328A">
              <w:rPr>
                <w:b/>
              </w:rPr>
              <w:t>Variable</w:t>
            </w:r>
          </w:p>
        </w:tc>
        <w:tc>
          <w:tcPr>
            <w:tcW w:w="630" w:type="pct"/>
            <w:vAlign w:val="center"/>
          </w:tcPr>
          <w:p w14:paraId="29B9FCCF" w14:textId="77777777" w:rsidR="008E2E7E" w:rsidRPr="008C328A" w:rsidRDefault="008E2E7E" w:rsidP="00873AF3">
            <w:pPr>
              <w:pStyle w:val="TableText"/>
              <w:widowControl/>
              <w:jc w:val="center"/>
              <w:rPr>
                <w:b/>
              </w:rPr>
            </w:pPr>
            <w:r w:rsidRPr="008C328A">
              <w:rPr>
                <w:b/>
              </w:rPr>
              <w:t>Value</w:t>
            </w:r>
          </w:p>
        </w:tc>
        <w:tc>
          <w:tcPr>
            <w:tcW w:w="3355" w:type="pct"/>
            <w:vAlign w:val="center"/>
          </w:tcPr>
          <w:p w14:paraId="5F246544" w14:textId="77777777" w:rsidR="008E2E7E" w:rsidRPr="008C328A" w:rsidRDefault="008E2E7E" w:rsidP="00873AF3">
            <w:pPr>
              <w:pStyle w:val="TableText"/>
              <w:widowControl/>
              <w:jc w:val="center"/>
              <w:rPr>
                <w:b/>
              </w:rPr>
            </w:pPr>
            <w:r w:rsidRPr="008C328A">
              <w:rPr>
                <w:b/>
              </w:rPr>
              <w:t>Source</w:t>
            </w:r>
          </w:p>
        </w:tc>
      </w:tr>
      <w:tr w:rsidR="008E2E7E" w:rsidRPr="008C328A" w14:paraId="58CD032E" w14:textId="77777777" w:rsidTr="7E0DBB7D">
        <w:trPr>
          <w:trHeight w:val="58"/>
        </w:trPr>
        <w:tc>
          <w:tcPr>
            <w:tcW w:w="5000" w:type="pct"/>
            <w:gridSpan w:val="3"/>
            <w:vAlign w:val="center"/>
          </w:tcPr>
          <w:p w14:paraId="4FBB2025" w14:textId="77777777" w:rsidR="008E2E7E" w:rsidRPr="008C328A" w:rsidRDefault="008E2E7E" w:rsidP="00873AF3">
            <w:pPr>
              <w:pStyle w:val="TableText"/>
              <w:widowControl/>
              <w:rPr>
                <w:b/>
                <w:bCs w:val="0"/>
              </w:rPr>
            </w:pPr>
            <w:r w:rsidRPr="008C328A">
              <w:rPr>
                <w:b/>
                <w:bCs w:val="0"/>
              </w:rPr>
              <w:t>Cost of IVIg</w:t>
            </w:r>
          </w:p>
        </w:tc>
      </w:tr>
      <w:tr w:rsidR="008E2E7E" w:rsidRPr="008C328A" w14:paraId="703E0825" w14:textId="77777777" w:rsidTr="7E0DBB7D">
        <w:trPr>
          <w:trHeight w:val="58"/>
        </w:trPr>
        <w:tc>
          <w:tcPr>
            <w:tcW w:w="1015" w:type="pct"/>
            <w:vAlign w:val="center"/>
          </w:tcPr>
          <w:p w14:paraId="4BFFF073" w14:textId="0F60B867" w:rsidR="008E2E7E" w:rsidRPr="008C328A" w:rsidRDefault="008E2E7E" w:rsidP="00873AF3">
            <w:pPr>
              <w:pStyle w:val="TableText"/>
              <w:widowControl/>
            </w:pPr>
            <w:r w:rsidRPr="008C328A">
              <w:t>Total IVIg dispensed per cycle</w:t>
            </w:r>
          </w:p>
        </w:tc>
        <w:tc>
          <w:tcPr>
            <w:tcW w:w="630" w:type="pct"/>
            <w:vAlign w:val="center"/>
          </w:tcPr>
          <w:p w14:paraId="34B84578" w14:textId="0442BD31" w:rsidR="008E2E7E" w:rsidRPr="00BB4FA5" w:rsidRDefault="008E2E7E" w:rsidP="00873AF3">
            <w:pPr>
              <w:pStyle w:val="TableText"/>
              <w:widowControl/>
              <w:jc w:val="center"/>
            </w:pPr>
            <w:r w:rsidRPr="00BB4FA5">
              <w:t>433 g</w:t>
            </w:r>
          </w:p>
        </w:tc>
        <w:tc>
          <w:tcPr>
            <w:tcW w:w="3355" w:type="pct"/>
            <w:vAlign w:val="center"/>
          </w:tcPr>
          <w:p w14:paraId="1C4DD055" w14:textId="6EDA467E" w:rsidR="00CA6433" w:rsidRPr="00BB4FA5" w:rsidRDefault="008E2E7E" w:rsidP="00873AF3">
            <w:pPr>
              <w:pStyle w:val="TableText"/>
              <w:widowControl/>
            </w:pPr>
            <w:r w:rsidRPr="00BB4FA5">
              <w:rPr>
                <w:lang w:val="en-GB"/>
              </w:rPr>
              <w:t>Based on the IVIg dosing regimen used in the Bril 2024 trial and the average baseline weight of patients in the MycarinG trial (80.2 kg × 2 g/kg induction dose + 7 × 80.2 kg × 1 g/kg maintenance doses = 721 g) with an adjustment factor that reduced the total dose by 40% (721 × 0.6 = 433 g)</w:t>
            </w:r>
            <w:r w:rsidR="000C0821" w:rsidRPr="00BB4FA5">
              <w:rPr>
                <w:lang w:val="en-GB"/>
              </w:rPr>
              <w:t>.</w:t>
            </w:r>
          </w:p>
        </w:tc>
      </w:tr>
      <w:tr w:rsidR="008E2E7E" w:rsidRPr="008C328A" w14:paraId="03DB8827" w14:textId="77777777" w:rsidTr="7E0DBB7D">
        <w:trPr>
          <w:trHeight w:val="58"/>
        </w:trPr>
        <w:tc>
          <w:tcPr>
            <w:tcW w:w="1015" w:type="pct"/>
            <w:vAlign w:val="center"/>
          </w:tcPr>
          <w:p w14:paraId="16CB6749" w14:textId="77777777" w:rsidR="008E2E7E" w:rsidRPr="008C328A" w:rsidRDefault="008E2E7E" w:rsidP="00873AF3">
            <w:pPr>
              <w:pStyle w:val="TableText"/>
              <w:widowControl/>
            </w:pPr>
            <w:r w:rsidRPr="008C328A">
              <w:t>IVIg infusions per cycle</w:t>
            </w:r>
          </w:p>
        </w:tc>
        <w:tc>
          <w:tcPr>
            <w:tcW w:w="630" w:type="pct"/>
            <w:vAlign w:val="center"/>
          </w:tcPr>
          <w:p w14:paraId="1446081B" w14:textId="77777777" w:rsidR="008E2E7E" w:rsidRPr="00BB4FA5" w:rsidRDefault="008E2E7E" w:rsidP="00873AF3">
            <w:pPr>
              <w:pStyle w:val="TableText"/>
              <w:widowControl/>
              <w:jc w:val="center"/>
            </w:pPr>
            <w:r w:rsidRPr="00BB4FA5">
              <w:t>9</w:t>
            </w:r>
          </w:p>
        </w:tc>
        <w:tc>
          <w:tcPr>
            <w:tcW w:w="3355" w:type="pct"/>
            <w:vAlign w:val="center"/>
          </w:tcPr>
          <w:p w14:paraId="5DB1AA34" w14:textId="77777777" w:rsidR="008E2E7E" w:rsidRPr="00BB4FA5" w:rsidRDefault="008E2E7E" w:rsidP="00873AF3">
            <w:pPr>
              <w:pStyle w:val="TableText"/>
              <w:widowControl/>
            </w:pPr>
            <w:r w:rsidRPr="00BB4FA5">
              <w:t>Based on the IVIg dosing regimen used in the Bril 2024 trial (induction dose split over 2 infusions and maintenance infusions every 3 weeks for 24 weeks).</w:t>
            </w:r>
          </w:p>
        </w:tc>
      </w:tr>
      <w:tr w:rsidR="008E2E7E" w:rsidRPr="008C328A" w14:paraId="7F2DF465" w14:textId="77777777" w:rsidTr="7E0DBB7D">
        <w:trPr>
          <w:trHeight w:val="58"/>
        </w:trPr>
        <w:tc>
          <w:tcPr>
            <w:tcW w:w="1015" w:type="pct"/>
            <w:vAlign w:val="center"/>
          </w:tcPr>
          <w:p w14:paraId="1802EBEE" w14:textId="77777777" w:rsidR="008E2E7E" w:rsidRPr="008C328A" w:rsidRDefault="008E2E7E" w:rsidP="00873AF3">
            <w:pPr>
              <w:pStyle w:val="TableText"/>
              <w:widowControl/>
            </w:pPr>
            <w:r w:rsidRPr="008C328A">
              <w:t>Number of IVIg cycles per year</w:t>
            </w:r>
          </w:p>
        </w:tc>
        <w:tc>
          <w:tcPr>
            <w:tcW w:w="630" w:type="pct"/>
            <w:vAlign w:val="center"/>
          </w:tcPr>
          <w:p w14:paraId="4321BFEF" w14:textId="77777777" w:rsidR="008E2E7E" w:rsidRPr="00BB4FA5" w:rsidRDefault="008E2E7E" w:rsidP="00873AF3">
            <w:pPr>
              <w:pStyle w:val="TableText"/>
              <w:widowControl/>
              <w:jc w:val="center"/>
            </w:pPr>
            <w:r w:rsidRPr="00BB4FA5">
              <w:t>2.14</w:t>
            </w:r>
          </w:p>
        </w:tc>
        <w:tc>
          <w:tcPr>
            <w:tcW w:w="3355" w:type="pct"/>
            <w:vAlign w:val="center"/>
          </w:tcPr>
          <w:p w14:paraId="00CD0FB1" w14:textId="77777777" w:rsidR="008E2E7E" w:rsidRPr="00BB4FA5" w:rsidRDefault="008E2E7E" w:rsidP="00873AF3">
            <w:pPr>
              <w:pStyle w:val="TableText"/>
              <w:widowControl/>
            </w:pPr>
            <w:r w:rsidRPr="00BB4FA5">
              <w:t xml:space="preserve">Based on a retrospective review of US claims data for IVIg intermittent users </w:t>
            </w:r>
          </w:p>
          <w:p w14:paraId="55DFA0F0" w14:textId="77777777" w:rsidR="008E2E7E" w:rsidRPr="00BB4FA5" w:rsidRDefault="008E2E7E" w:rsidP="00873AF3">
            <w:pPr>
              <w:pStyle w:val="TableText"/>
              <w:widowControl/>
            </w:pPr>
            <w:r w:rsidRPr="00BB4FA5">
              <w:t>(Qi 2022)</w:t>
            </w:r>
          </w:p>
        </w:tc>
      </w:tr>
      <w:tr w:rsidR="008E2E7E" w:rsidRPr="008C328A" w14:paraId="6011B130" w14:textId="77777777" w:rsidTr="7E0DBB7D">
        <w:trPr>
          <w:trHeight w:val="58"/>
        </w:trPr>
        <w:tc>
          <w:tcPr>
            <w:tcW w:w="1015" w:type="pct"/>
            <w:vAlign w:val="center"/>
          </w:tcPr>
          <w:p w14:paraId="2105D0DD" w14:textId="77777777" w:rsidR="008E2E7E" w:rsidRPr="008C328A" w:rsidRDefault="008E2E7E" w:rsidP="00873AF3">
            <w:pPr>
              <w:pStyle w:val="TableText"/>
              <w:widowControl/>
            </w:pPr>
            <w:r w:rsidRPr="008C328A">
              <w:t>IVIg dispensed per year</w:t>
            </w:r>
          </w:p>
        </w:tc>
        <w:tc>
          <w:tcPr>
            <w:tcW w:w="630" w:type="pct"/>
            <w:vAlign w:val="center"/>
          </w:tcPr>
          <w:p w14:paraId="772A5FA9" w14:textId="77777777" w:rsidR="008E2E7E" w:rsidRPr="00BB4FA5" w:rsidRDefault="008E2E7E" w:rsidP="00873AF3">
            <w:pPr>
              <w:pStyle w:val="TableText"/>
              <w:widowControl/>
              <w:jc w:val="center"/>
            </w:pPr>
            <w:r w:rsidRPr="00BB4FA5">
              <w:t>927 g</w:t>
            </w:r>
          </w:p>
        </w:tc>
        <w:tc>
          <w:tcPr>
            <w:tcW w:w="3355" w:type="pct"/>
            <w:vAlign w:val="center"/>
          </w:tcPr>
          <w:p w14:paraId="1D0CAB54" w14:textId="77777777" w:rsidR="008E2E7E" w:rsidRPr="00BB4FA5" w:rsidRDefault="008E2E7E" w:rsidP="00873AF3">
            <w:pPr>
              <w:pStyle w:val="TableText"/>
              <w:widowControl/>
            </w:pPr>
            <w:r w:rsidRPr="00BB4FA5">
              <w:t>Calculation: 433 g × 2.14</w:t>
            </w:r>
          </w:p>
          <w:p w14:paraId="2FA4CB22" w14:textId="61D5D5F1" w:rsidR="00F03FF4" w:rsidRPr="00BB4FA5" w:rsidRDefault="06058BDB" w:rsidP="00873AF3">
            <w:pPr>
              <w:pStyle w:val="TableText"/>
              <w:widowControl/>
            </w:pPr>
            <w:r w:rsidRPr="00BB4FA5">
              <w:t xml:space="preserve">The </w:t>
            </w:r>
            <w:r w:rsidR="11989F0A" w:rsidRPr="00BB4FA5">
              <w:t>ESC considered this should be 541.</w:t>
            </w:r>
            <w:r w:rsidR="410D75F5" w:rsidRPr="00BB4FA5">
              <w:t>06</w:t>
            </w:r>
            <w:r w:rsidR="11989F0A" w:rsidRPr="00BB4FA5">
              <w:t xml:space="preserve"> grams based on </w:t>
            </w:r>
            <w:r w:rsidRPr="00BB4FA5">
              <w:t xml:space="preserve">the </w:t>
            </w:r>
            <w:r w:rsidR="786155AF" w:rsidRPr="00BB4FA5">
              <w:t xml:space="preserve">2023-24 </w:t>
            </w:r>
            <w:r w:rsidR="11989F0A" w:rsidRPr="00BB4FA5">
              <w:t>NBA data</w:t>
            </w:r>
            <w:r w:rsidR="4F236E60" w:rsidRPr="00BB4FA5">
              <w:t xml:space="preserve"> (for </w:t>
            </w:r>
            <w:r w:rsidR="786155AF" w:rsidRPr="00BB4FA5">
              <w:t xml:space="preserve">the </w:t>
            </w:r>
            <w:r w:rsidR="30F6BD21" w:rsidRPr="00BB4FA5">
              <w:t>IVIg myasthenia gravis ‘maintenance’ indication</w:t>
            </w:r>
            <w:r w:rsidR="786155AF" w:rsidRPr="00BB4FA5">
              <w:t xml:space="preserve">, refer to </w:t>
            </w:r>
            <w:r w:rsidR="007F718E" w:rsidRPr="00BB4FA5">
              <w:t>Section 7</w:t>
            </w:r>
            <w:r w:rsidR="786155AF" w:rsidRPr="00BB4FA5">
              <w:t>)</w:t>
            </w:r>
          </w:p>
        </w:tc>
      </w:tr>
      <w:tr w:rsidR="008E2E7E" w:rsidRPr="008C328A" w14:paraId="03B0AEB5" w14:textId="77777777" w:rsidTr="7E0DBB7D">
        <w:trPr>
          <w:trHeight w:val="58"/>
        </w:trPr>
        <w:tc>
          <w:tcPr>
            <w:tcW w:w="1015" w:type="pct"/>
            <w:vAlign w:val="center"/>
          </w:tcPr>
          <w:p w14:paraId="21C7767A" w14:textId="77777777" w:rsidR="008E2E7E" w:rsidRPr="008C328A" w:rsidRDefault="008E2E7E" w:rsidP="00873AF3">
            <w:pPr>
              <w:pStyle w:val="TableText"/>
              <w:widowControl/>
            </w:pPr>
            <w:r w:rsidRPr="008C328A">
              <w:t>Cost of dispensed IVIg per year</w:t>
            </w:r>
          </w:p>
        </w:tc>
        <w:tc>
          <w:tcPr>
            <w:tcW w:w="630" w:type="pct"/>
            <w:vAlign w:val="center"/>
          </w:tcPr>
          <w:p w14:paraId="7C18D958" w14:textId="3461006A" w:rsidR="008E2E7E" w:rsidRPr="00BB4FA5" w:rsidRDefault="008E2E7E" w:rsidP="00873AF3">
            <w:pPr>
              <w:pStyle w:val="TableText"/>
              <w:widowControl/>
              <w:jc w:val="center"/>
            </w:pPr>
            <w:r w:rsidRPr="00BB4FA5">
              <w:t>$</w:t>
            </w:r>
            <w:r w:rsidR="00027A85" w:rsidRPr="00A137D7">
              <w:rPr>
                <w:color w:val="000000"/>
                <w:spacing w:val="49"/>
                <w:shd w:val="solid" w:color="000000" w:fill="000000"/>
                <w:fitText w:val="320" w:id="-656193280"/>
                <w14:textFill>
                  <w14:solidFill>
                    <w14:srgbClr w14:val="000000">
                      <w14:alpha w14:val="100000"/>
                    </w14:srgbClr>
                  </w14:solidFill>
                </w14:textFill>
              </w:rPr>
              <w:t>|||</w:t>
            </w:r>
            <w:r w:rsidR="00027A85" w:rsidRPr="00A137D7">
              <w:rPr>
                <w:color w:val="000000"/>
                <w:spacing w:val="3"/>
                <w:shd w:val="solid" w:color="000000" w:fill="000000"/>
                <w:fitText w:val="320" w:id="-656193280"/>
                <w14:textFill>
                  <w14:solidFill>
                    <w14:srgbClr w14:val="000000">
                      <w14:alpha w14:val="100000"/>
                    </w14:srgbClr>
                  </w14:solidFill>
                </w14:textFill>
              </w:rPr>
              <w:t>|</w:t>
            </w:r>
          </w:p>
        </w:tc>
        <w:tc>
          <w:tcPr>
            <w:tcW w:w="3355" w:type="pct"/>
            <w:vAlign w:val="center"/>
          </w:tcPr>
          <w:p w14:paraId="4C346879" w14:textId="69DAFA63" w:rsidR="008E2E7E" w:rsidRPr="00BB4FA5" w:rsidRDefault="4F39D637" w:rsidP="00873AF3">
            <w:pPr>
              <w:pStyle w:val="TableText"/>
              <w:widowControl/>
            </w:pPr>
            <w:r w:rsidRPr="00BB4FA5">
              <w:t>Based on the price of Intragam 10 (2.5 g/25 mL: $</w:t>
            </w:r>
            <w:r w:rsidR="00027A85" w:rsidRPr="00A137D7">
              <w:rPr>
                <w:color w:val="000000"/>
                <w:spacing w:val="53"/>
                <w:shd w:val="solid" w:color="000000" w:fill="000000"/>
                <w:fitText w:val="330" w:id="-656193279"/>
                <w14:textFill>
                  <w14:solidFill>
                    <w14:srgbClr w14:val="000000">
                      <w14:alpha w14:val="100000"/>
                    </w14:srgbClr>
                  </w14:solidFill>
                </w14:textFill>
              </w:rPr>
              <w:t>|||</w:t>
            </w:r>
            <w:r w:rsidR="00027A85" w:rsidRPr="00A137D7">
              <w:rPr>
                <w:color w:val="000000"/>
                <w:spacing w:val="1"/>
                <w:shd w:val="solid" w:color="000000" w:fill="000000"/>
                <w:fitText w:val="330" w:id="-656193279"/>
                <w14:textFill>
                  <w14:solidFill>
                    <w14:srgbClr w14:val="000000">
                      <w14:alpha w14:val="100000"/>
                    </w14:srgbClr>
                  </w14:solidFill>
                </w14:textFill>
              </w:rPr>
              <w:t>|</w:t>
            </w:r>
            <w:r w:rsidRPr="00BB4FA5">
              <w:t>; October 2024 NBA National Product Price List). Calculation: $</w:t>
            </w:r>
            <w:r w:rsidR="00027A85" w:rsidRPr="00A137D7">
              <w:rPr>
                <w:color w:val="000000"/>
                <w:spacing w:val="53"/>
                <w:shd w:val="solid" w:color="000000" w:fill="000000"/>
                <w:fitText w:val="330" w:id="-656193278"/>
                <w14:textFill>
                  <w14:solidFill>
                    <w14:srgbClr w14:val="000000">
                      <w14:alpha w14:val="100000"/>
                    </w14:srgbClr>
                  </w14:solidFill>
                </w14:textFill>
              </w:rPr>
              <w:t>|||</w:t>
            </w:r>
            <w:r w:rsidR="00027A85" w:rsidRPr="00A137D7">
              <w:rPr>
                <w:color w:val="000000"/>
                <w:spacing w:val="1"/>
                <w:shd w:val="solid" w:color="000000" w:fill="000000"/>
                <w:fitText w:val="330" w:id="-656193278"/>
                <w14:textFill>
                  <w14:solidFill>
                    <w14:srgbClr w14:val="000000">
                      <w14:alpha w14:val="100000"/>
                    </w14:srgbClr>
                  </w14:solidFill>
                </w14:textFill>
              </w:rPr>
              <w:t>|</w:t>
            </w:r>
            <w:r w:rsidRPr="00BB4FA5">
              <w:t xml:space="preserve"> / g × 927 g</w:t>
            </w:r>
          </w:p>
          <w:p w14:paraId="6056F98E" w14:textId="401E7111" w:rsidR="00C84882" w:rsidRPr="00BB4FA5" w:rsidRDefault="00C84882" w:rsidP="00873AF3">
            <w:pPr>
              <w:pStyle w:val="TableText"/>
              <w:widowControl/>
            </w:pPr>
            <w:r w:rsidRPr="00BB4FA5">
              <w:t xml:space="preserve">The ESC considered this should be </w:t>
            </w:r>
            <w:r w:rsidR="003661F2" w:rsidRPr="00BB4FA5">
              <w:t>$</w:t>
            </w:r>
            <w:r w:rsidR="00027A85" w:rsidRPr="00A137D7">
              <w:rPr>
                <w:color w:val="000000"/>
                <w:spacing w:val="53"/>
                <w:shd w:val="solid" w:color="000000" w:fill="000000"/>
                <w:fitText w:val="330" w:id="-656193277"/>
                <w14:textFill>
                  <w14:solidFill>
                    <w14:srgbClr w14:val="000000">
                      <w14:alpha w14:val="100000"/>
                    </w14:srgbClr>
                  </w14:solidFill>
                </w14:textFill>
              </w:rPr>
              <w:t>|||</w:t>
            </w:r>
            <w:r w:rsidR="00027A85" w:rsidRPr="00A137D7">
              <w:rPr>
                <w:color w:val="000000"/>
                <w:spacing w:val="1"/>
                <w:shd w:val="solid" w:color="000000" w:fill="000000"/>
                <w:fitText w:val="330" w:id="-656193277"/>
                <w14:textFill>
                  <w14:solidFill>
                    <w14:srgbClr w14:val="000000">
                      <w14:alpha w14:val="100000"/>
                    </w14:srgbClr>
                  </w14:solidFill>
                </w14:textFill>
              </w:rPr>
              <w:t>|</w:t>
            </w:r>
            <w:r w:rsidR="00D867FC" w:rsidRPr="00BB4FA5">
              <w:t xml:space="preserve"> </w:t>
            </w:r>
            <w:r w:rsidRPr="00BB4FA5">
              <w:t xml:space="preserve">based on the 2023-24 NBA data (refer to </w:t>
            </w:r>
            <w:r w:rsidR="000C0821" w:rsidRPr="00BB4FA5">
              <w:t>Section 7</w:t>
            </w:r>
            <w:r w:rsidRPr="00BB4FA5">
              <w:t>)</w:t>
            </w:r>
            <w:r w:rsidR="00AD5D37" w:rsidRPr="00BB4FA5">
              <w:t xml:space="preserve">. Calculation: </w:t>
            </w:r>
            <w:r w:rsidR="003E6937" w:rsidRPr="00BB4FA5">
              <w:t>$</w:t>
            </w:r>
            <w:r w:rsidR="00027A85" w:rsidRPr="00A137D7">
              <w:rPr>
                <w:color w:val="000000"/>
                <w:spacing w:val="49"/>
                <w:shd w:val="solid" w:color="000000" w:fill="000000"/>
                <w:fitText w:val="320" w:id="-656193276"/>
                <w14:textFill>
                  <w14:solidFill>
                    <w14:srgbClr w14:val="000000">
                      <w14:alpha w14:val="100000"/>
                    </w14:srgbClr>
                  </w14:solidFill>
                </w14:textFill>
              </w:rPr>
              <w:t>|||</w:t>
            </w:r>
            <w:r w:rsidR="00027A85" w:rsidRPr="00A137D7">
              <w:rPr>
                <w:color w:val="000000"/>
                <w:spacing w:val="3"/>
                <w:shd w:val="solid" w:color="000000" w:fill="000000"/>
                <w:fitText w:val="320" w:id="-656193276"/>
                <w14:textFill>
                  <w14:solidFill>
                    <w14:srgbClr w14:val="000000">
                      <w14:alpha w14:val="100000"/>
                    </w14:srgbClr>
                  </w14:solidFill>
                </w14:textFill>
              </w:rPr>
              <w:t>|</w:t>
            </w:r>
            <w:r w:rsidR="003E6937" w:rsidRPr="00BB4FA5">
              <w:t xml:space="preserve"> / g x </w:t>
            </w:r>
            <w:r w:rsidR="00D72305" w:rsidRPr="00BB4FA5">
              <w:t>541.</w:t>
            </w:r>
            <w:r w:rsidR="00F06EDA" w:rsidRPr="00BB4FA5">
              <w:t>06</w:t>
            </w:r>
            <w:r w:rsidR="00D72305" w:rsidRPr="00BB4FA5">
              <w:t xml:space="preserve"> g. </w:t>
            </w:r>
          </w:p>
        </w:tc>
      </w:tr>
      <w:tr w:rsidR="008E2E7E" w:rsidRPr="008C328A" w14:paraId="4FB58C3D" w14:textId="77777777" w:rsidTr="7E0DBB7D">
        <w:trPr>
          <w:trHeight w:val="58"/>
        </w:trPr>
        <w:tc>
          <w:tcPr>
            <w:tcW w:w="1015" w:type="pct"/>
            <w:vAlign w:val="center"/>
          </w:tcPr>
          <w:p w14:paraId="2C2AFB5F" w14:textId="77777777" w:rsidR="008E2E7E" w:rsidRPr="008C328A" w:rsidRDefault="008E2E7E" w:rsidP="00873AF3">
            <w:pPr>
              <w:pStyle w:val="TableText"/>
              <w:widowControl/>
            </w:pPr>
            <w:r w:rsidRPr="008C328A">
              <w:t>IVIg infusions per year</w:t>
            </w:r>
          </w:p>
        </w:tc>
        <w:tc>
          <w:tcPr>
            <w:tcW w:w="630" w:type="pct"/>
            <w:vAlign w:val="center"/>
          </w:tcPr>
          <w:p w14:paraId="07FA2609" w14:textId="77777777" w:rsidR="008E2E7E" w:rsidRPr="00BB4FA5" w:rsidRDefault="008E2E7E" w:rsidP="00873AF3">
            <w:pPr>
              <w:pStyle w:val="TableText"/>
              <w:widowControl/>
              <w:jc w:val="center"/>
            </w:pPr>
            <w:r w:rsidRPr="00BB4FA5">
              <w:t>19.26</w:t>
            </w:r>
          </w:p>
        </w:tc>
        <w:tc>
          <w:tcPr>
            <w:tcW w:w="3355" w:type="pct"/>
            <w:vAlign w:val="center"/>
          </w:tcPr>
          <w:p w14:paraId="43099091" w14:textId="77777777" w:rsidR="008E2E7E" w:rsidRPr="00BB4FA5" w:rsidRDefault="008E2E7E" w:rsidP="00873AF3">
            <w:pPr>
              <w:pStyle w:val="TableText"/>
              <w:widowControl/>
            </w:pPr>
            <w:r w:rsidRPr="00BB4FA5">
              <w:t>Calculation: 9 × 2.14</w:t>
            </w:r>
          </w:p>
          <w:p w14:paraId="2291D56D" w14:textId="4B8BE7B2" w:rsidR="008E2E7E" w:rsidRPr="00BB4FA5" w:rsidRDefault="00597B28" w:rsidP="00873AF3">
            <w:pPr>
              <w:pStyle w:val="TableText"/>
              <w:widowControl/>
            </w:pPr>
            <w:r w:rsidRPr="00BB4FA5">
              <w:t xml:space="preserve">The ESC considered </w:t>
            </w:r>
            <w:r w:rsidR="00CE6FFA" w:rsidRPr="00BB4FA5">
              <w:t>this should be 15.7</w:t>
            </w:r>
            <w:r w:rsidR="00A1356D" w:rsidRPr="00BB4FA5">
              <w:t>4</w:t>
            </w:r>
            <w:r w:rsidR="00CE6FFA" w:rsidRPr="00BB4FA5">
              <w:t xml:space="preserve"> </w:t>
            </w:r>
            <w:r w:rsidR="0062699C" w:rsidRPr="00BB4FA5">
              <w:t xml:space="preserve">infusions per year </w:t>
            </w:r>
            <w:r w:rsidR="00170DF7" w:rsidRPr="00BB4FA5">
              <w:t xml:space="preserve">based on the </w:t>
            </w:r>
            <w:r w:rsidR="00314EE5" w:rsidRPr="00BB4FA5">
              <w:t xml:space="preserve">2023-24 </w:t>
            </w:r>
            <w:r w:rsidR="00170DF7" w:rsidRPr="00BB4FA5">
              <w:t>NBA data.</w:t>
            </w:r>
          </w:p>
        </w:tc>
      </w:tr>
      <w:tr w:rsidR="008E2E7E" w:rsidRPr="008C328A" w14:paraId="137D447A" w14:textId="77777777" w:rsidTr="7E0DBB7D">
        <w:trPr>
          <w:trHeight w:val="58"/>
        </w:trPr>
        <w:tc>
          <w:tcPr>
            <w:tcW w:w="1015" w:type="pct"/>
            <w:vAlign w:val="center"/>
          </w:tcPr>
          <w:p w14:paraId="02D1F19B" w14:textId="77777777" w:rsidR="008E2E7E" w:rsidRPr="008C328A" w:rsidRDefault="008E2E7E" w:rsidP="00873AF3">
            <w:pPr>
              <w:pStyle w:val="TableText"/>
              <w:widowControl/>
            </w:pPr>
            <w:r w:rsidRPr="008C328A">
              <w:t>Cost of infusions per year</w:t>
            </w:r>
          </w:p>
        </w:tc>
        <w:tc>
          <w:tcPr>
            <w:tcW w:w="630" w:type="pct"/>
            <w:vAlign w:val="center"/>
          </w:tcPr>
          <w:p w14:paraId="4B2E7AEF" w14:textId="77777777" w:rsidR="008E2E7E" w:rsidRPr="00BB4FA5" w:rsidRDefault="008E2E7E" w:rsidP="00873AF3">
            <w:pPr>
              <w:pStyle w:val="TableText"/>
              <w:widowControl/>
              <w:jc w:val="center"/>
            </w:pPr>
            <w:r w:rsidRPr="00BB4FA5">
              <w:t>$2,149</w:t>
            </w:r>
          </w:p>
        </w:tc>
        <w:tc>
          <w:tcPr>
            <w:tcW w:w="3355" w:type="pct"/>
            <w:vAlign w:val="center"/>
          </w:tcPr>
          <w:p w14:paraId="5FFF2997" w14:textId="4B7CD8F3" w:rsidR="008E2E7E" w:rsidRPr="00BB4FA5" w:rsidRDefault="008E2E7E" w:rsidP="00873AF3">
            <w:pPr>
              <w:pStyle w:val="TableText"/>
              <w:widowControl/>
            </w:pPr>
            <w:r w:rsidRPr="00BB4FA5">
              <w:t>Based on MBS Item 14245 ($111.60; immunomodulating agent, administration of, by intravenous infusion for at least 2 hours duration). Calculation: $111.60 × 19.26.</w:t>
            </w:r>
          </w:p>
          <w:p w14:paraId="512F026F" w14:textId="32897C57" w:rsidR="003931FD" w:rsidRPr="00BB4FA5" w:rsidRDefault="003931FD" w:rsidP="00873AF3">
            <w:pPr>
              <w:pStyle w:val="TableText"/>
              <w:widowControl/>
            </w:pPr>
            <w:r w:rsidRPr="00BB4FA5">
              <w:t xml:space="preserve">Using </w:t>
            </w:r>
            <w:r w:rsidR="00314EE5" w:rsidRPr="00BB4FA5">
              <w:t>15.7</w:t>
            </w:r>
            <w:r w:rsidR="005C6937" w:rsidRPr="00BB4FA5">
              <w:t>4</w:t>
            </w:r>
            <w:r w:rsidR="00314EE5" w:rsidRPr="00BB4FA5">
              <w:t xml:space="preserve"> infusions per year, the cost to the MBS would be $1,752</w:t>
            </w:r>
            <w:r w:rsidR="004C5468" w:rsidRPr="00BB4FA5">
              <w:t xml:space="preserve"> per year.</w:t>
            </w:r>
          </w:p>
        </w:tc>
      </w:tr>
      <w:tr w:rsidR="008E2E7E" w:rsidRPr="008C328A" w14:paraId="26991C78" w14:textId="77777777" w:rsidTr="7E0DBB7D">
        <w:trPr>
          <w:trHeight w:val="58"/>
        </w:trPr>
        <w:tc>
          <w:tcPr>
            <w:tcW w:w="1015" w:type="pct"/>
            <w:vAlign w:val="center"/>
          </w:tcPr>
          <w:p w14:paraId="47B8C23A" w14:textId="77777777" w:rsidR="008E2E7E" w:rsidRPr="008C328A" w:rsidRDefault="008E2E7E" w:rsidP="00873AF3">
            <w:pPr>
              <w:pStyle w:val="TableText"/>
              <w:widowControl/>
            </w:pPr>
            <w:r w:rsidRPr="008C328A">
              <w:t>Total cost of IVIg</w:t>
            </w:r>
          </w:p>
        </w:tc>
        <w:tc>
          <w:tcPr>
            <w:tcW w:w="630" w:type="pct"/>
            <w:vAlign w:val="center"/>
          </w:tcPr>
          <w:p w14:paraId="160016F8" w14:textId="25445B4B" w:rsidR="008E2E7E" w:rsidRPr="00BB4FA5" w:rsidRDefault="008E2E7E" w:rsidP="00873AF3">
            <w:pPr>
              <w:pStyle w:val="TableText"/>
              <w:widowControl/>
              <w:jc w:val="center"/>
            </w:pPr>
            <w:r w:rsidRPr="00BB4FA5">
              <w:t>$</w:t>
            </w:r>
            <w:r w:rsidR="00027A85" w:rsidRPr="00A137D7">
              <w:rPr>
                <w:color w:val="000000"/>
                <w:spacing w:val="49"/>
                <w:shd w:val="solid" w:color="000000" w:fill="000000"/>
                <w:fitText w:val="320" w:id="-656193275"/>
                <w14:textFill>
                  <w14:solidFill>
                    <w14:srgbClr w14:val="000000">
                      <w14:alpha w14:val="100000"/>
                    </w14:srgbClr>
                  </w14:solidFill>
                </w14:textFill>
              </w:rPr>
              <w:t>|||</w:t>
            </w:r>
            <w:r w:rsidR="00027A85" w:rsidRPr="00A137D7">
              <w:rPr>
                <w:color w:val="000000"/>
                <w:spacing w:val="3"/>
                <w:shd w:val="solid" w:color="000000" w:fill="000000"/>
                <w:fitText w:val="320" w:id="-656193275"/>
                <w14:textFill>
                  <w14:solidFill>
                    <w14:srgbClr w14:val="000000">
                      <w14:alpha w14:val="100000"/>
                    </w14:srgbClr>
                  </w14:solidFill>
                </w14:textFill>
              </w:rPr>
              <w:t>|</w:t>
            </w:r>
          </w:p>
        </w:tc>
        <w:tc>
          <w:tcPr>
            <w:tcW w:w="3355" w:type="pct"/>
            <w:vAlign w:val="center"/>
          </w:tcPr>
          <w:p w14:paraId="750C4BCF" w14:textId="27C10038" w:rsidR="008E2E7E" w:rsidRPr="00BB4FA5" w:rsidRDefault="008E2E7E" w:rsidP="00873AF3">
            <w:pPr>
              <w:pStyle w:val="TableText"/>
              <w:widowControl/>
            </w:pPr>
            <w:r w:rsidRPr="00BB4FA5">
              <w:t>Calculation: $</w:t>
            </w:r>
            <w:r w:rsidR="00027A85" w:rsidRPr="00A137D7">
              <w:rPr>
                <w:color w:val="000000"/>
                <w:spacing w:val="53"/>
                <w:shd w:val="solid" w:color="000000" w:fill="000000"/>
                <w:fitText w:val="330" w:id="-656193274"/>
                <w14:textFill>
                  <w14:solidFill>
                    <w14:srgbClr w14:val="000000">
                      <w14:alpha w14:val="100000"/>
                    </w14:srgbClr>
                  </w14:solidFill>
                </w14:textFill>
              </w:rPr>
              <w:t>|||</w:t>
            </w:r>
            <w:r w:rsidR="00027A85" w:rsidRPr="00A137D7">
              <w:rPr>
                <w:color w:val="000000"/>
                <w:spacing w:val="1"/>
                <w:shd w:val="solid" w:color="000000" w:fill="000000"/>
                <w:fitText w:val="330" w:id="-656193274"/>
                <w14:textFill>
                  <w14:solidFill>
                    <w14:srgbClr w14:val="000000">
                      <w14:alpha w14:val="100000"/>
                    </w14:srgbClr>
                  </w14:solidFill>
                </w14:textFill>
              </w:rPr>
              <w:t>|</w:t>
            </w:r>
            <w:r w:rsidRPr="00BB4FA5">
              <w:t xml:space="preserve"> + $2,149</w:t>
            </w:r>
          </w:p>
          <w:p w14:paraId="1C7DF127" w14:textId="16318279" w:rsidR="008D402B" w:rsidRPr="00BB4FA5" w:rsidRDefault="008D402B" w:rsidP="00873AF3">
            <w:pPr>
              <w:pStyle w:val="TableText"/>
              <w:widowControl/>
            </w:pPr>
            <w:r w:rsidRPr="00BB4FA5">
              <w:t xml:space="preserve">The ESC considered this should be </w:t>
            </w:r>
            <w:r w:rsidR="00632148" w:rsidRPr="00BB4FA5">
              <w:t>$</w:t>
            </w:r>
            <w:r w:rsidR="00027A85" w:rsidRPr="00A137D7">
              <w:rPr>
                <w:color w:val="000000"/>
                <w:spacing w:val="53"/>
                <w:shd w:val="solid" w:color="000000" w:fill="000000"/>
                <w:fitText w:val="330" w:id="-656193273"/>
                <w14:textFill>
                  <w14:solidFill>
                    <w14:srgbClr w14:val="000000">
                      <w14:alpha w14:val="100000"/>
                    </w14:srgbClr>
                  </w14:solidFill>
                </w14:textFill>
              </w:rPr>
              <w:t>|||</w:t>
            </w:r>
            <w:r w:rsidR="00027A85" w:rsidRPr="00A137D7">
              <w:rPr>
                <w:color w:val="000000"/>
                <w:spacing w:val="1"/>
                <w:shd w:val="solid" w:color="000000" w:fill="000000"/>
                <w:fitText w:val="330" w:id="-656193273"/>
                <w14:textFill>
                  <w14:solidFill>
                    <w14:srgbClr w14:val="000000">
                      <w14:alpha w14:val="100000"/>
                    </w14:srgbClr>
                  </w14:solidFill>
                </w14:textFill>
              </w:rPr>
              <w:t>|</w:t>
            </w:r>
          </w:p>
        </w:tc>
      </w:tr>
      <w:tr w:rsidR="008E2E7E" w:rsidRPr="008C328A" w14:paraId="3F5CCFD9" w14:textId="77777777" w:rsidTr="7E0DBB7D">
        <w:trPr>
          <w:trHeight w:val="58"/>
        </w:trPr>
        <w:tc>
          <w:tcPr>
            <w:tcW w:w="5000" w:type="pct"/>
            <w:gridSpan w:val="3"/>
            <w:vAlign w:val="center"/>
          </w:tcPr>
          <w:p w14:paraId="5AE5DD04" w14:textId="4DEFAEEF" w:rsidR="008E2E7E" w:rsidRPr="008C328A" w:rsidRDefault="008E2E7E" w:rsidP="00873AF3">
            <w:pPr>
              <w:pStyle w:val="TableText"/>
              <w:widowControl/>
              <w:rPr>
                <w:b/>
                <w:lang w:val="en-GB"/>
              </w:rPr>
            </w:pPr>
            <w:r w:rsidRPr="008C328A">
              <w:rPr>
                <w:b/>
                <w:lang w:val="en-GB"/>
              </w:rPr>
              <w:t>Cost of rozanolixizumab</w:t>
            </w:r>
          </w:p>
        </w:tc>
      </w:tr>
      <w:tr w:rsidR="008E2E7E" w:rsidRPr="008C328A" w14:paraId="23A7C850" w14:textId="77777777" w:rsidTr="7E0DBB7D">
        <w:trPr>
          <w:trHeight w:val="58"/>
        </w:trPr>
        <w:tc>
          <w:tcPr>
            <w:tcW w:w="1015" w:type="pct"/>
            <w:vAlign w:val="center"/>
          </w:tcPr>
          <w:p w14:paraId="669E9929" w14:textId="28CD73BB" w:rsidR="008E2E7E" w:rsidRPr="008C328A" w:rsidRDefault="008E2E7E" w:rsidP="00873AF3">
            <w:pPr>
              <w:pStyle w:val="TableText"/>
              <w:widowControl/>
              <w:rPr>
                <w:lang w:val="en-GB"/>
              </w:rPr>
            </w:pPr>
            <w:r w:rsidRPr="008C328A">
              <w:rPr>
                <w:lang w:val="en-GB"/>
              </w:rPr>
              <w:t>Total cost of rozanolixizumab (without premium)</w:t>
            </w:r>
          </w:p>
        </w:tc>
        <w:tc>
          <w:tcPr>
            <w:tcW w:w="630" w:type="pct"/>
            <w:vAlign w:val="center"/>
          </w:tcPr>
          <w:p w14:paraId="6D66B839" w14:textId="323FBF1B" w:rsidR="008E2E7E" w:rsidRPr="008C328A" w:rsidRDefault="008E2E7E" w:rsidP="00873AF3">
            <w:pPr>
              <w:pStyle w:val="TableText"/>
              <w:widowControl/>
              <w:jc w:val="center"/>
            </w:pPr>
            <w:r w:rsidRPr="00C436E6">
              <w:t>$</w:t>
            </w:r>
            <w:r w:rsidR="00D63E16" w:rsidRPr="004030DB">
              <w:rPr>
                <w:rFonts w:hint="eastAsia"/>
                <w:color w:val="000000"/>
                <w:w w:val="15"/>
                <w:shd w:val="solid" w:color="000000" w:fill="000000"/>
                <w:fitText w:val="50" w:id="-691363322"/>
                <w14:textFill>
                  <w14:solidFill>
                    <w14:srgbClr w14:val="000000">
                      <w14:alpha w14:val="100000"/>
                    </w14:srgbClr>
                  </w14:solidFill>
                </w14:textFill>
              </w:rPr>
              <w:t xml:space="preserve">　</w:t>
            </w:r>
            <w:r w:rsidR="00D63E16" w:rsidRPr="004030DB">
              <w:rPr>
                <w:color w:val="000000"/>
                <w:w w:val="15"/>
                <w:shd w:val="solid" w:color="000000" w:fill="000000"/>
                <w:fitText w:val="50" w:id="-691363322"/>
                <w14:textFill>
                  <w14:solidFill>
                    <w14:srgbClr w14:val="000000">
                      <w14:alpha w14:val="100000"/>
                    </w14:srgbClr>
                  </w14:solidFill>
                </w14:textFill>
              </w:rPr>
              <w:t>|</w:t>
            </w:r>
            <w:r w:rsidR="00D63E16" w:rsidRPr="004030DB">
              <w:rPr>
                <w:rFonts w:hint="eastAsia"/>
                <w:color w:val="000000"/>
                <w:spacing w:val="-15"/>
                <w:w w:val="15"/>
                <w:shd w:val="solid" w:color="000000" w:fill="000000"/>
                <w:fitText w:val="50" w:id="-691363322"/>
                <w14:textFill>
                  <w14:solidFill>
                    <w14:srgbClr w14:val="000000">
                      <w14:alpha w14:val="100000"/>
                    </w14:srgbClr>
                  </w14:solidFill>
                </w14:textFill>
              </w:rPr>
              <w:t xml:space="preserve">　</w:t>
            </w:r>
          </w:p>
        </w:tc>
        <w:tc>
          <w:tcPr>
            <w:tcW w:w="3355" w:type="pct"/>
            <w:vAlign w:val="center"/>
          </w:tcPr>
          <w:p w14:paraId="3168A56F" w14:textId="77777777" w:rsidR="008E2E7E" w:rsidRPr="008C328A" w:rsidRDefault="008E2E7E" w:rsidP="00873AF3">
            <w:pPr>
              <w:pStyle w:val="TableText"/>
              <w:widowControl/>
            </w:pPr>
            <w:r w:rsidRPr="008C328A">
              <w:t>Total cost of IVIg</w:t>
            </w:r>
          </w:p>
          <w:p w14:paraId="18B645FD" w14:textId="42628FA7" w:rsidR="007A5153" w:rsidRPr="008C328A" w:rsidRDefault="00170DF7" w:rsidP="00873AF3">
            <w:pPr>
              <w:pStyle w:val="TableText"/>
              <w:widowControl/>
            </w:pPr>
            <w:r w:rsidRPr="008C328A">
              <w:t xml:space="preserve">The </w:t>
            </w:r>
            <w:r w:rsidR="007A5153" w:rsidRPr="008C328A">
              <w:t xml:space="preserve">ESC considered this should </w:t>
            </w:r>
            <w:r w:rsidR="007A5153" w:rsidRPr="00BB4FA5">
              <w:t xml:space="preserve">be </w:t>
            </w:r>
            <w:r w:rsidR="009D0B4B" w:rsidRPr="00BB4FA5">
              <w:t>$</w:t>
            </w:r>
            <w:r w:rsidR="002F523B" w:rsidRPr="00A137D7">
              <w:rPr>
                <w:color w:val="000000"/>
                <w:spacing w:val="79"/>
                <w:shd w:val="solid" w:color="000000" w:fill="000000"/>
                <w:fitText w:val="410" w:id="-656190976"/>
                <w14:textFill>
                  <w14:solidFill>
                    <w14:srgbClr w14:val="000000">
                      <w14:alpha w14:val="100000"/>
                    </w14:srgbClr>
                  </w14:solidFill>
                </w14:textFill>
              </w:rPr>
              <w:t>|||</w:t>
            </w:r>
            <w:r w:rsidR="002F523B" w:rsidRPr="00A137D7">
              <w:rPr>
                <w:color w:val="000000"/>
                <w:spacing w:val="3"/>
                <w:shd w:val="solid" w:color="000000" w:fill="000000"/>
                <w:fitText w:val="410" w:id="-656190976"/>
                <w14:textFill>
                  <w14:solidFill>
                    <w14:srgbClr w14:val="000000">
                      <w14:alpha w14:val="100000"/>
                    </w14:srgbClr>
                  </w14:solidFill>
                </w14:textFill>
              </w:rPr>
              <w:t>|</w:t>
            </w:r>
            <w:r w:rsidR="009D0B4B" w:rsidRPr="00BB4FA5">
              <w:t>.</w:t>
            </w:r>
          </w:p>
        </w:tc>
      </w:tr>
      <w:tr w:rsidR="008E2E7E" w:rsidRPr="008C328A" w14:paraId="6EA97810" w14:textId="77777777" w:rsidTr="7E0DBB7D">
        <w:trPr>
          <w:trHeight w:val="58"/>
        </w:trPr>
        <w:tc>
          <w:tcPr>
            <w:tcW w:w="1015" w:type="pct"/>
            <w:vAlign w:val="center"/>
          </w:tcPr>
          <w:p w14:paraId="76BC70E3" w14:textId="77777777" w:rsidR="008E2E7E" w:rsidRPr="008C328A" w:rsidRDefault="008E2E7E" w:rsidP="00873AF3">
            <w:pPr>
              <w:pStyle w:val="TableText"/>
              <w:widowControl/>
            </w:pPr>
            <w:r w:rsidRPr="008C328A">
              <w:t>IV infusions per year</w:t>
            </w:r>
          </w:p>
        </w:tc>
        <w:tc>
          <w:tcPr>
            <w:tcW w:w="630" w:type="pct"/>
            <w:vAlign w:val="center"/>
          </w:tcPr>
          <w:p w14:paraId="3643ADC6" w14:textId="77777777" w:rsidR="008E2E7E" w:rsidRPr="00BB4FA5" w:rsidRDefault="008E2E7E" w:rsidP="00873AF3">
            <w:pPr>
              <w:pStyle w:val="TableText"/>
              <w:widowControl/>
              <w:jc w:val="center"/>
            </w:pPr>
            <w:r w:rsidRPr="00BB4FA5">
              <w:t>17.8</w:t>
            </w:r>
          </w:p>
        </w:tc>
        <w:tc>
          <w:tcPr>
            <w:tcW w:w="3355" w:type="pct"/>
            <w:vAlign w:val="center"/>
          </w:tcPr>
          <w:p w14:paraId="5D6E61C4" w14:textId="02C3A6A3" w:rsidR="008E2E7E" w:rsidRPr="00BB4FA5" w:rsidRDefault="008E2E7E" w:rsidP="00873AF3">
            <w:pPr>
              <w:pStyle w:val="TableText"/>
              <w:widowControl/>
              <w:rPr>
                <w:lang w:val="en-GB"/>
              </w:rPr>
            </w:pPr>
            <w:r w:rsidRPr="00BB4FA5">
              <w:rPr>
                <w:lang w:val="en-GB"/>
              </w:rPr>
              <w:t>Based on the annualised number of rozanolixizumab infusions per year based on a post hoc analysis of data from the MycarinG trial and an interim analysis of the MG0007 extension study</w:t>
            </w:r>
            <w:r w:rsidR="000C0821" w:rsidRPr="00BB4FA5">
              <w:rPr>
                <w:lang w:val="en-GB"/>
              </w:rPr>
              <w:t>.</w:t>
            </w:r>
          </w:p>
        </w:tc>
      </w:tr>
      <w:tr w:rsidR="008E2E7E" w:rsidRPr="008C328A" w14:paraId="174C1B68" w14:textId="77777777" w:rsidTr="7E0DBB7D">
        <w:trPr>
          <w:trHeight w:val="58"/>
        </w:trPr>
        <w:tc>
          <w:tcPr>
            <w:tcW w:w="1015" w:type="pct"/>
            <w:vAlign w:val="center"/>
          </w:tcPr>
          <w:p w14:paraId="766FF22C" w14:textId="77777777" w:rsidR="008E2E7E" w:rsidRPr="008C328A" w:rsidRDefault="008E2E7E" w:rsidP="00873AF3">
            <w:pPr>
              <w:pStyle w:val="TableText"/>
              <w:widowControl/>
            </w:pPr>
            <w:r w:rsidRPr="008C328A">
              <w:t>Cost of IV infusions</w:t>
            </w:r>
          </w:p>
        </w:tc>
        <w:tc>
          <w:tcPr>
            <w:tcW w:w="630" w:type="pct"/>
            <w:vAlign w:val="center"/>
          </w:tcPr>
          <w:p w14:paraId="3FAA85A2" w14:textId="77777777" w:rsidR="008E2E7E" w:rsidRPr="00BB4FA5" w:rsidRDefault="008E2E7E" w:rsidP="00873AF3">
            <w:pPr>
              <w:pStyle w:val="TableText"/>
              <w:widowControl/>
              <w:jc w:val="center"/>
            </w:pPr>
            <w:r w:rsidRPr="00BB4FA5">
              <w:t>$1,986</w:t>
            </w:r>
          </w:p>
        </w:tc>
        <w:tc>
          <w:tcPr>
            <w:tcW w:w="3355" w:type="pct"/>
            <w:vAlign w:val="center"/>
          </w:tcPr>
          <w:p w14:paraId="0BD5773D" w14:textId="172456C6" w:rsidR="008E2E7E" w:rsidRPr="00BB4FA5" w:rsidRDefault="008E2E7E" w:rsidP="00873AF3">
            <w:pPr>
              <w:pStyle w:val="TableText"/>
              <w:widowControl/>
            </w:pPr>
            <w:r w:rsidRPr="00BB4FA5">
              <w:t>Based on MBS Item 14245 ($111.60; immunomodulating agent, administration of, by intravenous infusion for at least 2 hours duration). Calculation: $111.60 × 17.8.</w:t>
            </w:r>
            <w:r w:rsidR="000C0821" w:rsidRPr="00BB4FA5">
              <w:t xml:space="preserve"> The ESC considered this may overestimate administration costs (refer to paragraph</w:t>
            </w:r>
            <w:r w:rsidR="00237F91" w:rsidRPr="00BB4FA5">
              <w:t xml:space="preserve"> </w:t>
            </w:r>
            <w:r w:rsidR="00237F91" w:rsidRPr="00BB4FA5">
              <w:fldChar w:fldCharType="begin" w:fldLock="1"/>
            </w:r>
            <w:r w:rsidR="00237F91" w:rsidRPr="00BB4FA5">
              <w:instrText xml:space="preserve"> REF _Ref193977092 \r \h </w:instrText>
            </w:r>
            <w:r w:rsidR="00BB4FA5">
              <w:instrText xml:space="preserve"> \* MERGEFORMAT </w:instrText>
            </w:r>
            <w:r w:rsidR="00237F91" w:rsidRPr="00BB4FA5">
              <w:fldChar w:fldCharType="separate"/>
            </w:r>
            <w:r w:rsidR="00E70E55">
              <w:t>6.80</w:t>
            </w:r>
            <w:r w:rsidR="00237F91" w:rsidRPr="00BB4FA5">
              <w:fldChar w:fldCharType="end"/>
            </w:r>
            <w:r w:rsidR="000C0821" w:rsidRPr="00BB4FA5">
              <w:t>)</w:t>
            </w:r>
          </w:p>
        </w:tc>
      </w:tr>
      <w:tr w:rsidR="008E2E7E" w:rsidRPr="008C328A" w14:paraId="365188F2" w14:textId="77777777" w:rsidTr="7E0DBB7D">
        <w:trPr>
          <w:trHeight w:val="58"/>
        </w:trPr>
        <w:tc>
          <w:tcPr>
            <w:tcW w:w="1015" w:type="pct"/>
            <w:vAlign w:val="center"/>
          </w:tcPr>
          <w:p w14:paraId="5DC419C1" w14:textId="2D5F8028" w:rsidR="008E2E7E" w:rsidRPr="008C328A" w:rsidRDefault="4F39D637" w:rsidP="00873AF3">
            <w:pPr>
              <w:pStyle w:val="TableText"/>
              <w:widowControl/>
            </w:pPr>
            <w:r w:rsidRPr="008C328A">
              <w:t>Direct medicine costs of rozanolixizumab (without premium)</w:t>
            </w:r>
          </w:p>
        </w:tc>
        <w:tc>
          <w:tcPr>
            <w:tcW w:w="630" w:type="pct"/>
            <w:vAlign w:val="center"/>
          </w:tcPr>
          <w:p w14:paraId="471CEB10" w14:textId="38FA135D" w:rsidR="008E2E7E" w:rsidRPr="007666E2" w:rsidRDefault="008E2E7E" w:rsidP="00873AF3">
            <w:pPr>
              <w:pStyle w:val="TableText"/>
              <w:widowControl/>
              <w:jc w:val="center"/>
            </w:pPr>
            <w:r w:rsidRPr="00C436E6">
              <w:t>$</w:t>
            </w:r>
            <w:r w:rsidR="00D63E16" w:rsidRPr="004030DB">
              <w:rPr>
                <w:rFonts w:hint="eastAsia"/>
                <w:color w:val="000000"/>
                <w:w w:val="15"/>
                <w:shd w:val="solid" w:color="000000" w:fill="000000"/>
                <w:fitText w:val="50" w:id="-691363321"/>
                <w14:textFill>
                  <w14:solidFill>
                    <w14:srgbClr w14:val="000000">
                      <w14:alpha w14:val="100000"/>
                    </w14:srgbClr>
                  </w14:solidFill>
                </w14:textFill>
              </w:rPr>
              <w:t xml:space="preserve">　</w:t>
            </w:r>
            <w:r w:rsidR="00D63E16" w:rsidRPr="004030DB">
              <w:rPr>
                <w:color w:val="000000"/>
                <w:w w:val="15"/>
                <w:shd w:val="solid" w:color="000000" w:fill="000000"/>
                <w:fitText w:val="50" w:id="-691363321"/>
                <w14:textFill>
                  <w14:solidFill>
                    <w14:srgbClr w14:val="000000">
                      <w14:alpha w14:val="100000"/>
                    </w14:srgbClr>
                  </w14:solidFill>
                </w14:textFill>
              </w:rPr>
              <w:t>|</w:t>
            </w:r>
            <w:r w:rsidR="00D63E16" w:rsidRPr="004030DB">
              <w:rPr>
                <w:rFonts w:hint="eastAsia"/>
                <w:color w:val="000000"/>
                <w:spacing w:val="-15"/>
                <w:w w:val="15"/>
                <w:shd w:val="solid" w:color="000000" w:fill="000000"/>
                <w:fitText w:val="50" w:id="-691363321"/>
                <w14:textFill>
                  <w14:solidFill>
                    <w14:srgbClr w14:val="000000">
                      <w14:alpha w14:val="100000"/>
                    </w14:srgbClr>
                  </w14:solidFill>
                </w14:textFill>
              </w:rPr>
              <w:t xml:space="preserve">　</w:t>
            </w:r>
          </w:p>
        </w:tc>
        <w:tc>
          <w:tcPr>
            <w:tcW w:w="3355" w:type="pct"/>
            <w:vAlign w:val="center"/>
          </w:tcPr>
          <w:p w14:paraId="1E4D6DA7" w14:textId="753980AA" w:rsidR="008E2E7E" w:rsidRPr="008C328A" w:rsidRDefault="008E2E7E" w:rsidP="00873AF3">
            <w:pPr>
              <w:pStyle w:val="TableText"/>
              <w:widowControl/>
            </w:pPr>
            <w:r w:rsidRPr="008C328A">
              <w:t>Calculation</w:t>
            </w:r>
            <w:r w:rsidRPr="00FD1D7F">
              <w:t>: $</w:t>
            </w:r>
            <w:r w:rsidR="00D63E16" w:rsidRPr="00A137D7">
              <w:rPr>
                <w:color w:val="000000"/>
                <w:spacing w:val="51"/>
                <w:shd w:val="solid" w:color="000000" w:fill="000000"/>
                <w:fitText w:val="325" w:id="-691363320"/>
                <w14:textFill>
                  <w14:solidFill>
                    <w14:srgbClr w14:val="000000">
                      <w14:alpha w14:val="100000"/>
                    </w14:srgbClr>
                  </w14:solidFill>
                </w14:textFill>
              </w:rPr>
              <w:t>|||</w:t>
            </w:r>
            <w:r w:rsidR="00D63E16" w:rsidRPr="00A137D7">
              <w:rPr>
                <w:color w:val="000000"/>
                <w:spacing w:val="2"/>
                <w:shd w:val="solid" w:color="000000" w:fill="000000"/>
                <w:fitText w:val="325" w:id="-691363320"/>
                <w14:textFill>
                  <w14:solidFill>
                    <w14:srgbClr w14:val="000000">
                      <w14:alpha w14:val="100000"/>
                    </w14:srgbClr>
                  </w14:solidFill>
                </w14:textFill>
              </w:rPr>
              <w:t>|</w:t>
            </w:r>
            <w:r w:rsidRPr="00FD1D7F">
              <w:t xml:space="preserve"> – $1,986</w:t>
            </w:r>
          </w:p>
          <w:p w14:paraId="3B729882" w14:textId="5A58C4AE" w:rsidR="00651015" w:rsidRPr="008C328A" w:rsidRDefault="00651015" w:rsidP="00873AF3">
            <w:pPr>
              <w:pStyle w:val="TableText"/>
              <w:widowControl/>
            </w:pPr>
            <w:r w:rsidRPr="008C328A">
              <w:t xml:space="preserve">The ESC considered this should </w:t>
            </w:r>
            <w:r w:rsidRPr="00F67D90">
              <w:t>be $</w:t>
            </w:r>
            <w:r w:rsidR="00027A85" w:rsidRPr="00A137D7">
              <w:rPr>
                <w:color w:val="000000"/>
                <w:spacing w:val="53"/>
                <w:shd w:val="solid" w:color="000000" w:fill="000000"/>
                <w:fitText w:val="330" w:id="-656193272"/>
                <w14:textFill>
                  <w14:solidFill>
                    <w14:srgbClr w14:val="000000">
                      <w14:alpha w14:val="100000"/>
                    </w14:srgbClr>
                  </w14:solidFill>
                </w14:textFill>
              </w:rPr>
              <w:t>|||</w:t>
            </w:r>
            <w:r w:rsidR="00027A85" w:rsidRPr="00A137D7">
              <w:rPr>
                <w:color w:val="000000"/>
                <w:spacing w:val="1"/>
                <w:shd w:val="solid" w:color="000000" w:fill="000000"/>
                <w:fitText w:val="330" w:id="-656193272"/>
                <w14:textFill>
                  <w14:solidFill>
                    <w14:srgbClr w14:val="000000">
                      <w14:alpha w14:val="100000"/>
                    </w14:srgbClr>
                  </w14:solidFill>
                </w14:textFill>
              </w:rPr>
              <w:t>|</w:t>
            </w:r>
          </w:p>
        </w:tc>
      </w:tr>
      <w:tr w:rsidR="008E2E7E" w:rsidRPr="008C328A" w14:paraId="1EC1CB07" w14:textId="77777777" w:rsidTr="7E0DBB7D">
        <w:trPr>
          <w:trHeight w:val="58"/>
        </w:trPr>
        <w:tc>
          <w:tcPr>
            <w:tcW w:w="1015" w:type="pct"/>
            <w:vAlign w:val="center"/>
          </w:tcPr>
          <w:p w14:paraId="70FF7DF5" w14:textId="5B97D090" w:rsidR="008E2E7E" w:rsidRPr="008C328A" w:rsidRDefault="4F39D637" w:rsidP="00873AF3">
            <w:pPr>
              <w:pStyle w:val="TableText"/>
              <w:widowControl/>
            </w:pPr>
            <w:r w:rsidRPr="008C328A">
              <w:t>Rozanolixizumab vials dispensed per infusion</w:t>
            </w:r>
          </w:p>
        </w:tc>
        <w:tc>
          <w:tcPr>
            <w:tcW w:w="630" w:type="pct"/>
            <w:vAlign w:val="center"/>
          </w:tcPr>
          <w:p w14:paraId="14901C3D" w14:textId="77777777" w:rsidR="008E2E7E" w:rsidRPr="00BB4FA5" w:rsidRDefault="008E2E7E" w:rsidP="00873AF3">
            <w:pPr>
              <w:pStyle w:val="TableText"/>
              <w:widowControl/>
              <w:jc w:val="center"/>
            </w:pPr>
            <w:r w:rsidRPr="00BB4FA5">
              <w:t>2.11</w:t>
            </w:r>
          </w:p>
        </w:tc>
        <w:tc>
          <w:tcPr>
            <w:tcW w:w="3355" w:type="pct"/>
            <w:vAlign w:val="center"/>
          </w:tcPr>
          <w:p w14:paraId="779809ED" w14:textId="2A07575F" w:rsidR="008E2E7E" w:rsidRPr="00BB4FA5" w:rsidRDefault="4F39D637" w:rsidP="00873AF3">
            <w:pPr>
              <w:pStyle w:val="TableText"/>
              <w:widowControl/>
            </w:pPr>
            <w:r w:rsidRPr="00BB4FA5">
              <w:t>Based on the recommended dosing in the draft product information and the baseline weight distribution of patients in the MycarinG trial</w:t>
            </w:r>
          </w:p>
        </w:tc>
      </w:tr>
      <w:tr w:rsidR="008E2E7E" w:rsidRPr="008C328A" w14:paraId="5BB39B74" w14:textId="77777777" w:rsidTr="7E0DBB7D">
        <w:trPr>
          <w:trHeight w:val="58"/>
        </w:trPr>
        <w:tc>
          <w:tcPr>
            <w:tcW w:w="1015" w:type="pct"/>
            <w:vAlign w:val="center"/>
          </w:tcPr>
          <w:p w14:paraId="0B967DD3" w14:textId="6DB71ABB" w:rsidR="008E2E7E" w:rsidRPr="008C328A" w:rsidRDefault="008E2E7E" w:rsidP="00873AF3">
            <w:pPr>
              <w:pStyle w:val="TableText"/>
              <w:widowControl/>
            </w:pPr>
            <w:r w:rsidRPr="008C328A">
              <w:t xml:space="preserve">Vials </w:t>
            </w:r>
            <w:r w:rsidR="00A6392F">
              <w:t xml:space="preserve">(280 mg) </w:t>
            </w:r>
            <w:r w:rsidRPr="008C328A">
              <w:t>dispensed per year</w:t>
            </w:r>
          </w:p>
        </w:tc>
        <w:tc>
          <w:tcPr>
            <w:tcW w:w="630" w:type="pct"/>
            <w:vAlign w:val="center"/>
          </w:tcPr>
          <w:p w14:paraId="2765B68F" w14:textId="77777777" w:rsidR="008E2E7E" w:rsidRPr="00BB4FA5" w:rsidRDefault="008E2E7E" w:rsidP="00873AF3">
            <w:pPr>
              <w:pStyle w:val="TableText"/>
              <w:widowControl/>
              <w:jc w:val="center"/>
            </w:pPr>
            <w:r w:rsidRPr="00BB4FA5">
              <w:t>37.53</w:t>
            </w:r>
          </w:p>
        </w:tc>
        <w:tc>
          <w:tcPr>
            <w:tcW w:w="3355" w:type="pct"/>
            <w:vAlign w:val="center"/>
          </w:tcPr>
          <w:p w14:paraId="04195A8E" w14:textId="71FEEF79" w:rsidR="008E2E7E" w:rsidRPr="00BB4FA5" w:rsidRDefault="008E2E7E" w:rsidP="00873AF3">
            <w:pPr>
              <w:pStyle w:val="TableText"/>
              <w:widowControl/>
            </w:pPr>
            <w:r w:rsidRPr="00BB4FA5">
              <w:t>Calculation: 17.8 × 2.11</w:t>
            </w:r>
            <w:r w:rsidR="00A6392F" w:rsidRPr="00BB4FA5">
              <w:t xml:space="preserve"> (i.e. 10,516 mg per year)</w:t>
            </w:r>
          </w:p>
        </w:tc>
      </w:tr>
      <w:tr w:rsidR="008E2E7E" w:rsidRPr="008C328A" w14:paraId="70CB81CD" w14:textId="77777777" w:rsidTr="7E0DBB7D">
        <w:trPr>
          <w:trHeight w:val="58"/>
        </w:trPr>
        <w:tc>
          <w:tcPr>
            <w:tcW w:w="1015" w:type="pct"/>
            <w:vAlign w:val="center"/>
          </w:tcPr>
          <w:p w14:paraId="145F8EE1" w14:textId="77777777" w:rsidR="008E2E7E" w:rsidRPr="008C328A" w:rsidRDefault="008E2E7E" w:rsidP="00873AF3">
            <w:pPr>
              <w:pStyle w:val="TableText"/>
              <w:widowControl/>
            </w:pPr>
            <w:r w:rsidRPr="008C328A">
              <w:t xml:space="preserve">AEMP per vial </w:t>
            </w:r>
          </w:p>
          <w:p w14:paraId="30F90A22" w14:textId="77777777" w:rsidR="008E2E7E" w:rsidRPr="008C328A" w:rsidRDefault="008E2E7E" w:rsidP="00873AF3">
            <w:pPr>
              <w:pStyle w:val="TableText"/>
              <w:widowControl/>
            </w:pPr>
            <w:r w:rsidRPr="008C328A">
              <w:t>(without premium)</w:t>
            </w:r>
          </w:p>
        </w:tc>
        <w:tc>
          <w:tcPr>
            <w:tcW w:w="630" w:type="pct"/>
            <w:vAlign w:val="center"/>
          </w:tcPr>
          <w:p w14:paraId="5D067D43" w14:textId="4123150C" w:rsidR="008E2E7E" w:rsidRPr="00B96349" w:rsidRDefault="008E2E7E" w:rsidP="00873AF3">
            <w:pPr>
              <w:pStyle w:val="TableText"/>
              <w:widowControl/>
              <w:jc w:val="center"/>
              <w:rPr>
                <w:highlight w:val="yellow"/>
              </w:rPr>
            </w:pPr>
            <w:r w:rsidRPr="00155CF2">
              <w:t>$</w:t>
            </w:r>
            <w:r w:rsidR="00D63E16" w:rsidRPr="004030DB">
              <w:rPr>
                <w:rFonts w:hint="eastAsia"/>
                <w:color w:val="000000"/>
                <w:w w:val="15"/>
                <w:shd w:val="solid" w:color="000000" w:fill="000000"/>
                <w:fitText w:val="50" w:id="-691363319"/>
                <w14:textFill>
                  <w14:solidFill>
                    <w14:srgbClr w14:val="000000">
                      <w14:alpha w14:val="100000"/>
                    </w14:srgbClr>
                  </w14:solidFill>
                </w14:textFill>
              </w:rPr>
              <w:t xml:space="preserve">　</w:t>
            </w:r>
            <w:r w:rsidR="00D63E16" w:rsidRPr="004030DB">
              <w:rPr>
                <w:color w:val="000000"/>
                <w:w w:val="15"/>
                <w:shd w:val="solid" w:color="000000" w:fill="000000"/>
                <w:fitText w:val="50" w:id="-691363319"/>
                <w14:textFill>
                  <w14:solidFill>
                    <w14:srgbClr w14:val="000000">
                      <w14:alpha w14:val="100000"/>
                    </w14:srgbClr>
                  </w14:solidFill>
                </w14:textFill>
              </w:rPr>
              <w:t>|</w:t>
            </w:r>
            <w:r w:rsidR="00D63E16" w:rsidRPr="004030DB">
              <w:rPr>
                <w:rFonts w:hint="eastAsia"/>
                <w:color w:val="000000"/>
                <w:spacing w:val="-15"/>
                <w:w w:val="15"/>
                <w:shd w:val="solid" w:color="000000" w:fill="000000"/>
                <w:fitText w:val="50" w:id="-691363319"/>
                <w14:textFill>
                  <w14:solidFill>
                    <w14:srgbClr w14:val="000000">
                      <w14:alpha w14:val="100000"/>
                    </w14:srgbClr>
                  </w14:solidFill>
                </w14:textFill>
              </w:rPr>
              <w:t xml:space="preserve">　</w:t>
            </w:r>
          </w:p>
        </w:tc>
        <w:tc>
          <w:tcPr>
            <w:tcW w:w="3355" w:type="pct"/>
            <w:vAlign w:val="center"/>
          </w:tcPr>
          <w:p w14:paraId="1F98BB16" w14:textId="17066085" w:rsidR="008E2E7E" w:rsidRPr="008C328A" w:rsidRDefault="008E2E7E" w:rsidP="00873AF3">
            <w:pPr>
              <w:pStyle w:val="TableText"/>
              <w:widowControl/>
            </w:pPr>
            <w:r w:rsidRPr="008C328A">
              <w:t xml:space="preserve">Calculation: </w:t>
            </w:r>
            <w:r w:rsidRPr="00155CF2">
              <w:t>$</w:t>
            </w:r>
            <w:r w:rsidR="00D63E16" w:rsidRPr="00A137D7">
              <w:rPr>
                <w:color w:val="000000"/>
                <w:spacing w:val="51"/>
                <w:shd w:val="solid" w:color="000000" w:fill="000000"/>
                <w:fitText w:val="325" w:id="-691363318"/>
                <w14:textFill>
                  <w14:solidFill>
                    <w14:srgbClr w14:val="000000">
                      <w14:alpha w14:val="100000"/>
                    </w14:srgbClr>
                  </w14:solidFill>
                </w14:textFill>
              </w:rPr>
              <w:t>|||</w:t>
            </w:r>
            <w:r w:rsidR="00D63E16" w:rsidRPr="00A137D7">
              <w:rPr>
                <w:color w:val="000000"/>
                <w:spacing w:val="2"/>
                <w:shd w:val="solid" w:color="000000" w:fill="000000"/>
                <w:fitText w:val="325" w:id="-691363318"/>
                <w14:textFill>
                  <w14:solidFill>
                    <w14:srgbClr w14:val="000000">
                      <w14:alpha w14:val="100000"/>
                    </w14:srgbClr>
                  </w14:solidFill>
                </w14:textFill>
              </w:rPr>
              <w:t>|</w:t>
            </w:r>
            <w:r w:rsidRPr="00155CF2">
              <w:t xml:space="preserve"> / 37.53</w:t>
            </w:r>
          </w:p>
          <w:p w14:paraId="5D00550B" w14:textId="0BF8E62B" w:rsidR="00F43996" w:rsidRPr="008C328A" w:rsidRDefault="00F43996" w:rsidP="00873AF3">
            <w:pPr>
              <w:pStyle w:val="TableText"/>
              <w:widowControl/>
            </w:pPr>
            <w:r w:rsidRPr="008C328A">
              <w:t xml:space="preserve">The ESC considered this should </w:t>
            </w:r>
            <w:r w:rsidRPr="00CF53E2">
              <w:t xml:space="preserve">be </w:t>
            </w:r>
            <w:r w:rsidR="007E73F3" w:rsidRPr="00CF53E2">
              <w:t>$</w:t>
            </w:r>
            <w:r w:rsidR="00027A85" w:rsidRPr="00A137D7">
              <w:rPr>
                <w:color w:val="000000"/>
                <w:spacing w:val="53"/>
                <w:shd w:val="solid" w:color="000000" w:fill="000000"/>
                <w:fitText w:val="330" w:id="-656193271"/>
                <w14:textFill>
                  <w14:solidFill>
                    <w14:srgbClr w14:val="000000">
                      <w14:alpha w14:val="100000"/>
                    </w14:srgbClr>
                  </w14:solidFill>
                </w14:textFill>
              </w:rPr>
              <w:t>|||</w:t>
            </w:r>
            <w:r w:rsidR="00027A85" w:rsidRPr="00A137D7">
              <w:rPr>
                <w:color w:val="000000"/>
                <w:spacing w:val="1"/>
                <w:shd w:val="solid" w:color="000000" w:fill="000000"/>
                <w:fitText w:val="330" w:id="-656193271"/>
                <w14:textFill>
                  <w14:solidFill>
                    <w14:srgbClr w14:val="000000">
                      <w14:alpha w14:val="100000"/>
                    </w14:srgbClr>
                  </w14:solidFill>
                </w14:textFill>
              </w:rPr>
              <w:t>|</w:t>
            </w:r>
            <w:r w:rsidR="007E73F3" w:rsidRPr="00CF53E2">
              <w:t xml:space="preserve"> per vial</w:t>
            </w:r>
            <w:r w:rsidRPr="008C328A">
              <w:t>.</w:t>
            </w:r>
          </w:p>
        </w:tc>
      </w:tr>
      <w:tr w:rsidR="008E2E7E" w:rsidRPr="008C328A" w14:paraId="4291795D" w14:textId="77777777" w:rsidTr="7E0DBB7D">
        <w:trPr>
          <w:trHeight w:val="58"/>
        </w:trPr>
        <w:tc>
          <w:tcPr>
            <w:tcW w:w="1015" w:type="pct"/>
            <w:vAlign w:val="center"/>
          </w:tcPr>
          <w:p w14:paraId="4A3F8A83" w14:textId="77777777" w:rsidR="008E2E7E" w:rsidRPr="008C328A" w:rsidRDefault="008E2E7E" w:rsidP="00873AF3">
            <w:pPr>
              <w:pStyle w:val="TableText"/>
              <w:widowControl/>
              <w:rPr>
                <w:b/>
                <w:bCs w:val="0"/>
              </w:rPr>
            </w:pPr>
            <w:r w:rsidRPr="008C328A">
              <w:rPr>
                <w:b/>
                <w:bCs w:val="0"/>
              </w:rPr>
              <w:t xml:space="preserve">AEMP per vial </w:t>
            </w:r>
          </w:p>
          <w:p w14:paraId="02B192F1" w14:textId="77777777" w:rsidR="008E2E7E" w:rsidRPr="008C328A" w:rsidRDefault="008E2E7E" w:rsidP="00873AF3">
            <w:pPr>
              <w:pStyle w:val="TableText"/>
              <w:widowControl/>
              <w:rPr>
                <w:b/>
                <w:bCs w:val="0"/>
              </w:rPr>
            </w:pPr>
            <w:r w:rsidRPr="008C328A">
              <w:rPr>
                <w:b/>
                <w:bCs w:val="0"/>
              </w:rPr>
              <w:t>(with premium)</w:t>
            </w:r>
          </w:p>
        </w:tc>
        <w:tc>
          <w:tcPr>
            <w:tcW w:w="630" w:type="pct"/>
            <w:vAlign w:val="center"/>
          </w:tcPr>
          <w:p w14:paraId="715EE8BC" w14:textId="5A951410" w:rsidR="008E2E7E" w:rsidRPr="008C328A" w:rsidRDefault="008E2E7E" w:rsidP="00873AF3">
            <w:pPr>
              <w:pStyle w:val="TableText"/>
              <w:widowControl/>
              <w:jc w:val="center"/>
              <w:rPr>
                <w:b/>
                <w:bCs w:val="0"/>
              </w:rPr>
            </w:pPr>
            <w:r w:rsidRPr="008C328A">
              <w:rPr>
                <w:b/>
                <w:bCs w:val="0"/>
              </w:rPr>
              <w:t>$</w:t>
            </w:r>
            <w:r w:rsidR="00D63E16" w:rsidRPr="004030DB">
              <w:rPr>
                <w:rFonts w:hint="eastAsia"/>
                <w:b/>
                <w:bCs w:val="0"/>
                <w:color w:val="000000"/>
                <w:w w:val="22"/>
                <w:shd w:val="solid" w:color="000000" w:fill="000000"/>
                <w:fitText w:val="100" w:id="-691363317"/>
                <w14:textFill>
                  <w14:solidFill>
                    <w14:srgbClr w14:val="000000">
                      <w14:alpha w14:val="100000"/>
                    </w14:srgbClr>
                  </w14:solidFill>
                </w14:textFill>
              </w:rPr>
              <w:t xml:space="preserve">　</w:t>
            </w:r>
            <w:r w:rsidR="00D63E16" w:rsidRPr="004030DB">
              <w:rPr>
                <w:b/>
                <w:bCs w:val="0"/>
                <w:color w:val="000000"/>
                <w:w w:val="22"/>
                <w:shd w:val="solid" w:color="000000" w:fill="000000"/>
                <w:fitText w:val="100" w:id="-691363317"/>
                <w14:textFill>
                  <w14:solidFill>
                    <w14:srgbClr w14:val="000000">
                      <w14:alpha w14:val="100000"/>
                    </w14:srgbClr>
                  </w14:solidFill>
                </w14:textFill>
              </w:rPr>
              <w:t>|</w:t>
            </w:r>
            <w:r w:rsidR="00D63E16" w:rsidRPr="004030DB">
              <w:rPr>
                <w:rFonts w:hint="eastAsia"/>
                <w:b/>
                <w:bCs w:val="0"/>
                <w:color w:val="000000"/>
                <w:w w:val="22"/>
                <w:shd w:val="solid" w:color="000000" w:fill="000000"/>
                <w:fitText w:val="100" w:id="-691363317"/>
                <w14:textFill>
                  <w14:solidFill>
                    <w14:srgbClr w14:val="000000">
                      <w14:alpha w14:val="100000"/>
                    </w14:srgbClr>
                  </w14:solidFill>
                </w14:textFill>
              </w:rPr>
              <w:t xml:space="preserve">　</w:t>
            </w:r>
          </w:p>
        </w:tc>
        <w:tc>
          <w:tcPr>
            <w:tcW w:w="3355" w:type="pct"/>
            <w:vAlign w:val="center"/>
          </w:tcPr>
          <w:p w14:paraId="6113758C" w14:textId="02D7795D" w:rsidR="008E2E7E" w:rsidRPr="008C328A" w:rsidRDefault="008E2E7E" w:rsidP="00873AF3">
            <w:pPr>
              <w:pStyle w:val="TableText"/>
              <w:widowControl/>
              <w:rPr>
                <w:b/>
                <w:bCs w:val="0"/>
              </w:rPr>
            </w:pPr>
            <w:r w:rsidRPr="008C328A">
              <w:rPr>
                <w:b/>
                <w:bCs w:val="0"/>
              </w:rPr>
              <w:t xml:space="preserve">Calculation: </w:t>
            </w:r>
            <w:r w:rsidRPr="00E924BE">
              <w:rPr>
                <w:b/>
                <w:bCs w:val="0"/>
              </w:rPr>
              <w:t>$</w:t>
            </w:r>
            <w:r w:rsidR="00D63E16" w:rsidRPr="00A137D7">
              <w:rPr>
                <w:b/>
                <w:color w:val="000000"/>
                <w:spacing w:val="59"/>
                <w:shd w:val="solid" w:color="000000" w:fill="000000"/>
                <w:fitText w:val="363" w:id="-691363316"/>
                <w14:textFill>
                  <w14:solidFill>
                    <w14:srgbClr w14:val="000000">
                      <w14:alpha w14:val="100000"/>
                    </w14:srgbClr>
                  </w14:solidFill>
                </w14:textFill>
              </w:rPr>
              <w:t>|||</w:t>
            </w:r>
            <w:r w:rsidR="00D63E16" w:rsidRPr="00A137D7">
              <w:rPr>
                <w:b/>
                <w:color w:val="000000"/>
                <w:spacing w:val="3"/>
                <w:shd w:val="solid" w:color="000000" w:fill="000000"/>
                <w:fitText w:val="363" w:id="-691363316"/>
                <w14:textFill>
                  <w14:solidFill>
                    <w14:srgbClr w14:val="000000">
                      <w14:alpha w14:val="100000"/>
                    </w14:srgbClr>
                  </w14:solidFill>
                </w14:textFill>
              </w:rPr>
              <w:t>|</w:t>
            </w:r>
            <w:r w:rsidRPr="008C328A">
              <w:rPr>
                <w:b/>
                <w:bCs w:val="0"/>
              </w:rPr>
              <w:t xml:space="preserve"> × </w:t>
            </w:r>
            <w:r w:rsidR="00D63E16" w:rsidRPr="00A137D7">
              <w:rPr>
                <w:b/>
                <w:color w:val="000000"/>
                <w:spacing w:val="59"/>
                <w:shd w:val="solid" w:color="000000" w:fill="000000"/>
                <w:fitText w:val="363" w:id="-691363315"/>
                <w14:textFill>
                  <w14:solidFill>
                    <w14:srgbClr w14:val="000000">
                      <w14:alpha w14:val="100000"/>
                    </w14:srgbClr>
                  </w14:solidFill>
                </w14:textFill>
              </w:rPr>
              <w:t>|||</w:t>
            </w:r>
            <w:r w:rsidR="00D63E16" w:rsidRPr="00A137D7">
              <w:rPr>
                <w:b/>
                <w:color w:val="000000"/>
                <w:spacing w:val="3"/>
                <w:shd w:val="solid" w:color="000000" w:fill="000000"/>
                <w:fitText w:val="363" w:id="-691363315"/>
                <w14:textFill>
                  <w14:solidFill>
                    <w14:srgbClr w14:val="000000">
                      <w14:alpha w14:val="100000"/>
                    </w14:srgbClr>
                  </w14:solidFill>
                </w14:textFill>
              </w:rPr>
              <w:t>|</w:t>
            </w:r>
            <w:r w:rsidRPr="008C328A">
              <w:rPr>
                <w:b/>
                <w:bCs w:val="0"/>
              </w:rPr>
              <w:t xml:space="preserve"> price premium. </w:t>
            </w:r>
          </w:p>
        </w:tc>
      </w:tr>
    </w:tbl>
    <w:p w14:paraId="61E9C823" w14:textId="77777777" w:rsidR="008E2E7E" w:rsidRPr="008C328A" w:rsidRDefault="008E2E7E" w:rsidP="00873AF3">
      <w:pPr>
        <w:pStyle w:val="COMTablefooter"/>
      </w:pPr>
      <w:r w:rsidRPr="008C328A">
        <w:t>Source: Table 3.4-3, p175 of the submission</w:t>
      </w:r>
    </w:p>
    <w:p w14:paraId="60AFE15F" w14:textId="77777777" w:rsidR="008E2E7E" w:rsidRPr="008C328A" w:rsidRDefault="008E2E7E" w:rsidP="00873AF3">
      <w:pPr>
        <w:pStyle w:val="COMTablefooter"/>
      </w:pPr>
      <w:r w:rsidRPr="008C328A">
        <w:t>Abbreviations: AEMP, approved ex-manufacturer price; IV, intravenous; IVIg, IVIg, intravenous immunoglobulin; MBS, Medicare Benefits Schedule; NBA, National Blood Authority</w:t>
      </w:r>
    </w:p>
    <w:p w14:paraId="4C5F58BF" w14:textId="42A0C53C" w:rsidR="00A45116" w:rsidRPr="008C328A" w:rsidRDefault="4F39D637" w:rsidP="00873AF3">
      <w:pPr>
        <w:pStyle w:val="COMexecsummnumbered"/>
      </w:pPr>
      <w:r w:rsidRPr="7E0DBB7D">
        <w:t>Based on the cost minimisation approach, the submission proposed an AEMP of $</w:t>
      </w:r>
      <w:r w:rsidR="00D63E16" w:rsidRPr="006233F7">
        <w:rPr>
          <w:color w:val="000000"/>
          <w:w w:val="15"/>
          <w:shd w:val="solid" w:color="000000" w:fill="000000"/>
          <w:fitText w:val="-20" w:id="-691363314"/>
          <w14:textFill>
            <w14:solidFill>
              <w14:srgbClr w14:val="000000">
                <w14:alpha w14:val="100000"/>
              </w14:srgbClr>
            </w14:solidFill>
          </w14:textFill>
        </w:rPr>
        <w:t>|</w:t>
      </w:r>
      <w:r w:rsidR="00A91274" w:rsidRPr="006233F7">
        <w:rPr>
          <w:color w:val="000000"/>
          <w:w w:val="15"/>
          <w:shd w:val="solid" w:color="000000" w:fill="000000"/>
          <w:fitText w:val="-20" w:id="-691363314"/>
          <w14:textFill>
            <w14:solidFill>
              <w14:srgbClr w14:val="000000">
                <w14:alpha w14:val="100000"/>
              </w14:srgbClr>
            </w14:solidFill>
          </w14:textFill>
        </w:rPr>
        <w:t xml:space="preserve"> </w:t>
      </w:r>
      <w:r w:rsidR="00D63E16" w:rsidRPr="006233F7">
        <w:rPr>
          <w:color w:val="000000"/>
          <w:spacing w:val="-61"/>
          <w:w w:val="15"/>
          <w:shd w:val="solid" w:color="000000" w:fill="000000"/>
          <w:fitText w:val="-20" w:id="-691363314"/>
          <w14:textFill>
            <w14:solidFill>
              <w14:srgbClr w14:val="000000">
                <w14:alpha w14:val="100000"/>
              </w14:srgbClr>
            </w14:solidFill>
          </w14:textFill>
        </w:rPr>
        <w:t>|</w:t>
      </w:r>
      <w:r w:rsidRPr="7E0DBB7D">
        <w:t xml:space="preserve"> </w:t>
      </w:r>
      <w:r w:rsidRPr="008C328A">
        <w:t>per vial for rozanolixizumab.</w:t>
      </w:r>
    </w:p>
    <w:p w14:paraId="274D96DA" w14:textId="199610DC" w:rsidR="00F95ABE" w:rsidRPr="008C328A" w:rsidRDefault="00F95ABE" w:rsidP="00873AF3">
      <w:pPr>
        <w:pStyle w:val="COMexecsummnumbered"/>
      </w:pPr>
      <w:bookmarkStart w:id="67" w:name="_Ref193977092"/>
      <w:r w:rsidRPr="008C328A">
        <w:t xml:space="preserve">The submission used the MBS item for intravenous infusion of an immunomodulating agent for at least two hours duration (Item 14245), which may overestimate the administration costs, as the draft Product Information states that rozanolixizumab is administered as a subcutaneous infusion, delivered via a pump (refer to paragraph </w:t>
      </w:r>
      <w:r w:rsidRPr="008C328A">
        <w:fldChar w:fldCharType="begin" w:fldLock="1"/>
      </w:r>
      <w:r w:rsidRPr="008C328A">
        <w:instrText xml:space="preserve"> REF _Ref191302238 \r \h </w:instrText>
      </w:r>
      <w:r w:rsidR="008C328A" w:rsidRPr="008C328A">
        <w:instrText xml:space="preserve"> \* MERGEFORMAT </w:instrText>
      </w:r>
      <w:r w:rsidRPr="008C328A">
        <w:fldChar w:fldCharType="separate"/>
      </w:r>
      <w:r w:rsidR="00E70E55">
        <w:t>3.15</w:t>
      </w:r>
      <w:r w:rsidRPr="008C328A">
        <w:fldChar w:fldCharType="end"/>
      </w:r>
      <w:r w:rsidRPr="008C328A">
        <w:t xml:space="preserve">). </w:t>
      </w:r>
      <w:r w:rsidR="00682383">
        <w:t>The ESC considered i</w:t>
      </w:r>
      <w:r w:rsidRPr="008C328A">
        <w:t>t may be more appropriate to use the Schedule Fee of a standard MBS consultation item for a consultant physician as a proxy, per the ‘Manual of resource items and their associated unit costs’.</w:t>
      </w:r>
      <w:bookmarkEnd w:id="67"/>
    </w:p>
    <w:p w14:paraId="702F2309" w14:textId="6EDA545D" w:rsidR="00C47CCA" w:rsidRPr="006E0931" w:rsidRDefault="0056064F" w:rsidP="00873AF3">
      <w:pPr>
        <w:pStyle w:val="COMexecsummnumbered"/>
        <w:rPr>
          <w:i/>
          <w:iCs/>
        </w:rPr>
      </w:pPr>
      <w:r>
        <w:fldChar w:fldCharType="begin" w:fldLock="1"/>
      </w:r>
      <w:r>
        <w:instrText xml:space="preserve"> REF _Ref185274223 \h  \* MERGEFORMAT </w:instrText>
      </w:r>
      <w:r>
        <w:fldChar w:fldCharType="separate"/>
      </w:r>
      <w:r w:rsidR="00E70E55" w:rsidRPr="00E70E55">
        <w:t>Table 15</w:t>
      </w:r>
      <w:r>
        <w:fldChar w:fldCharType="end"/>
      </w:r>
      <w:r w:rsidR="00C47CCA" w:rsidRPr="008C328A">
        <w:t xml:space="preserve"> </w:t>
      </w:r>
      <w:r w:rsidR="0085490A" w:rsidRPr="008C328A">
        <w:t>presents the results of sensitivity analyses</w:t>
      </w:r>
      <w:r w:rsidR="0085490A">
        <w:t xml:space="preserve"> conducted during the evaluation.</w:t>
      </w:r>
    </w:p>
    <w:p w14:paraId="45C50A98" w14:textId="2501E429" w:rsidR="006E0931" w:rsidRPr="008C622A" w:rsidRDefault="00FB5E6D" w:rsidP="00873AF3">
      <w:pPr>
        <w:pStyle w:val="COMtablefigcaption"/>
        <w:rPr>
          <w:rStyle w:val="CommentReference"/>
          <w:sz w:val="20"/>
          <w:szCs w:val="24"/>
        </w:rPr>
      </w:pPr>
      <w:bookmarkStart w:id="68" w:name="_Ref185274223"/>
      <w:r>
        <w:rPr>
          <w:rStyle w:val="CommentReference"/>
          <w:sz w:val="20"/>
          <w:szCs w:val="24"/>
        </w:rPr>
        <w:t>Table</w:t>
      </w:r>
      <w:r w:rsidR="001620FD">
        <w:rPr>
          <w:rStyle w:val="CommentReference"/>
          <w:sz w:val="20"/>
          <w:szCs w:val="24"/>
        </w:rPr>
        <w:t xml:space="preserve"> </w:t>
      </w:r>
      <w:r>
        <w:rPr>
          <w:rStyle w:val="CommentReference"/>
          <w:sz w:val="20"/>
          <w:szCs w:val="24"/>
        </w:rPr>
        <w:fldChar w:fldCharType="begin" w:fldLock="1"/>
      </w:r>
      <w:r>
        <w:rPr>
          <w:rStyle w:val="CommentReference"/>
          <w:sz w:val="20"/>
          <w:szCs w:val="24"/>
        </w:rPr>
        <w:instrText xml:space="preserve"> SEQ Table \* ARABIC </w:instrText>
      </w:r>
      <w:r>
        <w:rPr>
          <w:rStyle w:val="CommentReference"/>
          <w:sz w:val="20"/>
          <w:szCs w:val="24"/>
        </w:rPr>
        <w:fldChar w:fldCharType="separate"/>
      </w:r>
      <w:r w:rsidR="00E70E55">
        <w:rPr>
          <w:rStyle w:val="CommentReference"/>
          <w:noProof/>
          <w:sz w:val="20"/>
          <w:szCs w:val="24"/>
        </w:rPr>
        <w:t>15</w:t>
      </w:r>
      <w:r>
        <w:rPr>
          <w:rStyle w:val="CommentReference"/>
          <w:sz w:val="20"/>
          <w:szCs w:val="24"/>
        </w:rPr>
        <w:fldChar w:fldCharType="end"/>
      </w:r>
      <w:bookmarkEnd w:id="68"/>
      <w:r w:rsidR="006E0931" w:rsidRPr="008C622A">
        <w:rPr>
          <w:rStyle w:val="CommentReference"/>
          <w:sz w:val="20"/>
          <w:szCs w:val="24"/>
        </w:rPr>
        <w:t xml:space="preserve">: Sensitivity analyses of the cost-minimisation approach </w:t>
      </w:r>
    </w:p>
    <w:tbl>
      <w:tblPr>
        <w:tblW w:w="9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5: Sensitivity analyses of the cost-minimisation approach "/>
      </w:tblPr>
      <w:tblGrid>
        <w:gridCol w:w="4678"/>
        <w:gridCol w:w="1087"/>
        <w:gridCol w:w="1088"/>
        <w:gridCol w:w="1088"/>
        <w:gridCol w:w="1088"/>
      </w:tblGrid>
      <w:tr w:rsidR="006E0931" w:rsidRPr="008C328A" w14:paraId="482BCEA0" w14:textId="77777777" w:rsidTr="7E0DBB7D">
        <w:trPr>
          <w:tblHeader/>
        </w:trPr>
        <w:tc>
          <w:tcPr>
            <w:tcW w:w="4678" w:type="dxa"/>
            <w:tcMar>
              <w:top w:w="0" w:type="dxa"/>
              <w:left w:w="28" w:type="dxa"/>
              <w:bottom w:w="0" w:type="dxa"/>
              <w:right w:w="28" w:type="dxa"/>
            </w:tcMar>
            <w:vAlign w:val="center"/>
            <w:hideMark/>
          </w:tcPr>
          <w:p w14:paraId="33344F32" w14:textId="77777777" w:rsidR="006E0931" w:rsidRPr="008C328A" w:rsidRDefault="006E0931" w:rsidP="00873AF3">
            <w:pPr>
              <w:pStyle w:val="Tabletext0"/>
              <w:ind w:left="114"/>
              <w:rPr>
                <w:szCs w:val="20"/>
              </w:rPr>
            </w:pPr>
            <w:r w:rsidRPr="008C328A">
              <w:rPr>
                <w:b/>
                <w:bCs/>
                <w:szCs w:val="20"/>
              </w:rPr>
              <w:t>Analyses</w:t>
            </w:r>
          </w:p>
        </w:tc>
        <w:tc>
          <w:tcPr>
            <w:tcW w:w="1087" w:type="dxa"/>
            <w:tcMar>
              <w:top w:w="0" w:type="dxa"/>
              <w:left w:w="108" w:type="dxa"/>
              <w:bottom w:w="0" w:type="dxa"/>
              <w:right w:w="108" w:type="dxa"/>
            </w:tcMar>
            <w:vAlign w:val="center"/>
            <w:hideMark/>
          </w:tcPr>
          <w:p w14:paraId="78CF132B" w14:textId="77777777" w:rsidR="006E0931" w:rsidRPr="008C328A" w:rsidRDefault="006E0931" w:rsidP="00873AF3">
            <w:pPr>
              <w:pStyle w:val="Tabletext0"/>
              <w:ind w:left="114"/>
              <w:jc w:val="center"/>
              <w:rPr>
                <w:b/>
                <w:bCs/>
                <w:szCs w:val="20"/>
              </w:rPr>
            </w:pPr>
            <w:r w:rsidRPr="008C328A">
              <w:rPr>
                <w:b/>
                <w:bCs/>
                <w:szCs w:val="20"/>
              </w:rPr>
              <w:t>IVIg total cost</w:t>
            </w:r>
          </w:p>
        </w:tc>
        <w:tc>
          <w:tcPr>
            <w:tcW w:w="1088" w:type="dxa"/>
            <w:tcMar>
              <w:top w:w="0" w:type="dxa"/>
              <w:left w:w="108" w:type="dxa"/>
              <w:bottom w:w="0" w:type="dxa"/>
              <w:right w:w="108" w:type="dxa"/>
            </w:tcMar>
            <w:vAlign w:val="center"/>
            <w:hideMark/>
          </w:tcPr>
          <w:p w14:paraId="3B1F48F0" w14:textId="3153CF62" w:rsidR="006E0931" w:rsidRPr="008C328A" w:rsidRDefault="00E2510B" w:rsidP="00873AF3">
            <w:pPr>
              <w:pStyle w:val="Tabletext0"/>
              <w:ind w:left="114"/>
              <w:jc w:val="center"/>
              <w:rPr>
                <w:b/>
                <w:bCs/>
                <w:szCs w:val="20"/>
              </w:rPr>
            </w:pPr>
            <w:r w:rsidRPr="008C328A">
              <w:rPr>
                <w:b/>
                <w:bCs/>
                <w:szCs w:val="20"/>
              </w:rPr>
              <w:t>RLZ</w:t>
            </w:r>
            <w:r w:rsidR="006E0931" w:rsidRPr="008C328A">
              <w:rPr>
                <w:b/>
                <w:bCs/>
                <w:szCs w:val="20"/>
              </w:rPr>
              <w:t xml:space="preserve"> total cost</w:t>
            </w:r>
          </w:p>
        </w:tc>
        <w:tc>
          <w:tcPr>
            <w:tcW w:w="1088" w:type="dxa"/>
            <w:tcMar>
              <w:top w:w="0" w:type="dxa"/>
              <w:left w:w="108" w:type="dxa"/>
              <w:bottom w:w="0" w:type="dxa"/>
              <w:right w:w="108" w:type="dxa"/>
            </w:tcMar>
            <w:vAlign w:val="center"/>
            <w:hideMark/>
          </w:tcPr>
          <w:p w14:paraId="3A3E03D1" w14:textId="636FA2B1" w:rsidR="006E0931" w:rsidRPr="008C328A" w:rsidRDefault="00E2510B" w:rsidP="00873AF3">
            <w:pPr>
              <w:pStyle w:val="Tabletext0"/>
              <w:ind w:left="114"/>
              <w:jc w:val="center"/>
              <w:rPr>
                <w:b/>
                <w:bCs/>
                <w:szCs w:val="20"/>
              </w:rPr>
            </w:pPr>
            <w:r w:rsidRPr="008C328A">
              <w:rPr>
                <w:b/>
                <w:bCs/>
                <w:szCs w:val="20"/>
              </w:rPr>
              <w:t>RLZ</w:t>
            </w:r>
            <w:r w:rsidR="006E0931" w:rsidRPr="008C328A">
              <w:rPr>
                <w:b/>
                <w:bCs/>
                <w:szCs w:val="20"/>
              </w:rPr>
              <w:t xml:space="preserve"> AEMP</w:t>
            </w:r>
          </w:p>
        </w:tc>
        <w:tc>
          <w:tcPr>
            <w:tcW w:w="1088" w:type="dxa"/>
            <w:vAlign w:val="center"/>
          </w:tcPr>
          <w:p w14:paraId="78254097" w14:textId="77777777" w:rsidR="006E0931" w:rsidRPr="008C328A" w:rsidRDefault="006E0931" w:rsidP="00873AF3">
            <w:pPr>
              <w:pStyle w:val="Tabletext0"/>
              <w:ind w:left="114"/>
              <w:jc w:val="center"/>
              <w:rPr>
                <w:b/>
                <w:bCs/>
                <w:szCs w:val="20"/>
              </w:rPr>
            </w:pPr>
            <w:r w:rsidRPr="008C328A">
              <w:rPr>
                <w:b/>
                <w:bCs/>
              </w:rPr>
              <w:t>% change in AEMP</w:t>
            </w:r>
          </w:p>
        </w:tc>
      </w:tr>
      <w:tr w:rsidR="006E0931" w:rsidRPr="008C328A" w14:paraId="423E8F5D" w14:textId="77777777" w:rsidTr="7E0DBB7D">
        <w:trPr>
          <w:tblHeader/>
        </w:trPr>
        <w:tc>
          <w:tcPr>
            <w:tcW w:w="4678" w:type="dxa"/>
            <w:tcMar>
              <w:top w:w="0" w:type="dxa"/>
              <w:left w:w="28" w:type="dxa"/>
              <w:bottom w:w="0" w:type="dxa"/>
              <w:right w:w="28" w:type="dxa"/>
            </w:tcMar>
            <w:hideMark/>
          </w:tcPr>
          <w:p w14:paraId="53A2AE02" w14:textId="77777777" w:rsidR="006E0931" w:rsidRPr="008C328A" w:rsidRDefault="006E0931" w:rsidP="00873AF3">
            <w:pPr>
              <w:pStyle w:val="Tabletext0"/>
              <w:ind w:left="114"/>
              <w:rPr>
                <w:b/>
                <w:bCs/>
                <w:szCs w:val="20"/>
                <w:vertAlign w:val="superscript"/>
              </w:rPr>
            </w:pPr>
            <w:r w:rsidRPr="008C328A">
              <w:rPr>
                <w:b/>
                <w:bCs/>
                <w:szCs w:val="20"/>
              </w:rPr>
              <w:t>Base case</w:t>
            </w:r>
          </w:p>
        </w:tc>
        <w:tc>
          <w:tcPr>
            <w:tcW w:w="1087" w:type="dxa"/>
            <w:tcMar>
              <w:top w:w="0" w:type="dxa"/>
              <w:left w:w="108" w:type="dxa"/>
              <w:bottom w:w="0" w:type="dxa"/>
              <w:right w:w="108" w:type="dxa"/>
            </w:tcMar>
          </w:tcPr>
          <w:p w14:paraId="22FA736C" w14:textId="7BC1D842" w:rsidR="006E0931" w:rsidRPr="008C328A" w:rsidRDefault="006E0931" w:rsidP="00873AF3">
            <w:pPr>
              <w:pStyle w:val="Tabletext0"/>
              <w:ind w:left="114"/>
              <w:jc w:val="center"/>
              <w:rPr>
                <w:b/>
                <w:bCs/>
                <w:szCs w:val="20"/>
              </w:rPr>
            </w:pPr>
            <w:r w:rsidRPr="00857325">
              <w:rPr>
                <w:b/>
                <w:bCs/>
                <w:szCs w:val="20"/>
              </w:rPr>
              <w:t>$</w:t>
            </w:r>
            <w:r w:rsidR="00027A85" w:rsidRPr="00A137D7">
              <w:rPr>
                <w:b/>
                <w:color w:val="000000"/>
                <w:spacing w:val="55"/>
                <w:szCs w:val="20"/>
                <w:shd w:val="solid" w:color="000000" w:fill="000000"/>
                <w:fitText w:val="350" w:id="-656193270"/>
                <w14:textFill>
                  <w14:solidFill>
                    <w14:srgbClr w14:val="000000">
                      <w14:alpha w14:val="100000"/>
                    </w14:srgbClr>
                  </w14:solidFill>
                </w14:textFill>
              </w:rPr>
              <w:t>|||</w:t>
            </w:r>
            <w:r w:rsidR="00027A85" w:rsidRPr="00A137D7">
              <w:rPr>
                <w:b/>
                <w:color w:val="000000"/>
                <w:spacing w:val="2"/>
                <w:szCs w:val="20"/>
                <w:shd w:val="solid" w:color="000000" w:fill="000000"/>
                <w:fitText w:val="350" w:id="-656193270"/>
                <w14:textFill>
                  <w14:solidFill>
                    <w14:srgbClr w14:val="000000">
                      <w14:alpha w14:val="100000"/>
                    </w14:srgbClr>
                  </w14:solidFill>
                </w14:textFill>
              </w:rPr>
              <w:t>|</w:t>
            </w:r>
          </w:p>
        </w:tc>
        <w:tc>
          <w:tcPr>
            <w:tcW w:w="1088" w:type="dxa"/>
            <w:tcMar>
              <w:top w:w="0" w:type="dxa"/>
              <w:left w:w="108" w:type="dxa"/>
              <w:bottom w:w="0" w:type="dxa"/>
              <w:right w:w="108" w:type="dxa"/>
            </w:tcMar>
          </w:tcPr>
          <w:p w14:paraId="7D2AB0E6" w14:textId="7B429524" w:rsidR="006E0931" w:rsidRPr="008C328A" w:rsidRDefault="006E0931" w:rsidP="00873AF3">
            <w:pPr>
              <w:pStyle w:val="Tabletext0"/>
              <w:ind w:left="114"/>
              <w:jc w:val="center"/>
              <w:rPr>
                <w:b/>
                <w:bCs/>
                <w:szCs w:val="20"/>
              </w:rPr>
            </w:pPr>
            <w:r w:rsidRPr="008C328A">
              <w:rPr>
                <w:b/>
                <w:bCs/>
                <w:szCs w:val="20"/>
              </w:rPr>
              <w:t>$</w:t>
            </w:r>
            <w:r w:rsidR="00D63E16" w:rsidRPr="004030DB">
              <w:rPr>
                <w:rFonts w:hint="eastAsia"/>
                <w:b/>
                <w:bCs/>
                <w:color w:val="000000"/>
                <w:w w:val="30"/>
                <w:szCs w:val="20"/>
                <w:shd w:val="solid" w:color="000000" w:fill="000000"/>
                <w:fitText w:val="138" w:id="-691363313"/>
                <w14:textFill>
                  <w14:solidFill>
                    <w14:srgbClr w14:val="000000">
                      <w14:alpha w14:val="100000"/>
                    </w14:srgbClr>
                  </w14:solidFill>
                </w14:textFill>
              </w:rPr>
              <w:t xml:space="preserve">　</w:t>
            </w:r>
            <w:r w:rsidR="00D63E16" w:rsidRPr="004030DB">
              <w:rPr>
                <w:b/>
                <w:bCs/>
                <w:color w:val="000000"/>
                <w:w w:val="30"/>
                <w:szCs w:val="20"/>
                <w:shd w:val="solid" w:color="000000" w:fill="000000"/>
                <w:fitText w:val="138" w:id="-691363313"/>
                <w14:textFill>
                  <w14:solidFill>
                    <w14:srgbClr w14:val="000000">
                      <w14:alpha w14:val="100000"/>
                    </w14:srgbClr>
                  </w14:solidFill>
                </w14:textFill>
              </w:rPr>
              <w:t>|</w:t>
            </w:r>
            <w:r w:rsidR="00D63E16" w:rsidRPr="004030DB">
              <w:rPr>
                <w:rFonts w:hint="eastAsia"/>
                <w:b/>
                <w:bCs/>
                <w:color w:val="000000"/>
                <w:w w:val="30"/>
                <w:szCs w:val="20"/>
                <w:shd w:val="solid" w:color="000000" w:fill="000000"/>
                <w:fitText w:val="138" w:id="-691363313"/>
                <w14:textFill>
                  <w14:solidFill>
                    <w14:srgbClr w14:val="000000">
                      <w14:alpha w14:val="100000"/>
                    </w14:srgbClr>
                  </w14:solidFill>
                </w14:textFill>
              </w:rPr>
              <w:t xml:space="preserve">　</w:t>
            </w:r>
          </w:p>
        </w:tc>
        <w:tc>
          <w:tcPr>
            <w:tcW w:w="1088" w:type="dxa"/>
            <w:tcMar>
              <w:top w:w="0" w:type="dxa"/>
              <w:left w:w="108" w:type="dxa"/>
              <w:bottom w:w="0" w:type="dxa"/>
              <w:right w:w="108" w:type="dxa"/>
            </w:tcMar>
          </w:tcPr>
          <w:p w14:paraId="69D1705F" w14:textId="670C2E13" w:rsidR="006E0931" w:rsidRPr="008C328A" w:rsidRDefault="006E0931" w:rsidP="00873AF3">
            <w:pPr>
              <w:pStyle w:val="Tabletext0"/>
              <w:ind w:left="114"/>
              <w:jc w:val="center"/>
              <w:rPr>
                <w:b/>
                <w:bCs/>
                <w:szCs w:val="20"/>
              </w:rPr>
            </w:pPr>
            <w:r w:rsidRPr="008C328A">
              <w:rPr>
                <w:b/>
                <w:bCs/>
                <w:szCs w:val="20"/>
              </w:rPr>
              <w:t>$</w:t>
            </w:r>
            <w:r w:rsidR="00D63E16" w:rsidRPr="00D63E16">
              <w:rPr>
                <w:rFonts w:hint="eastAsia"/>
                <w:b/>
                <w:bCs/>
                <w:color w:val="000000"/>
                <w:w w:val="30"/>
                <w:szCs w:val="20"/>
                <w:shd w:val="solid" w:color="000000" w:fill="000000"/>
                <w:fitText w:val="138" w:id="-691363312"/>
                <w14:textFill>
                  <w14:solidFill>
                    <w14:srgbClr w14:val="000000">
                      <w14:alpha w14:val="100000"/>
                    </w14:srgbClr>
                  </w14:solidFill>
                </w14:textFill>
              </w:rPr>
              <w:t xml:space="preserve">　</w:t>
            </w:r>
            <w:r w:rsidR="00D63E16" w:rsidRPr="00D63E16">
              <w:rPr>
                <w:b/>
                <w:bCs/>
                <w:color w:val="000000"/>
                <w:w w:val="30"/>
                <w:szCs w:val="20"/>
                <w:shd w:val="solid" w:color="000000" w:fill="000000"/>
                <w:fitText w:val="138" w:id="-691363312"/>
                <w14:textFill>
                  <w14:solidFill>
                    <w14:srgbClr w14:val="000000">
                      <w14:alpha w14:val="100000"/>
                    </w14:srgbClr>
                  </w14:solidFill>
                </w14:textFill>
              </w:rPr>
              <w:t>|</w:t>
            </w:r>
            <w:r w:rsidR="00D63E16" w:rsidRPr="00D63E16">
              <w:rPr>
                <w:rFonts w:hint="eastAsia"/>
                <w:b/>
                <w:bCs/>
                <w:color w:val="000000"/>
                <w:w w:val="30"/>
                <w:szCs w:val="20"/>
                <w:shd w:val="solid" w:color="000000" w:fill="000000"/>
                <w:fitText w:val="138" w:id="-691363312"/>
                <w14:textFill>
                  <w14:solidFill>
                    <w14:srgbClr w14:val="000000">
                      <w14:alpha w14:val="100000"/>
                    </w14:srgbClr>
                  </w14:solidFill>
                </w14:textFill>
              </w:rPr>
              <w:t xml:space="preserve">　</w:t>
            </w:r>
          </w:p>
        </w:tc>
        <w:tc>
          <w:tcPr>
            <w:tcW w:w="1088" w:type="dxa"/>
          </w:tcPr>
          <w:p w14:paraId="22D0E06E" w14:textId="77777777" w:rsidR="006E0931" w:rsidRPr="008C328A" w:rsidRDefault="006E0931" w:rsidP="00873AF3">
            <w:pPr>
              <w:pStyle w:val="Tabletext0"/>
              <w:ind w:left="114"/>
              <w:jc w:val="center"/>
              <w:rPr>
                <w:b/>
                <w:bCs/>
                <w:szCs w:val="20"/>
              </w:rPr>
            </w:pPr>
            <w:r w:rsidRPr="008C328A">
              <w:rPr>
                <w:b/>
                <w:bCs/>
                <w:szCs w:val="20"/>
              </w:rPr>
              <w:t>-</w:t>
            </w:r>
          </w:p>
        </w:tc>
      </w:tr>
      <w:tr w:rsidR="006E0931" w:rsidRPr="008C328A" w14:paraId="1E788CB9" w14:textId="77777777" w:rsidTr="7E0DBB7D">
        <w:tc>
          <w:tcPr>
            <w:tcW w:w="9029" w:type="dxa"/>
            <w:gridSpan w:val="5"/>
            <w:tcMar>
              <w:top w:w="0" w:type="dxa"/>
              <w:left w:w="28" w:type="dxa"/>
              <w:bottom w:w="0" w:type="dxa"/>
              <w:right w:w="28" w:type="dxa"/>
            </w:tcMar>
            <w:hideMark/>
          </w:tcPr>
          <w:p w14:paraId="04A3E443" w14:textId="5811E543" w:rsidR="006E0931" w:rsidRPr="008C328A" w:rsidRDefault="0FBDF8DF" w:rsidP="00873AF3">
            <w:pPr>
              <w:pStyle w:val="Tabletext0"/>
              <w:ind w:left="114"/>
              <w:rPr>
                <w:b/>
                <w:bCs/>
              </w:rPr>
            </w:pPr>
            <w:r w:rsidRPr="008C328A">
              <w:rPr>
                <w:b/>
                <w:bCs/>
              </w:rPr>
              <w:t>Cost of IVIg (base case: $</w:t>
            </w:r>
            <w:r w:rsidR="00027A85" w:rsidRPr="00A137D7">
              <w:rPr>
                <w:b/>
                <w:color w:val="000000"/>
                <w:spacing w:val="55"/>
                <w:shd w:val="solid" w:color="000000" w:fill="000000"/>
                <w:fitText w:val="350" w:id="-656193269"/>
                <w14:textFill>
                  <w14:solidFill>
                    <w14:srgbClr w14:val="000000">
                      <w14:alpha w14:val="100000"/>
                    </w14:srgbClr>
                  </w14:solidFill>
                </w14:textFill>
              </w:rPr>
              <w:t>|||</w:t>
            </w:r>
            <w:r w:rsidR="00027A85" w:rsidRPr="00A137D7">
              <w:rPr>
                <w:b/>
                <w:color w:val="000000"/>
                <w:spacing w:val="2"/>
                <w:shd w:val="solid" w:color="000000" w:fill="000000"/>
                <w:fitText w:val="350" w:id="-656193269"/>
                <w14:textFill>
                  <w14:solidFill>
                    <w14:srgbClr w14:val="000000">
                      <w14:alpha w14:val="100000"/>
                    </w14:srgbClr>
                  </w14:solidFill>
                </w14:textFill>
              </w:rPr>
              <w:t>|</w:t>
            </w:r>
            <w:r w:rsidRPr="008C328A">
              <w:rPr>
                <w:b/>
                <w:bCs/>
              </w:rPr>
              <w:t xml:space="preserve"> per gram); IVIg dose adjustment factor (base case: reduction of total dose by </w:t>
            </w:r>
            <w:r w:rsidRPr="00857325">
              <w:rPr>
                <w:b/>
                <w:bCs/>
              </w:rPr>
              <w:t>40%);</w:t>
            </w:r>
            <w:r w:rsidRPr="008C328A">
              <w:rPr>
                <w:b/>
                <w:bCs/>
              </w:rPr>
              <w:t xml:space="preserve"> price premium (base case: </w:t>
            </w:r>
            <w:r w:rsidR="00D63E16" w:rsidRPr="00A137D7">
              <w:rPr>
                <w:b/>
                <w:color w:val="000000"/>
                <w:spacing w:val="50"/>
                <w:shd w:val="solid" w:color="000000" w:fill="000000"/>
                <w:fitText w:val="238" w:id="-691363328"/>
                <w14:textFill>
                  <w14:solidFill>
                    <w14:srgbClr w14:val="000000">
                      <w14:alpha w14:val="100000"/>
                    </w14:srgbClr>
                  </w14:solidFill>
                </w14:textFill>
              </w:rPr>
              <w:t>||</w:t>
            </w:r>
            <w:r w:rsidR="00D63E16" w:rsidRPr="00A137D7">
              <w:rPr>
                <w:b/>
                <w:color w:val="000000"/>
                <w:spacing w:val="1"/>
                <w:shd w:val="solid" w:color="000000" w:fill="000000"/>
                <w:fitText w:val="238" w:id="-691363328"/>
                <w14:textFill>
                  <w14:solidFill>
                    <w14:srgbClr w14:val="000000">
                      <w14:alpha w14:val="100000"/>
                    </w14:srgbClr>
                  </w14:solidFill>
                </w14:textFill>
              </w:rPr>
              <w:t>|</w:t>
            </w:r>
            <w:r w:rsidRPr="001B264A">
              <w:rPr>
                <w:b/>
                <w:bCs/>
              </w:rPr>
              <w:t>%</w:t>
            </w:r>
            <w:r w:rsidRPr="008C328A">
              <w:rPr>
                <w:b/>
                <w:bCs/>
              </w:rPr>
              <w:t xml:space="preserve"> price premium for rozanolixizumab AEMP)</w:t>
            </w:r>
          </w:p>
        </w:tc>
      </w:tr>
      <w:tr w:rsidR="00557334" w:rsidRPr="008C328A" w14:paraId="0517ADCA" w14:textId="77777777" w:rsidTr="7E0DBB7D">
        <w:tc>
          <w:tcPr>
            <w:tcW w:w="4678" w:type="dxa"/>
            <w:tcMar>
              <w:top w:w="0" w:type="dxa"/>
              <w:left w:w="28" w:type="dxa"/>
              <w:bottom w:w="0" w:type="dxa"/>
              <w:right w:w="28" w:type="dxa"/>
            </w:tcMar>
          </w:tcPr>
          <w:p w14:paraId="41F9B901" w14:textId="77777777" w:rsidR="000B66F3" w:rsidRPr="008C328A" w:rsidRDefault="000B66F3" w:rsidP="00873AF3">
            <w:pPr>
              <w:pStyle w:val="Tabletext0"/>
              <w:ind w:left="114"/>
            </w:pPr>
            <w:r w:rsidRPr="008C328A">
              <w:t>Based on 2023-24 NBA data:</w:t>
            </w:r>
          </w:p>
          <w:p w14:paraId="0C947130" w14:textId="657C2F51" w:rsidR="005168F1" w:rsidRPr="00857325" w:rsidRDefault="000B66F3" w:rsidP="00873AF3">
            <w:pPr>
              <w:pStyle w:val="Tabletext0"/>
              <w:numPr>
                <w:ilvl w:val="0"/>
                <w:numId w:val="11"/>
              </w:numPr>
              <w:ind w:left="114" w:firstLine="147"/>
            </w:pPr>
            <w:r w:rsidRPr="008C328A">
              <w:t xml:space="preserve"> </w:t>
            </w:r>
            <w:r w:rsidR="00DA4EF9" w:rsidRPr="00857325">
              <w:t>$</w:t>
            </w:r>
            <w:r w:rsidR="00027A85" w:rsidRPr="00A137D7">
              <w:rPr>
                <w:color w:val="000000"/>
                <w:spacing w:val="49"/>
                <w:shd w:val="solid" w:color="000000" w:fill="000000"/>
                <w:fitText w:val="320" w:id="-656193268"/>
                <w14:textFill>
                  <w14:solidFill>
                    <w14:srgbClr w14:val="000000">
                      <w14:alpha w14:val="100000"/>
                    </w14:srgbClr>
                  </w14:solidFill>
                </w14:textFill>
              </w:rPr>
              <w:t>|||</w:t>
            </w:r>
            <w:r w:rsidR="00027A85" w:rsidRPr="00A137D7">
              <w:rPr>
                <w:color w:val="000000"/>
                <w:spacing w:val="3"/>
                <w:shd w:val="solid" w:color="000000" w:fill="000000"/>
                <w:fitText w:val="320" w:id="-656193268"/>
                <w14:textFill>
                  <w14:solidFill>
                    <w14:srgbClr w14:val="000000">
                      <w14:alpha w14:val="100000"/>
                    </w14:srgbClr>
                  </w14:solidFill>
                </w14:textFill>
              </w:rPr>
              <w:t>|</w:t>
            </w:r>
            <w:r w:rsidR="00DA4EF9" w:rsidRPr="00857325">
              <w:t xml:space="preserve"> per gram</w:t>
            </w:r>
          </w:p>
          <w:p w14:paraId="54767446" w14:textId="42975B5C" w:rsidR="000B66F3" w:rsidRPr="00857325" w:rsidRDefault="000662E6" w:rsidP="00873AF3">
            <w:pPr>
              <w:pStyle w:val="Tabletext0"/>
              <w:numPr>
                <w:ilvl w:val="0"/>
                <w:numId w:val="11"/>
              </w:numPr>
              <w:ind w:left="114" w:firstLine="147"/>
            </w:pPr>
            <w:r w:rsidRPr="00857325">
              <w:t>Average of 541.1 grams per year</w:t>
            </w:r>
          </w:p>
          <w:p w14:paraId="0710BC96" w14:textId="2F449F0E" w:rsidR="000662E6" w:rsidRPr="00857325" w:rsidRDefault="00AC63A2" w:rsidP="00873AF3">
            <w:pPr>
              <w:pStyle w:val="Tabletext0"/>
              <w:numPr>
                <w:ilvl w:val="0"/>
                <w:numId w:val="11"/>
              </w:numPr>
              <w:ind w:left="114" w:firstLine="147"/>
            </w:pPr>
            <w:r w:rsidRPr="00857325">
              <w:t xml:space="preserve">Average of 15.7 doses per year </w:t>
            </w:r>
          </w:p>
          <w:p w14:paraId="70B12946" w14:textId="6B4DB124" w:rsidR="00557334" w:rsidRPr="008C328A" w:rsidRDefault="00AC63A2" w:rsidP="00873AF3">
            <w:pPr>
              <w:pStyle w:val="Tabletext0"/>
              <w:numPr>
                <w:ilvl w:val="0"/>
                <w:numId w:val="11"/>
              </w:numPr>
              <w:ind w:left="114" w:firstLine="147"/>
            </w:pPr>
            <w:r w:rsidRPr="008C328A">
              <w:t xml:space="preserve">With </w:t>
            </w:r>
            <w:r w:rsidR="00D63E16" w:rsidRPr="00D63E16">
              <w:rPr>
                <w:rFonts w:hint="eastAsia"/>
                <w:color w:val="000000"/>
                <w:w w:val="15"/>
                <w:shd w:val="solid" w:color="000000" w:fill="000000"/>
                <w:fitText w:val="63" w:id="-691363327"/>
                <w14:textFill>
                  <w14:solidFill>
                    <w14:srgbClr w14:val="000000">
                      <w14:alpha w14:val="100000"/>
                    </w14:srgbClr>
                  </w14:solidFill>
                </w14:textFill>
              </w:rPr>
              <w:t xml:space="preserve">　</w:t>
            </w:r>
            <w:r w:rsidR="00D63E16" w:rsidRPr="00D63E16">
              <w:rPr>
                <w:color w:val="000000"/>
                <w:w w:val="15"/>
                <w:shd w:val="solid" w:color="000000" w:fill="000000"/>
                <w:fitText w:val="63" w:id="-691363327"/>
                <w14:textFill>
                  <w14:solidFill>
                    <w14:srgbClr w14:val="000000">
                      <w14:alpha w14:val="100000"/>
                    </w14:srgbClr>
                  </w14:solidFill>
                </w14:textFill>
              </w:rPr>
              <w:t>|</w:t>
            </w:r>
            <w:r w:rsidR="00D63E16" w:rsidRPr="00D63E16">
              <w:rPr>
                <w:rFonts w:hint="eastAsia"/>
                <w:color w:val="000000"/>
                <w:spacing w:val="-2"/>
                <w:w w:val="15"/>
                <w:shd w:val="solid" w:color="000000" w:fill="000000"/>
                <w:fitText w:val="63" w:id="-691363327"/>
                <w14:textFill>
                  <w14:solidFill>
                    <w14:srgbClr w14:val="000000">
                      <w14:alpha w14:val="100000"/>
                    </w14:srgbClr>
                  </w14:solidFill>
                </w14:textFill>
              </w:rPr>
              <w:t xml:space="preserve">　</w:t>
            </w:r>
            <w:r w:rsidR="00F91D9C" w:rsidRPr="008C328A">
              <w:t>% price premium</w:t>
            </w:r>
          </w:p>
        </w:tc>
        <w:tc>
          <w:tcPr>
            <w:tcW w:w="1087" w:type="dxa"/>
            <w:tcMar>
              <w:top w:w="0" w:type="dxa"/>
              <w:left w:w="108" w:type="dxa"/>
              <w:bottom w:w="0" w:type="dxa"/>
              <w:right w:w="108" w:type="dxa"/>
            </w:tcMar>
            <w:vAlign w:val="center"/>
          </w:tcPr>
          <w:p w14:paraId="57895C6A" w14:textId="018D67DD" w:rsidR="00557334" w:rsidRPr="008C328A" w:rsidRDefault="00247BA2" w:rsidP="00873AF3">
            <w:pPr>
              <w:pStyle w:val="Tabletext0"/>
              <w:ind w:left="114"/>
              <w:jc w:val="center"/>
            </w:pPr>
            <w:r w:rsidRPr="00857325">
              <w:t>$</w:t>
            </w:r>
            <w:r w:rsidR="00027A85" w:rsidRPr="00A137D7">
              <w:rPr>
                <w:color w:val="000000"/>
                <w:spacing w:val="53"/>
                <w:shd w:val="solid" w:color="000000" w:fill="000000"/>
                <w:fitText w:val="330" w:id="-656193267"/>
                <w14:textFill>
                  <w14:solidFill>
                    <w14:srgbClr w14:val="000000">
                      <w14:alpha w14:val="100000"/>
                    </w14:srgbClr>
                  </w14:solidFill>
                </w14:textFill>
              </w:rPr>
              <w:t>|||</w:t>
            </w:r>
            <w:r w:rsidR="00027A85" w:rsidRPr="00A137D7">
              <w:rPr>
                <w:color w:val="000000"/>
                <w:spacing w:val="1"/>
                <w:shd w:val="solid" w:color="000000" w:fill="000000"/>
                <w:fitText w:val="330" w:id="-656193267"/>
                <w14:textFill>
                  <w14:solidFill>
                    <w14:srgbClr w14:val="000000">
                      <w14:alpha w14:val="100000"/>
                    </w14:srgbClr>
                  </w14:solidFill>
                </w14:textFill>
              </w:rPr>
              <w:t>|</w:t>
            </w:r>
          </w:p>
        </w:tc>
        <w:tc>
          <w:tcPr>
            <w:tcW w:w="1088" w:type="dxa"/>
            <w:tcMar>
              <w:top w:w="0" w:type="dxa"/>
              <w:left w:w="108" w:type="dxa"/>
              <w:bottom w:w="0" w:type="dxa"/>
              <w:right w:w="108" w:type="dxa"/>
            </w:tcMar>
            <w:vAlign w:val="center"/>
          </w:tcPr>
          <w:p w14:paraId="4BAB3456" w14:textId="5F13DC95" w:rsidR="00557334" w:rsidRPr="008C328A" w:rsidRDefault="00635188" w:rsidP="00873AF3">
            <w:pPr>
              <w:pStyle w:val="Tabletext0"/>
              <w:ind w:left="114"/>
              <w:jc w:val="center"/>
            </w:pPr>
            <w:r w:rsidRPr="008C328A">
              <w:t>$</w:t>
            </w:r>
            <w:r w:rsidR="00D63E16" w:rsidRPr="004030DB">
              <w:rPr>
                <w:rFonts w:hint="eastAsia"/>
                <w:color w:val="000000"/>
                <w:w w:val="22"/>
                <w:shd w:val="solid" w:color="000000" w:fill="000000"/>
                <w:fitText w:val="101" w:id="-691363326"/>
                <w14:textFill>
                  <w14:solidFill>
                    <w14:srgbClr w14:val="000000">
                      <w14:alpha w14:val="100000"/>
                    </w14:srgbClr>
                  </w14:solidFill>
                </w14:textFill>
              </w:rPr>
              <w:t xml:space="preserve">　</w:t>
            </w:r>
            <w:r w:rsidR="00D63E16" w:rsidRPr="004030DB">
              <w:rPr>
                <w:color w:val="000000"/>
                <w:w w:val="22"/>
                <w:shd w:val="solid" w:color="000000" w:fill="000000"/>
                <w:fitText w:val="101" w:id="-691363326"/>
                <w14:textFill>
                  <w14:solidFill>
                    <w14:srgbClr w14:val="000000">
                      <w14:alpha w14:val="100000"/>
                    </w14:srgbClr>
                  </w14:solidFill>
                </w14:textFill>
              </w:rPr>
              <w:t>|</w:t>
            </w:r>
            <w:r w:rsidR="00D63E16" w:rsidRPr="004030DB">
              <w:rPr>
                <w:rFonts w:hint="eastAsia"/>
                <w:color w:val="000000"/>
                <w:w w:val="22"/>
                <w:shd w:val="solid" w:color="000000" w:fill="000000"/>
                <w:fitText w:val="101" w:id="-691363326"/>
                <w14:textFill>
                  <w14:solidFill>
                    <w14:srgbClr w14:val="000000">
                      <w14:alpha w14:val="100000"/>
                    </w14:srgbClr>
                  </w14:solidFill>
                </w14:textFill>
              </w:rPr>
              <w:t xml:space="preserve">　</w:t>
            </w:r>
          </w:p>
        </w:tc>
        <w:tc>
          <w:tcPr>
            <w:tcW w:w="1088" w:type="dxa"/>
            <w:tcMar>
              <w:top w:w="0" w:type="dxa"/>
              <w:left w:w="108" w:type="dxa"/>
              <w:bottom w:w="0" w:type="dxa"/>
              <w:right w:w="108" w:type="dxa"/>
            </w:tcMar>
            <w:vAlign w:val="center"/>
          </w:tcPr>
          <w:p w14:paraId="02039B51" w14:textId="049D3E23" w:rsidR="00557334" w:rsidRPr="008C328A" w:rsidRDefault="00B05110" w:rsidP="00873AF3">
            <w:pPr>
              <w:pStyle w:val="Tabletext0"/>
              <w:ind w:left="114"/>
              <w:jc w:val="center"/>
            </w:pPr>
            <w:r w:rsidRPr="008C328A">
              <w:t>$</w:t>
            </w:r>
            <w:r w:rsidR="00D63E16" w:rsidRPr="00D63E16">
              <w:rPr>
                <w:rFonts w:hint="eastAsia"/>
                <w:color w:val="000000"/>
                <w:w w:val="22"/>
                <w:shd w:val="solid" w:color="000000" w:fill="000000"/>
                <w:fitText w:val="100" w:id="-691363325"/>
                <w14:textFill>
                  <w14:solidFill>
                    <w14:srgbClr w14:val="000000">
                      <w14:alpha w14:val="100000"/>
                    </w14:srgbClr>
                  </w14:solidFill>
                </w14:textFill>
              </w:rPr>
              <w:t xml:space="preserve">　</w:t>
            </w:r>
            <w:r w:rsidR="00D63E16" w:rsidRPr="00D63E16">
              <w:rPr>
                <w:color w:val="000000"/>
                <w:w w:val="22"/>
                <w:shd w:val="solid" w:color="000000" w:fill="000000"/>
                <w:fitText w:val="100" w:id="-691363325"/>
                <w14:textFill>
                  <w14:solidFill>
                    <w14:srgbClr w14:val="000000">
                      <w14:alpha w14:val="100000"/>
                    </w14:srgbClr>
                  </w14:solidFill>
                </w14:textFill>
              </w:rPr>
              <w:t>|</w:t>
            </w:r>
            <w:r w:rsidR="00D63E16" w:rsidRPr="00D63E16">
              <w:rPr>
                <w:rFonts w:hint="eastAsia"/>
                <w:color w:val="000000"/>
                <w:spacing w:val="3"/>
                <w:w w:val="22"/>
                <w:shd w:val="solid" w:color="000000" w:fill="000000"/>
                <w:fitText w:val="100" w:id="-691363325"/>
                <w14:textFill>
                  <w14:solidFill>
                    <w14:srgbClr w14:val="000000">
                      <w14:alpha w14:val="100000"/>
                    </w14:srgbClr>
                  </w14:solidFill>
                </w14:textFill>
              </w:rPr>
              <w:t xml:space="preserve">　</w:t>
            </w:r>
          </w:p>
        </w:tc>
        <w:tc>
          <w:tcPr>
            <w:tcW w:w="1088" w:type="dxa"/>
            <w:vAlign w:val="center"/>
          </w:tcPr>
          <w:p w14:paraId="5F6A1E42" w14:textId="2B96A86F" w:rsidR="00557334" w:rsidRPr="00C65341" w:rsidRDefault="00B05110" w:rsidP="00873AF3">
            <w:pPr>
              <w:pStyle w:val="Tabletext0"/>
              <w:ind w:left="114"/>
              <w:jc w:val="center"/>
            </w:pPr>
            <w:r w:rsidRPr="00C65341">
              <w:t>-</w:t>
            </w:r>
            <w:r w:rsidR="00D63E16" w:rsidRPr="00B166C9">
              <w:rPr>
                <w:rFonts w:hint="eastAsia"/>
                <w:color w:val="000000"/>
                <w:w w:val="15"/>
                <w:shd w:val="solid" w:color="000000" w:fill="000000"/>
                <w:fitText w:val="50" w:id="-691363324"/>
                <w14:textFill>
                  <w14:solidFill>
                    <w14:srgbClr w14:val="000000">
                      <w14:alpha w14:val="100000"/>
                    </w14:srgbClr>
                  </w14:solidFill>
                </w14:textFill>
              </w:rPr>
              <w:t xml:space="preserve">　</w:t>
            </w:r>
            <w:r w:rsidR="00D63E16" w:rsidRPr="00B166C9">
              <w:rPr>
                <w:color w:val="000000"/>
                <w:w w:val="15"/>
                <w:shd w:val="solid" w:color="000000" w:fill="000000"/>
                <w:fitText w:val="50" w:id="-691363324"/>
                <w14:textFill>
                  <w14:solidFill>
                    <w14:srgbClr w14:val="000000">
                      <w14:alpha w14:val="100000"/>
                    </w14:srgbClr>
                  </w14:solidFill>
                </w14:textFill>
              </w:rPr>
              <w:t>|</w:t>
            </w:r>
            <w:r w:rsidR="00D63E16" w:rsidRPr="00B166C9">
              <w:rPr>
                <w:rFonts w:hint="eastAsia"/>
                <w:color w:val="000000"/>
                <w:spacing w:val="-15"/>
                <w:w w:val="15"/>
                <w:shd w:val="solid" w:color="000000" w:fill="000000"/>
                <w:fitText w:val="50" w:id="-691363324"/>
                <w14:textFill>
                  <w14:solidFill>
                    <w14:srgbClr w14:val="000000">
                      <w14:alpha w14:val="100000"/>
                    </w14:srgbClr>
                  </w14:solidFill>
                </w14:textFill>
              </w:rPr>
              <w:t xml:space="preserve">　</w:t>
            </w:r>
            <w:r w:rsidRPr="00C65341">
              <w:t>%</w:t>
            </w:r>
          </w:p>
        </w:tc>
      </w:tr>
      <w:tr w:rsidR="00F91D9C" w:rsidRPr="008C328A" w14:paraId="14C1283D" w14:textId="77777777" w:rsidTr="7E0DBB7D">
        <w:tc>
          <w:tcPr>
            <w:tcW w:w="4678" w:type="dxa"/>
            <w:tcMar>
              <w:top w:w="0" w:type="dxa"/>
              <w:left w:w="28" w:type="dxa"/>
              <w:bottom w:w="0" w:type="dxa"/>
              <w:right w:w="28" w:type="dxa"/>
            </w:tcMar>
          </w:tcPr>
          <w:p w14:paraId="0E2E7B87" w14:textId="77777777" w:rsidR="00F91D9C" w:rsidRPr="008C328A" w:rsidRDefault="00F91D9C" w:rsidP="00873AF3">
            <w:pPr>
              <w:pStyle w:val="Tabletext0"/>
              <w:ind w:left="114"/>
            </w:pPr>
            <w:r w:rsidRPr="008C328A">
              <w:t>Based on 2023-24 NBA data:</w:t>
            </w:r>
          </w:p>
          <w:p w14:paraId="28459D98" w14:textId="6F9E54E1" w:rsidR="00F91D9C" w:rsidRPr="00857325" w:rsidRDefault="00F91D9C" w:rsidP="00873AF3">
            <w:pPr>
              <w:pStyle w:val="Tabletext0"/>
              <w:numPr>
                <w:ilvl w:val="0"/>
                <w:numId w:val="11"/>
              </w:numPr>
              <w:ind w:left="114" w:firstLine="147"/>
            </w:pPr>
            <w:r w:rsidRPr="008C328A">
              <w:t xml:space="preserve"> </w:t>
            </w:r>
            <w:r w:rsidRPr="00857325">
              <w:t>$</w:t>
            </w:r>
            <w:r w:rsidR="00B166C9" w:rsidRPr="00A137D7">
              <w:rPr>
                <w:color w:val="000000"/>
                <w:spacing w:val="79"/>
                <w:shd w:val="solid" w:color="000000" w:fill="000000"/>
                <w:fitText w:val="410" w:id="-656192512"/>
                <w14:textFill>
                  <w14:solidFill>
                    <w14:srgbClr w14:val="000000">
                      <w14:alpha w14:val="100000"/>
                    </w14:srgbClr>
                  </w14:solidFill>
                </w14:textFill>
              </w:rPr>
              <w:t>|||</w:t>
            </w:r>
            <w:r w:rsidR="00B166C9" w:rsidRPr="00A137D7">
              <w:rPr>
                <w:color w:val="000000"/>
                <w:spacing w:val="3"/>
                <w:shd w:val="solid" w:color="000000" w:fill="000000"/>
                <w:fitText w:val="410" w:id="-656192512"/>
                <w14:textFill>
                  <w14:solidFill>
                    <w14:srgbClr w14:val="000000">
                      <w14:alpha w14:val="100000"/>
                    </w14:srgbClr>
                  </w14:solidFill>
                </w14:textFill>
              </w:rPr>
              <w:t>|</w:t>
            </w:r>
            <w:r w:rsidR="00B166C9">
              <w:t xml:space="preserve"> </w:t>
            </w:r>
            <w:r w:rsidRPr="00857325">
              <w:t>per gram</w:t>
            </w:r>
          </w:p>
          <w:p w14:paraId="11BBA8DD" w14:textId="77777777" w:rsidR="00F91D9C" w:rsidRPr="00857325" w:rsidRDefault="00F91D9C" w:rsidP="00873AF3">
            <w:pPr>
              <w:pStyle w:val="Tabletext0"/>
              <w:numPr>
                <w:ilvl w:val="0"/>
                <w:numId w:val="11"/>
              </w:numPr>
              <w:ind w:left="114" w:firstLine="147"/>
            </w:pPr>
            <w:r w:rsidRPr="00857325">
              <w:t>Average of 541.1 grams per year</w:t>
            </w:r>
          </w:p>
          <w:p w14:paraId="6749D530" w14:textId="77777777" w:rsidR="00F91D9C" w:rsidRPr="00857325" w:rsidRDefault="00F91D9C" w:rsidP="00873AF3">
            <w:pPr>
              <w:pStyle w:val="Tabletext0"/>
              <w:numPr>
                <w:ilvl w:val="0"/>
                <w:numId w:val="11"/>
              </w:numPr>
              <w:ind w:left="114" w:firstLine="147"/>
            </w:pPr>
            <w:r w:rsidRPr="00857325">
              <w:t xml:space="preserve">Average of 15.7 doses per year </w:t>
            </w:r>
          </w:p>
          <w:p w14:paraId="593E5495" w14:textId="5D20CE88" w:rsidR="00F91D9C" w:rsidRPr="008C328A" w:rsidRDefault="00F91D9C" w:rsidP="00873AF3">
            <w:pPr>
              <w:pStyle w:val="Tabletext0"/>
              <w:numPr>
                <w:ilvl w:val="0"/>
                <w:numId w:val="11"/>
              </w:numPr>
              <w:ind w:left="114" w:firstLine="147"/>
            </w:pPr>
            <w:r w:rsidRPr="008C328A">
              <w:t xml:space="preserve">Without </w:t>
            </w:r>
            <w:r w:rsidR="00D63E16" w:rsidRPr="001F425E">
              <w:rPr>
                <w:rFonts w:hint="eastAsia"/>
                <w:color w:val="000000"/>
                <w:w w:val="15"/>
                <w:shd w:val="solid" w:color="000000" w:fill="000000"/>
                <w:fitText w:val="62" w:id="-691363323"/>
                <w14:textFill>
                  <w14:solidFill>
                    <w14:srgbClr w14:val="000000">
                      <w14:alpha w14:val="100000"/>
                    </w14:srgbClr>
                  </w14:solidFill>
                </w14:textFill>
              </w:rPr>
              <w:t xml:space="preserve">　</w:t>
            </w:r>
            <w:r w:rsidR="00D63E16" w:rsidRPr="001F425E">
              <w:rPr>
                <w:color w:val="000000"/>
                <w:w w:val="15"/>
                <w:shd w:val="solid" w:color="000000" w:fill="000000"/>
                <w:fitText w:val="62" w:id="-691363323"/>
                <w14:textFill>
                  <w14:solidFill>
                    <w14:srgbClr w14:val="000000">
                      <w14:alpha w14:val="100000"/>
                    </w14:srgbClr>
                  </w14:solidFill>
                </w14:textFill>
              </w:rPr>
              <w:t>|</w:t>
            </w:r>
            <w:r w:rsidR="00D63E16" w:rsidRPr="001F425E">
              <w:rPr>
                <w:rFonts w:hint="eastAsia"/>
                <w:color w:val="000000"/>
                <w:w w:val="15"/>
                <w:shd w:val="solid" w:color="000000" w:fill="000000"/>
                <w:fitText w:val="62" w:id="-691363323"/>
                <w14:textFill>
                  <w14:solidFill>
                    <w14:srgbClr w14:val="000000">
                      <w14:alpha w14:val="100000"/>
                    </w14:srgbClr>
                  </w14:solidFill>
                </w14:textFill>
              </w:rPr>
              <w:t xml:space="preserve">　</w:t>
            </w:r>
            <w:r w:rsidRPr="001B264A">
              <w:t>%</w:t>
            </w:r>
            <w:r w:rsidRPr="008C328A">
              <w:t xml:space="preserve"> price premium</w:t>
            </w:r>
          </w:p>
        </w:tc>
        <w:tc>
          <w:tcPr>
            <w:tcW w:w="1087" w:type="dxa"/>
            <w:tcMar>
              <w:top w:w="0" w:type="dxa"/>
              <w:left w:w="108" w:type="dxa"/>
              <w:bottom w:w="0" w:type="dxa"/>
              <w:right w:w="108" w:type="dxa"/>
            </w:tcMar>
            <w:vAlign w:val="center"/>
          </w:tcPr>
          <w:p w14:paraId="473FC6E0" w14:textId="2D1554F5" w:rsidR="00F91D9C" w:rsidRPr="00857325" w:rsidRDefault="00001B95" w:rsidP="00873AF3">
            <w:pPr>
              <w:pStyle w:val="Tabletext0"/>
              <w:ind w:left="114"/>
              <w:jc w:val="center"/>
            </w:pPr>
            <w:r w:rsidRPr="00857325">
              <w:t>$</w:t>
            </w:r>
            <w:r w:rsidR="00027A85" w:rsidRPr="00A137D7">
              <w:rPr>
                <w:color w:val="000000"/>
                <w:spacing w:val="53"/>
                <w:shd w:val="solid" w:color="000000" w:fill="000000"/>
                <w:fitText w:val="330" w:id="-656193266"/>
                <w14:textFill>
                  <w14:solidFill>
                    <w14:srgbClr w14:val="000000">
                      <w14:alpha w14:val="100000"/>
                    </w14:srgbClr>
                  </w14:solidFill>
                </w14:textFill>
              </w:rPr>
              <w:t>|||</w:t>
            </w:r>
            <w:r w:rsidR="00027A85" w:rsidRPr="00A137D7">
              <w:rPr>
                <w:color w:val="000000"/>
                <w:spacing w:val="1"/>
                <w:shd w:val="solid" w:color="000000" w:fill="000000"/>
                <w:fitText w:val="330" w:id="-656193266"/>
                <w14:textFill>
                  <w14:solidFill>
                    <w14:srgbClr w14:val="000000">
                      <w14:alpha w14:val="100000"/>
                    </w14:srgbClr>
                  </w14:solidFill>
                </w14:textFill>
              </w:rPr>
              <w:t>|</w:t>
            </w:r>
          </w:p>
        </w:tc>
        <w:tc>
          <w:tcPr>
            <w:tcW w:w="1088" w:type="dxa"/>
            <w:tcMar>
              <w:top w:w="0" w:type="dxa"/>
              <w:left w:w="108" w:type="dxa"/>
              <w:bottom w:w="0" w:type="dxa"/>
              <w:right w:w="108" w:type="dxa"/>
            </w:tcMar>
            <w:vAlign w:val="center"/>
          </w:tcPr>
          <w:p w14:paraId="74BD5BAF" w14:textId="62E1618E" w:rsidR="00F91D9C" w:rsidRPr="00857325" w:rsidRDefault="00001B95" w:rsidP="00873AF3">
            <w:pPr>
              <w:pStyle w:val="Tabletext0"/>
              <w:ind w:left="114"/>
              <w:jc w:val="center"/>
            </w:pPr>
            <w:r w:rsidRPr="00857325">
              <w:t>$</w:t>
            </w:r>
            <w:r w:rsidR="00027A85" w:rsidRPr="00A137D7">
              <w:rPr>
                <w:color w:val="000000"/>
                <w:spacing w:val="53"/>
                <w:shd w:val="solid" w:color="000000" w:fill="000000"/>
                <w:fitText w:val="330" w:id="-656193265"/>
                <w14:textFill>
                  <w14:solidFill>
                    <w14:srgbClr w14:val="000000">
                      <w14:alpha w14:val="100000"/>
                    </w14:srgbClr>
                  </w14:solidFill>
                </w14:textFill>
              </w:rPr>
              <w:t>|||</w:t>
            </w:r>
            <w:r w:rsidR="00027A85" w:rsidRPr="00A137D7">
              <w:rPr>
                <w:color w:val="000000"/>
                <w:spacing w:val="1"/>
                <w:shd w:val="solid" w:color="000000" w:fill="000000"/>
                <w:fitText w:val="330" w:id="-656193265"/>
                <w14:textFill>
                  <w14:solidFill>
                    <w14:srgbClr w14:val="000000">
                      <w14:alpha w14:val="100000"/>
                    </w14:srgbClr>
                  </w14:solidFill>
                </w14:textFill>
              </w:rPr>
              <w:t>|</w:t>
            </w:r>
          </w:p>
        </w:tc>
        <w:tc>
          <w:tcPr>
            <w:tcW w:w="1088" w:type="dxa"/>
            <w:tcMar>
              <w:top w:w="0" w:type="dxa"/>
              <w:left w:w="108" w:type="dxa"/>
              <w:bottom w:w="0" w:type="dxa"/>
              <w:right w:w="108" w:type="dxa"/>
            </w:tcMar>
            <w:vAlign w:val="center"/>
          </w:tcPr>
          <w:p w14:paraId="1F734063" w14:textId="75F6E6A8" w:rsidR="00F91D9C" w:rsidRPr="00857325" w:rsidRDefault="00DE58B0" w:rsidP="00873AF3">
            <w:pPr>
              <w:pStyle w:val="Tabletext0"/>
              <w:ind w:left="114"/>
              <w:jc w:val="center"/>
            </w:pPr>
            <w:r w:rsidRPr="00857325">
              <w:t>$</w:t>
            </w:r>
            <w:r w:rsidR="00027A85" w:rsidRPr="00A137D7">
              <w:rPr>
                <w:color w:val="000000"/>
                <w:spacing w:val="53"/>
                <w:shd w:val="solid" w:color="000000" w:fill="000000"/>
                <w:fitText w:val="330" w:id="-656193264"/>
                <w14:textFill>
                  <w14:solidFill>
                    <w14:srgbClr w14:val="000000">
                      <w14:alpha w14:val="100000"/>
                    </w14:srgbClr>
                  </w14:solidFill>
                </w14:textFill>
              </w:rPr>
              <w:t>|||</w:t>
            </w:r>
            <w:r w:rsidR="00027A85" w:rsidRPr="00A137D7">
              <w:rPr>
                <w:color w:val="000000"/>
                <w:spacing w:val="1"/>
                <w:shd w:val="solid" w:color="000000" w:fill="000000"/>
                <w:fitText w:val="330" w:id="-656193264"/>
                <w14:textFill>
                  <w14:solidFill>
                    <w14:srgbClr w14:val="000000">
                      <w14:alpha w14:val="100000"/>
                    </w14:srgbClr>
                  </w14:solidFill>
                </w14:textFill>
              </w:rPr>
              <w:t>|</w:t>
            </w:r>
          </w:p>
        </w:tc>
        <w:tc>
          <w:tcPr>
            <w:tcW w:w="1088" w:type="dxa"/>
            <w:vAlign w:val="center"/>
          </w:tcPr>
          <w:p w14:paraId="2379DA87" w14:textId="285EF514" w:rsidR="00F91D9C" w:rsidRPr="00C65341" w:rsidRDefault="00A5246B" w:rsidP="00873AF3">
            <w:pPr>
              <w:pStyle w:val="Tabletext0"/>
              <w:ind w:left="114"/>
              <w:jc w:val="center"/>
            </w:pPr>
            <w:r w:rsidRPr="00C65341">
              <w:t>-</w:t>
            </w:r>
            <w:r w:rsidR="00D63E16" w:rsidRPr="004030DB">
              <w:rPr>
                <w:rFonts w:hint="eastAsia"/>
                <w:color w:val="000000"/>
                <w:w w:val="15"/>
                <w:shd w:val="solid" w:color="000000" w:fill="000000"/>
                <w:fitText w:val="50" w:id="-691363322"/>
                <w14:textFill>
                  <w14:solidFill>
                    <w14:srgbClr w14:val="000000">
                      <w14:alpha w14:val="100000"/>
                    </w14:srgbClr>
                  </w14:solidFill>
                </w14:textFill>
              </w:rPr>
              <w:t xml:space="preserve">　</w:t>
            </w:r>
            <w:r w:rsidR="00D63E16" w:rsidRPr="004030DB">
              <w:rPr>
                <w:color w:val="000000"/>
                <w:w w:val="15"/>
                <w:shd w:val="solid" w:color="000000" w:fill="000000"/>
                <w:fitText w:val="50" w:id="-691363322"/>
                <w14:textFill>
                  <w14:solidFill>
                    <w14:srgbClr w14:val="000000">
                      <w14:alpha w14:val="100000"/>
                    </w14:srgbClr>
                  </w14:solidFill>
                </w14:textFill>
              </w:rPr>
              <w:t>|</w:t>
            </w:r>
            <w:r w:rsidR="00D63E16" w:rsidRPr="004030DB">
              <w:rPr>
                <w:rFonts w:hint="eastAsia"/>
                <w:color w:val="000000"/>
                <w:spacing w:val="-15"/>
                <w:w w:val="15"/>
                <w:shd w:val="solid" w:color="000000" w:fill="000000"/>
                <w:fitText w:val="50" w:id="-691363322"/>
                <w14:textFill>
                  <w14:solidFill>
                    <w14:srgbClr w14:val="000000">
                      <w14:alpha w14:val="100000"/>
                    </w14:srgbClr>
                  </w14:solidFill>
                </w14:textFill>
              </w:rPr>
              <w:t xml:space="preserve">　</w:t>
            </w:r>
            <w:r w:rsidRPr="00C65341">
              <w:t>%</w:t>
            </w:r>
          </w:p>
        </w:tc>
      </w:tr>
      <w:tr w:rsidR="006E0931" w:rsidRPr="008C328A" w14:paraId="21BD3274" w14:textId="77777777" w:rsidTr="7E0DBB7D">
        <w:tc>
          <w:tcPr>
            <w:tcW w:w="9029" w:type="dxa"/>
            <w:gridSpan w:val="5"/>
            <w:tcMar>
              <w:top w:w="0" w:type="dxa"/>
              <w:left w:w="28" w:type="dxa"/>
              <w:bottom w:w="0" w:type="dxa"/>
              <w:right w:w="28" w:type="dxa"/>
            </w:tcMar>
          </w:tcPr>
          <w:p w14:paraId="39D0FE6B" w14:textId="054FEBB0" w:rsidR="006E0931" w:rsidRPr="008C328A" w:rsidRDefault="5A697E06" w:rsidP="00873AF3">
            <w:pPr>
              <w:pStyle w:val="Tabletext0"/>
              <w:ind w:left="114"/>
              <w:rPr>
                <w:b/>
                <w:bCs/>
              </w:rPr>
            </w:pPr>
            <w:r w:rsidRPr="008C328A">
              <w:rPr>
                <w:b/>
                <w:bCs/>
              </w:rPr>
              <w:t>Annualised rozanolixizumab utilisation (base case</w:t>
            </w:r>
            <w:r w:rsidRPr="00857325">
              <w:rPr>
                <w:b/>
                <w:bCs/>
              </w:rPr>
              <w:t>: 17.8 infusions based on 3.4 cycles per year with 5.24 infusions cycle using post hoc analysis of the MycarinG trial and interim data from the MG0007 extension study</w:t>
            </w:r>
            <w:r w:rsidRPr="008C328A">
              <w:rPr>
                <w:b/>
                <w:bCs/>
              </w:rPr>
              <w:t>)</w:t>
            </w:r>
          </w:p>
        </w:tc>
      </w:tr>
      <w:tr w:rsidR="006E0931" w:rsidRPr="008C328A" w14:paraId="5AC3C64D" w14:textId="77777777" w:rsidTr="7E0DBB7D">
        <w:tc>
          <w:tcPr>
            <w:tcW w:w="4678" w:type="dxa"/>
            <w:tcMar>
              <w:top w:w="0" w:type="dxa"/>
              <w:left w:w="28" w:type="dxa"/>
              <w:bottom w:w="0" w:type="dxa"/>
              <w:right w:w="28" w:type="dxa"/>
            </w:tcMar>
          </w:tcPr>
          <w:p w14:paraId="72454EF9" w14:textId="77777777" w:rsidR="006E0931" w:rsidRPr="00857325" w:rsidRDefault="5A697E06" w:rsidP="00873AF3">
            <w:pPr>
              <w:pStyle w:val="Tabletext0"/>
              <w:ind w:left="114"/>
            </w:pPr>
            <w:r w:rsidRPr="00857325">
              <w:t>Annualised infusions from final MG0007 study report (rozanolixizumab total: 19.90 infusions)</w:t>
            </w:r>
          </w:p>
        </w:tc>
        <w:tc>
          <w:tcPr>
            <w:tcW w:w="1087" w:type="dxa"/>
            <w:tcMar>
              <w:top w:w="0" w:type="dxa"/>
              <w:left w:w="108" w:type="dxa"/>
              <w:bottom w:w="0" w:type="dxa"/>
              <w:right w:w="108" w:type="dxa"/>
            </w:tcMar>
            <w:vAlign w:val="center"/>
          </w:tcPr>
          <w:p w14:paraId="67F3A78E" w14:textId="077409E2" w:rsidR="006E0931" w:rsidRPr="00857325" w:rsidRDefault="006E0931" w:rsidP="00873AF3">
            <w:pPr>
              <w:pStyle w:val="Tabletext0"/>
              <w:ind w:left="114"/>
              <w:jc w:val="center"/>
              <w:rPr>
                <w:szCs w:val="20"/>
              </w:rPr>
            </w:pPr>
            <w:r w:rsidRPr="00857325">
              <w:rPr>
                <w:szCs w:val="20"/>
              </w:rPr>
              <w:t>$</w:t>
            </w:r>
            <w:r w:rsidR="00027A85" w:rsidRPr="00A137D7">
              <w:rPr>
                <w:color w:val="000000"/>
                <w:spacing w:val="53"/>
                <w:szCs w:val="20"/>
                <w:shd w:val="solid" w:color="000000" w:fill="000000"/>
                <w:fitText w:val="330" w:id="-656193280"/>
                <w14:textFill>
                  <w14:solidFill>
                    <w14:srgbClr w14:val="000000">
                      <w14:alpha w14:val="100000"/>
                    </w14:srgbClr>
                  </w14:solidFill>
                </w14:textFill>
              </w:rPr>
              <w:t>|||</w:t>
            </w:r>
            <w:r w:rsidR="00027A85" w:rsidRPr="00A137D7">
              <w:rPr>
                <w:color w:val="000000"/>
                <w:spacing w:val="1"/>
                <w:szCs w:val="20"/>
                <w:shd w:val="solid" w:color="000000" w:fill="000000"/>
                <w:fitText w:val="330" w:id="-656193280"/>
                <w14:textFill>
                  <w14:solidFill>
                    <w14:srgbClr w14:val="000000">
                      <w14:alpha w14:val="100000"/>
                    </w14:srgbClr>
                  </w14:solidFill>
                </w14:textFill>
              </w:rPr>
              <w:t>|</w:t>
            </w:r>
          </w:p>
        </w:tc>
        <w:tc>
          <w:tcPr>
            <w:tcW w:w="1088" w:type="dxa"/>
            <w:tcMar>
              <w:top w:w="0" w:type="dxa"/>
              <w:left w:w="108" w:type="dxa"/>
              <w:bottom w:w="0" w:type="dxa"/>
              <w:right w:w="108" w:type="dxa"/>
            </w:tcMar>
            <w:vAlign w:val="center"/>
          </w:tcPr>
          <w:p w14:paraId="096FF198" w14:textId="6D2D7706" w:rsidR="006E0931" w:rsidRPr="008C328A" w:rsidRDefault="006E0931" w:rsidP="00873AF3">
            <w:pPr>
              <w:pStyle w:val="Tabletext0"/>
              <w:ind w:left="114"/>
              <w:jc w:val="center"/>
              <w:rPr>
                <w:szCs w:val="20"/>
              </w:rPr>
            </w:pPr>
            <w:r w:rsidRPr="008C328A">
              <w:rPr>
                <w:szCs w:val="20"/>
              </w:rPr>
              <w:t>$</w:t>
            </w:r>
            <w:r w:rsidR="00D63E16" w:rsidRPr="00D63E16">
              <w:rPr>
                <w:rFonts w:hint="eastAsia"/>
                <w:color w:val="000000"/>
                <w:w w:val="22"/>
                <w:szCs w:val="20"/>
                <w:shd w:val="solid" w:color="000000" w:fill="000000"/>
                <w:fitText w:val="101" w:id="-691363321"/>
                <w14:textFill>
                  <w14:solidFill>
                    <w14:srgbClr w14:val="000000">
                      <w14:alpha w14:val="100000"/>
                    </w14:srgbClr>
                  </w14:solidFill>
                </w14:textFill>
              </w:rPr>
              <w:t xml:space="preserve">　</w:t>
            </w:r>
            <w:r w:rsidR="00D63E16" w:rsidRPr="00D63E16">
              <w:rPr>
                <w:color w:val="000000"/>
                <w:w w:val="22"/>
                <w:szCs w:val="20"/>
                <w:shd w:val="solid" w:color="000000" w:fill="000000"/>
                <w:fitText w:val="101" w:id="-691363321"/>
                <w14:textFill>
                  <w14:solidFill>
                    <w14:srgbClr w14:val="000000">
                      <w14:alpha w14:val="100000"/>
                    </w14:srgbClr>
                  </w14:solidFill>
                </w14:textFill>
              </w:rPr>
              <w:t>|</w:t>
            </w:r>
            <w:r w:rsidR="00D63E16" w:rsidRPr="00D63E16">
              <w:rPr>
                <w:rFonts w:hint="eastAsia"/>
                <w:color w:val="000000"/>
                <w:spacing w:val="4"/>
                <w:w w:val="22"/>
                <w:szCs w:val="20"/>
                <w:shd w:val="solid" w:color="000000" w:fill="000000"/>
                <w:fitText w:val="101" w:id="-691363321"/>
                <w14:textFill>
                  <w14:solidFill>
                    <w14:srgbClr w14:val="000000">
                      <w14:alpha w14:val="100000"/>
                    </w14:srgbClr>
                  </w14:solidFill>
                </w14:textFill>
              </w:rPr>
              <w:t xml:space="preserve">　</w:t>
            </w:r>
          </w:p>
        </w:tc>
        <w:tc>
          <w:tcPr>
            <w:tcW w:w="1088" w:type="dxa"/>
            <w:tcMar>
              <w:top w:w="0" w:type="dxa"/>
              <w:left w:w="108" w:type="dxa"/>
              <w:bottom w:w="0" w:type="dxa"/>
              <w:right w:w="108" w:type="dxa"/>
            </w:tcMar>
            <w:vAlign w:val="center"/>
          </w:tcPr>
          <w:p w14:paraId="26940320" w14:textId="67FCD136" w:rsidR="006E0931" w:rsidRPr="008C328A" w:rsidRDefault="006E0931" w:rsidP="00873AF3">
            <w:pPr>
              <w:pStyle w:val="Tabletext0"/>
              <w:ind w:left="114"/>
              <w:jc w:val="center"/>
              <w:rPr>
                <w:szCs w:val="20"/>
              </w:rPr>
            </w:pPr>
            <w:r w:rsidRPr="008C328A">
              <w:rPr>
                <w:szCs w:val="20"/>
              </w:rPr>
              <w:t>$</w:t>
            </w:r>
            <w:r w:rsidR="00D63E16" w:rsidRPr="004030DB">
              <w:rPr>
                <w:rFonts w:hint="eastAsia"/>
                <w:color w:val="000000"/>
                <w:w w:val="22"/>
                <w:szCs w:val="20"/>
                <w:shd w:val="solid" w:color="000000" w:fill="000000"/>
                <w:fitText w:val="100" w:id="-691363320"/>
                <w14:textFill>
                  <w14:solidFill>
                    <w14:srgbClr w14:val="000000">
                      <w14:alpha w14:val="100000"/>
                    </w14:srgbClr>
                  </w14:solidFill>
                </w14:textFill>
              </w:rPr>
              <w:t xml:space="preserve">　</w:t>
            </w:r>
            <w:r w:rsidR="00D63E16" w:rsidRPr="004030DB">
              <w:rPr>
                <w:color w:val="000000"/>
                <w:w w:val="22"/>
                <w:szCs w:val="20"/>
                <w:shd w:val="solid" w:color="000000" w:fill="000000"/>
                <w:fitText w:val="100" w:id="-691363320"/>
                <w14:textFill>
                  <w14:solidFill>
                    <w14:srgbClr w14:val="000000">
                      <w14:alpha w14:val="100000"/>
                    </w14:srgbClr>
                  </w14:solidFill>
                </w14:textFill>
              </w:rPr>
              <w:t>|</w:t>
            </w:r>
            <w:r w:rsidR="00D63E16" w:rsidRPr="004030DB">
              <w:rPr>
                <w:rFonts w:hint="eastAsia"/>
                <w:color w:val="000000"/>
                <w:w w:val="22"/>
                <w:szCs w:val="20"/>
                <w:shd w:val="solid" w:color="000000" w:fill="000000"/>
                <w:fitText w:val="100" w:id="-691363320"/>
                <w14:textFill>
                  <w14:solidFill>
                    <w14:srgbClr w14:val="000000">
                      <w14:alpha w14:val="100000"/>
                    </w14:srgbClr>
                  </w14:solidFill>
                </w14:textFill>
              </w:rPr>
              <w:t xml:space="preserve">　</w:t>
            </w:r>
          </w:p>
        </w:tc>
        <w:tc>
          <w:tcPr>
            <w:tcW w:w="1088" w:type="dxa"/>
            <w:vAlign w:val="center"/>
          </w:tcPr>
          <w:p w14:paraId="1748B13A" w14:textId="77777777" w:rsidR="006E0931" w:rsidRPr="00AF1973" w:rsidRDefault="006E0931" w:rsidP="00873AF3">
            <w:pPr>
              <w:pStyle w:val="Tabletext0"/>
              <w:ind w:left="114"/>
              <w:jc w:val="center"/>
            </w:pPr>
            <w:r w:rsidRPr="006A0F5C">
              <w:t>-11%</w:t>
            </w:r>
          </w:p>
        </w:tc>
      </w:tr>
      <w:tr w:rsidR="006E0931" w:rsidRPr="008C328A" w14:paraId="046109B5" w14:textId="77777777" w:rsidTr="7E0DBB7D">
        <w:tc>
          <w:tcPr>
            <w:tcW w:w="4678" w:type="dxa"/>
            <w:tcMar>
              <w:top w:w="0" w:type="dxa"/>
              <w:left w:w="28" w:type="dxa"/>
              <w:bottom w:w="0" w:type="dxa"/>
              <w:right w:w="28" w:type="dxa"/>
            </w:tcMar>
          </w:tcPr>
          <w:p w14:paraId="239B55B6" w14:textId="77777777" w:rsidR="006E0931" w:rsidRPr="00857325" w:rsidRDefault="006E0931" w:rsidP="00873AF3">
            <w:pPr>
              <w:pStyle w:val="Tabletext0"/>
              <w:ind w:left="114"/>
              <w:rPr>
                <w:szCs w:val="20"/>
              </w:rPr>
            </w:pPr>
            <w:r w:rsidRPr="00857325">
              <w:rPr>
                <w:szCs w:val="20"/>
              </w:rPr>
              <w:t>Annualised infusions assuming 9-week treatment break between cycles (3.46 cycles; 5.24 infusions per cycle; total: 18.13 infusions)</w:t>
            </w:r>
          </w:p>
        </w:tc>
        <w:tc>
          <w:tcPr>
            <w:tcW w:w="1087" w:type="dxa"/>
            <w:tcMar>
              <w:top w:w="0" w:type="dxa"/>
              <w:left w:w="108" w:type="dxa"/>
              <w:bottom w:w="0" w:type="dxa"/>
              <w:right w:w="108" w:type="dxa"/>
            </w:tcMar>
            <w:vAlign w:val="center"/>
          </w:tcPr>
          <w:p w14:paraId="1933E383" w14:textId="53812E5F" w:rsidR="006E0931" w:rsidRPr="00857325" w:rsidRDefault="006E0931" w:rsidP="00873AF3">
            <w:pPr>
              <w:pStyle w:val="Tabletext0"/>
              <w:ind w:left="114"/>
              <w:jc w:val="center"/>
              <w:rPr>
                <w:szCs w:val="20"/>
              </w:rPr>
            </w:pPr>
            <w:r w:rsidRPr="00857325">
              <w:rPr>
                <w:szCs w:val="20"/>
              </w:rPr>
              <w:t>$</w:t>
            </w:r>
            <w:r w:rsidR="00027A85" w:rsidRPr="00A137D7">
              <w:rPr>
                <w:color w:val="000000"/>
                <w:spacing w:val="53"/>
                <w:szCs w:val="20"/>
                <w:shd w:val="solid" w:color="000000" w:fill="000000"/>
                <w:fitText w:val="330" w:id="-656193279"/>
                <w14:textFill>
                  <w14:solidFill>
                    <w14:srgbClr w14:val="000000">
                      <w14:alpha w14:val="100000"/>
                    </w14:srgbClr>
                  </w14:solidFill>
                </w14:textFill>
              </w:rPr>
              <w:t>|||</w:t>
            </w:r>
            <w:r w:rsidR="00027A85" w:rsidRPr="00A137D7">
              <w:rPr>
                <w:color w:val="000000"/>
                <w:spacing w:val="1"/>
                <w:szCs w:val="20"/>
                <w:shd w:val="solid" w:color="000000" w:fill="000000"/>
                <w:fitText w:val="330" w:id="-656193279"/>
                <w14:textFill>
                  <w14:solidFill>
                    <w14:srgbClr w14:val="000000">
                      <w14:alpha w14:val="100000"/>
                    </w14:srgbClr>
                  </w14:solidFill>
                </w14:textFill>
              </w:rPr>
              <w:t>|</w:t>
            </w:r>
          </w:p>
        </w:tc>
        <w:tc>
          <w:tcPr>
            <w:tcW w:w="1088" w:type="dxa"/>
            <w:tcMar>
              <w:top w:w="0" w:type="dxa"/>
              <w:left w:w="108" w:type="dxa"/>
              <w:bottom w:w="0" w:type="dxa"/>
              <w:right w:w="108" w:type="dxa"/>
            </w:tcMar>
            <w:vAlign w:val="center"/>
          </w:tcPr>
          <w:p w14:paraId="76ABDB7F" w14:textId="3931F3B4" w:rsidR="006E0931" w:rsidRPr="008C328A" w:rsidRDefault="006E0931" w:rsidP="00873AF3">
            <w:pPr>
              <w:pStyle w:val="Tabletext0"/>
              <w:ind w:left="114"/>
              <w:jc w:val="center"/>
              <w:rPr>
                <w:szCs w:val="20"/>
              </w:rPr>
            </w:pPr>
            <w:r w:rsidRPr="008C328A">
              <w:rPr>
                <w:szCs w:val="20"/>
              </w:rPr>
              <w:t>$</w:t>
            </w:r>
            <w:r w:rsidR="00D63E16" w:rsidRPr="004030DB">
              <w:rPr>
                <w:rFonts w:hint="eastAsia"/>
                <w:color w:val="000000"/>
                <w:w w:val="22"/>
                <w:szCs w:val="20"/>
                <w:shd w:val="solid" w:color="000000" w:fill="000000"/>
                <w:fitText w:val="101" w:id="-691363319"/>
                <w14:textFill>
                  <w14:solidFill>
                    <w14:srgbClr w14:val="000000">
                      <w14:alpha w14:val="100000"/>
                    </w14:srgbClr>
                  </w14:solidFill>
                </w14:textFill>
              </w:rPr>
              <w:t xml:space="preserve">　</w:t>
            </w:r>
            <w:r w:rsidR="00D63E16" w:rsidRPr="004030DB">
              <w:rPr>
                <w:color w:val="000000"/>
                <w:w w:val="22"/>
                <w:szCs w:val="20"/>
                <w:shd w:val="solid" w:color="000000" w:fill="000000"/>
                <w:fitText w:val="101" w:id="-691363319"/>
                <w14:textFill>
                  <w14:solidFill>
                    <w14:srgbClr w14:val="000000">
                      <w14:alpha w14:val="100000"/>
                    </w14:srgbClr>
                  </w14:solidFill>
                </w14:textFill>
              </w:rPr>
              <w:t>|</w:t>
            </w:r>
            <w:r w:rsidR="00D63E16" w:rsidRPr="004030DB">
              <w:rPr>
                <w:rFonts w:hint="eastAsia"/>
                <w:color w:val="000000"/>
                <w:w w:val="22"/>
                <w:szCs w:val="20"/>
                <w:shd w:val="solid" w:color="000000" w:fill="000000"/>
                <w:fitText w:val="101" w:id="-691363319"/>
                <w14:textFill>
                  <w14:solidFill>
                    <w14:srgbClr w14:val="000000">
                      <w14:alpha w14:val="100000"/>
                    </w14:srgbClr>
                  </w14:solidFill>
                </w14:textFill>
              </w:rPr>
              <w:t xml:space="preserve">　</w:t>
            </w:r>
          </w:p>
        </w:tc>
        <w:tc>
          <w:tcPr>
            <w:tcW w:w="1088" w:type="dxa"/>
            <w:tcMar>
              <w:top w:w="0" w:type="dxa"/>
              <w:left w:w="108" w:type="dxa"/>
              <w:bottom w:w="0" w:type="dxa"/>
              <w:right w:w="108" w:type="dxa"/>
            </w:tcMar>
            <w:vAlign w:val="center"/>
          </w:tcPr>
          <w:p w14:paraId="3A109F35" w14:textId="582AF505" w:rsidR="006E0931" w:rsidRPr="008C328A" w:rsidRDefault="006E0931" w:rsidP="00873AF3">
            <w:pPr>
              <w:pStyle w:val="Tabletext0"/>
              <w:ind w:left="114"/>
              <w:jc w:val="center"/>
              <w:rPr>
                <w:szCs w:val="20"/>
              </w:rPr>
            </w:pPr>
            <w:r w:rsidRPr="008C328A">
              <w:rPr>
                <w:szCs w:val="20"/>
              </w:rPr>
              <w:t>$</w:t>
            </w:r>
            <w:r w:rsidR="00D63E16" w:rsidRPr="004030DB">
              <w:rPr>
                <w:rFonts w:hint="eastAsia"/>
                <w:color w:val="000000"/>
                <w:w w:val="22"/>
                <w:szCs w:val="20"/>
                <w:shd w:val="solid" w:color="000000" w:fill="000000"/>
                <w:fitText w:val="100" w:id="-691363318"/>
                <w14:textFill>
                  <w14:solidFill>
                    <w14:srgbClr w14:val="000000">
                      <w14:alpha w14:val="100000"/>
                    </w14:srgbClr>
                  </w14:solidFill>
                </w14:textFill>
              </w:rPr>
              <w:t xml:space="preserve">　</w:t>
            </w:r>
            <w:r w:rsidR="00D63E16" w:rsidRPr="004030DB">
              <w:rPr>
                <w:color w:val="000000"/>
                <w:w w:val="22"/>
                <w:szCs w:val="20"/>
                <w:shd w:val="solid" w:color="000000" w:fill="000000"/>
                <w:fitText w:val="100" w:id="-691363318"/>
                <w14:textFill>
                  <w14:solidFill>
                    <w14:srgbClr w14:val="000000">
                      <w14:alpha w14:val="100000"/>
                    </w14:srgbClr>
                  </w14:solidFill>
                </w14:textFill>
              </w:rPr>
              <w:t>|</w:t>
            </w:r>
            <w:r w:rsidR="00D63E16" w:rsidRPr="004030DB">
              <w:rPr>
                <w:rFonts w:hint="eastAsia"/>
                <w:color w:val="000000"/>
                <w:w w:val="22"/>
                <w:szCs w:val="20"/>
                <w:shd w:val="solid" w:color="000000" w:fill="000000"/>
                <w:fitText w:val="100" w:id="-691363318"/>
                <w14:textFill>
                  <w14:solidFill>
                    <w14:srgbClr w14:val="000000">
                      <w14:alpha w14:val="100000"/>
                    </w14:srgbClr>
                  </w14:solidFill>
                </w14:textFill>
              </w:rPr>
              <w:t xml:space="preserve">　</w:t>
            </w:r>
          </w:p>
        </w:tc>
        <w:tc>
          <w:tcPr>
            <w:tcW w:w="1088" w:type="dxa"/>
            <w:vAlign w:val="center"/>
          </w:tcPr>
          <w:p w14:paraId="2AB888B3" w14:textId="77777777" w:rsidR="006E0931" w:rsidRPr="00AF1973" w:rsidRDefault="006E0931" w:rsidP="00873AF3">
            <w:pPr>
              <w:pStyle w:val="Tabletext0"/>
              <w:ind w:left="114"/>
              <w:jc w:val="center"/>
            </w:pPr>
            <w:r w:rsidRPr="00AF1973">
              <w:t>-2%</w:t>
            </w:r>
          </w:p>
        </w:tc>
      </w:tr>
      <w:tr w:rsidR="006E0931" w:rsidRPr="008C328A" w14:paraId="3F93BDED" w14:textId="77777777" w:rsidTr="7E0DBB7D">
        <w:tc>
          <w:tcPr>
            <w:tcW w:w="4678" w:type="dxa"/>
            <w:tcMar>
              <w:top w:w="0" w:type="dxa"/>
              <w:left w:w="28" w:type="dxa"/>
              <w:bottom w:w="0" w:type="dxa"/>
              <w:right w:w="28" w:type="dxa"/>
            </w:tcMar>
          </w:tcPr>
          <w:p w14:paraId="070E79BA" w14:textId="77777777" w:rsidR="006E0931" w:rsidRPr="00857325" w:rsidRDefault="006E0931" w:rsidP="00873AF3">
            <w:pPr>
              <w:pStyle w:val="Tabletext0"/>
              <w:ind w:left="114"/>
              <w:rPr>
                <w:szCs w:val="20"/>
              </w:rPr>
            </w:pPr>
            <w:r w:rsidRPr="00857325">
              <w:rPr>
                <w:szCs w:val="20"/>
              </w:rPr>
              <w:t>Annualised infusions assuming 4-week treatment break between cycles (5.20 cycles; 5.24 infusions per cycle; total 27.25 infusions)</w:t>
            </w:r>
          </w:p>
        </w:tc>
        <w:tc>
          <w:tcPr>
            <w:tcW w:w="1087" w:type="dxa"/>
            <w:tcMar>
              <w:top w:w="0" w:type="dxa"/>
              <w:left w:w="108" w:type="dxa"/>
              <w:bottom w:w="0" w:type="dxa"/>
              <w:right w:w="108" w:type="dxa"/>
            </w:tcMar>
            <w:vAlign w:val="center"/>
          </w:tcPr>
          <w:p w14:paraId="516078AF" w14:textId="417DDE5F" w:rsidR="006E0931" w:rsidRPr="00857325" w:rsidRDefault="006E0931" w:rsidP="00873AF3">
            <w:pPr>
              <w:pStyle w:val="Tabletext0"/>
              <w:ind w:left="114"/>
              <w:jc w:val="center"/>
              <w:rPr>
                <w:szCs w:val="20"/>
              </w:rPr>
            </w:pPr>
            <w:r w:rsidRPr="00857325">
              <w:rPr>
                <w:szCs w:val="20"/>
              </w:rPr>
              <w:t>$</w:t>
            </w:r>
            <w:r w:rsidR="00027A85" w:rsidRPr="00A137D7">
              <w:rPr>
                <w:color w:val="000000"/>
                <w:spacing w:val="53"/>
                <w:szCs w:val="20"/>
                <w:shd w:val="solid" w:color="000000" w:fill="000000"/>
                <w:fitText w:val="330" w:id="-656193278"/>
                <w14:textFill>
                  <w14:solidFill>
                    <w14:srgbClr w14:val="000000">
                      <w14:alpha w14:val="100000"/>
                    </w14:srgbClr>
                  </w14:solidFill>
                </w14:textFill>
              </w:rPr>
              <w:t>|||</w:t>
            </w:r>
            <w:r w:rsidR="00027A85" w:rsidRPr="00A137D7">
              <w:rPr>
                <w:color w:val="000000"/>
                <w:spacing w:val="1"/>
                <w:szCs w:val="20"/>
                <w:shd w:val="solid" w:color="000000" w:fill="000000"/>
                <w:fitText w:val="330" w:id="-656193278"/>
                <w14:textFill>
                  <w14:solidFill>
                    <w14:srgbClr w14:val="000000">
                      <w14:alpha w14:val="100000"/>
                    </w14:srgbClr>
                  </w14:solidFill>
                </w14:textFill>
              </w:rPr>
              <w:t>|</w:t>
            </w:r>
          </w:p>
        </w:tc>
        <w:tc>
          <w:tcPr>
            <w:tcW w:w="1088" w:type="dxa"/>
            <w:tcMar>
              <w:top w:w="0" w:type="dxa"/>
              <w:left w:w="108" w:type="dxa"/>
              <w:bottom w:w="0" w:type="dxa"/>
              <w:right w:w="108" w:type="dxa"/>
            </w:tcMar>
            <w:vAlign w:val="center"/>
          </w:tcPr>
          <w:p w14:paraId="7D02C08A" w14:textId="02EB8533" w:rsidR="006E0931" w:rsidRPr="008C328A" w:rsidRDefault="006E0931" w:rsidP="00873AF3">
            <w:pPr>
              <w:pStyle w:val="Tabletext0"/>
              <w:ind w:left="114"/>
              <w:jc w:val="center"/>
              <w:rPr>
                <w:szCs w:val="20"/>
              </w:rPr>
            </w:pPr>
            <w:r w:rsidRPr="008C328A">
              <w:rPr>
                <w:szCs w:val="20"/>
              </w:rPr>
              <w:t>$</w:t>
            </w:r>
            <w:r w:rsidR="00D63E16" w:rsidRPr="00D63E16">
              <w:rPr>
                <w:rFonts w:hint="eastAsia"/>
                <w:color w:val="000000"/>
                <w:w w:val="22"/>
                <w:szCs w:val="20"/>
                <w:shd w:val="solid" w:color="000000" w:fill="000000"/>
                <w:fitText w:val="101" w:id="-691363317"/>
                <w14:textFill>
                  <w14:solidFill>
                    <w14:srgbClr w14:val="000000">
                      <w14:alpha w14:val="100000"/>
                    </w14:srgbClr>
                  </w14:solidFill>
                </w14:textFill>
              </w:rPr>
              <w:t xml:space="preserve">　</w:t>
            </w:r>
            <w:r w:rsidR="00D63E16" w:rsidRPr="00D63E16">
              <w:rPr>
                <w:color w:val="000000"/>
                <w:w w:val="22"/>
                <w:szCs w:val="20"/>
                <w:shd w:val="solid" w:color="000000" w:fill="000000"/>
                <w:fitText w:val="101" w:id="-691363317"/>
                <w14:textFill>
                  <w14:solidFill>
                    <w14:srgbClr w14:val="000000">
                      <w14:alpha w14:val="100000"/>
                    </w14:srgbClr>
                  </w14:solidFill>
                </w14:textFill>
              </w:rPr>
              <w:t>|</w:t>
            </w:r>
            <w:r w:rsidR="00D63E16" w:rsidRPr="00D63E16">
              <w:rPr>
                <w:rFonts w:hint="eastAsia"/>
                <w:color w:val="000000"/>
                <w:spacing w:val="4"/>
                <w:w w:val="22"/>
                <w:szCs w:val="20"/>
                <w:shd w:val="solid" w:color="000000" w:fill="000000"/>
                <w:fitText w:val="101" w:id="-691363317"/>
                <w14:textFill>
                  <w14:solidFill>
                    <w14:srgbClr w14:val="000000">
                      <w14:alpha w14:val="100000"/>
                    </w14:srgbClr>
                  </w14:solidFill>
                </w14:textFill>
              </w:rPr>
              <w:t xml:space="preserve">　</w:t>
            </w:r>
          </w:p>
        </w:tc>
        <w:tc>
          <w:tcPr>
            <w:tcW w:w="1088" w:type="dxa"/>
            <w:tcMar>
              <w:top w:w="0" w:type="dxa"/>
              <w:left w:w="108" w:type="dxa"/>
              <w:bottom w:w="0" w:type="dxa"/>
              <w:right w:w="108" w:type="dxa"/>
            </w:tcMar>
            <w:vAlign w:val="center"/>
          </w:tcPr>
          <w:p w14:paraId="6DA16EB5" w14:textId="4F1D0974" w:rsidR="006E0931" w:rsidRPr="008C328A" w:rsidRDefault="006E0931" w:rsidP="00873AF3">
            <w:pPr>
              <w:pStyle w:val="Tabletext0"/>
              <w:ind w:left="114"/>
              <w:jc w:val="center"/>
              <w:rPr>
                <w:szCs w:val="20"/>
              </w:rPr>
            </w:pPr>
            <w:r w:rsidRPr="008C328A">
              <w:rPr>
                <w:szCs w:val="20"/>
              </w:rPr>
              <w:t>$</w:t>
            </w:r>
            <w:r w:rsidR="00D63E16" w:rsidRPr="004030DB">
              <w:rPr>
                <w:rFonts w:hint="eastAsia"/>
                <w:color w:val="000000"/>
                <w:w w:val="22"/>
                <w:szCs w:val="20"/>
                <w:shd w:val="solid" w:color="000000" w:fill="000000"/>
                <w:fitText w:val="100" w:id="-691363316"/>
                <w14:textFill>
                  <w14:solidFill>
                    <w14:srgbClr w14:val="000000">
                      <w14:alpha w14:val="100000"/>
                    </w14:srgbClr>
                  </w14:solidFill>
                </w14:textFill>
              </w:rPr>
              <w:t xml:space="preserve">　</w:t>
            </w:r>
            <w:r w:rsidR="00D63E16" w:rsidRPr="004030DB">
              <w:rPr>
                <w:color w:val="000000"/>
                <w:w w:val="22"/>
                <w:szCs w:val="20"/>
                <w:shd w:val="solid" w:color="000000" w:fill="000000"/>
                <w:fitText w:val="100" w:id="-691363316"/>
                <w14:textFill>
                  <w14:solidFill>
                    <w14:srgbClr w14:val="000000">
                      <w14:alpha w14:val="100000"/>
                    </w14:srgbClr>
                  </w14:solidFill>
                </w14:textFill>
              </w:rPr>
              <w:t>|</w:t>
            </w:r>
            <w:r w:rsidR="00D63E16" w:rsidRPr="004030DB">
              <w:rPr>
                <w:rFonts w:hint="eastAsia"/>
                <w:color w:val="000000"/>
                <w:w w:val="22"/>
                <w:szCs w:val="20"/>
                <w:shd w:val="solid" w:color="000000" w:fill="000000"/>
                <w:fitText w:val="100" w:id="-691363316"/>
                <w14:textFill>
                  <w14:solidFill>
                    <w14:srgbClr w14:val="000000">
                      <w14:alpha w14:val="100000"/>
                    </w14:srgbClr>
                  </w14:solidFill>
                </w14:textFill>
              </w:rPr>
              <w:t xml:space="preserve">　</w:t>
            </w:r>
          </w:p>
        </w:tc>
        <w:tc>
          <w:tcPr>
            <w:tcW w:w="1088" w:type="dxa"/>
            <w:vAlign w:val="center"/>
          </w:tcPr>
          <w:p w14:paraId="65210A44" w14:textId="77777777" w:rsidR="006E0931" w:rsidRPr="00AF1973" w:rsidRDefault="006E0931" w:rsidP="00873AF3">
            <w:pPr>
              <w:pStyle w:val="Tabletext0"/>
              <w:ind w:left="114"/>
              <w:jc w:val="center"/>
            </w:pPr>
            <w:r w:rsidRPr="00AF1973">
              <w:t>-36%</w:t>
            </w:r>
          </w:p>
        </w:tc>
      </w:tr>
      <w:tr w:rsidR="006E0931" w:rsidRPr="008C328A" w14:paraId="29AE9BA5" w14:textId="77777777" w:rsidTr="7E0DBB7D">
        <w:tc>
          <w:tcPr>
            <w:tcW w:w="9029" w:type="dxa"/>
            <w:gridSpan w:val="5"/>
            <w:tcMar>
              <w:top w:w="0" w:type="dxa"/>
              <w:left w:w="28" w:type="dxa"/>
              <w:bottom w:w="0" w:type="dxa"/>
              <w:right w:w="28" w:type="dxa"/>
            </w:tcMar>
          </w:tcPr>
          <w:p w14:paraId="21EA042B" w14:textId="3B39F9AA" w:rsidR="006E0931" w:rsidRPr="008C328A" w:rsidRDefault="006E0931" w:rsidP="00873AF3">
            <w:pPr>
              <w:pStyle w:val="Tabletext0"/>
              <w:ind w:left="114"/>
              <w:rPr>
                <w:b/>
                <w:lang w:val="en-GB"/>
              </w:rPr>
            </w:pPr>
            <w:r w:rsidRPr="008C328A">
              <w:rPr>
                <w:b/>
                <w:lang w:val="en-GB"/>
              </w:rPr>
              <w:t xml:space="preserve">Cost of rozanolixizumab (base case: cost-minimised price versus IVIg with </w:t>
            </w:r>
            <w:r w:rsidR="00D63E16" w:rsidRPr="00A137D7">
              <w:rPr>
                <w:b/>
                <w:color w:val="000000"/>
                <w:spacing w:val="50"/>
                <w:shd w:val="solid" w:color="000000" w:fill="000000"/>
                <w:fitText w:val="238" w:id="-691363315"/>
                <w:lang w:val="en-GB"/>
                <w14:textFill>
                  <w14:solidFill>
                    <w14:srgbClr w14:val="000000">
                      <w14:alpha w14:val="100000"/>
                    </w14:srgbClr>
                  </w14:solidFill>
                </w14:textFill>
              </w:rPr>
              <w:t>||</w:t>
            </w:r>
            <w:r w:rsidR="00D63E16" w:rsidRPr="00A137D7">
              <w:rPr>
                <w:b/>
                <w:color w:val="000000"/>
                <w:spacing w:val="1"/>
                <w:shd w:val="solid" w:color="000000" w:fill="000000"/>
                <w:fitText w:val="238" w:id="-691363315"/>
                <w:lang w:val="en-GB"/>
                <w14:textFill>
                  <w14:solidFill>
                    <w14:srgbClr w14:val="000000">
                      <w14:alpha w14:val="100000"/>
                    </w14:srgbClr>
                  </w14:solidFill>
                </w14:textFill>
              </w:rPr>
              <w:t>|</w:t>
            </w:r>
            <w:r w:rsidRPr="008C328A">
              <w:rPr>
                <w:b/>
                <w:lang w:val="en-GB"/>
              </w:rPr>
              <w:t>% premium)</w:t>
            </w:r>
          </w:p>
        </w:tc>
      </w:tr>
      <w:tr w:rsidR="006E0931" w:rsidRPr="008C328A" w14:paraId="636E0919" w14:textId="77777777" w:rsidTr="7E0DBB7D">
        <w:tc>
          <w:tcPr>
            <w:tcW w:w="4678" w:type="dxa"/>
            <w:tcMar>
              <w:top w:w="0" w:type="dxa"/>
              <w:left w:w="28" w:type="dxa"/>
              <w:bottom w:w="0" w:type="dxa"/>
              <w:right w:w="28" w:type="dxa"/>
            </w:tcMar>
          </w:tcPr>
          <w:p w14:paraId="2C166AD8" w14:textId="77777777" w:rsidR="006E0931" w:rsidRPr="008C328A" w:rsidRDefault="006E0931" w:rsidP="00873AF3">
            <w:pPr>
              <w:pStyle w:val="Tabletext0"/>
              <w:ind w:left="114"/>
              <w:rPr>
                <w:szCs w:val="20"/>
              </w:rPr>
            </w:pPr>
            <w:r w:rsidRPr="008C328A">
              <w:rPr>
                <w:szCs w:val="20"/>
              </w:rPr>
              <w:t>Cost minimised price with no premium</w:t>
            </w:r>
          </w:p>
        </w:tc>
        <w:tc>
          <w:tcPr>
            <w:tcW w:w="1087" w:type="dxa"/>
            <w:tcMar>
              <w:top w:w="0" w:type="dxa"/>
              <w:left w:w="108" w:type="dxa"/>
              <w:bottom w:w="0" w:type="dxa"/>
              <w:right w:w="108" w:type="dxa"/>
            </w:tcMar>
          </w:tcPr>
          <w:p w14:paraId="730DAA45" w14:textId="11ABD4A1" w:rsidR="006E0931" w:rsidRPr="00637584" w:rsidRDefault="006E0931" w:rsidP="00873AF3">
            <w:pPr>
              <w:pStyle w:val="Tabletext0"/>
              <w:ind w:left="114"/>
              <w:jc w:val="center"/>
              <w:rPr>
                <w:szCs w:val="20"/>
                <w:highlight w:val="yellow"/>
              </w:rPr>
            </w:pPr>
            <w:r w:rsidRPr="00857325">
              <w:rPr>
                <w:szCs w:val="20"/>
              </w:rPr>
              <w:t>$</w:t>
            </w:r>
            <w:r w:rsidR="00027A85" w:rsidRPr="00A137D7">
              <w:rPr>
                <w:color w:val="000000"/>
                <w:spacing w:val="53"/>
                <w:szCs w:val="20"/>
                <w:shd w:val="solid" w:color="000000" w:fill="000000"/>
                <w:fitText w:val="330" w:id="-656193277"/>
                <w14:textFill>
                  <w14:solidFill>
                    <w14:srgbClr w14:val="000000">
                      <w14:alpha w14:val="100000"/>
                    </w14:srgbClr>
                  </w14:solidFill>
                </w14:textFill>
              </w:rPr>
              <w:t>|||</w:t>
            </w:r>
            <w:r w:rsidR="00027A85" w:rsidRPr="00A137D7">
              <w:rPr>
                <w:color w:val="000000"/>
                <w:spacing w:val="1"/>
                <w:szCs w:val="20"/>
                <w:shd w:val="solid" w:color="000000" w:fill="000000"/>
                <w:fitText w:val="330" w:id="-656193277"/>
                <w14:textFill>
                  <w14:solidFill>
                    <w14:srgbClr w14:val="000000">
                      <w14:alpha w14:val="100000"/>
                    </w14:srgbClr>
                  </w14:solidFill>
                </w14:textFill>
              </w:rPr>
              <w:t>|</w:t>
            </w:r>
          </w:p>
        </w:tc>
        <w:tc>
          <w:tcPr>
            <w:tcW w:w="1088" w:type="dxa"/>
            <w:tcMar>
              <w:top w:w="0" w:type="dxa"/>
              <w:left w:w="108" w:type="dxa"/>
              <w:bottom w:w="0" w:type="dxa"/>
              <w:right w:w="108" w:type="dxa"/>
            </w:tcMar>
          </w:tcPr>
          <w:p w14:paraId="6E4A160B" w14:textId="24D23C25" w:rsidR="006E0931" w:rsidRPr="00637584" w:rsidRDefault="006E0931" w:rsidP="00873AF3">
            <w:pPr>
              <w:pStyle w:val="Tabletext0"/>
              <w:ind w:left="114"/>
              <w:jc w:val="center"/>
              <w:rPr>
                <w:szCs w:val="20"/>
                <w:highlight w:val="yellow"/>
              </w:rPr>
            </w:pPr>
            <w:r w:rsidRPr="009023C1">
              <w:rPr>
                <w:szCs w:val="20"/>
              </w:rPr>
              <w:t>$</w:t>
            </w:r>
            <w:r w:rsidR="00D63E16" w:rsidRPr="004030DB">
              <w:rPr>
                <w:rFonts w:hint="eastAsia"/>
                <w:color w:val="000000"/>
                <w:w w:val="22"/>
                <w:szCs w:val="20"/>
                <w:shd w:val="solid" w:color="000000" w:fill="000000"/>
                <w:fitText w:val="101" w:id="-691363314"/>
                <w14:textFill>
                  <w14:solidFill>
                    <w14:srgbClr w14:val="000000">
                      <w14:alpha w14:val="100000"/>
                    </w14:srgbClr>
                  </w14:solidFill>
                </w14:textFill>
              </w:rPr>
              <w:t xml:space="preserve">　</w:t>
            </w:r>
            <w:r w:rsidR="00D63E16" w:rsidRPr="004030DB">
              <w:rPr>
                <w:color w:val="000000"/>
                <w:w w:val="22"/>
                <w:szCs w:val="20"/>
                <w:shd w:val="solid" w:color="000000" w:fill="000000"/>
                <w:fitText w:val="101" w:id="-691363314"/>
                <w14:textFill>
                  <w14:solidFill>
                    <w14:srgbClr w14:val="000000">
                      <w14:alpha w14:val="100000"/>
                    </w14:srgbClr>
                  </w14:solidFill>
                </w14:textFill>
              </w:rPr>
              <w:t>|</w:t>
            </w:r>
            <w:r w:rsidR="00D63E16" w:rsidRPr="004030DB">
              <w:rPr>
                <w:rFonts w:hint="eastAsia"/>
                <w:color w:val="000000"/>
                <w:w w:val="22"/>
                <w:szCs w:val="20"/>
                <w:shd w:val="solid" w:color="000000" w:fill="000000"/>
                <w:fitText w:val="101" w:id="-691363314"/>
                <w14:textFill>
                  <w14:solidFill>
                    <w14:srgbClr w14:val="000000">
                      <w14:alpha w14:val="100000"/>
                    </w14:srgbClr>
                  </w14:solidFill>
                </w14:textFill>
              </w:rPr>
              <w:t xml:space="preserve">　</w:t>
            </w:r>
          </w:p>
        </w:tc>
        <w:tc>
          <w:tcPr>
            <w:tcW w:w="1088" w:type="dxa"/>
            <w:tcMar>
              <w:top w:w="0" w:type="dxa"/>
              <w:left w:w="108" w:type="dxa"/>
              <w:bottom w:w="0" w:type="dxa"/>
              <w:right w:w="108" w:type="dxa"/>
            </w:tcMar>
          </w:tcPr>
          <w:p w14:paraId="2B3CA34D" w14:textId="6F08A53B" w:rsidR="006E0931" w:rsidRPr="00637584" w:rsidRDefault="006E0931" w:rsidP="00873AF3">
            <w:pPr>
              <w:pStyle w:val="Tabletext0"/>
              <w:ind w:left="114"/>
              <w:jc w:val="center"/>
              <w:rPr>
                <w:szCs w:val="20"/>
                <w:highlight w:val="yellow"/>
              </w:rPr>
            </w:pPr>
            <w:r w:rsidRPr="009023C1">
              <w:rPr>
                <w:szCs w:val="20"/>
              </w:rPr>
              <w:t>$</w:t>
            </w:r>
            <w:r w:rsidR="00D63E16" w:rsidRPr="004030DB">
              <w:rPr>
                <w:rFonts w:hint="eastAsia"/>
                <w:color w:val="000000"/>
                <w:w w:val="22"/>
                <w:szCs w:val="20"/>
                <w:shd w:val="solid" w:color="000000" w:fill="000000"/>
                <w:fitText w:val="100" w:id="-691363313"/>
                <w14:textFill>
                  <w14:solidFill>
                    <w14:srgbClr w14:val="000000">
                      <w14:alpha w14:val="100000"/>
                    </w14:srgbClr>
                  </w14:solidFill>
                </w14:textFill>
              </w:rPr>
              <w:t xml:space="preserve">　</w:t>
            </w:r>
            <w:r w:rsidR="00D63E16" w:rsidRPr="004030DB">
              <w:rPr>
                <w:color w:val="000000"/>
                <w:w w:val="22"/>
                <w:szCs w:val="20"/>
                <w:shd w:val="solid" w:color="000000" w:fill="000000"/>
                <w:fitText w:val="100" w:id="-691363313"/>
                <w14:textFill>
                  <w14:solidFill>
                    <w14:srgbClr w14:val="000000">
                      <w14:alpha w14:val="100000"/>
                    </w14:srgbClr>
                  </w14:solidFill>
                </w14:textFill>
              </w:rPr>
              <w:t>|</w:t>
            </w:r>
            <w:r w:rsidR="00D63E16" w:rsidRPr="004030DB">
              <w:rPr>
                <w:rFonts w:hint="eastAsia"/>
                <w:color w:val="000000"/>
                <w:w w:val="22"/>
                <w:szCs w:val="20"/>
                <w:shd w:val="solid" w:color="000000" w:fill="000000"/>
                <w:fitText w:val="100" w:id="-691363313"/>
                <w14:textFill>
                  <w14:solidFill>
                    <w14:srgbClr w14:val="000000">
                      <w14:alpha w14:val="100000"/>
                    </w14:srgbClr>
                  </w14:solidFill>
                </w14:textFill>
              </w:rPr>
              <w:t xml:space="preserve">　</w:t>
            </w:r>
          </w:p>
        </w:tc>
        <w:tc>
          <w:tcPr>
            <w:tcW w:w="1088" w:type="dxa"/>
          </w:tcPr>
          <w:p w14:paraId="50518BD3" w14:textId="21A9B5F4" w:rsidR="006E0931" w:rsidRPr="008C328A" w:rsidRDefault="006E0931" w:rsidP="00873AF3">
            <w:pPr>
              <w:pStyle w:val="Tabletext0"/>
              <w:ind w:left="114"/>
              <w:jc w:val="center"/>
            </w:pPr>
            <w:r w:rsidRPr="008C328A">
              <w:t>-</w:t>
            </w:r>
            <w:r w:rsidR="00D63E16" w:rsidRPr="00B166C9">
              <w:rPr>
                <w:rFonts w:hint="eastAsia"/>
                <w:color w:val="000000"/>
                <w:w w:val="15"/>
                <w:shd w:val="solid" w:color="000000" w:fill="000000"/>
                <w:fitText w:val="50" w:id="-691363312"/>
                <w14:textFill>
                  <w14:solidFill>
                    <w14:srgbClr w14:val="000000">
                      <w14:alpha w14:val="100000"/>
                    </w14:srgbClr>
                  </w14:solidFill>
                </w14:textFill>
              </w:rPr>
              <w:t xml:space="preserve">　</w:t>
            </w:r>
            <w:r w:rsidR="00D63E16" w:rsidRPr="00B166C9">
              <w:rPr>
                <w:color w:val="000000"/>
                <w:w w:val="15"/>
                <w:shd w:val="solid" w:color="000000" w:fill="000000"/>
                <w:fitText w:val="50" w:id="-691363312"/>
                <w14:textFill>
                  <w14:solidFill>
                    <w14:srgbClr w14:val="000000">
                      <w14:alpha w14:val="100000"/>
                    </w14:srgbClr>
                  </w14:solidFill>
                </w14:textFill>
              </w:rPr>
              <w:t>|</w:t>
            </w:r>
            <w:r w:rsidR="00D63E16" w:rsidRPr="00B166C9">
              <w:rPr>
                <w:rFonts w:hint="eastAsia"/>
                <w:color w:val="000000"/>
                <w:spacing w:val="-15"/>
                <w:w w:val="15"/>
                <w:shd w:val="solid" w:color="000000" w:fill="000000"/>
                <w:fitText w:val="50" w:id="-691363312"/>
                <w14:textFill>
                  <w14:solidFill>
                    <w14:srgbClr w14:val="000000">
                      <w14:alpha w14:val="100000"/>
                    </w14:srgbClr>
                  </w14:solidFill>
                </w14:textFill>
              </w:rPr>
              <w:t xml:space="preserve">　</w:t>
            </w:r>
            <w:r w:rsidRPr="008C328A">
              <w:t>%</w:t>
            </w:r>
          </w:p>
        </w:tc>
      </w:tr>
    </w:tbl>
    <w:p w14:paraId="0F5FF00F" w14:textId="37FF6394" w:rsidR="006E0931" w:rsidRPr="00250A3D" w:rsidRDefault="5A697E06" w:rsidP="00873AF3">
      <w:pPr>
        <w:pStyle w:val="COMTablefooter"/>
      </w:pPr>
      <w:r w:rsidRPr="7E0DBB7D">
        <w:t>Source: Constructed during the evaluation based on the Rystiggo (Rozanolixizumab) - gMG – CMA Excel workbook</w:t>
      </w:r>
    </w:p>
    <w:p w14:paraId="6E89191B" w14:textId="77777777" w:rsidR="006E0931" w:rsidRDefault="006E0931" w:rsidP="00873AF3">
      <w:pPr>
        <w:pStyle w:val="COMTablefooter"/>
      </w:pPr>
      <w:r w:rsidRPr="00250A3D">
        <w:t>Abbreviations: AEMP, approved ex-manufacturer price</w:t>
      </w:r>
      <w:r>
        <w:t xml:space="preserve">; </w:t>
      </w:r>
      <w:r w:rsidRPr="001A21CC">
        <w:t>IVIg, intravenous immunoglobulin</w:t>
      </w:r>
    </w:p>
    <w:p w14:paraId="5665E09D" w14:textId="26284423" w:rsidR="008E2E7E" w:rsidRPr="003158CC" w:rsidRDefault="4F39D637" w:rsidP="00873AF3">
      <w:pPr>
        <w:pStyle w:val="COMexecsummnumbered"/>
      </w:pPr>
      <w:r w:rsidRPr="7E0DBB7D">
        <w:t xml:space="preserve">The cost-minimised price for rozanolixizumab was most sensitive to the estimated annualised use </w:t>
      </w:r>
      <w:r w:rsidRPr="003158CC">
        <w:t>of IVIg, the cost per gram for IVIg, the estimated annualised use of rozanolixizumab and the inclusion of a price premium for rozanolixizumab.</w:t>
      </w:r>
    </w:p>
    <w:p w14:paraId="027DAD96" w14:textId="57B7B04F" w:rsidR="007753F8" w:rsidRPr="003158CC" w:rsidRDefault="00EA4B3A" w:rsidP="00873AF3">
      <w:pPr>
        <w:pStyle w:val="COMexecsummnumbered"/>
      </w:pPr>
      <w:r w:rsidRPr="003158CC">
        <w:t>The ESC considered that the cost-</w:t>
      </w:r>
      <w:r w:rsidR="00682383">
        <w:t>comparison</w:t>
      </w:r>
      <w:r w:rsidRPr="003158CC">
        <w:t xml:space="preserve"> approach should be based on the average dose per patient observed in the NBA data</w:t>
      </w:r>
      <w:r w:rsidR="00156D32" w:rsidRPr="003158CC">
        <w:t xml:space="preserve">, without the proposed price premium. </w:t>
      </w:r>
      <w:r w:rsidR="00682383" w:rsidRPr="00682383">
        <w:t xml:space="preserve">Refer to paragraph </w:t>
      </w:r>
      <w:r w:rsidR="00B43D21">
        <w:fldChar w:fldCharType="begin" w:fldLock="1"/>
      </w:r>
      <w:r w:rsidR="00B43D21">
        <w:instrText xml:space="preserve"> REF _Ref194664828 \r \h </w:instrText>
      </w:r>
      <w:r w:rsidR="00B43D21">
        <w:fldChar w:fldCharType="separate"/>
      </w:r>
      <w:r w:rsidR="00E70E55">
        <w:t>8.23</w:t>
      </w:r>
      <w:r w:rsidR="00B43D21">
        <w:fldChar w:fldCharType="end"/>
      </w:r>
      <w:r w:rsidR="00B43D21">
        <w:t xml:space="preserve"> </w:t>
      </w:r>
      <w:r w:rsidR="00682383" w:rsidRPr="00682383">
        <w:t xml:space="preserve">for the PBAC’s advice regarding </w:t>
      </w:r>
      <w:r w:rsidR="00682383">
        <w:t>the cost-comparison approach.</w:t>
      </w:r>
    </w:p>
    <w:p w14:paraId="472842D7" w14:textId="0999D823" w:rsidR="00C25D9C" w:rsidRPr="00CE706B" w:rsidRDefault="00C25D9C" w:rsidP="00873AF3">
      <w:pPr>
        <w:pStyle w:val="COMH2-non-numbered"/>
      </w:pPr>
      <w:bookmarkStart w:id="69" w:name="_Toc188272894"/>
      <w:r w:rsidRPr="00CE706B">
        <w:t>Drug cost/patient/year</w:t>
      </w:r>
      <w:bookmarkEnd w:id="61"/>
      <w:bookmarkEnd w:id="69"/>
    </w:p>
    <w:p w14:paraId="7112DE91" w14:textId="77777777" w:rsidR="009C49C1" w:rsidRPr="00B12B3E" w:rsidRDefault="2BDE3E52" w:rsidP="00873AF3">
      <w:pPr>
        <w:pStyle w:val="COMexecsummnumbered"/>
      </w:pPr>
      <w:bookmarkStart w:id="70" w:name="_Ref104805102"/>
      <w:bookmarkStart w:id="71" w:name="_Toc22897647"/>
      <w:r w:rsidRPr="7E0DBB7D">
        <w:t>The calculation of rozanolixizumab drug costs was consistent between the economic and budget impact models.</w:t>
      </w:r>
    </w:p>
    <w:p w14:paraId="6231B1FB" w14:textId="532FB66B" w:rsidR="00A35930" w:rsidRPr="00B12B3E" w:rsidRDefault="2BDE3E52" w:rsidP="00873AF3">
      <w:pPr>
        <w:pStyle w:val="COMexecsummnumbered"/>
      </w:pPr>
      <w:r w:rsidRPr="7E0DBB7D">
        <w:t xml:space="preserve">The submission estimated </w:t>
      </w:r>
      <w:r w:rsidR="00FD0170">
        <w:t xml:space="preserve">that the </w:t>
      </w:r>
      <w:r w:rsidRPr="7E0DBB7D">
        <w:t>annual drug cost for rozanolixizumab was $</w:t>
      </w:r>
      <w:r w:rsidR="00D7512E" w:rsidRPr="00873AF3">
        <w:rPr>
          <w:color w:val="000000"/>
          <w:spacing w:val="4"/>
          <w:w w:val="53"/>
          <w:shd w:val="solid" w:color="000000" w:fill="000000"/>
          <w:fitText w:val="530" w:id="-653091328"/>
          <w14:textFill>
            <w14:solidFill>
              <w14:srgbClr w14:val="000000">
                <w14:alpha w14:val="100000"/>
              </w14:srgbClr>
            </w14:solidFill>
          </w14:textFill>
        </w:rPr>
        <w:t>||||</w:t>
      </w:r>
      <w:r w:rsidR="00873AF3" w:rsidRPr="00873AF3">
        <w:rPr>
          <w:color w:val="000000"/>
          <w:spacing w:val="4"/>
          <w:w w:val="53"/>
          <w:shd w:val="solid" w:color="000000" w:fill="000000"/>
          <w:fitText w:val="530" w:id="-653091328"/>
          <w14:textFill>
            <w14:solidFill>
              <w14:srgbClr w14:val="000000">
                <w14:alpha w14:val="100000"/>
              </w14:srgbClr>
            </w14:solidFill>
          </w14:textFill>
        </w:rPr>
        <w:t xml:space="preserve"> </w:t>
      </w:r>
      <w:r w:rsidR="00D7512E" w:rsidRPr="00873AF3">
        <w:rPr>
          <w:color w:val="000000"/>
          <w:spacing w:val="4"/>
          <w:w w:val="53"/>
          <w:shd w:val="solid" w:color="000000" w:fill="000000"/>
          <w:fitText w:val="530" w:id="-653091328"/>
          <w14:textFill>
            <w14:solidFill>
              <w14:srgbClr w14:val="000000">
                <w14:alpha w14:val="100000"/>
              </w14:srgbClr>
            </w14:solidFill>
          </w14:textFill>
        </w:rPr>
        <w:t>|||</w:t>
      </w:r>
      <w:r w:rsidR="00D7512E" w:rsidRPr="00873AF3">
        <w:rPr>
          <w:color w:val="000000"/>
          <w:spacing w:val="2"/>
          <w:w w:val="53"/>
          <w:shd w:val="solid" w:color="000000" w:fill="000000"/>
          <w:fitText w:val="530" w:id="-653091328"/>
          <w14:textFill>
            <w14:solidFill>
              <w14:srgbClr w14:val="000000">
                <w14:alpha w14:val="100000"/>
              </w14:srgbClr>
            </w14:solidFill>
          </w14:textFill>
        </w:rPr>
        <w:t>|</w:t>
      </w:r>
      <w:r w:rsidRPr="7E0DBB7D">
        <w:t xml:space="preserve"> </w:t>
      </w:r>
      <w:r w:rsidR="29D5B892" w:rsidRPr="7E0DBB7D">
        <w:t>(</w:t>
      </w:r>
      <w:r w:rsidRPr="7E0DBB7D">
        <w:t xml:space="preserve">based on patients </w:t>
      </w:r>
      <w:r w:rsidRPr="00877339">
        <w:t>receiving 3.4 cycles × 5.24 infusions</w:t>
      </w:r>
      <w:r w:rsidR="796B9FC7" w:rsidRPr="00877339">
        <w:t xml:space="preserve"> i.e. 17.8 infusions per year</w:t>
      </w:r>
      <w:r w:rsidRPr="00877339">
        <w:t>,</w:t>
      </w:r>
      <w:r w:rsidRPr="7E0DBB7D">
        <w:t xml:space="preserve"> assuming the same distribution of patients across weight categories as the MycarinG trial</w:t>
      </w:r>
      <w:r w:rsidR="29D5B892" w:rsidRPr="7E0DBB7D">
        <w:t>,</w:t>
      </w:r>
      <w:r w:rsidRPr="7E0DBB7D">
        <w:t xml:space="preserve"> and using the effective AEMP of $</w:t>
      </w:r>
      <w:r w:rsidR="00D63E16" w:rsidRPr="006233F7">
        <w:rPr>
          <w:color w:val="000000"/>
          <w:w w:val="15"/>
          <w:shd w:val="solid" w:color="000000" w:fill="000000"/>
          <w:fitText w:val="-20" w:id="-691363328"/>
          <w14:textFill>
            <w14:solidFill>
              <w14:srgbClr w14:val="000000">
                <w14:alpha w14:val="100000"/>
              </w14:srgbClr>
            </w14:solidFill>
          </w14:textFill>
        </w:rPr>
        <w:t>|</w:t>
      </w:r>
      <w:r w:rsidR="00A91274" w:rsidRPr="006233F7">
        <w:rPr>
          <w:color w:val="000000"/>
          <w:w w:val="15"/>
          <w:shd w:val="solid" w:color="000000" w:fill="000000"/>
          <w:fitText w:val="-20" w:id="-691363328"/>
          <w14:textFill>
            <w14:solidFill>
              <w14:srgbClr w14:val="000000">
                <w14:alpha w14:val="100000"/>
              </w14:srgbClr>
            </w14:solidFill>
          </w14:textFill>
        </w:rPr>
        <w:t xml:space="preserve"> </w:t>
      </w:r>
      <w:r w:rsidR="00D63E16" w:rsidRPr="006233F7">
        <w:rPr>
          <w:color w:val="000000"/>
          <w:spacing w:val="-61"/>
          <w:w w:val="15"/>
          <w:shd w:val="solid" w:color="000000" w:fill="000000"/>
          <w:fitText w:val="-20" w:id="-691363328"/>
          <w14:textFill>
            <w14:solidFill>
              <w14:srgbClr w14:val="000000">
                <w14:alpha w14:val="100000"/>
              </w14:srgbClr>
            </w14:solidFill>
          </w14:textFill>
        </w:rPr>
        <w:t>|</w:t>
      </w:r>
      <w:r w:rsidRPr="7E0DBB7D">
        <w:t xml:space="preserve"> per vial, with appropriate fees and mark-ups, assuming 74.3% public hospital and 25.7% private hospital use</w:t>
      </w:r>
      <w:r w:rsidR="29D5B892" w:rsidRPr="7E0DBB7D">
        <w:t xml:space="preserve">, and adding administration costs of </w:t>
      </w:r>
      <w:r w:rsidR="27C3A747" w:rsidRPr="7E0DBB7D">
        <w:t>$111.60 per infusion</w:t>
      </w:r>
      <w:r w:rsidR="2C90C6B6" w:rsidRPr="7E0DBB7D">
        <w:t xml:space="preserve"> for MBS item 14245</w:t>
      </w:r>
      <w:r w:rsidRPr="7E0DBB7D">
        <w:t>).</w:t>
      </w:r>
    </w:p>
    <w:p w14:paraId="2785C7EC" w14:textId="50D5640F" w:rsidR="00A35930" w:rsidRPr="00B12B3E" w:rsidRDefault="00A35930" w:rsidP="00873AF3">
      <w:pPr>
        <w:pStyle w:val="COMexecsummnumbered"/>
        <w:rPr>
          <w:lang w:val="en-GB"/>
        </w:rPr>
      </w:pPr>
      <w:r w:rsidRPr="5FA77DAB">
        <w:rPr>
          <w:lang w:val="en-GB"/>
        </w:rPr>
        <w:t xml:space="preserve">Based on updated rozanolixizumab utilisation data from the MG0007 extension study which reported and </w:t>
      </w:r>
      <w:r w:rsidRPr="00877339">
        <w:rPr>
          <w:lang w:val="en-GB"/>
        </w:rPr>
        <w:t xml:space="preserve">average of 3.59 cycles </w:t>
      </w:r>
      <w:r w:rsidR="00D94EB3" w:rsidRPr="00877339">
        <w:rPr>
          <w:lang w:val="en-GB"/>
        </w:rPr>
        <w:t>x 5.24 infusions per cycle,</w:t>
      </w:r>
      <w:r w:rsidRPr="00877339">
        <w:rPr>
          <w:lang w:val="en-GB"/>
        </w:rPr>
        <w:t xml:space="preserve"> and 19.9 infusions</w:t>
      </w:r>
      <w:r w:rsidRPr="5FA77DAB">
        <w:rPr>
          <w:lang w:val="en-GB"/>
        </w:rPr>
        <w:t xml:space="preserve"> per year, the </w:t>
      </w:r>
      <w:r w:rsidR="003410D7">
        <w:rPr>
          <w:lang w:val="en-GB"/>
        </w:rPr>
        <w:t xml:space="preserve">evaluation </w:t>
      </w:r>
      <w:r w:rsidRPr="5FA77DAB">
        <w:rPr>
          <w:lang w:val="en-GB"/>
        </w:rPr>
        <w:t xml:space="preserve">estimated </w:t>
      </w:r>
      <w:r w:rsidR="003410D7">
        <w:rPr>
          <w:lang w:val="en-GB"/>
        </w:rPr>
        <w:t xml:space="preserve">that the </w:t>
      </w:r>
      <w:r w:rsidRPr="5FA77DAB">
        <w:rPr>
          <w:lang w:val="en-GB"/>
        </w:rPr>
        <w:t xml:space="preserve">annual drug cost for rozanolixizumab </w:t>
      </w:r>
      <w:r w:rsidR="003410D7">
        <w:rPr>
          <w:lang w:val="en-GB"/>
        </w:rPr>
        <w:t>would be</w:t>
      </w:r>
      <w:r w:rsidR="003410D7" w:rsidRPr="5FA77DAB">
        <w:rPr>
          <w:lang w:val="en-GB"/>
        </w:rPr>
        <w:t xml:space="preserve"> </w:t>
      </w:r>
      <w:r w:rsidRPr="5FA77DAB">
        <w:rPr>
          <w:lang w:val="en-GB"/>
        </w:rPr>
        <w:t>$</w:t>
      </w:r>
      <w:r w:rsidR="00D63E16" w:rsidRPr="006233F7">
        <w:rPr>
          <w:color w:val="000000"/>
          <w:w w:val="15"/>
          <w:shd w:val="solid" w:color="000000" w:fill="000000"/>
          <w:fitText w:val="-20" w:id="-691363327"/>
          <w:lang w:val="en-GB"/>
          <w14:textFill>
            <w14:solidFill>
              <w14:srgbClr w14:val="000000">
                <w14:alpha w14:val="100000"/>
              </w14:srgbClr>
            </w14:solidFill>
          </w14:textFill>
        </w:rPr>
        <w:t>|</w:t>
      </w:r>
      <w:r w:rsidR="00A91274" w:rsidRPr="006233F7">
        <w:rPr>
          <w:color w:val="000000"/>
          <w:w w:val="15"/>
          <w:shd w:val="solid" w:color="000000" w:fill="000000"/>
          <w:fitText w:val="-20" w:id="-691363327"/>
          <w:lang w:val="en-GB"/>
          <w14:textFill>
            <w14:solidFill>
              <w14:srgbClr w14:val="000000">
                <w14:alpha w14:val="100000"/>
              </w14:srgbClr>
            </w14:solidFill>
          </w14:textFill>
        </w:rPr>
        <w:t xml:space="preserve"> </w:t>
      </w:r>
      <w:r w:rsidR="00D63E16" w:rsidRPr="006233F7">
        <w:rPr>
          <w:color w:val="000000"/>
          <w:spacing w:val="-61"/>
          <w:w w:val="15"/>
          <w:shd w:val="solid" w:color="000000" w:fill="000000"/>
          <w:fitText w:val="-20" w:id="-691363327"/>
          <w:lang w:val="en-GB"/>
          <w14:textFill>
            <w14:solidFill>
              <w14:srgbClr w14:val="000000">
                <w14:alpha w14:val="100000"/>
              </w14:srgbClr>
            </w14:solidFill>
          </w14:textFill>
        </w:rPr>
        <w:t>|</w:t>
      </w:r>
      <w:r w:rsidRPr="5FA77DAB">
        <w:rPr>
          <w:lang w:val="en-GB"/>
        </w:rPr>
        <w:t xml:space="preserve"> </w:t>
      </w:r>
      <w:r w:rsidR="00F1216D" w:rsidRPr="5FA77DAB">
        <w:rPr>
          <w:lang w:val="en-GB"/>
        </w:rPr>
        <w:t>(</w:t>
      </w:r>
      <w:r w:rsidR="00FD0170">
        <w:rPr>
          <w:lang w:val="en-GB"/>
        </w:rPr>
        <w:t xml:space="preserve">based on the other estimates from the submission i.e. </w:t>
      </w:r>
      <w:r w:rsidRPr="5FA77DAB">
        <w:rPr>
          <w:lang w:val="en-GB"/>
        </w:rPr>
        <w:t>assuming the same distribution of patients across weight categories as the MycarinG trial and using the effective AEMP of $</w:t>
      </w:r>
      <w:r w:rsidR="00D63E16" w:rsidRPr="006233F7">
        <w:rPr>
          <w:color w:val="000000"/>
          <w:w w:val="15"/>
          <w:shd w:val="solid" w:color="000000" w:fill="000000"/>
          <w:fitText w:val="-20" w:id="-691363326"/>
          <w:lang w:val="en-GB"/>
          <w14:textFill>
            <w14:solidFill>
              <w14:srgbClr w14:val="000000">
                <w14:alpha w14:val="100000"/>
              </w14:srgbClr>
            </w14:solidFill>
          </w14:textFill>
        </w:rPr>
        <w:t>|</w:t>
      </w:r>
      <w:r w:rsidR="00A91274" w:rsidRPr="006233F7">
        <w:rPr>
          <w:color w:val="000000"/>
          <w:w w:val="15"/>
          <w:shd w:val="solid" w:color="000000" w:fill="000000"/>
          <w:fitText w:val="-20" w:id="-691363326"/>
          <w:lang w:val="en-GB"/>
          <w14:textFill>
            <w14:solidFill>
              <w14:srgbClr w14:val="000000">
                <w14:alpha w14:val="100000"/>
              </w14:srgbClr>
            </w14:solidFill>
          </w14:textFill>
        </w:rPr>
        <w:t xml:space="preserve"> </w:t>
      </w:r>
      <w:r w:rsidR="00D63E16" w:rsidRPr="006233F7">
        <w:rPr>
          <w:color w:val="000000"/>
          <w:spacing w:val="-61"/>
          <w:w w:val="15"/>
          <w:shd w:val="solid" w:color="000000" w:fill="000000"/>
          <w:fitText w:val="-20" w:id="-691363326"/>
          <w:lang w:val="en-GB"/>
          <w14:textFill>
            <w14:solidFill>
              <w14:srgbClr w14:val="000000">
                <w14:alpha w14:val="100000"/>
              </w14:srgbClr>
            </w14:solidFill>
          </w14:textFill>
        </w:rPr>
        <w:t>|</w:t>
      </w:r>
      <w:r w:rsidRPr="5FA77DAB">
        <w:rPr>
          <w:lang w:val="en-GB"/>
        </w:rPr>
        <w:t xml:space="preserve"> per vial, with appropriate fees and mark-ups, assuming 74.3% public hospital and 25.7% private hospital use</w:t>
      </w:r>
      <w:r w:rsidR="00F1216D" w:rsidRPr="5FA77DAB">
        <w:rPr>
          <w:lang w:val="en-GB"/>
        </w:rPr>
        <w:t xml:space="preserve">, and adding </w:t>
      </w:r>
      <w:r w:rsidR="00231546" w:rsidRPr="5FA77DAB">
        <w:rPr>
          <w:lang w:val="en-GB"/>
        </w:rPr>
        <w:t xml:space="preserve">updated </w:t>
      </w:r>
      <w:r w:rsidR="00F1216D" w:rsidRPr="5FA77DAB">
        <w:rPr>
          <w:lang w:val="en-GB"/>
        </w:rPr>
        <w:t xml:space="preserve">administration costs of </w:t>
      </w:r>
      <w:r w:rsidR="0026470B" w:rsidRPr="5FA77DAB">
        <w:rPr>
          <w:lang w:val="en-GB"/>
        </w:rPr>
        <w:t>$87.</w:t>
      </w:r>
      <w:r w:rsidR="0026470B" w:rsidRPr="00877339">
        <w:rPr>
          <w:lang w:val="en-GB"/>
        </w:rPr>
        <w:t>30 per infusion for MBS item 116</w:t>
      </w:r>
      <w:r w:rsidRPr="00877339">
        <w:rPr>
          <w:lang w:val="en-GB"/>
        </w:rPr>
        <w:t xml:space="preserve">). </w:t>
      </w:r>
      <w:r w:rsidR="00BC4AE9" w:rsidRPr="00877339">
        <w:rPr>
          <w:lang w:val="en-GB"/>
        </w:rPr>
        <w:t>The PBAC noted that a</w:t>
      </w:r>
      <w:r w:rsidR="007D5029" w:rsidRPr="00877339">
        <w:rPr>
          <w:lang w:val="en-GB"/>
        </w:rPr>
        <w:t>t 6 infusions per cycle (as recommended in the product information)</w:t>
      </w:r>
      <w:r w:rsidR="00BC4AE9" w:rsidRPr="00877339">
        <w:rPr>
          <w:lang w:val="en-GB"/>
        </w:rPr>
        <w:t>, and 3.59 cycles per year,</w:t>
      </w:r>
      <w:r w:rsidR="007D5029" w:rsidRPr="00877339">
        <w:rPr>
          <w:lang w:val="en-GB"/>
        </w:rPr>
        <w:t xml:space="preserve"> this would increase to 21.5 infusions per year.</w:t>
      </w:r>
    </w:p>
    <w:p w14:paraId="3C52FBB5" w14:textId="49DB7497" w:rsidR="00834D02" w:rsidRPr="003158CC" w:rsidRDefault="00A54E72" w:rsidP="00873AF3">
      <w:pPr>
        <w:pStyle w:val="COMexecsummnumbered"/>
        <w:rPr>
          <w:lang w:val="en-GB"/>
        </w:rPr>
      </w:pPr>
      <w:r w:rsidRPr="5FA77DAB">
        <w:rPr>
          <w:lang w:val="en-GB"/>
        </w:rPr>
        <w:t xml:space="preserve">The </w:t>
      </w:r>
      <w:r w:rsidRPr="00877339">
        <w:rPr>
          <w:lang w:val="en-GB"/>
        </w:rPr>
        <w:t>submission’s estimated annual cost for IVIg</w:t>
      </w:r>
      <w:r w:rsidR="00834D02" w:rsidRPr="00877339">
        <w:rPr>
          <w:lang w:val="en-GB"/>
        </w:rPr>
        <w:t xml:space="preserve"> </w:t>
      </w:r>
      <w:r w:rsidRPr="00877339">
        <w:rPr>
          <w:lang w:val="en-GB"/>
        </w:rPr>
        <w:t>was $</w:t>
      </w:r>
      <w:r w:rsidR="00027A85" w:rsidRPr="004030DB">
        <w:rPr>
          <w:color w:val="000000"/>
          <w:spacing w:val="6"/>
          <w:w w:val="62"/>
          <w:shd w:val="solid" w:color="000000" w:fill="000000"/>
          <w:fitText w:val="480" w:id="-656193276"/>
          <w:lang w:val="en-GB"/>
          <w14:textFill>
            <w14:solidFill>
              <w14:srgbClr w14:val="000000">
                <w14:alpha w14:val="100000"/>
              </w14:srgbClr>
            </w14:solidFill>
          </w14:textFill>
        </w:rPr>
        <w:t>|||</w:t>
      </w:r>
      <w:r w:rsidR="00A91274" w:rsidRPr="004030DB">
        <w:rPr>
          <w:color w:val="000000"/>
          <w:spacing w:val="6"/>
          <w:w w:val="62"/>
          <w:shd w:val="solid" w:color="000000" w:fill="000000"/>
          <w:fitText w:val="480" w:id="-656193276"/>
          <w:lang w:val="en-GB"/>
          <w14:textFill>
            <w14:solidFill>
              <w14:srgbClr w14:val="000000">
                <w14:alpha w14:val="100000"/>
              </w14:srgbClr>
            </w14:solidFill>
          </w14:textFill>
        </w:rPr>
        <w:t xml:space="preserve"> </w:t>
      </w:r>
      <w:r w:rsidR="00027A85" w:rsidRPr="004030DB">
        <w:rPr>
          <w:color w:val="000000"/>
          <w:spacing w:val="6"/>
          <w:w w:val="62"/>
          <w:shd w:val="solid" w:color="000000" w:fill="000000"/>
          <w:fitText w:val="480" w:id="-656193276"/>
          <w:lang w:val="en-GB"/>
          <w14:textFill>
            <w14:solidFill>
              <w14:srgbClr w14:val="000000">
                <w14:alpha w14:val="100000"/>
              </w14:srgbClr>
            </w14:solidFill>
          </w14:textFill>
        </w:rPr>
        <w:t>|||</w:t>
      </w:r>
      <w:r w:rsidR="00F80EF4" w:rsidRPr="00877339">
        <w:rPr>
          <w:lang w:val="en-GB"/>
        </w:rPr>
        <w:t xml:space="preserve"> (inclusive of administration costs)</w:t>
      </w:r>
      <w:r w:rsidR="004B1872" w:rsidRPr="00877339">
        <w:rPr>
          <w:lang w:val="en-GB"/>
        </w:rPr>
        <w:t xml:space="preserve">, </w:t>
      </w:r>
      <w:r w:rsidRPr="00877339">
        <w:rPr>
          <w:lang w:val="en-GB"/>
        </w:rPr>
        <w:t xml:space="preserve">based on patients </w:t>
      </w:r>
      <w:r w:rsidR="00AD4DB7" w:rsidRPr="00877339">
        <w:rPr>
          <w:lang w:val="en-GB"/>
        </w:rPr>
        <w:t>receiving</w:t>
      </w:r>
      <w:r w:rsidR="000A49A8" w:rsidRPr="00877339">
        <w:rPr>
          <w:lang w:val="en-GB"/>
        </w:rPr>
        <w:t xml:space="preserve"> the IVIg dosing regimen used in the Bril 2024 trial</w:t>
      </w:r>
      <w:r w:rsidR="007A73E4" w:rsidRPr="00877339">
        <w:rPr>
          <w:lang w:val="en-GB"/>
        </w:rPr>
        <w:t xml:space="preserve"> at </w:t>
      </w:r>
      <w:r w:rsidR="000A49A8" w:rsidRPr="00877339">
        <w:rPr>
          <w:lang w:val="en-GB"/>
        </w:rPr>
        <w:t xml:space="preserve">the </w:t>
      </w:r>
      <w:r w:rsidR="00E4338D" w:rsidRPr="00877339">
        <w:rPr>
          <w:lang w:val="en-GB"/>
        </w:rPr>
        <w:t xml:space="preserve">average </w:t>
      </w:r>
      <w:r w:rsidR="000A49A8" w:rsidRPr="00877339">
        <w:rPr>
          <w:lang w:val="en-GB"/>
        </w:rPr>
        <w:t>baseline weight of patients in the MycarinG trial</w:t>
      </w:r>
      <w:r w:rsidR="00DC5F6E" w:rsidRPr="00877339">
        <w:rPr>
          <w:lang w:val="en-GB"/>
        </w:rPr>
        <w:t>; with an adjustment</w:t>
      </w:r>
      <w:r w:rsidR="00491F6C" w:rsidRPr="00877339">
        <w:rPr>
          <w:lang w:val="en-GB"/>
        </w:rPr>
        <w:t xml:space="preserve"> factor</w:t>
      </w:r>
      <w:r w:rsidR="00DC5F6E" w:rsidRPr="00877339">
        <w:rPr>
          <w:lang w:val="en-GB"/>
        </w:rPr>
        <w:t xml:space="preserve"> to reduce the total dose by 40</w:t>
      </w:r>
      <w:r w:rsidR="00491F6C" w:rsidRPr="00877339">
        <w:rPr>
          <w:lang w:val="en-GB"/>
        </w:rPr>
        <w:t>%; and 2.14 cycles per year based on a published estimate</w:t>
      </w:r>
      <w:r w:rsidR="002A2087" w:rsidRPr="00877339">
        <w:rPr>
          <w:lang w:val="en-GB"/>
        </w:rPr>
        <w:t xml:space="preserve"> (total 927 g per year)</w:t>
      </w:r>
      <w:r w:rsidR="007A73E4" w:rsidRPr="00877339">
        <w:rPr>
          <w:lang w:val="en-GB"/>
        </w:rPr>
        <w:t>; with IVIg costs $</w:t>
      </w:r>
      <w:r w:rsidR="00027A85" w:rsidRPr="004030DB">
        <w:rPr>
          <w:color w:val="000000"/>
          <w:spacing w:val="6"/>
          <w:w w:val="60"/>
          <w:shd w:val="solid" w:color="000000" w:fill="000000"/>
          <w:fitText w:val="470" w:id="-656193275"/>
          <w:lang w:val="en-GB"/>
          <w14:textFill>
            <w14:solidFill>
              <w14:srgbClr w14:val="000000">
                <w14:alpha w14:val="100000"/>
              </w14:srgbClr>
            </w14:solidFill>
          </w14:textFill>
        </w:rPr>
        <w:t>|||</w:t>
      </w:r>
      <w:r w:rsidR="00A91274" w:rsidRPr="004030DB">
        <w:rPr>
          <w:color w:val="000000"/>
          <w:spacing w:val="6"/>
          <w:w w:val="60"/>
          <w:shd w:val="solid" w:color="000000" w:fill="000000"/>
          <w:fitText w:val="470" w:id="-656193275"/>
          <w:lang w:val="en-GB"/>
          <w14:textFill>
            <w14:solidFill>
              <w14:srgbClr w14:val="000000">
                <w14:alpha w14:val="100000"/>
              </w14:srgbClr>
            </w14:solidFill>
          </w14:textFill>
        </w:rPr>
        <w:t xml:space="preserve"> </w:t>
      </w:r>
      <w:r w:rsidR="00027A85" w:rsidRPr="004030DB">
        <w:rPr>
          <w:color w:val="000000"/>
          <w:spacing w:val="6"/>
          <w:w w:val="60"/>
          <w:shd w:val="solid" w:color="000000" w:fill="000000"/>
          <w:fitText w:val="470" w:id="-656193275"/>
          <w:lang w:val="en-GB"/>
          <w14:textFill>
            <w14:solidFill>
              <w14:srgbClr w14:val="000000">
                <w14:alpha w14:val="100000"/>
              </w14:srgbClr>
            </w14:solidFill>
          </w14:textFill>
        </w:rPr>
        <w:t>||</w:t>
      </w:r>
      <w:r w:rsidR="00027A85" w:rsidRPr="004030DB">
        <w:rPr>
          <w:color w:val="000000"/>
          <w:spacing w:val="4"/>
          <w:w w:val="60"/>
          <w:shd w:val="solid" w:color="000000" w:fill="000000"/>
          <w:fitText w:val="470" w:id="-656193275"/>
          <w:lang w:val="en-GB"/>
          <w14:textFill>
            <w14:solidFill>
              <w14:srgbClr w14:val="000000">
                <w14:alpha w14:val="100000"/>
              </w14:srgbClr>
            </w14:solidFill>
          </w14:textFill>
        </w:rPr>
        <w:t>|</w:t>
      </w:r>
      <w:r w:rsidR="00781A90" w:rsidRPr="00877339">
        <w:rPr>
          <w:lang w:val="en-GB"/>
        </w:rPr>
        <w:t xml:space="preserve"> per gram</w:t>
      </w:r>
      <w:r w:rsidR="00D62D75" w:rsidRPr="00877339">
        <w:rPr>
          <w:lang w:val="en-GB"/>
        </w:rPr>
        <w:t xml:space="preserve"> and administration costs of $111.60 per infusion for MBS item 14245</w:t>
      </w:r>
      <w:r w:rsidR="007A73E4" w:rsidRPr="00877339">
        <w:rPr>
          <w:lang w:val="en-GB"/>
        </w:rPr>
        <w:t>.</w:t>
      </w:r>
    </w:p>
    <w:p w14:paraId="3B88B912" w14:textId="4007C5CB" w:rsidR="004A7D15" w:rsidRDefault="006F4999" w:rsidP="00873AF3">
      <w:pPr>
        <w:pStyle w:val="COMexecsummnumbered"/>
        <w:rPr>
          <w:lang w:val="en-GB"/>
        </w:rPr>
      </w:pPr>
      <w:r w:rsidRPr="003158CC">
        <w:rPr>
          <w:lang w:val="en-GB"/>
        </w:rPr>
        <w:t xml:space="preserve">The ESC noted that, based on data received from the </w:t>
      </w:r>
      <w:r w:rsidR="000159C2">
        <w:rPr>
          <w:lang w:val="en-GB"/>
        </w:rPr>
        <w:t>NBA</w:t>
      </w:r>
      <w:r w:rsidRPr="003158CC">
        <w:rPr>
          <w:lang w:val="en-GB"/>
        </w:rPr>
        <w:t xml:space="preserve"> on the utilisation of IVIg as maintenance therapy for Myasthenia Gravis in 2023-24, the average annual cost for </w:t>
      </w:r>
      <w:r w:rsidRPr="00877339">
        <w:rPr>
          <w:lang w:val="en-GB"/>
        </w:rPr>
        <w:t>chronic IVIg therapy per patient was $</w:t>
      </w:r>
      <w:r w:rsidR="00027A85" w:rsidRPr="004030DB">
        <w:rPr>
          <w:color w:val="000000"/>
          <w:spacing w:val="6"/>
          <w:w w:val="60"/>
          <w:shd w:val="solid" w:color="000000" w:fill="000000"/>
          <w:fitText w:val="470" w:id="-656193274"/>
          <w:lang w:val="en-GB"/>
          <w14:textFill>
            <w14:solidFill>
              <w14:srgbClr w14:val="000000">
                <w14:alpha w14:val="100000"/>
              </w14:srgbClr>
            </w14:solidFill>
          </w14:textFill>
        </w:rPr>
        <w:t>|||</w:t>
      </w:r>
      <w:r w:rsidR="00A91274" w:rsidRPr="004030DB">
        <w:rPr>
          <w:color w:val="000000"/>
          <w:spacing w:val="6"/>
          <w:w w:val="60"/>
          <w:shd w:val="solid" w:color="000000" w:fill="000000"/>
          <w:fitText w:val="470" w:id="-656193274"/>
          <w:lang w:val="en-GB"/>
          <w14:textFill>
            <w14:solidFill>
              <w14:srgbClr w14:val="000000">
                <w14:alpha w14:val="100000"/>
              </w14:srgbClr>
            </w14:solidFill>
          </w14:textFill>
        </w:rPr>
        <w:t xml:space="preserve"> </w:t>
      </w:r>
      <w:r w:rsidR="00027A85" w:rsidRPr="004030DB">
        <w:rPr>
          <w:color w:val="000000"/>
          <w:spacing w:val="6"/>
          <w:w w:val="60"/>
          <w:shd w:val="solid" w:color="000000" w:fill="000000"/>
          <w:fitText w:val="470" w:id="-656193274"/>
          <w:lang w:val="en-GB"/>
          <w14:textFill>
            <w14:solidFill>
              <w14:srgbClr w14:val="000000">
                <w14:alpha w14:val="100000"/>
              </w14:srgbClr>
            </w14:solidFill>
          </w14:textFill>
        </w:rPr>
        <w:t>||</w:t>
      </w:r>
      <w:r w:rsidR="00027A85" w:rsidRPr="004030DB">
        <w:rPr>
          <w:color w:val="000000"/>
          <w:spacing w:val="4"/>
          <w:w w:val="60"/>
          <w:shd w:val="solid" w:color="000000" w:fill="000000"/>
          <w:fitText w:val="470" w:id="-656193274"/>
          <w:lang w:val="en-GB"/>
          <w14:textFill>
            <w14:solidFill>
              <w14:srgbClr w14:val="000000">
                <w14:alpha w14:val="100000"/>
              </w14:srgbClr>
            </w14:solidFill>
          </w14:textFill>
        </w:rPr>
        <w:t>|</w:t>
      </w:r>
      <w:r w:rsidRPr="00877339">
        <w:rPr>
          <w:lang w:val="en-GB"/>
        </w:rPr>
        <w:t xml:space="preserve"> based on an average cost per gram of $</w:t>
      </w:r>
      <w:r w:rsidR="00027A85" w:rsidRPr="00A91274">
        <w:rPr>
          <w:color w:val="000000"/>
          <w:spacing w:val="6"/>
          <w:w w:val="62"/>
          <w:shd w:val="solid" w:color="000000" w:fill="000000"/>
          <w:fitText w:val="480" w:id="-656193273"/>
          <w:lang w:val="en-GB"/>
          <w14:textFill>
            <w14:solidFill>
              <w14:srgbClr w14:val="000000">
                <w14:alpha w14:val="100000"/>
              </w14:srgbClr>
            </w14:solidFill>
          </w14:textFill>
        </w:rPr>
        <w:t>|||</w:t>
      </w:r>
      <w:r w:rsidR="00A91274" w:rsidRPr="00A91274">
        <w:rPr>
          <w:color w:val="000000"/>
          <w:spacing w:val="6"/>
          <w:w w:val="62"/>
          <w:shd w:val="solid" w:color="000000" w:fill="000000"/>
          <w:fitText w:val="480" w:id="-656193273"/>
          <w:lang w:val="en-GB"/>
          <w14:textFill>
            <w14:solidFill>
              <w14:srgbClr w14:val="000000">
                <w14:alpha w14:val="100000"/>
              </w14:srgbClr>
            </w14:solidFill>
          </w14:textFill>
        </w:rPr>
        <w:t xml:space="preserve"> </w:t>
      </w:r>
      <w:r w:rsidR="00027A85" w:rsidRPr="00A91274">
        <w:rPr>
          <w:color w:val="000000"/>
          <w:spacing w:val="6"/>
          <w:w w:val="62"/>
          <w:shd w:val="solid" w:color="000000" w:fill="000000"/>
          <w:fitText w:val="480" w:id="-656193273"/>
          <w:lang w:val="en-GB"/>
          <w14:textFill>
            <w14:solidFill>
              <w14:srgbClr w14:val="000000">
                <w14:alpha w14:val="100000"/>
              </w14:srgbClr>
            </w14:solidFill>
          </w14:textFill>
        </w:rPr>
        <w:t>|||</w:t>
      </w:r>
      <w:r w:rsidRPr="00877339">
        <w:rPr>
          <w:lang w:val="en-GB"/>
        </w:rPr>
        <w:t xml:space="preserve"> (which is an average across all IVIg use in Australia) and an average of 541.1</w:t>
      </w:r>
      <w:r w:rsidR="006A05A7" w:rsidRPr="00877339">
        <w:rPr>
          <w:lang w:val="en-GB"/>
        </w:rPr>
        <w:t> </w:t>
      </w:r>
      <w:r w:rsidRPr="00877339">
        <w:rPr>
          <w:lang w:val="en-GB"/>
        </w:rPr>
        <w:t>grams per patient per year (specific to the Myasthenia Gravis maintenance setting).</w:t>
      </w:r>
    </w:p>
    <w:p w14:paraId="7AA281DB" w14:textId="77777777" w:rsidR="00C126E7" w:rsidRDefault="00C126E7" w:rsidP="00873AF3">
      <w:pPr>
        <w:pStyle w:val="COMH4"/>
      </w:pPr>
      <w:r w:rsidRPr="007A3130">
        <w:t>Cost-comparison</w:t>
      </w:r>
    </w:p>
    <w:p w14:paraId="47397CBA" w14:textId="4F625FCA" w:rsidR="00C126E7" w:rsidRPr="007A3130" w:rsidRDefault="00C126E7" w:rsidP="00873AF3">
      <w:pPr>
        <w:pStyle w:val="Caption"/>
        <w:keepNext/>
        <w:keepLines/>
        <w:spacing w:before="120"/>
      </w:pPr>
      <w:r>
        <w:t xml:space="preserve">Table </w:t>
      </w:r>
      <w:r>
        <w:fldChar w:fldCharType="begin" w:fldLock="1"/>
      </w:r>
      <w:r>
        <w:instrText xml:space="preserve"> SEQ Table \* ARABIC </w:instrText>
      </w:r>
      <w:r>
        <w:fldChar w:fldCharType="separate"/>
      </w:r>
      <w:r w:rsidR="00E70E55">
        <w:rPr>
          <w:noProof/>
        </w:rPr>
        <w:t>16</w:t>
      </w:r>
      <w:r>
        <w:fldChar w:fldCharType="end"/>
      </w:r>
      <w:r w:rsidRPr="007A3130">
        <w:t xml:space="preserve">: Comparison of the annual </w:t>
      </w:r>
      <w:r w:rsidR="00810CE3">
        <w:t>dose and/or</w:t>
      </w:r>
      <w:r w:rsidRPr="007A3130">
        <w:t xml:space="preserve"> drug cost of </w:t>
      </w:r>
      <w:r w:rsidR="00753A96">
        <w:t>rozanolixizumab</w:t>
      </w:r>
      <w:r w:rsidRPr="007A3130">
        <w:t xml:space="preserve"> and IVIg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6: Comparison of the annual dose and/or drug cost of rozanolixizumab and IVIg"/>
      </w:tblPr>
      <w:tblGrid>
        <w:gridCol w:w="1129"/>
        <w:gridCol w:w="851"/>
        <w:gridCol w:w="7037"/>
      </w:tblGrid>
      <w:tr w:rsidR="00E27F5C" w:rsidRPr="007A3130" w14:paraId="789DEB92" w14:textId="77777777" w:rsidTr="00BF1FA0">
        <w:trPr>
          <w:cantSplit/>
          <w:trHeight w:val="40"/>
        </w:trPr>
        <w:tc>
          <w:tcPr>
            <w:tcW w:w="626" w:type="pct"/>
            <w:vAlign w:val="center"/>
          </w:tcPr>
          <w:p w14:paraId="0372B873" w14:textId="77777777" w:rsidR="00C126E7" w:rsidRPr="007A3130" w:rsidRDefault="00C126E7" w:rsidP="00873AF3">
            <w:pPr>
              <w:keepNext/>
              <w:keepLines/>
              <w:jc w:val="left"/>
              <w:rPr>
                <w:rFonts w:ascii="Arial Narrow" w:eastAsiaTheme="majorEastAsia" w:hAnsi="Arial Narrow" w:cstheme="majorBidi"/>
                <w:b/>
                <w:bCs/>
                <w:sz w:val="20"/>
              </w:rPr>
            </w:pPr>
            <w:r w:rsidRPr="007A3130">
              <w:rPr>
                <w:rFonts w:ascii="Arial Narrow" w:eastAsiaTheme="majorEastAsia" w:hAnsi="Arial Narrow" w:cstheme="majorBidi"/>
                <w:b/>
                <w:bCs/>
                <w:sz w:val="20"/>
              </w:rPr>
              <w:t>Treatment</w:t>
            </w:r>
          </w:p>
        </w:tc>
        <w:tc>
          <w:tcPr>
            <w:tcW w:w="472" w:type="pct"/>
            <w:vAlign w:val="center"/>
          </w:tcPr>
          <w:p w14:paraId="631AD530" w14:textId="2ABA5F15" w:rsidR="00C126E7" w:rsidRPr="007A3130" w:rsidRDefault="00C126E7" w:rsidP="00873AF3">
            <w:pPr>
              <w:keepNext/>
              <w:keepLines/>
              <w:jc w:val="center"/>
              <w:rPr>
                <w:rFonts w:ascii="Arial Narrow" w:eastAsiaTheme="majorEastAsia" w:hAnsi="Arial Narrow" w:cstheme="majorBidi"/>
                <w:b/>
                <w:bCs/>
                <w:sz w:val="20"/>
              </w:rPr>
            </w:pPr>
            <w:r w:rsidRPr="007A3130">
              <w:rPr>
                <w:rFonts w:ascii="Arial Narrow" w:eastAsiaTheme="majorEastAsia" w:hAnsi="Arial Narrow" w:cstheme="majorBidi"/>
                <w:b/>
                <w:bCs/>
                <w:sz w:val="20"/>
              </w:rPr>
              <w:t>Annual cost</w:t>
            </w:r>
            <w:r>
              <w:rPr>
                <w:rFonts w:ascii="Arial Narrow" w:eastAsiaTheme="majorEastAsia" w:hAnsi="Arial Narrow" w:cstheme="majorBidi"/>
                <w:b/>
                <w:bCs/>
                <w:sz w:val="20"/>
              </w:rPr>
              <w:t xml:space="preserve"> </w:t>
            </w:r>
            <w:r w:rsidR="00810CE3">
              <w:rPr>
                <w:rFonts w:ascii="Arial Narrow" w:eastAsiaTheme="majorEastAsia" w:hAnsi="Arial Narrow" w:cstheme="majorBidi"/>
                <w:b/>
                <w:bCs/>
                <w:sz w:val="20"/>
              </w:rPr>
              <w:t>or</w:t>
            </w:r>
            <w:r>
              <w:rPr>
                <w:rFonts w:ascii="Arial Narrow" w:eastAsiaTheme="majorEastAsia" w:hAnsi="Arial Narrow" w:cstheme="majorBidi"/>
                <w:b/>
                <w:bCs/>
                <w:sz w:val="20"/>
              </w:rPr>
              <w:t xml:space="preserve"> dose</w:t>
            </w:r>
          </w:p>
        </w:tc>
        <w:tc>
          <w:tcPr>
            <w:tcW w:w="3902" w:type="pct"/>
            <w:vAlign w:val="center"/>
          </w:tcPr>
          <w:p w14:paraId="1771823C" w14:textId="77777777" w:rsidR="00C126E7" w:rsidRPr="007A3130" w:rsidRDefault="00C126E7" w:rsidP="00873AF3">
            <w:pPr>
              <w:keepNext/>
              <w:keepLines/>
              <w:jc w:val="center"/>
              <w:rPr>
                <w:rFonts w:ascii="Arial Narrow" w:eastAsiaTheme="majorEastAsia" w:hAnsi="Arial Narrow" w:cstheme="majorBidi"/>
                <w:b/>
                <w:bCs/>
                <w:sz w:val="20"/>
              </w:rPr>
            </w:pPr>
            <w:r w:rsidRPr="007A3130">
              <w:rPr>
                <w:rFonts w:ascii="Arial Narrow" w:eastAsiaTheme="majorEastAsia" w:hAnsi="Arial Narrow" w:cstheme="majorBidi"/>
                <w:b/>
                <w:bCs/>
                <w:sz w:val="20"/>
              </w:rPr>
              <w:t>Source</w:t>
            </w:r>
          </w:p>
        </w:tc>
      </w:tr>
      <w:tr w:rsidR="00DA3E9F" w:rsidRPr="007A3130" w14:paraId="556E8B0E" w14:textId="77777777" w:rsidTr="00BF1FA0">
        <w:trPr>
          <w:cantSplit/>
          <w:trHeight w:val="43"/>
        </w:trPr>
        <w:tc>
          <w:tcPr>
            <w:tcW w:w="5000" w:type="pct"/>
            <w:gridSpan w:val="3"/>
            <w:vAlign w:val="center"/>
          </w:tcPr>
          <w:p w14:paraId="7F6EB6FA" w14:textId="3B1C84CE" w:rsidR="00DA3E9F" w:rsidRDefault="00DA3E9F" w:rsidP="00873AF3">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Rozanolixizumab</w:t>
            </w:r>
          </w:p>
        </w:tc>
      </w:tr>
      <w:tr w:rsidR="00E27F5C" w:rsidRPr="007A3130" w14:paraId="581BD8D7" w14:textId="77777777" w:rsidTr="00BF1FA0">
        <w:trPr>
          <w:cantSplit/>
          <w:trHeight w:val="43"/>
        </w:trPr>
        <w:tc>
          <w:tcPr>
            <w:tcW w:w="626" w:type="pct"/>
            <w:vAlign w:val="center"/>
          </w:tcPr>
          <w:p w14:paraId="5D632D95" w14:textId="2AD44E6D" w:rsidR="00C126E7" w:rsidRPr="007A3130" w:rsidRDefault="00DA3E9F" w:rsidP="00873AF3">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S</w:t>
            </w:r>
            <w:r w:rsidR="00B516B2">
              <w:rPr>
                <w:rFonts w:ascii="Arial Narrow" w:eastAsiaTheme="majorEastAsia" w:hAnsi="Arial Narrow" w:cstheme="majorBidi"/>
                <w:bCs/>
                <w:sz w:val="20"/>
              </w:rPr>
              <w:t>ubmission base case</w:t>
            </w:r>
          </w:p>
        </w:tc>
        <w:tc>
          <w:tcPr>
            <w:tcW w:w="472" w:type="pct"/>
            <w:vAlign w:val="center"/>
          </w:tcPr>
          <w:p w14:paraId="50FA8485" w14:textId="024A492B" w:rsidR="00C126E7" w:rsidRPr="00B12118" w:rsidRDefault="00B516B2" w:rsidP="00873AF3">
            <w:pPr>
              <w:keepNext/>
              <w:keepLines/>
              <w:jc w:val="center"/>
              <w:rPr>
                <w:rFonts w:ascii="Arial Narrow" w:eastAsiaTheme="majorEastAsia" w:hAnsi="Arial Narrow" w:cstheme="majorBidi"/>
                <w:bCs/>
                <w:sz w:val="20"/>
              </w:rPr>
            </w:pPr>
            <w:r w:rsidRPr="00B12118">
              <w:rPr>
                <w:rFonts w:ascii="Arial Narrow" w:eastAsiaTheme="majorEastAsia" w:hAnsi="Arial Narrow" w:cstheme="majorBidi"/>
                <w:bCs/>
                <w:sz w:val="20"/>
              </w:rPr>
              <w:t xml:space="preserve">10,508 </w:t>
            </w:r>
            <w:r w:rsidR="00C126E7" w:rsidRPr="00B12118">
              <w:rPr>
                <w:rFonts w:ascii="Arial Narrow" w:eastAsiaTheme="majorEastAsia" w:hAnsi="Arial Narrow" w:cstheme="majorBidi"/>
                <w:bCs/>
                <w:sz w:val="20"/>
              </w:rPr>
              <w:t xml:space="preserve">mg </w:t>
            </w:r>
            <w:r w:rsidRPr="00B12118">
              <w:rPr>
                <w:rFonts w:ascii="Arial Narrow" w:eastAsiaTheme="majorEastAsia" w:hAnsi="Arial Narrow" w:cstheme="majorBidi"/>
                <w:bCs/>
                <w:sz w:val="20"/>
              </w:rPr>
              <w:t>per year</w:t>
            </w:r>
          </w:p>
        </w:tc>
        <w:tc>
          <w:tcPr>
            <w:tcW w:w="3902" w:type="pct"/>
            <w:vAlign w:val="center"/>
          </w:tcPr>
          <w:p w14:paraId="06149682" w14:textId="1F6AD0D9" w:rsidR="00B516B2" w:rsidRPr="00B12118" w:rsidRDefault="00C126E7" w:rsidP="00873AF3">
            <w:pPr>
              <w:keepNext/>
              <w:keepLines/>
              <w:jc w:val="left"/>
              <w:rPr>
                <w:rFonts w:ascii="Arial Narrow" w:eastAsiaTheme="majorEastAsia" w:hAnsi="Arial Narrow" w:cstheme="majorBidi"/>
                <w:bCs/>
                <w:sz w:val="20"/>
              </w:rPr>
            </w:pPr>
            <w:r w:rsidRPr="00B12118">
              <w:rPr>
                <w:rFonts w:ascii="Arial Narrow" w:eastAsiaTheme="majorEastAsia" w:hAnsi="Arial Narrow" w:cstheme="majorBidi"/>
                <w:bCs/>
                <w:sz w:val="20"/>
              </w:rPr>
              <w:t>2.</w:t>
            </w:r>
            <w:r w:rsidR="00B516B2" w:rsidRPr="00B12118">
              <w:rPr>
                <w:rFonts w:ascii="Arial Narrow" w:eastAsiaTheme="majorEastAsia" w:hAnsi="Arial Narrow" w:cstheme="majorBidi"/>
                <w:bCs/>
                <w:sz w:val="20"/>
              </w:rPr>
              <w:t>11</w:t>
            </w:r>
            <w:r w:rsidRPr="00B12118">
              <w:rPr>
                <w:rFonts w:ascii="Arial Narrow" w:eastAsiaTheme="majorEastAsia" w:hAnsi="Arial Narrow" w:cstheme="majorBidi"/>
                <w:bCs/>
                <w:sz w:val="20"/>
              </w:rPr>
              <w:t xml:space="preserve"> vials per infusion (assuming the same distribution of patients across weight categories in the </w:t>
            </w:r>
            <w:r w:rsidR="00B516B2" w:rsidRPr="00B12118">
              <w:rPr>
                <w:rFonts w:ascii="Arial Narrow" w:eastAsiaTheme="majorEastAsia" w:hAnsi="Arial Narrow" w:cstheme="majorBidi"/>
                <w:bCs/>
                <w:sz w:val="20"/>
              </w:rPr>
              <w:t>MycarinG trial</w:t>
            </w:r>
            <w:r w:rsidRPr="00B12118">
              <w:rPr>
                <w:rFonts w:ascii="Arial Narrow" w:eastAsiaTheme="majorEastAsia" w:hAnsi="Arial Narrow" w:cstheme="majorBidi"/>
                <w:bCs/>
                <w:sz w:val="20"/>
              </w:rPr>
              <w:t xml:space="preserve"> (4</w:t>
            </w:r>
            <w:r w:rsidR="00B516B2" w:rsidRPr="00B12118">
              <w:rPr>
                <w:rFonts w:ascii="Arial Narrow" w:eastAsiaTheme="majorEastAsia" w:hAnsi="Arial Narrow" w:cstheme="majorBidi"/>
                <w:bCs/>
                <w:sz w:val="20"/>
              </w:rPr>
              <w:t>.2% of patients weigh ≥ 35 to &lt; 50kg and require one vial; 80.8% weight 50 to &lt;100kg and require two vials; 15% weigh ≥ 100 kg and require three vials).</w:t>
            </w:r>
          </w:p>
          <w:p w14:paraId="4D4EF8A3" w14:textId="332BC857" w:rsidR="00B516B2" w:rsidRPr="00B12118" w:rsidRDefault="00B516B2" w:rsidP="00873AF3">
            <w:pPr>
              <w:keepNext/>
              <w:keepLines/>
              <w:jc w:val="left"/>
              <w:rPr>
                <w:rFonts w:ascii="Arial Narrow" w:eastAsiaTheme="majorEastAsia" w:hAnsi="Arial Narrow" w:cstheme="majorBidi"/>
                <w:bCs/>
                <w:sz w:val="20"/>
              </w:rPr>
            </w:pPr>
            <w:r w:rsidRPr="00B12118">
              <w:rPr>
                <w:rFonts w:ascii="Arial Narrow" w:eastAsiaTheme="majorEastAsia" w:hAnsi="Arial Narrow" w:cstheme="majorBidi"/>
                <w:bCs/>
                <w:sz w:val="20"/>
              </w:rPr>
              <w:t>5.24 infusions per cycle (i.e.87.3% compliance</w:t>
            </w:r>
            <w:r w:rsidR="00753A96" w:rsidRPr="00B12118">
              <w:rPr>
                <w:rFonts w:ascii="Arial Narrow" w:eastAsiaTheme="majorEastAsia" w:hAnsi="Arial Narrow" w:cstheme="majorBidi"/>
                <w:bCs/>
                <w:sz w:val="20"/>
              </w:rPr>
              <w:t xml:space="preserve">/dose intensity, </w:t>
            </w:r>
            <w:r w:rsidR="00753A96" w:rsidRPr="00B12118">
              <w:rPr>
                <w:rFonts w:ascii="Arial Narrow" w:eastAsiaTheme="majorEastAsia" w:hAnsi="Arial Narrow" w:cstheme="majorBidi"/>
                <w:sz w:val="20"/>
              </w:rPr>
              <w:t>the basis for this was unclear</w:t>
            </w:r>
            <w:r w:rsidRPr="00B12118">
              <w:rPr>
                <w:rFonts w:ascii="Arial Narrow" w:eastAsiaTheme="majorEastAsia" w:hAnsi="Arial Narrow" w:cstheme="majorBidi"/>
                <w:bCs/>
                <w:sz w:val="20"/>
              </w:rPr>
              <w:t>)</w:t>
            </w:r>
          </w:p>
          <w:p w14:paraId="35BABE1B" w14:textId="0FBEC85A" w:rsidR="00C126E7" w:rsidRPr="00B12118" w:rsidRDefault="00B516B2" w:rsidP="00873AF3">
            <w:pPr>
              <w:keepNext/>
              <w:keepLines/>
              <w:jc w:val="left"/>
              <w:rPr>
                <w:rFonts w:ascii="Arial Narrow" w:eastAsiaTheme="majorEastAsia" w:hAnsi="Arial Narrow" w:cstheme="majorBidi"/>
                <w:bCs/>
                <w:sz w:val="20"/>
              </w:rPr>
            </w:pPr>
            <w:r w:rsidRPr="00B12118">
              <w:rPr>
                <w:rFonts w:ascii="Arial Narrow" w:eastAsiaTheme="majorEastAsia" w:hAnsi="Arial Narrow" w:cstheme="majorBidi"/>
                <w:bCs/>
                <w:sz w:val="20"/>
              </w:rPr>
              <w:t xml:space="preserve">3.4 cycles per year based on a post hoc analysis of data from the MycarinG trial and an interim analysis of the MG0007 extension. </w:t>
            </w:r>
            <w:r w:rsidR="00C126E7" w:rsidRPr="00B12118">
              <w:rPr>
                <w:rFonts w:ascii="Arial Narrow" w:eastAsiaTheme="majorEastAsia" w:hAnsi="Arial Narrow" w:cstheme="majorBidi"/>
                <w:bCs/>
                <w:sz w:val="20"/>
              </w:rPr>
              <w:t xml:space="preserve">This equates to a treatment-free interval of </w:t>
            </w:r>
            <w:r w:rsidRPr="00B12118">
              <w:rPr>
                <w:rFonts w:ascii="Arial Narrow" w:eastAsiaTheme="majorEastAsia" w:hAnsi="Arial Narrow" w:cstheme="majorBidi"/>
                <w:bCs/>
                <w:sz w:val="20"/>
              </w:rPr>
              <w:t>9.3</w:t>
            </w:r>
            <w:r w:rsidR="00C126E7" w:rsidRPr="00B12118">
              <w:rPr>
                <w:rFonts w:ascii="Arial Narrow" w:eastAsiaTheme="majorEastAsia" w:hAnsi="Arial Narrow" w:cstheme="majorBidi"/>
                <w:bCs/>
                <w:sz w:val="20"/>
              </w:rPr>
              <w:t xml:space="preserve"> weeks between cycles. </w:t>
            </w:r>
            <w:r w:rsidR="00753A96" w:rsidRPr="00B12118">
              <w:rPr>
                <w:rFonts w:ascii="Arial Narrow" w:eastAsiaTheme="majorEastAsia" w:hAnsi="Arial Narrow" w:cstheme="majorBidi"/>
                <w:bCs/>
                <w:sz w:val="20"/>
              </w:rPr>
              <w:t>Patients in the MycarinG trial and MG0007 study were required to meet specific thresholds for re-treatment (increase of 2.0 points on the MG-ADL or 3.0 points on the QMG scale), with a suggested minimum time of 4 weeks between cycles, which may not be representative of clinical practice</w:t>
            </w:r>
            <w:r w:rsidR="001C4754" w:rsidRPr="00B12118">
              <w:rPr>
                <w:rFonts w:ascii="Arial Narrow" w:eastAsiaTheme="majorEastAsia" w:hAnsi="Arial Narrow" w:cstheme="majorBidi"/>
                <w:bCs/>
                <w:sz w:val="20"/>
              </w:rPr>
              <w:t>.</w:t>
            </w:r>
          </w:p>
        </w:tc>
      </w:tr>
      <w:tr w:rsidR="002E2334" w:rsidRPr="007A3130" w14:paraId="3FBD845F" w14:textId="77777777" w:rsidTr="00BF1FA0">
        <w:trPr>
          <w:cantSplit/>
          <w:trHeight w:val="43"/>
        </w:trPr>
        <w:tc>
          <w:tcPr>
            <w:tcW w:w="626" w:type="pct"/>
            <w:vAlign w:val="center"/>
          </w:tcPr>
          <w:p w14:paraId="7962B156" w14:textId="785C56D7" w:rsidR="002E2334" w:rsidRDefault="00DA3E9F" w:rsidP="00873AF3">
            <w:pPr>
              <w:jc w:val="left"/>
              <w:rPr>
                <w:rFonts w:ascii="Arial Narrow" w:eastAsiaTheme="majorEastAsia" w:hAnsi="Arial Narrow" w:cstheme="majorBidi"/>
                <w:bCs/>
                <w:sz w:val="20"/>
              </w:rPr>
            </w:pPr>
            <w:r>
              <w:rPr>
                <w:rFonts w:ascii="Arial Narrow" w:eastAsiaTheme="majorEastAsia" w:hAnsi="Arial Narrow" w:cstheme="majorBidi"/>
                <w:bCs/>
                <w:sz w:val="20"/>
              </w:rPr>
              <w:t xml:space="preserve">Annualised cycles from trial report </w:t>
            </w:r>
            <w:r w:rsidR="002E2334">
              <w:rPr>
                <w:rFonts w:ascii="Arial Narrow" w:eastAsiaTheme="majorEastAsia" w:hAnsi="Arial Narrow" w:cstheme="majorBidi"/>
                <w:bCs/>
                <w:sz w:val="20"/>
              </w:rPr>
              <w:t>and full compliance</w:t>
            </w:r>
          </w:p>
        </w:tc>
        <w:tc>
          <w:tcPr>
            <w:tcW w:w="472" w:type="pct"/>
            <w:vAlign w:val="center"/>
          </w:tcPr>
          <w:p w14:paraId="5A3A22A8" w14:textId="753EB4A7" w:rsidR="002E2334" w:rsidRPr="00B12118" w:rsidRDefault="00DA3E9F" w:rsidP="00873AF3">
            <w:pPr>
              <w:rPr>
                <w:rFonts w:ascii="Arial Narrow" w:eastAsiaTheme="majorEastAsia" w:hAnsi="Arial Narrow" w:cstheme="majorBidi"/>
                <w:bCs/>
                <w:sz w:val="20"/>
              </w:rPr>
            </w:pPr>
            <w:r w:rsidRPr="00B12118">
              <w:rPr>
                <w:rFonts w:ascii="Arial Narrow" w:eastAsiaTheme="majorEastAsia" w:hAnsi="Arial Narrow" w:cstheme="majorBidi"/>
                <w:bCs/>
                <w:sz w:val="20"/>
              </w:rPr>
              <w:t>12,7</w:t>
            </w:r>
            <w:r w:rsidR="00544BA1" w:rsidRPr="00B12118">
              <w:rPr>
                <w:rFonts w:ascii="Arial Narrow" w:eastAsiaTheme="majorEastAsia" w:hAnsi="Arial Narrow" w:cstheme="majorBidi"/>
                <w:bCs/>
                <w:sz w:val="20"/>
              </w:rPr>
              <w:t>11</w:t>
            </w:r>
            <w:r w:rsidRPr="00B12118">
              <w:rPr>
                <w:rFonts w:ascii="Arial Narrow" w:eastAsiaTheme="majorEastAsia" w:hAnsi="Arial Narrow" w:cstheme="majorBidi"/>
                <w:bCs/>
                <w:sz w:val="20"/>
              </w:rPr>
              <w:t xml:space="preserve"> mg per year</w:t>
            </w:r>
          </w:p>
        </w:tc>
        <w:tc>
          <w:tcPr>
            <w:tcW w:w="3902" w:type="pct"/>
            <w:vAlign w:val="center"/>
          </w:tcPr>
          <w:p w14:paraId="03506EF6" w14:textId="5E26A59D" w:rsidR="002E2334" w:rsidRPr="00B12118" w:rsidRDefault="002E2334" w:rsidP="00873AF3">
            <w:pPr>
              <w:jc w:val="left"/>
              <w:rPr>
                <w:rFonts w:ascii="Arial Narrow" w:eastAsiaTheme="majorEastAsia" w:hAnsi="Arial Narrow" w:cstheme="majorBidi"/>
                <w:bCs/>
                <w:sz w:val="20"/>
              </w:rPr>
            </w:pPr>
            <w:r w:rsidRPr="00B12118">
              <w:rPr>
                <w:rFonts w:ascii="Arial Narrow" w:eastAsiaTheme="majorEastAsia" w:hAnsi="Arial Narrow" w:cstheme="majorBidi"/>
                <w:bCs/>
                <w:sz w:val="20"/>
              </w:rPr>
              <w:t>2.11 vials per infusion (as above), 6 infusions per cycle (</w:t>
            </w:r>
            <w:bookmarkStart w:id="72" w:name="_Hlk194442578"/>
            <w:r w:rsidRPr="00B12118">
              <w:rPr>
                <w:rFonts w:ascii="Arial Narrow" w:eastAsiaTheme="majorEastAsia" w:hAnsi="Arial Narrow" w:cstheme="majorBidi"/>
                <w:bCs/>
                <w:sz w:val="20"/>
              </w:rPr>
              <w:t>full dose intensity</w:t>
            </w:r>
            <w:r w:rsidR="007D5029" w:rsidRPr="00B12118">
              <w:rPr>
                <w:rFonts w:ascii="Arial Narrow" w:eastAsiaTheme="majorEastAsia" w:hAnsi="Arial Narrow" w:cstheme="majorBidi"/>
                <w:bCs/>
                <w:sz w:val="20"/>
              </w:rPr>
              <w:t>/compliance to the number of infusions per cycle</w:t>
            </w:r>
            <w:r w:rsidRPr="00B12118">
              <w:rPr>
                <w:rFonts w:ascii="Arial Narrow" w:eastAsiaTheme="majorEastAsia" w:hAnsi="Arial Narrow" w:cstheme="majorBidi"/>
                <w:bCs/>
                <w:sz w:val="20"/>
              </w:rPr>
              <w:t xml:space="preserve">) </w:t>
            </w:r>
            <w:bookmarkEnd w:id="72"/>
            <w:r w:rsidRPr="00B12118">
              <w:rPr>
                <w:rFonts w:ascii="Arial Narrow" w:eastAsiaTheme="majorEastAsia" w:hAnsi="Arial Narrow" w:cstheme="majorBidi"/>
                <w:bCs/>
                <w:sz w:val="20"/>
              </w:rPr>
              <w:t>and 3.59 cycles per year</w:t>
            </w:r>
            <w:r w:rsidR="00DA3E9F" w:rsidRPr="00B12118">
              <w:rPr>
                <w:rFonts w:ascii="Arial Narrow" w:eastAsiaTheme="majorEastAsia" w:hAnsi="Arial Narrow" w:cstheme="majorBidi"/>
                <w:bCs/>
                <w:sz w:val="20"/>
              </w:rPr>
              <w:t xml:space="preserve"> based on the annualised cycles from the final MG0007 study report</w:t>
            </w:r>
            <w:r w:rsidR="00D060C0" w:rsidRPr="00B12118">
              <w:rPr>
                <w:rFonts w:ascii="Arial Narrow" w:eastAsiaTheme="majorEastAsia" w:hAnsi="Arial Narrow" w:cstheme="majorBidi"/>
                <w:bCs/>
                <w:sz w:val="20"/>
              </w:rPr>
              <w:t xml:space="preserve"> (</w:t>
            </w:r>
            <w:r w:rsidR="00D060C0" w:rsidRPr="00B12118">
              <w:rPr>
                <w:rFonts w:ascii="Arial Narrow" w:eastAsiaTheme="majorEastAsia" w:hAnsi="Arial Narrow" w:cstheme="majorBidi"/>
                <w:bCs/>
                <w:sz w:val="20"/>
              </w:rPr>
              <w:fldChar w:fldCharType="begin" w:fldLock="1"/>
            </w:r>
            <w:r w:rsidR="00D060C0" w:rsidRPr="00B12118">
              <w:rPr>
                <w:rFonts w:ascii="Arial Narrow" w:eastAsiaTheme="majorEastAsia" w:hAnsi="Arial Narrow" w:cstheme="majorBidi"/>
                <w:bCs/>
                <w:sz w:val="20"/>
              </w:rPr>
              <w:instrText xml:space="preserve"> REF _Ref185258738 \h  \* MERGEFORMAT </w:instrText>
            </w:r>
            <w:r w:rsidR="00D060C0" w:rsidRPr="00B12118">
              <w:rPr>
                <w:rFonts w:ascii="Arial Narrow" w:eastAsiaTheme="majorEastAsia" w:hAnsi="Arial Narrow" w:cstheme="majorBidi"/>
                <w:bCs/>
                <w:sz w:val="20"/>
              </w:rPr>
            </w:r>
            <w:r w:rsidR="00D060C0" w:rsidRPr="00B12118">
              <w:rPr>
                <w:rFonts w:ascii="Arial Narrow" w:eastAsiaTheme="majorEastAsia" w:hAnsi="Arial Narrow" w:cstheme="majorBidi"/>
                <w:bCs/>
                <w:sz w:val="20"/>
              </w:rPr>
              <w:fldChar w:fldCharType="separate"/>
            </w:r>
            <w:r w:rsidR="00E70E55" w:rsidRPr="00E70E55">
              <w:rPr>
                <w:rFonts w:ascii="Arial Narrow" w:eastAsiaTheme="majorEastAsia" w:hAnsi="Arial Narrow" w:cstheme="majorBidi"/>
                <w:bCs/>
                <w:sz w:val="20"/>
              </w:rPr>
              <w:t>Table 7</w:t>
            </w:r>
            <w:r w:rsidR="00D060C0" w:rsidRPr="00B12118">
              <w:rPr>
                <w:rFonts w:ascii="Arial Narrow" w:eastAsiaTheme="majorEastAsia" w:hAnsi="Arial Narrow" w:cstheme="majorBidi"/>
                <w:bCs/>
                <w:sz w:val="20"/>
              </w:rPr>
              <w:fldChar w:fldCharType="end"/>
            </w:r>
            <w:r w:rsidR="00D060C0" w:rsidRPr="00B12118">
              <w:rPr>
                <w:rFonts w:ascii="Arial Narrow" w:eastAsiaTheme="majorEastAsia" w:hAnsi="Arial Narrow" w:cstheme="majorBidi"/>
                <w:bCs/>
                <w:sz w:val="20"/>
              </w:rPr>
              <w:t>).</w:t>
            </w:r>
            <w:r w:rsidR="00544BA1" w:rsidRPr="00B12118">
              <w:rPr>
                <w:rFonts w:ascii="Arial Narrow" w:eastAsiaTheme="majorEastAsia" w:hAnsi="Arial Narrow" w:cstheme="majorBidi"/>
                <w:bCs/>
                <w:sz w:val="20"/>
              </w:rPr>
              <w:t xml:space="preserve"> This equates to a treatment-free interval of 8.5 weeks between cycles.</w:t>
            </w:r>
          </w:p>
        </w:tc>
      </w:tr>
      <w:tr w:rsidR="00E27F5C" w:rsidRPr="007A3130" w14:paraId="22FC519B" w14:textId="77777777" w:rsidTr="00BF1FA0">
        <w:trPr>
          <w:cantSplit/>
          <w:trHeight w:val="43"/>
        </w:trPr>
        <w:tc>
          <w:tcPr>
            <w:tcW w:w="626" w:type="pct"/>
            <w:vAlign w:val="center"/>
          </w:tcPr>
          <w:p w14:paraId="3F5A9170" w14:textId="06D6D2F1" w:rsidR="00C126E7" w:rsidRDefault="00DA3E9F" w:rsidP="00873AF3">
            <w:pPr>
              <w:jc w:val="left"/>
              <w:rPr>
                <w:rFonts w:ascii="Arial Narrow" w:eastAsiaTheme="majorEastAsia" w:hAnsi="Arial Narrow" w:cstheme="majorBidi"/>
                <w:bCs/>
                <w:sz w:val="20"/>
              </w:rPr>
            </w:pPr>
            <w:r>
              <w:rPr>
                <w:rFonts w:ascii="Arial Narrow" w:eastAsiaTheme="majorEastAsia" w:hAnsi="Arial Narrow" w:cstheme="majorBidi"/>
                <w:bCs/>
                <w:sz w:val="20"/>
              </w:rPr>
              <w:t>M</w:t>
            </w:r>
            <w:r w:rsidR="00C126E7">
              <w:rPr>
                <w:rFonts w:ascii="Arial Narrow" w:eastAsiaTheme="majorEastAsia" w:hAnsi="Arial Narrow" w:cstheme="majorBidi"/>
                <w:bCs/>
                <w:sz w:val="20"/>
              </w:rPr>
              <w:t xml:space="preserve">inimum treatment-free interval </w:t>
            </w:r>
            <w:r w:rsidR="00753A96">
              <w:rPr>
                <w:rFonts w:ascii="Arial Narrow" w:eastAsiaTheme="majorEastAsia" w:hAnsi="Arial Narrow" w:cstheme="majorBidi"/>
                <w:bCs/>
                <w:sz w:val="20"/>
              </w:rPr>
              <w:t>and full compliance</w:t>
            </w:r>
          </w:p>
        </w:tc>
        <w:tc>
          <w:tcPr>
            <w:tcW w:w="472" w:type="pct"/>
            <w:vAlign w:val="center"/>
          </w:tcPr>
          <w:p w14:paraId="108A4DA8" w14:textId="063D82C1" w:rsidR="00C126E7" w:rsidRPr="00B12118" w:rsidRDefault="00B1444C" w:rsidP="00873AF3">
            <w:pPr>
              <w:jc w:val="center"/>
              <w:rPr>
                <w:rFonts w:ascii="Arial Narrow" w:eastAsiaTheme="majorEastAsia" w:hAnsi="Arial Narrow" w:cstheme="majorBidi"/>
                <w:bCs/>
                <w:sz w:val="20"/>
              </w:rPr>
            </w:pPr>
            <w:r w:rsidRPr="00B12118">
              <w:rPr>
                <w:rFonts w:ascii="Arial Narrow" w:eastAsiaTheme="majorEastAsia" w:hAnsi="Arial Narrow" w:cstheme="majorBidi"/>
                <w:bCs/>
                <w:sz w:val="20"/>
              </w:rPr>
              <w:t>18,4</w:t>
            </w:r>
            <w:r w:rsidR="00544BA1" w:rsidRPr="00B12118">
              <w:rPr>
                <w:rFonts w:ascii="Arial Narrow" w:eastAsiaTheme="majorEastAsia" w:hAnsi="Arial Narrow" w:cstheme="majorBidi"/>
                <w:bCs/>
                <w:sz w:val="20"/>
              </w:rPr>
              <w:t>15</w:t>
            </w:r>
            <w:r w:rsidRPr="00B12118">
              <w:rPr>
                <w:rFonts w:ascii="Arial Narrow" w:eastAsiaTheme="majorEastAsia" w:hAnsi="Arial Narrow" w:cstheme="majorBidi"/>
                <w:bCs/>
                <w:sz w:val="20"/>
              </w:rPr>
              <w:t xml:space="preserve"> </w:t>
            </w:r>
            <w:r w:rsidR="00C126E7" w:rsidRPr="00B12118">
              <w:rPr>
                <w:rFonts w:ascii="Arial Narrow" w:eastAsiaTheme="majorEastAsia" w:hAnsi="Arial Narrow" w:cstheme="majorBidi"/>
                <w:bCs/>
                <w:sz w:val="20"/>
              </w:rPr>
              <w:t>mg</w:t>
            </w:r>
            <w:r w:rsidRPr="00B12118">
              <w:rPr>
                <w:rFonts w:ascii="Arial Narrow" w:eastAsiaTheme="majorEastAsia" w:hAnsi="Arial Narrow" w:cstheme="majorBidi"/>
                <w:bCs/>
                <w:sz w:val="20"/>
              </w:rPr>
              <w:t xml:space="preserve"> per year</w:t>
            </w:r>
          </w:p>
        </w:tc>
        <w:tc>
          <w:tcPr>
            <w:tcW w:w="3902" w:type="pct"/>
            <w:vAlign w:val="center"/>
          </w:tcPr>
          <w:p w14:paraId="24D1E2F3" w14:textId="3E4E2C60" w:rsidR="00C126E7" w:rsidRPr="00B12118" w:rsidRDefault="002E2334" w:rsidP="00873AF3">
            <w:pPr>
              <w:jc w:val="left"/>
              <w:rPr>
                <w:rFonts w:ascii="Arial Narrow" w:eastAsiaTheme="majorEastAsia" w:hAnsi="Arial Narrow" w:cstheme="majorBidi"/>
                <w:bCs/>
                <w:sz w:val="20"/>
              </w:rPr>
            </w:pPr>
            <w:r w:rsidRPr="00B12118">
              <w:rPr>
                <w:rFonts w:ascii="Arial Narrow" w:eastAsiaTheme="majorEastAsia" w:hAnsi="Arial Narrow" w:cstheme="majorBidi"/>
                <w:bCs/>
                <w:sz w:val="20"/>
              </w:rPr>
              <w:t>2.11 vials per infusion (as</w:t>
            </w:r>
            <w:r w:rsidR="00C126E7" w:rsidRPr="00B12118">
              <w:rPr>
                <w:rFonts w:ascii="Arial Narrow" w:eastAsiaTheme="majorEastAsia" w:hAnsi="Arial Narrow" w:cstheme="majorBidi"/>
                <w:bCs/>
                <w:sz w:val="20"/>
              </w:rPr>
              <w:t xml:space="preserve"> above</w:t>
            </w:r>
            <w:r w:rsidRPr="00B12118">
              <w:rPr>
                <w:rFonts w:ascii="Arial Narrow" w:eastAsiaTheme="majorEastAsia" w:hAnsi="Arial Narrow" w:cstheme="majorBidi"/>
                <w:bCs/>
                <w:sz w:val="20"/>
              </w:rPr>
              <w:t>),</w:t>
            </w:r>
            <w:r w:rsidR="00753A96" w:rsidRPr="00B12118">
              <w:rPr>
                <w:rFonts w:ascii="Arial Narrow" w:eastAsiaTheme="majorEastAsia" w:hAnsi="Arial Narrow" w:cstheme="majorBidi"/>
                <w:bCs/>
                <w:sz w:val="20"/>
              </w:rPr>
              <w:t xml:space="preserve"> 6 infusions per cycle (full dose intensity</w:t>
            </w:r>
            <w:r w:rsidR="007D5029" w:rsidRPr="00B12118">
              <w:rPr>
                <w:rFonts w:ascii="Arial Narrow" w:eastAsiaTheme="majorEastAsia" w:hAnsi="Arial Narrow" w:cstheme="majorBidi"/>
                <w:bCs/>
                <w:sz w:val="20"/>
              </w:rPr>
              <w:t>/compliance to the number of infusions per cycle</w:t>
            </w:r>
            <w:r w:rsidR="00753A96" w:rsidRPr="00B12118">
              <w:rPr>
                <w:rFonts w:ascii="Arial Narrow" w:eastAsiaTheme="majorEastAsia" w:hAnsi="Arial Narrow" w:cstheme="majorBidi"/>
                <w:bCs/>
                <w:sz w:val="20"/>
              </w:rPr>
              <w:t>) and</w:t>
            </w:r>
            <w:r w:rsidR="00C126E7" w:rsidRPr="00B12118">
              <w:rPr>
                <w:rFonts w:ascii="Arial Narrow" w:eastAsiaTheme="majorEastAsia" w:hAnsi="Arial Narrow" w:cstheme="majorBidi"/>
                <w:bCs/>
                <w:sz w:val="20"/>
              </w:rPr>
              <w:t xml:space="preserve"> </w:t>
            </w:r>
            <w:r w:rsidR="00753A96" w:rsidRPr="00B12118">
              <w:rPr>
                <w:rFonts w:ascii="Arial Narrow" w:eastAsiaTheme="majorEastAsia" w:hAnsi="Arial Narrow" w:cstheme="majorBidi"/>
                <w:bCs/>
                <w:sz w:val="20"/>
              </w:rPr>
              <w:t>5.2</w:t>
            </w:r>
            <w:r w:rsidR="00C126E7" w:rsidRPr="00B12118">
              <w:rPr>
                <w:rFonts w:ascii="Arial Narrow" w:eastAsiaTheme="majorEastAsia" w:hAnsi="Arial Narrow" w:cstheme="majorBidi"/>
                <w:bCs/>
                <w:sz w:val="20"/>
              </w:rPr>
              <w:t xml:space="preserve"> cycles per year. This equates to a treatment-free interval of 4 weeks between cycles.</w:t>
            </w:r>
          </w:p>
        </w:tc>
      </w:tr>
      <w:tr w:rsidR="00E27F5C" w:rsidRPr="007A3130" w14:paraId="1443C045" w14:textId="77777777" w:rsidTr="00BF1FA0">
        <w:trPr>
          <w:cantSplit/>
          <w:trHeight w:val="43"/>
        </w:trPr>
        <w:tc>
          <w:tcPr>
            <w:tcW w:w="5000" w:type="pct"/>
            <w:gridSpan w:val="3"/>
            <w:vAlign w:val="center"/>
          </w:tcPr>
          <w:p w14:paraId="71CE5946" w14:textId="77777777" w:rsidR="00C126E7" w:rsidRPr="007A3130" w:rsidRDefault="00C126E7" w:rsidP="00873AF3">
            <w:pPr>
              <w:jc w:val="left"/>
              <w:rPr>
                <w:rFonts w:ascii="Arial Narrow" w:eastAsiaTheme="majorEastAsia" w:hAnsi="Arial Narrow" w:cstheme="majorBidi"/>
                <w:b/>
                <w:sz w:val="20"/>
              </w:rPr>
            </w:pPr>
            <w:r w:rsidRPr="007A3130">
              <w:rPr>
                <w:rFonts w:ascii="Arial Narrow" w:eastAsiaTheme="majorEastAsia" w:hAnsi="Arial Narrow" w:cstheme="majorBidi"/>
                <w:b/>
                <w:sz w:val="20"/>
              </w:rPr>
              <w:t>IVIg costing scenarios</w:t>
            </w:r>
          </w:p>
        </w:tc>
      </w:tr>
      <w:tr w:rsidR="00E27F5C" w:rsidRPr="007A3130" w14:paraId="32CB7A84" w14:textId="77777777" w:rsidTr="00BF1FA0">
        <w:trPr>
          <w:cantSplit/>
          <w:trHeight w:val="43"/>
        </w:trPr>
        <w:tc>
          <w:tcPr>
            <w:tcW w:w="626" w:type="pct"/>
            <w:vAlign w:val="center"/>
          </w:tcPr>
          <w:p w14:paraId="0633C65A" w14:textId="77777777" w:rsidR="00C126E7" w:rsidRPr="007A3130" w:rsidRDefault="00C126E7" w:rsidP="00873AF3">
            <w:pPr>
              <w:jc w:val="left"/>
              <w:rPr>
                <w:rFonts w:ascii="Arial Narrow" w:eastAsiaTheme="majorEastAsia" w:hAnsi="Arial Narrow" w:cstheme="majorBidi"/>
                <w:bCs/>
                <w:sz w:val="20"/>
              </w:rPr>
            </w:pPr>
            <w:r w:rsidRPr="007A3130">
              <w:rPr>
                <w:rFonts w:ascii="Arial Narrow" w:eastAsiaTheme="majorEastAsia" w:hAnsi="Arial Narrow" w:cstheme="majorBidi"/>
                <w:bCs/>
                <w:sz w:val="20"/>
              </w:rPr>
              <w:t xml:space="preserve">ESC: IVIg </w:t>
            </w:r>
            <w:r w:rsidRPr="007A3130">
              <w:rPr>
                <w:rFonts w:ascii="Arial Narrow" w:eastAsiaTheme="majorEastAsia" w:hAnsi="Arial Narrow" w:cstheme="majorBidi"/>
                <w:bCs/>
                <w:sz w:val="20"/>
              </w:rPr>
              <w:br/>
              <w:t>(average grams dispensed per maintenance MG patient)</w:t>
            </w:r>
          </w:p>
        </w:tc>
        <w:tc>
          <w:tcPr>
            <w:tcW w:w="472" w:type="pct"/>
            <w:vAlign w:val="center"/>
          </w:tcPr>
          <w:p w14:paraId="0B4D0F6A" w14:textId="1055080C" w:rsidR="00C126E7" w:rsidRPr="00B12118" w:rsidRDefault="00C126E7" w:rsidP="00873AF3">
            <w:pPr>
              <w:jc w:val="center"/>
              <w:rPr>
                <w:rFonts w:ascii="Arial Narrow" w:eastAsiaTheme="majorEastAsia" w:hAnsi="Arial Narrow" w:cstheme="majorBidi"/>
                <w:bCs/>
                <w:sz w:val="20"/>
              </w:rPr>
            </w:pPr>
            <w:r w:rsidRPr="00B12118">
              <w:rPr>
                <w:rFonts w:ascii="Arial Narrow" w:eastAsiaTheme="majorEastAsia" w:hAnsi="Arial Narrow" w:cstheme="majorBidi"/>
                <w:bCs/>
                <w:sz w:val="20"/>
              </w:rPr>
              <w:t>$</w:t>
            </w:r>
            <w:r w:rsidR="00027A85" w:rsidRPr="00A137D7">
              <w:rPr>
                <w:rFonts w:ascii="Arial Narrow" w:eastAsiaTheme="majorEastAsia" w:hAnsi="Arial Narrow" w:cstheme="majorBidi"/>
                <w:color w:val="000000"/>
                <w:spacing w:val="53"/>
                <w:sz w:val="20"/>
                <w:shd w:val="solid" w:color="000000" w:fill="000000"/>
                <w:fitText w:val="330" w:id="-656193272"/>
                <w14:textFill>
                  <w14:solidFill>
                    <w14:srgbClr w14:val="000000">
                      <w14:alpha w14:val="100000"/>
                    </w14:srgbClr>
                  </w14:solidFill>
                </w14:textFill>
              </w:rPr>
              <w:t>|||</w:t>
            </w:r>
            <w:r w:rsidR="00027A85" w:rsidRPr="00A137D7">
              <w:rPr>
                <w:rFonts w:ascii="Arial Narrow" w:eastAsiaTheme="majorEastAsia" w:hAnsi="Arial Narrow" w:cstheme="majorBidi"/>
                <w:color w:val="000000"/>
                <w:spacing w:val="1"/>
                <w:sz w:val="20"/>
                <w:shd w:val="solid" w:color="000000" w:fill="000000"/>
                <w:fitText w:val="330" w:id="-656193272"/>
                <w14:textFill>
                  <w14:solidFill>
                    <w14:srgbClr w14:val="000000">
                      <w14:alpha w14:val="100000"/>
                    </w14:srgbClr>
                  </w14:solidFill>
                </w14:textFill>
              </w:rPr>
              <w:t>|</w:t>
            </w:r>
          </w:p>
        </w:tc>
        <w:tc>
          <w:tcPr>
            <w:tcW w:w="3902" w:type="pct"/>
            <w:vAlign w:val="center"/>
          </w:tcPr>
          <w:p w14:paraId="26550923" w14:textId="6CA401AA" w:rsidR="00C126E7" w:rsidRPr="00B12118" w:rsidRDefault="00C126E7" w:rsidP="00873AF3">
            <w:pPr>
              <w:jc w:val="left"/>
              <w:rPr>
                <w:rFonts w:ascii="Arial Narrow" w:eastAsiaTheme="majorEastAsia" w:hAnsi="Arial Narrow" w:cstheme="majorBidi"/>
                <w:bCs/>
                <w:sz w:val="20"/>
              </w:rPr>
            </w:pPr>
            <w:r w:rsidRPr="00B12118">
              <w:rPr>
                <w:rFonts w:ascii="Arial Narrow" w:eastAsiaTheme="majorEastAsia" w:hAnsi="Arial Narrow" w:cstheme="majorBidi"/>
                <w:bCs/>
                <w:sz w:val="20"/>
              </w:rPr>
              <w:t>Based on an estimated cost of $</w:t>
            </w:r>
            <w:r w:rsidR="00B166C9" w:rsidRPr="00A137D7">
              <w:rPr>
                <w:rFonts w:ascii="Arial Narrow" w:eastAsiaTheme="majorEastAsia" w:hAnsi="Arial Narrow" w:cstheme="majorBidi"/>
                <w:color w:val="000000"/>
                <w:spacing w:val="32"/>
                <w:sz w:val="20"/>
                <w:shd w:val="solid" w:color="000000" w:fill="000000"/>
                <w:fitText w:val="420" w:id="-656192511"/>
                <w14:textFill>
                  <w14:solidFill>
                    <w14:srgbClr w14:val="000000">
                      <w14:alpha w14:val="100000"/>
                    </w14:srgbClr>
                  </w14:solidFill>
                </w14:textFill>
              </w:rPr>
              <w:t>|||||</w:t>
            </w:r>
            <w:r w:rsidR="00B166C9" w:rsidRPr="00A137D7">
              <w:rPr>
                <w:rFonts w:ascii="Arial Narrow" w:eastAsiaTheme="majorEastAsia" w:hAnsi="Arial Narrow" w:cstheme="majorBidi"/>
                <w:color w:val="000000"/>
                <w:spacing w:val="5"/>
                <w:sz w:val="20"/>
                <w:shd w:val="solid" w:color="000000" w:fill="000000"/>
                <w:fitText w:val="420" w:id="-656192511"/>
                <w14:textFill>
                  <w14:solidFill>
                    <w14:srgbClr w14:val="000000">
                      <w14:alpha w14:val="100000"/>
                    </w14:srgbClr>
                  </w14:solidFill>
                </w14:textFill>
              </w:rPr>
              <w:t>|</w:t>
            </w:r>
            <w:r w:rsidR="00B166C9">
              <w:rPr>
                <w:rFonts w:ascii="Arial Narrow" w:eastAsiaTheme="majorEastAsia" w:hAnsi="Arial Narrow" w:cstheme="majorBidi"/>
                <w:bCs/>
                <w:sz w:val="20"/>
              </w:rPr>
              <w:t xml:space="preserve"> </w:t>
            </w:r>
            <w:r w:rsidRPr="00B12118">
              <w:rPr>
                <w:rFonts w:ascii="Arial Narrow" w:eastAsiaTheme="majorEastAsia" w:hAnsi="Arial Narrow" w:cstheme="majorBidi"/>
                <w:bCs/>
                <w:sz w:val="20"/>
              </w:rPr>
              <w:t xml:space="preserve">per gram for IVIg and average dose of 541 grams per patient per year based on data received from the NBA for 2023-24 (refer to Section 7). </w:t>
            </w:r>
          </w:p>
          <w:p w14:paraId="274C3CF6" w14:textId="77777777" w:rsidR="00C126E7" w:rsidRPr="00B12118" w:rsidRDefault="00C126E7" w:rsidP="00873AF3">
            <w:pPr>
              <w:jc w:val="left"/>
              <w:rPr>
                <w:rFonts w:ascii="Arial Narrow" w:eastAsiaTheme="majorEastAsia" w:hAnsi="Arial Narrow" w:cstheme="majorBidi"/>
                <w:bCs/>
                <w:sz w:val="20"/>
              </w:rPr>
            </w:pPr>
            <w:r w:rsidRPr="00B12118">
              <w:rPr>
                <w:rFonts w:ascii="Arial Narrow" w:eastAsiaTheme="majorEastAsia" w:hAnsi="Arial Narrow" w:cstheme="majorBidi"/>
                <w:bCs/>
                <w:sz w:val="20"/>
              </w:rPr>
              <w:t>This excludes patients who commenced in 2023-24, as this may represent a part year of treatment for some patients, and may include non-responders.</w:t>
            </w:r>
          </w:p>
        </w:tc>
      </w:tr>
      <w:tr w:rsidR="00E27F5C" w:rsidRPr="007A3130" w14:paraId="18192AE8" w14:textId="77777777" w:rsidTr="00BF1FA0">
        <w:trPr>
          <w:cantSplit/>
          <w:trHeight w:val="43"/>
        </w:trPr>
        <w:tc>
          <w:tcPr>
            <w:tcW w:w="626" w:type="pct"/>
            <w:vAlign w:val="center"/>
          </w:tcPr>
          <w:p w14:paraId="5288A4CB" w14:textId="2827ED7B" w:rsidR="000F4694" w:rsidRPr="007A3130" w:rsidRDefault="00832D4A" w:rsidP="00873AF3">
            <w:pPr>
              <w:jc w:val="left"/>
              <w:rPr>
                <w:rFonts w:ascii="Arial Narrow" w:eastAsiaTheme="majorEastAsia" w:hAnsi="Arial Narrow" w:cstheme="majorBidi"/>
                <w:bCs/>
                <w:sz w:val="20"/>
              </w:rPr>
            </w:pPr>
            <w:r>
              <w:rPr>
                <w:rFonts w:ascii="Arial Narrow" w:eastAsiaTheme="majorEastAsia" w:hAnsi="Arial Narrow" w:cstheme="majorBidi"/>
                <w:bCs/>
                <w:sz w:val="20"/>
              </w:rPr>
              <w:t>S</w:t>
            </w:r>
            <w:r w:rsidR="000F4694">
              <w:rPr>
                <w:rFonts w:ascii="Arial Narrow" w:eastAsiaTheme="majorEastAsia" w:hAnsi="Arial Narrow" w:cstheme="majorBidi"/>
                <w:bCs/>
                <w:sz w:val="20"/>
              </w:rPr>
              <w:t xml:space="preserve">ubmission </w:t>
            </w:r>
          </w:p>
        </w:tc>
        <w:tc>
          <w:tcPr>
            <w:tcW w:w="472" w:type="pct"/>
            <w:vAlign w:val="center"/>
          </w:tcPr>
          <w:p w14:paraId="5F26E92B" w14:textId="00FCDA64" w:rsidR="000F4694" w:rsidRPr="00B12118" w:rsidRDefault="000F4694" w:rsidP="00873AF3">
            <w:pPr>
              <w:jc w:val="center"/>
              <w:rPr>
                <w:rFonts w:ascii="Arial Narrow" w:eastAsiaTheme="majorEastAsia" w:hAnsi="Arial Narrow" w:cstheme="majorBidi"/>
                <w:bCs/>
                <w:sz w:val="20"/>
              </w:rPr>
            </w:pPr>
            <w:r w:rsidRPr="00B12118">
              <w:rPr>
                <w:rFonts w:ascii="Arial Narrow" w:eastAsiaTheme="majorEastAsia" w:hAnsi="Arial Narrow" w:cstheme="majorBidi"/>
                <w:bCs/>
                <w:sz w:val="20"/>
              </w:rPr>
              <w:t>$</w:t>
            </w:r>
            <w:r w:rsidR="00027A85" w:rsidRPr="00A137D7">
              <w:rPr>
                <w:rFonts w:ascii="Arial Narrow" w:eastAsiaTheme="majorEastAsia" w:hAnsi="Arial Narrow" w:cstheme="majorBidi"/>
                <w:color w:val="000000"/>
                <w:spacing w:val="53"/>
                <w:sz w:val="20"/>
                <w:shd w:val="solid" w:color="000000" w:fill="000000"/>
                <w:fitText w:val="330" w:id="-656193271"/>
                <w14:textFill>
                  <w14:solidFill>
                    <w14:srgbClr w14:val="000000">
                      <w14:alpha w14:val="100000"/>
                    </w14:srgbClr>
                  </w14:solidFill>
                </w14:textFill>
              </w:rPr>
              <w:t>|||</w:t>
            </w:r>
            <w:r w:rsidR="00027A85" w:rsidRPr="00A137D7">
              <w:rPr>
                <w:rFonts w:ascii="Arial Narrow" w:eastAsiaTheme="majorEastAsia" w:hAnsi="Arial Narrow" w:cstheme="majorBidi"/>
                <w:color w:val="000000"/>
                <w:spacing w:val="1"/>
                <w:sz w:val="20"/>
                <w:shd w:val="solid" w:color="000000" w:fill="000000"/>
                <w:fitText w:val="330" w:id="-656193271"/>
                <w14:textFill>
                  <w14:solidFill>
                    <w14:srgbClr w14:val="000000">
                      <w14:alpha w14:val="100000"/>
                    </w14:srgbClr>
                  </w14:solidFill>
                </w14:textFill>
              </w:rPr>
              <w:t>|</w:t>
            </w:r>
          </w:p>
        </w:tc>
        <w:tc>
          <w:tcPr>
            <w:tcW w:w="3902" w:type="pct"/>
            <w:vAlign w:val="center"/>
          </w:tcPr>
          <w:p w14:paraId="72CC0643" w14:textId="5B02A883" w:rsidR="000F4694" w:rsidRPr="00B12118" w:rsidRDefault="000F4694" w:rsidP="00873AF3">
            <w:pPr>
              <w:jc w:val="left"/>
              <w:rPr>
                <w:rFonts w:ascii="Arial Narrow" w:eastAsiaTheme="majorEastAsia" w:hAnsi="Arial Narrow" w:cstheme="majorBidi"/>
                <w:bCs/>
                <w:sz w:val="20"/>
              </w:rPr>
            </w:pPr>
            <w:r w:rsidRPr="00B12118">
              <w:rPr>
                <w:rFonts w:ascii="Arial Narrow" w:eastAsiaTheme="majorEastAsia" w:hAnsi="Arial Narrow" w:cstheme="majorBidi"/>
                <w:bCs/>
                <w:sz w:val="20"/>
              </w:rPr>
              <w:t>92</w:t>
            </w:r>
            <w:r w:rsidR="00832D4A" w:rsidRPr="00B12118">
              <w:rPr>
                <w:rFonts w:ascii="Arial Narrow" w:eastAsiaTheme="majorEastAsia" w:hAnsi="Arial Narrow" w:cstheme="majorBidi"/>
                <w:bCs/>
                <w:sz w:val="20"/>
              </w:rPr>
              <w:t>7</w:t>
            </w:r>
            <w:r w:rsidRPr="00B12118">
              <w:rPr>
                <w:rFonts w:ascii="Arial Narrow" w:eastAsiaTheme="majorEastAsia" w:hAnsi="Arial Narrow" w:cstheme="majorBidi"/>
                <w:bCs/>
                <w:sz w:val="20"/>
              </w:rPr>
              <w:t xml:space="preserve"> grams at $</w:t>
            </w:r>
            <w:r w:rsidR="00027A85" w:rsidRPr="00A137D7">
              <w:rPr>
                <w:rFonts w:ascii="Arial Narrow" w:eastAsiaTheme="majorEastAsia" w:hAnsi="Arial Narrow" w:cstheme="majorBidi"/>
                <w:color w:val="000000"/>
                <w:spacing w:val="53"/>
                <w:sz w:val="20"/>
                <w:shd w:val="solid" w:color="000000" w:fill="000000"/>
                <w:fitText w:val="330" w:id="-656193270"/>
                <w14:textFill>
                  <w14:solidFill>
                    <w14:srgbClr w14:val="000000">
                      <w14:alpha w14:val="100000"/>
                    </w14:srgbClr>
                  </w14:solidFill>
                </w14:textFill>
              </w:rPr>
              <w:t>|||</w:t>
            </w:r>
            <w:r w:rsidR="00027A85" w:rsidRPr="00A137D7">
              <w:rPr>
                <w:rFonts w:ascii="Arial Narrow" w:eastAsiaTheme="majorEastAsia" w:hAnsi="Arial Narrow" w:cstheme="majorBidi"/>
                <w:color w:val="000000"/>
                <w:spacing w:val="1"/>
                <w:sz w:val="20"/>
                <w:shd w:val="solid" w:color="000000" w:fill="000000"/>
                <w:fitText w:val="330" w:id="-656193270"/>
                <w14:textFill>
                  <w14:solidFill>
                    <w14:srgbClr w14:val="000000">
                      <w14:alpha w14:val="100000"/>
                    </w14:srgbClr>
                  </w14:solidFill>
                </w14:textFill>
              </w:rPr>
              <w:t>|</w:t>
            </w:r>
            <w:r w:rsidRPr="00B12118">
              <w:rPr>
                <w:rFonts w:ascii="Arial Narrow" w:eastAsiaTheme="majorEastAsia" w:hAnsi="Arial Narrow" w:cstheme="majorBidi"/>
                <w:bCs/>
                <w:sz w:val="20"/>
              </w:rPr>
              <w:t xml:space="preserve"> per gram</w:t>
            </w:r>
            <w:r w:rsidR="00832D4A" w:rsidRPr="00B12118">
              <w:rPr>
                <w:rFonts w:ascii="Arial Narrow" w:eastAsiaTheme="majorEastAsia" w:hAnsi="Arial Narrow" w:cstheme="majorBidi"/>
                <w:bCs/>
                <w:sz w:val="20"/>
              </w:rPr>
              <w:t xml:space="preserve"> (refer to </w:t>
            </w:r>
            <w:r w:rsidR="00832D4A" w:rsidRPr="00B12118">
              <w:rPr>
                <w:rFonts w:ascii="Arial Narrow" w:eastAsiaTheme="majorEastAsia" w:hAnsi="Arial Narrow" w:cstheme="majorBidi"/>
                <w:bCs/>
                <w:sz w:val="20"/>
              </w:rPr>
              <w:fldChar w:fldCharType="begin" w:fldLock="1"/>
            </w:r>
            <w:r w:rsidR="00832D4A" w:rsidRPr="00B12118">
              <w:rPr>
                <w:rFonts w:ascii="Arial Narrow" w:eastAsiaTheme="majorEastAsia" w:hAnsi="Arial Narrow" w:cstheme="majorBidi"/>
                <w:bCs/>
                <w:sz w:val="20"/>
              </w:rPr>
              <w:instrText xml:space="preserve"> REF _Ref185274860 \h  \* MERGEFORMAT </w:instrText>
            </w:r>
            <w:r w:rsidR="00832D4A" w:rsidRPr="00B12118">
              <w:rPr>
                <w:rFonts w:ascii="Arial Narrow" w:eastAsiaTheme="majorEastAsia" w:hAnsi="Arial Narrow" w:cstheme="majorBidi"/>
                <w:bCs/>
                <w:sz w:val="20"/>
              </w:rPr>
            </w:r>
            <w:r w:rsidR="00832D4A" w:rsidRPr="00B12118">
              <w:rPr>
                <w:rFonts w:ascii="Arial Narrow" w:eastAsiaTheme="majorEastAsia" w:hAnsi="Arial Narrow" w:cstheme="majorBidi"/>
                <w:bCs/>
                <w:sz w:val="20"/>
              </w:rPr>
              <w:fldChar w:fldCharType="separate"/>
            </w:r>
            <w:r w:rsidR="00E70E55" w:rsidRPr="00E70E55">
              <w:rPr>
                <w:rFonts w:ascii="Arial Narrow" w:eastAsiaTheme="majorEastAsia" w:hAnsi="Arial Narrow" w:cstheme="majorBidi"/>
                <w:bCs/>
                <w:sz w:val="20"/>
              </w:rPr>
              <w:t>Table 14</w:t>
            </w:r>
            <w:r w:rsidR="00832D4A" w:rsidRPr="00B12118">
              <w:rPr>
                <w:rFonts w:ascii="Arial Narrow" w:eastAsiaTheme="majorEastAsia" w:hAnsi="Arial Narrow" w:cstheme="majorBidi"/>
                <w:bCs/>
                <w:sz w:val="20"/>
              </w:rPr>
              <w:fldChar w:fldCharType="end"/>
            </w:r>
            <w:r w:rsidR="00832D4A" w:rsidRPr="00B12118">
              <w:rPr>
                <w:rFonts w:ascii="Arial Narrow" w:eastAsiaTheme="majorEastAsia" w:hAnsi="Arial Narrow" w:cstheme="majorBidi"/>
                <w:bCs/>
                <w:sz w:val="20"/>
              </w:rPr>
              <w:t>)</w:t>
            </w:r>
          </w:p>
        </w:tc>
      </w:tr>
      <w:tr w:rsidR="0019325A" w:rsidRPr="007A3130" w14:paraId="25390A13" w14:textId="77777777" w:rsidTr="00BF1FA0">
        <w:trPr>
          <w:cantSplit/>
          <w:trHeight w:val="43"/>
        </w:trPr>
        <w:tc>
          <w:tcPr>
            <w:tcW w:w="5000" w:type="pct"/>
            <w:gridSpan w:val="3"/>
            <w:vAlign w:val="center"/>
          </w:tcPr>
          <w:p w14:paraId="2A1FE8F7" w14:textId="1ECE5B75" w:rsidR="0019325A" w:rsidRPr="00B12118" w:rsidRDefault="006954BF" w:rsidP="00873AF3">
            <w:pPr>
              <w:jc w:val="left"/>
              <w:rPr>
                <w:rFonts w:ascii="Arial Narrow" w:eastAsiaTheme="majorEastAsia" w:hAnsi="Arial Narrow" w:cstheme="majorBidi"/>
                <w:b/>
                <w:sz w:val="20"/>
              </w:rPr>
            </w:pPr>
            <w:r w:rsidRPr="00B12118">
              <w:rPr>
                <w:rFonts w:ascii="Arial Narrow" w:eastAsiaTheme="majorEastAsia" w:hAnsi="Arial Narrow" w:cstheme="majorBidi"/>
                <w:b/>
                <w:sz w:val="20"/>
              </w:rPr>
              <w:t>IVIg costing scenarios: sensitivity analyses</w:t>
            </w:r>
          </w:p>
        </w:tc>
      </w:tr>
      <w:tr w:rsidR="009C04EB" w:rsidRPr="007A3130" w14:paraId="59D036DB" w14:textId="77777777" w:rsidTr="00BF1FA0">
        <w:trPr>
          <w:cantSplit/>
          <w:trHeight w:val="43"/>
        </w:trPr>
        <w:tc>
          <w:tcPr>
            <w:tcW w:w="626" w:type="pct"/>
            <w:vAlign w:val="center"/>
          </w:tcPr>
          <w:p w14:paraId="6B9923A5" w14:textId="1F380EE4" w:rsidR="009C04EB" w:rsidRPr="003041EF" w:rsidRDefault="009C04EB" w:rsidP="00873AF3">
            <w:pPr>
              <w:jc w:val="left"/>
              <w:rPr>
                <w:rFonts w:ascii="Arial Narrow" w:eastAsiaTheme="majorEastAsia" w:hAnsi="Arial Narrow" w:cstheme="majorBidi"/>
                <w:sz w:val="20"/>
                <w:szCs w:val="20"/>
              </w:rPr>
            </w:pPr>
            <w:r w:rsidRPr="003041EF">
              <w:rPr>
                <w:rFonts w:ascii="Arial Narrow" w:hAnsi="Arial Narrow"/>
                <w:sz w:val="20"/>
                <w:szCs w:val="20"/>
              </w:rPr>
              <w:t xml:space="preserve">Average IVIg dose per NBA data plus IVIg price based on MSAC review </w:t>
            </w:r>
          </w:p>
        </w:tc>
        <w:tc>
          <w:tcPr>
            <w:tcW w:w="472" w:type="pct"/>
            <w:vAlign w:val="center"/>
          </w:tcPr>
          <w:p w14:paraId="6CF9592A" w14:textId="44A01007" w:rsidR="009C04EB" w:rsidRPr="00B12118" w:rsidRDefault="009C04EB" w:rsidP="00873AF3">
            <w:pPr>
              <w:jc w:val="center"/>
              <w:rPr>
                <w:rFonts w:ascii="Arial Narrow" w:eastAsiaTheme="majorEastAsia" w:hAnsi="Arial Narrow" w:cstheme="majorBidi"/>
                <w:sz w:val="20"/>
                <w:szCs w:val="20"/>
              </w:rPr>
            </w:pPr>
            <w:r w:rsidRPr="00B12118">
              <w:rPr>
                <w:rFonts w:ascii="Arial Narrow" w:hAnsi="Arial Narrow"/>
                <w:sz w:val="20"/>
                <w:szCs w:val="20"/>
              </w:rPr>
              <w:t>$32,688</w:t>
            </w:r>
          </w:p>
        </w:tc>
        <w:tc>
          <w:tcPr>
            <w:tcW w:w="3902" w:type="pct"/>
            <w:vAlign w:val="center"/>
          </w:tcPr>
          <w:p w14:paraId="4B93B628" w14:textId="77777777" w:rsidR="009C04EB" w:rsidRPr="00B12118" w:rsidRDefault="009C04EB" w:rsidP="00873AF3">
            <w:pPr>
              <w:pStyle w:val="TableText"/>
              <w:keepNext w:val="0"/>
              <w:keepLines w:val="0"/>
              <w:widowControl/>
              <w:rPr>
                <w:bCs w:val="0"/>
                <w:szCs w:val="20"/>
              </w:rPr>
            </w:pPr>
            <w:r w:rsidRPr="00B12118">
              <w:rPr>
                <w:bCs w:val="0"/>
                <w:szCs w:val="20"/>
              </w:rPr>
              <w:t xml:space="preserve">The MSAC review of ‘Immunoglobulin therapy for Myasthenia Gravis’ from April 2020 </w:t>
            </w:r>
            <w:r w:rsidRPr="00B12118">
              <w:rPr>
                <w:bCs w:val="0"/>
                <w:szCs w:val="20"/>
                <w:vertAlign w:val="superscript"/>
              </w:rPr>
              <w:t>b</w:t>
            </w:r>
            <w:r w:rsidRPr="00B12118">
              <w:rPr>
                <w:bCs w:val="0"/>
                <w:szCs w:val="20"/>
              </w:rPr>
              <w:t xml:space="preserve"> used a price of $60.41 per gram in the base case based on NBA data from 2017-18 i.e. this was the cost at which the cost-effectiveness of IVIg was assessed. </w:t>
            </w:r>
          </w:p>
          <w:p w14:paraId="34DE9393" w14:textId="05FB335E" w:rsidR="009C04EB" w:rsidRPr="00B12118" w:rsidRDefault="009C04EB" w:rsidP="00873AF3">
            <w:pPr>
              <w:jc w:val="left"/>
              <w:rPr>
                <w:rFonts w:ascii="Arial Narrow" w:eastAsiaTheme="majorEastAsia" w:hAnsi="Arial Narrow" w:cstheme="majorBidi"/>
                <w:sz w:val="20"/>
                <w:szCs w:val="20"/>
              </w:rPr>
            </w:pPr>
            <w:r w:rsidRPr="00B12118">
              <w:rPr>
                <w:rFonts w:ascii="Arial Narrow" w:hAnsi="Arial Narrow"/>
                <w:sz w:val="20"/>
                <w:szCs w:val="20"/>
              </w:rPr>
              <w:t>Average IVIg dose of 541 grams per patient per year based on data received from the NBA for 2023-24</w:t>
            </w:r>
            <w:r w:rsidR="001C4754" w:rsidRPr="00B12118">
              <w:rPr>
                <w:rFonts w:ascii="Arial Narrow" w:hAnsi="Arial Narrow"/>
                <w:sz w:val="20"/>
                <w:szCs w:val="20"/>
              </w:rPr>
              <w:t>.</w:t>
            </w:r>
          </w:p>
        </w:tc>
      </w:tr>
      <w:tr w:rsidR="009C04EB" w:rsidRPr="007A3130" w14:paraId="6C5BCABA" w14:textId="77777777" w:rsidTr="00BF1FA0">
        <w:trPr>
          <w:cantSplit/>
          <w:trHeight w:val="43"/>
        </w:trPr>
        <w:tc>
          <w:tcPr>
            <w:tcW w:w="626" w:type="pct"/>
            <w:vAlign w:val="center"/>
          </w:tcPr>
          <w:p w14:paraId="285612F4" w14:textId="5FF4DCAF" w:rsidR="009C04EB" w:rsidRPr="00344857" w:rsidRDefault="002E2334" w:rsidP="00873AF3">
            <w:pPr>
              <w:jc w:val="left"/>
              <w:rPr>
                <w:rFonts w:ascii="Arial Narrow" w:eastAsiaTheme="majorEastAsia" w:hAnsi="Arial Narrow" w:cstheme="majorBidi"/>
                <w:sz w:val="20"/>
                <w:szCs w:val="20"/>
              </w:rPr>
            </w:pPr>
            <w:r w:rsidRPr="00344857">
              <w:rPr>
                <w:rFonts w:ascii="Arial Narrow" w:eastAsiaTheme="majorEastAsia" w:hAnsi="Arial Narrow" w:cstheme="majorBidi"/>
                <w:bCs/>
                <w:sz w:val="20"/>
              </w:rPr>
              <w:t xml:space="preserve">Maximum dose recommended in IVIg Product Info </w:t>
            </w:r>
            <w:r w:rsidR="009C04EB" w:rsidRPr="00344857">
              <w:rPr>
                <w:rFonts w:ascii="Arial Narrow" w:hAnsi="Arial Narrow"/>
                <w:sz w:val="20"/>
                <w:szCs w:val="20"/>
              </w:rPr>
              <w:t>plus IVIg price based on MSAC review</w:t>
            </w:r>
          </w:p>
        </w:tc>
        <w:tc>
          <w:tcPr>
            <w:tcW w:w="472" w:type="pct"/>
            <w:vAlign w:val="center"/>
          </w:tcPr>
          <w:p w14:paraId="0921D623" w14:textId="176D6B0F" w:rsidR="009C04EB" w:rsidRPr="00B12118" w:rsidRDefault="009C04EB" w:rsidP="00873AF3">
            <w:pPr>
              <w:jc w:val="center"/>
              <w:rPr>
                <w:rFonts w:ascii="Arial Narrow" w:eastAsiaTheme="majorEastAsia" w:hAnsi="Arial Narrow" w:cstheme="majorBidi"/>
                <w:sz w:val="20"/>
                <w:szCs w:val="20"/>
              </w:rPr>
            </w:pPr>
            <w:r w:rsidRPr="00B12118">
              <w:rPr>
                <w:rFonts w:ascii="Arial Narrow" w:hAnsi="Arial Narrow"/>
                <w:sz w:val="20"/>
                <w:szCs w:val="20"/>
              </w:rPr>
              <w:t>$70,788</w:t>
            </w:r>
          </w:p>
        </w:tc>
        <w:tc>
          <w:tcPr>
            <w:tcW w:w="3902" w:type="pct"/>
            <w:vAlign w:val="center"/>
          </w:tcPr>
          <w:p w14:paraId="7220B8BB" w14:textId="2C103CDA" w:rsidR="009C04EB" w:rsidRPr="00B12118" w:rsidRDefault="009C04EB" w:rsidP="00873AF3">
            <w:pPr>
              <w:jc w:val="left"/>
              <w:rPr>
                <w:rFonts w:ascii="Arial Narrow" w:eastAsiaTheme="majorEastAsia" w:hAnsi="Arial Narrow" w:cstheme="majorBidi"/>
                <w:sz w:val="20"/>
                <w:szCs w:val="20"/>
              </w:rPr>
            </w:pPr>
            <w:r w:rsidRPr="00B12118">
              <w:rPr>
                <w:rFonts w:ascii="Arial Narrow" w:hAnsi="Arial Narrow"/>
                <w:sz w:val="20"/>
                <w:szCs w:val="20"/>
              </w:rPr>
              <w:t xml:space="preserve">As above for the price of IVIg. </w:t>
            </w:r>
            <w:r w:rsidR="002E2334" w:rsidRPr="00B12118">
              <w:rPr>
                <w:rFonts w:ascii="Arial Narrow" w:eastAsiaTheme="majorEastAsia" w:hAnsi="Arial Narrow" w:cstheme="majorBidi"/>
                <w:bCs/>
                <w:sz w:val="20"/>
              </w:rPr>
              <w:t>IVIg dose based on a loading dose of 2 g/kg; maintenance dose of 1 g/kg Q4W for a total of 1,172 g per year</w:t>
            </w:r>
            <w:r w:rsidR="001C4754" w:rsidRPr="00B12118">
              <w:rPr>
                <w:rFonts w:ascii="Arial Narrow" w:hAnsi="Arial Narrow"/>
                <w:sz w:val="20"/>
                <w:szCs w:val="20"/>
              </w:rPr>
              <w:t>.</w:t>
            </w:r>
          </w:p>
        </w:tc>
      </w:tr>
    </w:tbl>
    <w:p w14:paraId="1ABC8320" w14:textId="132F03B2" w:rsidR="00C126E7" w:rsidRPr="00BC109A" w:rsidRDefault="00C126E7" w:rsidP="00873AF3">
      <w:pPr>
        <w:pStyle w:val="COMTablefooter"/>
        <w:spacing w:after="0"/>
      </w:pPr>
      <w:r w:rsidRPr="00BC109A">
        <w:t xml:space="preserve">Source: Compiled during preparation of the </w:t>
      </w:r>
      <w:r w:rsidR="00C517B7">
        <w:t>Public Summary Document</w:t>
      </w:r>
    </w:p>
    <w:p w14:paraId="34E7F6EF" w14:textId="77777777" w:rsidR="00B03C70" w:rsidRPr="00B03C70" w:rsidRDefault="00B03C70" w:rsidP="00873AF3">
      <w:pPr>
        <w:pStyle w:val="COMTablefooter"/>
        <w:spacing w:after="0"/>
      </w:pPr>
      <w:r w:rsidRPr="00B03C70">
        <w:t>Abbreviations: IVIg, intravenous immunoglobulin; NBA, National Blood Authority</w:t>
      </w:r>
    </w:p>
    <w:p w14:paraId="41F90A16" w14:textId="77777777" w:rsidR="00B03C70" w:rsidRPr="00B03C70" w:rsidRDefault="00B03C70" w:rsidP="00873AF3">
      <w:pPr>
        <w:pStyle w:val="COMTablefooter"/>
        <w:spacing w:after="0"/>
      </w:pPr>
      <w:r w:rsidRPr="00B03C70">
        <w:t>a The cost per gram was estimated based on total expenditure / total grams dispensed by the NBA reported in 2021-2022 annual report which accounted for the costs of plasma fractionation as well as domestic and imported products; inflated to 2024 values using the AIHW health inflation index</w:t>
      </w:r>
    </w:p>
    <w:p w14:paraId="4CD5F9F8" w14:textId="0A04D0FA" w:rsidR="00406A19" w:rsidRDefault="00B03C70" w:rsidP="00873AF3">
      <w:pPr>
        <w:pStyle w:val="COMTablefooter"/>
        <w:spacing w:after="0"/>
      </w:pPr>
      <w:r w:rsidRPr="00B03C70">
        <w:t>b Based on MSAC Public Summary Document, Application No. 1566 – Review of immunoglobulin use for Myasthenia Gravis, 3 April 2020. Available at: https://www.msac.gov.au/sites/default/files/documents/1566%2520Final%2520PSD_Apr2020.pdf</w:t>
      </w:r>
    </w:p>
    <w:p w14:paraId="0782DC96" w14:textId="65088597" w:rsidR="00DF08C6" w:rsidRDefault="00DF08C6" w:rsidP="00873AF3">
      <w:pPr>
        <w:pStyle w:val="COMexecsummnumbered"/>
      </w:pPr>
      <w:r w:rsidRPr="00704B78">
        <w:t>The evaluation and the ESC considered that costing scenarios based on the maximum recommended dose of IVIg were not plausible as these estimates substantially exceed</w:t>
      </w:r>
      <w:r>
        <w:t>ed</w:t>
      </w:r>
      <w:r w:rsidRPr="00704B78">
        <w:t xml:space="preserve"> the quantities of IVIg dispensed </w:t>
      </w:r>
      <w:r w:rsidR="000159C2">
        <w:t>through the NBA</w:t>
      </w:r>
      <w:r w:rsidRPr="00704B78">
        <w:t xml:space="preserve">. </w:t>
      </w:r>
      <w:r>
        <w:t>B</w:t>
      </w:r>
      <w:r w:rsidRPr="00704B78">
        <w:t xml:space="preserve">ased on the average </w:t>
      </w:r>
      <w:r>
        <w:t>amount</w:t>
      </w:r>
      <w:r w:rsidRPr="00704B78">
        <w:t xml:space="preserve"> </w:t>
      </w:r>
      <w:r>
        <w:t xml:space="preserve">of IVIg </w:t>
      </w:r>
      <w:r w:rsidRPr="00704B78">
        <w:t xml:space="preserve">dispensed per patient as maintenance therapy for myasthenia gravis, the cost of IVIg was </w:t>
      </w:r>
      <w:r w:rsidRPr="00B12118">
        <w:t>approximately $</w:t>
      </w:r>
      <w:r w:rsidR="00027A85" w:rsidRPr="006233F7">
        <w:rPr>
          <w:color w:val="000000"/>
          <w:w w:val="15"/>
          <w:shd w:val="solid" w:color="000000" w:fill="000000"/>
          <w:fitText w:val="-20" w:id="-656193536"/>
          <w14:textFill>
            <w14:solidFill>
              <w14:srgbClr w14:val="000000">
                <w14:alpha w14:val="100000"/>
              </w14:srgbClr>
            </w14:solidFill>
          </w14:textFill>
        </w:rPr>
        <w:t>|</w:t>
      </w:r>
      <w:r w:rsidR="00A91274" w:rsidRPr="006233F7">
        <w:rPr>
          <w:color w:val="000000"/>
          <w:w w:val="15"/>
          <w:shd w:val="solid" w:color="000000" w:fill="000000"/>
          <w:fitText w:val="-20" w:id="-656193536"/>
          <w14:textFill>
            <w14:solidFill>
              <w14:srgbClr w14:val="000000">
                <w14:alpha w14:val="100000"/>
              </w14:srgbClr>
            </w14:solidFill>
          </w14:textFill>
        </w:rPr>
        <w:t xml:space="preserve"> </w:t>
      </w:r>
      <w:r w:rsidR="00027A85" w:rsidRPr="006233F7">
        <w:rPr>
          <w:color w:val="000000"/>
          <w:spacing w:val="-61"/>
          <w:w w:val="15"/>
          <w:shd w:val="solid" w:color="000000" w:fill="000000"/>
          <w:fitText w:val="-20" w:id="-656193536"/>
          <w14:textFill>
            <w14:solidFill>
              <w14:srgbClr w14:val="000000">
                <w14:alpha w14:val="100000"/>
              </w14:srgbClr>
            </w14:solidFill>
          </w14:textFill>
        </w:rPr>
        <w:t>|</w:t>
      </w:r>
      <w:r w:rsidRPr="00704B78">
        <w:t xml:space="preserve"> per year</w:t>
      </w:r>
      <w:r>
        <w:t xml:space="preserve">, which the ESC considered was more plausible. </w:t>
      </w:r>
    </w:p>
    <w:p w14:paraId="7351F756" w14:textId="77777777" w:rsidR="009C2962" w:rsidRPr="00111C12" w:rsidRDefault="009C2962" w:rsidP="00873AF3">
      <w:pPr>
        <w:pStyle w:val="COMH4"/>
      </w:pPr>
      <w:r w:rsidRPr="00111C12">
        <w:t>Cost</w:t>
      </w:r>
      <w:r>
        <w:t>-</w:t>
      </w:r>
      <w:r w:rsidRPr="00111C12">
        <w:t>per</w:t>
      </w:r>
      <w:r>
        <w:t>-</w:t>
      </w:r>
      <w:r w:rsidRPr="00111C12">
        <w:t>responder</w:t>
      </w:r>
    </w:p>
    <w:p w14:paraId="1C9C48FB" w14:textId="1EF4E5BB" w:rsidR="00974894" w:rsidRPr="00974894" w:rsidRDefault="00974894" w:rsidP="00873AF3">
      <w:pPr>
        <w:pStyle w:val="COMexecsummnumbered"/>
      </w:pPr>
      <w:bookmarkStart w:id="73" w:name="_Hlk195002369"/>
      <w:bookmarkStart w:id="74" w:name="_Toc188272895"/>
      <w:r w:rsidRPr="00974894">
        <w:t xml:space="preserve">The PBAC noted that, at a cost per patient per year </w:t>
      </w:r>
      <w:r w:rsidRPr="00B12118">
        <w:t>of $</w:t>
      </w:r>
      <w:r w:rsidR="00027A85" w:rsidRPr="00A91274">
        <w:rPr>
          <w:color w:val="000000"/>
          <w:spacing w:val="6"/>
          <w:w w:val="60"/>
          <w:shd w:val="solid" w:color="000000" w:fill="000000"/>
          <w:fitText w:val="470" w:id="-656193269"/>
          <w14:textFill>
            <w14:solidFill>
              <w14:srgbClr w14:val="000000">
                <w14:alpha w14:val="100000"/>
              </w14:srgbClr>
            </w14:solidFill>
          </w14:textFill>
        </w:rPr>
        <w:t>|||</w:t>
      </w:r>
      <w:r w:rsidR="00A91274" w:rsidRPr="00A91274">
        <w:rPr>
          <w:color w:val="000000"/>
          <w:spacing w:val="6"/>
          <w:w w:val="60"/>
          <w:shd w:val="solid" w:color="000000" w:fill="000000"/>
          <w:fitText w:val="470" w:id="-656193269"/>
          <w14:textFill>
            <w14:solidFill>
              <w14:srgbClr w14:val="000000">
                <w14:alpha w14:val="100000"/>
              </w14:srgbClr>
            </w14:solidFill>
          </w14:textFill>
        </w:rPr>
        <w:t xml:space="preserve"> </w:t>
      </w:r>
      <w:r w:rsidR="00027A85" w:rsidRPr="00A91274">
        <w:rPr>
          <w:color w:val="000000"/>
          <w:spacing w:val="6"/>
          <w:w w:val="60"/>
          <w:shd w:val="solid" w:color="000000" w:fill="000000"/>
          <w:fitText w:val="470" w:id="-656193269"/>
          <w14:textFill>
            <w14:solidFill>
              <w14:srgbClr w14:val="000000">
                <w14:alpha w14:val="100000"/>
              </w14:srgbClr>
            </w14:solidFill>
          </w14:textFill>
        </w:rPr>
        <w:t>||</w:t>
      </w:r>
      <w:r w:rsidR="00027A85" w:rsidRPr="00A91274">
        <w:rPr>
          <w:color w:val="000000"/>
          <w:spacing w:val="4"/>
          <w:w w:val="60"/>
          <w:shd w:val="solid" w:color="000000" w:fill="000000"/>
          <w:fitText w:val="470" w:id="-656193269"/>
          <w14:textFill>
            <w14:solidFill>
              <w14:srgbClr w14:val="000000">
                <w14:alpha w14:val="100000"/>
              </w14:srgbClr>
            </w14:solidFill>
          </w14:textFill>
        </w:rPr>
        <w:t>|</w:t>
      </w:r>
      <w:r w:rsidRPr="00974894">
        <w:t>, and assuming the average of the incremental difference in response rates across the four gMG trials (24% at 12 weeks, based on a simple mean of the proportion of patients with ≥2 point reduction in MG-ADL in the four key trials), the incremental cost-per-responder versus placebo would be aroun</w:t>
      </w:r>
      <w:r w:rsidRPr="008E0669">
        <w:t xml:space="preserve">d </w:t>
      </w:r>
      <w:r w:rsidR="00FB0F05" w:rsidRPr="008E0669">
        <w:t>$</w:t>
      </w:r>
      <w:r w:rsidR="00027A85" w:rsidRPr="00A91274">
        <w:rPr>
          <w:color w:val="000000"/>
          <w:spacing w:val="6"/>
          <w:w w:val="60"/>
          <w:shd w:val="solid" w:color="000000" w:fill="000000"/>
          <w:fitText w:val="470" w:id="-656193268"/>
          <w14:textFill>
            <w14:solidFill>
              <w14:srgbClr w14:val="000000">
                <w14:alpha w14:val="100000"/>
              </w14:srgbClr>
            </w14:solidFill>
          </w14:textFill>
        </w:rPr>
        <w:t>|||</w:t>
      </w:r>
      <w:r w:rsidR="00A91274" w:rsidRPr="00A91274">
        <w:rPr>
          <w:color w:val="000000"/>
          <w:spacing w:val="6"/>
          <w:w w:val="60"/>
          <w:shd w:val="solid" w:color="000000" w:fill="000000"/>
          <w:fitText w:val="470" w:id="-656193268"/>
          <w14:textFill>
            <w14:solidFill>
              <w14:srgbClr w14:val="000000">
                <w14:alpha w14:val="100000"/>
              </w14:srgbClr>
            </w14:solidFill>
          </w14:textFill>
        </w:rPr>
        <w:t xml:space="preserve"> </w:t>
      </w:r>
      <w:r w:rsidR="00027A85" w:rsidRPr="00A91274">
        <w:rPr>
          <w:color w:val="000000"/>
          <w:spacing w:val="6"/>
          <w:w w:val="60"/>
          <w:shd w:val="solid" w:color="000000" w:fill="000000"/>
          <w:fitText w:val="470" w:id="-656193268"/>
          <w14:textFill>
            <w14:solidFill>
              <w14:srgbClr w14:val="000000">
                <w14:alpha w14:val="100000"/>
              </w14:srgbClr>
            </w14:solidFill>
          </w14:textFill>
        </w:rPr>
        <w:t>||</w:t>
      </w:r>
      <w:r w:rsidR="00027A85" w:rsidRPr="00A91274">
        <w:rPr>
          <w:color w:val="000000"/>
          <w:spacing w:val="4"/>
          <w:w w:val="60"/>
          <w:shd w:val="solid" w:color="000000" w:fill="000000"/>
          <w:fitText w:val="470" w:id="-656193268"/>
          <w14:textFill>
            <w14:solidFill>
              <w14:srgbClr w14:val="000000">
                <w14:alpha w14:val="100000"/>
              </w14:srgbClr>
            </w14:solidFill>
          </w14:textFill>
        </w:rPr>
        <w:t>|</w:t>
      </w:r>
      <w:r w:rsidRPr="008E0669">
        <w:t>.</w:t>
      </w:r>
      <w:r w:rsidRPr="00974894">
        <w:t xml:space="preserve"> </w:t>
      </w:r>
    </w:p>
    <w:bookmarkEnd w:id="73"/>
    <w:p w14:paraId="5D79A0B9" w14:textId="77777777" w:rsidR="00030FFF" w:rsidRPr="004A7251" w:rsidRDefault="00030FFF" w:rsidP="00873AF3">
      <w:pPr>
        <w:pStyle w:val="COMH1-numbered"/>
        <w:numPr>
          <w:ilvl w:val="0"/>
          <w:numId w:val="0"/>
        </w:numPr>
        <w:ind w:left="284" w:hanging="284"/>
        <w:outlineLvl w:val="1"/>
        <w:rPr>
          <w:rFonts w:eastAsiaTheme="majorEastAsia" w:cstheme="majorBidi"/>
          <w:i/>
          <w:snapToGrid/>
          <w:spacing w:val="5"/>
          <w:kern w:val="28"/>
          <w:sz w:val="28"/>
          <w:szCs w:val="36"/>
          <w:lang w:eastAsia="en-US"/>
        </w:rPr>
      </w:pPr>
      <w:r w:rsidRPr="004A7251">
        <w:rPr>
          <w:rFonts w:eastAsiaTheme="majorEastAsia" w:cstheme="majorBidi"/>
          <w:i/>
          <w:snapToGrid/>
          <w:spacing w:val="5"/>
          <w:kern w:val="28"/>
          <w:sz w:val="28"/>
          <w:szCs w:val="36"/>
          <w:lang w:eastAsia="en-US"/>
        </w:rPr>
        <w:t>Estimated PBS usage &amp; financial implications</w:t>
      </w:r>
      <w:bookmarkEnd w:id="74"/>
    </w:p>
    <w:p w14:paraId="56308FDF" w14:textId="77777777" w:rsidR="00DE03B5" w:rsidRPr="00B40C33" w:rsidRDefault="00DE03B5" w:rsidP="00873AF3">
      <w:pPr>
        <w:pStyle w:val="COMexecsummnumbered"/>
        <w:rPr>
          <w:color w:val="0066FF"/>
        </w:rPr>
      </w:pPr>
      <w:r w:rsidRPr="0098262F">
        <w:t xml:space="preserve">This submission </w:t>
      </w:r>
      <w:r>
        <w:t>was</w:t>
      </w:r>
      <w:r w:rsidRPr="0098262F">
        <w:t xml:space="preserve"> considered by DUSC</w:t>
      </w:r>
      <w:r w:rsidRPr="0098262F">
        <w:rPr>
          <w:color w:val="0070C0"/>
        </w:rPr>
        <w:t>.</w:t>
      </w:r>
    </w:p>
    <w:p w14:paraId="131BA0A8" w14:textId="07A5B1BC" w:rsidR="00030FFF" w:rsidRPr="008C3365" w:rsidRDefault="00030FFF" w:rsidP="00873AF3">
      <w:pPr>
        <w:pStyle w:val="COMexecsummnumbered"/>
        <w:rPr>
          <w:lang w:val="en-GB"/>
        </w:rPr>
      </w:pPr>
      <w:r w:rsidRPr="00732ACF">
        <w:rPr>
          <w:lang w:val="en-GB"/>
        </w:rPr>
        <w:t>The submission used an epidemiological approach to estimate the utilisation and financial impacts of listing rozanolixizumab as a bridging therapy for generalised myasthenia gravis. Key inputs used in the submission are summarised in</w:t>
      </w:r>
      <w:r w:rsidR="00237F91">
        <w:rPr>
          <w:lang w:val="en-GB"/>
        </w:rPr>
        <w:t xml:space="preserve"> </w:t>
      </w:r>
      <w:r w:rsidR="00237F91">
        <w:rPr>
          <w:lang w:val="en-GB"/>
        </w:rPr>
        <w:fldChar w:fldCharType="begin" w:fldLock="1"/>
      </w:r>
      <w:r w:rsidR="00237F91">
        <w:rPr>
          <w:lang w:val="en-GB"/>
        </w:rPr>
        <w:instrText xml:space="preserve"> REF _Ref194672188 \h </w:instrText>
      </w:r>
      <w:r w:rsidR="00237F91">
        <w:rPr>
          <w:lang w:val="en-GB"/>
        </w:rPr>
      </w:r>
      <w:r w:rsidR="00237F91">
        <w:rPr>
          <w:lang w:val="en-GB"/>
        </w:rPr>
        <w:fldChar w:fldCharType="separate"/>
      </w:r>
      <w:r w:rsidR="00E70E55">
        <w:t xml:space="preserve">Table </w:t>
      </w:r>
      <w:r w:rsidR="00E70E55">
        <w:rPr>
          <w:noProof/>
        </w:rPr>
        <w:t>17</w:t>
      </w:r>
      <w:r w:rsidR="00237F91">
        <w:rPr>
          <w:lang w:val="en-GB"/>
        </w:rPr>
        <w:fldChar w:fldCharType="end"/>
      </w:r>
      <w:r w:rsidRPr="00732ACF">
        <w:rPr>
          <w:lang w:val="en-GB"/>
        </w:rPr>
        <w:t>.</w:t>
      </w:r>
    </w:p>
    <w:p w14:paraId="1F9491D8" w14:textId="52C8207E" w:rsidR="00732ACF" w:rsidRPr="00732ACF" w:rsidRDefault="00237F91" w:rsidP="00873AF3">
      <w:pPr>
        <w:pStyle w:val="Caption"/>
        <w:keepNext/>
        <w:keepLines/>
        <w:rPr>
          <w:b w:val="0"/>
          <w:bCs w:val="0"/>
        </w:rPr>
      </w:pPr>
      <w:bookmarkStart w:id="75" w:name="_Ref194672188"/>
      <w:bookmarkStart w:id="76" w:name="_Ref194672184"/>
      <w:bookmarkStart w:id="77" w:name="_Toc22897650"/>
      <w:bookmarkEnd w:id="70"/>
      <w:bookmarkEnd w:id="71"/>
      <w:r>
        <w:t xml:space="preserve">Table </w:t>
      </w:r>
      <w:r>
        <w:fldChar w:fldCharType="begin" w:fldLock="1"/>
      </w:r>
      <w:r>
        <w:instrText xml:space="preserve"> SEQ Table \* ARABIC </w:instrText>
      </w:r>
      <w:r>
        <w:fldChar w:fldCharType="separate"/>
      </w:r>
      <w:r w:rsidR="00E70E55">
        <w:rPr>
          <w:noProof/>
        </w:rPr>
        <w:t>17</w:t>
      </w:r>
      <w:r>
        <w:fldChar w:fldCharType="end"/>
      </w:r>
      <w:bookmarkEnd w:id="75"/>
      <w:r w:rsidR="00732ACF" w:rsidRPr="00732ACF">
        <w:t>: Key inputs for financial estimates</w:t>
      </w:r>
      <w:r w:rsidR="00FF48BC">
        <w:t xml:space="preserve"> presented in the submission</w:t>
      </w:r>
      <w:bookmarkEnd w:id="76"/>
      <w:r w:rsidR="00FF48BC">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7: Key inputs for financial estimates presented in the submission "/>
      </w:tblPr>
      <w:tblGrid>
        <w:gridCol w:w="1526"/>
        <w:gridCol w:w="3289"/>
        <w:gridCol w:w="4365"/>
      </w:tblGrid>
      <w:tr w:rsidR="00732ACF" w:rsidRPr="00732ACF" w14:paraId="128BF899" w14:textId="77777777" w:rsidTr="00BB7A7D">
        <w:trPr>
          <w:tblHeader/>
        </w:trPr>
        <w:tc>
          <w:tcPr>
            <w:tcW w:w="1526" w:type="dxa"/>
            <w:vAlign w:val="center"/>
          </w:tcPr>
          <w:p w14:paraId="21ABCB9C" w14:textId="77777777" w:rsidR="00732ACF" w:rsidRPr="00732ACF" w:rsidRDefault="00732ACF" w:rsidP="00873AF3">
            <w:pPr>
              <w:keepNext/>
              <w:keepLines/>
              <w:jc w:val="left"/>
              <w:rPr>
                <w:rFonts w:ascii="Arial Narrow" w:eastAsiaTheme="majorEastAsia" w:hAnsi="Arial Narrow" w:cs="Times New Roman"/>
                <w:b/>
                <w:sz w:val="20"/>
              </w:rPr>
            </w:pPr>
            <w:r w:rsidRPr="00732ACF">
              <w:rPr>
                <w:rFonts w:ascii="Arial Narrow" w:eastAsiaTheme="majorEastAsia" w:hAnsi="Arial Narrow" w:cs="Times New Roman"/>
                <w:b/>
                <w:sz w:val="20"/>
              </w:rPr>
              <w:t>Data</w:t>
            </w:r>
          </w:p>
        </w:tc>
        <w:tc>
          <w:tcPr>
            <w:tcW w:w="3289" w:type="dxa"/>
            <w:vAlign w:val="center"/>
          </w:tcPr>
          <w:p w14:paraId="56AEE5BB" w14:textId="77777777" w:rsidR="00732ACF" w:rsidRPr="00732ACF" w:rsidRDefault="00732ACF" w:rsidP="00873AF3">
            <w:pPr>
              <w:keepNext/>
              <w:keepLines/>
              <w:jc w:val="left"/>
              <w:rPr>
                <w:rFonts w:ascii="Arial Narrow" w:eastAsiaTheme="majorEastAsia" w:hAnsi="Arial Narrow" w:cs="Times New Roman"/>
                <w:b/>
                <w:sz w:val="20"/>
              </w:rPr>
            </w:pPr>
            <w:r w:rsidRPr="00732ACF">
              <w:rPr>
                <w:rFonts w:ascii="Arial Narrow" w:eastAsiaTheme="majorEastAsia" w:hAnsi="Arial Narrow" w:cs="Times New Roman"/>
                <w:b/>
                <w:sz w:val="20"/>
              </w:rPr>
              <w:t>Value applied and source</w:t>
            </w:r>
          </w:p>
        </w:tc>
        <w:tc>
          <w:tcPr>
            <w:tcW w:w="4365" w:type="dxa"/>
            <w:vAlign w:val="center"/>
          </w:tcPr>
          <w:p w14:paraId="0EB00A68" w14:textId="77777777" w:rsidR="00732ACF" w:rsidRPr="00732ACF" w:rsidRDefault="00732ACF" w:rsidP="00873AF3">
            <w:pPr>
              <w:keepNext/>
              <w:keepLines/>
              <w:jc w:val="left"/>
              <w:rPr>
                <w:rFonts w:ascii="Arial Narrow" w:eastAsiaTheme="majorEastAsia" w:hAnsi="Arial Narrow" w:cs="Times New Roman"/>
                <w:b/>
                <w:sz w:val="20"/>
              </w:rPr>
            </w:pPr>
            <w:r w:rsidRPr="00732ACF">
              <w:rPr>
                <w:rFonts w:ascii="Arial Narrow" w:eastAsiaTheme="majorEastAsia" w:hAnsi="Arial Narrow" w:cs="Times New Roman"/>
                <w:b/>
                <w:sz w:val="20"/>
              </w:rPr>
              <w:t>Comment</w:t>
            </w:r>
          </w:p>
        </w:tc>
      </w:tr>
      <w:tr w:rsidR="00732ACF" w:rsidRPr="00732ACF" w14:paraId="5F1330F2" w14:textId="77777777" w:rsidTr="00BB7A7D">
        <w:tc>
          <w:tcPr>
            <w:tcW w:w="1526" w:type="dxa"/>
            <w:vAlign w:val="center"/>
          </w:tcPr>
          <w:p w14:paraId="1ECCBDA1" w14:textId="77777777" w:rsidR="00732ACF" w:rsidRPr="00732ACF" w:rsidRDefault="00732ACF" w:rsidP="00873AF3">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Prevalence of myasthenia gravis</w:t>
            </w:r>
          </w:p>
        </w:tc>
        <w:tc>
          <w:tcPr>
            <w:tcW w:w="3289" w:type="dxa"/>
            <w:vAlign w:val="center"/>
          </w:tcPr>
          <w:p w14:paraId="309C5934" w14:textId="77777777" w:rsidR="00BE764D" w:rsidRDefault="00BE764D" w:rsidP="00873AF3">
            <w:pPr>
              <w:keepNext/>
              <w:keepLines/>
              <w:spacing w:after="120"/>
              <w:jc w:val="left"/>
              <w:rPr>
                <w:rFonts w:ascii="Arial Narrow" w:eastAsiaTheme="majorEastAsia" w:hAnsi="Arial Narrow" w:cstheme="majorBidi"/>
                <w:bCs/>
                <w:sz w:val="20"/>
              </w:rPr>
            </w:pPr>
            <w:r w:rsidRPr="00BE764D">
              <w:rPr>
                <w:rFonts w:ascii="Arial Narrow" w:eastAsiaTheme="majorEastAsia" w:hAnsi="Arial Narrow" w:cstheme="majorBidi"/>
                <w:bCs/>
                <w:sz w:val="20"/>
              </w:rPr>
              <w:t xml:space="preserve">22.4 per 100,000 persons. </w:t>
            </w:r>
          </w:p>
          <w:p w14:paraId="2F939E3C" w14:textId="4744AC8C" w:rsidR="00732ACF" w:rsidRPr="00732ACF" w:rsidRDefault="00732ACF" w:rsidP="00873AF3">
            <w:pPr>
              <w:keepNext/>
              <w:keepLines/>
              <w:spacing w:after="120"/>
              <w:jc w:val="left"/>
              <w:rPr>
                <w:rFonts w:ascii="Arial Narrow" w:eastAsiaTheme="majorEastAsia" w:hAnsi="Arial Narrow" w:cstheme="majorBidi"/>
                <w:bCs/>
                <w:sz w:val="20"/>
              </w:rPr>
            </w:pPr>
            <w:r w:rsidRPr="00732ACF">
              <w:rPr>
                <w:rFonts w:ascii="Arial Narrow" w:eastAsiaTheme="majorEastAsia" w:hAnsi="Arial Narrow" w:cstheme="majorBidi"/>
                <w:bCs/>
                <w:sz w:val="20"/>
              </w:rPr>
              <w:t>The submission identified a published systematic review and meta-analysis of myasthenia gravis epidemiology studies published between 1952 and 2022 (Sciancalepore 2024). The study noted that the average prevalence increased from 9.7 cases per 100,000 persons in 1952-2007 to 22.0 cases per 100,000 in 2008-2021.</w:t>
            </w:r>
          </w:p>
          <w:p w14:paraId="4D2A27FB" w14:textId="77777777" w:rsidR="00732ACF" w:rsidRPr="00732ACF" w:rsidRDefault="00732ACF" w:rsidP="00873AF3">
            <w:pPr>
              <w:keepNext/>
              <w:keepLines/>
              <w:spacing w:after="120"/>
              <w:jc w:val="left"/>
              <w:rPr>
                <w:rFonts w:ascii="Arial Narrow" w:eastAsiaTheme="majorEastAsia" w:hAnsi="Arial Narrow" w:cstheme="majorBidi"/>
                <w:bCs/>
                <w:sz w:val="20"/>
              </w:rPr>
            </w:pPr>
            <w:r w:rsidRPr="00732ACF">
              <w:rPr>
                <w:rFonts w:ascii="Arial Narrow" w:eastAsiaTheme="majorEastAsia" w:hAnsi="Arial Narrow" w:cstheme="majorBidi"/>
                <w:bCs/>
                <w:sz w:val="20"/>
              </w:rPr>
              <w:t>The submission also conducted a supplementary literature search to identify more-recently published studies (Ye 2024, Vissing 2024, Keovilayhong 2024, Tsai 2024, Salort-Campana 2024, Sechi 2024, Engebretsen 2024). A meta-analysis of studies published between 2014-2024 indicated a global prevalence of 22.4 cases per 100,000 persons. The submission claimed that this analysis suggested that the prevalence of the disease has stabilised over time.</w:t>
            </w:r>
          </w:p>
        </w:tc>
        <w:tc>
          <w:tcPr>
            <w:tcW w:w="4365" w:type="dxa"/>
            <w:vAlign w:val="center"/>
          </w:tcPr>
          <w:p w14:paraId="654CAD43" w14:textId="77777777" w:rsidR="00732ACF" w:rsidRPr="00732ACF" w:rsidRDefault="00732ACF" w:rsidP="00873AF3">
            <w:pPr>
              <w:keepNext/>
              <w:keepLines/>
              <w:spacing w:after="120"/>
              <w:jc w:val="left"/>
              <w:rPr>
                <w:rFonts w:ascii="Arial Narrow" w:eastAsiaTheme="majorEastAsia" w:hAnsi="Arial Narrow" w:cstheme="majorBidi"/>
                <w:bCs/>
                <w:sz w:val="20"/>
              </w:rPr>
            </w:pPr>
            <w:r w:rsidRPr="00732ACF">
              <w:rPr>
                <w:rFonts w:ascii="Arial Narrow" w:eastAsiaTheme="majorEastAsia" w:hAnsi="Arial Narrow" w:cstheme="majorBidi"/>
                <w:bCs/>
                <w:sz w:val="20"/>
              </w:rPr>
              <w:t>The Sciancalepore 2024 review noted significant variation in frequencies of myasthenia gravis between and within countries because of methodological biases and complex heterogeneity of the disease characterised by several phenotypes and different clinical responses.</w:t>
            </w:r>
          </w:p>
          <w:p w14:paraId="499FBE74" w14:textId="76068841" w:rsidR="00732ACF" w:rsidRPr="00732ACF" w:rsidRDefault="00732ACF" w:rsidP="00873AF3">
            <w:pPr>
              <w:keepNext/>
              <w:keepLines/>
              <w:spacing w:after="120"/>
              <w:jc w:val="left"/>
              <w:rPr>
                <w:rFonts w:ascii="Arial Narrow" w:eastAsiaTheme="majorEastAsia" w:hAnsi="Arial Narrow" w:cstheme="majorBidi"/>
                <w:bCs/>
                <w:sz w:val="20"/>
              </w:rPr>
            </w:pPr>
            <w:r w:rsidRPr="00732ACF">
              <w:rPr>
                <w:rFonts w:ascii="Arial Narrow" w:eastAsiaTheme="majorEastAsia" w:hAnsi="Arial Narrow" w:cstheme="majorBidi"/>
                <w:bCs/>
                <w:sz w:val="20"/>
              </w:rPr>
              <w:t xml:space="preserve">The supplementary literature search and meta-analysis presented in the submission was not adequately documented (such as the exclusion of Bettini 2017 study from prevalence estimates and the selection of a sensitivity analyses over the main analysis in the Antonini 2023 study). </w:t>
            </w:r>
          </w:p>
          <w:p w14:paraId="105A3D30" w14:textId="77777777" w:rsidR="00732ACF" w:rsidRPr="00732ACF" w:rsidRDefault="00732ACF" w:rsidP="00873AF3">
            <w:pPr>
              <w:keepNext/>
              <w:keepLines/>
              <w:spacing w:after="120"/>
              <w:jc w:val="left"/>
              <w:rPr>
                <w:rFonts w:ascii="Arial Narrow" w:eastAsiaTheme="majorEastAsia" w:hAnsi="Arial Narrow" w:cstheme="majorBidi"/>
                <w:bCs/>
                <w:sz w:val="20"/>
              </w:rPr>
            </w:pPr>
            <w:r w:rsidRPr="00732ACF">
              <w:rPr>
                <w:rFonts w:ascii="Arial Narrow" w:eastAsiaTheme="majorEastAsia" w:hAnsi="Arial Narrow" w:cstheme="majorBidi"/>
                <w:bCs/>
                <w:sz w:val="20"/>
              </w:rPr>
              <w:t xml:space="preserve">Published prevalence estimates presented in the submission varied widely from 0.9 to 55.3 cases per 100,000 persons in the last 10 years. </w:t>
            </w:r>
          </w:p>
          <w:p w14:paraId="4BDDB495" w14:textId="77777777" w:rsidR="00BE764D" w:rsidRDefault="00732ACF" w:rsidP="00873AF3">
            <w:pPr>
              <w:keepNext/>
              <w:keepLines/>
              <w:spacing w:after="120"/>
              <w:jc w:val="left"/>
              <w:rPr>
                <w:rFonts w:ascii="Arial Narrow" w:eastAsiaTheme="majorEastAsia" w:hAnsi="Arial Narrow" w:cstheme="majorBidi"/>
                <w:bCs/>
                <w:sz w:val="20"/>
              </w:rPr>
            </w:pPr>
            <w:r w:rsidRPr="00732ACF">
              <w:rPr>
                <w:rFonts w:ascii="Arial Narrow" w:eastAsiaTheme="majorEastAsia" w:hAnsi="Arial Narrow" w:cstheme="majorBidi"/>
                <w:bCs/>
                <w:sz w:val="20"/>
              </w:rPr>
              <w:t>In regard to changes over time, the average prevalence from studies published in the last 5 years (27.9 per 100,000 persons) suggests that prevalence may still be increasing over time.</w:t>
            </w:r>
            <w:r w:rsidR="00BE764D">
              <w:rPr>
                <w:rFonts w:ascii="Arial Narrow" w:eastAsiaTheme="majorEastAsia" w:hAnsi="Arial Narrow" w:cstheme="majorBidi"/>
                <w:bCs/>
                <w:sz w:val="20"/>
              </w:rPr>
              <w:t xml:space="preserve"> </w:t>
            </w:r>
          </w:p>
          <w:p w14:paraId="70EA1421" w14:textId="7454A479" w:rsidR="00732ACF" w:rsidRPr="00732ACF" w:rsidRDefault="00BE764D" w:rsidP="00873AF3">
            <w:pPr>
              <w:keepNext/>
              <w:keepLines/>
              <w:jc w:val="left"/>
              <w:rPr>
                <w:rFonts w:ascii="Arial Narrow" w:eastAsiaTheme="majorEastAsia" w:hAnsi="Arial Narrow" w:cstheme="majorBidi"/>
                <w:bCs/>
                <w:sz w:val="20"/>
              </w:rPr>
            </w:pPr>
            <w:r w:rsidRPr="00BE764D">
              <w:rPr>
                <w:rFonts w:ascii="Arial Narrow" w:eastAsiaTheme="majorEastAsia" w:hAnsi="Arial Narrow" w:cstheme="majorBidi"/>
                <w:bCs/>
                <w:sz w:val="20"/>
              </w:rPr>
              <w:t xml:space="preserve">DUSC considered that </w:t>
            </w:r>
            <w:r>
              <w:rPr>
                <w:rFonts w:ascii="Arial Narrow" w:eastAsiaTheme="majorEastAsia" w:hAnsi="Arial Narrow" w:cstheme="majorBidi"/>
                <w:bCs/>
                <w:sz w:val="20"/>
              </w:rPr>
              <w:t>the</w:t>
            </w:r>
            <w:r w:rsidRPr="00BE764D">
              <w:rPr>
                <w:rFonts w:ascii="Arial Narrow" w:eastAsiaTheme="majorEastAsia" w:hAnsi="Arial Narrow" w:cstheme="majorBidi"/>
                <w:bCs/>
                <w:sz w:val="20"/>
              </w:rPr>
              <w:t xml:space="preserve"> figure </w:t>
            </w:r>
            <w:r>
              <w:rPr>
                <w:rFonts w:ascii="Arial Narrow" w:eastAsiaTheme="majorEastAsia" w:hAnsi="Arial Narrow" w:cstheme="majorBidi"/>
                <w:bCs/>
                <w:sz w:val="20"/>
              </w:rPr>
              <w:t>of 22.4 per 100,000 person</w:t>
            </w:r>
            <w:r w:rsidR="00DA3448">
              <w:rPr>
                <w:rFonts w:ascii="Arial Narrow" w:eastAsiaTheme="majorEastAsia" w:hAnsi="Arial Narrow" w:cstheme="majorBidi"/>
                <w:bCs/>
                <w:sz w:val="20"/>
              </w:rPr>
              <w:t>s</w:t>
            </w:r>
            <w:r>
              <w:rPr>
                <w:rFonts w:ascii="Arial Narrow" w:eastAsiaTheme="majorEastAsia" w:hAnsi="Arial Narrow" w:cstheme="majorBidi"/>
                <w:bCs/>
                <w:sz w:val="20"/>
              </w:rPr>
              <w:t xml:space="preserve"> was</w:t>
            </w:r>
            <w:r w:rsidRPr="00BE764D">
              <w:rPr>
                <w:rFonts w:ascii="Arial Narrow" w:eastAsiaTheme="majorEastAsia" w:hAnsi="Arial Narrow" w:cstheme="majorBidi"/>
                <w:bCs/>
                <w:sz w:val="20"/>
              </w:rPr>
              <w:t xml:space="preserve"> low and suggested using the estimate from studies published in the last 5 years (27.9 per 100,000 persons).</w:t>
            </w:r>
          </w:p>
        </w:tc>
      </w:tr>
      <w:tr w:rsidR="00BE764D" w:rsidRPr="00732ACF" w14:paraId="2EEA8E54" w14:textId="77777777" w:rsidTr="00BE764D">
        <w:trPr>
          <w:trHeight w:val="927"/>
        </w:trPr>
        <w:tc>
          <w:tcPr>
            <w:tcW w:w="1526" w:type="dxa"/>
            <w:vAlign w:val="center"/>
          </w:tcPr>
          <w:p w14:paraId="71F01DB4" w14:textId="7244397B" w:rsidR="00BE764D" w:rsidRPr="00732ACF" w:rsidRDefault="00BE764D" w:rsidP="00873AF3">
            <w:pPr>
              <w:jc w:val="left"/>
              <w:rPr>
                <w:rFonts w:ascii="Arial Narrow" w:eastAsiaTheme="majorEastAsia" w:hAnsi="Arial Narrow" w:cstheme="majorBidi"/>
                <w:bCs/>
                <w:sz w:val="20"/>
              </w:rPr>
            </w:pPr>
            <w:r w:rsidRPr="00BE764D">
              <w:rPr>
                <w:rFonts w:ascii="Arial Narrow" w:eastAsiaTheme="majorEastAsia" w:hAnsi="Arial Narrow" w:cstheme="majorBidi"/>
                <w:bCs/>
                <w:sz w:val="20"/>
              </w:rPr>
              <w:t xml:space="preserve">Proportion of patients with </w:t>
            </w:r>
            <w:r>
              <w:rPr>
                <w:rFonts w:ascii="Arial Narrow" w:eastAsiaTheme="majorEastAsia" w:hAnsi="Arial Narrow" w:cstheme="majorBidi"/>
                <w:bCs/>
                <w:sz w:val="20"/>
              </w:rPr>
              <w:t>gMG</w:t>
            </w:r>
            <w:r w:rsidRPr="00BE764D">
              <w:rPr>
                <w:rFonts w:ascii="Arial Narrow" w:eastAsiaTheme="majorEastAsia" w:hAnsi="Arial Narrow" w:cstheme="majorBidi"/>
                <w:bCs/>
                <w:sz w:val="20"/>
              </w:rPr>
              <w:t xml:space="preserve"> who are AChR-positive</w:t>
            </w:r>
          </w:p>
        </w:tc>
        <w:tc>
          <w:tcPr>
            <w:tcW w:w="3289" w:type="dxa"/>
            <w:vAlign w:val="center"/>
          </w:tcPr>
          <w:p w14:paraId="23B07EF6" w14:textId="4D3DFAC4" w:rsidR="00BE764D" w:rsidRPr="00732ACF" w:rsidRDefault="00BE764D" w:rsidP="00873AF3">
            <w:pPr>
              <w:jc w:val="left"/>
              <w:rPr>
                <w:rFonts w:ascii="Arial Narrow" w:eastAsiaTheme="majorEastAsia" w:hAnsi="Arial Narrow" w:cstheme="majorBidi"/>
                <w:bCs/>
                <w:sz w:val="20"/>
              </w:rPr>
            </w:pPr>
            <w:r w:rsidRPr="00BE764D">
              <w:rPr>
                <w:rFonts w:ascii="Arial Narrow" w:eastAsiaTheme="majorEastAsia" w:hAnsi="Arial Narrow" w:cstheme="majorBidi"/>
                <w:bCs/>
                <w:sz w:val="20"/>
              </w:rPr>
              <w:t>85.57%</w:t>
            </w:r>
            <w:r>
              <w:rPr>
                <w:rFonts w:ascii="Arial Narrow" w:eastAsiaTheme="majorEastAsia" w:hAnsi="Arial Narrow" w:cstheme="majorBidi"/>
                <w:bCs/>
                <w:sz w:val="20"/>
              </w:rPr>
              <w:t xml:space="preserve"> based on a p</w:t>
            </w:r>
            <w:r w:rsidRPr="00BE764D">
              <w:rPr>
                <w:rFonts w:ascii="Arial Narrow" w:eastAsiaTheme="majorEastAsia" w:hAnsi="Arial Narrow" w:cstheme="majorBidi"/>
                <w:bCs/>
                <w:sz w:val="20"/>
              </w:rPr>
              <w:t>ooled estimate derived from 12 studies identified in a literature search conducted for the submission. Estimates ranged from 42.1% to 98.2% across the studies.</w:t>
            </w:r>
          </w:p>
        </w:tc>
        <w:tc>
          <w:tcPr>
            <w:tcW w:w="4365" w:type="dxa"/>
            <w:vAlign w:val="center"/>
          </w:tcPr>
          <w:p w14:paraId="45036946" w14:textId="3F93FCB5" w:rsidR="00BE764D" w:rsidRPr="00732ACF" w:rsidRDefault="00BE764D" w:rsidP="00873AF3">
            <w:pPr>
              <w:keepNext/>
              <w:keepLines/>
              <w:jc w:val="left"/>
              <w:rPr>
                <w:rFonts w:ascii="Arial Narrow" w:eastAsiaTheme="majorEastAsia" w:hAnsi="Arial Narrow" w:cstheme="majorBidi"/>
                <w:bCs/>
                <w:sz w:val="20"/>
              </w:rPr>
            </w:pPr>
            <w:r w:rsidRPr="00BE764D">
              <w:rPr>
                <w:rFonts w:ascii="Arial Narrow" w:eastAsiaTheme="majorEastAsia" w:hAnsi="Arial Narrow" w:cstheme="majorBidi"/>
                <w:bCs/>
                <w:sz w:val="20"/>
              </w:rPr>
              <w:t>DUSC considered that this estimate was reasonable.</w:t>
            </w:r>
          </w:p>
        </w:tc>
      </w:tr>
      <w:tr w:rsidR="00732ACF" w:rsidRPr="00732ACF" w14:paraId="568B0851" w14:textId="77777777" w:rsidTr="00BB7A7D">
        <w:tc>
          <w:tcPr>
            <w:tcW w:w="1526" w:type="dxa"/>
            <w:vAlign w:val="center"/>
          </w:tcPr>
          <w:p w14:paraId="7E499099" w14:textId="77777777" w:rsidR="00732ACF" w:rsidRPr="00732ACF" w:rsidRDefault="00732ACF" w:rsidP="00873AF3">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Proportion of AChR-positive generalised myasthenia gravis patients with MGC score ≥ 4</w:t>
            </w:r>
          </w:p>
        </w:tc>
        <w:tc>
          <w:tcPr>
            <w:tcW w:w="3289" w:type="dxa"/>
            <w:vAlign w:val="center"/>
          </w:tcPr>
          <w:p w14:paraId="673D31DE" w14:textId="77777777" w:rsidR="00732ACF" w:rsidRPr="00732ACF" w:rsidRDefault="00732ACF" w:rsidP="00873AF3">
            <w:pPr>
              <w:spacing w:after="120"/>
              <w:jc w:val="left"/>
              <w:rPr>
                <w:rFonts w:ascii="Arial Narrow" w:eastAsiaTheme="majorEastAsia" w:hAnsi="Arial Narrow" w:cstheme="majorBidi"/>
                <w:bCs/>
                <w:sz w:val="20"/>
              </w:rPr>
            </w:pPr>
            <w:r w:rsidRPr="00732ACF">
              <w:rPr>
                <w:rFonts w:ascii="Arial Narrow" w:eastAsiaTheme="majorEastAsia" w:hAnsi="Arial Narrow" w:cstheme="majorBidi"/>
                <w:bCs/>
                <w:sz w:val="20"/>
              </w:rPr>
              <w:t>56.43%. Based on the weighted average estimate reported from two studies:</w:t>
            </w:r>
          </w:p>
          <w:p w14:paraId="31AF0E41" w14:textId="77777777" w:rsidR="00732ACF" w:rsidRPr="00732ACF" w:rsidRDefault="00732ACF" w:rsidP="00873AF3">
            <w:pPr>
              <w:spacing w:after="120"/>
              <w:jc w:val="left"/>
              <w:rPr>
                <w:rFonts w:ascii="Arial Narrow" w:eastAsiaTheme="majorEastAsia" w:hAnsi="Arial Narrow" w:cstheme="majorBidi"/>
                <w:bCs/>
                <w:sz w:val="20"/>
              </w:rPr>
            </w:pPr>
            <w:r w:rsidRPr="00732ACF">
              <w:rPr>
                <w:rFonts w:ascii="Arial Narrow" w:eastAsiaTheme="majorEastAsia" w:hAnsi="Arial Narrow" w:cstheme="majorBidi"/>
                <w:bCs/>
                <w:sz w:val="20"/>
              </w:rPr>
              <w:t>59% (516/871) based on an observational study comparing outcome measurement tools in myasthenia gravis patients recruited from a single Chinese hospital (Luo 2021).</w:t>
            </w:r>
          </w:p>
          <w:p w14:paraId="23C2B014" w14:textId="77777777" w:rsidR="00732ACF" w:rsidRPr="00732ACF" w:rsidRDefault="00732ACF" w:rsidP="00873AF3">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45% (76/168) based on an observational study assessing the severity, coping style and social support of myasthenia gravis patients recruited from a single Chinese hospital (Miao 2023).</w:t>
            </w:r>
          </w:p>
        </w:tc>
        <w:tc>
          <w:tcPr>
            <w:tcW w:w="4365" w:type="dxa"/>
            <w:vAlign w:val="center"/>
          </w:tcPr>
          <w:p w14:paraId="7EE9A848" w14:textId="77777777" w:rsidR="00732ACF" w:rsidRPr="00732ACF" w:rsidRDefault="00732ACF" w:rsidP="00873AF3">
            <w:pPr>
              <w:keepNext/>
              <w:keepLines/>
              <w:spacing w:after="120"/>
              <w:jc w:val="left"/>
              <w:rPr>
                <w:rFonts w:ascii="Arial Narrow" w:eastAsiaTheme="majorEastAsia" w:hAnsi="Arial Narrow" w:cstheme="majorBidi"/>
                <w:bCs/>
                <w:sz w:val="20"/>
              </w:rPr>
            </w:pPr>
            <w:r w:rsidRPr="00732ACF">
              <w:rPr>
                <w:rFonts w:ascii="Arial Narrow" w:eastAsiaTheme="majorEastAsia" w:hAnsi="Arial Narrow" w:cstheme="majorBidi"/>
                <w:bCs/>
                <w:sz w:val="20"/>
              </w:rPr>
              <w:t>The estimates were not specific to the proposed target population as both studies included substantial proportions of patients with AChR-negative disease as well as patients with ocular myasthenia gravis. In particular, patients with ocular myasthenia gravis are likely to have less functional impairment than generalised myasthenia gravis patients.</w:t>
            </w:r>
          </w:p>
          <w:p w14:paraId="64E9DB20" w14:textId="77777777" w:rsidR="00732ACF" w:rsidRPr="00732ACF" w:rsidRDefault="00732ACF" w:rsidP="00873AF3">
            <w:pPr>
              <w:keepNext/>
              <w:keepLines/>
              <w:spacing w:after="120"/>
              <w:jc w:val="left"/>
              <w:rPr>
                <w:rFonts w:ascii="Arial Narrow" w:eastAsiaTheme="majorEastAsia" w:hAnsi="Arial Narrow" w:cstheme="majorBidi"/>
                <w:bCs/>
                <w:sz w:val="20"/>
              </w:rPr>
            </w:pPr>
            <w:r w:rsidRPr="00732ACF">
              <w:rPr>
                <w:rFonts w:ascii="Arial Narrow" w:eastAsiaTheme="majorEastAsia" w:hAnsi="Arial Narrow" w:cstheme="majorBidi"/>
                <w:bCs/>
                <w:sz w:val="20"/>
              </w:rPr>
              <w:t>Additionally, the studies did not report background therapies which is likely to affect the proportion of patients with an MGC score ≥4.</w:t>
            </w:r>
          </w:p>
          <w:p w14:paraId="7A8835F6" w14:textId="7016D5C1" w:rsidR="00732ACF" w:rsidRPr="00732ACF" w:rsidRDefault="00732ACF" w:rsidP="00873AF3">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The estimate from Miao 2023 could not be matched with information from the publication.</w:t>
            </w:r>
            <w:r w:rsidR="00BE764D">
              <w:rPr>
                <w:rFonts w:ascii="Arial Narrow" w:eastAsiaTheme="majorEastAsia" w:hAnsi="Arial Narrow" w:cstheme="majorBidi"/>
                <w:bCs/>
                <w:sz w:val="20"/>
              </w:rPr>
              <w:t xml:space="preserve"> </w:t>
            </w:r>
            <w:r w:rsidR="00BE764D" w:rsidRPr="00BE764D">
              <w:rPr>
                <w:rFonts w:ascii="Arial Narrow" w:eastAsiaTheme="majorEastAsia" w:hAnsi="Arial Narrow" w:cstheme="majorBidi"/>
                <w:bCs/>
                <w:sz w:val="20"/>
              </w:rPr>
              <w:t>DUSC considered that this was probably an underestimate as it is based on broader gMG populations, including AChR-negative disease as well as patients with ocular myasthenia gravis.</w:t>
            </w:r>
            <w:r w:rsidR="00BE764D" w:rsidRPr="00BE764D">
              <w:rPr>
                <w:rFonts w:ascii="Arial Narrow" w:hAnsi="Arial Narrow"/>
              </w:rPr>
              <w:t xml:space="preserve"> </w:t>
            </w:r>
          </w:p>
        </w:tc>
      </w:tr>
      <w:tr w:rsidR="00732ACF" w:rsidRPr="00732ACF" w14:paraId="6273C5B5" w14:textId="77777777" w:rsidTr="00BB7A7D">
        <w:tc>
          <w:tcPr>
            <w:tcW w:w="1526" w:type="dxa"/>
            <w:vAlign w:val="center"/>
          </w:tcPr>
          <w:p w14:paraId="2ECADF46" w14:textId="77777777" w:rsidR="00732ACF" w:rsidRPr="00732ACF" w:rsidRDefault="00732ACF" w:rsidP="00873AF3">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Rozanolixizumab uptake rate</w:t>
            </w:r>
          </w:p>
        </w:tc>
        <w:tc>
          <w:tcPr>
            <w:tcW w:w="3289" w:type="dxa"/>
            <w:vAlign w:val="center"/>
          </w:tcPr>
          <w:p w14:paraId="37E43DB9" w14:textId="53630B9D" w:rsidR="00732ACF" w:rsidRPr="00732ACF" w:rsidRDefault="00732ACF" w:rsidP="00873AF3">
            <w:pPr>
              <w:keepNext/>
              <w:jc w:val="left"/>
              <w:rPr>
                <w:rFonts w:ascii="Arial Narrow" w:eastAsiaTheme="majorEastAsia" w:hAnsi="Arial Narrow" w:cstheme="majorBidi"/>
                <w:bCs/>
                <w:sz w:val="20"/>
              </w:rPr>
            </w:pPr>
            <w:r w:rsidRPr="00732ACF">
              <w:rPr>
                <w:rFonts w:ascii="Arial Narrow" w:eastAsiaTheme="majorEastAsia" w:hAnsi="Arial Narrow" w:cstheme="majorBidi"/>
                <w:bCs/>
                <w:sz w:val="20"/>
              </w:rPr>
              <w:t xml:space="preserve">Estimates were derived based on assumed uptake rates of </w:t>
            </w:r>
            <w:r w:rsidR="00D63E16" w:rsidRPr="00A137D7">
              <w:rPr>
                <w:rFonts w:ascii="Arial Narrow" w:eastAsiaTheme="majorEastAsia" w:hAnsi="Arial Narrow" w:cstheme="majorBidi"/>
                <w:color w:val="000000"/>
                <w:spacing w:val="51"/>
                <w:sz w:val="20"/>
                <w:shd w:val="solid" w:color="000000" w:fill="000000"/>
                <w:fitText w:val="325" w:id="-691363325"/>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2"/>
                <w:sz w:val="20"/>
                <w:shd w:val="solid" w:color="000000" w:fill="000000"/>
                <w:fitText w:val="325" w:id="-691363325"/>
                <w14:textFill>
                  <w14:solidFill>
                    <w14:srgbClr w14:val="000000">
                      <w14:alpha w14:val="100000"/>
                    </w14:srgbClr>
                  </w14:solidFill>
                </w14:textFill>
              </w:rPr>
              <w:t>|</w:t>
            </w:r>
            <w:r w:rsidRPr="004561F7">
              <w:rPr>
                <w:rFonts w:ascii="Arial Narrow" w:eastAsiaTheme="majorEastAsia" w:hAnsi="Arial Narrow" w:cstheme="majorBidi"/>
                <w:bCs/>
                <w:sz w:val="20"/>
              </w:rPr>
              <w:t>%,</w:t>
            </w:r>
            <w:r w:rsidR="00A43FAE" w:rsidRPr="00A43FAE">
              <w:rPr>
                <w:rFonts w:ascii="Arial Narrow" w:eastAsiaTheme="majorEastAsia" w:hAnsi="Arial Narrow" w:cstheme="majorBidi"/>
                <w:bCs/>
                <w:sz w:val="20"/>
              </w:rPr>
              <w:t xml:space="preserve"> </w:t>
            </w:r>
            <w:r w:rsidR="00D63E16" w:rsidRPr="00A137D7">
              <w:rPr>
                <w:rFonts w:ascii="Arial Narrow" w:eastAsiaTheme="majorEastAsia" w:hAnsi="Arial Narrow" w:cstheme="majorBidi"/>
                <w:color w:val="000000"/>
                <w:spacing w:val="51"/>
                <w:sz w:val="20"/>
                <w:shd w:val="solid" w:color="000000" w:fill="000000"/>
                <w:fitText w:val="326" w:id="-691363324"/>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3"/>
                <w:sz w:val="20"/>
                <w:shd w:val="solid" w:color="000000" w:fill="000000"/>
                <w:fitText w:val="326" w:id="-691363324"/>
                <w14:textFill>
                  <w14:solidFill>
                    <w14:srgbClr w14:val="000000">
                      <w14:alpha w14:val="100000"/>
                    </w14:srgbClr>
                  </w14:solidFill>
                </w14:textFill>
              </w:rPr>
              <w:t>|</w:t>
            </w:r>
            <w:r w:rsidRPr="004561F7">
              <w:rPr>
                <w:rFonts w:ascii="Arial Narrow" w:eastAsiaTheme="majorEastAsia" w:hAnsi="Arial Narrow" w:cstheme="majorBidi"/>
                <w:bCs/>
                <w:sz w:val="20"/>
              </w:rPr>
              <w:t xml:space="preserve">%, </w:t>
            </w:r>
            <w:r w:rsidR="00D63E16" w:rsidRPr="00A137D7">
              <w:rPr>
                <w:rFonts w:ascii="Arial Narrow" w:eastAsiaTheme="majorEastAsia" w:hAnsi="Arial Narrow" w:cstheme="majorBidi"/>
                <w:color w:val="000000"/>
                <w:spacing w:val="51"/>
                <w:sz w:val="20"/>
                <w:shd w:val="solid" w:color="000000" w:fill="000000"/>
                <w:fitText w:val="325" w:id="-691363323"/>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2"/>
                <w:sz w:val="20"/>
                <w:shd w:val="solid" w:color="000000" w:fill="000000"/>
                <w:fitText w:val="325" w:id="-691363323"/>
                <w14:textFill>
                  <w14:solidFill>
                    <w14:srgbClr w14:val="000000">
                      <w14:alpha w14:val="100000"/>
                    </w14:srgbClr>
                  </w14:solidFill>
                </w14:textFill>
              </w:rPr>
              <w:t>|</w:t>
            </w:r>
            <w:r w:rsidRPr="004561F7">
              <w:rPr>
                <w:rFonts w:ascii="Arial Narrow" w:eastAsiaTheme="majorEastAsia" w:hAnsi="Arial Narrow" w:cstheme="majorBidi"/>
                <w:bCs/>
                <w:sz w:val="20"/>
              </w:rPr>
              <w:t xml:space="preserve">%, </w:t>
            </w:r>
            <w:r w:rsidR="00D63E16" w:rsidRPr="00A137D7">
              <w:rPr>
                <w:rFonts w:ascii="Arial Narrow" w:eastAsiaTheme="majorEastAsia" w:hAnsi="Arial Narrow" w:cstheme="majorBidi"/>
                <w:color w:val="000000"/>
                <w:spacing w:val="51"/>
                <w:sz w:val="20"/>
                <w:shd w:val="solid" w:color="000000" w:fill="000000"/>
                <w:fitText w:val="325" w:id="-691363322"/>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2"/>
                <w:sz w:val="20"/>
                <w:shd w:val="solid" w:color="000000" w:fill="000000"/>
                <w:fitText w:val="325" w:id="-691363322"/>
                <w14:textFill>
                  <w14:solidFill>
                    <w14:srgbClr w14:val="000000">
                      <w14:alpha w14:val="100000"/>
                    </w14:srgbClr>
                  </w14:solidFill>
                </w14:textFill>
              </w:rPr>
              <w:t>|</w:t>
            </w:r>
            <w:r w:rsidRPr="004561F7">
              <w:rPr>
                <w:rFonts w:ascii="Arial Narrow" w:eastAsiaTheme="majorEastAsia" w:hAnsi="Arial Narrow" w:cstheme="majorBidi"/>
                <w:bCs/>
                <w:sz w:val="20"/>
              </w:rPr>
              <w:t>%,</w:t>
            </w:r>
            <w:r w:rsidR="00A43FAE" w:rsidRPr="00A43FAE">
              <w:rPr>
                <w:rFonts w:ascii="Arial Narrow" w:eastAsiaTheme="majorEastAsia" w:hAnsi="Arial Narrow" w:cstheme="majorBidi"/>
                <w:bCs/>
                <w:sz w:val="20"/>
              </w:rPr>
              <w:t xml:space="preserve"> </w:t>
            </w:r>
            <w:r w:rsidR="00D63E16" w:rsidRPr="00A137D7">
              <w:rPr>
                <w:rFonts w:ascii="Arial Narrow" w:eastAsiaTheme="majorEastAsia" w:hAnsi="Arial Narrow" w:cstheme="majorBidi"/>
                <w:color w:val="000000"/>
                <w:spacing w:val="51"/>
                <w:sz w:val="20"/>
                <w:shd w:val="solid" w:color="000000" w:fill="000000"/>
                <w:fitText w:val="326" w:id="-691363321"/>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3"/>
                <w:sz w:val="20"/>
                <w:shd w:val="solid" w:color="000000" w:fill="000000"/>
                <w:fitText w:val="326" w:id="-691363321"/>
                <w14:textFill>
                  <w14:solidFill>
                    <w14:srgbClr w14:val="000000">
                      <w14:alpha w14:val="100000"/>
                    </w14:srgbClr>
                  </w14:solidFill>
                </w14:textFill>
              </w:rPr>
              <w:t>|</w:t>
            </w:r>
            <w:r w:rsidRPr="004561F7">
              <w:rPr>
                <w:rFonts w:ascii="Arial Narrow" w:eastAsiaTheme="majorEastAsia" w:hAnsi="Arial Narrow" w:cstheme="majorBidi"/>
                <w:bCs/>
                <w:sz w:val="20"/>
              </w:rPr>
              <w:t>%</w:t>
            </w:r>
            <w:r w:rsidR="00A43FAE" w:rsidRPr="00A43FAE">
              <w:rPr>
                <w:rFonts w:ascii="Arial Narrow" w:eastAsiaTheme="majorEastAsia" w:hAnsi="Arial Narrow" w:cstheme="majorBidi"/>
                <w:bCs/>
                <w:sz w:val="20"/>
              </w:rPr>
              <w:t xml:space="preserve"> </w:t>
            </w:r>
            <w:r w:rsidRPr="004561F7">
              <w:rPr>
                <w:rFonts w:ascii="Arial Narrow" w:eastAsiaTheme="majorEastAsia" w:hAnsi="Arial Narrow" w:cstheme="majorBidi"/>
                <w:bCs/>
                <w:sz w:val="20"/>
              </w:rPr>
              <w:t>and</w:t>
            </w:r>
            <w:r w:rsidR="00A43FAE" w:rsidRPr="00A43FAE">
              <w:rPr>
                <w:rFonts w:ascii="Arial Narrow" w:eastAsiaTheme="majorEastAsia" w:hAnsi="Arial Narrow" w:cstheme="majorBidi"/>
                <w:bCs/>
                <w:sz w:val="20"/>
              </w:rPr>
              <w:t xml:space="preserve"> </w:t>
            </w:r>
            <w:r w:rsidR="00D63E16" w:rsidRPr="00A137D7">
              <w:rPr>
                <w:rFonts w:ascii="Arial Narrow" w:eastAsiaTheme="majorEastAsia" w:hAnsi="Arial Narrow" w:cstheme="majorBidi"/>
                <w:color w:val="000000"/>
                <w:spacing w:val="55"/>
                <w:sz w:val="20"/>
                <w:shd w:val="solid" w:color="000000" w:fill="000000"/>
                <w:fitText w:val="338" w:id="-691363320"/>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3"/>
                <w:sz w:val="20"/>
                <w:shd w:val="solid" w:color="000000" w:fill="000000"/>
                <w:fitText w:val="338" w:id="-691363320"/>
                <w14:textFill>
                  <w14:solidFill>
                    <w14:srgbClr w14:val="000000">
                      <w14:alpha w14:val="100000"/>
                    </w14:srgbClr>
                  </w14:solidFill>
                </w14:textFill>
              </w:rPr>
              <w:t>|</w:t>
            </w:r>
            <w:r w:rsidRPr="004561F7">
              <w:rPr>
                <w:rFonts w:ascii="Arial Narrow" w:eastAsiaTheme="majorEastAsia" w:hAnsi="Arial Narrow" w:cstheme="majorBidi"/>
                <w:bCs/>
                <w:sz w:val="20"/>
              </w:rPr>
              <w:t>%</w:t>
            </w:r>
            <w:r w:rsidRPr="00732ACF">
              <w:rPr>
                <w:rFonts w:ascii="Arial Narrow" w:eastAsiaTheme="majorEastAsia" w:hAnsi="Arial Narrow" w:cstheme="majorBidi"/>
                <w:bCs/>
                <w:sz w:val="20"/>
              </w:rPr>
              <w:t xml:space="preserve"> in eligible patients who had not previously been treated with rozanolixizumab.</w:t>
            </w:r>
          </w:p>
        </w:tc>
        <w:tc>
          <w:tcPr>
            <w:tcW w:w="4365" w:type="dxa"/>
            <w:vAlign w:val="center"/>
          </w:tcPr>
          <w:p w14:paraId="4A20AC03" w14:textId="77777777" w:rsidR="00732ACF" w:rsidRPr="00732ACF" w:rsidRDefault="00732ACF" w:rsidP="00873AF3">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The submission did not justify the assumed uptake rates.</w:t>
            </w:r>
          </w:p>
        </w:tc>
      </w:tr>
      <w:tr w:rsidR="00732ACF" w:rsidRPr="00732ACF" w14:paraId="21CF0F3D" w14:textId="77777777" w:rsidTr="00BB7A7D">
        <w:tc>
          <w:tcPr>
            <w:tcW w:w="1526" w:type="dxa"/>
            <w:vAlign w:val="center"/>
          </w:tcPr>
          <w:p w14:paraId="0E7489B2" w14:textId="77777777" w:rsidR="00732ACF" w:rsidRPr="00732ACF" w:rsidRDefault="00732ACF" w:rsidP="00873AF3">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Rozanolixizumab persistence</w:t>
            </w:r>
          </w:p>
        </w:tc>
        <w:tc>
          <w:tcPr>
            <w:tcW w:w="3289" w:type="dxa"/>
            <w:vAlign w:val="center"/>
          </w:tcPr>
          <w:p w14:paraId="27D33C72" w14:textId="77777777" w:rsidR="00732ACF" w:rsidRPr="00732ACF" w:rsidRDefault="00732ACF" w:rsidP="00873AF3">
            <w:pPr>
              <w:spacing w:after="120"/>
              <w:jc w:val="left"/>
              <w:rPr>
                <w:rFonts w:ascii="Arial Narrow" w:eastAsiaTheme="majorEastAsia" w:hAnsi="Arial Narrow" w:cstheme="majorBidi"/>
                <w:bCs/>
                <w:sz w:val="20"/>
              </w:rPr>
            </w:pPr>
            <w:r w:rsidRPr="004561F7">
              <w:rPr>
                <w:rFonts w:ascii="Arial Narrow" w:eastAsiaTheme="majorEastAsia" w:hAnsi="Arial Narrow" w:cstheme="majorBidi"/>
                <w:bCs/>
                <w:sz w:val="20"/>
              </w:rPr>
              <w:t>Yr 1 to 2: 73%; Yr 2 to 3: 92%; Yr 3 to 4: 94%; Yr 4 to 5: 95%; Yr 5 to 6: 96%.</w:t>
            </w:r>
          </w:p>
          <w:p w14:paraId="6DC29F87" w14:textId="77777777" w:rsidR="00732ACF" w:rsidRPr="00732ACF" w:rsidRDefault="00732ACF" w:rsidP="00873AF3">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Extrapolated using a log-logistic function fitted to Kaplan-Meier estimates of the time to all-cause treatment discontinuation in the interim analysis of the MG0007 extension study.</w:t>
            </w:r>
          </w:p>
        </w:tc>
        <w:tc>
          <w:tcPr>
            <w:tcW w:w="4365" w:type="dxa"/>
            <w:vAlign w:val="center"/>
          </w:tcPr>
          <w:p w14:paraId="5E6EEE22" w14:textId="77777777" w:rsidR="00732ACF" w:rsidRPr="00732ACF" w:rsidRDefault="00732ACF" w:rsidP="00873AF3">
            <w:pPr>
              <w:keepNext/>
              <w:keepLines/>
              <w:spacing w:after="120"/>
              <w:jc w:val="left"/>
              <w:rPr>
                <w:rFonts w:ascii="Arial Narrow" w:eastAsiaTheme="majorEastAsia" w:hAnsi="Arial Narrow" w:cstheme="majorBidi"/>
                <w:bCs/>
                <w:sz w:val="20"/>
              </w:rPr>
            </w:pPr>
            <w:r w:rsidRPr="00732ACF">
              <w:rPr>
                <w:rFonts w:ascii="Arial Narrow" w:eastAsiaTheme="majorEastAsia" w:hAnsi="Arial Narrow" w:cstheme="majorBidi"/>
                <w:bCs/>
                <w:sz w:val="20"/>
              </w:rPr>
              <w:t>The persistence estimate used in the submission did not appear to account for patients who discontinued after 1 cycle in the MycarinG trial.</w:t>
            </w:r>
          </w:p>
          <w:p w14:paraId="60B2845D" w14:textId="77777777" w:rsidR="00732ACF" w:rsidRPr="00732ACF" w:rsidRDefault="00732ACF" w:rsidP="00873AF3">
            <w:pPr>
              <w:keepNext/>
              <w:keepLines/>
              <w:spacing w:after="120"/>
              <w:jc w:val="left"/>
              <w:rPr>
                <w:rFonts w:ascii="Arial Narrow" w:eastAsiaTheme="majorEastAsia" w:hAnsi="Arial Narrow" w:cstheme="majorBidi"/>
                <w:bCs/>
                <w:sz w:val="20"/>
              </w:rPr>
            </w:pPr>
            <w:r w:rsidRPr="00732ACF">
              <w:rPr>
                <w:rFonts w:ascii="Arial Narrow" w:eastAsiaTheme="majorEastAsia" w:hAnsi="Arial Narrow" w:cstheme="majorBidi"/>
                <w:bCs/>
                <w:sz w:val="20"/>
              </w:rPr>
              <w:t>There were very limited follow-up data beyond 1 year and it was unclear whether persistence estimates were representative of use in later years.</w:t>
            </w:r>
          </w:p>
          <w:p w14:paraId="3B8CC0D9" w14:textId="77777777" w:rsidR="00732ACF" w:rsidRPr="00732ACF" w:rsidRDefault="00732ACF" w:rsidP="00873AF3">
            <w:pPr>
              <w:keepNext/>
              <w:keepLines/>
              <w:jc w:val="left"/>
              <w:rPr>
                <w:rFonts w:ascii="Arial Narrow" w:eastAsiaTheme="majorEastAsia" w:hAnsi="Arial Narrow" w:cstheme="majorBidi"/>
                <w:bCs/>
                <w:sz w:val="20"/>
                <w:highlight w:val="yellow"/>
              </w:rPr>
            </w:pPr>
            <w:r w:rsidRPr="00732ACF">
              <w:rPr>
                <w:rFonts w:ascii="Arial Narrow" w:eastAsiaTheme="majorEastAsia" w:hAnsi="Arial Narrow" w:cstheme="majorBidi"/>
                <w:bCs/>
                <w:sz w:val="20"/>
              </w:rPr>
              <w:t>Additionally, treatment discontinuation estimates reported in a tightly regulated clinical study setting may not be representative of clinical practice.</w:t>
            </w:r>
          </w:p>
        </w:tc>
      </w:tr>
      <w:tr w:rsidR="00732ACF" w:rsidRPr="00732ACF" w14:paraId="740E093E" w14:textId="77777777" w:rsidTr="00BB7A7D">
        <w:trPr>
          <w:trHeight w:val="4464"/>
        </w:trPr>
        <w:tc>
          <w:tcPr>
            <w:tcW w:w="1526" w:type="dxa"/>
            <w:vAlign w:val="center"/>
          </w:tcPr>
          <w:p w14:paraId="1F8858CD" w14:textId="77777777" w:rsidR="00732ACF" w:rsidRPr="00732ACF" w:rsidRDefault="00732ACF" w:rsidP="00873AF3">
            <w:pPr>
              <w:keepNext/>
              <w:jc w:val="left"/>
              <w:rPr>
                <w:rFonts w:ascii="Arial Narrow" w:eastAsiaTheme="majorEastAsia" w:hAnsi="Arial Narrow" w:cstheme="majorBidi"/>
                <w:bCs/>
                <w:sz w:val="20"/>
              </w:rPr>
            </w:pPr>
            <w:r w:rsidRPr="00732ACF">
              <w:rPr>
                <w:rFonts w:ascii="Arial Narrow" w:eastAsiaTheme="majorEastAsia" w:hAnsi="Arial Narrow" w:cstheme="majorBidi"/>
                <w:bCs/>
                <w:sz w:val="20"/>
              </w:rPr>
              <w:t>Rozanolixizumab scripts</w:t>
            </w:r>
          </w:p>
        </w:tc>
        <w:tc>
          <w:tcPr>
            <w:tcW w:w="3289" w:type="dxa"/>
            <w:vAlign w:val="center"/>
          </w:tcPr>
          <w:p w14:paraId="4CC36872" w14:textId="30AB1885" w:rsidR="00732ACF" w:rsidRPr="004561F7" w:rsidRDefault="00BE764D" w:rsidP="00873AF3">
            <w:pPr>
              <w:keepNext/>
              <w:jc w:val="left"/>
              <w:rPr>
                <w:rFonts w:ascii="Arial Narrow" w:eastAsiaTheme="majorEastAsia" w:hAnsi="Arial Narrow" w:cstheme="majorBidi"/>
                <w:bCs/>
                <w:sz w:val="20"/>
              </w:rPr>
            </w:pPr>
            <w:r w:rsidRPr="004561F7">
              <w:rPr>
                <w:rFonts w:ascii="Arial Narrow" w:eastAsiaTheme="majorEastAsia" w:hAnsi="Arial Narrow" w:cstheme="majorBidi"/>
                <w:bCs/>
                <w:sz w:val="20"/>
              </w:rPr>
              <w:t xml:space="preserve">17.8 infusions per year (i.e. </w:t>
            </w:r>
            <w:r w:rsidR="00732ACF" w:rsidRPr="004561F7">
              <w:rPr>
                <w:rFonts w:ascii="Arial Narrow" w:eastAsiaTheme="majorEastAsia" w:hAnsi="Arial Narrow" w:cstheme="majorBidi"/>
                <w:bCs/>
                <w:sz w:val="20"/>
              </w:rPr>
              <w:t>3.4 cycles per year; 5.24 infusions per cycle</w:t>
            </w:r>
            <w:r w:rsidRPr="004561F7">
              <w:rPr>
                <w:rFonts w:ascii="Arial Narrow" w:eastAsiaTheme="majorEastAsia" w:hAnsi="Arial Narrow" w:cstheme="majorBidi"/>
                <w:bCs/>
                <w:sz w:val="20"/>
              </w:rPr>
              <w:t>).</w:t>
            </w:r>
            <w:r w:rsidR="00732ACF" w:rsidRPr="004561F7">
              <w:rPr>
                <w:rFonts w:ascii="Arial Narrow" w:eastAsiaTheme="majorEastAsia" w:hAnsi="Arial Narrow" w:cstheme="majorBidi"/>
                <w:bCs/>
                <w:sz w:val="20"/>
              </w:rPr>
              <w:t xml:space="preserve"> Based on a post hoc analysis of data from the MycarinG trial and an interim analysis of the MG0007 extension study using data from all patients who had received ≥1 rozanolixizumab treatment cycle (including partial cycles) and had ≥8-week post-treatment follow-up (S2 dataset).</w:t>
            </w:r>
          </w:p>
        </w:tc>
        <w:tc>
          <w:tcPr>
            <w:tcW w:w="4365" w:type="dxa"/>
            <w:vAlign w:val="center"/>
          </w:tcPr>
          <w:p w14:paraId="7F8AAB30" w14:textId="2AD4C0DE" w:rsidR="00732ACF" w:rsidRPr="004561F7" w:rsidRDefault="00732ACF" w:rsidP="00873AF3">
            <w:pPr>
              <w:keepNext/>
              <w:keepLines/>
              <w:spacing w:after="120"/>
              <w:jc w:val="left"/>
              <w:rPr>
                <w:rFonts w:ascii="Arial Narrow" w:eastAsiaTheme="majorEastAsia" w:hAnsi="Arial Narrow" w:cstheme="majorBidi"/>
                <w:bCs/>
                <w:sz w:val="20"/>
              </w:rPr>
            </w:pPr>
            <w:r w:rsidRPr="004561F7">
              <w:rPr>
                <w:rFonts w:ascii="Arial Narrow" w:eastAsiaTheme="majorEastAsia" w:hAnsi="Arial Narrow" w:cstheme="majorBidi"/>
                <w:bCs/>
                <w:sz w:val="20"/>
              </w:rPr>
              <w:t>The post hoc dataset used to inform utilisation estimates was not consistent with the datasets used to inform longer-term treatment efficacy or time to treatment discontinuation (</w:t>
            </w:r>
            <w:r w:rsidR="00725F84" w:rsidRPr="004561F7">
              <w:rPr>
                <w:rFonts w:ascii="Arial Narrow" w:eastAsiaTheme="majorEastAsia" w:hAnsi="Arial Narrow" w:cstheme="majorBidi"/>
                <w:bCs/>
                <w:sz w:val="20"/>
              </w:rPr>
              <w:t>e.g.</w:t>
            </w:r>
            <w:r w:rsidR="000209DB" w:rsidRPr="004561F7">
              <w:rPr>
                <w:rFonts w:ascii="Arial Narrow" w:eastAsiaTheme="majorEastAsia" w:hAnsi="Arial Narrow" w:cstheme="majorBidi"/>
                <w:bCs/>
                <w:sz w:val="20"/>
              </w:rPr>
              <w:t xml:space="preserve"> the </w:t>
            </w:r>
            <w:r w:rsidRPr="004561F7">
              <w:rPr>
                <w:rFonts w:ascii="Arial Narrow" w:eastAsiaTheme="majorEastAsia" w:hAnsi="Arial Narrow" w:cstheme="majorBidi"/>
                <w:bCs/>
                <w:sz w:val="20"/>
              </w:rPr>
              <w:t>number of cycles per year was 4.31 based on the interim MG0007 analysis</w:t>
            </w:r>
            <w:r w:rsidR="000209DB" w:rsidRPr="004561F7">
              <w:rPr>
                <w:rFonts w:ascii="Arial Narrow" w:eastAsiaTheme="majorEastAsia" w:hAnsi="Arial Narrow" w:cstheme="majorBidi"/>
                <w:bCs/>
                <w:sz w:val="20"/>
              </w:rPr>
              <w:t>, or 3.59 based on the annualised number of cycles per year from the final MG0007 study report</w:t>
            </w:r>
            <w:r w:rsidRPr="004561F7">
              <w:rPr>
                <w:rFonts w:ascii="Arial Narrow" w:eastAsiaTheme="majorEastAsia" w:hAnsi="Arial Narrow" w:cstheme="majorBidi"/>
                <w:bCs/>
                <w:sz w:val="20"/>
              </w:rPr>
              <w:t>)</w:t>
            </w:r>
            <w:r w:rsidR="000209DB" w:rsidRPr="004561F7">
              <w:rPr>
                <w:rFonts w:ascii="Arial Narrow" w:eastAsiaTheme="majorEastAsia" w:hAnsi="Arial Narrow" w:cstheme="majorBidi"/>
                <w:bCs/>
                <w:sz w:val="20"/>
              </w:rPr>
              <w:t xml:space="preserve">. </w:t>
            </w:r>
          </w:p>
          <w:p w14:paraId="05D63F1C" w14:textId="6629B6C6" w:rsidR="00732ACF" w:rsidRPr="004561F7" w:rsidRDefault="000209DB" w:rsidP="00873AF3">
            <w:pPr>
              <w:keepNext/>
              <w:keepLines/>
              <w:spacing w:after="120"/>
              <w:jc w:val="left"/>
              <w:rPr>
                <w:rFonts w:ascii="Arial Narrow" w:eastAsiaTheme="majorEastAsia" w:hAnsi="Arial Narrow" w:cstheme="majorBidi"/>
                <w:bCs/>
                <w:sz w:val="20"/>
              </w:rPr>
            </w:pPr>
            <w:r w:rsidRPr="004561F7">
              <w:rPr>
                <w:rFonts w:ascii="Arial Narrow" w:eastAsiaTheme="majorEastAsia" w:hAnsi="Arial Narrow" w:cstheme="majorBidi"/>
                <w:bCs/>
                <w:sz w:val="20"/>
              </w:rPr>
              <w:t>The evaluation considered the number of scripts per year was likely underestimated as p</w:t>
            </w:r>
            <w:r w:rsidR="00732ACF" w:rsidRPr="004561F7">
              <w:rPr>
                <w:rFonts w:ascii="Arial Narrow" w:eastAsiaTheme="majorEastAsia" w:hAnsi="Arial Narrow" w:cstheme="majorBidi"/>
                <w:bCs/>
                <w:sz w:val="20"/>
              </w:rPr>
              <w:t>atients in the MycarinG trial and MG0007 study were required to meet specific thresholds for retreatment (increase of 2.0 points on the MG-ADL or 3.0 points on the QMG scale) with a suggested minimum time of 4 weeks between cycles, which may not be representative of clinical practice.</w:t>
            </w:r>
          </w:p>
          <w:p w14:paraId="36A50719" w14:textId="3E3D1AB5" w:rsidR="00732ACF" w:rsidRPr="004561F7" w:rsidRDefault="00732ACF" w:rsidP="00873AF3">
            <w:pPr>
              <w:keepNext/>
              <w:keepLines/>
              <w:jc w:val="left"/>
              <w:rPr>
                <w:rFonts w:ascii="Arial Narrow" w:eastAsiaTheme="majorEastAsia" w:hAnsi="Arial Narrow" w:cstheme="majorBidi"/>
                <w:bCs/>
                <w:sz w:val="20"/>
              </w:rPr>
            </w:pPr>
            <w:r w:rsidRPr="004561F7">
              <w:rPr>
                <w:rFonts w:ascii="Arial Narrow" w:eastAsiaTheme="majorEastAsia" w:hAnsi="Arial Narrow" w:cstheme="majorBidi"/>
                <w:bCs/>
                <w:sz w:val="20"/>
              </w:rPr>
              <w:t>Median follow-up of patients in the S2 dataset was 368 days and it was unclear whether the estimated number of cycles and infusions were representative of use in later years.</w:t>
            </w:r>
          </w:p>
        </w:tc>
      </w:tr>
      <w:tr w:rsidR="00732ACF" w:rsidRPr="00732ACF" w14:paraId="5FA5DBF1" w14:textId="77777777" w:rsidTr="00BB7A7D">
        <w:tc>
          <w:tcPr>
            <w:tcW w:w="1526" w:type="dxa"/>
            <w:vAlign w:val="center"/>
          </w:tcPr>
          <w:p w14:paraId="59859472" w14:textId="77777777" w:rsidR="00732ACF" w:rsidRPr="00732ACF" w:rsidRDefault="00732ACF" w:rsidP="00873AF3">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Chronic IVIg/PLEX response rate</w:t>
            </w:r>
          </w:p>
        </w:tc>
        <w:tc>
          <w:tcPr>
            <w:tcW w:w="3289" w:type="dxa"/>
            <w:vAlign w:val="center"/>
          </w:tcPr>
          <w:p w14:paraId="749CBC3E" w14:textId="77777777" w:rsidR="00732ACF" w:rsidRPr="004561F7" w:rsidRDefault="00732ACF" w:rsidP="00873AF3">
            <w:pPr>
              <w:jc w:val="left"/>
              <w:rPr>
                <w:rFonts w:ascii="Arial Narrow" w:eastAsiaTheme="majorEastAsia" w:hAnsi="Arial Narrow" w:cstheme="majorBidi"/>
                <w:bCs/>
                <w:sz w:val="20"/>
              </w:rPr>
            </w:pPr>
            <w:r w:rsidRPr="004561F7">
              <w:rPr>
                <w:rFonts w:ascii="Arial Narrow" w:eastAsiaTheme="majorEastAsia" w:hAnsi="Arial Narrow" w:cstheme="majorBidi"/>
                <w:sz w:val="20"/>
              </w:rPr>
              <w:t>60%.</w:t>
            </w:r>
            <w:r w:rsidRPr="004561F7">
              <w:rPr>
                <w:rFonts w:ascii="Arial Narrow" w:eastAsiaTheme="majorEastAsia" w:hAnsi="Arial Narrow" w:cstheme="majorBidi"/>
                <w:bCs/>
                <w:sz w:val="20"/>
              </w:rPr>
              <w:t xml:space="preserve"> Based on the proportion of patients achieving ≥3-point reduction in MGC score from baseline with IVIg treatment at 6 months in the Bril 2024 trial. </w:t>
            </w:r>
          </w:p>
        </w:tc>
        <w:tc>
          <w:tcPr>
            <w:tcW w:w="4365" w:type="dxa"/>
            <w:vAlign w:val="center"/>
          </w:tcPr>
          <w:p w14:paraId="3BEE86C4" w14:textId="47FCB15A" w:rsidR="00732ACF" w:rsidRPr="004561F7" w:rsidRDefault="00BE764D" w:rsidP="00873AF3">
            <w:pPr>
              <w:keepNext/>
              <w:keepLines/>
              <w:spacing w:after="120"/>
              <w:jc w:val="left"/>
              <w:rPr>
                <w:rFonts w:ascii="Arial Narrow" w:eastAsiaTheme="majorEastAsia" w:hAnsi="Arial Narrow" w:cstheme="majorBidi"/>
                <w:bCs/>
                <w:sz w:val="20"/>
              </w:rPr>
            </w:pPr>
            <w:r w:rsidRPr="004561F7">
              <w:rPr>
                <w:rFonts w:ascii="Arial Narrow" w:eastAsiaTheme="majorEastAsia" w:hAnsi="Arial Narrow" w:cstheme="majorBidi"/>
                <w:bCs/>
                <w:sz w:val="20"/>
              </w:rPr>
              <w:t>The evaluation and DUSC considered this was not appropriate.</w:t>
            </w:r>
            <w:r w:rsidR="00732ACF" w:rsidRPr="004561F7">
              <w:rPr>
                <w:rFonts w:ascii="Arial Narrow" w:eastAsiaTheme="majorEastAsia" w:hAnsi="Arial Narrow" w:cstheme="majorBidi"/>
                <w:bCs/>
                <w:sz w:val="20"/>
              </w:rPr>
              <w:t xml:space="preserve"> The dosing regimen used in the Bril 2024 trial is unlikely to reflect Australian clinical practice as it is inconsistent with the approved product information, exceeds the maximum subsidised dose under the NBA and is substantially higher than supported by the available Australian IVIg utilisation data.</w:t>
            </w:r>
          </w:p>
          <w:p w14:paraId="48B4EAF0" w14:textId="77777777" w:rsidR="00732ACF" w:rsidRPr="004561F7" w:rsidRDefault="00732ACF" w:rsidP="00873AF3">
            <w:pPr>
              <w:keepNext/>
              <w:keepLines/>
              <w:jc w:val="left"/>
              <w:rPr>
                <w:rFonts w:ascii="Arial Narrow" w:eastAsiaTheme="majorEastAsia" w:hAnsi="Arial Narrow" w:cstheme="majorBidi"/>
                <w:bCs/>
                <w:sz w:val="20"/>
              </w:rPr>
            </w:pPr>
            <w:r w:rsidRPr="004561F7">
              <w:rPr>
                <w:rFonts w:ascii="Arial Narrow" w:eastAsiaTheme="majorEastAsia" w:hAnsi="Arial Narrow" w:cstheme="majorBidi"/>
                <w:bCs/>
                <w:sz w:val="20"/>
              </w:rPr>
              <w:t>Additionally, the assessment for response for ongoing subsidised treatment under the NBA typically occurs at 4 months but includes other factors such as having clinical benefit with end-of-cycle deterioration.</w:t>
            </w:r>
          </w:p>
        </w:tc>
      </w:tr>
      <w:tr w:rsidR="00732ACF" w:rsidRPr="00732ACF" w14:paraId="0FC18554" w14:textId="77777777" w:rsidTr="00BB7A7D">
        <w:tc>
          <w:tcPr>
            <w:tcW w:w="1526" w:type="dxa"/>
            <w:vAlign w:val="center"/>
          </w:tcPr>
          <w:p w14:paraId="78F395D2" w14:textId="77777777" w:rsidR="00732ACF" w:rsidRPr="00732ACF" w:rsidRDefault="00732ACF" w:rsidP="00873AF3">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Chronic IVIg/PLEX persistence</w:t>
            </w:r>
          </w:p>
        </w:tc>
        <w:tc>
          <w:tcPr>
            <w:tcW w:w="3289" w:type="dxa"/>
            <w:vAlign w:val="center"/>
          </w:tcPr>
          <w:p w14:paraId="33C7A15C" w14:textId="77777777" w:rsidR="00732ACF" w:rsidRPr="00732ACF" w:rsidRDefault="00732ACF" w:rsidP="00873AF3">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Assumed to be the same as for rozanolixizumab.</w:t>
            </w:r>
          </w:p>
        </w:tc>
        <w:tc>
          <w:tcPr>
            <w:tcW w:w="4365" w:type="dxa"/>
            <w:vAlign w:val="center"/>
          </w:tcPr>
          <w:p w14:paraId="0C861ADF" w14:textId="582244E2" w:rsidR="00732ACF" w:rsidRPr="00732ACF" w:rsidRDefault="00732ACF" w:rsidP="00873AF3">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The</w:t>
            </w:r>
            <w:r w:rsidR="004C5675">
              <w:rPr>
                <w:rFonts w:ascii="Arial Narrow" w:eastAsiaTheme="majorEastAsia" w:hAnsi="Arial Narrow" w:cstheme="majorBidi"/>
                <w:bCs/>
                <w:sz w:val="20"/>
              </w:rPr>
              <w:t xml:space="preserve"> evaluation considered this</w:t>
            </w:r>
            <w:r w:rsidRPr="00732ACF">
              <w:rPr>
                <w:rFonts w:ascii="Arial Narrow" w:eastAsiaTheme="majorEastAsia" w:hAnsi="Arial Narrow" w:cstheme="majorBidi"/>
                <w:bCs/>
                <w:sz w:val="20"/>
              </w:rPr>
              <w:t xml:space="preserve"> assumption was not adequately justified given the different patterns of treatment between these therapies.</w:t>
            </w:r>
          </w:p>
        </w:tc>
      </w:tr>
      <w:tr w:rsidR="00732ACF" w:rsidRPr="00732ACF" w14:paraId="569D1706" w14:textId="77777777" w:rsidTr="00BB7A7D">
        <w:tc>
          <w:tcPr>
            <w:tcW w:w="1526" w:type="dxa"/>
            <w:vAlign w:val="center"/>
          </w:tcPr>
          <w:p w14:paraId="0E24905B" w14:textId="77777777" w:rsidR="00732ACF" w:rsidRPr="00732ACF" w:rsidRDefault="00732ACF" w:rsidP="00873AF3">
            <w:pPr>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Dispensed IVIg per patient</w:t>
            </w:r>
          </w:p>
        </w:tc>
        <w:tc>
          <w:tcPr>
            <w:tcW w:w="3289" w:type="dxa"/>
            <w:vAlign w:val="center"/>
          </w:tcPr>
          <w:p w14:paraId="2BC2A650" w14:textId="77777777" w:rsidR="00732ACF" w:rsidRPr="00303836" w:rsidRDefault="00732ACF" w:rsidP="00873AF3">
            <w:pPr>
              <w:keepLines/>
              <w:spacing w:after="120"/>
              <w:jc w:val="left"/>
              <w:rPr>
                <w:rFonts w:ascii="Arial Narrow" w:eastAsiaTheme="majorEastAsia" w:hAnsi="Arial Narrow" w:cstheme="majorBidi"/>
                <w:bCs/>
                <w:sz w:val="20"/>
              </w:rPr>
            </w:pPr>
            <w:r w:rsidRPr="00303836">
              <w:rPr>
                <w:rFonts w:ascii="Arial Narrow" w:eastAsiaTheme="majorEastAsia" w:hAnsi="Arial Narrow" w:cstheme="majorBidi"/>
                <w:bCs/>
                <w:sz w:val="20"/>
              </w:rPr>
              <w:t>Responder: 927 g; non-responder: 463 g. Dose per cycle estimated based on the dosing regimen used in the Bril 2024 trial (2 g/kg loading dose split over 2 administrations and then a maintenance dose of 1 g/kg every 3 weeks; total of 24 weeks treatment).</w:t>
            </w:r>
          </w:p>
          <w:p w14:paraId="657307D4" w14:textId="77777777" w:rsidR="00732ACF" w:rsidRPr="00303836" w:rsidRDefault="00732ACF" w:rsidP="00873AF3">
            <w:pPr>
              <w:keepLines/>
              <w:spacing w:after="120"/>
              <w:jc w:val="left"/>
              <w:rPr>
                <w:rFonts w:ascii="Arial Narrow" w:eastAsiaTheme="majorEastAsia" w:hAnsi="Arial Narrow" w:cstheme="majorBidi"/>
                <w:bCs/>
                <w:sz w:val="20"/>
              </w:rPr>
            </w:pPr>
            <w:r w:rsidRPr="00303836">
              <w:rPr>
                <w:rFonts w:ascii="Arial Narrow" w:eastAsiaTheme="majorEastAsia" w:hAnsi="Arial Narrow" w:cstheme="majorBidi"/>
                <w:bCs/>
                <w:sz w:val="20"/>
              </w:rPr>
              <w:t>The submission claimed that estimated doses were reduced by 40% based on feedback from the July 2024 zilucoplan submission.</w:t>
            </w:r>
          </w:p>
          <w:p w14:paraId="090035C6" w14:textId="77777777" w:rsidR="00732ACF" w:rsidRPr="00303836" w:rsidRDefault="00732ACF" w:rsidP="00873AF3">
            <w:pPr>
              <w:keepLines/>
              <w:spacing w:after="120"/>
              <w:jc w:val="left"/>
              <w:rPr>
                <w:rFonts w:ascii="Arial Narrow" w:eastAsiaTheme="majorEastAsia" w:hAnsi="Arial Narrow" w:cstheme="majorBidi"/>
                <w:bCs/>
                <w:sz w:val="20"/>
              </w:rPr>
            </w:pPr>
            <w:r w:rsidRPr="00303836">
              <w:rPr>
                <w:rFonts w:ascii="Arial Narrow" w:eastAsiaTheme="majorEastAsia" w:hAnsi="Arial Narrow" w:cstheme="majorBidi"/>
                <w:bCs/>
                <w:sz w:val="20"/>
              </w:rPr>
              <w:t>Mean body weight was based on the baseline weight in the MycarinG trial (loading dose 2 g/kg x 80.2 kg × 60% = 96.2 g; maintenance dose 1 g/kg × 80.2 kg × 60% = 48.1 g).</w:t>
            </w:r>
          </w:p>
          <w:p w14:paraId="681B93AA" w14:textId="77777777" w:rsidR="00732ACF" w:rsidRPr="00303836" w:rsidRDefault="00732ACF" w:rsidP="00873AF3">
            <w:pPr>
              <w:keepLines/>
              <w:jc w:val="left"/>
              <w:rPr>
                <w:rFonts w:ascii="Arial Narrow" w:eastAsiaTheme="majorEastAsia" w:hAnsi="Arial Narrow" w:cstheme="majorBidi"/>
                <w:bCs/>
                <w:sz w:val="20"/>
              </w:rPr>
            </w:pPr>
            <w:r w:rsidRPr="00303836">
              <w:rPr>
                <w:rFonts w:ascii="Arial Narrow" w:eastAsiaTheme="majorEastAsia" w:hAnsi="Arial Narrow" w:cstheme="majorBidi"/>
                <w:bCs/>
                <w:sz w:val="20"/>
              </w:rPr>
              <w:t>The annual number of treatment cycles per year (2.14) was estimated based on intermittent IVIg users in the first 12 months of treatment using data from a retrospective review of US claims data (Qi 2022).</w:t>
            </w:r>
          </w:p>
        </w:tc>
        <w:tc>
          <w:tcPr>
            <w:tcW w:w="4365" w:type="dxa"/>
            <w:vAlign w:val="center"/>
          </w:tcPr>
          <w:p w14:paraId="04FCDD71" w14:textId="77777777" w:rsidR="00732ACF" w:rsidRPr="00303836" w:rsidRDefault="00732ACF" w:rsidP="00873AF3">
            <w:pPr>
              <w:keepNext/>
              <w:keepLines/>
              <w:spacing w:after="120"/>
              <w:jc w:val="left"/>
              <w:rPr>
                <w:rFonts w:ascii="Arial Narrow" w:eastAsiaTheme="majorEastAsia" w:hAnsi="Arial Narrow" w:cstheme="majorBidi"/>
                <w:bCs/>
                <w:sz w:val="20"/>
              </w:rPr>
            </w:pPr>
            <w:r w:rsidRPr="00303836">
              <w:rPr>
                <w:rFonts w:ascii="Arial Narrow" w:eastAsiaTheme="majorEastAsia" w:hAnsi="Arial Narrow" w:cstheme="majorBidi"/>
                <w:bCs/>
                <w:sz w:val="20"/>
              </w:rPr>
              <w:t>This was not appropriate. The dosing regimen used in the Bril 2024 trial is unlikely to reflect Australian clinical practice as it is inconsistent with the approved product information, exceeds the maximum subsidised dose under the NBA and is substantially higher than supported by the available Australian IVIg utilisation data.</w:t>
            </w:r>
          </w:p>
          <w:p w14:paraId="73C7F51D" w14:textId="77777777" w:rsidR="00732ACF" w:rsidRPr="00303836" w:rsidRDefault="00732ACF" w:rsidP="00873AF3">
            <w:pPr>
              <w:keepNext/>
              <w:keepLines/>
              <w:spacing w:after="120"/>
              <w:jc w:val="left"/>
              <w:rPr>
                <w:rFonts w:ascii="Arial Narrow" w:eastAsiaTheme="majorEastAsia" w:hAnsi="Arial Narrow" w:cstheme="majorBidi"/>
                <w:bCs/>
                <w:sz w:val="20"/>
              </w:rPr>
            </w:pPr>
            <w:r w:rsidRPr="00303836">
              <w:rPr>
                <w:rFonts w:ascii="Arial Narrow" w:eastAsiaTheme="majorEastAsia" w:hAnsi="Arial Narrow" w:cstheme="majorBidi"/>
                <w:bCs/>
                <w:sz w:val="20"/>
              </w:rPr>
              <w:t>The estimated 40% reduction used in the submission was based on an incorrect interpretation of a sensitivity analysis reported in the zilucoplan July 2024 PBAC commentary which noted that a 60% reduction (i.e. 40% of base case units) was needed to reduce the estimated dose of 1,247 g (based on 89.1 kg patients with 2 g/kg loading dose and 1 g/kg maintenance dose every 4 weeks) to a dose consistent with the average dose reported in the MSAC review of IVIg use for myasthenia gravis (492 g per patient).</w:t>
            </w:r>
          </w:p>
          <w:p w14:paraId="59135B29" w14:textId="77777777" w:rsidR="00732ACF" w:rsidRPr="00303836" w:rsidRDefault="00732ACF" w:rsidP="00873AF3">
            <w:pPr>
              <w:keepNext/>
              <w:keepLines/>
              <w:jc w:val="left"/>
              <w:rPr>
                <w:rFonts w:ascii="Arial Narrow" w:eastAsiaTheme="majorEastAsia" w:hAnsi="Arial Narrow" w:cstheme="majorBidi"/>
                <w:bCs/>
                <w:sz w:val="20"/>
              </w:rPr>
            </w:pPr>
            <w:r w:rsidRPr="00303836">
              <w:rPr>
                <w:rFonts w:ascii="Arial Narrow" w:eastAsiaTheme="majorEastAsia" w:hAnsi="Arial Narrow" w:cstheme="majorBidi"/>
                <w:bCs/>
                <w:sz w:val="20"/>
              </w:rPr>
              <w:t>The Qi (2022) study defined a treatment cycle as all IVIg doses received within 5 days of each other (e.g. average duration of a treatment cycle was 1.81 days) and has no relevance to the dose per cycle estimated in the Bril 2024 trial.</w:t>
            </w:r>
          </w:p>
        </w:tc>
      </w:tr>
      <w:tr w:rsidR="00732ACF" w:rsidRPr="00732ACF" w14:paraId="727B7AEF" w14:textId="77777777" w:rsidTr="00BB7A7D">
        <w:tc>
          <w:tcPr>
            <w:tcW w:w="1526" w:type="dxa"/>
            <w:vAlign w:val="center"/>
          </w:tcPr>
          <w:p w14:paraId="638926EE" w14:textId="77777777" w:rsidR="00732ACF" w:rsidRPr="00732ACF" w:rsidRDefault="00732ACF" w:rsidP="00873AF3">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Rozanolixizumab cost</w:t>
            </w:r>
          </w:p>
        </w:tc>
        <w:tc>
          <w:tcPr>
            <w:tcW w:w="3289" w:type="dxa"/>
            <w:vAlign w:val="center"/>
          </w:tcPr>
          <w:p w14:paraId="1FA76BED" w14:textId="521ADA9B" w:rsidR="00732ACF" w:rsidRPr="00732ACF" w:rsidRDefault="00732ACF" w:rsidP="00873AF3">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51"/>
                <w:sz w:val="20"/>
                <w:shd w:val="solid" w:color="000000" w:fill="000000"/>
                <w:fitText w:val="325" w:id="-691363319"/>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2"/>
                <w:sz w:val="20"/>
                <w:shd w:val="solid" w:color="000000" w:fill="000000"/>
                <w:fitText w:val="325" w:id="-691363319"/>
                <w14:textFill>
                  <w14:solidFill>
                    <w14:srgbClr w14:val="000000">
                      <w14:alpha w14:val="100000"/>
                    </w14:srgbClr>
                  </w14:solidFill>
                </w14:textFill>
              </w:rPr>
              <w:t>|</w:t>
            </w:r>
            <w:r w:rsidRPr="00732ACF">
              <w:rPr>
                <w:rFonts w:ascii="Arial Narrow" w:eastAsiaTheme="majorEastAsia" w:hAnsi="Arial Narrow" w:cstheme="majorBidi"/>
                <w:bCs/>
                <w:sz w:val="20"/>
              </w:rPr>
              <w:t xml:space="preserve"> per vial based on the proposed effective AEMP</w:t>
            </w:r>
          </w:p>
        </w:tc>
        <w:tc>
          <w:tcPr>
            <w:tcW w:w="4365" w:type="dxa"/>
            <w:vAlign w:val="center"/>
          </w:tcPr>
          <w:p w14:paraId="74E4396A" w14:textId="5E7130A7" w:rsidR="00732ACF" w:rsidRPr="00732ACF" w:rsidRDefault="00732ACF" w:rsidP="00873AF3">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 xml:space="preserve">The proposed cost-minimised price of rozanolixizumab compared to IVIg was highly uncertain and included a </w:t>
            </w:r>
            <w:r w:rsidR="00D63E16" w:rsidRPr="00A137D7">
              <w:rPr>
                <w:rFonts w:ascii="Arial Narrow" w:eastAsiaTheme="majorEastAsia" w:hAnsi="Arial Narrow" w:cstheme="majorBidi"/>
                <w:color w:val="000000"/>
                <w:spacing w:val="51"/>
                <w:sz w:val="20"/>
                <w:shd w:val="solid" w:color="000000" w:fill="000000"/>
                <w:fitText w:val="325" w:id="-691363072"/>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2"/>
                <w:sz w:val="20"/>
                <w:shd w:val="solid" w:color="000000" w:fill="000000"/>
                <w:fitText w:val="325" w:id="-691363072"/>
                <w14:textFill>
                  <w14:solidFill>
                    <w14:srgbClr w14:val="000000">
                      <w14:alpha w14:val="100000"/>
                    </w14:srgbClr>
                  </w14:solidFill>
                </w14:textFill>
              </w:rPr>
              <w:t>|</w:t>
            </w:r>
            <w:r w:rsidRPr="00732ACF">
              <w:rPr>
                <w:rFonts w:ascii="Arial Narrow" w:eastAsiaTheme="majorEastAsia" w:hAnsi="Arial Narrow" w:cstheme="majorBidi"/>
                <w:bCs/>
                <w:sz w:val="20"/>
              </w:rPr>
              <w:t>% price premium for rozanolixizumab.</w:t>
            </w:r>
          </w:p>
        </w:tc>
      </w:tr>
      <w:tr w:rsidR="00732ACF" w:rsidRPr="00732ACF" w14:paraId="335510AF" w14:textId="77777777" w:rsidTr="00BB7A7D">
        <w:tc>
          <w:tcPr>
            <w:tcW w:w="1526" w:type="dxa"/>
            <w:vAlign w:val="center"/>
          </w:tcPr>
          <w:p w14:paraId="06282487" w14:textId="77777777" w:rsidR="00732ACF" w:rsidRPr="00732ACF" w:rsidRDefault="00732ACF" w:rsidP="00873AF3">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IVIg cost</w:t>
            </w:r>
          </w:p>
        </w:tc>
        <w:tc>
          <w:tcPr>
            <w:tcW w:w="3289" w:type="dxa"/>
            <w:vAlign w:val="center"/>
          </w:tcPr>
          <w:p w14:paraId="4D0E12B4" w14:textId="57B3A130" w:rsidR="00732ACF" w:rsidRPr="00732ACF" w:rsidRDefault="00732ACF" w:rsidP="00873AF3">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w:t>
            </w:r>
            <w:r w:rsidR="00027A85" w:rsidRPr="00A137D7">
              <w:rPr>
                <w:rFonts w:ascii="Arial Narrow" w:eastAsiaTheme="majorEastAsia" w:hAnsi="Arial Narrow" w:cstheme="majorBidi"/>
                <w:color w:val="000000"/>
                <w:spacing w:val="53"/>
                <w:sz w:val="20"/>
                <w:shd w:val="solid" w:color="000000" w:fill="000000"/>
                <w:fitText w:val="330" w:id="-656193267"/>
                <w14:textFill>
                  <w14:solidFill>
                    <w14:srgbClr w14:val="000000">
                      <w14:alpha w14:val="100000"/>
                    </w14:srgbClr>
                  </w14:solidFill>
                </w14:textFill>
              </w:rPr>
              <w:t>|||</w:t>
            </w:r>
            <w:r w:rsidR="00027A85" w:rsidRPr="00A137D7">
              <w:rPr>
                <w:rFonts w:ascii="Arial Narrow" w:eastAsiaTheme="majorEastAsia" w:hAnsi="Arial Narrow" w:cstheme="majorBidi"/>
                <w:color w:val="000000"/>
                <w:spacing w:val="1"/>
                <w:sz w:val="20"/>
                <w:shd w:val="solid" w:color="000000" w:fill="000000"/>
                <w:fitText w:val="330" w:id="-656193267"/>
                <w14:textFill>
                  <w14:solidFill>
                    <w14:srgbClr w14:val="000000">
                      <w14:alpha w14:val="100000"/>
                    </w14:srgbClr>
                  </w14:solidFill>
                </w14:textFill>
              </w:rPr>
              <w:t>|</w:t>
            </w:r>
            <w:r w:rsidRPr="00732ACF">
              <w:rPr>
                <w:rFonts w:ascii="Arial Narrow" w:eastAsiaTheme="majorEastAsia" w:hAnsi="Arial Narrow" w:cstheme="majorBidi"/>
                <w:bCs/>
                <w:sz w:val="20"/>
              </w:rPr>
              <w:t xml:space="preserve"> per gram. Based on the price of Intragam 10 (2.5 g/25 mL: $154.65; NBA National Product Price List October 2024). </w:t>
            </w:r>
          </w:p>
        </w:tc>
        <w:tc>
          <w:tcPr>
            <w:tcW w:w="4365" w:type="dxa"/>
            <w:vAlign w:val="center"/>
          </w:tcPr>
          <w:p w14:paraId="2FF05E0E" w14:textId="77777777" w:rsidR="00732ACF" w:rsidRPr="00732ACF" w:rsidRDefault="00732ACF" w:rsidP="00873AF3">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Estimates were based on domestic IVIg products which may underestimate the cost per gram for IVIg as it does not account for plasma fractionation or imported product costs.</w:t>
            </w:r>
          </w:p>
        </w:tc>
      </w:tr>
    </w:tbl>
    <w:p w14:paraId="616DDBFE" w14:textId="77777777" w:rsidR="00732ACF" w:rsidRPr="00732ACF" w:rsidRDefault="00732ACF" w:rsidP="00873AF3">
      <w:pPr>
        <w:spacing w:after="120"/>
        <w:contextualSpacing/>
        <w:rPr>
          <w:rFonts w:ascii="Arial Narrow" w:hAnsi="Arial Narrow"/>
          <w:snapToGrid w:val="0"/>
          <w:sz w:val="18"/>
          <w:szCs w:val="22"/>
        </w:rPr>
      </w:pPr>
      <w:r w:rsidRPr="00732ACF">
        <w:rPr>
          <w:rFonts w:ascii="Arial Narrow" w:hAnsi="Arial Narrow"/>
          <w:snapToGrid w:val="0"/>
          <w:sz w:val="18"/>
          <w:szCs w:val="22"/>
        </w:rPr>
        <w:t>Source: Table 4.1-1, pp178-179 of the submission</w:t>
      </w:r>
    </w:p>
    <w:p w14:paraId="4E9D97FB" w14:textId="77777777" w:rsidR="00732ACF" w:rsidRPr="00732ACF" w:rsidRDefault="00732ACF" w:rsidP="00873AF3">
      <w:pPr>
        <w:spacing w:after="120"/>
        <w:contextualSpacing/>
        <w:rPr>
          <w:rFonts w:ascii="Arial Narrow" w:hAnsi="Arial Narrow"/>
          <w:snapToGrid w:val="0"/>
          <w:sz w:val="18"/>
          <w:szCs w:val="22"/>
        </w:rPr>
      </w:pPr>
      <w:r w:rsidRPr="00732ACF">
        <w:rPr>
          <w:rFonts w:ascii="Arial Narrow" w:hAnsi="Arial Narrow"/>
          <w:snapToGrid w:val="0"/>
          <w:sz w:val="18"/>
          <w:szCs w:val="22"/>
        </w:rPr>
        <w:t>Abbreviations: DUSC, Drug Utilisation Sub-Committee; IVIg, intravenous immunoglobulin; MBS, Medical Benefits Schedule; NBA, National Blood Authority; PLEX, plasma exchange; RCT, randomised controlled trial</w:t>
      </w:r>
    </w:p>
    <w:p w14:paraId="0444A8A4" w14:textId="6661B9AE" w:rsidR="0049767A" w:rsidRPr="008C3365" w:rsidRDefault="00237F91" w:rsidP="00873AF3">
      <w:pPr>
        <w:pStyle w:val="COMexecsummnumbered"/>
        <w:rPr>
          <w:lang w:val="en-GB"/>
        </w:rPr>
      </w:pPr>
      <w:r>
        <w:rPr>
          <w:lang w:val="en-GB"/>
        </w:rPr>
        <w:fldChar w:fldCharType="begin" w:fldLock="1"/>
      </w:r>
      <w:r>
        <w:rPr>
          <w:lang w:val="en-GB"/>
        </w:rPr>
        <w:instrText xml:space="preserve"> REF _Ref185274937 \h  \* MERGEFORMAT </w:instrText>
      </w:r>
      <w:r>
        <w:rPr>
          <w:lang w:val="en-GB"/>
        </w:rPr>
      </w:r>
      <w:r>
        <w:rPr>
          <w:lang w:val="en-GB"/>
        </w:rPr>
        <w:fldChar w:fldCharType="separate"/>
      </w:r>
      <w:r w:rsidR="00E70E55" w:rsidRPr="00E70E55">
        <w:rPr>
          <w:lang w:val="en-GB"/>
        </w:rPr>
        <w:t>Table 18</w:t>
      </w:r>
      <w:r>
        <w:rPr>
          <w:lang w:val="en-GB"/>
        </w:rPr>
        <w:fldChar w:fldCharType="end"/>
      </w:r>
      <w:r>
        <w:rPr>
          <w:lang w:val="en-GB"/>
        </w:rPr>
        <w:t xml:space="preserve"> </w:t>
      </w:r>
      <w:r w:rsidR="0049767A" w:rsidRPr="008C3365">
        <w:rPr>
          <w:lang w:val="en-GB"/>
        </w:rPr>
        <w:t xml:space="preserve">summarises the estimated eligible population, scripts dispensed and net cost to government of listing rozanolixizumab </w:t>
      </w:r>
      <w:r w:rsidR="00BE764D">
        <w:rPr>
          <w:lang w:val="en-GB"/>
        </w:rPr>
        <w:t>presented in the submission</w:t>
      </w:r>
      <w:r w:rsidR="0049767A" w:rsidRPr="008C3365">
        <w:rPr>
          <w:lang w:val="en-GB"/>
        </w:rPr>
        <w:t>.</w:t>
      </w:r>
    </w:p>
    <w:p w14:paraId="38D87899" w14:textId="6131F04C" w:rsidR="00732ACF" w:rsidRPr="00732ACF" w:rsidRDefault="00732ACF" w:rsidP="00873AF3">
      <w:pPr>
        <w:keepNext/>
        <w:keepLines/>
        <w:jc w:val="left"/>
        <w:rPr>
          <w:rFonts w:ascii="Arial Narrow" w:eastAsiaTheme="majorEastAsia" w:hAnsi="Arial Narrow" w:cstheme="majorBidi"/>
          <w:b/>
          <w:bCs/>
          <w:sz w:val="20"/>
        </w:rPr>
      </w:pPr>
      <w:bookmarkStart w:id="78" w:name="_Ref185274937"/>
      <w:r w:rsidRPr="00732ACF">
        <w:rPr>
          <w:rFonts w:ascii="Arial Narrow" w:eastAsiaTheme="majorEastAsia" w:hAnsi="Arial Narrow" w:cstheme="majorBidi"/>
          <w:b/>
          <w:bCs/>
          <w:sz w:val="20"/>
        </w:rPr>
        <w:t xml:space="preserve">Table </w:t>
      </w:r>
      <w:r w:rsidRPr="00732ACF">
        <w:rPr>
          <w:rFonts w:ascii="Arial Narrow" w:eastAsiaTheme="majorEastAsia" w:hAnsi="Arial Narrow" w:cstheme="majorBidi"/>
          <w:b/>
          <w:bCs/>
          <w:sz w:val="20"/>
        </w:rPr>
        <w:fldChar w:fldCharType="begin" w:fldLock="1"/>
      </w:r>
      <w:r w:rsidRPr="00732ACF">
        <w:rPr>
          <w:rFonts w:ascii="Arial Narrow" w:eastAsiaTheme="majorEastAsia" w:hAnsi="Arial Narrow" w:cstheme="majorBidi"/>
          <w:b/>
          <w:bCs/>
          <w:sz w:val="20"/>
        </w:rPr>
        <w:instrText>SEQ Table \* ARABIC</w:instrText>
      </w:r>
      <w:r w:rsidRPr="00732ACF">
        <w:rPr>
          <w:rFonts w:ascii="Arial Narrow" w:eastAsiaTheme="majorEastAsia" w:hAnsi="Arial Narrow" w:cstheme="majorBidi"/>
          <w:b/>
          <w:bCs/>
          <w:sz w:val="20"/>
        </w:rPr>
        <w:fldChar w:fldCharType="separate"/>
      </w:r>
      <w:r w:rsidR="00E70E55">
        <w:rPr>
          <w:rFonts w:ascii="Arial Narrow" w:eastAsiaTheme="majorEastAsia" w:hAnsi="Arial Narrow" w:cstheme="majorBidi"/>
          <w:b/>
          <w:bCs/>
          <w:noProof/>
          <w:sz w:val="20"/>
        </w:rPr>
        <w:t>18</w:t>
      </w:r>
      <w:r w:rsidRPr="00732ACF">
        <w:rPr>
          <w:rFonts w:ascii="Arial Narrow" w:eastAsiaTheme="majorEastAsia" w:hAnsi="Arial Narrow" w:cstheme="majorBidi"/>
          <w:b/>
          <w:bCs/>
          <w:sz w:val="20"/>
        </w:rPr>
        <w:fldChar w:fldCharType="end"/>
      </w:r>
      <w:bookmarkEnd w:id="78"/>
      <w:r w:rsidRPr="00732ACF">
        <w:rPr>
          <w:rFonts w:ascii="Arial Narrow" w:eastAsiaTheme="majorEastAsia" w:hAnsi="Arial Narrow" w:cstheme="majorBidi"/>
          <w:b/>
          <w:bCs/>
          <w:sz w:val="20"/>
        </w:rPr>
        <w:t>: Estimated use and financial implications of listing rozanolixizumab</w:t>
      </w:r>
      <w:r w:rsidR="00FF48BC">
        <w:rPr>
          <w:rFonts w:ascii="Arial Narrow" w:eastAsiaTheme="majorEastAsia" w:hAnsi="Arial Narrow" w:cstheme="majorBidi"/>
          <w:b/>
          <w:bCs/>
          <w:sz w:val="20"/>
        </w:rPr>
        <w:t xml:space="preserve"> (as estimated in the submission)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Estimated use and financial implications of listing rozanolixizumab (as estimated in the submission)"/>
      </w:tblPr>
      <w:tblGrid>
        <w:gridCol w:w="2689"/>
        <w:gridCol w:w="1063"/>
        <w:gridCol w:w="1063"/>
        <w:gridCol w:w="1063"/>
        <w:gridCol w:w="1063"/>
        <w:gridCol w:w="1063"/>
        <w:gridCol w:w="1063"/>
      </w:tblGrid>
      <w:tr w:rsidR="00732ACF" w:rsidRPr="00732ACF" w14:paraId="53580D77" w14:textId="77777777" w:rsidTr="00BB7A7D">
        <w:trPr>
          <w:tblHeader/>
        </w:trPr>
        <w:tc>
          <w:tcPr>
            <w:tcW w:w="2689" w:type="dxa"/>
            <w:vAlign w:val="center"/>
          </w:tcPr>
          <w:p w14:paraId="639754B4" w14:textId="77777777" w:rsidR="00732ACF" w:rsidRPr="00732ACF" w:rsidRDefault="00732ACF" w:rsidP="00873AF3">
            <w:pPr>
              <w:keepNext/>
              <w:keepLines/>
              <w:jc w:val="left"/>
              <w:rPr>
                <w:rFonts w:ascii="Arial Narrow" w:eastAsiaTheme="majorEastAsia" w:hAnsi="Arial Narrow" w:cs="Times New Roman"/>
                <w:b/>
                <w:sz w:val="20"/>
              </w:rPr>
            </w:pPr>
          </w:p>
        </w:tc>
        <w:tc>
          <w:tcPr>
            <w:tcW w:w="1063" w:type="dxa"/>
            <w:vAlign w:val="center"/>
          </w:tcPr>
          <w:p w14:paraId="3F997666" w14:textId="77777777" w:rsidR="00732ACF" w:rsidRPr="00732ACF" w:rsidRDefault="00732ACF" w:rsidP="00873AF3">
            <w:pPr>
              <w:keepNext/>
              <w:keepLines/>
              <w:jc w:val="center"/>
              <w:rPr>
                <w:rFonts w:ascii="Arial Narrow" w:eastAsiaTheme="majorEastAsia" w:hAnsi="Arial Narrow" w:cs="Times New Roman"/>
                <w:b/>
                <w:sz w:val="20"/>
              </w:rPr>
            </w:pPr>
            <w:r w:rsidRPr="00732ACF">
              <w:rPr>
                <w:rFonts w:ascii="Arial Narrow" w:eastAsiaTheme="majorEastAsia" w:hAnsi="Arial Narrow" w:cs="Times New Roman"/>
                <w:b/>
                <w:sz w:val="20"/>
              </w:rPr>
              <w:t>Year 1</w:t>
            </w:r>
          </w:p>
        </w:tc>
        <w:tc>
          <w:tcPr>
            <w:tcW w:w="1063" w:type="dxa"/>
            <w:vAlign w:val="center"/>
          </w:tcPr>
          <w:p w14:paraId="7D600E4D" w14:textId="77777777" w:rsidR="00732ACF" w:rsidRPr="00732ACF" w:rsidRDefault="00732ACF" w:rsidP="00873AF3">
            <w:pPr>
              <w:keepNext/>
              <w:keepLines/>
              <w:jc w:val="center"/>
              <w:rPr>
                <w:rFonts w:ascii="Arial Narrow" w:eastAsiaTheme="majorEastAsia" w:hAnsi="Arial Narrow" w:cs="Times New Roman"/>
                <w:b/>
                <w:sz w:val="20"/>
              </w:rPr>
            </w:pPr>
            <w:r w:rsidRPr="00732ACF">
              <w:rPr>
                <w:rFonts w:ascii="Arial Narrow" w:eastAsiaTheme="majorEastAsia" w:hAnsi="Arial Narrow" w:cs="Times New Roman"/>
                <w:b/>
                <w:sz w:val="20"/>
              </w:rPr>
              <w:t>Year 2</w:t>
            </w:r>
          </w:p>
        </w:tc>
        <w:tc>
          <w:tcPr>
            <w:tcW w:w="1063" w:type="dxa"/>
            <w:vAlign w:val="center"/>
          </w:tcPr>
          <w:p w14:paraId="6911ABB6" w14:textId="77777777" w:rsidR="00732ACF" w:rsidRPr="00732ACF" w:rsidRDefault="00732ACF" w:rsidP="00873AF3">
            <w:pPr>
              <w:keepNext/>
              <w:keepLines/>
              <w:jc w:val="center"/>
              <w:rPr>
                <w:rFonts w:ascii="Arial Narrow" w:eastAsiaTheme="majorEastAsia" w:hAnsi="Arial Narrow" w:cs="Times New Roman"/>
                <w:b/>
                <w:sz w:val="20"/>
              </w:rPr>
            </w:pPr>
            <w:r w:rsidRPr="00732ACF">
              <w:rPr>
                <w:rFonts w:ascii="Arial Narrow" w:eastAsiaTheme="majorEastAsia" w:hAnsi="Arial Narrow" w:cs="Times New Roman"/>
                <w:b/>
                <w:sz w:val="20"/>
              </w:rPr>
              <w:t>Year 3</w:t>
            </w:r>
          </w:p>
        </w:tc>
        <w:tc>
          <w:tcPr>
            <w:tcW w:w="1063" w:type="dxa"/>
            <w:vAlign w:val="center"/>
          </w:tcPr>
          <w:p w14:paraId="65F55C2D" w14:textId="77777777" w:rsidR="00732ACF" w:rsidRPr="00732ACF" w:rsidRDefault="00732ACF" w:rsidP="00873AF3">
            <w:pPr>
              <w:keepNext/>
              <w:keepLines/>
              <w:jc w:val="center"/>
              <w:rPr>
                <w:rFonts w:ascii="Arial Narrow" w:eastAsiaTheme="majorEastAsia" w:hAnsi="Arial Narrow" w:cs="Times New Roman"/>
                <w:b/>
                <w:sz w:val="20"/>
              </w:rPr>
            </w:pPr>
            <w:r w:rsidRPr="00732ACF">
              <w:rPr>
                <w:rFonts w:ascii="Arial Narrow" w:eastAsiaTheme="majorEastAsia" w:hAnsi="Arial Narrow" w:cs="Times New Roman"/>
                <w:b/>
                <w:sz w:val="20"/>
              </w:rPr>
              <w:t>Year 4</w:t>
            </w:r>
          </w:p>
        </w:tc>
        <w:tc>
          <w:tcPr>
            <w:tcW w:w="1063" w:type="dxa"/>
            <w:vAlign w:val="center"/>
          </w:tcPr>
          <w:p w14:paraId="10DE1C3E" w14:textId="77777777" w:rsidR="00732ACF" w:rsidRPr="00732ACF" w:rsidRDefault="00732ACF" w:rsidP="00873AF3">
            <w:pPr>
              <w:keepNext/>
              <w:keepLines/>
              <w:jc w:val="center"/>
              <w:rPr>
                <w:rFonts w:ascii="Arial Narrow" w:eastAsiaTheme="majorEastAsia" w:hAnsi="Arial Narrow" w:cs="Times New Roman"/>
                <w:b/>
                <w:sz w:val="20"/>
              </w:rPr>
            </w:pPr>
            <w:r w:rsidRPr="00732ACF">
              <w:rPr>
                <w:rFonts w:ascii="Arial Narrow" w:eastAsiaTheme="majorEastAsia" w:hAnsi="Arial Narrow" w:cs="Times New Roman"/>
                <w:b/>
                <w:sz w:val="20"/>
              </w:rPr>
              <w:t>Year 5</w:t>
            </w:r>
          </w:p>
        </w:tc>
        <w:tc>
          <w:tcPr>
            <w:tcW w:w="1063" w:type="dxa"/>
            <w:vAlign w:val="center"/>
          </w:tcPr>
          <w:p w14:paraId="33EE2D99" w14:textId="77777777" w:rsidR="00732ACF" w:rsidRPr="00732ACF" w:rsidRDefault="00732ACF" w:rsidP="00873AF3">
            <w:pPr>
              <w:keepNext/>
              <w:keepLines/>
              <w:jc w:val="center"/>
              <w:rPr>
                <w:rFonts w:ascii="Arial Narrow" w:eastAsiaTheme="majorEastAsia" w:hAnsi="Arial Narrow" w:cs="Times New Roman"/>
                <w:b/>
                <w:sz w:val="20"/>
              </w:rPr>
            </w:pPr>
            <w:r w:rsidRPr="00732ACF">
              <w:rPr>
                <w:rFonts w:ascii="Arial Narrow" w:eastAsiaTheme="majorEastAsia" w:hAnsi="Arial Narrow" w:cs="Times New Roman"/>
                <w:b/>
                <w:sz w:val="20"/>
              </w:rPr>
              <w:t>Year 6</w:t>
            </w:r>
          </w:p>
        </w:tc>
      </w:tr>
      <w:tr w:rsidR="00732ACF" w:rsidRPr="00732ACF" w14:paraId="67D59762" w14:textId="77777777" w:rsidTr="00BB7A7D">
        <w:tc>
          <w:tcPr>
            <w:tcW w:w="2689" w:type="dxa"/>
            <w:vAlign w:val="center"/>
          </w:tcPr>
          <w:p w14:paraId="7409619F" w14:textId="77777777" w:rsidR="00732ACF" w:rsidRPr="00732ACF" w:rsidRDefault="00732ACF" w:rsidP="00873AF3">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Prevalent MG patients</w:t>
            </w:r>
          </w:p>
        </w:tc>
        <w:tc>
          <w:tcPr>
            <w:tcW w:w="1063" w:type="dxa"/>
          </w:tcPr>
          <w:p w14:paraId="26F31756" w14:textId="5212DEB0" w:rsidR="00732ACF" w:rsidRPr="00026E26" w:rsidRDefault="00D63E16" w:rsidP="00873AF3">
            <w:pPr>
              <w:keepNext/>
              <w:keepLines/>
              <w:jc w:val="center"/>
              <w:rPr>
                <w:rFonts w:ascii="Arial Narrow" w:eastAsiaTheme="majorEastAsia" w:hAnsi="Arial Narrow"/>
                <w:bCs/>
                <w:sz w:val="20"/>
                <w:vertAlign w:val="superscript"/>
              </w:rPr>
            </w:pPr>
            <w:r w:rsidRPr="00027A85">
              <w:rPr>
                <w:rFonts w:ascii="Arial Narrow" w:eastAsiaTheme="majorEastAsia" w:hAnsi="Arial Narrow" w:hint="eastAsia"/>
                <w:bCs/>
                <w:color w:val="000000"/>
                <w:w w:val="19"/>
                <w:sz w:val="20"/>
                <w:shd w:val="solid" w:color="000000" w:fill="000000"/>
                <w:fitText w:val="88" w:id="-691363071"/>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8" w:id="-691363071"/>
                <w14:textFill>
                  <w14:solidFill>
                    <w14:srgbClr w14:val="000000">
                      <w14:alpha w14:val="100000"/>
                    </w14:srgbClr>
                  </w14:solidFill>
                </w14:textFill>
              </w:rPr>
              <w:t>|</w:t>
            </w:r>
            <w:r w:rsidRPr="00027A85">
              <w:rPr>
                <w:rFonts w:ascii="Arial Narrow" w:eastAsiaTheme="majorEastAsia" w:hAnsi="Arial Narrow" w:hint="eastAsia"/>
                <w:bCs/>
                <w:color w:val="000000"/>
                <w:spacing w:val="4"/>
                <w:w w:val="19"/>
                <w:sz w:val="20"/>
                <w:shd w:val="solid" w:color="000000" w:fill="000000"/>
                <w:fitText w:val="88" w:id="-691363071"/>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1</w:t>
            </w:r>
          </w:p>
        </w:tc>
        <w:tc>
          <w:tcPr>
            <w:tcW w:w="1063" w:type="dxa"/>
          </w:tcPr>
          <w:p w14:paraId="56D2FA69" w14:textId="2A228CD1" w:rsidR="00732ACF" w:rsidRPr="00732ACF" w:rsidRDefault="00D63E16" w:rsidP="00873AF3">
            <w:pPr>
              <w:keepNext/>
              <w:keepLines/>
              <w:jc w:val="center"/>
              <w:rPr>
                <w:rFonts w:ascii="Arial Narrow" w:eastAsiaTheme="majorEastAsia" w:hAnsi="Arial Narrow"/>
                <w:bCs/>
                <w:sz w:val="20"/>
              </w:rPr>
            </w:pPr>
            <w:r w:rsidRPr="00027A85">
              <w:rPr>
                <w:rFonts w:ascii="Arial Narrow" w:eastAsiaTheme="majorEastAsia" w:hAnsi="Arial Narrow" w:hint="eastAsia"/>
                <w:bCs/>
                <w:color w:val="000000"/>
                <w:w w:val="19"/>
                <w:sz w:val="20"/>
                <w:shd w:val="solid" w:color="000000" w:fill="000000"/>
                <w:fitText w:val="87" w:id="-691363070"/>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7" w:id="-691363070"/>
                <w14:textFill>
                  <w14:solidFill>
                    <w14:srgbClr w14:val="000000">
                      <w14:alpha w14:val="100000"/>
                    </w14:srgbClr>
                  </w14:solidFill>
                </w14:textFill>
              </w:rPr>
              <w:t>|</w:t>
            </w:r>
            <w:r w:rsidRPr="00027A85">
              <w:rPr>
                <w:rFonts w:ascii="Arial Narrow" w:eastAsiaTheme="majorEastAsia" w:hAnsi="Arial Narrow" w:hint="eastAsia"/>
                <w:bCs/>
                <w:color w:val="000000"/>
                <w:spacing w:val="3"/>
                <w:w w:val="19"/>
                <w:sz w:val="20"/>
                <w:shd w:val="solid" w:color="000000" w:fill="000000"/>
                <w:fitText w:val="87" w:id="-691363070"/>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1</w:t>
            </w:r>
          </w:p>
        </w:tc>
        <w:tc>
          <w:tcPr>
            <w:tcW w:w="1063" w:type="dxa"/>
          </w:tcPr>
          <w:p w14:paraId="76DD6283" w14:textId="7EAD64B7" w:rsidR="00732ACF" w:rsidRPr="00732ACF" w:rsidRDefault="00D63E16" w:rsidP="00873AF3">
            <w:pPr>
              <w:keepNext/>
              <w:keepLines/>
              <w:jc w:val="center"/>
              <w:rPr>
                <w:rFonts w:ascii="Arial Narrow" w:eastAsiaTheme="majorEastAsia" w:hAnsi="Arial Narrow"/>
                <w:bCs/>
                <w:sz w:val="20"/>
              </w:rPr>
            </w:pPr>
            <w:r w:rsidRPr="00027A85">
              <w:rPr>
                <w:rFonts w:ascii="Arial Narrow" w:eastAsiaTheme="majorEastAsia" w:hAnsi="Arial Narrow" w:hint="eastAsia"/>
                <w:bCs/>
                <w:color w:val="000000"/>
                <w:w w:val="19"/>
                <w:sz w:val="20"/>
                <w:shd w:val="solid" w:color="000000" w:fill="000000"/>
                <w:fitText w:val="88" w:id="-691363069"/>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8" w:id="-691363069"/>
                <w14:textFill>
                  <w14:solidFill>
                    <w14:srgbClr w14:val="000000">
                      <w14:alpha w14:val="100000"/>
                    </w14:srgbClr>
                  </w14:solidFill>
                </w14:textFill>
              </w:rPr>
              <w:t>|</w:t>
            </w:r>
            <w:r w:rsidRPr="00027A85">
              <w:rPr>
                <w:rFonts w:ascii="Arial Narrow" w:eastAsiaTheme="majorEastAsia" w:hAnsi="Arial Narrow" w:hint="eastAsia"/>
                <w:bCs/>
                <w:color w:val="000000"/>
                <w:spacing w:val="4"/>
                <w:w w:val="19"/>
                <w:sz w:val="20"/>
                <w:shd w:val="solid" w:color="000000" w:fill="000000"/>
                <w:fitText w:val="88" w:id="-691363069"/>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1</w:t>
            </w:r>
          </w:p>
        </w:tc>
        <w:tc>
          <w:tcPr>
            <w:tcW w:w="1063" w:type="dxa"/>
          </w:tcPr>
          <w:p w14:paraId="261929A9" w14:textId="01C46DA9" w:rsidR="00732ACF" w:rsidRPr="00732ACF" w:rsidRDefault="00D63E16" w:rsidP="00873AF3">
            <w:pPr>
              <w:keepNext/>
              <w:keepLines/>
              <w:jc w:val="center"/>
              <w:rPr>
                <w:rFonts w:ascii="Arial Narrow" w:eastAsiaTheme="majorEastAsia" w:hAnsi="Arial Narrow"/>
                <w:bCs/>
                <w:sz w:val="20"/>
              </w:rPr>
            </w:pPr>
            <w:r w:rsidRPr="00027A85">
              <w:rPr>
                <w:rFonts w:ascii="Arial Narrow" w:eastAsiaTheme="majorEastAsia" w:hAnsi="Arial Narrow" w:hint="eastAsia"/>
                <w:bCs/>
                <w:color w:val="000000"/>
                <w:w w:val="19"/>
                <w:sz w:val="20"/>
                <w:shd w:val="solid" w:color="000000" w:fill="000000"/>
                <w:fitText w:val="88" w:id="-691363068"/>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8" w:id="-691363068"/>
                <w14:textFill>
                  <w14:solidFill>
                    <w14:srgbClr w14:val="000000">
                      <w14:alpha w14:val="100000"/>
                    </w14:srgbClr>
                  </w14:solidFill>
                </w14:textFill>
              </w:rPr>
              <w:t>|</w:t>
            </w:r>
            <w:r w:rsidRPr="00027A85">
              <w:rPr>
                <w:rFonts w:ascii="Arial Narrow" w:eastAsiaTheme="majorEastAsia" w:hAnsi="Arial Narrow" w:hint="eastAsia"/>
                <w:bCs/>
                <w:color w:val="000000"/>
                <w:spacing w:val="4"/>
                <w:w w:val="19"/>
                <w:sz w:val="20"/>
                <w:shd w:val="solid" w:color="000000" w:fill="000000"/>
                <w:fitText w:val="88" w:id="-691363068"/>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1</w:t>
            </w:r>
          </w:p>
        </w:tc>
        <w:tc>
          <w:tcPr>
            <w:tcW w:w="1063" w:type="dxa"/>
          </w:tcPr>
          <w:p w14:paraId="2E600BCB" w14:textId="009BAF9B" w:rsidR="00732ACF" w:rsidRPr="00732ACF" w:rsidRDefault="00D63E16" w:rsidP="00873AF3">
            <w:pPr>
              <w:keepNext/>
              <w:keepLines/>
              <w:jc w:val="center"/>
              <w:rPr>
                <w:rFonts w:ascii="Arial Narrow" w:eastAsiaTheme="majorEastAsia" w:hAnsi="Arial Narrow"/>
                <w:bCs/>
                <w:sz w:val="20"/>
              </w:rPr>
            </w:pPr>
            <w:r w:rsidRPr="00027A85">
              <w:rPr>
                <w:rFonts w:ascii="Arial Narrow" w:eastAsiaTheme="majorEastAsia" w:hAnsi="Arial Narrow" w:hint="eastAsia"/>
                <w:bCs/>
                <w:color w:val="000000"/>
                <w:w w:val="19"/>
                <w:sz w:val="20"/>
                <w:shd w:val="solid" w:color="000000" w:fill="000000"/>
                <w:fitText w:val="87" w:id="-691363067"/>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7" w:id="-691363067"/>
                <w14:textFill>
                  <w14:solidFill>
                    <w14:srgbClr w14:val="000000">
                      <w14:alpha w14:val="100000"/>
                    </w14:srgbClr>
                  </w14:solidFill>
                </w14:textFill>
              </w:rPr>
              <w:t>|</w:t>
            </w:r>
            <w:r w:rsidRPr="00027A85">
              <w:rPr>
                <w:rFonts w:ascii="Arial Narrow" w:eastAsiaTheme="majorEastAsia" w:hAnsi="Arial Narrow" w:hint="eastAsia"/>
                <w:bCs/>
                <w:color w:val="000000"/>
                <w:spacing w:val="3"/>
                <w:w w:val="19"/>
                <w:sz w:val="20"/>
                <w:shd w:val="solid" w:color="000000" w:fill="000000"/>
                <w:fitText w:val="87" w:id="-691363067"/>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1</w:t>
            </w:r>
          </w:p>
        </w:tc>
        <w:tc>
          <w:tcPr>
            <w:tcW w:w="1063" w:type="dxa"/>
          </w:tcPr>
          <w:p w14:paraId="35B12497" w14:textId="2CD390C7" w:rsidR="00732ACF" w:rsidRPr="00732ACF" w:rsidRDefault="00D63E16" w:rsidP="00873AF3">
            <w:pPr>
              <w:keepNext/>
              <w:keepLines/>
              <w:jc w:val="center"/>
              <w:rPr>
                <w:rFonts w:ascii="Arial Narrow" w:eastAsiaTheme="majorEastAsia" w:hAnsi="Arial Narrow"/>
                <w:bCs/>
                <w:sz w:val="20"/>
              </w:rPr>
            </w:pPr>
            <w:r w:rsidRPr="00027A85">
              <w:rPr>
                <w:rFonts w:ascii="Arial Narrow" w:eastAsiaTheme="majorEastAsia" w:hAnsi="Arial Narrow" w:hint="eastAsia"/>
                <w:bCs/>
                <w:color w:val="000000"/>
                <w:w w:val="19"/>
                <w:sz w:val="20"/>
                <w:shd w:val="solid" w:color="000000" w:fill="000000"/>
                <w:fitText w:val="88" w:id="-691363066"/>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8" w:id="-691363066"/>
                <w14:textFill>
                  <w14:solidFill>
                    <w14:srgbClr w14:val="000000">
                      <w14:alpha w14:val="100000"/>
                    </w14:srgbClr>
                  </w14:solidFill>
                </w14:textFill>
              </w:rPr>
              <w:t>|</w:t>
            </w:r>
            <w:r w:rsidRPr="00027A85">
              <w:rPr>
                <w:rFonts w:ascii="Arial Narrow" w:eastAsiaTheme="majorEastAsia" w:hAnsi="Arial Narrow" w:hint="eastAsia"/>
                <w:bCs/>
                <w:color w:val="000000"/>
                <w:spacing w:val="4"/>
                <w:w w:val="19"/>
                <w:sz w:val="20"/>
                <w:shd w:val="solid" w:color="000000" w:fill="000000"/>
                <w:fitText w:val="88" w:id="-691363066"/>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1</w:t>
            </w:r>
          </w:p>
        </w:tc>
      </w:tr>
      <w:tr w:rsidR="00732ACF" w:rsidRPr="00732ACF" w14:paraId="1FB9D2EC" w14:textId="77777777" w:rsidTr="00BB7A7D">
        <w:tc>
          <w:tcPr>
            <w:tcW w:w="2689" w:type="dxa"/>
            <w:vAlign w:val="center"/>
          </w:tcPr>
          <w:p w14:paraId="081D8556" w14:textId="77777777" w:rsidR="00732ACF" w:rsidRPr="00732ACF" w:rsidRDefault="00732ACF" w:rsidP="00873AF3">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Eligible population</w:t>
            </w:r>
          </w:p>
        </w:tc>
        <w:tc>
          <w:tcPr>
            <w:tcW w:w="1063" w:type="dxa"/>
            <w:vAlign w:val="center"/>
          </w:tcPr>
          <w:p w14:paraId="6F90FBF2" w14:textId="16A8BDE2" w:rsidR="00732ACF" w:rsidRPr="00732ACF" w:rsidRDefault="00D63E16" w:rsidP="00873AF3">
            <w:pPr>
              <w:keepNext/>
              <w:keepLines/>
              <w:jc w:val="center"/>
              <w:rPr>
                <w:rFonts w:ascii="Arial Narrow" w:eastAsiaTheme="majorEastAsia" w:hAnsi="Arial Narrow" w:cstheme="majorBidi"/>
                <w:bCs/>
                <w:sz w:val="20"/>
              </w:rPr>
            </w:pPr>
            <w:r w:rsidRPr="00027A85">
              <w:rPr>
                <w:rFonts w:ascii="Arial Narrow" w:eastAsiaTheme="majorEastAsia" w:hAnsi="Arial Narrow" w:hint="eastAsia"/>
                <w:bCs/>
                <w:color w:val="000000"/>
                <w:w w:val="19"/>
                <w:sz w:val="20"/>
                <w:shd w:val="solid" w:color="000000" w:fill="000000"/>
                <w:fitText w:val="88" w:id="-691363065"/>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8" w:id="-691363065"/>
                <w14:textFill>
                  <w14:solidFill>
                    <w14:srgbClr w14:val="000000">
                      <w14:alpha w14:val="100000"/>
                    </w14:srgbClr>
                  </w14:solidFill>
                </w14:textFill>
              </w:rPr>
              <w:t>|</w:t>
            </w:r>
            <w:r w:rsidRPr="00027A85">
              <w:rPr>
                <w:rFonts w:ascii="Arial Narrow" w:eastAsiaTheme="majorEastAsia" w:hAnsi="Arial Narrow" w:hint="eastAsia"/>
                <w:bCs/>
                <w:color w:val="000000"/>
                <w:spacing w:val="4"/>
                <w:w w:val="19"/>
                <w:sz w:val="20"/>
                <w:shd w:val="solid" w:color="000000" w:fill="000000"/>
                <w:fitText w:val="88" w:id="-691363065"/>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vAlign w:val="center"/>
          </w:tcPr>
          <w:p w14:paraId="281E6C99" w14:textId="469ABF27" w:rsidR="00732ACF" w:rsidRPr="00732ACF" w:rsidRDefault="00D63E16" w:rsidP="00873AF3">
            <w:pPr>
              <w:keepNext/>
              <w:keepLines/>
              <w:jc w:val="center"/>
              <w:rPr>
                <w:rFonts w:ascii="Arial Narrow" w:eastAsiaTheme="majorEastAsia" w:hAnsi="Arial Narrow" w:cstheme="majorBidi"/>
                <w:bCs/>
                <w:sz w:val="20"/>
              </w:rPr>
            </w:pPr>
            <w:r w:rsidRPr="00027A85">
              <w:rPr>
                <w:rFonts w:ascii="Arial Narrow" w:eastAsiaTheme="majorEastAsia" w:hAnsi="Arial Narrow" w:hint="eastAsia"/>
                <w:bCs/>
                <w:color w:val="000000"/>
                <w:w w:val="19"/>
                <w:sz w:val="20"/>
                <w:shd w:val="solid" w:color="000000" w:fill="000000"/>
                <w:fitText w:val="87" w:id="-691363064"/>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7" w:id="-691363064"/>
                <w14:textFill>
                  <w14:solidFill>
                    <w14:srgbClr w14:val="000000">
                      <w14:alpha w14:val="100000"/>
                    </w14:srgbClr>
                  </w14:solidFill>
                </w14:textFill>
              </w:rPr>
              <w:t>|</w:t>
            </w:r>
            <w:r w:rsidRPr="00027A85">
              <w:rPr>
                <w:rFonts w:ascii="Arial Narrow" w:eastAsiaTheme="majorEastAsia" w:hAnsi="Arial Narrow" w:hint="eastAsia"/>
                <w:bCs/>
                <w:color w:val="000000"/>
                <w:spacing w:val="3"/>
                <w:w w:val="19"/>
                <w:sz w:val="20"/>
                <w:shd w:val="solid" w:color="000000" w:fill="000000"/>
                <w:fitText w:val="87" w:id="-691363064"/>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vAlign w:val="center"/>
          </w:tcPr>
          <w:p w14:paraId="323902D3" w14:textId="5395F913" w:rsidR="00732ACF" w:rsidRPr="00732ACF" w:rsidRDefault="00D63E16" w:rsidP="00873AF3">
            <w:pPr>
              <w:keepNext/>
              <w:keepLines/>
              <w:jc w:val="center"/>
              <w:rPr>
                <w:rFonts w:ascii="Arial Narrow" w:eastAsiaTheme="majorEastAsia" w:hAnsi="Arial Narrow" w:cstheme="majorBidi"/>
                <w:bCs/>
                <w:sz w:val="20"/>
              </w:rPr>
            </w:pPr>
            <w:r w:rsidRPr="00027A85">
              <w:rPr>
                <w:rFonts w:ascii="Arial Narrow" w:eastAsiaTheme="majorEastAsia" w:hAnsi="Arial Narrow" w:hint="eastAsia"/>
                <w:bCs/>
                <w:color w:val="000000"/>
                <w:w w:val="19"/>
                <w:sz w:val="20"/>
                <w:shd w:val="solid" w:color="000000" w:fill="000000"/>
                <w:fitText w:val="88" w:id="-691363063"/>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8" w:id="-691363063"/>
                <w14:textFill>
                  <w14:solidFill>
                    <w14:srgbClr w14:val="000000">
                      <w14:alpha w14:val="100000"/>
                    </w14:srgbClr>
                  </w14:solidFill>
                </w14:textFill>
              </w:rPr>
              <w:t>|</w:t>
            </w:r>
            <w:r w:rsidRPr="00027A85">
              <w:rPr>
                <w:rFonts w:ascii="Arial Narrow" w:eastAsiaTheme="majorEastAsia" w:hAnsi="Arial Narrow" w:hint="eastAsia"/>
                <w:bCs/>
                <w:color w:val="000000"/>
                <w:spacing w:val="4"/>
                <w:w w:val="19"/>
                <w:sz w:val="20"/>
                <w:shd w:val="solid" w:color="000000" w:fill="000000"/>
                <w:fitText w:val="88" w:id="-691363063"/>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vAlign w:val="center"/>
          </w:tcPr>
          <w:p w14:paraId="502E18F1" w14:textId="3449DE4E" w:rsidR="00732ACF" w:rsidRPr="00732ACF" w:rsidRDefault="00D63E16" w:rsidP="00873AF3">
            <w:pPr>
              <w:keepNext/>
              <w:keepLines/>
              <w:jc w:val="center"/>
              <w:rPr>
                <w:rFonts w:ascii="Arial Narrow" w:eastAsiaTheme="majorEastAsia" w:hAnsi="Arial Narrow" w:cstheme="majorBidi"/>
                <w:bCs/>
                <w:sz w:val="20"/>
              </w:rPr>
            </w:pPr>
            <w:r w:rsidRPr="00027A85">
              <w:rPr>
                <w:rFonts w:ascii="Arial Narrow" w:eastAsiaTheme="majorEastAsia" w:hAnsi="Arial Narrow" w:hint="eastAsia"/>
                <w:bCs/>
                <w:color w:val="000000"/>
                <w:w w:val="19"/>
                <w:sz w:val="20"/>
                <w:shd w:val="solid" w:color="000000" w:fill="000000"/>
                <w:fitText w:val="88" w:id="-691363062"/>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8" w:id="-691363062"/>
                <w14:textFill>
                  <w14:solidFill>
                    <w14:srgbClr w14:val="000000">
                      <w14:alpha w14:val="100000"/>
                    </w14:srgbClr>
                  </w14:solidFill>
                </w14:textFill>
              </w:rPr>
              <w:t>|</w:t>
            </w:r>
            <w:r w:rsidRPr="00027A85">
              <w:rPr>
                <w:rFonts w:ascii="Arial Narrow" w:eastAsiaTheme="majorEastAsia" w:hAnsi="Arial Narrow" w:hint="eastAsia"/>
                <w:bCs/>
                <w:color w:val="000000"/>
                <w:spacing w:val="4"/>
                <w:w w:val="19"/>
                <w:sz w:val="20"/>
                <w:shd w:val="solid" w:color="000000" w:fill="000000"/>
                <w:fitText w:val="88" w:id="-691363062"/>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vAlign w:val="center"/>
          </w:tcPr>
          <w:p w14:paraId="137FA98C" w14:textId="205BF09A" w:rsidR="00732ACF" w:rsidRPr="00732ACF" w:rsidRDefault="00D63E16" w:rsidP="00873AF3">
            <w:pPr>
              <w:keepNext/>
              <w:keepLines/>
              <w:jc w:val="center"/>
              <w:rPr>
                <w:rFonts w:ascii="Arial Narrow" w:eastAsiaTheme="majorEastAsia" w:hAnsi="Arial Narrow" w:cstheme="majorBidi"/>
                <w:bCs/>
                <w:sz w:val="20"/>
              </w:rPr>
            </w:pPr>
            <w:r w:rsidRPr="00027A85">
              <w:rPr>
                <w:rFonts w:ascii="Arial Narrow" w:eastAsiaTheme="majorEastAsia" w:hAnsi="Arial Narrow" w:hint="eastAsia"/>
                <w:bCs/>
                <w:color w:val="000000"/>
                <w:w w:val="19"/>
                <w:sz w:val="20"/>
                <w:shd w:val="solid" w:color="000000" w:fill="000000"/>
                <w:fitText w:val="87" w:id="-691363061"/>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7" w:id="-691363061"/>
                <w14:textFill>
                  <w14:solidFill>
                    <w14:srgbClr w14:val="000000">
                      <w14:alpha w14:val="100000"/>
                    </w14:srgbClr>
                  </w14:solidFill>
                </w14:textFill>
              </w:rPr>
              <w:t>|</w:t>
            </w:r>
            <w:r w:rsidRPr="00027A85">
              <w:rPr>
                <w:rFonts w:ascii="Arial Narrow" w:eastAsiaTheme="majorEastAsia" w:hAnsi="Arial Narrow" w:hint="eastAsia"/>
                <w:bCs/>
                <w:color w:val="000000"/>
                <w:spacing w:val="3"/>
                <w:w w:val="19"/>
                <w:sz w:val="20"/>
                <w:shd w:val="solid" w:color="000000" w:fill="000000"/>
                <w:fitText w:val="87" w:id="-691363061"/>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vAlign w:val="center"/>
          </w:tcPr>
          <w:p w14:paraId="23982B17" w14:textId="69F23CC8" w:rsidR="00732ACF" w:rsidRPr="00732ACF" w:rsidRDefault="00D63E16" w:rsidP="00873AF3">
            <w:pPr>
              <w:keepNext/>
              <w:keepLines/>
              <w:jc w:val="center"/>
              <w:rPr>
                <w:rFonts w:ascii="Arial Narrow" w:eastAsiaTheme="majorEastAsia" w:hAnsi="Arial Narrow" w:cstheme="majorBidi"/>
                <w:bCs/>
                <w:sz w:val="20"/>
              </w:rPr>
            </w:pPr>
            <w:r w:rsidRPr="00027A85">
              <w:rPr>
                <w:rFonts w:ascii="Arial Narrow" w:eastAsiaTheme="majorEastAsia" w:hAnsi="Arial Narrow" w:hint="eastAsia"/>
                <w:bCs/>
                <w:color w:val="000000"/>
                <w:w w:val="19"/>
                <w:sz w:val="20"/>
                <w:shd w:val="solid" w:color="000000" w:fill="000000"/>
                <w:fitText w:val="88" w:id="-691363060"/>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8" w:id="-691363060"/>
                <w14:textFill>
                  <w14:solidFill>
                    <w14:srgbClr w14:val="000000">
                      <w14:alpha w14:val="100000"/>
                    </w14:srgbClr>
                  </w14:solidFill>
                </w14:textFill>
              </w:rPr>
              <w:t>|</w:t>
            </w:r>
            <w:r w:rsidRPr="00027A85">
              <w:rPr>
                <w:rFonts w:ascii="Arial Narrow" w:eastAsiaTheme="majorEastAsia" w:hAnsi="Arial Narrow" w:hint="eastAsia"/>
                <w:bCs/>
                <w:color w:val="000000"/>
                <w:spacing w:val="4"/>
                <w:w w:val="19"/>
                <w:sz w:val="20"/>
                <w:shd w:val="solid" w:color="000000" w:fill="000000"/>
                <w:fitText w:val="88" w:id="-691363060"/>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r>
      <w:tr w:rsidR="00732ACF" w:rsidRPr="00732ACF" w14:paraId="3D390860" w14:textId="77777777" w:rsidTr="00BB7A7D">
        <w:tc>
          <w:tcPr>
            <w:tcW w:w="2689" w:type="dxa"/>
            <w:vAlign w:val="center"/>
          </w:tcPr>
          <w:p w14:paraId="36DD58BD" w14:textId="77777777" w:rsidR="00732ACF" w:rsidRPr="00732ACF" w:rsidRDefault="00732ACF" w:rsidP="00873AF3">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Treated population</w:t>
            </w:r>
          </w:p>
        </w:tc>
        <w:tc>
          <w:tcPr>
            <w:tcW w:w="1063" w:type="dxa"/>
          </w:tcPr>
          <w:p w14:paraId="64A21C8E" w14:textId="1EDC29EB" w:rsidR="00732ACF" w:rsidRPr="00732ACF" w:rsidRDefault="00D63E16" w:rsidP="00873AF3">
            <w:pPr>
              <w:keepNext/>
              <w:keepLines/>
              <w:jc w:val="center"/>
              <w:rPr>
                <w:rFonts w:ascii="Arial Narrow" w:eastAsiaTheme="majorEastAsia" w:hAnsi="Arial Narrow"/>
                <w:bCs/>
                <w:sz w:val="20"/>
              </w:rPr>
            </w:pPr>
            <w:r w:rsidRPr="00027A85">
              <w:rPr>
                <w:rFonts w:ascii="Arial Narrow" w:eastAsiaTheme="majorEastAsia" w:hAnsi="Arial Narrow" w:hint="eastAsia"/>
                <w:bCs/>
                <w:color w:val="000000"/>
                <w:w w:val="19"/>
                <w:sz w:val="20"/>
                <w:shd w:val="solid" w:color="000000" w:fill="000000"/>
                <w:fitText w:val="88" w:id="-691363059"/>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8" w:id="-691363059"/>
                <w14:textFill>
                  <w14:solidFill>
                    <w14:srgbClr w14:val="000000">
                      <w14:alpha w14:val="100000"/>
                    </w14:srgbClr>
                  </w14:solidFill>
                </w14:textFill>
              </w:rPr>
              <w:t>|</w:t>
            </w:r>
            <w:r w:rsidRPr="00027A85">
              <w:rPr>
                <w:rFonts w:ascii="Arial Narrow" w:eastAsiaTheme="majorEastAsia" w:hAnsi="Arial Narrow" w:hint="eastAsia"/>
                <w:bCs/>
                <w:color w:val="000000"/>
                <w:spacing w:val="4"/>
                <w:w w:val="19"/>
                <w:sz w:val="20"/>
                <w:shd w:val="solid" w:color="000000" w:fill="000000"/>
                <w:fitText w:val="88" w:id="-691363059"/>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tcPr>
          <w:p w14:paraId="3A2E61E2" w14:textId="71323633" w:rsidR="00732ACF" w:rsidRPr="00732ACF" w:rsidRDefault="00D63E16" w:rsidP="00873AF3">
            <w:pPr>
              <w:keepNext/>
              <w:keepLines/>
              <w:jc w:val="center"/>
              <w:rPr>
                <w:rFonts w:ascii="Arial Narrow" w:eastAsiaTheme="majorEastAsia" w:hAnsi="Arial Narrow"/>
                <w:bCs/>
                <w:sz w:val="20"/>
              </w:rPr>
            </w:pPr>
            <w:r w:rsidRPr="00027A85">
              <w:rPr>
                <w:rFonts w:ascii="Arial Narrow" w:eastAsiaTheme="majorEastAsia" w:hAnsi="Arial Narrow" w:cstheme="majorBidi" w:hint="eastAsia"/>
                <w:bCs/>
                <w:color w:val="000000"/>
                <w:w w:val="19"/>
                <w:sz w:val="20"/>
                <w:shd w:val="solid" w:color="000000" w:fill="000000"/>
                <w:fitText w:val="87" w:id="-691363058"/>
                <w14:textFill>
                  <w14:solidFill>
                    <w14:srgbClr w14:val="000000">
                      <w14:alpha w14:val="100000"/>
                    </w14:srgbClr>
                  </w14:solidFill>
                </w14:textFill>
              </w:rPr>
              <w:t xml:space="preserve">　</w:t>
            </w:r>
            <w:r w:rsidRPr="00027A85">
              <w:rPr>
                <w:rFonts w:ascii="Arial Narrow" w:eastAsiaTheme="majorEastAsia" w:hAnsi="Arial Narrow" w:cstheme="majorBidi"/>
                <w:bCs/>
                <w:color w:val="000000"/>
                <w:w w:val="19"/>
                <w:sz w:val="20"/>
                <w:shd w:val="solid" w:color="000000" w:fill="000000"/>
                <w:fitText w:val="87" w:id="-691363058"/>
                <w14:textFill>
                  <w14:solidFill>
                    <w14:srgbClr w14:val="000000">
                      <w14:alpha w14:val="100000"/>
                    </w14:srgbClr>
                  </w14:solidFill>
                </w14:textFill>
              </w:rPr>
              <w:t>|</w:t>
            </w:r>
            <w:r w:rsidRPr="00027A85">
              <w:rPr>
                <w:rFonts w:ascii="Arial Narrow" w:eastAsiaTheme="majorEastAsia" w:hAnsi="Arial Narrow" w:cstheme="majorBidi" w:hint="eastAsia"/>
                <w:bCs/>
                <w:color w:val="000000"/>
                <w:spacing w:val="3"/>
                <w:w w:val="19"/>
                <w:sz w:val="20"/>
                <w:shd w:val="solid" w:color="000000" w:fill="000000"/>
                <w:fitText w:val="87" w:id="-691363058"/>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tcPr>
          <w:p w14:paraId="206DDCF7" w14:textId="612DE88A" w:rsidR="00732ACF" w:rsidRPr="00732ACF" w:rsidRDefault="00D63E16" w:rsidP="00873AF3">
            <w:pPr>
              <w:keepNext/>
              <w:keepLines/>
              <w:jc w:val="center"/>
              <w:rPr>
                <w:rFonts w:ascii="Arial Narrow" w:eastAsiaTheme="majorEastAsia" w:hAnsi="Arial Narrow"/>
                <w:bCs/>
                <w:sz w:val="20"/>
              </w:rPr>
            </w:pPr>
            <w:r w:rsidRPr="00027A85">
              <w:rPr>
                <w:rFonts w:ascii="Arial Narrow" w:eastAsiaTheme="majorEastAsia" w:hAnsi="Arial Narrow" w:cstheme="majorBidi" w:hint="eastAsia"/>
                <w:bCs/>
                <w:color w:val="000000"/>
                <w:w w:val="19"/>
                <w:sz w:val="20"/>
                <w:shd w:val="solid" w:color="000000" w:fill="000000"/>
                <w:fitText w:val="88" w:id="-691363057"/>
                <w14:textFill>
                  <w14:solidFill>
                    <w14:srgbClr w14:val="000000">
                      <w14:alpha w14:val="100000"/>
                    </w14:srgbClr>
                  </w14:solidFill>
                </w14:textFill>
              </w:rPr>
              <w:t xml:space="preserve">　</w:t>
            </w:r>
            <w:r w:rsidRPr="00027A85">
              <w:rPr>
                <w:rFonts w:ascii="Arial Narrow" w:eastAsiaTheme="majorEastAsia" w:hAnsi="Arial Narrow" w:cstheme="majorBidi"/>
                <w:bCs/>
                <w:color w:val="000000"/>
                <w:w w:val="19"/>
                <w:sz w:val="20"/>
                <w:shd w:val="solid" w:color="000000" w:fill="000000"/>
                <w:fitText w:val="88" w:id="-691363057"/>
                <w14:textFill>
                  <w14:solidFill>
                    <w14:srgbClr w14:val="000000">
                      <w14:alpha w14:val="100000"/>
                    </w14:srgbClr>
                  </w14:solidFill>
                </w14:textFill>
              </w:rPr>
              <w:t>|</w:t>
            </w:r>
            <w:r w:rsidRPr="00027A85">
              <w:rPr>
                <w:rFonts w:ascii="Arial Narrow" w:eastAsiaTheme="majorEastAsia" w:hAnsi="Arial Narrow" w:cstheme="majorBidi" w:hint="eastAsia"/>
                <w:bCs/>
                <w:color w:val="000000"/>
                <w:spacing w:val="4"/>
                <w:w w:val="19"/>
                <w:sz w:val="20"/>
                <w:shd w:val="solid" w:color="000000" w:fill="000000"/>
                <w:fitText w:val="88" w:id="-691363057"/>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tcPr>
          <w:p w14:paraId="31C2BC9C" w14:textId="0AF433D6" w:rsidR="00732ACF" w:rsidRPr="00732ACF" w:rsidRDefault="00D63E16" w:rsidP="00873AF3">
            <w:pPr>
              <w:keepNext/>
              <w:keepLines/>
              <w:jc w:val="center"/>
              <w:rPr>
                <w:rFonts w:ascii="Arial Narrow" w:eastAsiaTheme="majorEastAsia" w:hAnsi="Arial Narrow"/>
                <w:bCs/>
                <w:sz w:val="20"/>
              </w:rPr>
            </w:pPr>
            <w:r w:rsidRPr="00027A85">
              <w:rPr>
                <w:rFonts w:ascii="Arial Narrow" w:eastAsiaTheme="majorEastAsia" w:hAnsi="Arial Narrow" w:cstheme="majorBidi" w:hint="eastAsia"/>
                <w:bCs/>
                <w:color w:val="000000"/>
                <w:w w:val="19"/>
                <w:sz w:val="20"/>
                <w:shd w:val="solid" w:color="000000" w:fill="000000"/>
                <w:fitText w:val="88" w:id="-691363056"/>
                <w14:textFill>
                  <w14:solidFill>
                    <w14:srgbClr w14:val="000000">
                      <w14:alpha w14:val="100000"/>
                    </w14:srgbClr>
                  </w14:solidFill>
                </w14:textFill>
              </w:rPr>
              <w:t xml:space="preserve">　</w:t>
            </w:r>
            <w:r w:rsidRPr="00027A85">
              <w:rPr>
                <w:rFonts w:ascii="Arial Narrow" w:eastAsiaTheme="majorEastAsia" w:hAnsi="Arial Narrow" w:cstheme="majorBidi"/>
                <w:bCs/>
                <w:color w:val="000000"/>
                <w:w w:val="19"/>
                <w:sz w:val="20"/>
                <w:shd w:val="solid" w:color="000000" w:fill="000000"/>
                <w:fitText w:val="88" w:id="-691363056"/>
                <w14:textFill>
                  <w14:solidFill>
                    <w14:srgbClr w14:val="000000">
                      <w14:alpha w14:val="100000"/>
                    </w14:srgbClr>
                  </w14:solidFill>
                </w14:textFill>
              </w:rPr>
              <w:t>|</w:t>
            </w:r>
            <w:r w:rsidRPr="00027A85">
              <w:rPr>
                <w:rFonts w:ascii="Arial Narrow" w:eastAsiaTheme="majorEastAsia" w:hAnsi="Arial Narrow" w:cstheme="majorBidi" w:hint="eastAsia"/>
                <w:bCs/>
                <w:color w:val="000000"/>
                <w:spacing w:val="4"/>
                <w:w w:val="19"/>
                <w:sz w:val="20"/>
                <w:shd w:val="solid" w:color="000000" w:fill="000000"/>
                <w:fitText w:val="88" w:id="-691363056"/>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tcPr>
          <w:p w14:paraId="16CA6E16" w14:textId="7EAC7876" w:rsidR="00732ACF" w:rsidRPr="00732ACF" w:rsidRDefault="00D63E16" w:rsidP="00873AF3">
            <w:pPr>
              <w:keepNext/>
              <w:keepLines/>
              <w:jc w:val="center"/>
              <w:rPr>
                <w:rFonts w:ascii="Arial Narrow" w:eastAsiaTheme="majorEastAsia" w:hAnsi="Arial Narrow"/>
                <w:bCs/>
                <w:sz w:val="20"/>
              </w:rPr>
            </w:pPr>
            <w:r w:rsidRPr="00027A85">
              <w:rPr>
                <w:rFonts w:ascii="Arial Narrow" w:eastAsiaTheme="majorEastAsia" w:hAnsi="Arial Narrow" w:cstheme="majorBidi" w:hint="eastAsia"/>
                <w:bCs/>
                <w:color w:val="000000"/>
                <w:w w:val="19"/>
                <w:sz w:val="20"/>
                <w:shd w:val="solid" w:color="000000" w:fill="000000"/>
                <w:fitText w:val="87" w:id="-691363072"/>
                <w14:textFill>
                  <w14:solidFill>
                    <w14:srgbClr w14:val="000000">
                      <w14:alpha w14:val="100000"/>
                    </w14:srgbClr>
                  </w14:solidFill>
                </w14:textFill>
              </w:rPr>
              <w:t xml:space="preserve">　</w:t>
            </w:r>
            <w:r w:rsidRPr="00027A85">
              <w:rPr>
                <w:rFonts w:ascii="Arial Narrow" w:eastAsiaTheme="majorEastAsia" w:hAnsi="Arial Narrow" w:cstheme="majorBidi"/>
                <w:bCs/>
                <w:color w:val="000000"/>
                <w:w w:val="19"/>
                <w:sz w:val="20"/>
                <w:shd w:val="solid" w:color="000000" w:fill="000000"/>
                <w:fitText w:val="87" w:id="-691363072"/>
                <w14:textFill>
                  <w14:solidFill>
                    <w14:srgbClr w14:val="000000">
                      <w14:alpha w14:val="100000"/>
                    </w14:srgbClr>
                  </w14:solidFill>
                </w14:textFill>
              </w:rPr>
              <w:t>|</w:t>
            </w:r>
            <w:r w:rsidRPr="00027A85">
              <w:rPr>
                <w:rFonts w:ascii="Arial Narrow" w:eastAsiaTheme="majorEastAsia" w:hAnsi="Arial Narrow" w:cstheme="majorBidi" w:hint="eastAsia"/>
                <w:bCs/>
                <w:color w:val="000000"/>
                <w:spacing w:val="3"/>
                <w:w w:val="19"/>
                <w:sz w:val="20"/>
                <w:shd w:val="solid" w:color="000000" w:fill="000000"/>
                <w:fitText w:val="87" w:id="-691363072"/>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tcPr>
          <w:p w14:paraId="6EEE0B6B" w14:textId="419AC8CD" w:rsidR="00732ACF" w:rsidRPr="00732ACF" w:rsidRDefault="00D63E16" w:rsidP="00873AF3">
            <w:pPr>
              <w:keepNext/>
              <w:keepLines/>
              <w:jc w:val="center"/>
              <w:rPr>
                <w:rFonts w:ascii="Arial Narrow" w:eastAsiaTheme="majorEastAsia" w:hAnsi="Arial Narrow"/>
                <w:bCs/>
                <w:sz w:val="20"/>
              </w:rPr>
            </w:pPr>
            <w:r w:rsidRPr="00027A85">
              <w:rPr>
                <w:rFonts w:ascii="Arial Narrow" w:eastAsiaTheme="majorEastAsia" w:hAnsi="Arial Narrow" w:hint="eastAsia"/>
                <w:bCs/>
                <w:color w:val="000000"/>
                <w:w w:val="19"/>
                <w:sz w:val="20"/>
                <w:shd w:val="solid" w:color="000000" w:fill="000000"/>
                <w:fitText w:val="88" w:id="-691363071"/>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8" w:id="-691363071"/>
                <w14:textFill>
                  <w14:solidFill>
                    <w14:srgbClr w14:val="000000">
                      <w14:alpha w14:val="100000"/>
                    </w14:srgbClr>
                  </w14:solidFill>
                </w14:textFill>
              </w:rPr>
              <w:t>|</w:t>
            </w:r>
            <w:r w:rsidRPr="00027A85">
              <w:rPr>
                <w:rFonts w:ascii="Arial Narrow" w:eastAsiaTheme="majorEastAsia" w:hAnsi="Arial Narrow" w:hint="eastAsia"/>
                <w:bCs/>
                <w:color w:val="000000"/>
                <w:spacing w:val="4"/>
                <w:w w:val="19"/>
                <w:sz w:val="20"/>
                <w:shd w:val="solid" w:color="000000" w:fill="000000"/>
                <w:fitText w:val="88" w:id="-691363071"/>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r>
      <w:tr w:rsidR="00732ACF" w:rsidRPr="00732ACF" w14:paraId="441D8E61" w14:textId="77777777" w:rsidTr="00BB7A7D">
        <w:tc>
          <w:tcPr>
            <w:tcW w:w="2689" w:type="dxa"/>
            <w:vAlign w:val="center"/>
          </w:tcPr>
          <w:p w14:paraId="50031222" w14:textId="77777777" w:rsidR="00732ACF" w:rsidRPr="00732ACF" w:rsidRDefault="00732ACF" w:rsidP="00873AF3">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 xml:space="preserve">Total rozanolixizumab scripts </w:t>
            </w:r>
          </w:p>
        </w:tc>
        <w:tc>
          <w:tcPr>
            <w:tcW w:w="1063" w:type="dxa"/>
          </w:tcPr>
          <w:p w14:paraId="20DB723A" w14:textId="087DA7D1" w:rsidR="00732ACF" w:rsidRPr="00732ACF" w:rsidRDefault="00D63E16" w:rsidP="00873AF3">
            <w:pPr>
              <w:keepNext/>
              <w:keepLines/>
              <w:jc w:val="center"/>
              <w:rPr>
                <w:rFonts w:ascii="Arial Narrow" w:eastAsiaTheme="majorEastAsia" w:hAnsi="Arial Narrow"/>
                <w:bCs/>
                <w:sz w:val="20"/>
              </w:rPr>
            </w:pPr>
            <w:r w:rsidRPr="00027A85">
              <w:rPr>
                <w:rFonts w:ascii="Arial Narrow" w:eastAsiaTheme="majorEastAsia" w:hAnsi="Arial Narrow" w:cstheme="majorBidi" w:hint="eastAsia"/>
                <w:bCs/>
                <w:color w:val="000000"/>
                <w:w w:val="19"/>
                <w:sz w:val="20"/>
                <w:shd w:val="solid" w:color="000000" w:fill="000000"/>
                <w:fitText w:val="88" w:id="-691363070"/>
                <w14:textFill>
                  <w14:solidFill>
                    <w14:srgbClr w14:val="000000">
                      <w14:alpha w14:val="100000"/>
                    </w14:srgbClr>
                  </w14:solidFill>
                </w14:textFill>
              </w:rPr>
              <w:t xml:space="preserve">　</w:t>
            </w:r>
            <w:r w:rsidRPr="00027A85">
              <w:rPr>
                <w:rFonts w:ascii="Arial Narrow" w:eastAsiaTheme="majorEastAsia" w:hAnsi="Arial Narrow" w:cstheme="majorBidi"/>
                <w:bCs/>
                <w:color w:val="000000"/>
                <w:w w:val="19"/>
                <w:sz w:val="20"/>
                <w:shd w:val="solid" w:color="000000" w:fill="000000"/>
                <w:fitText w:val="88" w:id="-691363070"/>
                <w14:textFill>
                  <w14:solidFill>
                    <w14:srgbClr w14:val="000000">
                      <w14:alpha w14:val="100000"/>
                    </w14:srgbClr>
                  </w14:solidFill>
                </w14:textFill>
              </w:rPr>
              <w:t>|</w:t>
            </w:r>
            <w:r w:rsidRPr="00027A85">
              <w:rPr>
                <w:rFonts w:ascii="Arial Narrow" w:eastAsiaTheme="majorEastAsia" w:hAnsi="Arial Narrow" w:cstheme="majorBidi" w:hint="eastAsia"/>
                <w:bCs/>
                <w:color w:val="000000"/>
                <w:spacing w:val="4"/>
                <w:w w:val="19"/>
                <w:sz w:val="20"/>
                <w:shd w:val="solid" w:color="000000" w:fill="000000"/>
                <w:fitText w:val="88" w:id="-691363070"/>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tcPr>
          <w:p w14:paraId="1DB9E6AD" w14:textId="30AAEBC8" w:rsidR="00732ACF" w:rsidRPr="00732ACF" w:rsidRDefault="00D63E16" w:rsidP="00873AF3">
            <w:pPr>
              <w:keepNext/>
              <w:keepLines/>
              <w:jc w:val="center"/>
              <w:rPr>
                <w:rFonts w:ascii="Arial Narrow" w:eastAsiaTheme="majorEastAsia" w:hAnsi="Arial Narrow" w:cstheme="majorBidi"/>
                <w:bCs/>
                <w:sz w:val="20"/>
              </w:rPr>
            </w:pPr>
            <w:r w:rsidRPr="00027A85">
              <w:rPr>
                <w:rFonts w:ascii="Arial Narrow" w:eastAsiaTheme="majorEastAsia" w:hAnsi="Arial Narrow" w:cstheme="majorBidi" w:hint="eastAsia"/>
                <w:bCs/>
                <w:color w:val="000000"/>
                <w:w w:val="19"/>
                <w:sz w:val="20"/>
                <w:shd w:val="solid" w:color="000000" w:fill="000000"/>
                <w:fitText w:val="87" w:id="-691363069"/>
                <w14:textFill>
                  <w14:solidFill>
                    <w14:srgbClr w14:val="000000">
                      <w14:alpha w14:val="100000"/>
                    </w14:srgbClr>
                  </w14:solidFill>
                </w14:textFill>
              </w:rPr>
              <w:t xml:space="preserve">　</w:t>
            </w:r>
            <w:r w:rsidRPr="00027A85">
              <w:rPr>
                <w:rFonts w:ascii="Arial Narrow" w:eastAsiaTheme="majorEastAsia" w:hAnsi="Arial Narrow" w:cstheme="majorBidi"/>
                <w:bCs/>
                <w:color w:val="000000"/>
                <w:w w:val="19"/>
                <w:sz w:val="20"/>
                <w:shd w:val="solid" w:color="000000" w:fill="000000"/>
                <w:fitText w:val="87" w:id="-691363069"/>
                <w14:textFill>
                  <w14:solidFill>
                    <w14:srgbClr w14:val="000000">
                      <w14:alpha w14:val="100000"/>
                    </w14:srgbClr>
                  </w14:solidFill>
                </w14:textFill>
              </w:rPr>
              <w:t>|</w:t>
            </w:r>
            <w:r w:rsidRPr="00027A85">
              <w:rPr>
                <w:rFonts w:ascii="Arial Narrow" w:eastAsiaTheme="majorEastAsia" w:hAnsi="Arial Narrow" w:cstheme="majorBidi" w:hint="eastAsia"/>
                <w:bCs/>
                <w:color w:val="000000"/>
                <w:spacing w:val="3"/>
                <w:w w:val="19"/>
                <w:sz w:val="20"/>
                <w:shd w:val="solid" w:color="000000" w:fill="000000"/>
                <w:fitText w:val="87" w:id="-691363069"/>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tcPr>
          <w:p w14:paraId="7FD338E2" w14:textId="4D65E642" w:rsidR="00732ACF" w:rsidRPr="00732ACF" w:rsidRDefault="00D63E16" w:rsidP="00873AF3">
            <w:pPr>
              <w:keepNext/>
              <w:keepLines/>
              <w:jc w:val="center"/>
              <w:rPr>
                <w:rFonts w:ascii="Arial Narrow" w:eastAsiaTheme="majorEastAsia" w:hAnsi="Arial Narrow" w:cstheme="majorBidi"/>
                <w:bCs/>
                <w:sz w:val="20"/>
              </w:rPr>
            </w:pPr>
            <w:r w:rsidRPr="00027A85">
              <w:rPr>
                <w:rFonts w:ascii="Arial Narrow" w:eastAsiaTheme="majorEastAsia" w:hAnsi="Arial Narrow" w:cstheme="majorBidi" w:hint="eastAsia"/>
                <w:bCs/>
                <w:color w:val="000000"/>
                <w:w w:val="19"/>
                <w:sz w:val="20"/>
                <w:shd w:val="solid" w:color="000000" w:fill="000000"/>
                <w:fitText w:val="88" w:id="-691363068"/>
                <w14:textFill>
                  <w14:solidFill>
                    <w14:srgbClr w14:val="000000">
                      <w14:alpha w14:val="100000"/>
                    </w14:srgbClr>
                  </w14:solidFill>
                </w14:textFill>
              </w:rPr>
              <w:t xml:space="preserve">　</w:t>
            </w:r>
            <w:r w:rsidRPr="00027A85">
              <w:rPr>
                <w:rFonts w:ascii="Arial Narrow" w:eastAsiaTheme="majorEastAsia" w:hAnsi="Arial Narrow" w:cstheme="majorBidi"/>
                <w:bCs/>
                <w:color w:val="000000"/>
                <w:w w:val="19"/>
                <w:sz w:val="20"/>
                <w:shd w:val="solid" w:color="000000" w:fill="000000"/>
                <w:fitText w:val="88" w:id="-691363068"/>
                <w14:textFill>
                  <w14:solidFill>
                    <w14:srgbClr w14:val="000000">
                      <w14:alpha w14:val="100000"/>
                    </w14:srgbClr>
                  </w14:solidFill>
                </w14:textFill>
              </w:rPr>
              <w:t>|</w:t>
            </w:r>
            <w:r w:rsidRPr="00027A85">
              <w:rPr>
                <w:rFonts w:ascii="Arial Narrow" w:eastAsiaTheme="majorEastAsia" w:hAnsi="Arial Narrow" w:cstheme="majorBidi" w:hint="eastAsia"/>
                <w:bCs/>
                <w:color w:val="000000"/>
                <w:spacing w:val="4"/>
                <w:w w:val="19"/>
                <w:sz w:val="20"/>
                <w:shd w:val="solid" w:color="000000" w:fill="000000"/>
                <w:fitText w:val="88" w:id="-691363068"/>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tcPr>
          <w:p w14:paraId="653A4596" w14:textId="0D69D7A0" w:rsidR="00732ACF" w:rsidRPr="00732ACF" w:rsidRDefault="00D63E16" w:rsidP="00873AF3">
            <w:pPr>
              <w:keepNext/>
              <w:keepLines/>
              <w:jc w:val="center"/>
              <w:rPr>
                <w:rFonts w:ascii="Arial Narrow" w:eastAsiaTheme="majorEastAsia" w:hAnsi="Arial Narrow" w:cstheme="majorBidi"/>
                <w:bCs/>
                <w:sz w:val="20"/>
              </w:rPr>
            </w:pPr>
            <w:r w:rsidRPr="00027A85">
              <w:rPr>
                <w:rFonts w:ascii="Arial Narrow" w:eastAsiaTheme="majorEastAsia" w:hAnsi="Arial Narrow" w:cstheme="majorBidi" w:hint="eastAsia"/>
                <w:bCs/>
                <w:color w:val="000000"/>
                <w:w w:val="19"/>
                <w:sz w:val="20"/>
                <w:shd w:val="solid" w:color="000000" w:fill="000000"/>
                <w:fitText w:val="88" w:id="-691363067"/>
                <w14:textFill>
                  <w14:solidFill>
                    <w14:srgbClr w14:val="000000">
                      <w14:alpha w14:val="100000"/>
                    </w14:srgbClr>
                  </w14:solidFill>
                </w14:textFill>
              </w:rPr>
              <w:t xml:space="preserve">　</w:t>
            </w:r>
            <w:r w:rsidRPr="00027A85">
              <w:rPr>
                <w:rFonts w:ascii="Arial Narrow" w:eastAsiaTheme="majorEastAsia" w:hAnsi="Arial Narrow" w:cstheme="majorBidi"/>
                <w:bCs/>
                <w:color w:val="000000"/>
                <w:w w:val="19"/>
                <w:sz w:val="20"/>
                <w:shd w:val="solid" w:color="000000" w:fill="000000"/>
                <w:fitText w:val="88" w:id="-691363067"/>
                <w14:textFill>
                  <w14:solidFill>
                    <w14:srgbClr w14:val="000000">
                      <w14:alpha w14:val="100000"/>
                    </w14:srgbClr>
                  </w14:solidFill>
                </w14:textFill>
              </w:rPr>
              <w:t>|</w:t>
            </w:r>
            <w:r w:rsidRPr="00027A85">
              <w:rPr>
                <w:rFonts w:ascii="Arial Narrow" w:eastAsiaTheme="majorEastAsia" w:hAnsi="Arial Narrow" w:cstheme="majorBidi" w:hint="eastAsia"/>
                <w:bCs/>
                <w:color w:val="000000"/>
                <w:spacing w:val="4"/>
                <w:w w:val="19"/>
                <w:sz w:val="20"/>
                <w:shd w:val="solid" w:color="000000" w:fill="000000"/>
                <w:fitText w:val="88" w:id="-691363067"/>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tcPr>
          <w:p w14:paraId="078C85B4" w14:textId="210B11F0" w:rsidR="00732ACF" w:rsidRPr="00732ACF" w:rsidRDefault="00D63E16" w:rsidP="00873AF3">
            <w:pPr>
              <w:keepNext/>
              <w:keepLines/>
              <w:jc w:val="center"/>
              <w:rPr>
                <w:rFonts w:ascii="Arial Narrow" w:eastAsiaTheme="majorEastAsia" w:hAnsi="Arial Narrow" w:cstheme="majorBidi"/>
                <w:bCs/>
                <w:sz w:val="20"/>
              </w:rPr>
            </w:pPr>
            <w:r w:rsidRPr="00027A85">
              <w:rPr>
                <w:rFonts w:ascii="Arial Narrow" w:eastAsiaTheme="majorEastAsia" w:hAnsi="Arial Narrow" w:cstheme="majorBidi" w:hint="eastAsia"/>
                <w:bCs/>
                <w:color w:val="000000"/>
                <w:w w:val="19"/>
                <w:sz w:val="20"/>
                <w:shd w:val="solid" w:color="000000" w:fill="000000"/>
                <w:fitText w:val="87" w:id="-691363066"/>
                <w14:textFill>
                  <w14:solidFill>
                    <w14:srgbClr w14:val="000000">
                      <w14:alpha w14:val="100000"/>
                    </w14:srgbClr>
                  </w14:solidFill>
                </w14:textFill>
              </w:rPr>
              <w:t xml:space="preserve">　</w:t>
            </w:r>
            <w:r w:rsidRPr="00027A85">
              <w:rPr>
                <w:rFonts w:ascii="Arial Narrow" w:eastAsiaTheme="majorEastAsia" w:hAnsi="Arial Narrow" w:cstheme="majorBidi"/>
                <w:bCs/>
                <w:color w:val="000000"/>
                <w:w w:val="19"/>
                <w:sz w:val="20"/>
                <w:shd w:val="solid" w:color="000000" w:fill="000000"/>
                <w:fitText w:val="87" w:id="-691363066"/>
                <w14:textFill>
                  <w14:solidFill>
                    <w14:srgbClr w14:val="000000">
                      <w14:alpha w14:val="100000"/>
                    </w14:srgbClr>
                  </w14:solidFill>
                </w14:textFill>
              </w:rPr>
              <w:t>|</w:t>
            </w:r>
            <w:r w:rsidRPr="00027A85">
              <w:rPr>
                <w:rFonts w:ascii="Arial Narrow" w:eastAsiaTheme="majorEastAsia" w:hAnsi="Arial Narrow" w:cstheme="majorBidi" w:hint="eastAsia"/>
                <w:bCs/>
                <w:color w:val="000000"/>
                <w:spacing w:val="3"/>
                <w:w w:val="19"/>
                <w:sz w:val="20"/>
                <w:shd w:val="solid" w:color="000000" w:fill="000000"/>
                <w:fitText w:val="87" w:id="-691363066"/>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tcPr>
          <w:p w14:paraId="34F207AF" w14:textId="037E7BD3" w:rsidR="00732ACF" w:rsidRPr="00732ACF" w:rsidRDefault="00D63E16" w:rsidP="00873AF3">
            <w:pPr>
              <w:keepNext/>
              <w:keepLines/>
              <w:jc w:val="center"/>
              <w:rPr>
                <w:rFonts w:ascii="Arial Narrow" w:eastAsiaTheme="majorEastAsia" w:hAnsi="Arial Narrow"/>
                <w:bCs/>
                <w:sz w:val="20"/>
              </w:rPr>
            </w:pPr>
            <w:r w:rsidRPr="00027A85">
              <w:rPr>
                <w:rFonts w:ascii="Arial Narrow" w:eastAsiaTheme="majorEastAsia" w:hAnsi="Arial Narrow" w:cstheme="majorBidi" w:hint="eastAsia"/>
                <w:bCs/>
                <w:color w:val="000000"/>
                <w:w w:val="19"/>
                <w:sz w:val="20"/>
                <w:shd w:val="solid" w:color="000000" w:fill="000000"/>
                <w:fitText w:val="88" w:id="-691363065"/>
                <w14:textFill>
                  <w14:solidFill>
                    <w14:srgbClr w14:val="000000">
                      <w14:alpha w14:val="100000"/>
                    </w14:srgbClr>
                  </w14:solidFill>
                </w14:textFill>
              </w:rPr>
              <w:t xml:space="preserve">　</w:t>
            </w:r>
            <w:r w:rsidRPr="00027A85">
              <w:rPr>
                <w:rFonts w:ascii="Arial Narrow" w:eastAsiaTheme="majorEastAsia" w:hAnsi="Arial Narrow" w:cstheme="majorBidi"/>
                <w:bCs/>
                <w:color w:val="000000"/>
                <w:w w:val="19"/>
                <w:sz w:val="20"/>
                <w:shd w:val="solid" w:color="000000" w:fill="000000"/>
                <w:fitText w:val="88" w:id="-691363065"/>
                <w14:textFill>
                  <w14:solidFill>
                    <w14:srgbClr w14:val="000000">
                      <w14:alpha w14:val="100000"/>
                    </w14:srgbClr>
                  </w14:solidFill>
                </w14:textFill>
              </w:rPr>
              <w:t>|</w:t>
            </w:r>
            <w:r w:rsidRPr="00027A85">
              <w:rPr>
                <w:rFonts w:ascii="Arial Narrow" w:eastAsiaTheme="majorEastAsia" w:hAnsi="Arial Narrow" w:cstheme="majorBidi" w:hint="eastAsia"/>
                <w:bCs/>
                <w:color w:val="000000"/>
                <w:spacing w:val="4"/>
                <w:w w:val="19"/>
                <w:sz w:val="20"/>
                <w:shd w:val="solid" w:color="000000" w:fill="000000"/>
                <w:fitText w:val="88" w:id="-691363065"/>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r>
      <w:tr w:rsidR="00732ACF" w:rsidRPr="00732ACF" w14:paraId="4D86BC5A" w14:textId="77777777" w:rsidTr="00BB7A7D">
        <w:tc>
          <w:tcPr>
            <w:tcW w:w="2689" w:type="dxa"/>
            <w:vAlign w:val="center"/>
          </w:tcPr>
          <w:p w14:paraId="3CEBF5DB" w14:textId="77777777" w:rsidR="00732ACF" w:rsidRPr="00732ACF" w:rsidRDefault="00732ACF" w:rsidP="00873AF3">
            <w:pPr>
              <w:keepNext/>
              <w:keepLines/>
              <w:jc w:val="left"/>
              <w:rPr>
                <w:rFonts w:ascii="Arial Narrow" w:eastAsiaTheme="majorEastAsia" w:hAnsi="Arial Narrow" w:cstheme="majorBidi"/>
                <w:b/>
                <w:bCs/>
                <w:sz w:val="20"/>
              </w:rPr>
            </w:pPr>
            <w:r w:rsidRPr="00732ACF">
              <w:rPr>
                <w:rFonts w:ascii="Arial Narrow" w:eastAsiaTheme="majorEastAsia" w:hAnsi="Arial Narrow" w:cstheme="majorBidi"/>
                <w:b/>
                <w:bCs/>
                <w:sz w:val="20"/>
              </w:rPr>
              <w:t>Cost to PBS/RPBS</w:t>
            </w:r>
            <w:r w:rsidRPr="00732ACF">
              <w:rPr>
                <w:rFonts w:ascii="Arial Narrow" w:eastAsiaTheme="majorEastAsia" w:hAnsi="Arial Narrow" w:cstheme="majorBidi"/>
                <w:b/>
                <w:bCs/>
                <w:sz w:val="20"/>
                <w:vertAlign w:val="superscript"/>
              </w:rPr>
              <w:t>a</w:t>
            </w:r>
            <w:r w:rsidRPr="00732ACF">
              <w:rPr>
                <w:rFonts w:ascii="Arial Narrow" w:eastAsiaTheme="majorEastAsia" w:hAnsi="Arial Narrow" w:cstheme="majorBidi"/>
                <w:b/>
                <w:bCs/>
                <w:sz w:val="20"/>
              </w:rPr>
              <w:t xml:space="preserve"> less copay</w:t>
            </w:r>
          </w:p>
        </w:tc>
        <w:tc>
          <w:tcPr>
            <w:tcW w:w="1063" w:type="dxa"/>
            <w:vAlign w:val="center"/>
          </w:tcPr>
          <w:p w14:paraId="4343AB80" w14:textId="282E66DB" w:rsidR="00732ACF" w:rsidRPr="00732ACF" w:rsidRDefault="00732ACF" w:rsidP="00873AF3">
            <w:pPr>
              <w:keepNext/>
              <w:keepLines/>
              <w:jc w:val="center"/>
              <w:rPr>
                <w:rFonts w:ascii="Arial Narrow" w:eastAsiaTheme="majorEastAsia" w:hAnsi="Arial Narrow" w:cstheme="majorBidi"/>
                <w:bCs/>
                <w:sz w:val="20"/>
              </w:rPr>
            </w:pPr>
            <w:r w:rsidRPr="00732ACF">
              <w:rPr>
                <w:rFonts w:ascii="Arial Narrow" w:eastAsiaTheme="majorEastAsia" w:hAnsi="Arial Narrow" w:cstheme="majorBidi"/>
                <w:b/>
                <w:sz w:val="20"/>
              </w:rPr>
              <w:t>$</w:t>
            </w:r>
            <w:r w:rsidR="00D63E16" w:rsidRPr="00A137D7">
              <w:rPr>
                <w:rFonts w:ascii="Arial Narrow" w:eastAsiaTheme="majorEastAsia" w:hAnsi="Arial Narrow" w:cstheme="majorBidi"/>
                <w:b/>
                <w:color w:val="000000"/>
                <w:spacing w:val="108"/>
                <w:sz w:val="20"/>
                <w:shd w:val="solid" w:color="000000" w:fill="000000"/>
                <w:fitText w:val="200" w:id="-691363064"/>
                <w14:textFill>
                  <w14:solidFill>
                    <w14:srgbClr w14:val="000000">
                      <w14:alpha w14:val="100000"/>
                    </w14:srgbClr>
                  </w14:solidFill>
                </w14:textFill>
              </w:rPr>
              <w:t>|</w:t>
            </w:r>
            <w:r w:rsidR="00D63E16" w:rsidRPr="00A137D7">
              <w:rPr>
                <w:rFonts w:ascii="Arial Narrow" w:eastAsiaTheme="majorEastAsia" w:hAnsi="Arial Narrow" w:cstheme="majorBidi"/>
                <w:b/>
                <w:color w:val="000000"/>
                <w:spacing w:val="1"/>
                <w:sz w:val="20"/>
                <w:shd w:val="solid" w:color="000000" w:fill="000000"/>
                <w:fitText w:val="200" w:id="-691363064"/>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3</w:t>
            </w:r>
          </w:p>
        </w:tc>
        <w:tc>
          <w:tcPr>
            <w:tcW w:w="1063" w:type="dxa"/>
            <w:vAlign w:val="center"/>
          </w:tcPr>
          <w:p w14:paraId="16171848" w14:textId="588BBAEE" w:rsidR="00732ACF" w:rsidRPr="00732ACF" w:rsidRDefault="00732ACF" w:rsidP="00873AF3">
            <w:pPr>
              <w:keepNext/>
              <w:keepLines/>
              <w:jc w:val="center"/>
              <w:rPr>
                <w:rFonts w:ascii="Arial Narrow" w:eastAsiaTheme="majorEastAsia" w:hAnsi="Arial Narrow" w:cstheme="majorBidi"/>
                <w:bCs/>
                <w:sz w:val="20"/>
              </w:rPr>
            </w:pPr>
            <w:r w:rsidRPr="00732ACF">
              <w:rPr>
                <w:rFonts w:ascii="Arial Narrow" w:eastAsiaTheme="majorEastAsia" w:hAnsi="Arial Narrow" w:cstheme="majorBidi"/>
                <w:b/>
                <w:sz w:val="20"/>
              </w:rPr>
              <w:t>$</w:t>
            </w:r>
            <w:r w:rsidR="00D63E16" w:rsidRPr="00A137D7">
              <w:rPr>
                <w:rFonts w:ascii="Arial Narrow" w:eastAsiaTheme="majorEastAsia" w:hAnsi="Arial Narrow" w:cstheme="majorBidi"/>
                <w:b/>
                <w:color w:val="000000"/>
                <w:spacing w:val="109"/>
                <w:sz w:val="20"/>
                <w:shd w:val="solid" w:color="000000" w:fill="000000"/>
                <w:fitText w:val="201" w:id="-691363063"/>
                <w14:textFill>
                  <w14:solidFill>
                    <w14:srgbClr w14:val="000000">
                      <w14:alpha w14:val="100000"/>
                    </w14:srgbClr>
                  </w14:solidFill>
                </w14:textFill>
              </w:rPr>
              <w:t>|</w:t>
            </w:r>
            <w:r w:rsidR="00D63E16" w:rsidRPr="00A137D7">
              <w:rPr>
                <w:rFonts w:ascii="Arial Narrow" w:eastAsiaTheme="majorEastAsia" w:hAnsi="Arial Narrow" w:cstheme="majorBidi"/>
                <w:b/>
                <w:color w:val="000000"/>
                <w:spacing w:val="1"/>
                <w:sz w:val="20"/>
                <w:shd w:val="solid" w:color="000000" w:fill="000000"/>
                <w:fitText w:val="201" w:id="-691363063"/>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4</w:t>
            </w:r>
          </w:p>
        </w:tc>
        <w:tc>
          <w:tcPr>
            <w:tcW w:w="1063" w:type="dxa"/>
            <w:vAlign w:val="center"/>
          </w:tcPr>
          <w:p w14:paraId="0F0B4046" w14:textId="228FB209" w:rsidR="00732ACF" w:rsidRPr="00732ACF" w:rsidRDefault="00732ACF" w:rsidP="00873AF3">
            <w:pPr>
              <w:keepNext/>
              <w:keepLines/>
              <w:jc w:val="center"/>
              <w:rPr>
                <w:rFonts w:ascii="Arial Narrow" w:eastAsiaTheme="majorEastAsia" w:hAnsi="Arial Narrow" w:cstheme="majorBidi"/>
                <w:bCs/>
                <w:sz w:val="20"/>
              </w:rPr>
            </w:pPr>
            <w:r w:rsidRPr="00732ACF">
              <w:rPr>
                <w:rFonts w:ascii="Arial Narrow" w:eastAsiaTheme="majorEastAsia" w:hAnsi="Arial Narrow" w:cstheme="majorBidi"/>
                <w:b/>
                <w:sz w:val="20"/>
              </w:rPr>
              <w:t>$</w:t>
            </w:r>
            <w:r w:rsidR="00D63E16" w:rsidRPr="00A137D7">
              <w:rPr>
                <w:rFonts w:ascii="Arial Narrow" w:eastAsiaTheme="majorEastAsia" w:hAnsi="Arial Narrow" w:cstheme="majorBidi"/>
                <w:b/>
                <w:color w:val="000000"/>
                <w:spacing w:val="108"/>
                <w:sz w:val="20"/>
                <w:shd w:val="solid" w:color="000000" w:fill="000000"/>
                <w:fitText w:val="200" w:id="-691363062"/>
                <w14:textFill>
                  <w14:solidFill>
                    <w14:srgbClr w14:val="000000">
                      <w14:alpha w14:val="100000"/>
                    </w14:srgbClr>
                  </w14:solidFill>
                </w14:textFill>
              </w:rPr>
              <w:t>|</w:t>
            </w:r>
            <w:r w:rsidR="00D63E16" w:rsidRPr="00A137D7">
              <w:rPr>
                <w:rFonts w:ascii="Arial Narrow" w:eastAsiaTheme="majorEastAsia" w:hAnsi="Arial Narrow" w:cstheme="majorBidi"/>
                <w:b/>
                <w:color w:val="000000"/>
                <w:spacing w:val="1"/>
                <w:sz w:val="20"/>
                <w:shd w:val="solid" w:color="000000" w:fill="000000"/>
                <w:fitText w:val="200" w:id="-691363062"/>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3</w:t>
            </w:r>
          </w:p>
        </w:tc>
        <w:tc>
          <w:tcPr>
            <w:tcW w:w="1063" w:type="dxa"/>
            <w:vAlign w:val="center"/>
          </w:tcPr>
          <w:p w14:paraId="3DAD8729" w14:textId="5D573ECA" w:rsidR="00732ACF" w:rsidRPr="00732ACF" w:rsidRDefault="00732ACF" w:rsidP="00873AF3">
            <w:pPr>
              <w:keepNext/>
              <w:keepLines/>
              <w:jc w:val="center"/>
              <w:rPr>
                <w:rFonts w:ascii="Arial Narrow" w:eastAsiaTheme="majorEastAsia" w:hAnsi="Arial Narrow" w:cstheme="majorBidi"/>
                <w:bCs/>
                <w:sz w:val="20"/>
              </w:rPr>
            </w:pPr>
            <w:r w:rsidRPr="00732ACF">
              <w:rPr>
                <w:rFonts w:ascii="Arial Narrow" w:eastAsiaTheme="majorEastAsia" w:hAnsi="Arial Narrow" w:cstheme="majorBidi"/>
                <w:b/>
                <w:sz w:val="20"/>
              </w:rPr>
              <w:t>$</w:t>
            </w:r>
            <w:r w:rsidR="00D63E16" w:rsidRPr="00A137D7">
              <w:rPr>
                <w:rFonts w:ascii="Arial Narrow" w:eastAsiaTheme="majorEastAsia" w:hAnsi="Arial Narrow" w:cstheme="majorBidi"/>
                <w:b/>
                <w:color w:val="000000"/>
                <w:spacing w:val="108"/>
                <w:sz w:val="20"/>
                <w:shd w:val="solid" w:color="000000" w:fill="000000"/>
                <w:fitText w:val="200" w:id="-691363061"/>
                <w14:textFill>
                  <w14:solidFill>
                    <w14:srgbClr w14:val="000000">
                      <w14:alpha w14:val="100000"/>
                    </w14:srgbClr>
                  </w14:solidFill>
                </w14:textFill>
              </w:rPr>
              <w:t>|</w:t>
            </w:r>
            <w:r w:rsidR="00D63E16" w:rsidRPr="00A137D7">
              <w:rPr>
                <w:rFonts w:ascii="Arial Narrow" w:eastAsiaTheme="majorEastAsia" w:hAnsi="Arial Narrow" w:cstheme="majorBidi"/>
                <w:b/>
                <w:color w:val="000000"/>
                <w:spacing w:val="1"/>
                <w:sz w:val="20"/>
                <w:shd w:val="solid" w:color="000000" w:fill="000000"/>
                <w:fitText w:val="200" w:id="-691363061"/>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3</w:t>
            </w:r>
          </w:p>
        </w:tc>
        <w:tc>
          <w:tcPr>
            <w:tcW w:w="1063" w:type="dxa"/>
            <w:vAlign w:val="center"/>
          </w:tcPr>
          <w:p w14:paraId="4526FF8B" w14:textId="3247D58B" w:rsidR="00732ACF" w:rsidRPr="00732ACF" w:rsidRDefault="00732ACF" w:rsidP="00873AF3">
            <w:pPr>
              <w:keepNext/>
              <w:keepLines/>
              <w:jc w:val="center"/>
              <w:rPr>
                <w:rFonts w:ascii="Arial Narrow" w:eastAsiaTheme="majorEastAsia" w:hAnsi="Arial Narrow" w:cstheme="majorBidi"/>
                <w:bCs/>
                <w:sz w:val="20"/>
              </w:rPr>
            </w:pPr>
            <w:r w:rsidRPr="00732ACF">
              <w:rPr>
                <w:rFonts w:ascii="Arial Narrow" w:eastAsiaTheme="majorEastAsia" w:hAnsi="Arial Narrow" w:cstheme="majorBidi"/>
                <w:b/>
                <w:sz w:val="20"/>
              </w:rPr>
              <w:t>$</w:t>
            </w:r>
            <w:r w:rsidR="00D63E16" w:rsidRPr="00A137D7">
              <w:rPr>
                <w:rFonts w:ascii="Arial Narrow" w:eastAsiaTheme="majorEastAsia" w:hAnsi="Arial Narrow" w:cstheme="majorBidi"/>
                <w:b/>
                <w:color w:val="000000"/>
                <w:spacing w:val="109"/>
                <w:sz w:val="20"/>
                <w:shd w:val="solid" w:color="000000" w:fill="000000"/>
                <w:fitText w:val="201" w:id="-691363060"/>
                <w14:textFill>
                  <w14:solidFill>
                    <w14:srgbClr w14:val="000000">
                      <w14:alpha w14:val="100000"/>
                    </w14:srgbClr>
                  </w14:solidFill>
                </w14:textFill>
              </w:rPr>
              <w:t>|</w:t>
            </w:r>
            <w:r w:rsidR="00D63E16" w:rsidRPr="00A137D7">
              <w:rPr>
                <w:rFonts w:ascii="Arial Narrow" w:eastAsiaTheme="majorEastAsia" w:hAnsi="Arial Narrow" w:cstheme="majorBidi"/>
                <w:b/>
                <w:color w:val="000000"/>
                <w:spacing w:val="1"/>
                <w:sz w:val="20"/>
                <w:shd w:val="solid" w:color="000000" w:fill="000000"/>
                <w:fitText w:val="201" w:id="-691363060"/>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5</w:t>
            </w:r>
          </w:p>
        </w:tc>
        <w:tc>
          <w:tcPr>
            <w:tcW w:w="1063" w:type="dxa"/>
            <w:vAlign w:val="center"/>
          </w:tcPr>
          <w:p w14:paraId="04265490" w14:textId="340F6D81" w:rsidR="00732ACF" w:rsidRPr="00732ACF" w:rsidRDefault="00732ACF" w:rsidP="00873AF3">
            <w:pPr>
              <w:keepNext/>
              <w:keepLines/>
              <w:jc w:val="center"/>
              <w:rPr>
                <w:rFonts w:ascii="Arial Narrow" w:eastAsiaTheme="majorEastAsia" w:hAnsi="Arial Narrow" w:cstheme="majorBidi"/>
                <w:bCs/>
                <w:sz w:val="20"/>
              </w:rPr>
            </w:pPr>
            <w:r w:rsidRPr="00732ACF">
              <w:rPr>
                <w:rFonts w:ascii="Arial Narrow" w:eastAsiaTheme="majorEastAsia" w:hAnsi="Arial Narrow" w:cstheme="majorBidi"/>
                <w:b/>
                <w:sz w:val="20"/>
              </w:rPr>
              <w:t>$</w:t>
            </w:r>
            <w:r w:rsidR="00D63E16" w:rsidRPr="00A137D7">
              <w:rPr>
                <w:rFonts w:ascii="Arial Narrow" w:eastAsiaTheme="majorEastAsia" w:hAnsi="Arial Narrow" w:cstheme="majorBidi"/>
                <w:b/>
                <w:color w:val="000000"/>
                <w:spacing w:val="108"/>
                <w:sz w:val="20"/>
                <w:shd w:val="solid" w:color="000000" w:fill="000000"/>
                <w:fitText w:val="200" w:id="-691363059"/>
                <w14:textFill>
                  <w14:solidFill>
                    <w14:srgbClr w14:val="000000">
                      <w14:alpha w14:val="100000"/>
                    </w14:srgbClr>
                  </w14:solidFill>
                </w14:textFill>
              </w:rPr>
              <w:t>|</w:t>
            </w:r>
            <w:r w:rsidR="00D63E16" w:rsidRPr="00A137D7">
              <w:rPr>
                <w:rFonts w:ascii="Arial Narrow" w:eastAsiaTheme="majorEastAsia" w:hAnsi="Arial Narrow" w:cstheme="majorBidi"/>
                <w:b/>
                <w:color w:val="000000"/>
                <w:spacing w:val="1"/>
                <w:sz w:val="20"/>
                <w:shd w:val="solid" w:color="000000" w:fill="000000"/>
                <w:fitText w:val="200" w:id="-691363059"/>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5</w:t>
            </w:r>
          </w:p>
        </w:tc>
      </w:tr>
      <w:tr w:rsidR="00732ACF" w:rsidRPr="00732ACF" w14:paraId="30CA7321" w14:textId="77777777" w:rsidTr="00BB7A7D">
        <w:tc>
          <w:tcPr>
            <w:tcW w:w="2689" w:type="dxa"/>
            <w:vAlign w:val="center"/>
          </w:tcPr>
          <w:p w14:paraId="44F4B0B2" w14:textId="77777777" w:rsidR="00732ACF" w:rsidRPr="00732ACF" w:rsidRDefault="00732ACF" w:rsidP="00873AF3">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Reduced NBA costs for IVIg</w:t>
            </w:r>
          </w:p>
        </w:tc>
        <w:tc>
          <w:tcPr>
            <w:tcW w:w="1063" w:type="dxa"/>
          </w:tcPr>
          <w:p w14:paraId="7A2B7AFF" w14:textId="22C3E43D"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77"/>
                <w:sz w:val="20"/>
                <w:shd w:val="solid" w:color="000000" w:fill="000000"/>
                <w:fitText w:val="163" w:id="-691363058"/>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1"/>
                <w:sz w:val="20"/>
                <w:shd w:val="solid" w:color="000000" w:fill="000000"/>
                <w:fitText w:val="163" w:id="-691363058"/>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tcPr>
          <w:p w14:paraId="711A7CC6" w14:textId="01E814B9"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77"/>
                <w:sz w:val="20"/>
                <w:shd w:val="solid" w:color="000000" w:fill="000000"/>
                <w:fitText w:val="163" w:id="-691363057"/>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1"/>
                <w:sz w:val="20"/>
                <w:shd w:val="solid" w:color="000000" w:fill="000000"/>
                <w:fitText w:val="163" w:id="-691363057"/>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tcPr>
          <w:p w14:paraId="2031A6C0" w14:textId="517EDBCB"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77"/>
                <w:sz w:val="20"/>
                <w:shd w:val="solid" w:color="000000" w:fill="000000"/>
                <w:fitText w:val="163" w:id="-691363056"/>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1"/>
                <w:sz w:val="20"/>
                <w:shd w:val="solid" w:color="000000" w:fill="000000"/>
                <w:fitText w:val="163" w:id="-691363056"/>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tcPr>
          <w:p w14:paraId="2BD6E01A" w14:textId="272710EF"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77"/>
                <w:sz w:val="20"/>
                <w:shd w:val="solid" w:color="000000" w:fill="000000"/>
                <w:fitText w:val="163" w:id="-691363072"/>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1"/>
                <w:sz w:val="20"/>
                <w:shd w:val="solid" w:color="000000" w:fill="000000"/>
                <w:fitText w:val="163" w:id="-691363072"/>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tcPr>
          <w:p w14:paraId="6D6022CE" w14:textId="10ED6DF2"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77"/>
                <w:sz w:val="20"/>
                <w:shd w:val="solid" w:color="000000" w:fill="000000"/>
                <w:fitText w:val="163" w:id="-691363071"/>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1"/>
                <w:sz w:val="20"/>
                <w:shd w:val="solid" w:color="000000" w:fill="000000"/>
                <w:fitText w:val="163" w:id="-691363071"/>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tcPr>
          <w:p w14:paraId="1C241F1E" w14:textId="43CA9A45"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77"/>
                <w:sz w:val="20"/>
                <w:shd w:val="solid" w:color="000000" w:fill="000000"/>
                <w:fitText w:val="163" w:id="-691363070"/>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1"/>
                <w:sz w:val="20"/>
                <w:shd w:val="solid" w:color="000000" w:fill="000000"/>
                <w:fitText w:val="163" w:id="-691363070"/>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r>
      <w:tr w:rsidR="00732ACF" w:rsidRPr="00732ACF" w14:paraId="03E4A805" w14:textId="77777777" w:rsidTr="00BB7A7D">
        <w:tc>
          <w:tcPr>
            <w:tcW w:w="2689" w:type="dxa"/>
            <w:vAlign w:val="center"/>
          </w:tcPr>
          <w:p w14:paraId="61AF796D" w14:textId="77777777" w:rsidR="00732ACF" w:rsidRPr="00732ACF" w:rsidRDefault="00732ACF" w:rsidP="00873AF3">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Reduced NBA cost for PLEX</w:t>
            </w:r>
          </w:p>
        </w:tc>
        <w:tc>
          <w:tcPr>
            <w:tcW w:w="1063" w:type="dxa"/>
            <w:vAlign w:val="center"/>
          </w:tcPr>
          <w:p w14:paraId="23D22C88" w14:textId="46E2D40E"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77"/>
                <w:sz w:val="20"/>
                <w:shd w:val="solid" w:color="000000" w:fill="000000"/>
                <w:fitText w:val="163" w:id="-691363069"/>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1"/>
                <w:sz w:val="20"/>
                <w:shd w:val="solid" w:color="000000" w:fill="000000"/>
                <w:fitText w:val="163" w:id="-691363069"/>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vAlign w:val="center"/>
          </w:tcPr>
          <w:p w14:paraId="51032064" w14:textId="5EE309C4"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77"/>
                <w:sz w:val="20"/>
                <w:shd w:val="solid" w:color="000000" w:fill="000000"/>
                <w:fitText w:val="163" w:id="-691363068"/>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1"/>
                <w:sz w:val="20"/>
                <w:shd w:val="solid" w:color="000000" w:fill="000000"/>
                <w:fitText w:val="163" w:id="-691363068"/>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vAlign w:val="center"/>
          </w:tcPr>
          <w:p w14:paraId="7FFE8500" w14:textId="1CE540EB" w:rsidR="00732ACF" w:rsidRPr="00C81F86" w:rsidRDefault="00732ACF" w:rsidP="00873AF3">
            <w:pPr>
              <w:keepNext/>
              <w:keepLines/>
              <w:jc w:val="center"/>
              <w:rPr>
                <w:rFonts w:ascii="Arial Narrow" w:eastAsiaTheme="majorEastAsia" w:hAnsi="Arial Narrow" w:cstheme="majorBidi"/>
                <w:b/>
                <w:sz w:val="20"/>
                <w:highlight w:val="darkGray"/>
              </w:rPr>
            </w:pPr>
            <w:r w:rsidRPr="00C81F86">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77"/>
                <w:sz w:val="20"/>
                <w:shd w:val="solid" w:color="000000" w:fill="000000"/>
                <w:fitText w:val="163" w:id="-691363067"/>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1"/>
                <w:sz w:val="20"/>
                <w:shd w:val="solid" w:color="000000" w:fill="000000"/>
                <w:fitText w:val="163" w:id="-691363067"/>
                <w14:textFill>
                  <w14:solidFill>
                    <w14:srgbClr w14:val="000000">
                      <w14:alpha w14:val="100000"/>
                    </w14:srgbClr>
                  </w14:solidFill>
                </w14:textFill>
              </w:rPr>
              <w:t>|</w:t>
            </w:r>
            <w:r w:rsidR="00026E26" w:rsidRPr="00C81F86">
              <w:rPr>
                <w:rFonts w:ascii="Arial Narrow" w:eastAsiaTheme="majorEastAsia" w:hAnsi="Arial Narrow"/>
                <w:bCs/>
                <w:sz w:val="20"/>
              </w:rPr>
              <w:t xml:space="preserve"> </w:t>
            </w:r>
            <w:r w:rsidR="00026E26" w:rsidRPr="00C81F86">
              <w:rPr>
                <w:rFonts w:ascii="Arial Narrow" w:eastAsiaTheme="majorEastAsia" w:hAnsi="Arial Narrow"/>
                <w:bCs/>
                <w:sz w:val="20"/>
                <w:vertAlign w:val="superscript"/>
              </w:rPr>
              <w:t>6</w:t>
            </w:r>
          </w:p>
        </w:tc>
        <w:tc>
          <w:tcPr>
            <w:tcW w:w="1063" w:type="dxa"/>
            <w:vAlign w:val="center"/>
          </w:tcPr>
          <w:p w14:paraId="624147AF" w14:textId="41806F75"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77"/>
                <w:sz w:val="20"/>
                <w:shd w:val="solid" w:color="000000" w:fill="000000"/>
                <w:fitText w:val="163" w:id="-691363066"/>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1"/>
                <w:sz w:val="20"/>
                <w:shd w:val="solid" w:color="000000" w:fill="000000"/>
                <w:fitText w:val="163" w:id="-691363066"/>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vAlign w:val="center"/>
          </w:tcPr>
          <w:p w14:paraId="7D67F9FC" w14:textId="58D8203D"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77"/>
                <w:sz w:val="20"/>
                <w:shd w:val="solid" w:color="000000" w:fill="000000"/>
                <w:fitText w:val="163" w:id="-691363065"/>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1"/>
                <w:sz w:val="20"/>
                <w:shd w:val="solid" w:color="000000" w:fill="000000"/>
                <w:fitText w:val="163" w:id="-691363065"/>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vAlign w:val="center"/>
          </w:tcPr>
          <w:p w14:paraId="18EE2A97" w14:textId="7CBE1208"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77"/>
                <w:sz w:val="20"/>
                <w:shd w:val="solid" w:color="000000" w:fill="000000"/>
                <w:fitText w:val="163" w:id="-691363064"/>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1"/>
                <w:sz w:val="20"/>
                <w:shd w:val="solid" w:color="000000" w:fill="000000"/>
                <w:fitText w:val="163" w:id="-691363064"/>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r>
      <w:tr w:rsidR="00732ACF" w:rsidRPr="00732ACF" w14:paraId="0C3C2314" w14:textId="77777777" w:rsidTr="00BB7A7D">
        <w:tc>
          <w:tcPr>
            <w:tcW w:w="2689" w:type="dxa"/>
            <w:vAlign w:val="center"/>
          </w:tcPr>
          <w:p w14:paraId="760E6E07" w14:textId="77777777" w:rsidR="00732ACF" w:rsidRPr="00732ACF" w:rsidRDefault="00732ACF" w:rsidP="00873AF3">
            <w:pPr>
              <w:keepNext/>
              <w:keepLines/>
              <w:jc w:val="left"/>
              <w:rPr>
                <w:rFonts w:ascii="Arial Narrow" w:eastAsiaTheme="majorEastAsia" w:hAnsi="Arial Narrow" w:cstheme="majorBidi"/>
                <w:bCs/>
                <w:sz w:val="20"/>
                <w:vertAlign w:val="superscript"/>
              </w:rPr>
            </w:pPr>
            <w:r w:rsidRPr="00732ACF">
              <w:rPr>
                <w:rFonts w:ascii="Arial Narrow" w:eastAsiaTheme="majorEastAsia" w:hAnsi="Arial Narrow" w:cstheme="majorBidi"/>
                <w:bCs/>
                <w:sz w:val="20"/>
              </w:rPr>
              <w:t xml:space="preserve">Increased MBS costs for rozanolixizumab administration </w:t>
            </w:r>
            <w:r w:rsidRPr="00732ACF">
              <w:rPr>
                <w:rFonts w:ascii="Arial Narrow" w:eastAsiaTheme="majorEastAsia" w:hAnsi="Arial Narrow" w:cstheme="majorBidi"/>
                <w:bCs/>
                <w:sz w:val="20"/>
                <w:vertAlign w:val="superscript"/>
              </w:rPr>
              <w:t>b</w:t>
            </w:r>
          </w:p>
        </w:tc>
        <w:tc>
          <w:tcPr>
            <w:tcW w:w="1063" w:type="dxa"/>
            <w:vAlign w:val="center"/>
          </w:tcPr>
          <w:p w14:paraId="229FF4D0" w14:textId="3940C418"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D63E16">
              <w:rPr>
                <w:rFonts w:ascii="Arial Narrow" w:eastAsiaTheme="majorEastAsia" w:hAnsi="Arial Narrow" w:cstheme="majorBidi" w:hint="eastAsia"/>
                <w:bCs/>
                <w:color w:val="000000"/>
                <w:w w:val="31"/>
                <w:sz w:val="20"/>
                <w:shd w:val="solid" w:color="000000" w:fill="000000"/>
                <w:fitText w:val="138" w:id="-691363063"/>
                <w14:textFill>
                  <w14:solidFill>
                    <w14:srgbClr w14:val="000000">
                      <w14:alpha w14:val="100000"/>
                    </w14:srgbClr>
                  </w14:solidFill>
                </w14:textFill>
              </w:rPr>
              <w:t xml:space="preserve">　</w:t>
            </w:r>
            <w:r w:rsidR="00D63E16" w:rsidRPr="00D63E16">
              <w:rPr>
                <w:rFonts w:ascii="Arial Narrow" w:eastAsiaTheme="majorEastAsia" w:hAnsi="Arial Narrow" w:cstheme="majorBidi"/>
                <w:bCs/>
                <w:color w:val="000000"/>
                <w:w w:val="31"/>
                <w:sz w:val="20"/>
                <w:shd w:val="solid" w:color="000000" w:fill="000000"/>
                <w:fitText w:val="138" w:id="-691363063"/>
                <w14:textFill>
                  <w14:solidFill>
                    <w14:srgbClr w14:val="000000">
                      <w14:alpha w14:val="100000"/>
                    </w14:srgbClr>
                  </w14:solidFill>
                </w14:textFill>
              </w:rPr>
              <w:t>|</w:t>
            </w:r>
            <w:r w:rsidR="00D63E16" w:rsidRPr="00D63E16">
              <w:rPr>
                <w:rFonts w:ascii="Arial Narrow" w:eastAsiaTheme="majorEastAsia" w:hAnsi="Arial Narrow" w:cstheme="majorBidi" w:hint="eastAsia"/>
                <w:bCs/>
                <w:color w:val="000000"/>
                <w:w w:val="31"/>
                <w:sz w:val="20"/>
                <w:shd w:val="solid" w:color="000000" w:fill="000000"/>
                <w:fitText w:val="138" w:id="-691363063"/>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7</w:t>
            </w:r>
          </w:p>
        </w:tc>
        <w:tc>
          <w:tcPr>
            <w:tcW w:w="1063" w:type="dxa"/>
            <w:vAlign w:val="center"/>
          </w:tcPr>
          <w:p w14:paraId="6D7F8330" w14:textId="2170285D"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D63E16">
              <w:rPr>
                <w:rFonts w:ascii="Arial Narrow" w:eastAsiaTheme="majorEastAsia" w:hAnsi="Arial Narrow" w:cstheme="majorBidi" w:hint="eastAsia"/>
                <w:bCs/>
                <w:color w:val="000000"/>
                <w:w w:val="30"/>
                <w:sz w:val="20"/>
                <w:shd w:val="solid" w:color="000000" w:fill="000000"/>
                <w:fitText w:val="137" w:id="-691363062"/>
                <w14:textFill>
                  <w14:solidFill>
                    <w14:srgbClr w14:val="000000">
                      <w14:alpha w14:val="100000"/>
                    </w14:srgbClr>
                  </w14:solidFill>
                </w14:textFill>
              </w:rPr>
              <w:t xml:space="preserve">　</w:t>
            </w:r>
            <w:r w:rsidR="00D63E16" w:rsidRPr="00D63E16">
              <w:rPr>
                <w:rFonts w:ascii="Arial Narrow" w:eastAsiaTheme="majorEastAsia" w:hAnsi="Arial Narrow" w:cstheme="majorBidi"/>
                <w:bCs/>
                <w:color w:val="000000"/>
                <w:w w:val="30"/>
                <w:sz w:val="20"/>
                <w:shd w:val="solid" w:color="000000" w:fill="000000"/>
                <w:fitText w:val="137" w:id="-691363062"/>
                <w14:textFill>
                  <w14:solidFill>
                    <w14:srgbClr w14:val="000000">
                      <w14:alpha w14:val="100000"/>
                    </w14:srgbClr>
                  </w14:solidFill>
                </w14:textFill>
              </w:rPr>
              <w:t>|</w:t>
            </w:r>
            <w:r w:rsidR="00D63E16" w:rsidRPr="00D63E16">
              <w:rPr>
                <w:rFonts w:ascii="Arial Narrow" w:eastAsiaTheme="majorEastAsia" w:hAnsi="Arial Narrow" w:cstheme="majorBidi" w:hint="eastAsia"/>
                <w:bCs/>
                <w:color w:val="000000"/>
                <w:w w:val="30"/>
                <w:sz w:val="20"/>
                <w:shd w:val="solid" w:color="000000" w:fill="000000"/>
                <w:fitText w:val="137" w:id="-691363062"/>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7</w:t>
            </w:r>
          </w:p>
        </w:tc>
        <w:tc>
          <w:tcPr>
            <w:tcW w:w="1063" w:type="dxa"/>
            <w:vAlign w:val="center"/>
          </w:tcPr>
          <w:p w14:paraId="4FD8A80C" w14:textId="01F1BD10"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D63E16">
              <w:rPr>
                <w:rFonts w:ascii="Arial Narrow" w:eastAsiaTheme="majorEastAsia" w:hAnsi="Arial Narrow" w:cstheme="majorBidi" w:hint="eastAsia"/>
                <w:bCs/>
                <w:color w:val="000000"/>
                <w:w w:val="31"/>
                <w:sz w:val="20"/>
                <w:shd w:val="solid" w:color="000000" w:fill="000000"/>
                <w:fitText w:val="138" w:id="-691363061"/>
                <w14:textFill>
                  <w14:solidFill>
                    <w14:srgbClr w14:val="000000">
                      <w14:alpha w14:val="100000"/>
                    </w14:srgbClr>
                  </w14:solidFill>
                </w14:textFill>
              </w:rPr>
              <w:t xml:space="preserve">　</w:t>
            </w:r>
            <w:r w:rsidR="00D63E16" w:rsidRPr="00D63E16">
              <w:rPr>
                <w:rFonts w:ascii="Arial Narrow" w:eastAsiaTheme="majorEastAsia" w:hAnsi="Arial Narrow" w:cstheme="majorBidi"/>
                <w:bCs/>
                <w:color w:val="000000"/>
                <w:w w:val="31"/>
                <w:sz w:val="20"/>
                <w:shd w:val="solid" w:color="000000" w:fill="000000"/>
                <w:fitText w:val="138" w:id="-691363061"/>
                <w14:textFill>
                  <w14:solidFill>
                    <w14:srgbClr w14:val="000000">
                      <w14:alpha w14:val="100000"/>
                    </w14:srgbClr>
                  </w14:solidFill>
                </w14:textFill>
              </w:rPr>
              <w:t>|</w:t>
            </w:r>
            <w:r w:rsidR="00D63E16" w:rsidRPr="00D63E16">
              <w:rPr>
                <w:rFonts w:ascii="Arial Narrow" w:eastAsiaTheme="majorEastAsia" w:hAnsi="Arial Narrow" w:cstheme="majorBidi" w:hint="eastAsia"/>
                <w:bCs/>
                <w:color w:val="000000"/>
                <w:w w:val="31"/>
                <w:sz w:val="20"/>
                <w:shd w:val="solid" w:color="000000" w:fill="000000"/>
                <w:fitText w:val="138" w:id="-691363061"/>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7</w:t>
            </w:r>
          </w:p>
        </w:tc>
        <w:tc>
          <w:tcPr>
            <w:tcW w:w="1063" w:type="dxa"/>
            <w:vAlign w:val="center"/>
          </w:tcPr>
          <w:p w14:paraId="45B3A582" w14:textId="47803C0F"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D63E16">
              <w:rPr>
                <w:rFonts w:ascii="Arial Narrow" w:eastAsiaTheme="majorEastAsia" w:hAnsi="Arial Narrow" w:cstheme="majorBidi" w:hint="eastAsia"/>
                <w:bCs/>
                <w:color w:val="000000"/>
                <w:w w:val="31"/>
                <w:sz w:val="20"/>
                <w:shd w:val="solid" w:color="000000" w:fill="000000"/>
                <w:fitText w:val="138" w:id="-691363060"/>
                <w14:textFill>
                  <w14:solidFill>
                    <w14:srgbClr w14:val="000000">
                      <w14:alpha w14:val="100000"/>
                    </w14:srgbClr>
                  </w14:solidFill>
                </w14:textFill>
              </w:rPr>
              <w:t xml:space="preserve">　</w:t>
            </w:r>
            <w:r w:rsidR="00D63E16" w:rsidRPr="00D63E16">
              <w:rPr>
                <w:rFonts w:ascii="Arial Narrow" w:eastAsiaTheme="majorEastAsia" w:hAnsi="Arial Narrow" w:cstheme="majorBidi"/>
                <w:bCs/>
                <w:color w:val="000000"/>
                <w:w w:val="31"/>
                <w:sz w:val="20"/>
                <w:shd w:val="solid" w:color="000000" w:fill="000000"/>
                <w:fitText w:val="138" w:id="-691363060"/>
                <w14:textFill>
                  <w14:solidFill>
                    <w14:srgbClr w14:val="000000">
                      <w14:alpha w14:val="100000"/>
                    </w14:srgbClr>
                  </w14:solidFill>
                </w14:textFill>
              </w:rPr>
              <w:t>|</w:t>
            </w:r>
            <w:r w:rsidR="00D63E16" w:rsidRPr="00D63E16">
              <w:rPr>
                <w:rFonts w:ascii="Arial Narrow" w:eastAsiaTheme="majorEastAsia" w:hAnsi="Arial Narrow" w:cstheme="majorBidi" w:hint="eastAsia"/>
                <w:bCs/>
                <w:color w:val="000000"/>
                <w:w w:val="31"/>
                <w:sz w:val="20"/>
                <w:shd w:val="solid" w:color="000000" w:fill="000000"/>
                <w:fitText w:val="138" w:id="-691363060"/>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7</w:t>
            </w:r>
          </w:p>
        </w:tc>
        <w:tc>
          <w:tcPr>
            <w:tcW w:w="1063" w:type="dxa"/>
            <w:vAlign w:val="center"/>
          </w:tcPr>
          <w:p w14:paraId="17E13B34" w14:textId="74143771"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D63E16">
              <w:rPr>
                <w:rFonts w:ascii="Arial Narrow" w:eastAsiaTheme="majorEastAsia" w:hAnsi="Arial Narrow" w:cstheme="majorBidi" w:hint="eastAsia"/>
                <w:bCs/>
                <w:color w:val="000000"/>
                <w:w w:val="31"/>
                <w:sz w:val="20"/>
                <w:shd w:val="solid" w:color="000000" w:fill="000000"/>
                <w:fitText w:val="138" w:id="-691363059"/>
                <w14:textFill>
                  <w14:solidFill>
                    <w14:srgbClr w14:val="000000">
                      <w14:alpha w14:val="100000"/>
                    </w14:srgbClr>
                  </w14:solidFill>
                </w14:textFill>
              </w:rPr>
              <w:t xml:space="preserve">　</w:t>
            </w:r>
            <w:r w:rsidR="00D63E16" w:rsidRPr="00D63E16">
              <w:rPr>
                <w:rFonts w:ascii="Arial Narrow" w:eastAsiaTheme="majorEastAsia" w:hAnsi="Arial Narrow" w:cstheme="majorBidi"/>
                <w:bCs/>
                <w:color w:val="000000"/>
                <w:w w:val="31"/>
                <w:sz w:val="20"/>
                <w:shd w:val="solid" w:color="000000" w:fill="000000"/>
                <w:fitText w:val="138" w:id="-691363059"/>
                <w14:textFill>
                  <w14:solidFill>
                    <w14:srgbClr w14:val="000000">
                      <w14:alpha w14:val="100000"/>
                    </w14:srgbClr>
                  </w14:solidFill>
                </w14:textFill>
              </w:rPr>
              <w:t>|</w:t>
            </w:r>
            <w:r w:rsidR="00D63E16" w:rsidRPr="00D63E16">
              <w:rPr>
                <w:rFonts w:ascii="Arial Narrow" w:eastAsiaTheme="majorEastAsia" w:hAnsi="Arial Narrow" w:cstheme="majorBidi" w:hint="eastAsia"/>
                <w:bCs/>
                <w:color w:val="000000"/>
                <w:w w:val="31"/>
                <w:sz w:val="20"/>
                <w:shd w:val="solid" w:color="000000" w:fill="000000"/>
                <w:fitText w:val="138" w:id="-691363059"/>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7</w:t>
            </w:r>
          </w:p>
        </w:tc>
        <w:tc>
          <w:tcPr>
            <w:tcW w:w="1063" w:type="dxa"/>
            <w:vAlign w:val="center"/>
          </w:tcPr>
          <w:p w14:paraId="36A8FE9A" w14:textId="5A270E5C"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D63E16">
              <w:rPr>
                <w:rFonts w:ascii="Arial Narrow" w:eastAsiaTheme="majorEastAsia" w:hAnsi="Arial Narrow" w:cstheme="majorBidi" w:hint="eastAsia"/>
                <w:bCs/>
                <w:color w:val="000000"/>
                <w:w w:val="31"/>
                <w:sz w:val="20"/>
                <w:shd w:val="solid" w:color="000000" w:fill="000000"/>
                <w:fitText w:val="138" w:id="-691363058"/>
                <w14:textFill>
                  <w14:solidFill>
                    <w14:srgbClr w14:val="000000">
                      <w14:alpha w14:val="100000"/>
                    </w14:srgbClr>
                  </w14:solidFill>
                </w14:textFill>
              </w:rPr>
              <w:t xml:space="preserve">　</w:t>
            </w:r>
            <w:r w:rsidR="00D63E16" w:rsidRPr="00D63E16">
              <w:rPr>
                <w:rFonts w:ascii="Arial Narrow" w:eastAsiaTheme="majorEastAsia" w:hAnsi="Arial Narrow" w:cstheme="majorBidi"/>
                <w:bCs/>
                <w:color w:val="000000"/>
                <w:w w:val="31"/>
                <w:sz w:val="20"/>
                <w:shd w:val="solid" w:color="000000" w:fill="000000"/>
                <w:fitText w:val="138" w:id="-691363058"/>
                <w14:textFill>
                  <w14:solidFill>
                    <w14:srgbClr w14:val="000000">
                      <w14:alpha w14:val="100000"/>
                    </w14:srgbClr>
                  </w14:solidFill>
                </w14:textFill>
              </w:rPr>
              <w:t>|</w:t>
            </w:r>
            <w:r w:rsidR="00D63E16" w:rsidRPr="00D63E16">
              <w:rPr>
                <w:rFonts w:ascii="Arial Narrow" w:eastAsiaTheme="majorEastAsia" w:hAnsi="Arial Narrow" w:cstheme="majorBidi" w:hint="eastAsia"/>
                <w:bCs/>
                <w:color w:val="000000"/>
                <w:w w:val="31"/>
                <w:sz w:val="20"/>
                <w:shd w:val="solid" w:color="000000" w:fill="000000"/>
                <w:fitText w:val="138" w:id="-691363058"/>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7</w:t>
            </w:r>
          </w:p>
        </w:tc>
      </w:tr>
      <w:tr w:rsidR="00732ACF" w:rsidRPr="00732ACF" w14:paraId="1B5A46BC" w14:textId="77777777" w:rsidTr="00BB7A7D">
        <w:tc>
          <w:tcPr>
            <w:tcW w:w="2689" w:type="dxa"/>
            <w:vAlign w:val="center"/>
          </w:tcPr>
          <w:p w14:paraId="7A1A7487" w14:textId="77777777" w:rsidR="00732ACF" w:rsidRPr="00732ACF" w:rsidRDefault="00732ACF" w:rsidP="00873AF3">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Reduced MBS costs for IVIg administration</w:t>
            </w:r>
          </w:p>
        </w:tc>
        <w:tc>
          <w:tcPr>
            <w:tcW w:w="1063" w:type="dxa"/>
            <w:vAlign w:val="center"/>
          </w:tcPr>
          <w:p w14:paraId="63F55D12" w14:textId="798CA0BB"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77"/>
                <w:sz w:val="20"/>
                <w:shd w:val="solid" w:color="000000" w:fill="000000"/>
                <w:fitText w:val="163" w:id="-691363057"/>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1"/>
                <w:sz w:val="20"/>
                <w:shd w:val="solid" w:color="000000" w:fill="000000"/>
                <w:fitText w:val="163" w:id="-691363057"/>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vAlign w:val="center"/>
          </w:tcPr>
          <w:p w14:paraId="57006975" w14:textId="2295128F"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77"/>
                <w:sz w:val="20"/>
                <w:shd w:val="solid" w:color="000000" w:fill="000000"/>
                <w:fitText w:val="163" w:id="-691363056"/>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1"/>
                <w:sz w:val="20"/>
                <w:shd w:val="solid" w:color="000000" w:fill="000000"/>
                <w:fitText w:val="163" w:id="-691363056"/>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vAlign w:val="center"/>
          </w:tcPr>
          <w:p w14:paraId="45DA9940" w14:textId="06F5FF69"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77"/>
                <w:sz w:val="20"/>
                <w:shd w:val="solid" w:color="000000" w:fill="000000"/>
                <w:fitText w:val="163" w:id="-691363072"/>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1"/>
                <w:sz w:val="20"/>
                <w:shd w:val="solid" w:color="000000" w:fill="000000"/>
                <w:fitText w:val="163" w:id="-691363072"/>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vAlign w:val="center"/>
          </w:tcPr>
          <w:p w14:paraId="6E360DBB" w14:textId="210BDE7D"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77"/>
                <w:sz w:val="20"/>
                <w:shd w:val="solid" w:color="000000" w:fill="000000"/>
                <w:fitText w:val="163" w:id="-691363071"/>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1"/>
                <w:sz w:val="20"/>
                <w:shd w:val="solid" w:color="000000" w:fill="000000"/>
                <w:fitText w:val="163" w:id="-691363071"/>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vAlign w:val="center"/>
          </w:tcPr>
          <w:p w14:paraId="2AB9A4D6" w14:textId="32152886"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77"/>
                <w:sz w:val="20"/>
                <w:shd w:val="solid" w:color="000000" w:fill="000000"/>
                <w:fitText w:val="163" w:id="-691363070"/>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1"/>
                <w:sz w:val="20"/>
                <w:shd w:val="solid" w:color="000000" w:fill="000000"/>
                <w:fitText w:val="163" w:id="-691363070"/>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vAlign w:val="center"/>
          </w:tcPr>
          <w:p w14:paraId="2EF580C8" w14:textId="58E91BFA"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77"/>
                <w:sz w:val="20"/>
                <w:shd w:val="solid" w:color="000000" w:fill="000000"/>
                <w:fitText w:val="163" w:id="-691363069"/>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1"/>
                <w:sz w:val="20"/>
                <w:shd w:val="solid" w:color="000000" w:fill="000000"/>
                <w:fitText w:val="163" w:id="-691363069"/>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r>
      <w:tr w:rsidR="00732ACF" w:rsidRPr="00732ACF" w14:paraId="75A1E009" w14:textId="77777777" w:rsidTr="00BB7A7D">
        <w:tc>
          <w:tcPr>
            <w:tcW w:w="2689" w:type="dxa"/>
            <w:vAlign w:val="center"/>
          </w:tcPr>
          <w:p w14:paraId="7158581C" w14:textId="77777777" w:rsidR="00732ACF" w:rsidRPr="00732ACF" w:rsidRDefault="00732ACF" w:rsidP="00873AF3">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Reduced MBS costs for PLEX administration</w:t>
            </w:r>
          </w:p>
        </w:tc>
        <w:tc>
          <w:tcPr>
            <w:tcW w:w="1063" w:type="dxa"/>
            <w:vAlign w:val="center"/>
          </w:tcPr>
          <w:p w14:paraId="653924C1" w14:textId="06391DEC"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77"/>
                <w:sz w:val="20"/>
                <w:shd w:val="solid" w:color="000000" w:fill="000000"/>
                <w:fitText w:val="163" w:id="-691363068"/>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1"/>
                <w:sz w:val="20"/>
                <w:shd w:val="solid" w:color="000000" w:fill="000000"/>
                <w:fitText w:val="163" w:id="-691363068"/>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vAlign w:val="center"/>
          </w:tcPr>
          <w:p w14:paraId="5C43E03F" w14:textId="43EAE0E1"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77"/>
                <w:sz w:val="20"/>
                <w:shd w:val="solid" w:color="000000" w:fill="000000"/>
                <w:fitText w:val="163" w:id="-691363067"/>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1"/>
                <w:sz w:val="20"/>
                <w:shd w:val="solid" w:color="000000" w:fill="000000"/>
                <w:fitText w:val="163" w:id="-691363067"/>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vAlign w:val="center"/>
          </w:tcPr>
          <w:p w14:paraId="32FEAC73" w14:textId="2CD1B91E"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77"/>
                <w:sz w:val="20"/>
                <w:shd w:val="solid" w:color="000000" w:fill="000000"/>
                <w:fitText w:val="163" w:id="-691363066"/>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1"/>
                <w:sz w:val="20"/>
                <w:shd w:val="solid" w:color="000000" w:fill="000000"/>
                <w:fitText w:val="163" w:id="-691363066"/>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vAlign w:val="center"/>
          </w:tcPr>
          <w:p w14:paraId="6F2A9044" w14:textId="3161F9AE"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77"/>
                <w:sz w:val="20"/>
                <w:shd w:val="solid" w:color="000000" w:fill="000000"/>
                <w:fitText w:val="163" w:id="-691363065"/>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1"/>
                <w:sz w:val="20"/>
                <w:shd w:val="solid" w:color="000000" w:fill="000000"/>
                <w:fitText w:val="163" w:id="-691363065"/>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vAlign w:val="center"/>
          </w:tcPr>
          <w:p w14:paraId="4EED6E66" w14:textId="6B97AAFB"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77"/>
                <w:sz w:val="20"/>
                <w:shd w:val="solid" w:color="000000" w:fill="000000"/>
                <w:fitText w:val="163" w:id="-691363064"/>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1"/>
                <w:sz w:val="20"/>
                <w:shd w:val="solid" w:color="000000" w:fill="000000"/>
                <w:fitText w:val="163" w:id="-691363064"/>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vAlign w:val="center"/>
          </w:tcPr>
          <w:p w14:paraId="05B115E7" w14:textId="69826988"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A137D7">
              <w:rPr>
                <w:rFonts w:ascii="Arial Narrow" w:eastAsiaTheme="majorEastAsia" w:hAnsi="Arial Narrow" w:cstheme="majorBidi"/>
                <w:color w:val="000000"/>
                <w:spacing w:val="77"/>
                <w:sz w:val="20"/>
                <w:shd w:val="solid" w:color="000000" w:fill="000000"/>
                <w:fitText w:val="163" w:id="-691363063"/>
                <w14:textFill>
                  <w14:solidFill>
                    <w14:srgbClr w14:val="000000">
                      <w14:alpha w14:val="100000"/>
                    </w14:srgbClr>
                  </w14:solidFill>
                </w14:textFill>
              </w:rPr>
              <w:t>|</w:t>
            </w:r>
            <w:r w:rsidR="00D63E16" w:rsidRPr="00A137D7">
              <w:rPr>
                <w:rFonts w:ascii="Arial Narrow" w:eastAsiaTheme="majorEastAsia" w:hAnsi="Arial Narrow" w:cstheme="majorBidi"/>
                <w:color w:val="000000"/>
                <w:spacing w:val="1"/>
                <w:sz w:val="20"/>
                <w:shd w:val="solid" w:color="000000" w:fill="000000"/>
                <w:fitText w:val="163" w:id="-691363063"/>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r>
      <w:tr w:rsidR="00732ACF" w:rsidRPr="00732ACF" w14:paraId="37B341A2" w14:textId="77777777" w:rsidTr="00BB7A7D">
        <w:tc>
          <w:tcPr>
            <w:tcW w:w="2689" w:type="dxa"/>
            <w:vAlign w:val="center"/>
          </w:tcPr>
          <w:p w14:paraId="5E1C9E0C" w14:textId="77777777" w:rsidR="00732ACF" w:rsidRPr="00732ACF" w:rsidRDefault="00732ACF" w:rsidP="00873AF3">
            <w:pPr>
              <w:keepNext/>
              <w:keepLines/>
              <w:jc w:val="left"/>
              <w:rPr>
                <w:rFonts w:ascii="Arial Narrow" w:eastAsiaTheme="majorEastAsia" w:hAnsi="Arial Narrow" w:cstheme="majorBidi"/>
                <w:b/>
                <w:sz w:val="20"/>
              </w:rPr>
            </w:pPr>
            <w:r w:rsidRPr="00732ACF">
              <w:rPr>
                <w:rFonts w:ascii="Arial Narrow" w:eastAsiaTheme="majorEastAsia" w:hAnsi="Arial Narrow" w:cstheme="majorBidi"/>
                <w:b/>
                <w:sz w:val="20"/>
              </w:rPr>
              <w:t>Net cost to PBS/RPBS/NBA/MBS</w:t>
            </w:r>
          </w:p>
        </w:tc>
        <w:tc>
          <w:tcPr>
            <w:tcW w:w="1063" w:type="dxa"/>
          </w:tcPr>
          <w:p w14:paraId="0AE8180A" w14:textId="44628437"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
                <w:sz w:val="20"/>
              </w:rPr>
              <w:t>$</w:t>
            </w:r>
            <w:r w:rsidR="00D63E16" w:rsidRPr="00A137D7">
              <w:rPr>
                <w:rFonts w:ascii="Arial Narrow" w:eastAsiaTheme="majorEastAsia" w:hAnsi="Arial Narrow" w:cstheme="majorBidi"/>
                <w:b/>
                <w:color w:val="000000"/>
                <w:spacing w:val="108"/>
                <w:sz w:val="20"/>
                <w:shd w:val="solid" w:color="000000" w:fill="000000"/>
                <w:fitText w:val="200" w:id="-691363062"/>
                <w14:textFill>
                  <w14:solidFill>
                    <w14:srgbClr w14:val="000000">
                      <w14:alpha w14:val="100000"/>
                    </w14:srgbClr>
                  </w14:solidFill>
                </w14:textFill>
              </w:rPr>
              <w:t>|</w:t>
            </w:r>
            <w:r w:rsidR="00D63E16" w:rsidRPr="00A137D7">
              <w:rPr>
                <w:rFonts w:ascii="Arial Narrow" w:eastAsiaTheme="majorEastAsia" w:hAnsi="Arial Narrow" w:cstheme="majorBidi"/>
                <w:b/>
                <w:color w:val="000000"/>
                <w:spacing w:val="1"/>
                <w:sz w:val="20"/>
                <w:shd w:val="solid" w:color="000000" w:fill="000000"/>
                <w:fitText w:val="200" w:id="-691363062"/>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8</w:t>
            </w:r>
          </w:p>
        </w:tc>
        <w:tc>
          <w:tcPr>
            <w:tcW w:w="1063" w:type="dxa"/>
          </w:tcPr>
          <w:p w14:paraId="04EEFDC5" w14:textId="5A8C3177"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
                <w:sz w:val="20"/>
              </w:rPr>
              <w:t>$</w:t>
            </w:r>
            <w:r w:rsidR="00D63E16" w:rsidRPr="00A137D7">
              <w:rPr>
                <w:rFonts w:ascii="Arial Narrow" w:eastAsiaTheme="majorEastAsia" w:hAnsi="Arial Narrow" w:cstheme="majorBidi"/>
                <w:b/>
                <w:color w:val="000000"/>
                <w:spacing w:val="109"/>
                <w:sz w:val="20"/>
                <w:shd w:val="solid" w:color="000000" w:fill="000000"/>
                <w:fitText w:val="201" w:id="-691363061"/>
                <w14:textFill>
                  <w14:solidFill>
                    <w14:srgbClr w14:val="000000">
                      <w14:alpha w14:val="100000"/>
                    </w14:srgbClr>
                  </w14:solidFill>
                </w14:textFill>
              </w:rPr>
              <w:t>|</w:t>
            </w:r>
            <w:r w:rsidR="00D63E16" w:rsidRPr="00A137D7">
              <w:rPr>
                <w:rFonts w:ascii="Arial Narrow" w:eastAsiaTheme="majorEastAsia" w:hAnsi="Arial Narrow" w:cstheme="majorBidi"/>
                <w:b/>
                <w:color w:val="000000"/>
                <w:spacing w:val="1"/>
                <w:sz w:val="20"/>
                <w:shd w:val="solid" w:color="000000" w:fill="000000"/>
                <w:fitText w:val="201" w:id="-691363061"/>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8</w:t>
            </w:r>
          </w:p>
        </w:tc>
        <w:tc>
          <w:tcPr>
            <w:tcW w:w="1063" w:type="dxa"/>
          </w:tcPr>
          <w:p w14:paraId="5F8A22A4" w14:textId="10643203"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
                <w:sz w:val="20"/>
              </w:rPr>
              <w:t>$</w:t>
            </w:r>
            <w:r w:rsidR="00D63E16" w:rsidRPr="00A137D7">
              <w:rPr>
                <w:rFonts w:ascii="Arial Narrow" w:eastAsiaTheme="majorEastAsia" w:hAnsi="Arial Narrow" w:cstheme="majorBidi"/>
                <w:b/>
                <w:color w:val="000000"/>
                <w:spacing w:val="108"/>
                <w:sz w:val="20"/>
                <w:shd w:val="solid" w:color="000000" w:fill="000000"/>
                <w:fitText w:val="200" w:id="-691363060"/>
                <w14:textFill>
                  <w14:solidFill>
                    <w14:srgbClr w14:val="000000">
                      <w14:alpha w14:val="100000"/>
                    </w14:srgbClr>
                  </w14:solidFill>
                </w14:textFill>
              </w:rPr>
              <w:t>|</w:t>
            </w:r>
            <w:r w:rsidR="00D63E16" w:rsidRPr="00A137D7">
              <w:rPr>
                <w:rFonts w:ascii="Arial Narrow" w:eastAsiaTheme="majorEastAsia" w:hAnsi="Arial Narrow" w:cstheme="majorBidi"/>
                <w:b/>
                <w:color w:val="000000"/>
                <w:spacing w:val="1"/>
                <w:sz w:val="20"/>
                <w:shd w:val="solid" w:color="000000" w:fill="000000"/>
                <w:fitText w:val="200" w:id="-691363060"/>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8</w:t>
            </w:r>
          </w:p>
        </w:tc>
        <w:tc>
          <w:tcPr>
            <w:tcW w:w="1063" w:type="dxa"/>
          </w:tcPr>
          <w:p w14:paraId="515FD0A2" w14:textId="5B5478AD"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
                <w:sz w:val="20"/>
              </w:rPr>
              <w:t>$</w:t>
            </w:r>
            <w:r w:rsidR="00D63E16" w:rsidRPr="00A137D7">
              <w:rPr>
                <w:rFonts w:ascii="Arial Narrow" w:eastAsiaTheme="majorEastAsia" w:hAnsi="Arial Narrow" w:cstheme="majorBidi"/>
                <w:b/>
                <w:color w:val="000000"/>
                <w:spacing w:val="108"/>
                <w:sz w:val="20"/>
                <w:shd w:val="solid" w:color="000000" w:fill="000000"/>
                <w:fitText w:val="200" w:id="-691363059"/>
                <w14:textFill>
                  <w14:solidFill>
                    <w14:srgbClr w14:val="000000">
                      <w14:alpha w14:val="100000"/>
                    </w14:srgbClr>
                  </w14:solidFill>
                </w14:textFill>
              </w:rPr>
              <w:t>|</w:t>
            </w:r>
            <w:r w:rsidR="00D63E16" w:rsidRPr="00A137D7">
              <w:rPr>
                <w:rFonts w:ascii="Arial Narrow" w:eastAsiaTheme="majorEastAsia" w:hAnsi="Arial Narrow" w:cstheme="majorBidi"/>
                <w:b/>
                <w:color w:val="000000"/>
                <w:spacing w:val="1"/>
                <w:sz w:val="20"/>
                <w:shd w:val="solid" w:color="000000" w:fill="000000"/>
                <w:fitText w:val="200" w:id="-691363059"/>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9</w:t>
            </w:r>
          </w:p>
        </w:tc>
        <w:tc>
          <w:tcPr>
            <w:tcW w:w="1063" w:type="dxa"/>
          </w:tcPr>
          <w:p w14:paraId="63D3B5A2" w14:textId="40B79706"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
                <w:sz w:val="20"/>
              </w:rPr>
              <w:t>$</w:t>
            </w:r>
            <w:r w:rsidR="00D63E16" w:rsidRPr="00A137D7">
              <w:rPr>
                <w:rFonts w:ascii="Arial Narrow" w:eastAsiaTheme="majorEastAsia" w:hAnsi="Arial Narrow" w:cstheme="majorBidi"/>
                <w:b/>
                <w:color w:val="000000"/>
                <w:spacing w:val="109"/>
                <w:sz w:val="20"/>
                <w:shd w:val="solid" w:color="000000" w:fill="000000"/>
                <w:fitText w:val="201" w:id="-691363058"/>
                <w14:textFill>
                  <w14:solidFill>
                    <w14:srgbClr w14:val="000000">
                      <w14:alpha w14:val="100000"/>
                    </w14:srgbClr>
                  </w14:solidFill>
                </w14:textFill>
              </w:rPr>
              <w:t>|</w:t>
            </w:r>
            <w:r w:rsidR="00D63E16" w:rsidRPr="00A137D7">
              <w:rPr>
                <w:rFonts w:ascii="Arial Narrow" w:eastAsiaTheme="majorEastAsia" w:hAnsi="Arial Narrow" w:cstheme="majorBidi"/>
                <w:b/>
                <w:color w:val="000000"/>
                <w:spacing w:val="1"/>
                <w:sz w:val="20"/>
                <w:shd w:val="solid" w:color="000000" w:fill="000000"/>
                <w:fitText w:val="201" w:id="-691363058"/>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9</w:t>
            </w:r>
          </w:p>
        </w:tc>
        <w:tc>
          <w:tcPr>
            <w:tcW w:w="1063" w:type="dxa"/>
          </w:tcPr>
          <w:p w14:paraId="4BEBFF70" w14:textId="42248659" w:rsidR="00732ACF" w:rsidRPr="00732ACF" w:rsidRDefault="00732ACF" w:rsidP="00873AF3">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
                <w:sz w:val="20"/>
              </w:rPr>
              <w:t>$</w:t>
            </w:r>
            <w:r w:rsidR="00D63E16" w:rsidRPr="00A137D7">
              <w:rPr>
                <w:rFonts w:ascii="Arial Narrow" w:eastAsiaTheme="majorEastAsia" w:hAnsi="Arial Narrow" w:cstheme="majorBidi"/>
                <w:b/>
                <w:color w:val="000000"/>
                <w:spacing w:val="108"/>
                <w:sz w:val="20"/>
                <w:shd w:val="solid" w:color="000000" w:fill="000000"/>
                <w:fitText w:val="200" w:id="-691363057"/>
                <w14:textFill>
                  <w14:solidFill>
                    <w14:srgbClr w14:val="000000">
                      <w14:alpha w14:val="100000"/>
                    </w14:srgbClr>
                  </w14:solidFill>
                </w14:textFill>
              </w:rPr>
              <w:t>|</w:t>
            </w:r>
            <w:r w:rsidR="00D63E16" w:rsidRPr="00A137D7">
              <w:rPr>
                <w:rFonts w:ascii="Arial Narrow" w:eastAsiaTheme="majorEastAsia" w:hAnsi="Arial Narrow" w:cstheme="majorBidi"/>
                <w:b/>
                <w:color w:val="000000"/>
                <w:spacing w:val="1"/>
                <w:sz w:val="20"/>
                <w:shd w:val="solid" w:color="000000" w:fill="000000"/>
                <w:fitText w:val="200" w:id="-691363057"/>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9</w:t>
            </w:r>
          </w:p>
        </w:tc>
      </w:tr>
    </w:tbl>
    <w:p w14:paraId="72E9A470" w14:textId="77777777" w:rsidR="00732ACF" w:rsidRPr="00732ACF" w:rsidRDefault="00732ACF" w:rsidP="00873AF3">
      <w:pPr>
        <w:keepNext/>
        <w:keepLines/>
        <w:spacing w:after="120"/>
        <w:contextualSpacing/>
        <w:rPr>
          <w:rFonts w:ascii="Arial Narrow" w:hAnsi="Arial Narrow"/>
          <w:snapToGrid w:val="0"/>
          <w:sz w:val="18"/>
          <w:szCs w:val="22"/>
        </w:rPr>
      </w:pPr>
      <w:r w:rsidRPr="00732ACF">
        <w:rPr>
          <w:rFonts w:ascii="Arial Narrow" w:hAnsi="Arial Narrow"/>
          <w:snapToGrid w:val="0"/>
          <w:sz w:val="18"/>
          <w:szCs w:val="22"/>
        </w:rPr>
        <w:t>Source: Table 4.2-1, p196; Table 4.2-2, p196; Table 4.2-3, p167; Table 4.2-5, p198; Table 4.2-6, p198; Table 4.2-8, p199; Table 4.5-2, p201; Table 4.5-3, p202; Table 4.5-4, p202 of the submission ‘Rystiggo (Rozanolixizumab) - gMG – UCM’ Excel workbook</w:t>
      </w:r>
    </w:p>
    <w:p w14:paraId="08564C8F" w14:textId="77777777" w:rsidR="00732ACF" w:rsidRPr="00732ACF" w:rsidRDefault="00732ACF" w:rsidP="00873AF3">
      <w:pPr>
        <w:keepNext/>
        <w:keepLines/>
        <w:spacing w:after="120"/>
        <w:contextualSpacing/>
        <w:rPr>
          <w:rFonts w:ascii="Arial Narrow" w:hAnsi="Arial Narrow"/>
          <w:snapToGrid w:val="0"/>
          <w:sz w:val="18"/>
          <w:szCs w:val="22"/>
        </w:rPr>
      </w:pPr>
      <w:r w:rsidRPr="00732ACF">
        <w:rPr>
          <w:rFonts w:ascii="Arial Narrow" w:hAnsi="Arial Narrow"/>
          <w:snapToGrid w:val="0"/>
          <w:sz w:val="18"/>
          <w:szCs w:val="22"/>
        </w:rPr>
        <w:t>Abbreviations: IVIg, intravenous immunoglobulin; MG, myasthenia gravis; NBA, National Blood Authority; PBS, Pharmaceutical Benefits Scheme; PLEX, plasma exchange RPBS, Repatriation Pharmaceutical Benefits Scheme.</w:t>
      </w:r>
    </w:p>
    <w:p w14:paraId="71C3C4C4" w14:textId="77777777" w:rsidR="00732ACF" w:rsidRPr="00732ACF" w:rsidRDefault="00732ACF" w:rsidP="00873AF3">
      <w:pPr>
        <w:keepNext/>
        <w:keepLines/>
        <w:spacing w:after="120"/>
        <w:contextualSpacing/>
        <w:rPr>
          <w:rFonts w:ascii="Arial Narrow" w:hAnsi="Arial Narrow"/>
          <w:snapToGrid w:val="0"/>
          <w:sz w:val="18"/>
          <w:szCs w:val="22"/>
        </w:rPr>
      </w:pPr>
      <w:r w:rsidRPr="00732ACF">
        <w:rPr>
          <w:rFonts w:ascii="Arial Narrow" w:hAnsi="Arial Narrow"/>
          <w:snapToGrid w:val="0"/>
          <w:sz w:val="18"/>
          <w:szCs w:val="22"/>
          <w:vertAlign w:val="superscript"/>
        </w:rPr>
        <w:t xml:space="preserve">a </w:t>
      </w:r>
      <w:r w:rsidRPr="00732ACF">
        <w:rPr>
          <w:rFonts w:ascii="Arial Narrow" w:hAnsi="Arial Narrow"/>
          <w:snapToGrid w:val="0"/>
          <w:sz w:val="18"/>
          <w:szCs w:val="22"/>
        </w:rPr>
        <w:t xml:space="preserve">Based on an average </w:t>
      </w:r>
      <w:r w:rsidRPr="00303836">
        <w:rPr>
          <w:rFonts w:ascii="Arial Narrow" w:hAnsi="Arial Narrow"/>
          <w:snapToGrid w:val="0"/>
          <w:sz w:val="18"/>
          <w:szCs w:val="22"/>
        </w:rPr>
        <w:t>of 11.04 vials</w:t>
      </w:r>
      <w:r w:rsidRPr="00732ACF">
        <w:rPr>
          <w:rFonts w:ascii="Arial Narrow" w:hAnsi="Arial Narrow"/>
          <w:snapToGrid w:val="0"/>
          <w:sz w:val="18"/>
          <w:szCs w:val="22"/>
        </w:rPr>
        <w:t xml:space="preserve"> per script</w:t>
      </w:r>
    </w:p>
    <w:p w14:paraId="18AE84CA" w14:textId="7B0FABCE" w:rsidR="00CB3923" w:rsidRDefault="00732ACF" w:rsidP="00873AF3">
      <w:pPr>
        <w:keepNext/>
        <w:keepLines/>
        <w:spacing w:after="120"/>
        <w:contextualSpacing/>
        <w:rPr>
          <w:rFonts w:ascii="Arial Narrow" w:hAnsi="Arial Narrow"/>
          <w:snapToGrid w:val="0"/>
          <w:sz w:val="18"/>
          <w:szCs w:val="22"/>
        </w:rPr>
      </w:pPr>
      <w:r w:rsidRPr="00732ACF">
        <w:rPr>
          <w:rFonts w:ascii="Arial Narrow" w:hAnsi="Arial Narrow"/>
          <w:snapToGrid w:val="0"/>
          <w:sz w:val="18"/>
          <w:szCs w:val="22"/>
          <w:vertAlign w:val="superscript"/>
        </w:rPr>
        <w:t xml:space="preserve">b </w:t>
      </w:r>
      <w:r w:rsidRPr="00732ACF">
        <w:rPr>
          <w:rFonts w:ascii="Arial Narrow" w:hAnsi="Arial Narrow"/>
          <w:snapToGrid w:val="0"/>
          <w:sz w:val="18"/>
          <w:szCs w:val="22"/>
        </w:rPr>
        <w:t xml:space="preserve">The sponsor proposed to fund a home administration program for the first </w:t>
      </w:r>
      <w:r w:rsidR="00D63E16" w:rsidRPr="00A91274">
        <w:rPr>
          <w:rFonts w:ascii="Arial Narrow" w:hAnsi="Arial Narrow"/>
          <w:snapToGrid w:val="0"/>
          <w:color w:val="000000"/>
          <w:spacing w:val="81"/>
          <w:sz w:val="18"/>
          <w:szCs w:val="22"/>
          <w:shd w:val="solid" w:color="000000" w:fill="000000"/>
          <w:fitText w:val="280" w:id="-691363056"/>
          <w14:textFill>
            <w14:solidFill>
              <w14:srgbClr w14:val="000000">
                <w14:alpha w14:val="100000"/>
              </w14:srgbClr>
            </w14:solidFill>
          </w14:textFill>
        </w:rPr>
        <w:t>|</w:t>
      </w:r>
      <w:r w:rsidR="00A91274" w:rsidRPr="00A91274">
        <w:rPr>
          <w:rFonts w:ascii="Arial Narrow" w:hAnsi="Arial Narrow"/>
          <w:snapToGrid w:val="0"/>
          <w:color w:val="000000"/>
          <w:spacing w:val="81"/>
          <w:sz w:val="18"/>
          <w:szCs w:val="22"/>
          <w:shd w:val="solid" w:color="000000" w:fill="000000"/>
          <w:fitText w:val="280" w:id="-691363056"/>
          <w14:textFill>
            <w14:solidFill>
              <w14:srgbClr w14:val="000000">
                <w14:alpha w14:val="100000"/>
              </w14:srgbClr>
            </w14:solidFill>
          </w14:textFill>
        </w:rPr>
        <w:t xml:space="preserve"> </w:t>
      </w:r>
      <w:r w:rsidR="00D63E16" w:rsidRPr="00A91274">
        <w:rPr>
          <w:rFonts w:ascii="Arial Narrow" w:hAnsi="Arial Narrow"/>
          <w:snapToGrid w:val="0"/>
          <w:color w:val="000000"/>
          <w:spacing w:val="1"/>
          <w:sz w:val="18"/>
          <w:szCs w:val="22"/>
          <w:shd w:val="solid" w:color="000000" w:fill="000000"/>
          <w:fitText w:val="280" w:id="-691363056"/>
          <w14:textFill>
            <w14:solidFill>
              <w14:srgbClr w14:val="000000">
                <w14:alpha w14:val="100000"/>
              </w14:srgbClr>
            </w14:solidFill>
          </w14:textFill>
        </w:rPr>
        <w:t>|</w:t>
      </w:r>
      <w:r w:rsidRPr="00303836">
        <w:rPr>
          <w:rFonts w:ascii="Arial Narrow" w:hAnsi="Arial Narrow"/>
          <w:snapToGrid w:val="0"/>
          <w:sz w:val="18"/>
          <w:szCs w:val="22"/>
        </w:rPr>
        <w:t xml:space="preserve"> month </w:t>
      </w:r>
      <w:r w:rsidRPr="00732ACF">
        <w:rPr>
          <w:rFonts w:ascii="Arial Narrow" w:hAnsi="Arial Narrow"/>
          <w:snapToGrid w:val="0"/>
          <w:sz w:val="18"/>
          <w:szCs w:val="22"/>
        </w:rPr>
        <w:t>of use for each patient</w:t>
      </w:r>
      <w:r w:rsidR="0056064F">
        <w:rPr>
          <w:rFonts w:ascii="Arial Narrow" w:hAnsi="Arial Narrow"/>
          <w:snapToGrid w:val="0"/>
          <w:sz w:val="18"/>
          <w:szCs w:val="22"/>
        </w:rPr>
        <w:t>.</w:t>
      </w:r>
    </w:p>
    <w:p w14:paraId="07D24E8C" w14:textId="77777777" w:rsidR="00C81F86" w:rsidRPr="009A6D58" w:rsidRDefault="00C81F86" w:rsidP="00873AF3">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A1BF534" w14:textId="7CBE8835" w:rsidR="00C81F86" w:rsidRPr="009A6D58" w:rsidRDefault="00C81F86" w:rsidP="00873AF3">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C81F86">
        <w:rPr>
          <w:rFonts w:ascii="Arial Narrow" w:hAnsi="Arial Narrow"/>
          <w:i/>
          <w:sz w:val="18"/>
          <w:szCs w:val="18"/>
        </w:rPr>
        <w:t>5,000 to &lt; 10,000</w:t>
      </w:r>
    </w:p>
    <w:p w14:paraId="0D9A830B" w14:textId="276F1CE4" w:rsidR="00C81F86" w:rsidRPr="009A6D58" w:rsidRDefault="00C81F86" w:rsidP="00873AF3">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C81F86">
        <w:rPr>
          <w:rFonts w:ascii="Arial Narrow" w:hAnsi="Arial Narrow"/>
          <w:i/>
          <w:sz w:val="18"/>
          <w:szCs w:val="18"/>
        </w:rPr>
        <w:t>500 to &lt; 5,000</w:t>
      </w:r>
    </w:p>
    <w:p w14:paraId="7BA1E47B" w14:textId="74B5A615" w:rsidR="00C81F86" w:rsidRDefault="00C81F86" w:rsidP="00873AF3">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C81F86">
        <w:rPr>
          <w:rFonts w:ascii="Arial Narrow" w:hAnsi="Arial Narrow"/>
          <w:i/>
          <w:sz w:val="18"/>
          <w:szCs w:val="18"/>
        </w:rPr>
        <w:t>$50 million to &lt; $60 million</w:t>
      </w:r>
    </w:p>
    <w:p w14:paraId="0CC73853" w14:textId="69014B20" w:rsidR="00C81F86" w:rsidRDefault="00C81F86" w:rsidP="00873AF3">
      <w:pPr>
        <w:keepNext/>
        <w:keepLines/>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C81F86">
        <w:rPr>
          <w:rFonts w:ascii="Arial Narrow" w:hAnsi="Arial Narrow"/>
          <w:i/>
          <w:sz w:val="18"/>
          <w:szCs w:val="18"/>
        </w:rPr>
        <w:t>$40 million to &lt; $50 million</w:t>
      </w:r>
    </w:p>
    <w:p w14:paraId="51C88285" w14:textId="6F9D18A3" w:rsidR="00C81F86" w:rsidRDefault="00C81F86" w:rsidP="00873AF3">
      <w:pPr>
        <w:keepNext/>
        <w:keepLines/>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C81F86">
        <w:rPr>
          <w:rFonts w:ascii="Arial Narrow" w:hAnsi="Arial Narrow"/>
          <w:i/>
          <w:sz w:val="18"/>
          <w:szCs w:val="18"/>
        </w:rPr>
        <w:t>$60 million to &lt; $70 million</w:t>
      </w:r>
    </w:p>
    <w:p w14:paraId="14441544" w14:textId="3C08672F" w:rsidR="00C81F86" w:rsidRDefault="00C81F86" w:rsidP="00873AF3">
      <w:pPr>
        <w:keepNext/>
        <w:keepLines/>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C81F86">
        <w:rPr>
          <w:rFonts w:ascii="Arial Narrow" w:hAnsi="Arial Narrow"/>
          <w:i/>
          <w:sz w:val="18"/>
          <w:szCs w:val="18"/>
        </w:rPr>
        <w:t>net cost saving</w:t>
      </w:r>
    </w:p>
    <w:p w14:paraId="12F0893A" w14:textId="62359161" w:rsidR="00C81F86" w:rsidRPr="009A6D58" w:rsidRDefault="00C81F86" w:rsidP="00873AF3">
      <w:pPr>
        <w:keepNext/>
        <w:keepLines/>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C81F86">
        <w:rPr>
          <w:rFonts w:ascii="Arial Narrow" w:hAnsi="Arial Narrow"/>
          <w:i/>
          <w:sz w:val="18"/>
          <w:szCs w:val="18"/>
        </w:rPr>
        <w:t>$0 to &lt; $10 million</w:t>
      </w:r>
    </w:p>
    <w:p w14:paraId="30CD4067" w14:textId="4F411D43" w:rsidR="00C81F86" w:rsidRPr="009A6D58" w:rsidRDefault="00C81F86" w:rsidP="00873AF3">
      <w:pPr>
        <w:keepNext/>
        <w:keepLines/>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C81F86">
        <w:rPr>
          <w:rFonts w:ascii="Arial Narrow" w:hAnsi="Arial Narrow"/>
          <w:i/>
          <w:sz w:val="18"/>
          <w:szCs w:val="18"/>
        </w:rPr>
        <w:t>$20 million to &lt; $30 million</w:t>
      </w:r>
    </w:p>
    <w:p w14:paraId="39F80AD9" w14:textId="4ECB9FFB" w:rsidR="00C81F86" w:rsidRPr="00C81F86" w:rsidRDefault="00C81F86" w:rsidP="00873AF3">
      <w:pPr>
        <w:keepNext/>
        <w:keepLines/>
        <w:spacing w:after="120"/>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Pr="00C81F86">
        <w:rPr>
          <w:rFonts w:ascii="Arial Narrow" w:hAnsi="Arial Narrow"/>
          <w:i/>
          <w:sz w:val="18"/>
          <w:szCs w:val="18"/>
        </w:rPr>
        <w:t>$30 million to &lt; $40 million</w:t>
      </w:r>
    </w:p>
    <w:p w14:paraId="7A341950" w14:textId="5321AF6D" w:rsidR="00CB3923" w:rsidRPr="008C3365" w:rsidRDefault="00CB3923" w:rsidP="00873AF3">
      <w:pPr>
        <w:pStyle w:val="COMexecsummnumbered"/>
        <w:rPr>
          <w:lang w:val="en-GB"/>
        </w:rPr>
      </w:pPr>
      <w:r w:rsidRPr="008C3365">
        <w:rPr>
          <w:lang w:val="en-GB"/>
        </w:rPr>
        <w:t xml:space="preserve">The </w:t>
      </w:r>
      <w:r w:rsidR="00FF48BC">
        <w:rPr>
          <w:lang w:val="en-GB"/>
        </w:rPr>
        <w:t xml:space="preserve">submission </w:t>
      </w:r>
      <w:r w:rsidRPr="008C3365">
        <w:rPr>
          <w:lang w:val="en-GB"/>
        </w:rPr>
        <w:t>estimated</w:t>
      </w:r>
      <w:r w:rsidR="00FF48BC">
        <w:rPr>
          <w:lang w:val="en-GB"/>
        </w:rPr>
        <w:t xml:space="preserve"> the</w:t>
      </w:r>
      <w:r w:rsidRPr="008C3365">
        <w:rPr>
          <w:lang w:val="en-GB"/>
        </w:rPr>
        <w:t xml:space="preserve"> net cost to the PBS/RPBS of listing rozanolixizumab as a bridging therapy for generalised myasthenia gravis </w:t>
      </w:r>
      <w:r w:rsidR="00FF48BC">
        <w:rPr>
          <w:lang w:val="en-GB"/>
        </w:rPr>
        <w:t>would be</w:t>
      </w:r>
      <w:r w:rsidR="00FF48BC" w:rsidRPr="008C3365">
        <w:rPr>
          <w:lang w:val="en-GB"/>
        </w:rPr>
        <w:t xml:space="preserve"> </w:t>
      </w:r>
      <w:r w:rsidR="00C81F86" w:rsidRPr="00C81F86">
        <w:t>$50 million to</w:t>
      </w:r>
      <w:r w:rsidR="00C045E9">
        <w:t xml:space="preserve"> </w:t>
      </w:r>
      <w:r w:rsidR="00C81F86" w:rsidRPr="00C81F86">
        <w:t>&lt; $60 million</w:t>
      </w:r>
      <w:r w:rsidR="00C81F86" w:rsidRPr="00C81F86" w:rsidDel="00C81F86">
        <w:rPr>
          <w:lang w:val="en-GB"/>
        </w:rPr>
        <w:t xml:space="preserve"> </w:t>
      </w:r>
      <w:r w:rsidRPr="008C3365">
        <w:rPr>
          <w:lang w:val="en-GB"/>
        </w:rPr>
        <w:t xml:space="preserve">in Year 1, increasing to </w:t>
      </w:r>
      <w:r w:rsidR="00C045E9" w:rsidRPr="00C045E9">
        <w:t>$60 million to &lt; $70 million</w:t>
      </w:r>
      <w:r w:rsidR="00C045E9" w:rsidRPr="00C045E9" w:rsidDel="00C045E9">
        <w:rPr>
          <w:lang w:val="en-GB"/>
        </w:rPr>
        <w:t xml:space="preserve"> </w:t>
      </w:r>
      <w:r w:rsidRPr="008C3365">
        <w:rPr>
          <w:lang w:val="en-GB"/>
        </w:rPr>
        <w:t>in Year</w:t>
      </w:r>
      <w:r w:rsidR="00C045E9">
        <w:rPr>
          <w:lang w:val="en-GB"/>
        </w:rPr>
        <w:t> </w:t>
      </w:r>
      <w:r w:rsidRPr="008C3365">
        <w:rPr>
          <w:lang w:val="en-GB"/>
        </w:rPr>
        <w:t xml:space="preserve">6, a total cost of </w:t>
      </w:r>
      <w:r w:rsidR="00C045E9" w:rsidRPr="00C045E9">
        <w:t>$300 million to &lt; $400 million</w:t>
      </w:r>
      <w:r w:rsidR="00C045E9" w:rsidRPr="00C045E9" w:rsidDel="00C045E9">
        <w:rPr>
          <w:lang w:val="en-GB"/>
        </w:rPr>
        <w:t xml:space="preserve"> </w:t>
      </w:r>
      <w:r w:rsidRPr="008C3365">
        <w:rPr>
          <w:lang w:val="en-GB"/>
        </w:rPr>
        <w:t>over the first six years of listing.</w:t>
      </w:r>
    </w:p>
    <w:p w14:paraId="49A82AA1" w14:textId="4E53D9F7" w:rsidR="00CB3923" w:rsidRPr="008C3365" w:rsidRDefault="00CB3923" w:rsidP="00873AF3">
      <w:pPr>
        <w:pStyle w:val="COMexecsummnumbered"/>
        <w:rPr>
          <w:lang w:val="en-GB"/>
        </w:rPr>
      </w:pPr>
      <w:r w:rsidRPr="00732ACF">
        <w:t xml:space="preserve">The </w:t>
      </w:r>
      <w:r w:rsidR="00FF48BC">
        <w:t xml:space="preserve">submission </w:t>
      </w:r>
      <w:r w:rsidRPr="00732ACF">
        <w:t xml:space="preserve">estimated </w:t>
      </w:r>
      <w:r w:rsidR="00FF48BC">
        <w:t>the</w:t>
      </w:r>
      <w:r w:rsidRPr="00732ACF">
        <w:t xml:space="preserve"> net cost to the PBS/RPBS/NBA/MBS </w:t>
      </w:r>
      <w:r w:rsidR="00FF48BC">
        <w:t>would be</w:t>
      </w:r>
      <w:r w:rsidR="00FF48BC" w:rsidRPr="00732ACF">
        <w:t xml:space="preserve"> </w:t>
      </w:r>
      <w:r w:rsidR="00C045E9" w:rsidRPr="00C045E9">
        <w:t>$20 million to &lt; $30 million</w:t>
      </w:r>
      <w:r w:rsidR="00C045E9" w:rsidRPr="00C045E9" w:rsidDel="00C045E9">
        <w:t xml:space="preserve"> </w:t>
      </w:r>
      <w:r w:rsidRPr="00732ACF">
        <w:t xml:space="preserve">in Year 1, increasing to </w:t>
      </w:r>
      <w:r w:rsidR="00C045E9" w:rsidRPr="00C045E9">
        <w:t>$30 million to &lt; $40 million</w:t>
      </w:r>
      <w:r w:rsidR="00C045E9" w:rsidRPr="00C045E9" w:rsidDel="00C045E9">
        <w:t xml:space="preserve"> </w:t>
      </w:r>
      <w:r w:rsidRPr="00732ACF">
        <w:t>in Year</w:t>
      </w:r>
      <w:r w:rsidR="00C045E9">
        <w:t> </w:t>
      </w:r>
      <w:r w:rsidRPr="00732ACF">
        <w:t xml:space="preserve">6, a total cost of </w:t>
      </w:r>
      <w:r w:rsidR="00C045E9" w:rsidRPr="00C045E9">
        <w:t>$100 million to &lt; $200 million</w:t>
      </w:r>
      <w:r w:rsidR="00C045E9" w:rsidRPr="00C045E9" w:rsidDel="00C045E9">
        <w:t xml:space="preserve"> </w:t>
      </w:r>
      <w:r w:rsidRPr="00732ACF">
        <w:t>over the first six years of listing.</w:t>
      </w:r>
    </w:p>
    <w:p w14:paraId="172E9875" w14:textId="40AD8DF0" w:rsidR="00CB3923" w:rsidRPr="008C3365" w:rsidRDefault="00CB3923" w:rsidP="00873AF3">
      <w:pPr>
        <w:pStyle w:val="COMexecsummnumbered"/>
        <w:rPr>
          <w:lang w:val="en-GB"/>
        </w:rPr>
      </w:pPr>
      <w:r w:rsidRPr="00732ACF">
        <w:t xml:space="preserve">The main drivers of the increased cost to government were the requested </w:t>
      </w:r>
      <w:r w:rsidR="00D63E16" w:rsidRPr="004030DB">
        <w:rPr>
          <w:color w:val="000000"/>
          <w:spacing w:val="6"/>
          <w:w w:val="62"/>
          <w:shd w:val="solid" w:color="000000" w:fill="000000"/>
          <w:fitText w:val="480" w:id="-691363072"/>
          <w14:textFill>
            <w14:solidFill>
              <w14:srgbClr w14:val="000000">
                <w14:alpha w14:val="100000"/>
              </w14:srgbClr>
            </w14:solidFill>
          </w14:textFill>
        </w:rPr>
        <w:t>|||</w:t>
      </w:r>
      <w:r w:rsidR="00A91274" w:rsidRPr="004030DB">
        <w:rPr>
          <w:color w:val="000000"/>
          <w:spacing w:val="6"/>
          <w:w w:val="62"/>
          <w:shd w:val="solid" w:color="000000" w:fill="000000"/>
          <w:fitText w:val="480" w:id="-691363072"/>
          <w14:textFill>
            <w14:solidFill>
              <w14:srgbClr w14:val="000000">
                <w14:alpha w14:val="100000"/>
              </w14:srgbClr>
            </w14:solidFill>
          </w14:textFill>
        </w:rPr>
        <w:t xml:space="preserve"> </w:t>
      </w:r>
      <w:r w:rsidR="00D63E16" w:rsidRPr="004030DB">
        <w:rPr>
          <w:color w:val="000000"/>
          <w:spacing w:val="6"/>
          <w:w w:val="62"/>
          <w:shd w:val="solid" w:color="000000" w:fill="000000"/>
          <w:fitText w:val="480" w:id="-691363072"/>
          <w14:textFill>
            <w14:solidFill>
              <w14:srgbClr w14:val="000000">
                <w14:alpha w14:val="100000"/>
              </w14:srgbClr>
            </w14:solidFill>
          </w14:textFill>
        </w:rPr>
        <w:t>|||</w:t>
      </w:r>
      <w:r w:rsidRPr="00732ACF">
        <w:t>% price premium for rozanolixizumab and the application of treatment response criteria to chronic IVIg/PLEX but not rozanolixizumab (consistent with the proposed restriction).</w:t>
      </w:r>
    </w:p>
    <w:p w14:paraId="246810EE" w14:textId="2399646D" w:rsidR="00CB3923" w:rsidRPr="008C3365" w:rsidRDefault="00FF48BC" w:rsidP="00873AF3">
      <w:pPr>
        <w:pStyle w:val="COMexecsummnumbered"/>
      </w:pPr>
      <w:r>
        <w:t>DUSC considered the submission’s</w:t>
      </w:r>
      <w:r w:rsidR="00CB3923" w:rsidRPr="008C3365">
        <w:t xml:space="preserve"> estimated cost to government was </w:t>
      </w:r>
      <w:r>
        <w:t>underestimated. DUSC commented that</w:t>
      </w:r>
      <w:r w:rsidR="00CB3923" w:rsidRPr="008C3365">
        <w:t>:</w:t>
      </w:r>
    </w:p>
    <w:p w14:paraId="12DF9FA4" w14:textId="77777777" w:rsidR="00FF48BC" w:rsidRDefault="00FF48BC" w:rsidP="00873AF3">
      <w:pPr>
        <w:pStyle w:val="COMexecsummbulletlist"/>
        <w:ind w:left="1134"/>
      </w:pPr>
      <w:r>
        <w:t>the estimates were highly sensitive to assumptions for market share and prevalence.</w:t>
      </w:r>
    </w:p>
    <w:p w14:paraId="27FC14EC" w14:textId="77777777" w:rsidR="00FF48BC" w:rsidRDefault="00FF48BC" w:rsidP="00873AF3">
      <w:pPr>
        <w:pStyle w:val="COMexecsummbulletlist"/>
        <w:ind w:left="1134"/>
      </w:pPr>
      <w:r>
        <w:t>prevalence is highly uncertain, DUSC considered the submission’s estimate was low (22.4 per 100,000 persons) given the prevalence estimate is higher when based on studies published in the last five years (27.9 per 100,000 persons).</w:t>
      </w:r>
    </w:p>
    <w:p w14:paraId="0CBB6583" w14:textId="77777777" w:rsidR="00FF48BC" w:rsidRDefault="00FF48BC" w:rsidP="00873AF3">
      <w:pPr>
        <w:pStyle w:val="COMexecsummbulletlist"/>
        <w:ind w:left="1134"/>
      </w:pPr>
      <w:r>
        <w:t>the use of all Australian Bureau of Statistics (ABS) populations, rather than restricting the population group to 18+ years inflated the estimates.</w:t>
      </w:r>
    </w:p>
    <w:p w14:paraId="0C31FE2A" w14:textId="77777777" w:rsidR="00FF48BC" w:rsidRDefault="00FF48BC" w:rsidP="00873AF3">
      <w:pPr>
        <w:pStyle w:val="COMexecsummbulletlist"/>
        <w:ind w:left="1134"/>
      </w:pPr>
      <w:r>
        <w:t xml:space="preserve">the percentage of patients requiring rozanolixizumab as bridging therapy is likely to be lower than the 100% estimated. </w:t>
      </w:r>
    </w:p>
    <w:p w14:paraId="74F0497D" w14:textId="77777777" w:rsidR="00FF48BC" w:rsidRDefault="00FF48BC" w:rsidP="00873AF3">
      <w:pPr>
        <w:pStyle w:val="COMexecsummbulletlist"/>
        <w:ind w:left="1134"/>
      </w:pPr>
      <w:r>
        <w:t>the proportion of AChR-positive gMG patients with MGC score ≥4 estimate is low as it is based on a broader gMG population. DUSC considered that more reliable estimates may be available from the MGBase registry.</w:t>
      </w:r>
    </w:p>
    <w:p w14:paraId="1F92C0A9" w14:textId="35B984BE" w:rsidR="00FF48BC" w:rsidRPr="008C3365" w:rsidRDefault="00FF48BC" w:rsidP="00873AF3">
      <w:pPr>
        <w:pStyle w:val="COMexecsummbulletlist"/>
        <w:ind w:left="1134"/>
      </w:pPr>
      <w:r>
        <w:t>Changes to the restrictions could reduce therapy utilisation</w:t>
      </w:r>
      <w:r w:rsidR="004C5675">
        <w:t>.</w:t>
      </w:r>
    </w:p>
    <w:p w14:paraId="6E1510EE" w14:textId="7083CEB5" w:rsidR="00A1311D" w:rsidRPr="008C3365" w:rsidRDefault="00FF48BC" w:rsidP="00873AF3">
      <w:pPr>
        <w:pStyle w:val="COMexecsummnumbered"/>
        <w:rPr>
          <w:lang w:val="en-GB"/>
        </w:rPr>
      </w:pPr>
      <w:r>
        <w:t>The evaluation considered that it was</w:t>
      </w:r>
      <w:r w:rsidR="00D236BC" w:rsidRPr="00732ACF">
        <w:t xml:space="preserve"> unclear whether the treatment patterns (number of cycles, number of infusions per cycles) reported for rozanolixizumab over a median duration of one year in the clinical studies would be representative of treatment patterns in clinical practice over the longer-term.</w:t>
      </w:r>
    </w:p>
    <w:p w14:paraId="0F348A20" w14:textId="77777777" w:rsidR="0093439C" w:rsidRDefault="007F718E" w:rsidP="00873AF3">
      <w:pPr>
        <w:pStyle w:val="COMexecsummnumbered"/>
        <w:rPr>
          <w:lang w:val="en-GB"/>
        </w:rPr>
      </w:pPr>
      <w:r w:rsidRPr="007F718E">
        <w:rPr>
          <w:lang w:val="en-GB"/>
        </w:rPr>
        <w:t xml:space="preserve">As outlined in Section 7, the ESC considered that the use of IVIg as maintenance therapy, from the NBA data, may be a more appropriate starting point to estimate the use of new gMG therapies. </w:t>
      </w:r>
    </w:p>
    <w:p w14:paraId="51B51987" w14:textId="56D574DB" w:rsidR="007F718E" w:rsidRDefault="007F718E" w:rsidP="00873AF3">
      <w:pPr>
        <w:pStyle w:val="COMexecsummnumbered"/>
        <w:rPr>
          <w:lang w:val="en-GB"/>
        </w:rPr>
      </w:pPr>
      <w:r w:rsidRPr="007F718E">
        <w:rPr>
          <w:lang w:val="en-GB"/>
        </w:rPr>
        <w:t xml:space="preserve">The PBAC agreed with the ESC and advised the parameters outlined in </w:t>
      </w:r>
      <w:r w:rsidR="00C829B8">
        <w:rPr>
          <w:highlight w:val="yellow"/>
          <w:lang w:val="en-GB"/>
        </w:rPr>
        <w:fldChar w:fldCharType="begin" w:fldLock="1"/>
      </w:r>
      <w:r w:rsidR="00C829B8">
        <w:rPr>
          <w:lang w:val="en-GB"/>
        </w:rPr>
        <w:instrText xml:space="preserve"> REF _Ref193702983 \h </w:instrText>
      </w:r>
      <w:r w:rsidR="00C829B8">
        <w:rPr>
          <w:highlight w:val="yellow"/>
          <w:lang w:val="en-GB"/>
        </w:rPr>
      </w:r>
      <w:r w:rsidR="00C829B8">
        <w:rPr>
          <w:highlight w:val="yellow"/>
          <w:lang w:val="en-GB"/>
        </w:rPr>
        <w:fldChar w:fldCharType="separate"/>
      </w:r>
      <w:r w:rsidR="00E70E55" w:rsidRPr="00D71E53">
        <w:rPr>
          <w:szCs w:val="20"/>
        </w:rPr>
        <w:t xml:space="preserve">Table </w:t>
      </w:r>
      <w:r w:rsidR="00E70E55">
        <w:rPr>
          <w:noProof/>
          <w:szCs w:val="20"/>
        </w:rPr>
        <w:t>19</w:t>
      </w:r>
      <w:r w:rsidR="00C829B8">
        <w:rPr>
          <w:highlight w:val="yellow"/>
          <w:lang w:val="en-GB"/>
        </w:rPr>
        <w:fldChar w:fldCharType="end"/>
      </w:r>
      <w:r w:rsidRPr="007F718E">
        <w:rPr>
          <w:lang w:val="en-GB"/>
        </w:rPr>
        <w:t xml:space="preserve"> may be reasonable for determining the estimated use and financial implications of the new therapies for gMG. </w:t>
      </w:r>
    </w:p>
    <w:p w14:paraId="0404B94B" w14:textId="3016AB17" w:rsidR="00680C1D" w:rsidRPr="00D71E53" w:rsidRDefault="00680C1D" w:rsidP="00873AF3">
      <w:pPr>
        <w:pStyle w:val="Caption"/>
        <w:keepNext/>
        <w:spacing w:before="240"/>
        <w:rPr>
          <w:szCs w:val="20"/>
        </w:rPr>
      </w:pPr>
      <w:bookmarkStart w:id="79" w:name="_Ref193702983"/>
      <w:bookmarkStart w:id="80" w:name="_Ref194594008"/>
      <w:r w:rsidRPr="00D71E53">
        <w:rPr>
          <w:szCs w:val="20"/>
        </w:rPr>
        <w:t xml:space="preserve">Table </w:t>
      </w:r>
      <w:r w:rsidRPr="00D71E53">
        <w:rPr>
          <w:szCs w:val="20"/>
        </w:rPr>
        <w:fldChar w:fldCharType="begin" w:fldLock="1"/>
      </w:r>
      <w:r w:rsidRPr="00D71E53">
        <w:rPr>
          <w:szCs w:val="20"/>
        </w:rPr>
        <w:instrText xml:space="preserve"> SEQ Table \* ARABIC </w:instrText>
      </w:r>
      <w:r w:rsidRPr="00D71E53">
        <w:rPr>
          <w:szCs w:val="20"/>
        </w:rPr>
        <w:fldChar w:fldCharType="separate"/>
      </w:r>
      <w:r w:rsidR="00E70E55">
        <w:rPr>
          <w:noProof/>
          <w:szCs w:val="20"/>
        </w:rPr>
        <w:t>19</w:t>
      </w:r>
      <w:r w:rsidRPr="00D71E53">
        <w:rPr>
          <w:szCs w:val="20"/>
        </w:rPr>
        <w:fldChar w:fldCharType="end"/>
      </w:r>
      <w:bookmarkEnd w:id="79"/>
      <w:r w:rsidRPr="00D71E53">
        <w:rPr>
          <w:szCs w:val="20"/>
        </w:rPr>
        <w:t xml:space="preserve">: </w:t>
      </w:r>
      <w:r>
        <w:rPr>
          <w:szCs w:val="20"/>
        </w:rPr>
        <w:t>PBAC advised inputs for the financial estimates</w:t>
      </w:r>
      <w:bookmarkEnd w:id="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9: PBAC advised inputs for the financial estimates"/>
      </w:tblPr>
      <w:tblGrid>
        <w:gridCol w:w="1980"/>
        <w:gridCol w:w="7037"/>
      </w:tblGrid>
      <w:tr w:rsidR="00680C1D" w:rsidRPr="00704B78" w14:paraId="58B23DD0" w14:textId="77777777" w:rsidTr="00B45047">
        <w:trPr>
          <w:tblHeader/>
        </w:trPr>
        <w:tc>
          <w:tcPr>
            <w:tcW w:w="1098" w:type="pct"/>
            <w:vAlign w:val="center"/>
          </w:tcPr>
          <w:p w14:paraId="444521D3" w14:textId="77777777" w:rsidR="00680C1D" w:rsidRPr="00704B78" w:rsidRDefault="00680C1D" w:rsidP="00873AF3">
            <w:pPr>
              <w:pStyle w:val="COMTableheadingrow"/>
              <w:keepNext w:val="0"/>
            </w:pPr>
            <w:r>
              <w:t>Input</w:t>
            </w:r>
          </w:p>
        </w:tc>
        <w:tc>
          <w:tcPr>
            <w:tcW w:w="3902" w:type="pct"/>
            <w:vAlign w:val="center"/>
          </w:tcPr>
          <w:p w14:paraId="2B2F829B" w14:textId="77777777" w:rsidR="00680C1D" w:rsidRPr="00704B78" w:rsidRDefault="00680C1D" w:rsidP="00873AF3">
            <w:pPr>
              <w:pStyle w:val="COMTableheadingrow"/>
              <w:keepNext w:val="0"/>
              <w:ind w:left="142"/>
              <w:jc w:val="center"/>
            </w:pPr>
            <w:r>
              <w:t>Value and rationale (estimated patient numbers are indicative only)</w:t>
            </w:r>
          </w:p>
        </w:tc>
      </w:tr>
      <w:tr w:rsidR="00680C1D" w:rsidRPr="00704B78" w14:paraId="410C2624" w14:textId="77777777" w:rsidTr="00B45047">
        <w:trPr>
          <w:trHeight w:val="20"/>
        </w:trPr>
        <w:tc>
          <w:tcPr>
            <w:tcW w:w="1098" w:type="pct"/>
            <w:vAlign w:val="center"/>
          </w:tcPr>
          <w:p w14:paraId="48FA35AB" w14:textId="77777777" w:rsidR="00680C1D" w:rsidRPr="00155DE3" w:rsidRDefault="00680C1D" w:rsidP="00873AF3">
            <w:pPr>
              <w:pStyle w:val="TableText"/>
              <w:widowControl/>
            </w:pPr>
            <w:r w:rsidRPr="00155DE3">
              <w:t>Total number of patients accessing IVIg as gMG maintenance therapy</w:t>
            </w:r>
          </w:p>
        </w:tc>
        <w:tc>
          <w:tcPr>
            <w:tcW w:w="3902" w:type="pct"/>
            <w:vAlign w:val="center"/>
          </w:tcPr>
          <w:p w14:paraId="41E9CA8C" w14:textId="6777044D" w:rsidR="00680C1D" w:rsidRPr="00155DE3" w:rsidRDefault="00680C1D" w:rsidP="00873AF3">
            <w:pPr>
              <w:pStyle w:val="TableText"/>
              <w:widowControl/>
            </w:pPr>
            <w:r w:rsidRPr="00155DE3">
              <w:t>1,324 in 2023-24 (refer to</w:t>
            </w:r>
            <w:r w:rsidR="007A4F5C" w:rsidRPr="00155DE3">
              <w:t xml:space="preserve"> </w:t>
            </w:r>
            <w:r w:rsidR="007A4F5C" w:rsidRPr="00155DE3">
              <w:fldChar w:fldCharType="begin" w:fldLock="1"/>
            </w:r>
            <w:r w:rsidR="007A4F5C" w:rsidRPr="00155DE3">
              <w:instrText xml:space="preserve"> REF _Ref193116172 \h </w:instrText>
            </w:r>
            <w:r w:rsidR="00A45D81" w:rsidRPr="00155DE3">
              <w:instrText xml:space="preserve"> \* MERGEFORMAT </w:instrText>
            </w:r>
            <w:r w:rsidR="007A4F5C" w:rsidRPr="00155DE3">
              <w:fldChar w:fldCharType="separate"/>
            </w:r>
            <w:r w:rsidR="00E70E55" w:rsidRPr="006C6609">
              <w:rPr>
                <w:szCs w:val="20"/>
              </w:rPr>
              <w:t xml:space="preserve">Table </w:t>
            </w:r>
            <w:r w:rsidR="00E70E55">
              <w:rPr>
                <w:noProof/>
                <w:szCs w:val="20"/>
              </w:rPr>
              <w:t>20</w:t>
            </w:r>
            <w:r w:rsidR="007A4F5C" w:rsidRPr="00155DE3">
              <w:fldChar w:fldCharType="end"/>
            </w:r>
            <w:r w:rsidRPr="00155DE3">
              <w:t>)</w:t>
            </w:r>
          </w:p>
        </w:tc>
      </w:tr>
      <w:tr w:rsidR="00680C1D" w:rsidRPr="00704B78" w14:paraId="46CDE849" w14:textId="77777777" w:rsidTr="00B45047">
        <w:trPr>
          <w:trHeight w:val="20"/>
        </w:trPr>
        <w:tc>
          <w:tcPr>
            <w:tcW w:w="1098" w:type="pct"/>
            <w:vAlign w:val="center"/>
          </w:tcPr>
          <w:p w14:paraId="0A1FFF49" w14:textId="77777777" w:rsidR="00680C1D" w:rsidRPr="00704B78" w:rsidRDefault="00680C1D" w:rsidP="00873AF3">
            <w:pPr>
              <w:pStyle w:val="TableText"/>
              <w:widowControl/>
            </w:pPr>
            <w:r>
              <w:t>Market growth</w:t>
            </w:r>
          </w:p>
        </w:tc>
        <w:tc>
          <w:tcPr>
            <w:tcW w:w="3902" w:type="pct"/>
            <w:vAlign w:val="center"/>
          </w:tcPr>
          <w:p w14:paraId="08913C95" w14:textId="0F6316F8" w:rsidR="00680C1D" w:rsidRPr="000B03E3" w:rsidRDefault="00680C1D" w:rsidP="00873AF3">
            <w:pPr>
              <w:pStyle w:val="TableText"/>
              <w:widowControl/>
            </w:pPr>
            <w:r w:rsidRPr="000B03E3">
              <w:t>3.96% per year based on the last five years of IVIg data (i.e. 1,431 patients in Year 1 and 1,</w:t>
            </w:r>
            <w:r w:rsidR="00450940" w:rsidRPr="000B03E3">
              <w:t>738</w:t>
            </w:r>
            <w:r w:rsidRPr="000B03E3">
              <w:t xml:space="preserve"> patients in Year </w:t>
            </w:r>
            <w:r w:rsidR="00450940" w:rsidRPr="000B03E3">
              <w:t>6</w:t>
            </w:r>
            <w:r w:rsidRPr="000B03E3">
              <w:t>)</w:t>
            </w:r>
          </w:p>
        </w:tc>
      </w:tr>
      <w:tr w:rsidR="00680C1D" w:rsidRPr="00704B78" w14:paraId="408AED97" w14:textId="77777777" w:rsidTr="00B45047">
        <w:trPr>
          <w:trHeight w:val="20"/>
        </w:trPr>
        <w:tc>
          <w:tcPr>
            <w:tcW w:w="1098" w:type="pct"/>
            <w:vAlign w:val="center"/>
          </w:tcPr>
          <w:p w14:paraId="64550F49" w14:textId="77777777" w:rsidR="00680C1D" w:rsidRDefault="00680C1D" w:rsidP="00873AF3">
            <w:pPr>
              <w:pStyle w:val="TableText"/>
              <w:widowControl/>
            </w:pPr>
            <w:r>
              <w:t>% with AChR+</w:t>
            </w:r>
          </w:p>
        </w:tc>
        <w:tc>
          <w:tcPr>
            <w:tcW w:w="3902" w:type="pct"/>
            <w:vAlign w:val="center"/>
          </w:tcPr>
          <w:p w14:paraId="2E384A66" w14:textId="1C704D92" w:rsidR="00680C1D" w:rsidRPr="000B03E3" w:rsidRDefault="00680C1D" w:rsidP="00873AF3">
            <w:pPr>
              <w:pStyle w:val="TableText"/>
              <w:widowControl/>
            </w:pPr>
            <w:r w:rsidRPr="000B03E3">
              <w:t>85.57% based on the totality of the evidence presented across all the submissions, and similar to the estimate of 88% provided in Hendricks et al. 2019 (i.e. 1,224 patients in Year 1 and 1,4</w:t>
            </w:r>
            <w:r w:rsidR="00425648" w:rsidRPr="000B03E3">
              <w:t>87</w:t>
            </w:r>
            <w:r w:rsidRPr="000B03E3">
              <w:t xml:space="preserve"> patients in Year </w:t>
            </w:r>
            <w:r w:rsidR="00425648" w:rsidRPr="000B03E3">
              <w:t>6</w:t>
            </w:r>
            <w:r w:rsidRPr="000B03E3">
              <w:t>)</w:t>
            </w:r>
          </w:p>
        </w:tc>
      </w:tr>
      <w:tr w:rsidR="00680C1D" w:rsidRPr="00704B78" w14:paraId="3A12611B" w14:textId="77777777" w:rsidTr="00B45047">
        <w:trPr>
          <w:trHeight w:val="20"/>
        </w:trPr>
        <w:tc>
          <w:tcPr>
            <w:tcW w:w="1098" w:type="pct"/>
            <w:vAlign w:val="center"/>
          </w:tcPr>
          <w:p w14:paraId="2CC99F16" w14:textId="77777777" w:rsidR="00680C1D" w:rsidRDefault="00680C1D" w:rsidP="00873AF3">
            <w:pPr>
              <w:pStyle w:val="TableText"/>
              <w:widowControl/>
            </w:pPr>
            <w:r>
              <w:t>Uptake across all new gMG therapies that are listed</w:t>
            </w:r>
          </w:p>
        </w:tc>
        <w:tc>
          <w:tcPr>
            <w:tcW w:w="3902" w:type="pct"/>
            <w:vAlign w:val="center"/>
          </w:tcPr>
          <w:p w14:paraId="4DE8D1AE" w14:textId="368EFFA5" w:rsidR="00680C1D" w:rsidRDefault="00680C1D" w:rsidP="00873AF3">
            <w:pPr>
              <w:pStyle w:val="TableText"/>
              <w:widowControl/>
            </w:pPr>
            <w:r>
              <w:t xml:space="preserve">Uptake </w:t>
            </w:r>
            <w:r w:rsidRPr="00E27192">
              <w:t>from new patients and existing IVIg users with ongoing functional impairment</w:t>
            </w:r>
            <w:r>
              <w:t xml:space="preserve">: </w:t>
            </w:r>
            <w:r w:rsidR="00B30D21" w:rsidRPr="00B30D21">
              <w:t xml:space="preserve">The PBAC, in its expert opinion, considered this could be </w:t>
            </w:r>
            <w:r w:rsidR="00B30D21" w:rsidRPr="003627CA">
              <w:t xml:space="preserve">up to </w:t>
            </w:r>
            <w:r w:rsidR="00D63E16" w:rsidRPr="00A137D7">
              <w:rPr>
                <w:color w:val="000000"/>
                <w:spacing w:val="51"/>
                <w:shd w:val="solid" w:color="000000" w:fill="000000"/>
                <w:fitText w:val="325" w:id="-691363071"/>
                <w14:textFill>
                  <w14:solidFill>
                    <w14:srgbClr w14:val="000000">
                      <w14:alpha w14:val="100000"/>
                    </w14:srgbClr>
                  </w14:solidFill>
                </w14:textFill>
              </w:rPr>
              <w:t>|||</w:t>
            </w:r>
            <w:r w:rsidR="00D63E16" w:rsidRPr="00A137D7">
              <w:rPr>
                <w:color w:val="000000"/>
                <w:spacing w:val="2"/>
                <w:shd w:val="solid" w:color="000000" w:fill="000000"/>
                <w:fitText w:val="325" w:id="-691363071"/>
                <w14:textFill>
                  <w14:solidFill>
                    <w14:srgbClr w14:val="000000">
                      <w14:alpha w14:val="100000"/>
                    </w14:srgbClr>
                  </w14:solidFill>
                </w14:textFill>
              </w:rPr>
              <w:t>|</w:t>
            </w:r>
            <w:r w:rsidR="00B30D21" w:rsidRPr="003627CA">
              <w:t>%, and this</w:t>
            </w:r>
            <w:r w:rsidRPr="003627CA">
              <w:t xml:space="preserve"> could represent around one-third of current IVIg users based on: </w:t>
            </w:r>
            <w:r w:rsidR="00D63E16" w:rsidRPr="00A137D7">
              <w:rPr>
                <w:color w:val="000000"/>
                <w:spacing w:val="51"/>
                <w:shd w:val="solid" w:color="000000" w:fill="000000"/>
                <w:fitText w:val="325" w:id="-691363070"/>
                <w14:textFill>
                  <w14:solidFill>
                    <w14:srgbClr w14:val="000000">
                      <w14:alpha w14:val="100000"/>
                    </w14:srgbClr>
                  </w14:solidFill>
                </w14:textFill>
              </w:rPr>
              <w:t>|||</w:t>
            </w:r>
            <w:r w:rsidR="00D63E16" w:rsidRPr="00A137D7">
              <w:rPr>
                <w:color w:val="000000"/>
                <w:spacing w:val="2"/>
                <w:shd w:val="solid" w:color="000000" w:fill="000000"/>
                <w:fitText w:val="325" w:id="-691363070"/>
                <w14:textFill>
                  <w14:solidFill>
                    <w14:srgbClr w14:val="000000">
                      <w14:alpha w14:val="100000"/>
                    </w14:srgbClr>
                  </w14:solidFill>
                </w14:textFill>
              </w:rPr>
              <w:t>|</w:t>
            </w:r>
            <w:r w:rsidRPr="003627CA">
              <w:t xml:space="preserve">% of IVIg pts commenced within the most recent year, plus of the remaining </w:t>
            </w:r>
            <w:r w:rsidR="00D63E16" w:rsidRPr="00A137D7">
              <w:rPr>
                <w:color w:val="000000"/>
                <w:spacing w:val="51"/>
                <w:shd w:val="solid" w:color="000000" w:fill="000000"/>
                <w:fitText w:val="326" w:id="-691363069"/>
                <w14:textFill>
                  <w14:solidFill>
                    <w14:srgbClr w14:val="000000">
                      <w14:alpha w14:val="100000"/>
                    </w14:srgbClr>
                  </w14:solidFill>
                </w14:textFill>
              </w:rPr>
              <w:t>|||</w:t>
            </w:r>
            <w:r w:rsidR="00D63E16" w:rsidRPr="00A137D7">
              <w:rPr>
                <w:color w:val="000000"/>
                <w:spacing w:val="3"/>
                <w:shd w:val="solid" w:color="000000" w:fill="000000"/>
                <w:fitText w:val="326" w:id="-691363069"/>
                <w14:textFill>
                  <w14:solidFill>
                    <w14:srgbClr w14:val="000000">
                      <w14:alpha w14:val="100000"/>
                    </w14:srgbClr>
                  </w14:solidFill>
                </w14:textFill>
              </w:rPr>
              <w:t>|</w:t>
            </w:r>
            <w:r w:rsidRPr="003627CA">
              <w:t xml:space="preserve">% around </w:t>
            </w:r>
            <w:r w:rsidR="00D63E16" w:rsidRPr="00A137D7">
              <w:rPr>
                <w:color w:val="000000"/>
                <w:spacing w:val="51"/>
                <w:shd w:val="solid" w:color="000000" w:fill="000000"/>
                <w:fitText w:val="325" w:id="-691363068"/>
                <w14:textFill>
                  <w14:solidFill>
                    <w14:srgbClr w14:val="000000">
                      <w14:alpha w14:val="100000"/>
                    </w14:srgbClr>
                  </w14:solidFill>
                </w14:textFill>
              </w:rPr>
              <w:t>|||</w:t>
            </w:r>
            <w:r w:rsidR="00D63E16" w:rsidRPr="00A137D7">
              <w:rPr>
                <w:color w:val="000000"/>
                <w:spacing w:val="2"/>
                <w:shd w:val="solid" w:color="000000" w:fill="000000"/>
                <w:fitText w:val="325" w:id="-691363068"/>
                <w14:textFill>
                  <w14:solidFill>
                    <w14:srgbClr w14:val="000000">
                      <w14:alpha w14:val="100000"/>
                    </w14:srgbClr>
                  </w14:solidFill>
                </w14:textFill>
              </w:rPr>
              <w:t>|</w:t>
            </w:r>
            <w:r w:rsidRPr="003627CA">
              <w:t xml:space="preserve">% may be using IVIg but experiencing ongoing functional impairment (i.e. </w:t>
            </w:r>
            <w:r w:rsidR="00D63E16" w:rsidRPr="00A137D7">
              <w:rPr>
                <w:color w:val="000000"/>
                <w:spacing w:val="51"/>
                <w:shd w:val="solid" w:color="000000" w:fill="000000"/>
                <w:fitText w:val="326" w:id="-691363067"/>
                <w14:textFill>
                  <w14:solidFill>
                    <w14:srgbClr w14:val="000000">
                      <w14:alpha w14:val="100000"/>
                    </w14:srgbClr>
                  </w14:solidFill>
                </w14:textFill>
              </w:rPr>
              <w:t>|||</w:t>
            </w:r>
            <w:r w:rsidR="00D63E16" w:rsidRPr="00A137D7">
              <w:rPr>
                <w:color w:val="000000"/>
                <w:spacing w:val="3"/>
                <w:shd w:val="solid" w:color="000000" w:fill="000000"/>
                <w:fitText w:val="326" w:id="-691363067"/>
                <w14:textFill>
                  <w14:solidFill>
                    <w14:srgbClr w14:val="000000">
                      <w14:alpha w14:val="100000"/>
                    </w14:srgbClr>
                  </w14:solidFill>
                </w14:textFill>
              </w:rPr>
              <w:t>|</w:t>
            </w:r>
            <w:r w:rsidRPr="003627CA">
              <w:t>% + (</w:t>
            </w:r>
            <w:r w:rsidR="00D63E16" w:rsidRPr="00A137D7">
              <w:rPr>
                <w:color w:val="000000"/>
                <w:spacing w:val="51"/>
                <w:shd w:val="solid" w:color="000000" w:fill="000000"/>
                <w:fitText w:val="325" w:id="-691363066"/>
                <w14:textFill>
                  <w14:solidFill>
                    <w14:srgbClr w14:val="000000">
                      <w14:alpha w14:val="100000"/>
                    </w14:srgbClr>
                  </w14:solidFill>
                </w14:textFill>
              </w:rPr>
              <w:t>|||</w:t>
            </w:r>
            <w:r w:rsidR="00D63E16" w:rsidRPr="00A137D7">
              <w:rPr>
                <w:color w:val="000000"/>
                <w:spacing w:val="2"/>
                <w:shd w:val="solid" w:color="000000" w:fill="000000"/>
                <w:fitText w:val="325" w:id="-691363066"/>
                <w14:textFill>
                  <w14:solidFill>
                    <w14:srgbClr w14:val="000000">
                      <w14:alpha w14:val="100000"/>
                    </w14:srgbClr>
                  </w14:solidFill>
                </w14:textFill>
              </w:rPr>
              <w:t>|</w:t>
            </w:r>
            <w:r w:rsidRPr="003627CA">
              <w:t xml:space="preserve">% * </w:t>
            </w:r>
            <w:r w:rsidR="00D63E16" w:rsidRPr="00A137D7">
              <w:rPr>
                <w:color w:val="000000"/>
                <w:spacing w:val="51"/>
                <w:shd w:val="solid" w:color="000000" w:fill="000000"/>
                <w:fitText w:val="326" w:id="-691363065"/>
                <w14:textFill>
                  <w14:solidFill>
                    <w14:srgbClr w14:val="000000">
                      <w14:alpha w14:val="100000"/>
                    </w14:srgbClr>
                  </w14:solidFill>
                </w14:textFill>
              </w:rPr>
              <w:t>|||</w:t>
            </w:r>
            <w:r w:rsidR="00D63E16" w:rsidRPr="00A137D7">
              <w:rPr>
                <w:color w:val="000000"/>
                <w:spacing w:val="3"/>
                <w:shd w:val="solid" w:color="000000" w:fill="000000"/>
                <w:fitText w:val="326" w:id="-691363065"/>
                <w14:textFill>
                  <w14:solidFill>
                    <w14:srgbClr w14:val="000000">
                      <w14:alpha w14:val="100000"/>
                    </w14:srgbClr>
                  </w14:solidFill>
                </w14:textFill>
              </w:rPr>
              <w:t>|</w:t>
            </w:r>
            <w:r w:rsidRPr="003627CA">
              <w:t>%</w:t>
            </w:r>
            <w:r w:rsidR="00B971AF" w:rsidRPr="003627CA">
              <w:t>)</w:t>
            </w:r>
            <w:r w:rsidRPr="003627CA">
              <w:t xml:space="preserve"> = </w:t>
            </w:r>
            <w:r w:rsidR="00D63E16" w:rsidRPr="00A137D7">
              <w:rPr>
                <w:color w:val="000000"/>
                <w:spacing w:val="51"/>
                <w:shd w:val="solid" w:color="000000" w:fill="000000"/>
                <w:fitText w:val="325" w:id="-691363064"/>
                <w14:textFill>
                  <w14:solidFill>
                    <w14:srgbClr w14:val="000000">
                      <w14:alpha w14:val="100000"/>
                    </w14:srgbClr>
                  </w14:solidFill>
                </w14:textFill>
              </w:rPr>
              <w:t>|||</w:t>
            </w:r>
            <w:r w:rsidR="00D63E16" w:rsidRPr="00A137D7">
              <w:rPr>
                <w:color w:val="000000"/>
                <w:spacing w:val="2"/>
                <w:shd w:val="solid" w:color="000000" w:fill="000000"/>
                <w:fitText w:val="325" w:id="-691363064"/>
                <w14:textFill>
                  <w14:solidFill>
                    <w14:srgbClr w14:val="000000">
                      <w14:alpha w14:val="100000"/>
                    </w14:srgbClr>
                  </w14:solidFill>
                </w14:textFill>
              </w:rPr>
              <w:t>|</w:t>
            </w:r>
            <w:r w:rsidRPr="003627CA">
              <w:t>% of the market)</w:t>
            </w:r>
            <w:r w:rsidR="00A76C46" w:rsidRPr="003627CA">
              <w:t>.</w:t>
            </w:r>
            <w:r w:rsidRPr="003627CA">
              <w:t xml:space="preserve"> Total uptake of </w:t>
            </w:r>
            <w:r w:rsidR="000A441F" w:rsidRPr="000A441F">
              <w:rPr>
                <w:rFonts w:hint="eastAsia"/>
                <w:color w:val="000000"/>
                <w:w w:val="20"/>
                <w:shd w:val="solid" w:color="000000" w:fill="000000"/>
                <w:fitText w:val="90" w:id="-653079552"/>
                <w14:textFill>
                  <w14:solidFill>
                    <w14:srgbClr w14:val="000000">
                      <w14:alpha w14:val="100000"/>
                    </w14:srgbClr>
                  </w14:solidFill>
                </w14:textFill>
              </w:rPr>
              <w:t xml:space="preserve">　</w:t>
            </w:r>
            <w:r w:rsidR="000A441F" w:rsidRPr="000A441F">
              <w:rPr>
                <w:color w:val="000000"/>
                <w:w w:val="20"/>
                <w:shd w:val="solid" w:color="000000" w:fill="000000"/>
                <w:fitText w:val="90" w:id="-653079552"/>
                <w14:textFill>
                  <w14:solidFill>
                    <w14:srgbClr w14:val="000000">
                      <w14:alpha w14:val="100000"/>
                    </w14:srgbClr>
                  </w14:solidFill>
                </w14:textFill>
              </w:rPr>
              <w:t>|</w:t>
            </w:r>
            <w:r w:rsidR="000A441F" w:rsidRPr="000A441F">
              <w:rPr>
                <w:rFonts w:hint="eastAsia"/>
                <w:color w:val="000000"/>
                <w:w w:val="20"/>
                <w:shd w:val="solid" w:color="000000" w:fill="000000"/>
                <w:fitText w:val="90" w:id="-653079552"/>
                <w14:textFill>
                  <w14:solidFill>
                    <w14:srgbClr w14:val="000000">
                      <w14:alpha w14:val="100000"/>
                    </w14:srgbClr>
                  </w14:solidFill>
                </w14:textFill>
              </w:rPr>
              <w:t xml:space="preserve">　</w:t>
            </w:r>
            <w:r w:rsidRPr="003627CA">
              <w:t xml:space="preserve">% in </w:t>
            </w:r>
            <w:r w:rsidR="00EC6A7C" w:rsidRPr="00A137D7">
              <w:rPr>
                <w:color w:val="000000"/>
                <w:spacing w:val="51"/>
                <w:shd w:val="solid" w:color="000000" w:fill="000000"/>
                <w:fitText w:val="230" w:id="-653075200"/>
                <w14:textFill>
                  <w14:solidFill>
                    <w14:srgbClr w14:val="000000">
                      <w14:alpha w14:val="100000"/>
                    </w14:srgbClr>
                  </w14:solidFill>
                </w14:textFill>
              </w:rPr>
              <w:t>||</w:t>
            </w:r>
            <w:r w:rsidR="00EC6A7C" w:rsidRPr="00A137D7">
              <w:rPr>
                <w:color w:val="000000"/>
                <w:spacing w:val="1"/>
                <w:shd w:val="solid" w:color="000000" w:fill="000000"/>
                <w:fitText w:val="230" w:id="-653075200"/>
                <w14:textFill>
                  <w14:solidFill>
                    <w14:srgbClr w14:val="000000">
                      <w14:alpha w14:val="100000"/>
                    </w14:srgbClr>
                  </w14:solidFill>
                </w14:textFill>
              </w:rPr>
              <w:t>|</w:t>
            </w:r>
            <w:r w:rsidRPr="003627CA">
              <w:t>% of the market.</w:t>
            </w:r>
            <w:r>
              <w:t xml:space="preserve"> </w:t>
            </w:r>
          </w:p>
          <w:p w14:paraId="77C0CD02" w14:textId="2202A08B" w:rsidR="00680C1D" w:rsidRPr="003F70E4" w:rsidRDefault="00680C1D" w:rsidP="00873AF3">
            <w:pPr>
              <w:pStyle w:val="TableText"/>
              <w:widowControl/>
            </w:pPr>
            <w:r>
              <w:t>U</w:t>
            </w:r>
            <w:r w:rsidRPr="00162BF2">
              <w:t xml:space="preserve">ptake </w:t>
            </w:r>
            <w:r w:rsidRPr="003F70E4">
              <w:t xml:space="preserve">from prevalent patients already established on IVIg: </w:t>
            </w:r>
            <w:r w:rsidR="00B971AF" w:rsidRPr="003F70E4">
              <w:t xml:space="preserve">The PBAC, in its expert opinion, considered this could be up to </w:t>
            </w:r>
            <w:r w:rsidR="00D63E16" w:rsidRPr="00A137D7">
              <w:rPr>
                <w:color w:val="000000"/>
                <w:spacing w:val="55"/>
                <w:shd w:val="solid" w:color="000000" w:fill="000000"/>
                <w:fitText w:val="338" w:id="-691363063"/>
                <w14:textFill>
                  <w14:solidFill>
                    <w14:srgbClr w14:val="000000">
                      <w14:alpha w14:val="100000"/>
                    </w14:srgbClr>
                  </w14:solidFill>
                </w14:textFill>
              </w:rPr>
              <w:t>|||</w:t>
            </w:r>
            <w:r w:rsidR="00D63E16" w:rsidRPr="00A137D7">
              <w:rPr>
                <w:color w:val="000000"/>
                <w:spacing w:val="3"/>
                <w:shd w:val="solid" w:color="000000" w:fill="000000"/>
                <w:fitText w:val="338" w:id="-691363063"/>
                <w14:textFill>
                  <w14:solidFill>
                    <w14:srgbClr w14:val="000000">
                      <w14:alpha w14:val="100000"/>
                    </w14:srgbClr>
                  </w14:solidFill>
                </w14:textFill>
              </w:rPr>
              <w:t>|</w:t>
            </w:r>
            <w:r w:rsidRPr="003F70E4">
              <w:t>%</w:t>
            </w:r>
            <w:r w:rsidR="00967EE4" w:rsidRPr="003F70E4">
              <w:t>, and th</w:t>
            </w:r>
            <w:r w:rsidRPr="003F70E4">
              <w:t xml:space="preserve">is could represent around two-thirds of current IVIg users based on: of the </w:t>
            </w:r>
            <w:r w:rsidR="00D63E16" w:rsidRPr="00A137D7">
              <w:rPr>
                <w:color w:val="000000"/>
                <w:spacing w:val="51"/>
                <w:shd w:val="solid" w:color="000000" w:fill="000000"/>
                <w:fitText w:val="326" w:id="-691363062"/>
                <w14:textFill>
                  <w14:solidFill>
                    <w14:srgbClr w14:val="000000">
                      <w14:alpha w14:val="100000"/>
                    </w14:srgbClr>
                  </w14:solidFill>
                </w14:textFill>
              </w:rPr>
              <w:t>|||</w:t>
            </w:r>
            <w:r w:rsidR="00D63E16" w:rsidRPr="00A137D7">
              <w:rPr>
                <w:color w:val="000000"/>
                <w:spacing w:val="3"/>
                <w:shd w:val="solid" w:color="000000" w:fill="000000"/>
                <w:fitText w:val="326" w:id="-691363062"/>
                <w14:textFill>
                  <w14:solidFill>
                    <w14:srgbClr w14:val="000000">
                      <w14:alpha w14:val="100000"/>
                    </w14:srgbClr>
                  </w14:solidFill>
                </w14:textFill>
              </w:rPr>
              <w:t>|</w:t>
            </w:r>
            <w:r w:rsidRPr="003F70E4">
              <w:t xml:space="preserve">% of IVIg users who commenced more than a year ago, around </w:t>
            </w:r>
            <w:r w:rsidR="00D63E16" w:rsidRPr="00A137D7">
              <w:rPr>
                <w:color w:val="000000"/>
                <w:spacing w:val="51"/>
                <w:shd w:val="solid" w:color="000000" w:fill="000000"/>
                <w:fitText w:val="325" w:id="-691363061"/>
                <w14:textFill>
                  <w14:solidFill>
                    <w14:srgbClr w14:val="000000">
                      <w14:alpha w14:val="100000"/>
                    </w14:srgbClr>
                  </w14:solidFill>
                </w14:textFill>
              </w:rPr>
              <w:t>|||</w:t>
            </w:r>
            <w:r w:rsidR="00D63E16" w:rsidRPr="00A137D7">
              <w:rPr>
                <w:color w:val="000000"/>
                <w:spacing w:val="2"/>
                <w:shd w:val="solid" w:color="000000" w:fill="000000"/>
                <w:fitText w:val="325" w:id="-691363061"/>
                <w14:textFill>
                  <w14:solidFill>
                    <w14:srgbClr w14:val="000000">
                      <w14:alpha w14:val="100000"/>
                    </w14:srgbClr>
                  </w14:solidFill>
                </w14:textFill>
              </w:rPr>
              <w:t>|</w:t>
            </w:r>
            <w:r w:rsidRPr="003F70E4">
              <w:t xml:space="preserve">% are responding (i.e. </w:t>
            </w:r>
            <w:r w:rsidR="00D63E16" w:rsidRPr="00A137D7">
              <w:rPr>
                <w:color w:val="000000"/>
                <w:spacing w:val="51"/>
                <w:shd w:val="solid" w:color="000000" w:fill="000000"/>
                <w:fitText w:val="326" w:id="-691363060"/>
                <w14:textFill>
                  <w14:solidFill>
                    <w14:srgbClr w14:val="000000">
                      <w14:alpha w14:val="100000"/>
                    </w14:srgbClr>
                  </w14:solidFill>
                </w14:textFill>
              </w:rPr>
              <w:t>|||</w:t>
            </w:r>
            <w:r w:rsidR="00D63E16" w:rsidRPr="00A137D7">
              <w:rPr>
                <w:color w:val="000000"/>
                <w:spacing w:val="3"/>
                <w:shd w:val="solid" w:color="000000" w:fill="000000"/>
                <w:fitText w:val="326" w:id="-691363060"/>
                <w14:textFill>
                  <w14:solidFill>
                    <w14:srgbClr w14:val="000000">
                      <w14:alpha w14:val="100000"/>
                    </w14:srgbClr>
                  </w14:solidFill>
                </w14:textFill>
              </w:rPr>
              <w:t>|</w:t>
            </w:r>
            <w:r w:rsidRPr="003F70E4">
              <w:t xml:space="preserve">% * </w:t>
            </w:r>
            <w:r w:rsidR="00D63E16" w:rsidRPr="00A137D7">
              <w:rPr>
                <w:color w:val="000000"/>
                <w:spacing w:val="51"/>
                <w:shd w:val="solid" w:color="000000" w:fill="000000"/>
                <w:fitText w:val="326" w:id="-691363059"/>
                <w14:textFill>
                  <w14:solidFill>
                    <w14:srgbClr w14:val="000000">
                      <w14:alpha w14:val="100000"/>
                    </w14:srgbClr>
                  </w14:solidFill>
                </w14:textFill>
              </w:rPr>
              <w:t>|||</w:t>
            </w:r>
            <w:r w:rsidR="00D63E16" w:rsidRPr="00A137D7">
              <w:rPr>
                <w:color w:val="000000"/>
                <w:spacing w:val="3"/>
                <w:shd w:val="solid" w:color="000000" w:fill="000000"/>
                <w:fitText w:val="326" w:id="-691363059"/>
                <w14:textFill>
                  <w14:solidFill>
                    <w14:srgbClr w14:val="000000">
                      <w14:alpha w14:val="100000"/>
                    </w14:srgbClr>
                  </w14:solidFill>
                </w14:textFill>
              </w:rPr>
              <w:t>|</w:t>
            </w:r>
            <w:r w:rsidRPr="003F70E4">
              <w:t xml:space="preserve">% = </w:t>
            </w:r>
            <w:r w:rsidR="00D63E16" w:rsidRPr="00A137D7">
              <w:rPr>
                <w:color w:val="000000"/>
                <w:spacing w:val="51"/>
                <w:shd w:val="solid" w:color="000000" w:fill="000000"/>
                <w:fitText w:val="326" w:id="-691363058"/>
                <w14:textFill>
                  <w14:solidFill>
                    <w14:srgbClr w14:val="000000">
                      <w14:alpha w14:val="100000"/>
                    </w14:srgbClr>
                  </w14:solidFill>
                </w14:textFill>
              </w:rPr>
              <w:t>|||</w:t>
            </w:r>
            <w:r w:rsidR="00D63E16" w:rsidRPr="00A137D7">
              <w:rPr>
                <w:color w:val="000000"/>
                <w:spacing w:val="3"/>
                <w:shd w:val="solid" w:color="000000" w:fill="000000"/>
                <w:fitText w:val="326" w:id="-691363058"/>
                <w14:textFill>
                  <w14:solidFill>
                    <w14:srgbClr w14:val="000000">
                      <w14:alpha w14:val="100000"/>
                    </w14:srgbClr>
                  </w14:solidFill>
                </w14:textFill>
              </w:rPr>
              <w:t>|</w:t>
            </w:r>
            <w:r w:rsidRPr="003F70E4">
              <w:t>/</w:t>
            </w:r>
            <w:r w:rsidR="00D63E16" w:rsidRPr="00A137D7">
              <w:rPr>
                <w:color w:val="000000"/>
                <w:spacing w:val="51"/>
                <w:shd w:val="solid" w:color="000000" w:fill="000000"/>
                <w:fitText w:val="326" w:id="-691363057"/>
                <w14:textFill>
                  <w14:solidFill>
                    <w14:srgbClr w14:val="000000">
                      <w14:alpha w14:val="100000"/>
                    </w14:srgbClr>
                  </w14:solidFill>
                </w14:textFill>
              </w:rPr>
              <w:t>|||</w:t>
            </w:r>
            <w:r w:rsidR="00D63E16" w:rsidRPr="00A137D7">
              <w:rPr>
                <w:color w:val="000000"/>
                <w:spacing w:val="3"/>
                <w:shd w:val="solid" w:color="000000" w:fill="000000"/>
                <w:fitText w:val="326" w:id="-691363057"/>
                <w14:textFill>
                  <w14:solidFill>
                    <w14:srgbClr w14:val="000000">
                      <w14:alpha w14:val="100000"/>
                    </w14:srgbClr>
                  </w14:solidFill>
                </w14:textFill>
              </w:rPr>
              <w:t>|</w:t>
            </w:r>
            <w:r w:rsidRPr="003F70E4">
              <w:t xml:space="preserve">%). Total uptake of </w:t>
            </w:r>
            <w:r w:rsidR="00D63E16" w:rsidRPr="00A137D7">
              <w:rPr>
                <w:color w:val="000000"/>
                <w:spacing w:val="51"/>
                <w:shd w:val="solid" w:color="000000" w:fill="000000"/>
                <w:fitText w:val="326" w:id="-691363056"/>
                <w14:textFill>
                  <w14:solidFill>
                    <w14:srgbClr w14:val="000000">
                      <w14:alpha w14:val="100000"/>
                    </w14:srgbClr>
                  </w14:solidFill>
                </w14:textFill>
              </w:rPr>
              <w:t>|||</w:t>
            </w:r>
            <w:r w:rsidR="00D63E16" w:rsidRPr="00A137D7">
              <w:rPr>
                <w:color w:val="000000"/>
                <w:spacing w:val="3"/>
                <w:shd w:val="solid" w:color="000000" w:fill="000000"/>
                <w:fitText w:val="326" w:id="-691363056"/>
                <w14:textFill>
                  <w14:solidFill>
                    <w14:srgbClr w14:val="000000">
                      <w14:alpha w14:val="100000"/>
                    </w14:srgbClr>
                  </w14:solidFill>
                </w14:textFill>
              </w:rPr>
              <w:t>|</w:t>
            </w:r>
            <w:r w:rsidRPr="003F70E4">
              <w:t xml:space="preserve">% in </w:t>
            </w:r>
            <w:r w:rsidR="00D63E16" w:rsidRPr="00A137D7">
              <w:rPr>
                <w:color w:val="000000"/>
                <w:spacing w:val="51"/>
                <w:shd w:val="solid" w:color="000000" w:fill="000000"/>
                <w:fitText w:val="325" w:id="-691363072"/>
                <w14:textFill>
                  <w14:solidFill>
                    <w14:srgbClr w14:val="000000">
                      <w14:alpha w14:val="100000"/>
                    </w14:srgbClr>
                  </w14:solidFill>
                </w14:textFill>
              </w:rPr>
              <w:t>|||</w:t>
            </w:r>
            <w:r w:rsidR="00D63E16" w:rsidRPr="00A137D7">
              <w:rPr>
                <w:color w:val="000000"/>
                <w:spacing w:val="2"/>
                <w:shd w:val="solid" w:color="000000" w:fill="000000"/>
                <w:fitText w:val="325" w:id="-691363072"/>
                <w14:textFill>
                  <w14:solidFill>
                    <w14:srgbClr w14:val="000000">
                      <w14:alpha w14:val="100000"/>
                    </w14:srgbClr>
                  </w14:solidFill>
                </w14:textFill>
              </w:rPr>
              <w:t>|</w:t>
            </w:r>
            <w:r w:rsidRPr="003F70E4">
              <w:t>% of the market.</w:t>
            </w:r>
          </w:p>
          <w:p w14:paraId="3A85CCE6" w14:textId="3510036A" w:rsidR="00680C1D" w:rsidRPr="00704B78" w:rsidRDefault="00680C1D" w:rsidP="00873AF3">
            <w:pPr>
              <w:pStyle w:val="TableText"/>
              <w:widowControl/>
            </w:pPr>
            <w:r w:rsidRPr="003F70E4">
              <w:t xml:space="preserve">Total market uptake of </w:t>
            </w:r>
            <w:r w:rsidR="00D63E16" w:rsidRPr="00A137D7">
              <w:rPr>
                <w:color w:val="000000"/>
                <w:spacing w:val="51"/>
                <w:shd w:val="solid" w:color="000000" w:fill="000000"/>
                <w:fitText w:val="325" w:id="-691363071"/>
                <w14:textFill>
                  <w14:solidFill>
                    <w14:srgbClr w14:val="000000">
                      <w14:alpha w14:val="100000"/>
                    </w14:srgbClr>
                  </w14:solidFill>
                </w14:textFill>
              </w:rPr>
              <w:t>|||</w:t>
            </w:r>
            <w:r w:rsidR="00D63E16" w:rsidRPr="00A137D7">
              <w:rPr>
                <w:color w:val="000000"/>
                <w:spacing w:val="2"/>
                <w:shd w:val="solid" w:color="000000" w:fill="000000"/>
                <w:fitText w:val="325" w:id="-691363071"/>
                <w14:textFill>
                  <w14:solidFill>
                    <w14:srgbClr w14:val="000000">
                      <w14:alpha w14:val="100000"/>
                    </w14:srgbClr>
                  </w14:solidFill>
                </w14:textFill>
              </w:rPr>
              <w:t>|</w:t>
            </w:r>
            <w:r w:rsidRPr="003F70E4">
              <w:t xml:space="preserve">% in Year 1 (i.e. </w:t>
            </w:r>
            <w:r w:rsidR="00D63E16" w:rsidRPr="00A137D7">
              <w:rPr>
                <w:color w:val="000000"/>
                <w:spacing w:val="51"/>
                <w:shd w:val="solid" w:color="000000" w:fill="000000"/>
                <w:fitText w:val="325" w:id="-691363070"/>
                <w14:textFill>
                  <w14:solidFill>
                    <w14:srgbClr w14:val="000000">
                      <w14:alpha w14:val="100000"/>
                    </w14:srgbClr>
                  </w14:solidFill>
                </w14:textFill>
              </w:rPr>
              <w:t>|||</w:t>
            </w:r>
            <w:r w:rsidR="00D63E16" w:rsidRPr="00A137D7">
              <w:rPr>
                <w:color w:val="000000"/>
                <w:spacing w:val="2"/>
                <w:shd w:val="solid" w:color="000000" w:fill="000000"/>
                <w:fitText w:val="325" w:id="-691363070"/>
                <w14:textFill>
                  <w14:solidFill>
                    <w14:srgbClr w14:val="000000">
                      <w14:alpha w14:val="100000"/>
                    </w14:srgbClr>
                  </w14:solidFill>
                </w14:textFill>
              </w:rPr>
              <w:t>|</w:t>
            </w:r>
            <w:r w:rsidR="00E02616">
              <w:rPr>
                <w:vertAlign w:val="superscript"/>
              </w:rPr>
              <w:t>1</w:t>
            </w:r>
            <w:r w:rsidRPr="003F70E4">
              <w:t xml:space="preserve"> patients in Year 1)</w:t>
            </w:r>
            <w:r w:rsidR="00A76C46" w:rsidRPr="003F70E4">
              <w:t>.</w:t>
            </w:r>
          </w:p>
        </w:tc>
      </w:tr>
      <w:tr w:rsidR="00680C1D" w:rsidRPr="00704B78" w14:paraId="275BE565" w14:textId="77777777" w:rsidTr="00B45047">
        <w:trPr>
          <w:trHeight w:val="20"/>
        </w:trPr>
        <w:tc>
          <w:tcPr>
            <w:tcW w:w="1098" w:type="pct"/>
            <w:vAlign w:val="center"/>
          </w:tcPr>
          <w:p w14:paraId="6E242292" w14:textId="77777777" w:rsidR="00680C1D" w:rsidRDefault="00680C1D" w:rsidP="00873AF3">
            <w:pPr>
              <w:pStyle w:val="TableText"/>
              <w:widowControl/>
            </w:pPr>
            <w:r>
              <w:t>Increase in uptake over time</w:t>
            </w:r>
          </w:p>
        </w:tc>
        <w:tc>
          <w:tcPr>
            <w:tcW w:w="3902" w:type="pct"/>
            <w:vAlign w:val="center"/>
          </w:tcPr>
          <w:p w14:paraId="7B4F2C1A" w14:textId="37BE1C74" w:rsidR="00680C1D" w:rsidRPr="00704B78" w:rsidRDefault="00D63E16" w:rsidP="00873AF3">
            <w:pPr>
              <w:pStyle w:val="TableText"/>
              <w:widowControl/>
            </w:pPr>
            <w:r w:rsidRPr="00A137D7">
              <w:rPr>
                <w:color w:val="000000"/>
                <w:spacing w:val="51"/>
                <w:shd w:val="solid" w:color="000000" w:fill="000000"/>
                <w:fitText w:val="325" w:id="-691363069"/>
                <w14:textFill>
                  <w14:solidFill>
                    <w14:srgbClr w14:val="000000">
                      <w14:alpha w14:val="100000"/>
                    </w14:srgbClr>
                  </w14:solidFill>
                </w14:textFill>
              </w:rPr>
              <w:t>|||</w:t>
            </w:r>
            <w:r w:rsidRPr="00A137D7">
              <w:rPr>
                <w:color w:val="000000"/>
                <w:spacing w:val="2"/>
                <w:shd w:val="solid" w:color="000000" w:fill="000000"/>
                <w:fitText w:val="325" w:id="-691363069"/>
                <w14:textFill>
                  <w14:solidFill>
                    <w14:srgbClr w14:val="000000">
                      <w14:alpha w14:val="100000"/>
                    </w14:srgbClr>
                  </w14:solidFill>
                </w14:textFill>
              </w:rPr>
              <w:t>|</w:t>
            </w:r>
            <w:r w:rsidR="00680C1D" w:rsidRPr="00E37A83">
              <w:t xml:space="preserve"> percentage points each year</w:t>
            </w:r>
            <w:r w:rsidR="00680C1D">
              <w:t xml:space="preserve"> for the first </w:t>
            </w:r>
            <w:r w:rsidR="00B10EDC">
              <w:t>six</w:t>
            </w:r>
            <w:r w:rsidR="00680C1D">
              <w:t xml:space="preserve"> years of listing (i.e. </w:t>
            </w:r>
            <w:r w:rsidRPr="00A137D7">
              <w:rPr>
                <w:color w:val="000000"/>
                <w:spacing w:val="55"/>
                <w:shd w:val="solid" w:color="000000" w:fill="000000"/>
                <w:fitText w:val="338" w:id="-691363068"/>
                <w14:textFill>
                  <w14:solidFill>
                    <w14:srgbClr w14:val="000000">
                      <w14:alpha w14:val="100000"/>
                    </w14:srgbClr>
                  </w14:solidFill>
                </w14:textFill>
              </w:rPr>
              <w:t>|||</w:t>
            </w:r>
            <w:r w:rsidRPr="00A137D7">
              <w:rPr>
                <w:color w:val="000000"/>
                <w:spacing w:val="3"/>
                <w:shd w:val="solid" w:color="000000" w:fill="000000"/>
                <w:fitText w:val="338" w:id="-691363068"/>
                <w14:textFill>
                  <w14:solidFill>
                    <w14:srgbClr w14:val="000000">
                      <w14:alpha w14:val="100000"/>
                    </w14:srgbClr>
                  </w14:solidFill>
                </w14:textFill>
              </w:rPr>
              <w:t>|</w:t>
            </w:r>
            <w:r w:rsidR="00BA5B90">
              <w:rPr>
                <w:vertAlign w:val="superscript"/>
              </w:rPr>
              <w:t>1</w:t>
            </w:r>
            <w:r w:rsidR="00680C1D">
              <w:t xml:space="preserve"> patients in Year </w:t>
            </w:r>
            <w:r w:rsidR="00D87FE9">
              <w:t>6</w:t>
            </w:r>
            <w:r w:rsidR="00680C1D">
              <w:t>)</w:t>
            </w:r>
          </w:p>
        </w:tc>
      </w:tr>
    </w:tbl>
    <w:p w14:paraId="0B7C2897" w14:textId="77777777" w:rsidR="00680C1D" w:rsidRDefault="00680C1D" w:rsidP="00873AF3">
      <w:pPr>
        <w:pStyle w:val="TableFooter"/>
        <w:widowControl/>
      </w:pPr>
      <w:r w:rsidRPr="00DE1E51">
        <w:t xml:space="preserve">Source: </w:t>
      </w:r>
      <w:r>
        <w:t>Compiled during preparation of the PBAC Minutes</w:t>
      </w:r>
    </w:p>
    <w:p w14:paraId="6BD73ECE" w14:textId="7249BF43" w:rsidR="008D1E15" w:rsidRDefault="008D1E15" w:rsidP="00873AF3">
      <w:pPr>
        <w:pStyle w:val="TableFooter"/>
        <w:widowControl/>
        <w:rPr>
          <w:rFonts w:cs="Calibri"/>
          <w:i/>
          <w:iCs/>
        </w:rPr>
      </w:pPr>
      <w:r w:rsidRPr="008D1E15">
        <w:rPr>
          <w:rFonts w:cs="Calibri"/>
          <w:i/>
          <w:iCs/>
        </w:rPr>
        <w:t>The redacted values correspond to the following ranges:</w:t>
      </w:r>
    </w:p>
    <w:p w14:paraId="4C35205B" w14:textId="6E7C4932" w:rsidR="00C3335D" w:rsidRPr="00C3335D" w:rsidRDefault="00C3335D" w:rsidP="00873AF3">
      <w:pPr>
        <w:pStyle w:val="TableFooter"/>
        <w:widowControl/>
        <w:rPr>
          <w:rFonts w:cs="Calibri"/>
          <w:i/>
          <w:iCs/>
        </w:rPr>
      </w:pPr>
      <w:r>
        <w:rPr>
          <w:rFonts w:cs="Calibri"/>
          <w:i/>
          <w:iCs/>
          <w:vertAlign w:val="superscript"/>
        </w:rPr>
        <w:t xml:space="preserve">1 </w:t>
      </w:r>
      <w:r w:rsidRPr="00C3335D">
        <w:rPr>
          <w:rFonts w:cs="Calibri"/>
          <w:i/>
          <w:iCs/>
        </w:rPr>
        <w:t>500 to &lt; 5,000</w:t>
      </w:r>
    </w:p>
    <w:p w14:paraId="19680E4A" w14:textId="17381CF3" w:rsidR="00061AF4" w:rsidRPr="003158CC" w:rsidRDefault="00323FA0" w:rsidP="00873AF3">
      <w:pPr>
        <w:pStyle w:val="COMexecsummnumbered"/>
        <w:rPr>
          <w:lang w:val="en-GB"/>
        </w:rPr>
      </w:pPr>
      <w:r w:rsidRPr="00323FA0">
        <w:rPr>
          <w:lang w:val="en-GB"/>
        </w:rPr>
        <w:t>The PBAC considered that uptake rates would be the largest source of uncertainty in the financial estimates, particularly given the range of patients currently taking IVIg (with new patients and existing IVIg users with ongoing functional impairment expected to have substantially higher uptake than those prevalent patients already established on IVIg) and also given that the uptake rates would need to account for: any additional eligible patients (e.g. patients who are not responding to, or who are unable to be treated with IVIg); the PBS restriction being narrower than the current IVIg criteria; and the stopping rules (as these would generally mirror how IVIg is used in practice).</w:t>
      </w:r>
    </w:p>
    <w:p w14:paraId="11118C72" w14:textId="77777777" w:rsidR="00D45FB4" w:rsidRPr="00CE706B" w:rsidRDefault="00D45FB4" w:rsidP="00873AF3">
      <w:pPr>
        <w:pStyle w:val="COMH2-non-numbered"/>
      </w:pPr>
      <w:bookmarkStart w:id="81" w:name="_Toc22897649"/>
      <w:bookmarkStart w:id="82" w:name="_Toc188272897"/>
      <w:r w:rsidRPr="00CE706B">
        <w:t>Financial Management – Risk Sharing Arrangements</w:t>
      </w:r>
      <w:bookmarkEnd w:id="81"/>
      <w:bookmarkEnd w:id="82"/>
    </w:p>
    <w:p w14:paraId="6945BD2A" w14:textId="6B9E46DE" w:rsidR="00D45FB4" w:rsidRPr="003158CC" w:rsidRDefault="00D45FB4" w:rsidP="00873AF3">
      <w:pPr>
        <w:pStyle w:val="COMexecsummnumbered"/>
      </w:pPr>
      <w:r w:rsidRPr="00CE706B">
        <w:t xml:space="preserve">The </w:t>
      </w:r>
      <w:r w:rsidRPr="003158CC">
        <w:t xml:space="preserve">sponsor proposed a risk sharing arrangement </w:t>
      </w:r>
      <w:r w:rsidR="005E30BA">
        <w:t xml:space="preserve">(RSA) </w:t>
      </w:r>
      <w:r w:rsidRPr="003158CC">
        <w:t>based on the financial estimates presented in the submission. No further details were provided.</w:t>
      </w:r>
    </w:p>
    <w:p w14:paraId="654F5282" w14:textId="2926436B" w:rsidR="008D4B88" w:rsidRDefault="008D4B88" w:rsidP="00873AF3">
      <w:pPr>
        <w:pStyle w:val="COMexecsummnumbered"/>
        <w:rPr>
          <w:lang w:val="en-GB"/>
        </w:rPr>
      </w:pPr>
      <w:r w:rsidRPr="003158CC">
        <w:rPr>
          <w:lang w:val="en-GB"/>
        </w:rPr>
        <w:t>The ESC considered that a single RSA that includes all of the new PBS listed treatments would be required to mitigate the risk of use outside the intended restriction. The ESC considered that for efgartigimod and rozanolixizumab the RSA would also need to mitigate the risk of an increase in the frequency of cycles received over time.</w:t>
      </w:r>
    </w:p>
    <w:p w14:paraId="67BB5C68" w14:textId="6B4F4660" w:rsidR="00C429B1" w:rsidRDefault="00C429B1" w:rsidP="00873AF3">
      <w:pPr>
        <w:pStyle w:val="COMexecsummnumbered"/>
        <w:numPr>
          <w:ilvl w:val="0"/>
          <w:numId w:val="0"/>
        </w:numPr>
        <w:ind w:left="709"/>
        <w:rPr>
          <w:lang w:val="en-GB"/>
        </w:rPr>
      </w:pPr>
      <w:r w:rsidRPr="00A45D81">
        <w:rPr>
          <w:i/>
          <w:iCs/>
          <w:lang w:val="en-GB"/>
        </w:rPr>
        <w:t xml:space="preserve">For more detail on PBAC’s view, see section </w:t>
      </w:r>
      <w:r w:rsidR="00BB4E8F" w:rsidRPr="00A45D81">
        <w:rPr>
          <w:i/>
          <w:iCs/>
          <w:lang w:val="en-GB"/>
        </w:rPr>
        <w:t xml:space="preserve">8 </w:t>
      </w:r>
      <w:r w:rsidRPr="00A45D81">
        <w:rPr>
          <w:i/>
          <w:iCs/>
          <w:lang w:val="en-GB"/>
        </w:rPr>
        <w:t>PBAC outcome</w:t>
      </w:r>
      <w:r w:rsidRPr="00C61500">
        <w:rPr>
          <w:lang w:val="en-GB"/>
        </w:rPr>
        <w:t>.</w:t>
      </w:r>
    </w:p>
    <w:p w14:paraId="4C276827" w14:textId="2D36C9A1" w:rsidR="0057282E" w:rsidRDefault="00CC0F36" w:rsidP="00873AF3">
      <w:pPr>
        <w:keepNext/>
        <w:numPr>
          <w:ilvl w:val="0"/>
          <w:numId w:val="1"/>
        </w:numPr>
        <w:spacing w:before="240" w:after="120"/>
        <w:jc w:val="left"/>
        <w:outlineLvl w:val="0"/>
        <w:rPr>
          <w:rFonts w:asciiTheme="minorHAnsi" w:hAnsiTheme="minorHAnsi"/>
          <w:b/>
          <w:snapToGrid w:val="0"/>
          <w:sz w:val="32"/>
          <w:szCs w:val="32"/>
        </w:rPr>
      </w:pPr>
      <w:bookmarkStart w:id="83" w:name="_Hlk76381249"/>
      <w:bookmarkStart w:id="84" w:name="_Hlk76377955"/>
      <w:r w:rsidRPr="00CC0F36">
        <w:rPr>
          <w:rFonts w:asciiTheme="minorHAnsi" w:hAnsiTheme="minorHAnsi"/>
          <w:b/>
          <w:snapToGrid w:val="0"/>
          <w:sz w:val="32"/>
          <w:szCs w:val="32"/>
        </w:rPr>
        <w:t>ESC Advice relevant across the four gMG submissions</w:t>
      </w:r>
    </w:p>
    <w:p w14:paraId="4767BB4F" w14:textId="77777777" w:rsidR="000A2A45" w:rsidRPr="000A2A45" w:rsidRDefault="000A2A45" w:rsidP="00873AF3">
      <w:pPr>
        <w:pStyle w:val="COMH4"/>
        <w:rPr>
          <w:snapToGrid w:val="0"/>
          <w:lang w:val="en-GB"/>
        </w:rPr>
      </w:pPr>
      <w:r w:rsidRPr="000A2A45">
        <w:rPr>
          <w:snapToGrid w:val="0"/>
          <w:lang w:val="en-GB"/>
        </w:rPr>
        <w:t>ESC’s view on the appropriate restriction and place for the new therapies</w:t>
      </w:r>
    </w:p>
    <w:p w14:paraId="7189AB86" w14:textId="77777777" w:rsidR="000A2A45" w:rsidRPr="000A2A45" w:rsidRDefault="000A2A45" w:rsidP="00873AF3">
      <w:pPr>
        <w:pStyle w:val="COMexecsummnumbered"/>
        <w:rPr>
          <w:snapToGrid w:val="0"/>
          <w:lang w:val="en-GB"/>
        </w:rPr>
      </w:pPr>
      <w:r w:rsidRPr="000A2A45">
        <w:rPr>
          <w:snapToGrid w:val="0"/>
          <w:lang w:val="en-GB"/>
        </w:rPr>
        <w:t xml:space="preserve">The Economics Sub-Committee (ESC) noted that there are two key, distinct places in therapy which may be feasible for PBS-listing of the new therapies for gMG (zilucoplan, ravulizumab, efgartigimod alfa and rozanolixizumab): </w:t>
      </w:r>
    </w:p>
    <w:p w14:paraId="49862E1D" w14:textId="77777777" w:rsidR="000A2A45" w:rsidRPr="000A2A45" w:rsidRDefault="000A2A45" w:rsidP="00873AF3">
      <w:pPr>
        <w:pStyle w:val="COMexecsummnumbered"/>
        <w:numPr>
          <w:ilvl w:val="1"/>
          <w:numId w:val="14"/>
        </w:numPr>
        <w:ind w:left="1134"/>
        <w:rPr>
          <w:snapToGrid w:val="0"/>
          <w:lang w:val="en-GB"/>
        </w:rPr>
      </w:pPr>
      <w:r w:rsidRPr="000A2A45">
        <w:rPr>
          <w:snapToGrid w:val="0"/>
          <w:lang w:val="en-GB"/>
        </w:rPr>
        <w:t xml:space="preserve">early in the treatment algorithm, in combination with standard therapy to provide symptom relief whilst remission induction occurs, often referred to as ‘bridging therapy’; and </w:t>
      </w:r>
    </w:p>
    <w:p w14:paraId="3BA3E0E2" w14:textId="77777777" w:rsidR="000A2A45" w:rsidRPr="000A2A45" w:rsidRDefault="000A2A45" w:rsidP="00873AF3">
      <w:pPr>
        <w:pStyle w:val="COMexecsummnumbered"/>
        <w:numPr>
          <w:ilvl w:val="1"/>
          <w:numId w:val="14"/>
        </w:numPr>
        <w:ind w:left="1134"/>
        <w:rPr>
          <w:snapToGrid w:val="0"/>
        </w:rPr>
      </w:pPr>
      <w:r w:rsidRPr="000A2A45">
        <w:rPr>
          <w:snapToGrid w:val="0"/>
        </w:rPr>
        <w:t>later in the disease course in refractory patients.</w:t>
      </w:r>
    </w:p>
    <w:p w14:paraId="18F7097B" w14:textId="77777777" w:rsidR="000A2A45" w:rsidRPr="000A2A45" w:rsidRDefault="000A2A45" w:rsidP="00873AF3">
      <w:pPr>
        <w:pStyle w:val="COMexecsummnumbered"/>
        <w:numPr>
          <w:ilvl w:val="0"/>
          <w:numId w:val="0"/>
        </w:numPr>
        <w:ind w:left="709"/>
        <w:rPr>
          <w:snapToGrid w:val="0"/>
          <w:lang w:val="en-GB"/>
        </w:rPr>
      </w:pPr>
      <w:r w:rsidRPr="000A2A45">
        <w:rPr>
          <w:snapToGrid w:val="0"/>
          <w:lang w:val="en-GB"/>
        </w:rPr>
        <w:t>The ESC considered that separate PBS restrictions would be required in each of these settings.</w:t>
      </w:r>
    </w:p>
    <w:p w14:paraId="5833832E" w14:textId="77777777" w:rsidR="000A2A45" w:rsidRPr="000A2A45" w:rsidRDefault="000A2A45" w:rsidP="00873AF3">
      <w:pPr>
        <w:pStyle w:val="COMexecsummnumbered"/>
        <w:rPr>
          <w:snapToGrid w:val="0"/>
        </w:rPr>
      </w:pPr>
      <w:r w:rsidRPr="000A2A45">
        <w:rPr>
          <w:snapToGrid w:val="0"/>
        </w:rPr>
        <w:t>The ESC recalled advice from the clinicians present at the gMG stakeholder meeting (May 2024)</w:t>
      </w:r>
      <w:r w:rsidRPr="000A2A45">
        <w:rPr>
          <w:snapToGrid w:val="0"/>
          <w:vertAlign w:val="superscript"/>
        </w:rPr>
        <w:t xml:space="preserve"> </w:t>
      </w:r>
      <w:r w:rsidRPr="000A2A45">
        <w:rPr>
          <w:snapToGrid w:val="0"/>
          <w:vertAlign w:val="superscript"/>
        </w:rPr>
        <w:footnoteReference w:id="4"/>
      </w:r>
      <w:r w:rsidRPr="000A2A45">
        <w:rPr>
          <w:snapToGrid w:val="0"/>
        </w:rPr>
        <w:t xml:space="preserve"> that the complement inhibitors should be available in both these settings. </w:t>
      </w:r>
    </w:p>
    <w:p w14:paraId="4B3C7133" w14:textId="7129CE5A" w:rsidR="000A2A45" w:rsidRPr="000A2A45" w:rsidRDefault="000A2A45" w:rsidP="00873AF3">
      <w:pPr>
        <w:pStyle w:val="COMexecsummnumbered"/>
        <w:rPr>
          <w:snapToGrid w:val="0"/>
        </w:rPr>
      </w:pPr>
      <w:r w:rsidRPr="000A2A45">
        <w:rPr>
          <w:snapToGrid w:val="0"/>
        </w:rPr>
        <w:t>The ESC considered that in both settings, the new gMG therapies should substitute for IVIg and plasma exchange (PLEX) rather than be added on to or used in combination with these modalities.</w:t>
      </w:r>
    </w:p>
    <w:p w14:paraId="68CF842C" w14:textId="77777777" w:rsidR="000A2A45" w:rsidRPr="000A2A45" w:rsidRDefault="000A2A45" w:rsidP="00873AF3">
      <w:pPr>
        <w:pStyle w:val="COMH4"/>
        <w:rPr>
          <w:snapToGrid w:val="0"/>
        </w:rPr>
      </w:pPr>
      <w:r w:rsidRPr="000A2A45">
        <w:rPr>
          <w:snapToGrid w:val="0"/>
        </w:rPr>
        <w:t>Bridging setting</w:t>
      </w:r>
    </w:p>
    <w:p w14:paraId="7C0E733B" w14:textId="5F2694FE" w:rsidR="000A2A45" w:rsidRPr="000A2A45" w:rsidRDefault="000A2A45" w:rsidP="00873AF3">
      <w:pPr>
        <w:pStyle w:val="COMexecsummnumbered"/>
        <w:rPr>
          <w:snapToGrid w:val="0"/>
          <w:lang w:val="en-GB"/>
        </w:rPr>
      </w:pPr>
      <w:r w:rsidRPr="000A2A45">
        <w:rPr>
          <w:snapToGrid w:val="0"/>
          <w:lang w:val="en-GB"/>
        </w:rPr>
        <w:t>In terms of bridging therapy, the ESC recalled that the stakeholder meeting had discussed that specific patient criteria should be determined (e.g. a hypothetical case study of a typical patient who could benefit from the new therapies was discussed which took into account the patient’s response to standard therapy). The ESC considered that any PBS restriction for bridging therapy should require the patient to have trialled at least three months of combination therapy with all three of: a</w:t>
      </w:r>
      <w:r w:rsidR="000159C2">
        <w:rPr>
          <w:snapToGrid w:val="0"/>
          <w:lang w:val="en-GB"/>
        </w:rPr>
        <w:t>n</w:t>
      </w:r>
      <w:r w:rsidRPr="000A2A45">
        <w:rPr>
          <w:snapToGrid w:val="0"/>
          <w:lang w:val="en-GB"/>
        </w:rPr>
        <w:t xml:space="preserve"> NS-IST; plus an anti-cholinesterase; plus a corticosteroid. The restriction should require these therapies to have been used at optimised dosing (though specific doses should not be outlined in the PBS restriction, to enable clinician judgement), unless contraindicated or severely intolerant. As such, the ESC considered that the timing of initiation of the new therapy should be based on a minimum of three months having elapsed since initiation of the NS-IST. Further, the ESC considered that the intention would be for the NS-IST to be continued concurrently with the new gMG therapy (unless contraindicated or severely intolerant).</w:t>
      </w:r>
      <w:r w:rsidR="00163656">
        <w:rPr>
          <w:snapToGrid w:val="0"/>
          <w:lang w:val="en-GB"/>
        </w:rPr>
        <w:t xml:space="preserve"> </w:t>
      </w:r>
      <w:bookmarkStart w:id="85" w:name="_Hlk194063247"/>
      <w:r w:rsidR="002A0A0D">
        <w:rPr>
          <w:rFonts w:ascii="Calibri" w:hAnsi="Calibri" w:cs="Calibri"/>
          <w:lang w:val="en-GB"/>
        </w:rPr>
        <w:t>Refer to paragraphs 8.</w:t>
      </w:r>
      <w:r w:rsidR="00B805DC">
        <w:rPr>
          <w:rFonts w:ascii="Calibri" w:hAnsi="Calibri" w:cs="Calibri"/>
          <w:lang w:val="en-GB"/>
        </w:rPr>
        <w:t>6</w:t>
      </w:r>
      <w:r w:rsidR="002A0A0D">
        <w:rPr>
          <w:rFonts w:ascii="Calibri" w:hAnsi="Calibri" w:cs="Calibri"/>
          <w:lang w:val="en-GB"/>
        </w:rPr>
        <w:t xml:space="preserve"> to 8.</w:t>
      </w:r>
      <w:r w:rsidR="00B805DC">
        <w:rPr>
          <w:rFonts w:ascii="Calibri" w:hAnsi="Calibri" w:cs="Calibri"/>
          <w:lang w:val="en-GB"/>
        </w:rPr>
        <w:t>13</w:t>
      </w:r>
      <w:r w:rsidR="002A0A0D">
        <w:rPr>
          <w:rFonts w:ascii="Calibri" w:hAnsi="Calibri" w:cs="Calibri"/>
          <w:lang w:val="en-GB"/>
        </w:rPr>
        <w:t xml:space="preserve"> for the PBAC’s advice regarding the restriction criteria.</w:t>
      </w:r>
      <w:bookmarkEnd w:id="85"/>
    </w:p>
    <w:p w14:paraId="5167AA2D" w14:textId="77777777" w:rsidR="000A2A45" w:rsidRPr="000A2A45" w:rsidRDefault="000A2A45" w:rsidP="00873AF3">
      <w:pPr>
        <w:pStyle w:val="COMexecsummnumbered"/>
        <w:rPr>
          <w:snapToGrid w:val="0"/>
        </w:rPr>
      </w:pPr>
      <w:r w:rsidRPr="000A2A45">
        <w:rPr>
          <w:snapToGrid w:val="0"/>
        </w:rPr>
        <w:t xml:space="preserve">The ESC considered that a key issue in the bridging setting would be the potential for ongoing use of the new therapies in patients who would have responded to standard therapy, or whose condition would have improved over time (given the potential for recovery of receptors in gMG). As such, the ESC reiterated the advice from the stakeholder meeting that there should be robust stopping rules to prevent ongoing use. </w:t>
      </w:r>
    </w:p>
    <w:p w14:paraId="10F8510C" w14:textId="77777777" w:rsidR="000A2A45" w:rsidRPr="000A2A45" w:rsidRDefault="000A2A45" w:rsidP="00873AF3">
      <w:pPr>
        <w:pStyle w:val="COMexecsummnumbered"/>
        <w:rPr>
          <w:snapToGrid w:val="0"/>
          <w:lang w:val="en-GB"/>
        </w:rPr>
      </w:pPr>
      <w:bookmarkStart w:id="86" w:name="_Ref193200650"/>
      <w:r w:rsidRPr="000A2A45">
        <w:rPr>
          <w:snapToGrid w:val="0"/>
          <w:lang w:val="en-GB"/>
        </w:rPr>
        <w:t>The ESC considered that, overall, the primary literature suggests that most patients generally respond to NS-ISTs within 12 months, with many patients responding within the first one to six months.</w:t>
      </w:r>
      <w:r w:rsidRPr="000A2A45">
        <w:rPr>
          <w:snapToGrid w:val="0"/>
          <w:vertAlign w:val="superscript"/>
          <w:lang w:val="en-GB"/>
        </w:rPr>
        <w:footnoteReference w:id="5"/>
      </w:r>
      <w:r w:rsidRPr="000A2A45">
        <w:rPr>
          <w:snapToGrid w:val="0"/>
          <w:vertAlign w:val="superscript"/>
          <w:lang w:val="en-GB"/>
        </w:rPr>
        <w:t>,</w:t>
      </w:r>
      <w:r w:rsidRPr="000A2A45">
        <w:rPr>
          <w:snapToGrid w:val="0"/>
          <w:vertAlign w:val="superscript"/>
          <w:lang w:val="en-GB"/>
        </w:rPr>
        <w:footnoteReference w:id="6"/>
      </w:r>
      <w:r w:rsidRPr="000A2A45">
        <w:rPr>
          <w:snapToGrid w:val="0"/>
          <w:lang w:val="en-GB"/>
        </w:rPr>
        <w:t xml:space="preserve"> The ESC considered that any PBS restriction for bridging therapy should require the patient to cease the new therapy after around six months of treatment (acknowledging that variations in treatment duration between therapies may be required to align with treatment courses). After three months of therapy cessation (i.e. a total of at least 12 months since NS-IST initiation), patients whose condition remains uncontrolled may recommence under the refractory listing. Overall, the maximum treatment duration in the bridging setting would be around six months.</w:t>
      </w:r>
      <w:bookmarkEnd w:id="86"/>
      <w:r w:rsidRPr="000A2A45">
        <w:rPr>
          <w:snapToGrid w:val="0"/>
          <w:lang w:val="en-GB"/>
        </w:rPr>
        <w:t xml:space="preserve"> </w:t>
      </w:r>
    </w:p>
    <w:p w14:paraId="214A04E4" w14:textId="466F526C" w:rsidR="000A2A45" w:rsidRPr="000A2A45" w:rsidRDefault="000A2A45" w:rsidP="00873AF3">
      <w:pPr>
        <w:pStyle w:val="COMexecsummnumbered"/>
        <w:rPr>
          <w:snapToGrid w:val="0"/>
          <w:lang w:val="en-GB"/>
        </w:rPr>
      </w:pPr>
      <w:r w:rsidRPr="000A2A45">
        <w:rPr>
          <w:snapToGrid w:val="0"/>
          <w:lang w:val="en-GB"/>
        </w:rPr>
        <w:t>The ESC considered that another key issue in the bridging setting was the lower level of certainty in the incremental benefit versus optimisation of existing therapies given the availability of therapies that are effective for many patients, and that this would impact on the cost-effectiveness of the new therapies. The ESC considered that it was unclear whether these concerns would be adequately addressed by limiting use in this setting to a maximum duration of six months, along with a combined RSA for any recommended drugs across both setting.</w:t>
      </w:r>
    </w:p>
    <w:p w14:paraId="2FAA55E7" w14:textId="77777777" w:rsidR="000A2A45" w:rsidRPr="000A2A45" w:rsidRDefault="000A2A45" w:rsidP="00873AF3">
      <w:pPr>
        <w:pStyle w:val="COMH4"/>
        <w:rPr>
          <w:snapToGrid w:val="0"/>
        </w:rPr>
      </w:pPr>
      <w:r w:rsidRPr="000A2A45">
        <w:rPr>
          <w:snapToGrid w:val="0"/>
        </w:rPr>
        <w:t>Refractory setting</w:t>
      </w:r>
    </w:p>
    <w:p w14:paraId="34AE45CD" w14:textId="77777777" w:rsidR="000A2A45" w:rsidRPr="000A2A45" w:rsidRDefault="000A2A45" w:rsidP="00873AF3">
      <w:pPr>
        <w:pStyle w:val="COMexecsummnumbered"/>
        <w:rPr>
          <w:snapToGrid w:val="0"/>
          <w:lang w:val="en-GB"/>
        </w:rPr>
      </w:pPr>
      <w:r w:rsidRPr="000A2A45">
        <w:rPr>
          <w:snapToGrid w:val="0"/>
          <w:lang w:val="en-GB"/>
        </w:rPr>
        <w:t>In terms of the treatment refractory setting, the ESC considered any PBS restriction should require the patient to have prior treatment for at least one year. The ESC considered that further work would be required to determine the specific therapies and durations.</w:t>
      </w:r>
    </w:p>
    <w:p w14:paraId="1CB89CDF" w14:textId="77777777" w:rsidR="000A2A45" w:rsidRPr="000A2A45" w:rsidRDefault="000A2A45" w:rsidP="00873AF3">
      <w:pPr>
        <w:pStyle w:val="COMH4"/>
        <w:rPr>
          <w:snapToGrid w:val="0"/>
        </w:rPr>
      </w:pPr>
      <w:r w:rsidRPr="000A2A45">
        <w:rPr>
          <w:snapToGrid w:val="0"/>
        </w:rPr>
        <w:t>Both settings</w:t>
      </w:r>
    </w:p>
    <w:p w14:paraId="7166D0DB" w14:textId="77777777" w:rsidR="000A2A45" w:rsidRPr="000A2A45" w:rsidRDefault="000A2A45" w:rsidP="00873AF3">
      <w:pPr>
        <w:pStyle w:val="COMexecsummnumbered"/>
        <w:rPr>
          <w:snapToGrid w:val="0"/>
        </w:rPr>
      </w:pPr>
      <w:r w:rsidRPr="000A2A45">
        <w:rPr>
          <w:snapToGrid w:val="0"/>
        </w:rPr>
        <w:t>The ESC considered that restrictions should be consistent across any new gMG therapies recommended for listing.</w:t>
      </w:r>
    </w:p>
    <w:p w14:paraId="10674418" w14:textId="77777777" w:rsidR="000A2A45" w:rsidRPr="000A2A45" w:rsidRDefault="000A2A45" w:rsidP="00873AF3">
      <w:pPr>
        <w:pStyle w:val="COMexecsummnumbered"/>
        <w:rPr>
          <w:snapToGrid w:val="0"/>
          <w:lang w:val="en-GB"/>
        </w:rPr>
      </w:pPr>
      <w:r w:rsidRPr="000A2A45">
        <w:rPr>
          <w:snapToGrid w:val="0"/>
          <w:lang w:val="en-GB"/>
        </w:rPr>
        <w:t>Across both settings, the following aspects of the restrictions would need to be determined:</w:t>
      </w:r>
    </w:p>
    <w:p w14:paraId="64ABFACC" w14:textId="569522D6" w:rsidR="000A2A45" w:rsidRPr="000A2A45" w:rsidRDefault="000A2A45" w:rsidP="00873AF3">
      <w:pPr>
        <w:pStyle w:val="COMexecsummnumbered"/>
        <w:numPr>
          <w:ilvl w:val="1"/>
          <w:numId w:val="15"/>
        </w:numPr>
        <w:ind w:left="1134" w:hanging="425"/>
        <w:rPr>
          <w:snapToGrid w:val="0"/>
        </w:rPr>
      </w:pPr>
      <w:r w:rsidRPr="000A2A45">
        <w:rPr>
          <w:snapToGrid w:val="0"/>
        </w:rPr>
        <w:t>functional impairment criteria</w:t>
      </w:r>
    </w:p>
    <w:p w14:paraId="34C15926" w14:textId="732E01F1" w:rsidR="000A2A45" w:rsidRPr="000A2A45" w:rsidRDefault="000A2A45" w:rsidP="00873AF3">
      <w:pPr>
        <w:pStyle w:val="COMexecsummnumbered"/>
        <w:numPr>
          <w:ilvl w:val="1"/>
          <w:numId w:val="15"/>
        </w:numPr>
        <w:ind w:left="1134" w:hanging="425"/>
        <w:rPr>
          <w:snapToGrid w:val="0"/>
        </w:rPr>
      </w:pPr>
      <w:r w:rsidRPr="000A2A45">
        <w:rPr>
          <w:snapToGrid w:val="0"/>
        </w:rPr>
        <w:t>response criteri</w:t>
      </w:r>
      <w:r w:rsidR="00C440A8">
        <w:rPr>
          <w:snapToGrid w:val="0"/>
        </w:rPr>
        <w:t>a</w:t>
      </w:r>
    </w:p>
    <w:p w14:paraId="7885D600" w14:textId="67744954" w:rsidR="000A2A45" w:rsidRPr="000A2A45" w:rsidRDefault="000A2A45" w:rsidP="00873AF3">
      <w:pPr>
        <w:pStyle w:val="COMexecsummnumbered"/>
        <w:numPr>
          <w:ilvl w:val="1"/>
          <w:numId w:val="15"/>
        </w:numPr>
        <w:ind w:left="1134" w:hanging="425"/>
        <w:rPr>
          <w:snapToGrid w:val="0"/>
        </w:rPr>
      </w:pPr>
      <w:r w:rsidRPr="000A2A45">
        <w:rPr>
          <w:snapToGrid w:val="0"/>
        </w:rPr>
        <w:t>requirements around prior and concomitant treatments</w:t>
      </w:r>
    </w:p>
    <w:p w14:paraId="416FBDFA" w14:textId="59278A3B" w:rsidR="000A2A45" w:rsidRPr="000A2A45" w:rsidRDefault="000A2A45" w:rsidP="00873AF3">
      <w:pPr>
        <w:pStyle w:val="COMexecsummnumbered"/>
        <w:numPr>
          <w:ilvl w:val="1"/>
          <w:numId w:val="15"/>
        </w:numPr>
        <w:ind w:left="1134" w:hanging="425"/>
        <w:rPr>
          <w:snapToGrid w:val="0"/>
          <w:lang w:val="en-GB"/>
        </w:rPr>
      </w:pPr>
      <w:r w:rsidRPr="000A2A45">
        <w:rPr>
          <w:snapToGrid w:val="0"/>
          <w:lang w:val="en-GB"/>
        </w:rPr>
        <w:t xml:space="preserve">restriction structure around: balance of supply; grandfather arrangements (where applicable); </w:t>
      </w:r>
      <w:r w:rsidR="00C440A8" w:rsidRPr="000A2A45">
        <w:rPr>
          <w:snapToGrid w:val="0"/>
          <w:lang w:val="en-GB"/>
        </w:rPr>
        <w:t>six-month</w:t>
      </w:r>
      <w:r w:rsidR="00C440A8">
        <w:rPr>
          <w:snapToGrid w:val="0"/>
          <w:lang w:val="en-GB"/>
        </w:rPr>
        <w:t xml:space="preserve"> </w:t>
      </w:r>
      <w:r w:rsidRPr="000A2A45">
        <w:rPr>
          <w:snapToGrid w:val="0"/>
          <w:lang w:val="en-GB"/>
        </w:rPr>
        <w:t xml:space="preserve">ion pathway between the bridging and refractory settings; any allowance for switching between the newer therapies; and recommencement in the refractory setting (if ceased for reasons other than loss of response or exceeding the </w:t>
      </w:r>
      <w:r w:rsidR="00371BEC" w:rsidRPr="000A2A45">
        <w:rPr>
          <w:snapToGrid w:val="0"/>
          <w:lang w:val="en-GB"/>
        </w:rPr>
        <w:t>six-month</w:t>
      </w:r>
      <w:r w:rsidRPr="000A2A45">
        <w:rPr>
          <w:snapToGrid w:val="0"/>
          <w:lang w:val="en-GB"/>
        </w:rPr>
        <w:t xml:space="preserve"> duration in the bridging setting). </w:t>
      </w:r>
    </w:p>
    <w:p w14:paraId="76D802F3" w14:textId="3254EA00" w:rsidR="000A2A45" w:rsidRPr="000A2A45" w:rsidRDefault="000A2A45" w:rsidP="00873AF3">
      <w:pPr>
        <w:pStyle w:val="COMexecsummnumbered"/>
        <w:rPr>
          <w:snapToGrid w:val="0"/>
        </w:rPr>
      </w:pPr>
      <w:bookmarkStart w:id="87" w:name="_Ref193201170"/>
      <w:r w:rsidRPr="000A2A45">
        <w:rPr>
          <w:snapToGrid w:val="0"/>
        </w:rPr>
        <w:t>The ESC noted that the NBA qualifying criteria for IVIg</w:t>
      </w:r>
      <w:r w:rsidRPr="000A2A45">
        <w:rPr>
          <w:snapToGrid w:val="0"/>
          <w:vertAlign w:val="superscript"/>
        </w:rPr>
        <w:footnoteReference w:id="7"/>
      </w:r>
      <w:r w:rsidRPr="000A2A45">
        <w:rPr>
          <w:snapToGrid w:val="0"/>
        </w:rPr>
        <w:t xml:space="preserve"> specifies that the patient has a Myasthenic Gravis Composite (MGC) of at least 4 points; and at least 2 other treatments are ineffective, contraindicated, unavailable or caused intolerable side effects. The ESC considered this was broad as the other treatments could comprise two of: an anti-cholinesterase; a corticosteroid; or thymectomy (i.e. there is no requirement for the patient to have trialled a </w:t>
      </w:r>
      <w:r w:rsidR="000159C2">
        <w:rPr>
          <w:snapToGrid w:val="0"/>
        </w:rPr>
        <w:t>NS-IST</w:t>
      </w:r>
      <w:r w:rsidRPr="000A2A45">
        <w:rPr>
          <w:snapToGrid w:val="0"/>
        </w:rPr>
        <w:t>) and no time periods are specified, nor is there a requirement for the doses to have been optimised.</w:t>
      </w:r>
      <w:bookmarkEnd w:id="87"/>
      <w:r w:rsidRPr="000A2A45">
        <w:rPr>
          <w:snapToGrid w:val="0"/>
        </w:rPr>
        <w:t xml:space="preserve"> </w:t>
      </w:r>
    </w:p>
    <w:p w14:paraId="57F60A07" w14:textId="77777777" w:rsidR="000A2A45" w:rsidRPr="000A2A45" w:rsidRDefault="000A2A45" w:rsidP="00873AF3">
      <w:pPr>
        <w:pStyle w:val="COMexecsummnumbered"/>
        <w:rPr>
          <w:snapToGrid w:val="0"/>
        </w:rPr>
      </w:pPr>
      <w:r w:rsidRPr="000A2A45">
        <w:rPr>
          <w:snapToGrid w:val="0"/>
        </w:rPr>
        <w:t xml:space="preserve">The ESC noted that the IVIg criteria are referred to as a ‘maintenance’ indication (i.e. “as maintenance therapy for moderate to severe MG when other treatments have been ineffective or caused intolerable side effects”), but that the criteria also stated “IVIg should be regarded as a stopgap treatment while using short-term drugs such as pyridostigmine and while introducing effective immunotherapy”. The ESC considered that it was likely </w:t>
      </w:r>
      <w:bookmarkStart w:id="88" w:name="_Hlk193978375"/>
      <w:r w:rsidRPr="000A2A45">
        <w:rPr>
          <w:snapToGrid w:val="0"/>
        </w:rPr>
        <w:t>that IVIg is being used in both the bridging and refractory settings</w:t>
      </w:r>
      <w:bookmarkEnd w:id="88"/>
      <w:r w:rsidRPr="000A2A45">
        <w:rPr>
          <w:snapToGrid w:val="0"/>
        </w:rPr>
        <w:t xml:space="preserve">. </w:t>
      </w:r>
    </w:p>
    <w:p w14:paraId="14EBA229" w14:textId="77777777" w:rsidR="000A2A45" w:rsidRPr="000A2A45" w:rsidRDefault="000A2A45" w:rsidP="00873AF3">
      <w:pPr>
        <w:pStyle w:val="COMexecsummnumbered"/>
        <w:rPr>
          <w:snapToGrid w:val="0"/>
        </w:rPr>
      </w:pPr>
      <w:r w:rsidRPr="000A2A45">
        <w:rPr>
          <w:snapToGrid w:val="0"/>
        </w:rPr>
        <w:t>In both settings, the ESC considered that the new gMG therapies should substitute for IVIg and PLEX rather than be added on or used in combination, and that a reduction in IVIg use would be expected. The ESC considered that:</w:t>
      </w:r>
    </w:p>
    <w:p w14:paraId="2EB8BCC9" w14:textId="3D8B64C4" w:rsidR="000A2A45" w:rsidRPr="000A2A45" w:rsidRDefault="000A2A45" w:rsidP="00873AF3">
      <w:pPr>
        <w:pStyle w:val="COMexecsummnumbered"/>
        <w:numPr>
          <w:ilvl w:val="1"/>
          <w:numId w:val="16"/>
        </w:numPr>
        <w:ind w:left="1134" w:hanging="425"/>
        <w:rPr>
          <w:snapToGrid w:val="0"/>
        </w:rPr>
      </w:pPr>
      <w:r w:rsidRPr="000A2A45">
        <w:rPr>
          <w:snapToGrid w:val="0"/>
        </w:rPr>
        <w:t xml:space="preserve">the PBS restriction should state that the new therapy should not be used in combination with maintenance </w:t>
      </w:r>
      <w:r w:rsidR="0021342D">
        <w:rPr>
          <w:snapToGrid w:val="0"/>
        </w:rPr>
        <w:t>use of</w:t>
      </w:r>
      <w:r w:rsidR="0021342D" w:rsidRPr="000A2A45">
        <w:rPr>
          <w:snapToGrid w:val="0"/>
        </w:rPr>
        <w:t xml:space="preserve"> </w:t>
      </w:r>
      <w:r w:rsidRPr="000A2A45">
        <w:rPr>
          <w:snapToGrid w:val="0"/>
        </w:rPr>
        <w:t>IVIg (although use of IVIg prior to surgery or in a myasthenic crisis should be permitted)</w:t>
      </w:r>
    </w:p>
    <w:p w14:paraId="002F4636" w14:textId="25C3B3D4" w:rsidR="000A2A45" w:rsidRPr="000A2A45" w:rsidRDefault="000A2A45" w:rsidP="00873AF3">
      <w:pPr>
        <w:pStyle w:val="COMexecsummnumbered"/>
        <w:numPr>
          <w:ilvl w:val="1"/>
          <w:numId w:val="16"/>
        </w:numPr>
        <w:ind w:left="1134"/>
        <w:rPr>
          <w:snapToGrid w:val="0"/>
        </w:rPr>
      </w:pPr>
      <w:r w:rsidRPr="000A2A45">
        <w:rPr>
          <w:snapToGrid w:val="0"/>
        </w:rPr>
        <w:t>there should be no requirement for the patient to have trialled prior IVIg (or PLEX)</w:t>
      </w:r>
    </w:p>
    <w:p w14:paraId="30A53B44" w14:textId="77777777" w:rsidR="000A2A45" w:rsidRPr="000A2A45" w:rsidRDefault="000A2A45" w:rsidP="00873AF3">
      <w:pPr>
        <w:pStyle w:val="COMexecsummnumbered"/>
        <w:numPr>
          <w:ilvl w:val="1"/>
          <w:numId w:val="16"/>
        </w:numPr>
        <w:ind w:left="1134"/>
        <w:rPr>
          <w:snapToGrid w:val="0"/>
        </w:rPr>
      </w:pPr>
      <w:r w:rsidRPr="000A2A45">
        <w:rPr>
          <w:snapToGrid w:val="0"/>
        </w:rPr>
        <w:t>amendments to the prescribing criteria for IVIg may be required, along with systems to ensure that the anticipated reductions in IVIg use are realised.</w:t>
      </w:r>
    </w:p>
    <w:p w14:paraId="4DDF7BA4" w14:textId="77777777" w:rsidR="000A2A45" w:rsidRPr="000A2A45" w:rsidRDefault="000A2A45" w:rsidP="00873AF3">
      <w:pPr>
        <w:pStyle w:val="COMH4"/>
        <w:rPr>
          <w:snapToGrid w:val="0"/>
        </w:rPr>
      </w:pPr>
      <w:r w:rsidRPr="000A2A45">
        <w:rPr>
          <w:snapToGrid w:val="0"/>
        </w:rPr>
        <w:t>ESC’s view on the comparator</w:t>
      </w:r>
    </w:p>
    <w:p w14:paraId="119725F0" w14:textId="77777777" w:rsidR="000A2A45" w:rsidRPr="000A2A45" w:rsidRDefault="000A2A45" w:rsidP="00873AF3">
      <w:pPr>
        <w:pStyle w:val="COMexecsummnumbered"/>
        <w:rPr>
          <w:snapToGrid w:val="0"/>
          <w:lang w:val="en-GB"/>
        </w:rPr>
      </w:pPr>
      <w:r w:rsidRPr="000A2A45">
        <w:rPr>
          <w:snapToGrid w:val="0"/>
          <w:lang w:val="en-GB"/>
        </w:rPr>
        <w:t xml:space="preserve">At its July 2024 meeting, the PBAC considered “for the non-refractory group, the comparator should be optimisation of existing therapies. For refractory patients and those who are unable to use or not responding to existing therapies, the PBAC acknowledged that there are variations in access to IVIg/PLEX and that any clinical comparisons may be limited by the lack of evidence for IVIg/PLEX. As such, the PBAC considered that placebo may be a reasonable comparator in this group. However, the PBAC considered that chronic IVIg/PLEX remained a relevant comparator for providing a frame of reference for interpreting the cost per patient of ravulizumab in the refractory setting” (paragraph 7.10, ravulizumab PSD, July 2024 PBAC meeting). </w:t>
      </w:r>
    </w:p>
    <w:p w14:paraId="6E97161E" w14:textId="77777777" w:rsidR="000A2A45" w:rsidRPr="000A2A45" w:rsidRDefault="000A2A45" w:rsidP="00873AF3">
      <w:pPr>
        <w:pStyle w:val="COMexecsummnumbered"/>
        <w:rPr>
          <w:snapToGrid w:val="0"/>
          <w:lang w:val="en-GB"/>
        </w:rPr>
      </w:pPr>
      <w:r w:rsidRPr="000A2A45">
        <w:rPr>
          <w:snapToGrid w:val="0"/>
          <w:lang w:val="en-GB"/>
        </w:rPr>
        <w:t>As such, the ESC reiterated the PBAC’s previous advice that chronic IVIg was a relevant comparator for providing a frame of reference for interpreting the cost per patient of the newer gMG therapies in the refractory setting.</w:t>
      </w:r>
    </w:p>
    <w:p w14:paraId="35386400" w14:textId="72B336A2" w:rsidR="000A2A45" w:rsidRPr="000A2A45" w:rsidRDefault="000A2A45" w:rsidP="00873AF3">
      <w:pPr>
        <w:pStyle w:val="COMexecsummnumbered"/>
        <w:rPr>
          <w:snapToGrid w:val="0"/>
        </w:rPr>
      </w:pPr>
      <w:r w:rsidRPr="000A2A45">
        <w:rPr>
          <w:snapToGrid w:val="0"/>
        </w:rPr>
        <w:t>The ESC considered that the four gMG therapies considered at the March 2025 meeting (efgartigimod, rozanolixizumab, ravulizumab and zilucoplan) were all near-market comparators to each other.</w:t>
      </w:r>
    </w:p>
    <w:p w14:paraId="4F612B71" w14:textId="77777777" w:rsidR="000A2A45" w:rsidRPr="000A2A45" w:rsidRDefault="000A2A45" w:rsidP="00873AF3">
      <w:pPr>
        <w:pStyle w:val="COMH4"/>
        <w:rPr>
          <w:snapToGrid w:val="0"/>
        </w:rPr>
      </w:pPr>
      <w:r w:rsidRPr="000A2A45">
        <w:rPr>
          <w:snapToGrid w:val="0"/>
        </w:rPr>
        <w:t>ESC’s view on the comparative effectiveness and safety</w:t>
      </w:r>
    </w:p>
    <w:p w14:paraId="5DCC66EA" w14:textId="77777777" w:rsidR="000A2A45" w:rsidRPr="000A2A45" w:rsidRDefault="000A2A45" w:rsidP="00873AF3">
      <w:pPr>
        <w:pStyle w:val="COMexecsummnumbered"/>
        <w:rPr>
          <w:snapToGrid w:val="0"/>
          <w:lang w:val="en-GB"/>
        </w:rPr>
      </w:pPr>
      <w:r w:rsidRPr="000A2A45">
        <w:rPr>
          <w:snapToGrid w:val="0"/>
          <w:lang w:val="en-GB"/>
        </w:rPr>
        <w:t xml:space="preserve">The ESC noted the PBAC’s previous advice that “for the non-refractory group, the comparator should be optimisation of existing therapies”, but that none of the trials for the new therapies required baseline therapies to have been optimised. </w:t>
      </w:r>
    </w:p>
    <w:p w14:paraId="0595092F" w14:textId="71C3B954" w:rsidR="000A2A45" w:rsidRPr="000A2A45" w:rsidRDefault="000A2A45" w:rsidP="00873AF3">
      <w:pPr>
        <w:pStyle w:val="COMexecsummnumbered"/>
        <w:rPr>
          <w:snapToGrid w:val="0"/>
          <w:lang w:val="en-GB"/>
        </w:rPr>
      </w:pPr>
      <w:r w:rsidRPr="000A2A45">
        <w:rPr>
          <w:snapToGrid w:val="0"/>
          <w:lang w:val="en-GB"/>
        </w:rPr>
        <w:t xml:space="preserve">The ESC considered that there was no evidence to suggest superior efficacy or safety between any of the four new gMG therapies (zilucoplan, ravulizumab, efgartigimod and rozanolixizumab). The ESC considered that the published </w:t>
      </w:r>
      <w:r w:rsidR="00823928">
        <w:rPr>
          <w:snapToGrid w:val="0"/>
          <w:lang w:val="en-GB"/>
        </w:rPr>
        <w:t>NMA</w:t>
      </w:r>
      <w:r w:rsidRPr="000A2A45">
        <w:rPr>
          <w:snapToGrid w:val="0"/>
          <w:lang w:val="en-GB"/>
        </w:rPr>
        <w:t>s had substantial limitations, notably the poor transitivity between the included trials and lack of accounting for the treatment effects of FcRn blockers waning over time during the off-treatment period.</w:t>
      </w:r>
    </w:p>
    <w:p w14:paraId="418E1250" w14:textId="77777777" w:rsidR="000A2A45" w:rsidRPr="000A2A45" w:rsidRDefault="000A2A45" w:rsidP="00873AF3">
      <w:pPr>
        <w:pStyle w:val="COMexecsummnumbered"/>
        <w:rPr>
          <w:snapToGrid w:val="0"/>
        </w:rPr>
      </w:pPr>
      <w:r w:rsidRPr="000A2A45">
        <w:rPr>
          <w:snapToGrid w:val="0"/>
        </w:rPr>
        <w:t>Further, the ESC acknowledged the limitations of the available evidence for chronic IVIg but considered that there was no evidence to suggest superior efficacy of any of the four new gMG therapies versus chronic IVIg or PLEX.</w:t>
      </w:r>
    </w:p>
    <w:p w14:paraId="0261506C" w14:textId="77777777" w:rsidR="000A2A45" w:rsidRPr="000A2A45" w:rsidRDefault="000A2A45" w:rsidP="00873AF3">
      <w:pPr>
        <w:pStyle w:val="COMH4"/>
        <w:rPr>
          <w:snapToGrid w:val="0"/>
        </w:rPr>
      </w:pPr>
      <w:r w:rsidRPr="000A2A45">
        <w:rPr>
          <w:snapToGrid w:val="0"/>
          <w:lang w:val="en-GB"/>
        </w:rPr>
        <w:t>ESC’s view on the e</w:t>
      </w:r>
      <w:r w:rsidRPr="000A2A45">
        <w:rPr>
          <w:snapToGrid w:val="0"/>
        </w:rPr>
        <w:t>conomic analysis</w:t>
      </w:r>
    </w:p>
    <w:p w14:paraId="6A56EC0A" w14:textId="77777777" w:rsidR="000A2A45" w:rsidRPr="000A2A45" w:rsidRDefault="000A2A45" w:rsidP="00873AF3">
      <w:pPr>
        <w:pStyle w:val="COMexecsummnumbered"/>
        <w:rPr>
          <w:snapToGrid w:val="0"/>
        </w:rPr>
      </w:pPr>
      <w:r w:rsidRPr="000A2A45">
        <w:rPr>
          <w:snapToGrid w:val="0"/>
        </w:rPr>
        <w:t xml:space="preserve">The ESC considered that any cost-utility analyses for the new therapies would be limited by the lack of available information to reliably inform the model. </w:t>
      </w:r>
    </w:p>
    <w:p w14:paraId="23AA2D4E" w14:textId="5612B351" w:rsidR="000A2A45" w:rsidRPr="000A2A45" w:rsidRDefault="000A2A45" w:rsidP="00873AF3">
      <w:pPr>
        <w:pStyle w:val="COMexecsummnumbered"/>
        <w:rPr>
          <w:snapToGrid w:val="0"/>
          <w:lang w:val="en-GB"/>
        </w:rPr>
      </w:pPr>
      <w:r w:rsidRPr="000A2A45">
        <w:rPr>
          <w:snapToGrid w:val="0"/>
          <w:lang w:val="en-GB"/>
        </w:rPr>
        <w:t>The ESC considered a cost-</w:t>
      </w:r>
      <w:r w:rsidR="002A0A0D">
        <w:rPr>
          <w:snapToGrid w:val="0"/>
          <w:lang w:val="en-GB"/>
        </w:rPr>
        <w:t>comparison</w:t>
      </w:r>
      <w:r w:rsidR="002A0A0D" w:rsidRPr="000A2A45">
        <w:rPr>
          <w:snapToGrid w:val="0"/>
          <w:lang w:val="en-GB"/>
        </w:rPr>
        <w:t xml:space="preserve"> </w:t>
      </w:r>
      <w:r w:rsidRPr="000A2A45">
        <w:rPr>
          <w:snapToGrid w:val="0"/>
          <w:lang w:val="en-GB"/>
        </w:rPr>
        <w:t>approach versus IVIg may provide an appropriate frame of reference for interpreting the cost of each of the four new therapies in the refractory setting. The ESC was less certain as to whether this approach would be appropriate in the bridging setting.</w:t>
      </w:r>
    </w:p>
    <w:p w14:paraId="5298C281" w14:textId="39C5BFD4" w:rsidR="000A2A45" w:rsidRPr="000A2A45" w:rsidRDefault="000A2A45" w:rsidP="00873AF3">
      <w:pPr>
        <w:pStyle w:val="COMexecsummnumbered"/>
        <w:rPr>
          <w:snapToGrid w:val="0"/>
        </w:rPr>
      </w:pPr>
      <w:r w:rsidRPr="000A2A45">
        <w:rPr>
          <w:snapToGrid w:val="0"/>
        </w:rPr>
        <w:fldChar w:fldCharType="begin" w:fldLock="1"/>
      </w:r>
      <w:r w:rsidRPr="000A2A45">
        <w:rPr>
          <w:snapToGrid w:val="0"/>
        </w:rPr>
        <w:instrText xml:space="preserve"> REF _Ref193116172 \h </w:instrText>
      </w:r>
      <w:r w:rsidRPr="000A2A45">
        <w:rPr>
          <w:snapToGrid w:val="0"/>
        </w:rPr>
      </w:r>
      <w:r w:rsidRPr="000A2A45">
        <w:rPr>
          <w:snapToGrid w:val="0"/>
        </w:rPr>
        <w:fldChar w:fldCharType="separate"/>
      </w:r>
      <w:r w:rsidR="00E70E55" w:rsidRPr="006C6609">
        <w:rPr>
          <w:szCs w:val="20"/>
        </w:rPr>
        <w:t xml:space="preserve">Table </w:t>
      </w:r>
      <w:r w:rsidR="00E70E55">
        <w:rPr>
          <w:noProof/>
          <w:szCs w:val="20"/>
        </w:rPr>
        <w:t>20</w:t>
      </w:r>
      <w:r w:rsidRPr="000A2A45">
        <w:rPr>
          <w:snapToGrid w:val="0"/>
        </w:rPr>
        <w:fldChar w:fldCharType="end"/>
      </w:r>
      <w:r w:rsidRPr="000A2A45">
        <w:rPr>
          <w:snapToGrid w:val="0"/>
        </w:rPr>
        <w:t xml:space="preserve"> summarises data received from the </w:t>
      </w:r>
      <w:r w:rsidR="00823928">
        <w:rPr>
          <w:snapToGrid w:val="0"/>
        </w:rPr>
        <w:t>NBA</w:t>
      </w:r>
      <w:r w:rsidRPr="000A2A45">
        <w:rPr>
          <w:snapToGrid w:val="0"/>
        </w:rPr>
        <w:t xml:space="preserve"> on the utilisation of IVIg as maintenance therapy for myasthenia gravis in 2023-24. </w:t>
      </w:r>
    </w:p>
    <w:p w14:paraId="3FEDEC2A" w14:textId="5A42FFE9" w:rsidR="0039611C" w:rsidRPr="006C6609" w:rsidRDefault="0039611C" w:rsidP="00873AF3">
      <w:pPr>
        <w:pStyle w:val="Caption"/>
        <w:keepNext/>
        <w:keepLines/>
        <w:rPr>
          <w:color w:val="3366FF"/>
          <w:szCs w:val="20"/>
        </w:rPr>
      </w:pPr>
      <w:bookmarkStart w:id="89" w:name="_Ref193116172"/>
      <w:r w:rsidRPr="006C6609">
        <w:rPr>
          <w:szCs w:val="20"/>
        </w:rPr>
        <w:t xml:space="preserve">Table </w:t>
      </w:r>
      <w:r w:rsidRPr="006C6609">
        <w:rPr>
          <w:szCs w:val="20"/>
        </w:rPr>
        <w:fldChar w:fldCharType="begin" w:fldLock="1"/>
      </w:r>
      <w:r w:rsidRPr="006C6609">
        <w:rPr>
          <w:szCs w:val="20"/>
        </w:rPr>
        <w:instrText xml:space="preserve"> SEQ Table \* ARABIC </w:instrText>
      </w:r>
      <w:r w:rsidRPr="006C6609">
        <w:rPr>
          <w:szCs w:val="20"/>
        </w:rPr>
        <w:fldChar w:fldCharType="separate"/>
      </w:r>
      <w:r w:rsidR="00E70E55">
        <w:rPr>
          <w:noProof/>
          <w:szCs w:val="20"/>
        </w:rPr>
        <w:t>20</w:t>
      </w:r>
      <w:r w:rsidRPr="006C6609">
        <w:rPr>
          <w:szCs w:val="20"/>
        </w:rPr>
        <w:fldChar w:fldCharType="end"/>
      </w:r>
      <w:bookmarkEnd w:id="89"/>
      <w:r w:rsidRPr="006C6609">
        <w:rPr>
          <w:szCs w:val="20"/>
        </w:rPr>
        <w:t>: Data received from the NBA on the use of IVIg for maintenance treatment of gMG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0: Data received from the NBA on the use of IVIg for maintenance treatment of gMG"/>
      </w:tblPr>
      <w:tblGrid>
        <w:gridCol w:w="6092"/>
        <w:gridCol w:w="2925"/>
      </w:tblGrid>
      <w:tr w:rsidR="0039611C" w:rsidRPr="00704B78" w14:paraId="7EEDD5C1" w14:textId="77777777" w:rsidTr="00BB7A7D">
        <w:tc>
          <w:tcPr>
            <w:tcW w:w="3378" w:type="pct"/>
            <w:vAlign w:val="center"/>
          </w:tcPr>
          <w:p w14:paraId="2589E718" w14:textId="77777777" w:rsidR="0039611C" w:rsidRPr="00704B78" w:rsidRDefault="0039611C" w:rsidP="00873AF3">
            <w:pPr>
              <w:pStyle w:val="COMTabletext"/>
              <w:keepLines/>
            </w:pPr>
            <w:r w:rsidRPr="00704B78">
              <w:t>Average cost per gram of IVIg (across all indications on the NBA)</w:t>
            </w:r>
          </w:p>
        </w:tc>
        <w:tc>
          <w:tcPr>
            <w:tcW w:w="1622" w:type="pct"/>
            <w:vAlign w:val="center"/>
          </w:tcPr>
          <w:p w14:paraId="36734369" w14:textId="0C4A0CA6" w:rsidR="0039611C" w:rsidRPr="00155DE3" w:rsidRDefault="0039611C" w:rsidP="00873AF3">
            <w:pPr>
              <w:pStyle w:val="COMTabletext"/>
              <w:keepLines/>
              <w:jc w:val="center"/>
            </w:pPr>
            <w:r w:rsidRPr="00155DE3">
              <w:t>$</w:t>
            </w:r>
            <w:r w:rsidR="00027A85" w:rsidRPr="00A137D7">
              <w:rPr>
                <w:color w:val="000000"/>
                <w:spacing w:val="53"/>
                <w:shd w:val="solid" w:color="000000" w:fill="000000"/>
                <w:fitText w:val="330" w:id="-656193266"/>
                <w14:textFill>
                  <w14:solidFill>
                    <w14:srgbClr w14:val="000000">
                      <w14:alpha w14:val="100000"/>
                    </w14:srgbClr>
                  </w14:solidFill>
                </w14:textFill>
              </w:rPr>
              <w:t>|||</w:t>
            </w:r>
            <w:r w:rsidR="00027A85" w:rsidRPr="00A137D7">
              <w:rPr>
                <w:color w:val="000000"/>
                <w:spacing w:val="1"/>
                <w:shd w:val="solid" w:color="000000" w:fill="000000"/>
                <w:fitText w:val="330" w:id="-656193266"/>
                <w14:textFill>
                  <w14:solidFill>
                    <w14:srgbClr w14:val="000000">
                      <w14:alpha w14:val="100000"/>
                    </w14:srgbClr>
                  </w14:solidFill>
                </w14:textFill>
              </w:rPr>
              <w:t>|</w:t>
            </w:r>
          </w:p>
        </w:tc>
      </w:tr>
      <w:tr w:rsidR="0039611C" w:rsidRPr="00704B78" w14:paraId="595970A0" w14:textId="77777777" w:rsidTr="00BB7A7D">
        <w:tc>
          <w:tcPr>
            <w:tcW w:w="5000" w:type="pct"/>
            <w:gridSpan w:val="2"/>
            <w:vAlign w:val="center"/>
          </w:tcPr>
          <w:p w14:paraId="052E3950" w14:textId="77777777" w:rsidR="0039611C" w:rsidRPr="00155DE3" w:rsidRDefault="0039611C" w:rsidP="00873AF3">
            <w:pPr>
              <w:pStyle w:val="COMTabletext"/>
              <w:keepLines/>
              <w:rPr>
                <w:b/>
              </w:rPr>
            </w:pPr>
            <w:r w:rsidRPr="00155DE3">
              <w:rPr>
                <w:b/>
              </w:rPr>
              <w:t>Data below is specific to the myasthenia gravis maintenance setting</w:t>
            </w:r>
          </w:p>
        </w:tc>
      </w:tr>
      <w:tr w:rsidR="0039611C" w:rsidRPr="00704B78" w14:paraId="7D1C654D" w14:textId="77777777" w:rsidTr="00BB7A7D">
        <w:tc>
          <w:tcPr>
            <w:tcW w:w="3378" w:type="pct"/>
            <w:vAlign w:val="center"/>
          </w:tcPr>
          <w:p w14:paraId="57429DAA" w14:textId="77777777" w:rsidR="0039611C" w:rsidRPr="00704B78" w:rsidRDefault="0039611C" w:rsidP="00873AF3">
            <w:pPr>
              <w:pStyle w:val="COMTabletext"/>
              <w:keepLines/>
            </w:pPr>
            <w:r w:rsidRPr="00704B78">
              <w:t xml:space="preserve">Average number of ‘dispensing events’ per patient in 2023-24 </w:t>
            </w:r>
          </w:p>
        </w:tc>
        <w:tc>
          <w:tcPr>
            <w:tcW w:w="1622" w:type="pct"/>
            <w:vAlign w:val="center"/>
          </w:tcPr>
          <w:p w14:paraId="31A7600B" w14:textId="77777777" w:rsidR="0039611C" w:rsidRPr="00155DE3" w:rsidRDefault="0039611C" w:rsidP="00873AF3">
            <w:pPr>
              <w:pStyle w:val="COMTabletext"/>
              <w:keepLines/>
              <w:jc w:val="center"/>
            </w:pPr>
            <w:r w:rsidRPr="00155DE3">
              <w:t>15.7 per patient per year</w:t>
            </w:r>
          </w:p>
        </w:tc>
      </w:tr>
      <w:tr w:rsidR="0039611C" w:rsidRPr="00704B78" w14:paraId="68C20973" w14:textId="77777777" w:rsidTr="00BB7A7D">
        <w:tc>
          <w:tcPr>
            <w:tcW w:w="3378" w:type="pct"/>
            <w:vAlign w:val="center"/>
          </w:tcPr>
          <w:p w14:paraId="45673CF9" w14:textId="77777777" w:rsidR="0039611C" w:rsidRPr="00704B78" w:rsidRDefault="0039611C" w:rsidP="00873AF3">
            <w:pPr>
              <w:pStyle w:val="COMTabletext"/>
              <w:keepLines/>
            </w:pPr>
            <w:r w:rsidRPr="00704B78">
              <w:t xml:space="preserve">Average total annual dose in 2023-24 </w:t>
            </w:r>
            <w:r w:rsidRPr="00704B78">
              <w:rPr>
                <w:vertAlign w:val="superscript"/>
              </w:rPr>
              <w:t>a</w:t>
            </w:r>
          </w:p>
        </w:tc>
        <w:tc>
          <w:tcPr>
            <w:tcW w:w="1622" w:type="pct"/>
            <w:vAlign w:val="center"/>
          </w:tcPr>
          <w:p w14:paraId="249AFBFE" w14:textId="41C85B65" w:rsidR="0039611C" w:rsidRPr="00155DE3" w:rsidRDefault="0039611C" w:rsidP="00873AF3">
            <w:pPr>
              <w:pStyle w:val="COMTabletext"/>
              <w:keepLines/>
              <w:jc w:val="center"/>
            </w:pPr>
            <w:r w:rsidRPr="00155DE3">
              <w:t>541.</w:t>
            </w:r>
            <w:r w:rsidR="007610B6" w:rsidRPr="00155DE3">
              <w:t>0625</w:t>
            </w:r>
            <w:r w:rsidRPr="00155DE3">
              <w:t xml:space="preserve"> grams</w:t>
            </w:r>
          </w:p>
        </w:tc>
      </w:tr>
      <w:tr w:rsidR="0039611C" w:rsidRPr="00704B78" w14:paraId="632FE6C9" w14:textId="77777777" w:rsidTr="00BB7A7D">
        <w:tc>
          <w:tcPr>
            <w:tcW w:w="3378" w:type="pct"/>
            <w:vAlign w:val="center"/>
          </w:tcPr>
          <w:p w14:paraId="76F17A3C" w14:textId="77777777" w:rsidR="0039611C" w:rsidRPr="00704B78" w:rsidRDefault="0039611C" w:rsidP="00873AF3">
            <w:pPr>
              <w:pStyle w:val="COMTabletext"/>
              <w:keepLines/>
            </w:pPr>
            <w:r w:rsidRPr="00704B78">
              <w:t>Average grams per ‘dispensing event’</w:t>
            </w:r>
          </w:p>
        </w:tc>
        <w:tc>
          <w:tcPr>
            <w:tcW w:w="1622" w:type="pct"/>
            <w:vAlign w:val="center"/>
          </w:tcPr>
          <w:p w14:paraId="28EB3A7F" w14:textId="77777777" w:rsidR="0039611C" w:rsidRPr="00155DE3" w:rsidRDefault="0039611C" w:rsidP="00873AF3">
            <w:pPr>
              <w:pStyle w:val="COMTabletext"/>
              <w:keepLines/>
              <w:jc w:val="center"/>
            </w:pPr>
            <w:r w:rsidRPr="00155DE3">
              <w:t>34.4 grams</w:t>
            </w:r>
          </w:p>
        </w:tc>
      </w:tr>
      <w:tr w:rsidR="0039611C" w:rsidRPr="00704B78" w14:paraId="474F2BCC" w14:textId="77777777" w:rsidTr="00BB7A7D">
        <w:tc>
          <w:tcPr>
            <w:tcW w:w="3378" w:type="pct"/>
            <w:vAlign w:val="center"/>
          </w:tcPr>
          <w:p w14:paraId="3FB5A641" w14:textId="77777777" w:rsidR="0039611C" w:rsidRPr="00704B78" w:rsidRDefault="0039611C" w:rsidP="00873AF3">
            <w:pPr>
              <w:pStyle w:val="COMTabletext"/>
              <w:keepLines/>
              <w:rPr>
                <w:vertAlign w:val="superscript"/>
              </w:rPr>
            </w:pPr>
            <w:r w:rsidRPr="00704B78">
              <w:t xml:space="preserve">Average cost per patient per year of IVIg for maintenance </w:t>
            </w:r>
            <w:r w:rsidRPr="00704B78">
              <w:rPr>
                <w:vertAlign w:val="superscript"/>
              </w:rPr>
              <w:t>a</w:t>
            </w:r>
          </w:p>
        </w:tc>
        <w:tc>
          <w:tcPr>
            <w:tcW w:w="1622" w:type="pct"/>
            <w:vAlign w:val="center"/>
          </w:tcPr>
          <w:p w14:paraId="36B7E168" w14:textId="1350EDE1" w:rsidR="0039611C" w:rsidRPr="00155DE3" w:rsidRDefault="0039611C" w:rsidP="00873AF3">
            <w:pPr>
              <w:pStyle w:val="COMTabletext"/>
              <w:keepLines/>
              <w:jc w:val="center"/>
            </w:pPr>
            <w:r w:rsidRPr="00155DE3">
              <w:t>$</w:t>
            </w:r>
            <w:r w:rsidR="00027A85" w:rsidRPr="00A137D7">
              <w:rPr>
                <w:color w:val="000000"/>
                <w:spacing w:val="53"/>
                <w:shd w:val="solid" w:color="000000" w:fill="000000"/>
                <w:fitText w:val="330" w:id="-656193265"/>
                <w14:textFill>
                  <w14:solidFill>
                    <w14:srgbClr w14:val="000000">
                      <w14:alpha w14:val="100000"/>
                    </w14:srgbClr>
                  </w14:solidFill>
                </w14:textFill>
              </w:rPr>
              <w:t>|||</w:t>
            </w:r>
            <w:r w:rsidR="00027A85" w:rsidRPr="00A137D7">
              <w:rPr>
                <w:color w:val="000000"/>
                <w:spacing w:val="1"/>
                <w:shd w:val="solid" w:color="000000" w:fill="000000"/>
                <w:fitText w:val="330" w:id="-656193265"/>
                <w14:textFill>
                  <w14:solidFill>
                    <w14:srgbClr w14:val="000000">
                      <w14:alpha w14:val="100000"/>
                    </w14:srgbClr>
                  </w14:solidFill>
                </w14:textFill>
              </w:rPr>
              <w:t>|</w:t>
            </w:r>
          </w:p>
        </w:tc>
      </w:tr>
      <w:tr w:rsidR="0039611C" w:rsidRPr="00704B78" w14:paraId="2C5AE07A" w14:textId="77777777" w:rsidTr="00BB7A7D">
        <w:tc>
          <w:tcPr>
            <w:tcW w:w="3378" w:type="pct"/>
            <w:vAlign w:val="center"/>
          </w:tcPr>
          <w:p w14:paraId="435002DB" w14:textId="77777777" w:rsidR="0039611C" w:rsidRPr="00704B78" w:rsidRDefault="0039611C" w:rsidP="00873AF3">
            <w:pPr>
              <w:pStyle w:val="COMTabletext"/>
              <w:keepLines/>
            </w:pPr>
            <w:r w:rsidRPr="00704B78">
              <w:t xml:space="preserve">Total number of patients treated with IVIg for maintenance in 2023-24 </w:t>
            </w:r>
          </w:p>
        </w:tc>
        <w:tc>
          <w:tcPr>
            <w:tcW w:w="1622" w:type="pct"/>
            <w:vAlign w:val="center"/>
          </w:tcPr>
          <w:p w14:paraId="6F8A6BEA" w14:textId="77777777" w:rsidR="0039611C" w:rsidRPr="00155DE3" w:rsidRDefault="0039611C" w:rsidP="00873AF3">
            <w:pPr>
              <w:pStyle w:val="COMTabletext"/>
              <w:keepLines/>
              <w:jc w:val="center"/>
            </w:pPr>
            <w:r w:rsidRPr="00155DE3">
              <w:t>1,324 patients</w:t>
            </w:r>
          </w:p>
        </w:tc>
      </w:tr>
      <w:tr w:rsidR="0039611C" w:rsidRPr="00704B78" w14:paraId="7DCCBBF6" w14:textId="77777777" w:rsidTr="00BB7A7D">
        <w:tc>
          <w:tcPr>
            <w:tcW w:w="3378" w:type="pct"/>
            <w:vAlign w:val="center"/>
          </w:tcPr>
          <w:p w14:paraId="35627486" w14:textId="77777777" w:rsidR="0039611C" w:rsidRPr="00704B78" w:rsidRDefault="0039611C" w:rsidP="00873AF3">
            <w:pPr>
              <w:pStyle w:val="COMTabletext"/>
              <w:keepLines/>
              <w:rPr>
                <w:vertAlign w:val="superscript"/>
              </w:rPr>
            </w:pPr>
            <w:r w:rsidRPr="00704B78">
              <w:t xml:space="preserve">Annual growth in the number of patients using IVIg for maintenance (from 2019-20 to 2023-24) </w:t>
            </w:r>
            <w:r w:rsidRPr="00704B78">
              <w:rPr>
                <w:vertAlign w:val="superscript"/>
              </w:rPr>
              <w:t>d</w:t>
            </w:r>
          </w:p>
        </w:tc>
        <w:tc>
          <w:tcPr>
            <w:tcW w:w="1622" w:type="pct"/>
            <w:vAlign w:val="center"/>
          </w:tcPr>
          <w:p w14:paraId="1D1D081B" w14:textId="77777777" w:rsidR="0039611C" w:rsidRPr="00155DE3" w:rsidRDefault="0039611C" w:rsidP="00873AF3">
            <w:pPr>
              <w:pStyle w:val="COMTabletext"/>
              <w:keepLines/>
              <w:jc w:val="center"/>
            </w:pPr>
            <w:r w:rsidRPr="00155DE3">
              <w:t>3.3%</w:t>
            </w:r>
          </w:p>
        </w:tc>
      </w:tr>
      <w:tr w:rsidR="0039611C" w:rsidRPr="00704B78" w14:paraId="0954BFBC" w14:textId="77777777" w:rsidTr="00BB7A7D">
        <w:tc>
          <w:tcPr>
            <w:tcW w:w="3378" w:type="pct"/>
            <w:vAlign w:val="center"/>
          </w:tcPr>
          <w:p w14:paraId="3253C980" w14:textId="77777777" w:rsidR="0039611C" w:rsidRPr="00704B78" w:rsidRDefault="0039611C" w:rsidP="00873AF3">
            <w:pPr>
              <w:pStyle w:val="COMTabletext"/>
              <w:keepLines/>
            </w:pPr>
            <w:r w:rsidRPr="00704B78">
              <w:t>Of the patients who were treated with IVIg for maintenance in 2023-24, the percent who:</w:t>
            </w:r>
          </w:p>
        </w:tc>
        <w:tc>
          <w:tcPr>
            <w:tcW w:w="1622" w:type="pct"/>
          </w:tcPr>
          <w:p w14:paraId="5365F42A" w14:textId="77777777" w:rsidR="0039611C" w:rsidRPr="00155DE3" w:rsidRDefault="0039611C" w:rsidP="00873AF3">
            <w:pPr>
              <w:pStyle w:val="COMTabletext"/>
              <w:keepLines/>
              <w:jc w:val="center"/>
            </w:pPr>
          </w:p>
        </w:tc>
      </w:tr>
      <w:tr w:rsidR="0039611C" w:rsidRPr="00704B78" w14:paraId="114887BF" w14:textId="77777777" w:rsidTr="00BB7A7D">
        <w:tc>
          <w:tcPr>
            <w:tcW w:w="3378" w:type="pct"/>
            <w:vAlign w:val="bottom"/>
          </w:tcPr>
          <w:p w14:paraId="134C45EC" w14:textId="77777777" w:rsidR="0039611C" w:rsidRPr="00704B78" w:rsidRDefault="0039611C" w:rsidP="00873AF3">
            <w:pPr>
              <w:pStyle w:val="COMTabletext"/>
              <w:keepLines/>
              <w:jc w:val="right"/>
            </w:pPr>
            <w:r w:rsidRPr="00704B78">
              <w:t>commenced more than 7 years ago</w:t>
            </w:r>
          </w:p>
        </w:tc>
        <w:tc>
          <w:tcPr>
            <w:tcW w:w="1622" w:type="pct"/>
            <w:vAlign w:val="bottom"/>
          </w:tcPr>
          <w:p w14:paraId="7023322B" w14:textId="77777777" w:rsidR="0039611C" w:rsidRPr="00155DE3" w:rsidRDefault="0039611C" w:rsidP="00873AF3">
            <w:pPr>
              <w:pStyle w:val="COMTabletext"/>
              <w:keepLines/>
              <w:jc w:val="center"/>
            </w:pPr>
            <w:r w:rsidRPr="00155DE3">
              <w:t>28.5%</w:t>
            </w:r>
          </w:p>
        </w:tc>
      </w:tr>
      <w:tr w:rsidR="0039611C" w:rsidRPr="00704B78" w14:paraId="33A09246" w14:textId="77777777" w:rsidTr="00BB7A7D">
        <w:tc>
          <w:tcPr>
            <w:tcW w:w="3378" w:type="pct"/>
            <w:vAlign w:val="bottom"/>
          </w:tcPr>
          <w:p w14:paraId="268C620F" w14:textId="77777777" w:rsidR="0039611C" w:rsidRPr="00704B78" w:rsidRDefault="0039611C" w:rsidP="00873AF3">
            <w:pPr>
              <w:pStyle w:val="COMTabletext"/>
              <w:keepLines/>
              <w:jc w:val="right"/>
            </w:pPr>
            <w:r w:rsidRPr="00704B78">
              <w:t>commenced 7 years ago</w:t>
            </w:r>
          </w:p>
        </w:tc>
        <w:tc>
          <w:tcPr>
            <w:tcW w:w="1622" w:type="pct"/>
            <w:vAlign w:val="bottom"/>
          </w:tcPr>
          <w:p w14:paraId="729AB1B6" w14:textId="77777777" w:rsidR="0039611C" w:rsidRPr="00155DE3" w:rsidRDefault="0039611C" w:rsidP="00873AF3">
            <w:pPr>
              <w:pStyle w:val="COMTabletext"/>
              <w:keepLines/>
              <w:jc w:val="center"/>
            </w:pPr>
            <w:r w:rsidRPr="00155DE3">
              <w:t>4.1%</w:t>
            </w:r>
          </w:p>
        </w:tc>
      </w:tr>
      <w:tr w:rsidR="0039611C" w:rsidRPr="00704B78" w14:paraId="50183341" w14:textId="77777777" w:rsidTr="00BB7A7D">
        <w:tc>
          <w:tcPr>
            <w:tcW w:w="3378" w:type="pct"/>
            <w:vAlign w:val="bottom"/>
          </w:tcPr>
          <w:p w14:paraId="32184459" w14:textId="77777777" w:rsidR="0039611C" w:rsidRPr="00704B78" w:rsidRDefault="0039611C" w:rsidP="00873AF3">
            <w:pPr>
              <w:pStyle w:val="COMTabletext"/>
              <w:keepLines/>
              <w:jc w:val="right"/>
            </w:pPr>
            <w:r w:rsidRPr="00704B78">
              <w:t>commenced 6 years ago</w:t>
            </w:r>
          </w:p>
        </w:tc>
        <w:tc>
          <w:tcPr>
            <w:tcW w:w="1622" w:type="pct"/>
            <w:vAlign w:val="bottom"/>
          </w:tcPr>
          <w:p w14:paraId="6802D7A8" w14:textId="77777777" w:rsidR="0039611C" w:rsidRPr="00155DE3" w:rsidRDefault="0039611C" w:rsidP="00873AF3">
            <w:pPr>
              <w:pStyle w:val="COMTabletext"/>
              <w:keepLines/>
              <w:jc w:val="center"/>
            </w:pPr>
            <w:r w:rsidRPr="00155DE3">
              <w:t>5.2%</w:t>
            </w:r>
          </w:p>
        </w:tc>
      </w:tr>
      <w:tr w:rsidR="0039611C" w:rsidRPr="00704B78" w14:paraId="1D11CC00" w14:textId="77777777" w:rsidTr="00BB7A7D">
        <w:tc>
          <w:tcPr>
            <w:tcW w:w="3378" w:type="pct"/>
            <w:vAlign w:val="bottom"/>
          </w:tcPr>
          <w:p w14:paraId="4B731BAE" w14:textId="77777777" w:rsidR="0039611C" w:rsidRPr="00704B78" w:rsidRDefault="0039611C" w:rsidP="00873AF3">
            <w:pPr>
              <w:pStyle w:val="COMTabletext"/>
              <w:keepLines/>
              <w:jc w:val="right"/>
            </w:pPr>
            <w:r w:rsidRPr="00704B78">
              <w:t>commenced 5 years ago</w:t>
            </w:r>
          </w:p>
        </w:tc>
        <w:tc>
          <w:tcPr>
            <w:tcW w:w="1622" w:type="pct"/>
            <w:vAlign w:val="bottom"/>
          </w:tcPr>
          <w:p w14:paraId="19F9BE9A" w14:textId="77777777" w:rsidR="0039611C" w:rsidRPr="00155DE3" w:rsidRDefault="0039611C" w:rsidP="00873AF3">
            <w:pPr>
              <w:pStyle w:val="COMTabletext"/>
              <w:keepLines/>
              <w:jc w:val="center"/>
            </w:pPr>
            <w:r w:rsidRPr="00155DE3">
              <w:t>6.9%</w:t>
            </w:r>
          </w:p>
        </w:tc>
      </w:tr>
      <w:tr w:rsidR="0039611C" w:rsidRPr="00704B78" w14:paraId="715CAADB" w14:textId="77777777" w:rsidTr="00BB7A7D">
        <w:tc>
          <w:tcPr>
            <w:tcW w:w="3378" w:type="pct"/>
            <w:vAlign w:val="bottom"/>
          </w:tcPr>
          <w:p w14:paraId="4ECBDC5D" w14:textId="77777777" w:rsidR="0039611C" w:rsidRPr="00704B78" w:rsidRDefault="0039611C" w:rsidP="00873AF3">
            <w:pPr>
              <w:pStyle w:val="COMTabletext"/>
              <w:keepLines/>
              <w:jc w:val="right"/>
            </w:pPr>
            <w:r w:rsidRPr="00704B78">
              <w:t>commenced 4 years ago</w:t>
            </w:r>
          </w:p>
        </w:tc>
        <w:tc>
          <w:tcPr>
            <w:tcW w:w="1622" w:type="pct"/>
            <w:vAlign w:val="bottom"/>
          </w:tcPr>
          <w:p w14:paraId="7DD1B6BF" w14:textId="77777777" w:rsidR="0039611C" w:rsidRPr="00155DE3" w:rsidRDefault="0039611C" w:rsidP="00873AF3">
            <w:pPr>
              <w:pStyle w:val="COMTabletext"/>
              <w:keepLines/>
              <w:jc w:val="center"/>
            </w:pPr>
            <w:r w:rsidRPr="00155DE3">
              <w:t>7.6%</w:t>
            </w:r>
          </w:p>
        </w:tc>
      </w:tr>
      <w:tr w:rsidR="0039611C" w:rsidRPr="00704B78" w14:paraId="0E52DE9F" w14:textId="77777777" w:rsidTr="00BB7A7D">
        <w:tc>
          <w:tcPr>
            <w:tcW w:w="3378" w:type="pct"/>
            <w:vAlign w:val="bottom"/>
          </w:tcPr>
          <w:p w14:paraId="0B137BF0" w14:textId="77777777" w:rsidR="0039611C" w:rsidRPr="00704B78" w:rsidRDefault="0039611C" w:rsidP="00873AF3">
            <w:pPr>
              <w:pStyle w:val="COMTabletext"/>
              <w:keepLines/>
              <w:jc w:val="right"/>
            </w:pPr>
            <w:r w:rsidRPr="00704B78">
              <w:t>commenced 3 years ago</w:t>
            </w:r>
          </w:p>
        </w:tc>
        <w:tc>
          <w:tcPr>
            <w:tcW w:w="1622" w:type="pct"/>
            <w:vAlign w:val="bottom"/>
          </w:tcPr>
          <w:p w14:paraId="05865AB7" w14:textId="77777777" w:rsidR="0039611C" w:rsidRPr="00155DE3" w:rsidRDefault="0039611C" w:rsidP="00873AF3">
            <w:pPr>
              <w:pStyle w:val="COMTabletext"/>
              <w:keepLines/>
              <w:jc w:val="center"/>
            </w:pPr>
            <w:r w:rsidRPr="00155DE3">
              <w:t>8.2%</w:t>
            </w:r>
          </w:p>
        </w:tc>
      </w:tr>
      <w:tr w:rsidR="0039611C" w:rsidRPr="00704B78" w14:paraId="0822AFA8" w14:textId="77777777" w:rsidTr="00BB7A7D">
        <w:tc>
          <w:tcPr>
            <w:tcW w:w="3378" w:type="pct"/>
            <w:vAlign w:val="bottom"/>
          </w:tcPr>
          <w:p w14:paraId="1C333FD2" w14:textId="77777777" w:rsidR="0039611C" w:rsidRPr="00704B78" w:rsidRDefault="0039611C" w:rsidP="00873AF3">
            <w:pPr>
              <w:pStyle w:val="COMTabletext"/>
              <w:keepLines/>
              <w:jc w:val="right"/>
            </w:pPr>
            <w:r w:rsidRPr="00704B78">
              <w:t>commenced 2 years ago</w:t>
            </w:r>
          </w:p>
        </w:tc>
        <w:tc>
          <w:tcPr>
            <w:tcW w:w="1622" w:type="pct"/>
            <w:vAlign w:val="bottom"/>
          </w:tcPr>
          <w:p w14:paraId="75242EC2" w14:textId="77777777" w:rsidR="0039611C" w:rsidRPr="00155DE3" w:rsidRDefault="0039611C" w:rsidP="00873AF3">
            <w:pPr>
              <w:pStyle w:val="COMTabletext"/>
              <w:keepLines/>
              <w:jc w:val="center"/>
            </w:pPr>
            <w:r w:rsidRPr="00155DE3">
              <w:t>10.9%</w:t>
            </w:r>
          </w:p>
        </w:tc>
      </w:tr>
      <w:tr w:rsidR="0039611C" w:rsidRPr="00704B78" w14:paraId="5BC2DD2A" w14:textId="77777777" w:rsidTr="00BB7A7D">
        <w:tc>
          <w:tcPr>
            <w:tcW w:w="3378" w:type="pct"/>
            <w:vAlign w:val="bottom"/>
          </w:tcPr>
          <w:p w14:paraId="35B97827" w14:textId="77777777" w:rsidR="0039611C" w:rsidRPr="00704B78" w:rsidRDefault="0039611C" w:rsidP="00873AF3">
            <w:pPr>
              <w:pStyle w:val="COMTabletext"/>
              <w:keepLines/>
              <w:jc w:val="right"/>
            </w:pPr>
            <w:r w:rsidRPr="00704B78">
              <w:t>commenced 1 years ago</w:t>
            </w:r>
          </w:p>
        </w:tc>
        <w:tc>
          <w:tcPr>
            <w:tcW w:w="1622" w:type="pct"/>
            <w:vAlign w:val="bottom"/>
          </w:tcPr>
          <w:p w14:paraId="27434BE2" w14:textId="77777777" w:rsidR="0039611C" w:rsidRPr="00155DE3" w:rsidRDefault="0039611C" w:rsidP="00873AF3">
            <w:pPr>
              <w:pStyle w:val="COMTabletext"/>
              <w:keepLines/>
              <w:jc w:val="center"/>
            </w:pPr>
            <w:r w:rsidRPr="00155DE3">
              <w:t>12.1%</w:t>
            </w:r>
          </w:p>
        </w:tc>
      </w:tr>
      <w:tr w:rsidR="0039611C" w:rsidRPr="00704B78" w14:paraId="57FF908E" w14:textId="77777777" w:rsidTr="00BB7A7D">
        <w:tc>
          <w:tcPr>
            <w:tcW w:w="3378" w:type="pct"/>
            <w:vAlign w:val="bottom"/>
          </w:tcPr>
          <w:p w14:paraId="5DAB79B6" w14:textId="77777777" w:rsidR="0039611C" w:rsidRPr="00704B78" w:rsidRDefault="0039611C" w:rsidP="00873AF3">
            <w:pPr>
              <w:pStyle w:val="COMTabletext"/>
              <w:keepLines/>
              <w:jc w:val="right"/>
            </w:pPr>
            <w:r w:rsidRPr="00704B78">
              <w:t>commenced within the last full year of data (2023-24)</w:t>
            </w:r>
          </w:p>
        </w:tc>
        <w:tc>
          <w:tcPr>
            <w:tcW w:w="1622" w:type="pct"/>
            <w:vAlign w:val="bottom"/>
          </w:tcPr>
          <w:p w14:paraId="166912B6" w14:textId="77777777" w:rsidR="0039611C" w:rsidRPr="00155DE3" w:rsidRDefault="0039611C" w:rsidP="00873AF3">
            <w:pPr>
              <w:pStyle w:val="COMTabletext"/>
              <w:keepLines/>
              <w:jc w:val="center"/>
            </w:pPr>
            <w:r w:rsidRPr="00155DE3">
              <w:t>16.6%</w:t>
            </w:r>
          </w:p>
        </w:tc>
      </w:tr>
      <w:tr w:rsidR="0039611C" w:rsidRPr="00704B78" w14:paraId="3D97A64E" w14:textId="77777777" w:rsidTr="00BB7A7D">
        <w:tc>
          <w:tcPr>
            <w:tcW w:w="5000" w:type="pct"/>
            <w:gridSpan w:val="2"/>
            <w:vAlign w:val="bottom"/>
          </w:tcPr>
          <w:p w14:paraId="02597985" w14:textId="77777777" w:rsidR="0039611C" w:rsidRPr="00155DE3" w:rsidRDefault="0039611C" w:rsidP="00873AF3">
            <w:pPr>
              <w:pStyle w:val="COMTabletext"/>
              <w:keepLines/>
              <w:rPr>
                <w:b/>
                <w:vertAlign w:val="superscript"/>
              </w:rPr>
            </w:pPr>
            <w:r w:rsidRPr="00155DE3">
              <w:rPr>
                <w:b/>
              </w:rPr>
              <w:t xml:space="preserve">Context of IVIg use for gMG </w:t>
            </w:r>
            <w:r w:rsidRPr="00155DE3">
              <w:rPr>
                <w:b/>
                <w:vertAlign w:val="superscript"/>
              </w:rPr>
              <w:t>b</w:t>
            </w:r>
          </w:p>
        </w:tc>
      </w:tr>
      <w:tr w:rsidR="0039611C" w:rsidRPr="00704B78" w14:paraId="736A17E8" w14:textId="77777777" w:rsidTr="00BB7A7D">
        <w:tc>
          <w:tcPr>
            <w:tcW w:w="3378" w:type="pct"/>
            <w:vAlign w:val="bottom"/>
          </w:tcPr>
          <w:p w14:paraId="7DD3C0A5" w14:textId="77777777" w:rsidR="0039611C" w:rsidRPr="00704B78" w:rsidRDefault="0039611C" w:rsidP="00873AF3">
            <w:pPr>
              <w:keepNext/>
              <w:keepLines/>
              <w:jc w:val="left"/>
              <w:rPr>
                <w:rFonts w:ascii="Arial Narrow" w:eastAsiaTheme="majorEastAsia" w:hAnsi="Arial Narrow" w:cstheme="majorBidi"/>
                <w:sz w:val="20"/>
              </w:rPr>
            </w:pPr>
            <w:r w:rsidRPr="00704B78">
              <w:rPr>
                <w:rFonts w:ascii="Arial Narrow" w:eastAsiaTheme="majorEastAsia" w:hAnsi="Arial Narrow" w:cstheme="majorBidi"/>
                <w:sz w:val="20"/>
              </w:rPr>
              <w:t>Proportion of all IVIg use in Australia that is for myasthenia gravis maintenance (2022-23)</w:t>
            </w:r>
          </w:p>
        </w:tc>
        <w:tc>
          <w:tcPr>
            <w:tcW w:w="1622" w:type="pct"/>
            <w:vAlign w:val="bottom"/>
          </w:tcPr>
          <w:p w14:paraId="3F9287A2" w14:textId="77777777" w:rsidR="0039611C" w:rsidRPr="00155DE3" w:rsidRDefault="0039611C" w:rsidP="00873AF3">
            <w:pPr>
              <w:pStyle w:val="COMTabletext"/>
              <w:keepLines/>
              <w:jc w:val="center"/>
            </w:pPr>
            <w:r w:rsidRPr="00155DE3">
              <w:t>7.3%</w:t>
            </w:r>
          </w:p>
        </w:tc>
      </w:tr>
      <w:tr w:rsidR="0039611C" w:rsidRPr="00704B78" w14:paraId="71986844" w14:textId="77777777" w:rsidTr="00BB7A7D">
        <w:tc>
          <w:tcPr>
            <w:tcW w:w="3378" w:type="pct"/>
            <w:vAlign w:val="bottom"/>
          </w:tcPr>
          <w:p w14:paraId="4824191D" w14:textId="77777777" w:rsidR="0039611C" w:rsidRPr="00704B78" w:rsidRDefault="0039611C" w:rsidP="00873AF3">
            <w:pPr>
              <w:keepNext/>
              <w:keepLines/>
              <w:jc w:val="left"/>
              <w:rPr>
                <w:rFonts w:ascii="Arial Narrow" w:eastAsiaTheme="majorEastAsia" w:hAnsi="Arial Narrow" w:cstheme="majorBidi"/>
                <w:sz w:val="20"/>
                <w:szCs w:val="20"/>
              </w:rPr>
            </w:pPr>
            <w:r w:rsidRPr="00704B78">
              <w:rPr>
                <w:rFonts w:ascii="Arial Narrow" w:eastAsiaTheme="majorEastAsia" w:hAnsi="Arial Narrow" w:cstheme="majorBidi"/>
                <w:sz w:val="20"/>
                <w:szCs w:val="20"/>
              </w:rPr>
              <w:t>Total spend on IVIg for gMG maintenance in 2023-24</w:t>
            </w:r>
          </w:p>
        </w:tc>
        <w:tc>
          <w:tcPr>
            <w:tcW w:w="1622" w:type="pct"/>
            <w:vAlign w:val="bottom"/>
          </w:tcPr>
          <w:p w14:paraId="2BE454DD" w14:textId="35863214" w:rsidR="0039611C" w:rsidRPr="00155DE3" w:rsidRDefault="0039611C" w:rsidP="00873AF3">
            <w:pPr>
              <w:pStyle w:val="COMTabletext"/>
              <w:keepLines/>
              <w:jc w:val="center"/>
            </w:pPr>
            <w:r w:rsidRPr="00155DE3">
              <w:t>$</w:t>
            </w:r>
            <w:r w:rsidR="00391117" w:rsidRPr="00A137D7">
              <w:rPr>
                <w:color w:val="000000"/>
                <w:spacing w:val="33"/>
                <w:shd w:val="solid" w:color="000000" w:fill="000000"/>
                <w:fitText w:val="730" w:id="-653074176"/>
                <w14:textFill>
                  <w14:solidFill>
                    <w14:srgbClr w14:val="000000">
                      <w14:alpha w14:val="100000"/>
                    </w14:srgbClr>
                  </w14:solidFill>
                </w14:textFill>
              </w:rPr>
              <w:t>|||||||||</w:t>
            </w:r>
            <w:r w:rsidR="00391117" w:rsidRPr="00A137D7">
              <w:rPr>
                <w:color w:val="000000"/>
                <w:spacing w:val="8"/>
                <w:shd w:val="solid" w:color="000000" w:fill="000000"/>
                <w:fitText w:val="730" w:id="-653074176"/>
                <w14:textFill>
                  <w14:solidFill>
                    <w14:srgbClr w14:val="000000">
                      <w14:alpha w14:val="100000"/>
                    </w14:srgbClr>
                  </w14:solidFill>
                </w14:textFill>
              </w:rPr>
              <w:t>|</w:t>
            </w:r>
          </w:p>
        </w:tc>
      </w:tr>
      <w:tr w:rsidR="0039611C" w:rsidRPr="00704B78" w14:paraId="13848271" w14:textId="77777777" w:rsidTr="00BB7A7D">
        <w:tc>
          <w:tcPr>
            <w:tcW w:w="3378" w:type="pct"/>
            <w:vAlign w:val="bottom"/>
          </w:tcPr>
          <w:p w14:paraId="7EE4EB91" w14:textId="77777777" w:rsidR="0039611C" w:rsidRPr="00704B78" w:rsidRDefault="0039611C" w:rsidP="00873AF3">
            <w:pPr>
              <w:keepNext/>
              <w:keepLines/>
              <w:jc w:val="left"/>
              <w:rPr>
                <w:rFonts w:ascii="Arial Narrow" w:eastAsiaTheme="majorEastAsia" w:hAnsi="Arial Narrow" w:cstheme="majorBidi"/>
                <w:sz w:val="20"/>
                <w:szCs w:val="20"/>
                <w:vertAlign w:val="superscript"/>
              </w:rPr>
            </w:pPr>
            <w:r w:rsidRPr="00704B78">
              <w:rPr>
                <w:rFonts w:ascii="Arial Narrow" w:eastAsiaTheme="majorEastAsia" w:hAnsi="Arial Narrow" w:cstheme="majorBidi"/>
                <w:sz w:val="20"/>
                <w:szCs w:val="20"/>
              </w:rPr>
              <w:t xml:space="preserve">% of IVIg use in gMG that is in the maintenance setting (2023-24) </w:t>
            </w:r>
            <w:r w:rsidRPr="00704B78">
              <w:rPr>
                <w:rFonts w:ascii="Arial Narrow" w:eastAsiaTheme="majorEastAsia" w:hAnsi="Arial Narrow" w:cstheme="majorBidi"/>
                <w:sz w:val="20"/>
                <w:szCs w:val="20"/>
                <w:vertAlign w:val="superscript"/>
              </w:rPr>
              <w:t>c</w:t>
            </w:r>
          </w:p>
        </w:tc>
        <w:tc>
          <w:tcPr>
            <w:tcW w:w="1622" w:type="pct"/>
            <w:vAlign w:val="bottom"/>
          </w:tcPr>
          <w:p w14:paraId="2F2E050D" w14:textId="77777777" w:rsidR="0039611C" w:rsidRPr="00155DE3" w:rsidRDefault="0039611C" w:rsidP="00873AF3">
            <w:pPr>
              <w:pStyle w:val="COMTabletext"/>
              <w:keepLines/>
              <w:jc w:val="center"/>
            </w:pPr>
            <w:r w:rsidRPr="00155DE3">
              <w:t>91%</w:t>
            </w:r>
          </w:p>
        </w:tc>
      </w:tr>
    </w:tbl>
    <w:p w14:paraId="5D8CDDCC" w14:textId="77777777" w:rsidR="0039611C" w:rsidRPr="001175AC" w:rsidRDefault="0039611C" w:rsidP="00873AF3">
      <w:pPr>
        <w:keepNext/>
        <w:keepLines/>
        <w:rPr>
          <w:rFonts w:ascii="Arial Narrow" w:eastAsiaTheme="majorEastAsia" w:hAnsi="Arial Narrow" w:cstheme="majorBidi"/>
          <w:sz w:val="18"/>
          <w:szCs w:val="22"/>
        </w:rPr>
      </w:pPr>
      <w:r w:rsidRPr="001175AC">
        <w:rPr>
          <w:rFonts w:ascii="Arial Narrow" w:eastAsiaTheme="majorEastAsia" w:hAnsi="Arial Narrow" w:cstheme="majorBidi"/>
          <w:sz w:val="18"/>
          <w:szCs w:val="22"/>
        </w:rPr>
        <w:t>Overall notes:</w:t>
      </w:r>
    </w:p>
    <w:p w14:paraId="0025D685" w14:textId="77777777" w:rsidR="0039611C" w:rsidRPr="001175AC" w:rsidRDefault="0039611C" w:rsidP="00873AF3">
      <w:pPr>
        <w:pStyle w:val="ListParagraph"/>
        <w:keepNext/>
        <w:keepLines/>
        <w:numPr>
          <w:ilvl w:val="0"/>
          <w:numId w:val="10"/>
        </w:numPr>
        <w:ind w:left="426" w:hanging="393"/>
        <w:rPr>
          <w:rFonts w:ascii="Arial Narrow" w:eastAsiaTheme="majorEastAsia" w:hAnsi="Arial Narrow" w:cstheme="majorBidi"/>
          <w:sz w:val="18"/>
          <w:szCs w:val="18"/>
        </w:rPr>
      </w:pPr>
      <w:r w:rsidRPr="001175AC">
        <w:rPr>
          <w:rFonts w:ascii="Arial Narrow" w:eastAsiaTheme="majorEastAsia" w:hAnsi="Arial Narrow" w:cstheme="majorBidi"/>
          <w:sz w:val="18"/>
          <w:szCs w:val="18"/>
        </w:rPr>
        <w:t xml:space="preserve">Patients’ commencement year was the first year they received IVIg for any condition or indication in BloodSTAR, therefore patients have not necessarily been on continuous treatment since commencement. </w:t>
      </w:r>
    </w:p>
    <w:p w14:paraId="46A36603" w14:textId="77777777" w:rsidR="0039611C" w:rsidRPr="001175AC" w:rsidRDefault="0039611C" w:rsidP="00873AF3">
      <w:pPr>
        <w:pStyle w:val="ListParagraph"/>
        <w:keepNext/>
        <w:keepLines/>
        <w:numPr>
          <w:ilvl w:val="0"/>
          <w:numId w:val="10"/>
        </w:numPr>
        <w:ind w:left="426" w:hanging="393"/>
        <w:rPr>
          <w:rFonts w:ascii="Arial Narrow" w:eastAsiaTheme="majorEastAsia" w:hAnsi="Arial Narrow" w:cstheme="majorBidi"/>
          <w:sz w:val="18"/>
          <w:szCs w:val="18"/>
        </w:rPr>
      </w:pPr>
      <w:r w:rsidRPr="001175AC">
        <w:rPr>
          <w:rFonts w:ascii="Arial Narrow" w:eastAsiaTheme="majorEastAsia" w:hAnsi="Arial Narrow" w:cstheme="majorBidi"/>
          <w:sz w:val="18"/>
          <w:szCs w:val="18"/>
        </w:rPr>
        <w:t>Nearly half of the patients currently on gMG for maintenance commenced in 2020-21 or earlier.</w:t>
      </w:r>
    </w:p>
    <w:p w14:paraId="058D55B0" w14:textId="77777777" w:rsidR="0039611C" w:rsidRPr="00155DE3" w:rsidRDefault="0039611C" w:rsidP="00873AF3">
      <w:pPr>
        <w:pStyle w:val="ListParagraph"/>
        <w:keepNext/>
        <w:keepLines/>
        <w:numPr>
          <w:ilvl w:val="0"/>
          <w:numId w:val="10"/>
        </w:numPr>
        <w:ind w:left="426" w:hanging="393"/>
        <w:rPr>
          <w:rFonts w:ascii="Arial Narrow" w:eastAsiaTheme="majorEastAsia" w:hAnsi="Arial Narrow" w:cstheme="majorBidi"/>
          <w:sz w:val="18"/>
          <w:szCs w:val="22"/>
        </w:rPr>
      </w:pPr>
      <w:r w:rsidRPr="00155DE3">
        <w:rPr>
          <w:rFonts w:ascii="Arial Narrow" w:eastAsiaTheme="majorEastAsia" w:hAnsi="Arial Narrow" w:cstheme="majorBidi"/>
          <w:sz w:val="18"/>
          <w:szCs w:val="22"/>
        </w:rPr>
        <w:t>Total number of patients supplied IVIg for ‘maintenance’ therapy 2019-20: 1,167; 2020-21: 1,135; 2021-22: 1,239; 2022-23: 1,276; 2023-24: 1,324.</w:t>
      </w:r>
    </w:p>
    <w:p w14:paraId="1A1D0593" w14:textId="24C23340" w:rsidR="0039611C" w:rsidRPr="001175AC" w:rsidRDefault="0039611C" w:rsidP="00873AF3">
      <w:pPr>
        <w:pStyle w:val="COMTabletext"/>
        <w:keepLines/>
        <w:jc w:val="both"/>
        <w:rPr>
          <w:sz w:val="18"/>
          <w:szCs w:val="22"/>
        </w:rPr>
      </w:pPr>
      <w:r w:rsidRPr="001175AC">
        <w:rPr>
          <w:sz w:val="18"/>
          <w:szCs w:val="22"/>
          <w:vertAlign w:val="superscript"/>
        </w:rPr>
        <w:t xml:space="preserve">a </w:t>
      </w:r>
      <w:r w:rsidRPr="001175AC">
        <w:rPr>
          <w:sz w:val="18"/>
          <w:szCs w:val="22"/>
        </w:rPr>
        <w:t>Excluding patients who commenced in 2023-24, as this may represent a part year of treatment</w:t>
      </w:r>
      <w:r w:rsidR="00593A1C" w:rsidRPr="001175AC">
        <w:rPr>
          <w:sz w:val="18"/>
          <w:szCs w:val="22"/>
        </w:rPr>
        <w:t xml:space="preserve"> and may include non-responders</w:t>
      </w:r>
      <w:r w:rsidRPr="001175AC">
        <w:rPr>
          <w:sz w:val="18"/>
          <w:szCs w:val="22"/>
        </w:rPr>
        <w:t>.</w:t>
      </w:r>
    </w:p>
    <w:p w14:paraId="666B9A90" w14:textId="1FD7B37B" w:rsidR="0039611C" w:rsidRPr="001175AC" w:rsidRDefault="0039611C" w:rsidP="00873AF3">
      <w:pPr>
        <w:pStyle w:val="COMTabletext"/>
        <w:keepLines/>
        <w:jc w:val="both"/>
        <w:rPr>
          <w:sz w:val="18"/>
          <w:szCs w:val="22"/>
        </w:rPr>
      </w:pPr>
      <w:r w:rsidRPr="001175AC">
        <w:rPr>
          <w:sz w:val="18"/>
          <w:szCs w:val="22"/>
          <w:vertAlign w:val="superscript"/>
        </w:rPr>
        <w:t>b</w:t>
      </w:r>
      <w:r w:rsidRPr="001175AC">
        <w:rPr>
          <w:sz w:val="18"/>
          <w:szCs w:val="22"/>
        </w:rPr>
        <w:t xml:space="preserve"> Some of this data is from </w:t>
      </w:r>
      <w:bookmarkStart w:id="90" w:name="_Hlk198653376"/>
      <w:r>
        <w:fldChar w:fldCharType="begin" w:fldLock="1"/>
      </w:r>
      <w:r>
        <w:instrText>HYPERLINK "https://www.blood.gov.au/report-issue-and-use-immunoglobulin"</w:instrText>
      </w:r>
      <w:r>
        <w:fldChar w:fldCharType="separate"/>
      </w:r>
      <w:r w:rsidRPr="001175AC">
        <w:rPr>
          <w:rStyle w:val="Hyperlink"/>
          <w:sz w:val="18"/>
          <w:szCs w:val="22"/>
        </w:rPr>
        <w:t>https://www.blood.gov.au/report-issue-and-use-immunoglobulin</w:t>
      </w:r>
      <w:r>
        <w:fldChar w:fldCharType="end"/>
      </w:r>
      <w:bookmarkEnd w:id="90"/>
      <w:r w:rsidRPr="001175AC">
        <w:rPr>
          <w:sz w:val="18"/>
          <w:szCs w:val="22"/>
        </w:rPr>
        <w:t xml:space="preserve"> data from 2022-23.</w:t>
      </w:r>
    </w:p>
    <w:p w14:paraId="49156F10" w14:textId="77777777" w:rsidR="0039611C" w:rsidRPr="001175AC" w:rsidRDefault="0039611C" w:rsidP="00873AF3">
      <w:pPr>
        <w:pStyle w:val="COMTabletext"/>
        <w:keepLines/>
        <w:jc w:val="both"/>
        <w:rPr>
          <w:sz w:val="18"/>
          <w:szCs w:val="22"/>
        </w:rPr>
      </w:pPr>
      <w:r w:rsidRPr="001175AC">
        <w:rPr>
          <w:sz w:val="18"/>
          <w:szCs w:val="22"/>
          <w:vertAlign w:val="superscript"/>
        </w:rPr>
        <w:t xml:space="preserve">c </w:t>
      </w:r>
      <w:r w:rsidRPr="001175AC">
        <w:rPr>
          <w:sz w:val="18"/>
          <w:szCs w:val="22"/>
        </w:rPr>
        <w:t>Remainder is in patients with myasthenia gravis prior to surgery/thymectomy or in myasthenic crisis.</w:t>
      </w:r>
    </w:p>
    <w:p w14:paraId="50AA05CC" w14:textId="5FEA6655" w:rsidR="000A2A45" w:rsidRPr="001175AC" w:rsidRDefault="0039611C" w:rsidP="00873AF3">
      <w:pPr>
        <w:pStyle w:val="COMTabletext"/>
        <w:keepLines/>
        <w:spacing w:after="120"/>
        <w:jc w:val="both"/>
        <w:rPr>
          <w:sz w:val="18"/>
          <w:szCs w:val="22"/>
        </w:rPr>
      </w:pPr>
      <w:r w:rsidRPr="001175AC">
        <w:rPr>
          <w:sz w:val="18"/>
          <w:szCs w:val="22"/>
          <w:vertAlign w:val="superscript"/>
        </w:rPr>
        <w:t>d</w:t>
      </w:r>
      <w:r w:rsidRPr="001175AC">
        <w:rPr>
          <w:sz w:val="18"/>
          <w:szCs w:val="22"/>
        </w:rPr>
        <w:t xml:space="preserve"> Result is similar (3.4%) using the most recent two years of data</w:t>
      </w:r>
    </w:p>
    <w:p w14:paraId="25AD4950" w14:textId="7820BFA2" w:rsidR="000A2A45" w:rsidRPr="000A2A45" w:rsidRDefault="000A2A45" w:rsidP="00873AF3">
      <w:pPr>
        <w:pStyle w:val="COMexecsummnumbered"/>
        <w:rPr>
          <w:snapToGrid w:val="0"/>
        </w:rPr>
      </w:pPr>
      <w:r w:rsidRPr="00155DE3">
        <w:rPr>
          <w:snapToGrid w:val="0"/>
        </w:rPr>
        <w:t>The ESC noted that these data showed that the average drug cost per patient in 2023-24 for IVIg was $</w:t>
      </w:r>
      <w:r w:rsidR="00027A85" w:rsidRPr="00A91274">
        <w:rPr>
          <w:snapToGrid w:val="0"/>
          <w:color w:val="000000"/>
          <w:spacing w:val="6"/>
          <w:w w:val="60"/>
          <w:shd w:val="solid" w:color="000000" w:fill="000000"/>
          <w:fitText w:val="470" w:id="-656193264"/>
          <w14:textFill>
            <w14:solidFill>
              <w14:srgbClr w14:val="000000">
                <w14:alpha w14:val="100000"/>
              </w14:srgbClr>
            </w14:solidFill>
          </w14:textFill>
        </w:rPr>
        <w:t>|||</w:t>
      </w:r>
      <w:r w:rsidR="00A91274" w:rsidRPr="00A91274">
        <w:rPr>
          <w:snapToGrid w:val="0"/>
          <w:color w:val="000000"/>
          <w:spacing w:val="6"/>
          <w:w w:val="60"/>
          <w:shd w:val="solid" w:color="000000" w:fill="000000"/>
          <w:fitText w:val="470" w:id="-656193264"/>
          <w14:textFill>
            <w14:solidFill>
              <w14:srgbClr w14:val="000000">
                <w14:alpha w14:val="100000"/>
              </w14:srgbClr>
            </w14:solidFill>
          </w14:textFill>
        </w:rPr>
        <w:t xml:space="preserve"> </w:t>
      </w:r>
      <w:r w:rsidR="00027A85" w:rsidRPr="00A91274">
        <w:rPr>
          <w:snapToGrid w:val="0"/>
          <w:color w:val="000000"/>
          <w:spacing w:val="6"/>
          <w:w w:val="60"/>
          <w:shd w:val="solid" w:color="000000" w:fill="000000"/>
          <w:fitText w:val="470" w:id="-656193264"/>
          <w14:textFill>
            <w14:solidFill>
              <w14:srgbClr w14:val="000000">
                <w14:alpha w14:val="100000"/>
              </w14:srgbClr>
            </w14:solidFill>
          </w14:textFill>
        </w:rPr>
        <w:t>||</w:t>
      </w:r>
      <w:r w:rsidR="00027A85" w:rsidRPr="00A91274">
        <w:rPr>
          <w:snapToGrid w:val="0"/>
          <w:color w:val="000000"/>
          <w:spacing w:val="4"/>
          <w:w w:val="60"/>
          <w:shd w:val="solid" w:color="000000" w:fill="000000"/>
          <w:fitText w:val="470" w:id="-656193264"/>
          <w14:textFill>
            <w14:solidFill>
              <w14:srgbClr w14:val="000000">
                <w14:alpha w14:val="100000"/>
              </w14:srgbClr>
            </w14:solidFill>
          </w14:textFill>
        </w:rPr>
        <w:t>|</w:t>
      </w:r>
      <w:r w:rsidRPr="00155DE3">
        <w:rPr>
          <w:snapToGrid w:val="0"/>
        </w:rPr>
        <w:t xml:space="preserve"> based on an average cost per gram of $</w:t>
      </w:r>
      <w:r w:rsidR="00027A85" w:rsidRPr="00A91274">
        <w:rPr>
          <w:snapToGrid w:val="0"/>
          <w:color w:val="000000"/>
          <w:spacing w:val="6"/>
          <w:w w:val="60"/>
          <w:shd w:val="solid" w:color="000000" w:fill="000000"/>
          <w:fitText w:val="470" w:id="-656193280"/>
          <w14:textFill>
            <w14:solidFill>
              <w14:srgbClr w14:val="000000">
                <w14:alpha w14:val="100000"/>
              </w14:srgbClr>
            </w14:solidFill>
          </w14:textFill>
        </w:rPr>
        <w:t>|||</w:t>
      </w:r>
      <w:r w:rsidR="00A91274" w:rsidRPr="00A91274">
        <w:rPr>
          <w:snapToGrid w:val="0"/>
          <w:color w:val="000000"/>
          <w:spacing w:val="6"/>
          <w:w w:val="60"/>
          <w:shd w:val="solid" w:color="000000" w:fill="000000"/>
          <w:fitText w:val="470" w:id="-656193280"/>
          <w14:textFill>
            <w14:solidFill>
              <w14:srgbClr w14:val="000000">
                <w14:alpha w14:val="100000"/>
              </w14:srgbClr>
            </w14:solidFill>
          </w14:textFill>
        </w:rPr>
        <w:t xml:space="preserve"> </w:t>
      </w:r>
      <w:r w:rsidR="00027A85" w:rsidRPr="00A91274">
        <w:rPr>
          <w:snapToGrid w:val="0"/>
          <w:color w:val="000000"/>
          <w:spacing w:val="6"/>
          <w:w w:val="60"/>
          <w:shd w:val="solid" w:color="000000" w:fill="000000"/>
          <w:fitText w:val="470" w:id="-656193280"/>
          <w14:textFill>
            <w14:solidFill>
              <w14:srgbClr w14:val="000000">
                <w14:alpha w14:val="100000"/>
              </w14:srgbClr>
            </w14:solidFill>
          </w14:textFill>
        </w:rPr>
        <w:t>||</w:t>
      </w:r>
      <w:r w:rsidR="00027A85" w:rsidRPr="00A91274">
        <w:rPr>
          <w:snapToGrid w:val="0"/>
          <w:color w:val="000000"/>
          <w:spacing w:val="4"/>
          <w:w w:val="60"/>
          <w:shd w:val="solid" w:color="000000" w:fill="000000"/>
          <w:fitText w:val="470" w:id="-656193280"/>
          <w14:textFill>
            <w14:solidFill>
              <w14:srgbClr w14:val="000000">
                <w14:alpha w14:val="100000"/>
              </w14:srgbClr>
            </w14:solidFill>
          </w14:textFill>
        </w:rPr>
        <w:t>|</w:t>
      </w:r>
      <w:r w:rsidRPr="00155DE3">
        <w:rPr>
          <w:snapToGrid w:val="0"/>
        </w:rPr>
        <w:t xml:space="preserve"> (which is an average across all IVIg use in Australia) and an average of 541.1 grams per patient per year (specific to the myasthenia gravis maintenance setting). </w:t>
      </w:r>
      <w:r w:rsidR="00A864E5" w:rsidRPr="00155DE3">
        <w:rPr>
          <w:snapToGrid w:val="0"/>
        </w:rPr>
        <w:t xml:space="preserve">This excluded patients who commenced in 2023-24, as this may represent a part year of treatment and may include non-responders. </w:t>
      </w:r>
      <w:r w:rsidRPr="00155DE3">
        <w:rPr>
          <w:snapToGrid w:val="0"/>
        </w:rPr>
        <w:t>The IVIg doses used in clinical practice were lower than the maximum recommended dose in the Product Information. As such, the ESC noted that applying NBA utilisation data produced substantially lower costs per patient when compared to applying maximum recommended doses for IVIg.</w:t>
      </w:r>
      <w:r w:rsidRPr="000A2A45">
        <w:rPr>
          <w:snapToGrid w:val="0"/>
        </w:rPr>
        <w:t xml:space="preserve"> </w:t>
      </w:r>
    </w:p>
    <w:p w14:paraId="03E2529D" w14:textId="12579066" w:rsidR="000A2A45" w:rsidRPr="000A2A45" w:rsidRDefault="000A2A45" w:rsidP="00873AF3">
      <w:pPr>
        <w:pStyle w:val="COMexecsummnumbered"/>
        <w:rPr>
          <w:snapToGrid w:val="0"/>
        </w:rPr>
      </w:pPr>
      <w:r w:rsidRPr="000A2A45">
        <w:rPr>
          <w:snapToGrid w:val="0"/>
        </w:rPr>
        <w:t xml:space="preserve">The ESC advised that, for the new therapies, the average amount of drug per patient would need to be determined and should appropriately account for any loading doses and, for the </w:t>
      </w:r>
      <w:r w:rsidR="00516E39">
        <w:rPr>
          <w:snapToGrid w:val="0"/>
        </w:rPr>
        <w:t>FcRn</w:t>
      </w:r>
      <w:r w:rsidR="00050D53" w:rsidRPr="000A2A45">
        <w:rPr>
          <w:snapToGrid w:val="0"/>
        </w:rPr>
        <w:t xml:space="preserve"> </w:t>
      </w:r>
      <w:r w:rsidRPr="000A2A45">
        <w:rPr>
          <w:snapToGrid w:val="0"/>
        </w:rPr>
        <w:t>blockers, the likely decreasing treatment-free intervals over time seen in the extension trials. The ESC requested that sponsors provide information to inform the equi-effective doses and cost-</w:t>
      </w:r>
      <w:r w:rsidR="002A0A0D">
        <w:rPr>
          <w:snapToGrid w:val="0"/>
        </w:rPr>
        <w:t>comparison</w:t>
      </w:r>
      <w:r w:rsidR="002A0A0D" w:rsidRPr="000A2A45">
        <w:rPr>
          <w:snapToGrid w:val="0"/>
        </w:rPr>
        <w:t xml:space="preserve"> </w:t>
      </w:r>
      <w:r w:rsidRPr="000A2A45">
        <w:rPr>
          <w:snapToGrid w:val="0"/>
        </w:rPr>
        <w:t>approach in their pre-PBAC responses.</w:t>
      </w:r>
    </w:p>
    <w:p w14:paraId="1C880EA1" w14:textId="77777777" w:rsidR="000A2A45" w:rsidRPr="000A2A45" w:rsidRDefault="000A2A45" w:rsidP="00873AF3">
      <w:pPr>
        <w:pStyle w:val="COMH4"/>
        <w:rPr>
          <w:snapToGrid w:val="0"/>
        </w:rPr>
      </w:pPr>
      <w:r w:rsidRPr="000A2A45">
        <w:rPr>
          <w:snapToGrid w:val="0"/>
        </w:rPr>
        <w:t>ESC’s view on the estimated PBS usage and financial implications</w:t>
      </w:r>
    </w:p>
    <w:p w14:paraId="2AA5F5CE" w14:textId="77777777" w:rsidR="000A2A45" w:rsidRPr="000A2A45" w:rsidRDefault="000A2A45" w:rsidP="00873AF3">
      <w:pPr>
        <w:pStyle w:val="COMexecsummnumbered"/>
        <w:rPr>
          <w:snapToGrid w:val="0"/>
        </w:rPr>
      </w:pPr>
      <w:r w:rsidRPr="000A2A45">
        <w:rPr>
          <w:snapToGrid w:val="0"/>
        </w:rPr>
        <w:t xml:space="preserve">The ESC considered that the use of IVIg as maintenance therapy, from the NBA data, may be an appropriate starting point to estimate the use of new gMG therapies. </w:t>
      </w:r>
    </w:p>
    <w:p w14:paraId="3BD3A5F8" w14:textId="77777777" w:rsidR="000A2A45" w:rsidRPr="000A2A45" w:rsidRDefault="000A2A45" w:rsidP="00873AF3">
      <w:pPr>
        <w:pStyle w:val="COMexecsummnumbered"/>
        <w:rPr>
          <w:snapToGrid w:val="0"/>
        </w:rPr>
      </w:pPr>
      <w:r w:rsidRPr="000A2A45">
        <w:rPr>
          <w:snapToGrid w:val="0"/>
        </w:rPr>
        <w:t>The ESC considered that the following would also need to be considered: the proportion of patients who are AChR antibody positive; uptake rates; treatment response rates; and annual growth rates. Consideration would be required as to whether there would be: additional eligible patients (e.g. patients who are unable or unwilling to be treated with IVIg); and/or, on the other hand, patients who still require IVIg in this setting (e.g. patients who do not respond to the new therapies, patients at high risk of infections). Overall, the ESC considered that the total number of patients on the newer therapies is likely to be less than the number of patients who access IVIg.</w:t>
      </w:r>
    </w:p>
    <w:p w14:paraId="4192F588" w14:textId="77777777" w:rsidR="000A2A45" w:rsidRPr="000A2A45" w:rsidRDefault="000A2A45" w:rsidP="00873AF3">
      <w:pPr>
        <w:pStyle w:val="COMexecsummnumbered"/>
        <w:rPr>
          <w:snapToGrid w:val="0"/>
        </w:rPr>
      </w:pPr>
      <w:r w:rsidRPr="000A2A45">
        <w:rPr>
          <w:snapToGrid w:val="0"/>
        </w:rPr>
        <w:t xml:space="preserve">Should the PBS restrictions for the new therapies be more restrictive than the existing IVIg criteria (e.g. in terms of functional impairment criteria and number of prior therapies), there may be patients who qualify for IVIg but not the newer therapies. </w:t>
      </w:r>
    </w:p>
    <w:p w14:paraId="3DE24576" w14:textId="77777777" w:rsidR="000A2A45" w:rsidRPr="000A2A45" w:rsidRDefault="000A2A45" w:rsidP="00873AF3">
      <w:pPr>
        <w:pStyle w:val="COMexecsummnumbered"/>
        <w:rPr>
          <w:snapToGrid w:val="0"/>
        </w:rPr>
      </w:pPr>
      <w:r w:rsidRPr="000A2A45">
        <w:rPr>
          <w:snapToGrid w:val="0"/>
        </w:rPr>
        <w:t xml:space="preserve">The ESC noted that the vast majority of patients accessing IVIg (under the NBA maintenance listing) commenced two or </w:t>
      </w:r>
      <w:r w:rsidRPr="004C04C2">
        <w:rPr>
          <w:snapToGrid w:val="0"/>
        </w:rPr>
        <w:t>more years ago (71%). This indicated that most patients are using IVIg for refractory disease, with those accessing it for bridging therapy likely to be a proportion of the 29% of</w:t>
      </w:r>
      <w:r w:rsidRPr="000A2A45">
        <w:rPr>
          <w:snapToGrid w:val="0"/>
        </w:rPr>
        <w:t xml:space="preserve"> patients who commenced within the past two years.</w:t>
      </w:r>
    </w:p>
    <w:p w14:paraId="2C8F9EA7" w14:textId="444B633C" w:rsidR="000A2A45" w:rsidRPr="000A2A45" w:rsidRDefault="000A2A45" w:rsidP="00873AF3">
      <w:pPr>
        <w:pStyle w:val="COMexecsummnumbered"/>
        <w:rPr>
          <w:snapToGrid w:val="0"/>
        </w:rPr>
      </w:pPr>
      <w:r w:rsidRPr="000A2A45">
        <w:rPr>
          <w:snapToGrid w:val="0"/>
        </w:rPr>
        <w:t xml:space="preserve">The ESC considered that any listing of the new therapies should be approximately cost-neutral to government across the </w:t>
      </w:r>
      <w:r w:rsidR="00AD4DED">
        <w:rPr>
          <w:snapToGrid w:val="0"/>
        </w:rPr>
        <w:t>NBA</w:t>
      </w:r>
      <w:r w:rsidRPr="000A2A45">
        <w:rPr>
          <w:snapToGrid w:val="0"/>
        </w:rPr>
        <w:t xml:space="preserve"> and Pharmaceutical Benefits Scheme.</w:t>
      </w:r>
    </w:p>
    <w:p w14:paraId="040698FD" w14:textId="25195CB8" w:rsidR="000A2A45" w:rsidRPr="00237F91" w:rsidRDefault="000A2A45" w:rsidP="00873AF3">
      <w:pPr>
        <w:pStyle w:val="COMexecsummnumbered"/>
        <w:rPr>
          <w:snapToGrid w:val="0"/>
        </w:rPr>
      </w:pPr>
      <w:r w:rsidRPr="00237F91">
        <w:rPr>
          <w:snapToGrid w:val="0"/>
        </w:rPr>
        <w:t>The ESC considered that a single RSA that includes all of the new PBS listed treatments would be required to mitigate the risk of use outside the intended restriction. The ESC considered that for efgartigimod and rozanolixizumab the RSA would also need to mitigate the risk of an increase in the frequency of cycles received over time.</w:t>
      </w:r>
    </w:p>
    <w:p w14:paraId="313C55CE" w14:textId="4ACA40DE" w:rsidR="00B93121" w:rsidRPr="00B93121" w:rsidRDefault="00B93121" w:rsidP="00873AF3">
      <w:pPr>
        <w:keepNext/>
        <w:numPr>
          <w:ilvl w:val="0"/>
          <w:numId w:val="1"/>
        </w:numPr>
        <w:spacing w:before="240" w:after="120"/>
        <w:jc w:val="left"/>
        <w:outlineLvl w:val="0"/>
        <w:rPr>
          <w:rFonts w:asciiTheme="minorHAnsi" w:hAnsiTheme="minorHAnsi"/>
          <w:b/>
          <w:snapToGrid w:val="0"/>
          <w:sz w:val="32"/>
          <w:szCs w:val="32"/>
        </w:rPr>
      </w:pPr>
      <w:r w:rsidRPr="00B93121">
        <w:rPr>
          <w:rFonts w:asciiTheme="minorHAnsi" w:hAnsiTheme="minorHAnsi"/>
          <w:b/>
          <w:snapToGrid w:val="0"/>
          <w:sz w:val="32"/>
          <w:szCs w:val="32"/>
        </w:rPr>
        <w:t>PBAC Outcome</w:t>
      </w:r>
    </w:p>
    <w:p w14:paraId="5C75AC86" w14:textId="01DDABC1" w:rsidR="002628B5" w:rsidRPr="002628B5" w:rsidRDefault="002628B5" w:rsidP="00873AF3">
      <w:pPr>
        <w:pStyle w:val="COMexecsummnumbered"/>
        <w:rPr>
          <w:snapToGrid w:val="0"/>
          <w:lang w:val="en-GB" w:eastAsia="en-US"/>
        </w:rPr>
      </w:pPr>
      <w:r w:rsidRPr="002628B5">
        <w:rPr>
          <w:snapToGrid w:val="0"/>
          <w:lang w:val="en-GB" w:eastAsia="en-US"/>
        </w:rPr>
        <w:t xml:space="preserve">The PBAC recommended the listing of </w:t>
      </w:r>
      <w:r w:rsidR="00F728FA" w:rsidRPr="00F728FA">
        <w:rPr>
          <w:snapToGrid w:val="0"/>
          <w:lang w:val="en-GB" w:eastAsia="en-US"/>
        </w:rPr>
        <w:t xml:space="preserve">rozanolixizumab </w:t>
      </w:r>
      <w:r w:rsidRPr="002628B5">
        <w:rPr>
          <w:snapToGrid w:val="0"/>
          <w:lang w:val="en-GB" w:eastAsia="en-US"/>
        </w:rPr>
        <w:t xml:space="preserve">for the treatment of generalised myasthenia gravis (gMG), on the basis that it should be available only under special arrangements under </w:t>
      </w:r>
      <w:r w:rsidR="002065FA">
        <w:rPr>
          <w:snapToGrid w:val="0"/>
          <w:lang w:val="en-GB" w:eastAsia="en-US"/>
        </w:rPr>
        <w:t xml:space="preserve">the </w:t>
      </w:r>
      <w:r w:rsidRPr="002628B5">
        <w:rPr>
          <w:snapToGrid w:val="0"/>
          <w:lang w:val="en-GB" w:eastAsia="en-US"/>
        </w:rPr>
        <w:t>Section 100</w:t>
      </w:r>
      <w:r w:rsidR="002065FA">
        <w:rPr>
          <w:snapToGrid w:val="0"/>
          <w:lang w:val="en-GB" w:eastAsia="en-US"/>
        </w:rPr>
        <w:t xml:space="preserve"> </w:t>
      </w:r>
      <w:r w:rsidR="002065FA" w:rsidRPr="00D25663">
        <w:t>Highly Specialised Drugs Program</w:t>
      </w:r>
      <w:r w:rsidRPr="002628B5">
        <w:rPr>
          <w:snapToGrid w:val="0"/>
          <w:lang w:val="en-GB" w:eastAsia="en-US"/>
        </w:rPr>
        <w:t xml:space="preserve">. The PBAC recognised the high clinical need for new therapies to treat this condition, which has substantial impacts on patient quality of life. The recommendation was made on the basis of a cost-comparison versus intravenous immunoglobulin (IVIg), supported by a cost-per-responder analysis versus </w:t>
      </w:r>
      <w:r w:rsidR="00745AA1">
        <w:rPr>
          <w:snapToGrid w:val="0"/>
          <w:lang w:val="en-GB" w:eastAsia="en-US"/>
        </w:rPr>
        <w:t>placebo</w:t>
      </w:r>
      <w:r w:rsidRPr="002628B5">
        <w:rPr>
          <w:snapToGrid w:val="0"/>
          <w:lang w:val="en-GB" w:eastAsia="en-US"/>
        </w:rPr>
        <w:t xml:space="preserve">. The PBAC acknowledged the limitations of the available evidence for chronic IVIg, however the PBAC considered that there was </w:t>
      </w:r>
      <w:r w:rsidR="00B10EDC">
        <w:rPr>
          <w:snapToGrid w:val="0"/>
          <w:lang w:val="en-GB" w:eastAsia="en-US"/>
        </w:rPr>
        <w:t>insufficient</w:t>
      </w:r>
      <w:r w:rsidRPr="002628B5">
        <w:rPr>
          <w:snapToGrid w:val="0"/>
          <w:lang w:val="en-GB" w:eastAsia="en-US"/>
        </w:rPr>
        <w:t xml:space="preserve"> evidence to suggest superior efficacy or safety of </w:t>
      </w:r>
      <w:r w:rsidR="00F728FA" w:rsidRPr="00F728FA">
        <w:rPr>
          <w:snapToGrid w:val="0"/>
          <w:lang w:val="en-GB" w:eastAsia="en-US"/>
        </w:rPr>
        <w:t xml:space="preserve">rozanolixizumab </w:t>
      </w:r>
      <w:r w:rsidRPr="002628B5">
        <w:rPr>
          <w:snapToGrid w:val="0"/>
          <w:lang w:val="en-GB" w:eastAsia="en-US"/>
        </w:rPr>
        <w:t xml:space="preserve">versus chronic IVIg or PLEX. Further, the PBAC considered that there was no reliable evidence to suggest that </w:t>
      </w:r>
      <w:r w:rsidR="00F728FA" w:rsidRPr="00F728FA">
        <w:rPr>
          <w:snapToGrid w:val="0"/>
          <w:lang w:val="en-GB" w:eastAsia="en-US"/>
        </w:rPr>
        <w:t xml:space="preserve">rozanolixizumab </w:t>
      </w:r>
      <w:r w:rsidRPr="002628B5">
        <w:rPr>
          <w:snapToGrid w:val="0"/>
          <w:lang w:val="en-GB" w:eastAsia="en-US"/>
        </w:rPr>
        <w:t>was superior in terms of efficacy or safety compared with the other three therapies considered at the March</w:t>
      </w:r>
      <w:r w:rsidR="004F0D0B">
        <w:rPr>
          <w:snapToGrid w:val="0"/>
          <w:lang w:val="en-GB" w:eastAsia="en-US"/>
        </w:rPr>
        <w:t> </w:t>
      </w:r>
      <w:r w:rsidRPr="002628B5">
        <w:rPr>
          <w:snapToGrid w:val="0"/>
          <w:lang w:val="en-GB" w:eastAsia="en-US"/>
        </w:rPr>
        <w:t xml:space="preserve">2025 meeting for the treatment of gMG (zilucoplan, efgartigimod and </w:t>
      </w:r>
      <w:r w:rsidR="00094E2F">
        <w:rPr>
          <w:snapToGrid w:val="0"/>
          <w:lang w:val="en-GB" w:eastAsia="en-US"/>
        </w:rPr>
        <w:t>ravulizumab</w:t>
      </w:r>
      <w:r w:rsidRPr="002628B5">
        <w:rPr>
          <w:snapToGrid w:val="0"/>
          <w:lang w:val="en-GB" w:eastAsia="en-US"/>
        </w:rPr>
        <w:t>). Overall, the PBAC advised that the four treatments should be considered as non-inferior with each other and with IVIg.</w:t>
      </w:r>
    </w:p>
    <w:p w14:paraId="2968711D" w14:textId="77777777" w:rsidR="002628B5" w:rsidRPr="002628B5" w:rsidRDefault="002628B5" w:rsidP="00873AF3">
      <w:pPr>
        <w:pStyle w:val="COMexecsummnumbered"/>
        <w:rPr>
          <w:snapToGrid w:val="0"/>
          <w:lang w:val="en-GB" w:eastAsia="en-US"/>
        </w:rPr>
      </w:pPr>
      <w:r w:rsidRPr="002628B5">
        <w:rPr>
          <w:snapToGrid w:val="0"/>
          <w:lang w:val="en-GB" w:eastAsia="en-US"/>
        </w:rPr>
        <w:t>The recommendation was made on the basis of the totality of the evidence presented across all four of the submissions for new gMG therapies.</w:t>
      </w:r>
    </w:p>
    <w:p w14:paraId="26C8369C" w14:textId="53436086" w:rsidR="002628B5" w:rsidRPr="002628B5" w:rsidRDefault="002628B5" w:rsidP="00873AF3">
      <w:pPr>
        <w:pStyle w:val="COMexecsummnumbered"/>
        <w:rPr>
          <w:snapToGrid w:val="0"/>
          <w:lang w:val="en-GB" w:eastAsia="en-US"/>
        </w:rPr>
      </w:pPr>
      <w:r w:rsidRPr="002628B5">
        <w:rPr>
          <w:snapToGrid w:val="0"/>
          <w:lang w:val="en-GB" w:eastAsia="en-US"/>
        </w:rPr>
        <w:t xml:space="preserve">The PBAC noted the strong consumer and clinician support for the new gMG therapies received via the Consumer Comments facility on the PBS website. The PBAC appreciated the input provided by patients, carers and clinicians and found the comments very informative for understanding the high and unmet clinical need for new effective treatments and the potential use of the new therapies in practice. The comments outlined the significant impact that gMG can have on quality of life, including the impact on patient’s families. The comments also described the limitations of currently available treatment options including adverse events and lengthy administration times. </w:t>
      </w:r>
      <w:r w:rsidR="00447DBE" w:rsidRPr="00447DBE">
        <w:rPr>
          <w:snapToGrid w:val="0"/>
          <w:lang w:val="en-GB" w:eastAsia="en-US"/>
        </w:rPr>
        <w:t xml:space="preserve">Consumers outlined that the new therapies represent a substantial improvement in administration time compared with IVIg, and also shorter travel distances for patients outside metropolitan areas. </w:t>
      </w:r>
      <w:r w:rsidRPr="002628B5">
        <w:rPr>
          <w:snapToGrid w:val="0"/>
          <w:lang w:val="en-GB" w:eastAsia="en-US"/>
        </w:rPr>
        <w:t xml:space="preserve">The comments described a hope that the new therapies will reduce gMG symptoms quickly, reduce the need for other medications and associated side-effects, and reduce hospital visits, contributing to an overall improved quality of life. The PBAC noted the strong support for access to both complement inhibitors (ravulizumab and zilucoplan) and </w:t>
      </w:r>
      <w:r w:rsidR="00516E39">
        <w:rPr>
          <w:snapToGrid w:val="0"/>
          <w:lang w:val="en-GB" w:eastAsia="en-US"/>
        </w:rPr>
        <w:t>FcRn</w:t>
      </w:r>
      <w:r w:rsidRPr="002628B5">
        <w:rPr>
          <w:snapToGrid w:val="0"/>
          <w:lang w:val="en-GB" w:eastAsia="en-US"/>
        </w:rPr>
        <w:t xml:space="preserve"> blockers (efgartigimod and rozanolixizumab) across both the bridging and refractory settings. </w:t>
      </w:r>
    </w:p>
    <w:p w14:paraId="69E3C6AD" w14:textId="1218D619" w:rsidR="002628B5" w:rsidRPr="002628B5" w:rsidRDefault="002628B5" w:rsidP="00873AF3">
      <w:pPr>
        <w:pStyle w:val="COMexecsummnumbered"/>
        <w:rPr>
          <w:snapToGrid w:val="0"/>
          <w:lang w:val="en-GB" w:eastAsia="en-US"/>
        </w:rPr>
      </w:pPr>
      <w:r w:rsidRPr="002628B5">
        <w:rPr>
          <w:snapToGrid w:val="0"/>
          <w:lang w:val="en-GB" w:eastAsia="en-US"/>
        </w:rPr>
        <w:t>The PBAC advised that the restrictions were complex and further work would be required to finalise the restrictions including further consultation with expert neurologists</w:t>
      </w:r>
      <w:r w:rsidR="00745AA1">
        <w:rPr>
          <w:snapToGrid w:val="0"/>
          <w:lang w:val="en-GB" w:eastAsia="en-US"/>
        </w:rPr>
        <w:t xml:space="preserve"> and immunologists</w:t>
      </w:r>
      <w:r w:rsidRPr="002628B5">
        <w:rPr>
          <w:snapToGrid w:val="0"/>
          <w:lang w:val="en-GB" w:eastAsia="en-US"/>
        </w:rPr>
        <w:t xml:space="preserve"> before listing can proceed. </w:t>
      </w:r>
    </w:p>
    <w:p w14:paraId="6249CA0A" w14:textId="5ADAE7B1" w:rsidR="002628B5" w:rsidRPr="002628B5" w:rsidRDefault="00572245" w:rsidP="00873AF3">
      <w:pPr>
        <w:pStyle w:val="COMexecsummnumbered"/>
        <w:rPr>
          <w:snapToGrid w:val="0"/>
          <w:lang w:val="en-GB" w:eastAsia="en-US"/>
        </w:rPr>
      </w:pPr>
      <w:r w:rsidRPr="00572245">
        <w:rPr>
          <w:snapToGrid w:val="0"/>
          <w:lang w:val="en-GB" w:eastAsia="en-US"/>
        </w:rPr>
        <w:t xml:space="preserve">The PBAC noted that the submission requested listing of rozanolixizumab in the bridging setting and as a replacement for IVIg. The PBAC considered that IVIg is being used in both the bridging and refractory settings in clinical practice (supported by the NBA data on IVIg utilisation). Overall, the PBAC advised that the new gMG therapies (both complement inhibitors and </w:t>
      </w:r>
      <w:r w:rsidR="00516E39">
        <w:rPr>
          <w:snapToGrid w:val="0"/>
          <w:lang w:val="en-GB" w:eastAsia="en-US"/>
        </w:rPr>
        <w:t>FcRn</w:t>
      </w:r>
      <w:r w:rsidRPr="00572245">
        <w:rPr>
          <w:snapToGrid w:val="0"/>
          <w:lang w:val="en-GB" w:eastAsia="en-US"/>
        </w:rPr>
        <w:t xml:space="preserve"> blockers) should be listed in both the bridging and refractory settings given the high unmet need, clinical rationale and strong clinician support (both through the stakeholder meeting and the consumer comments) for broad listings that allow clinician discretion in the choice as to which</w:t>
      </w:r>
      <w:r>
        <w:rPr>
          <w:snapToGrid w:val="0"/>
          <w:lang w:val="en-GB" w:eastAsia="en-US"/>
        </w:rPr>
        <w:t xml:space="preserve"> </w:t>
      </w:r>
      <w:r w:rsidR="002628B5" w:rsidRPr="002628B5">
        <w:rPr>
          <w:snapToGrid w:val="0"/>
          <w:lang w:val="en-GB" w:eastAsia="en-US"/>
        </w:rPr>
        <w:t xml:space="preserve">agent to </w:t>
      </w:r>
      <w:r w:rsidR="002628B5" w:rsidRPr="00475815">
        <w:rPr>
          <w:snapToGrid w:val="0"/>
          <w:lang w:val="en-GB" w:eastAsia="en-US"/>
        </w:rPr>
        <w:t xml:space="preserve">use in a </w:t>
      </w:r>
      <w:r w:rsidR="00E878C3" w:rsidRPr="00475815">
        <w:rPr>
          <w:rFonts w:ascii="Calibri" w:eastAsia="Times New Roman" w:hAnsi="Calibri" w:cs="Arial"/>
          <w:szCs w:val="24"/>
        </w:rPr>
        <w:t>particular patient.</w:t>
      </w:r>
    </w:p>
    <w:p w14:paraId="43D8D0C0" w14:textId="77777777" w:rsidR="002628B5" w:rsidRPr="002628B5" w:rsidRDefault="002628B5" w:rsidP="00873AF3">
      <w:pPr>
        <w:pStyle w:val="COMexecsummnumbered"/>
        <w:rPr>
          <w:snapToGrid w:val="0"/>
          <w:lang w:val="en-GB" w:eastAsia="en-US"/>
        </w:rPr>
      </w:pPr>
      <w:bookmarkStart w:id="91" w:name="_Ref194590821"/>
      <w:r w:rsidRPr="002628B5">
        <w:rPr>
          <w:snapToGrid w:val="0"/>
          <w:lang w:val="en-GB" w:eastAsia="en-US"/>
        </w:rPr>
        <w:t>As such, the PBAC considered the four new therapies for gMG should be listed in three settings, consistent with the advice provided by clinicians at the stakeholder meeting and in the consumer comments:</w:t>
      </w:r>
      <w:bookmarkEnd w:id="91"/>
    </w:p>
    <w:p w14:paraId="6FCD3DE6" w14:textId="3012C87B" w:rsidR="002628B5" w:rsidRPr="002628B5" w:rsidRDefault="00DB1069" w:rsidP="00873AF3">
      <w:pPr>
        <w:pStyle w:val="COMexecsummnumbered"/>
        <w:numPr>
          <w:ilvl w:val="1"/>
          <w:numId w:val="24"/>
        </w:numPr>
        <w:ind w:left="1134" w:hanging="425"/>
        <w:rPr>
          <w:snapToGrid w:val="0"/>
          <w:lang w:val="en-GB" w:eastAsia="en-US"/>
        </w:rPr>
      </w:pPr>
      <w:r w:rsidRPr="00DB1069">
        <w:t>Immediate access for patients whose condition is acute and severe, and who are at high risk of rapid deterioration. The PBAC advised that the restriction in this setting should require patients to be treated with concomitant corticosteroid and NS-IST therapy with the flexibility that NS-IST can be commenced within two weeks of initiation of the new therapy. A maximum time on treatment of 3</w:t>
      </w:r>
      <w:r w:rsidR="004F0D0B">
        <w:noBreakHyphen/>
      </w:r>
      <w:r w:rsidRPr="00DB1069">
        <w:t>months would apply for this setting.</w:t>
      </w:r>
    </w:p>
    <w:p w14:paraId="2FCC8CD4" w14:textId="5BA1E775" w:rsidR="002628B5" w:rsidRPr="002628B5" w:rsidRDefault="002628B5" w:rsidP="00873AF3">
      <w:pPr>
        <w:pStyle w:val="COMexecsummnumbered"/>
        <w:numPr>
          <w:ilvl w:val="1"/>
          <w:numId w:val="24"/>
        </w:numPr>
        <w:ind w:left="1134" w:hanging="425"/>
        <w:rPr>
          <w:snapToGrid w:val="0"/>
          <w:lang w:val="en-GB" w:eastAsia="en-US"/>
        </w:rPr>
      </w:pPr>
      <w:r w:rsidRPr="002628B5">
        <w:rPr>
          <w:snapToGrid w:val="0"/>
          <w:lang w:val="en-GB" w:eastAsia="en-US"/>
        </w:rPr>
        <w:t xml:space="preserve">Bridging: early in the treatment algorithm, in combination with standard therapy to provide </w:t>
      </w:r>
      <w:r w:rsidR="00745AA1" w:rsidRPr="00494D2A">
        <w:rPr>
          <w:bCs/>
          <w:snapToGrid w:val="0"/>
          <w:lang w:eastAsia="en-US"/>
        </w:rPr>
        <w:t>bridging immunosuppression whilst immunosuppression with NS</w:t>
      </w:r>
      <w:r w:rsidR="004F0D0B">
        <w:rPr>
          <w:bCs/>
          <w:snapToGrid w:val="0"/>
          <w:lang w:eastAsia="en-US"/>
        </w:rPr>
        <w:noBreakHyphen/>
      </w:r>
      <w:r w:rsidR="00745AA1" w:rsidRPr="00494D2A">
        <w:rPr>
          <w:bCs/>
          <w:snapToGrid w:val="0"/>
          <w:lang w:eastAsia="en-US"/>
        </w:rPr>
        <w:t>IST/thymectomy takes effect</w:t>
      </w:r>
      <w:r w:rsidRPr="002628B5">
        <w:rPr>
          <w:snapToGrid w:val="0"/>
          <w:lang w:val="en-GB" w:eastAsia="en-US"/>
        </w:rPr>
        <w:t>.</w:t>
      </w:r>
      <w:r w:rsidR="00A1756D" w:rsidRPr="00A1756D">
        <w:t xml:space="preserve"> </w:t>
      </w:r>
      <w:r w:rsidR="00A1756D" w:rsidRPr="00A1756D">
        <w:rPr>
          <w:snapToGrid w:val="0"/>
          <w:lang w:val="en-GB" w:eastAsia="en-US"/>
        </w:rPr>
        <w:t>A maximum time on treatment of 6-months would apply for this setting.</w:t>
      </w:r>
    </w:p>
    <w:p w14:paraId="5543669F" w14:textId="77777777" w:rsidR="002628B5" w:rsidRPr="002628B5" w:rsidRDefault="002628B5" w:rsidP="00873AF3">
      <w:pPr>
        <w:pStyle w:val="COMexecsummnumbered"/>
        <w:numPr>
          <w:ilvl w:val="1"/>
          <w:numId w:val="24"/>
        </w:numPr>
        <w:ind w:left="1134" w:hanging="425"/>
        <w:rPr>
          <w:snapToGrid w:val="0"/>
          <w:lang w:val="en-GB" w:eastAsia="en-US"/>
        </w:rPr>
      </w:pPr>
      <w:r w:rsidRPr="002628B5">
        <w:rPr>
          <w:snapToGrid w:val="0"/>
          <w:lang w:val="en-GB" w:eastAsia="en-US"/>
        </w:rPr>
        <w:t>Refractory: later in the disease course where other treatments have failed.</w:t>
      </w:r>
    </w:p>
    <w:p w14:paraId="15C4D827" w14:textId="06A1BEF0" w:rsidR="002628B5" w:rsidRPr="002628B5" w:rsidRDefault="002628B5" w:rsidP="00873AF3">
      <w:pPr>
        <w:pStyle w:val="COMexecsummnumbered"/>
        <w:rPr>
          <w:snapToGrid w:val="0"/>
          <w:lang w:val="en-GB" w:eastAsia="en-US"/>
        </w:rPr>
      </w:pPr>
      <w:bookmarkStart w:id="92" w:name="_Ref194590874"/>
      <w:r w:rsidRPr="002628B5">
        <w:rPr>
          <w:snapToGrid w:val="0"/>
          <w:lang w:val="en-GB" w:eastAsia="en-US"/>
        </w:rPr>
        <w:t xml:space="preserve">The PBAC considered the restriction in the bridging setting should provide access for patients whose condition is moderate-to-severe, and who have trialled at least three months of therapy with remission-inducing intent. The PBAC advised this should be defined as </w:t>
      </w:r>
      <w:r w:rsidR="006607FE">
        <w:rPr>
          <w:snapToGrid w:val="0"/>
          <w:lang w:val="en-GB" w:eastAsia="en-US"/>
        </w:rPr>
        <w:t>two of the following three:</w:t>
      </w:r>
      <w:r w:rsidR="006607FE" w:rsidRPr="002628B5">
        <w:rPr>
          <w:snapToGrid w:val="0"/>
          <w:lang w:val="en-GB" w:eastAsia="en-US"/>
        </w:rPr>
        <w:t xml:space="preserve"> </w:t>
      </w:r>
      <w:r w:rsidRPr="002628B5">
        <w:rPr>
          <w:snapToGrid w:val="0"/>
          <w:lang w:val="en-GB" w:eastAsia="en-US"/>
        </w:rPr>
        <w:t>NS-IST</w:t>
      </w:r>
      <w:r w:rsidR="0040600C">
        <w:rPr>
          <w:snapToGrid w:val="0"/>
          <w:lang w:val="en-GB" w:eastAsia="en-US"/>
        </w:rPr>
        <w:t>;</w:t>
      </w:r>
      <w:r w:rsidRPr="002628B5">
        <w:rPr>
          <w:snapToGrid w:val="0"/>
          <w:lang w:val="en-GB" w:eastAsia="en-US"/>
        </w:rPr>
        <w:t xml:space="preserve"> </w:t>
      </w:r>
      <w:r w:rsidR="0040600C">
        <w:rPr>
          <w:snapToGrid w:val="0"/>
          <w:lang w:val="en-GB" w:eastAsia="en-US"/>
        </w:rPr>
        <w:t xml:space="preserve">a </w:t>
      </w:r>
      <w:r w:rsidRPr="002628B5">
        <w:rPr>
          <w:snapToGrid w:val="0"/>
          <w:lang w:val="en-GB" w:eastAsia="en-US"/>
        </w:rPr>
        <w:t>corticosteroid</w:t>
      </w:r>
      <w:r w:rsidR="0040600C">
        <w:rPr>
          <w:snapToGrid w:val="0"/>
          <w:lang w:val="en-GB" w:eastAsia="en-US"/>
        </w:rPr>
        <w:t>; thymectomy</w:t>
      </w:r>
      <w:r w:rsidR="00B7042F">
        <w:rPr>
          <w:snapToGrid w:val="0"/>
          <w:lang w:val="en-GB" w:eastAsia="en-US"/>
        </w:rPr>
        <w:t xml:space="preserve">. </w:t>
      </w:r>
      <w:r w:rsidR="00992D64" w:rsidRPr="00992D64">
        <w:rPr>
          <w:rFonts w:ascii="Calibri" w:eastAsia="Times New Roman" w:hAnsi="Calibri" w:cs="Arial"/>
          <w:szCs w:val="24"/>
        </w:rPr>
        <w:t>The NS</w:t>
      </w:r>
      <w:r w:rsidR="004F0D0B">
        <w:rPr>
          <w:rFonts w:ascii="Calibri" w:eastAsia="Times New Roman" w:hAnsi="Calibri" w:cs="Arial"/>
          <w:szCs w:val="24"/>
        </w:rPr>
        <w:noBreakHyphen/>
      </w:r>
      <w:r w:rsidR="00992D64" w:rsidRPr="00992D64">
        <w:rPr>
          <w:rFonts w:ascii="Calibri" w:eastAsia="Times New Roman" w:hAnsi="Calibri" w:cs="Arial"/>
          <w:szCs w:val="24"/>
        </w:rPr>
        <w:t>IST and/or corticosteroid should have been administered at optimised dosing (</w:t>
      </w:r>
      <w:r w:rsidR="003E4A9C" w:rsidRPr="003E4A9C">
        <w:rPr>
          <w:rFonts w:ascii="Calibri" w:eastAsia="Times New Roman" w:hAnsi="Calibri" w:cs="Arial"/>
          <w:szCs w:val="24"/>
        </w:rPr>
        <w:t xml:space="preserve">definition of optimised </w:t>
      </w:r>
      <w:r w:rsidR="00992D64" w:rsidRPr="00992D64">
        <w:rPr>
          <w:rFonts w:ascii="Calibri" w:eastAsia="Times New Roman" w:hAnsi="Calibri" w:cs="Arial"/>
          <w:szCs w:val="24"/>
        </w:rPr>
        <w:t>doses not specified</w:t>
      </w:r>
      <w:r w:rsidR="003E4A9C" w:rsidRPr="003E4A9C">
        <w:rPr>
          <w:rFonts w:ascii="Calibri" w:eastAsia="Times New Roman" w:hAnsi="Calibri" w:cs="Arial"/>
          <w:szCs w:val="24"/>
        </w:rPr>
        <w:t xml:space="preserve"> and will be up to the treating physician to determine</w:t>
      </w:r>
      <w:r w:rsidR="00992D64" w:rsidRPr="00992D64">
        <w:rPr>
          <w:rFonts w:ascii="Calibri" w:eastAsia="Times New Roman" w:hAnsi="Calibri" w:cs="Arial"/>
          <w:szCs w:val="24"/>
        </w:rPr>
        <w:t>)</w:t>
      </w:r>
      <w:r w:rsidRPr="002628B5">
        <w:rPr>
          <w:snapToGrid w:val="0"/>
          <w:lang w:val="en-GB" w:eastAsia="en-US"/>
        </w:rPr>
        <w:t xml:space="preserve">. The PBAC advised the initiation criteria in this setting should require patients to meet a disease severity threshold similar to most of the key trials, e.g. around MG-ADL ≥ 6 (consistent with two of the four trials of the new therapies for gMG). The PBAC agreed with the clinician correspondence which expressed a preference for also including a clinician-reported component i.e. using the MGC instrument </w:t>
      </w:r>
      <w:r w:rsidR="001E32A5">
        <w:t xml:space="preserve">(with a threshold </w:t>
      </w:r>
      <w:r w:rsidR="001E32A5" w:rsidRPr="00361627">
        <w:t>to be determined based on consultation with expert neurologists and immunologists</w:t>
      </w:r>
      <w:r w:rsidR="001E32A5">
        <w:t xml:space="preserve">) </w:t>
      </w:r>
      <w:r w:rsidRPr="002628B5">
        <w:rPr>
          <w:snapToGrid w:val="0"/>
          <w:lang w:val="en-GB" w:eastAsia="en-US"/>
        </w:rPr>
        <w:t xml:space="preserve">in addition to </w:t>
      </w:r>
      <w:r w:rsidR="001E32A5">
        <w:rPr>
          <w:snapToGrid w:val="0"/>
          <w:lang w:val="en-GB" w:eastAsia="en-US"/>
        </w:rPr>
        <w:t xml:space="preserve">the </w:t>
      </w:r>
      <w:r w:rsidRPr="002628B5">
        <w:rPr>
          <w:snapToGrid w:val="0"/>
          <w:lang w:val="en-GB" w:eastAsia="en-US"/>
        </w:rPr>
        <w:t>MG-ADL (paragraph 6.6</w:t>
      </w:r>
      <w:r w:rsidR="00745AA1">
        <w:rPr>
          <w:snapToGrid w:val="0"/>
          <w:lang w:val="en-GB" w:eastAsia="en-US"/>
        </w:rPr>
        <w:fldChar w:fldCharType="begin" w:fldLock="1"/>
      </w:r>
      <w:r w:rsidR="00745AA1">
        <w:rPr>
          <w:snapToGrid w:val="0"/>
          <w:lang w:val="en-GB" w:eastAsia="en-US"/>
        </w:rPr>
        <w:instrText xml:space="preserve"> REF _Ref194917653 \r \h </w:instrText>
      </w:r>
      <w:r w:rsidR="00745AA1">
        <w:rPr>
          <w:snapToGrid w:val="0"/>
          <w:lang w:val="en-GB" w:eastAsia="en-US"/>
        </w:rPr>
      </w:r>
      <w:r w:rsidR="00745AA1">
        <w:rPr>
          <w:snapToGrid w:val="0"/>
          <w:lang w:val="en-GB" w:eastAsia="en-US"/>
        </w:rPr>
        <w:fldChar w:fldCharType="separate"/>
      </w:r>
      <w:r w:rsidR="00E70E55">
        <w:rPr>
          <w:snapToGrid w:val="0"/>
          <w:lang w:val="en-GB" w:eastAsia="en-US"/>
        </w:rPr>
        <w:t>b)</w:t>
      </w:r>
      <w:r w:rsidR="00745AA1">
        <w:rPr>
          <w:snapToGrid w:val="0"/>
          <w:lang w:val="en-GB" w:eastAsia="en-US"/>
        </w:rPr>
        <w:fldChar w:fldCharType="end"/>
      </w:r>
      <w:bookmarkEnd w:id="92"/>
      <w:r w:rsidR="00745AA1">
        <w:rPr>
          <w:snapToGrid w:val="0"/>
          <w:lang w:val="en-GB" w:eastAsia="en-US"/>
        </w:rPr>
        <w:t>.</w:t>
      </w:r>
    </w:p>
    <w:p w14:paraId="3BA50358" w14:textId="4825AB16" w:rsidR="002628B5" w:rsidRPr="002628B5" w:rsidRDefault="00F434E8" w:rsidP="00873AF3">
      <w:pPr>
        <w:pStyle w:val="COMexecsummnumbered"/>
        <w:rPr>
          <w:snapToGrid w:val="0"/>
          <w:lang w:val="en-GB" w:eastAsia="en-US"/>
        </w:rPr>
      </w:pPr>
      <w:bookmarkStart w:id="93" w:name="_Ref194919049"/>
      <w:r w:rsidRPr="00F434E8">
        <w:rPr>
          <w:snapToGrid w:val="0"/>
          <w:lang w:val="en-GB" w:eastAsia="en-US"/>
        </w:rPr>
        <w:t xml:space="preserve">The PBAC considered the restrictions in the refractory setting should require patients to have trialled at least 12 months of two of the following three treatments: a NS-IST; a corticosteroid; thymectomy. This would allow patients to transition from the bridging setting (with a 3-month treatment break) as </w:t>
      </w:r>
      <w:r w:rsidR="001F0E07">
        <w:rPr>
          <w:snapToGrid w:val="0"/>
          <w:lang w:val="en-GB" w:eastAsia="en-US"/>
        </w:rPr>
        <w:t xml:space="preserve">the </w:t>
      </w:r>
      <w:r w:rsidRPr="00F434E8">
        <w:rPr>
          <w:snapToGrid w:val="0"/>
          <w:lang w:val="en-GB" w:eastAsia="en-US"/>
        </w:rPr>
        <w:t>NS-IST and/or corticosteroid should have been co-administered in the previous bridging setting. The PBAC advised the disease severity thresholds for initiation in the refractory setting should be the same as those for the bridging setting.</w:t>
      </w:r>
      <w:bookmarkEnd w:id="93"/>
    </w:p>
    <w:p w14:paraId="7450A1E2" w14:textId="41CE2ECD" w:rsidR="00B10EDC" w:rsidRPr="002628B5" w:rsidRDefault="00BF2B7F" w:rsidP="00873AF3">
      <w:pPr>
        <w:pStyle w:val="COMexecsummnumbered"/>
        <w:rPr>
          <w:snapToGrid w:val="0"/>
          <w:lang w:val="en-GB" w:eastAsia="en-US"/>
        </w:rPr>
      </w:pPr>
      <w:bookmarkStart w:id="94" w:name="_Ref194590890"/>
      <w:r w:rsidRPr="00BF2B7F">
        <w:rPr>
          <w:snapToGrid w:val="0"/>
          <w:lang w:val="en-GB" w:eastAsia="en-US"/>
        </w:rPr>
        <w:t xml:space="preserve">The PBAC considered that, in the acute and bridging settings, there should be a maximum time on treatment of 3 months and 6 months respectively, to prevent ongoing use given the potential for the condition to respond to NS-IST therapy or improve over time. The PBAC considered that the initial restriction for the treatment refractory setting should require the patient to have trialled cessation of the new therapy for three months to be eligible for further </w:t>
      </w:r>
      <w:r w:rsidRPr="00475815">
        <w:rPr>
          <w:snapToGrid w:val="0"/>
          <w:lang w:val="en-GB" w:eastAsia="en-US"/>
        </w:rPr>
        <w:t>treatment with new therapy for</w:t>
      </w:r>
      <w:r w:rsidRPr="00BF2B7F">
        <w:rPr>
          <w:snapToGrid w:val="0"/>
          <w:lang w:val="en-GB" w:eastAsia="en-US"/>
        </w:rPr>
        <w:t xml:space="preserve"> this setting</w:t>
      </w:r>
      <w:r w:rsidR="00B10EDC">
        <w:rPr>
          <w:snapToGrid w:val="0"/>
          <w:lang w:val="en-GB" w:eastAsia="en-US"/>
        </w:rPr>
        <w:t xml:space="preserve"> (consistent with the ESC advice in paragraph </w:t>
      </w:r>
      <w:r w:rsidR="001E32A5">
        <w:rPr>
          <w:snapToGrid w:val="0"/>
          <w:lang w:val="en-GB" w:eastAsia="en-US"/>
        </w:rPr>
        <w:fldChar w:fldCharType="begin" w:fldLock="1"/>
      </w:r>
      <w:r w:rsidR="001E32A5">
        <w:rPr>
          <w:snapToGrid w:val="0"/>
          <w:lang w:val="en-GB" w:eastAsia="en-US"/>
        </w:rPr>
        <w:instrText xml:space="preserve"> REF _Ref193200650 \r \h </w:instrText>
      </w:r>
      <w:r w:rsidR="001E32A5">
        <w:rPr>
          <w:snapToGrid w:val="0"/>
          <w:lang w:val="en-GB" w:eastAsia="en-US"/>
        </w:rPr>
      </w:r>
      <w:r w:rsidR="001E32A5">
        <w:rPr>
          <w:snapToGrid w:val="0"/>
          <w:lang w:val="en-GB" w:eastAsia="en-US"/>
        </w:rPr>
        <w:fldChar w:fldCharType="separate"/>
      </w:r>
      <w:r w:rsidR="00E70E55">
        <w:rPr>
          <w:snapToGrid w:val="0"/>
          <w:lang w:val="en-GB" w:eastAsia="en-US"/>
        </w:rPr>
        <w:t>7.6</w:t>
      </w:r>
      <w:r w:rsidR="001E32A5">
        <w:rPr>
          <w:snapToGrid w:val="0"/>
          <w:lang w:val="en-GB" w:eastAsia="en-US"/>
        </w:rPr>
        <w:fldChar w:fldCharType="end"/>
      </w:r>
      <w:r w:rsidR="00B10EDC">
        <w:rPr>
          <w:snapToGrid w:val="0"/>
          <w:lang w:val="en-GB" w:eastAsia="en-US"/>
        </w:rPr>
        <w:t>)</w:t>
      </w:r>
      <w:r w:rsidR="00B10EDC" w:rsidRPr="00BF2B7F">
        <w:rPr>
          <w:snapToGrid w:val="0"/>
          <w:lang w:val="en-GB" w:eastAsia="en-US"/>
        </w:rPr>
        <w:t>.</w:t>
      </w:r>
    </w:p>
    <w:bookmarkEnd w:id="94"/>
    <w:p w14:paraId="361692DD" w14:textId="1EBD0379" w:rsidR="002628B5" w:rsidRPr="002628B5" w:rsidRDefault="002628B5" w:rsidP="00873AF3">
      <w:pPr>
        <w:pStyle w:val="COMexecsummnumbered"/>
        <w:rPr>
          <w:snapToGrid w:val="0"/>
          <w:lang w:val="en-GB" w:eastAsia="en-US"/>
        </w:rPr>
      </w:pPr>
      <w:r w:rsidRPr="002628B5">
        <w:rPr>
          <w:snapToGrid w:val="0"/>
          <w:lang w:val="en-GB" w:eastAsia="en-US"/>
        </w:rPr>
        <w:t>In terms of response criteria</w:t>
      </w:r>
      <w:r w:rsidR="002515A2">
        <w:rPr>
          <w:snapToGrid w:val="0"/>
          <w:lang w:val="en-GB" w:eastAsia="en-US"/>
        </w:rPr>
        <w:t xml:space="preserve"> in the refractory setting</w:t>
      </w:r>
      <w:r w:rsidRPr="002628B5">
        <w:rPr>
          <w:snapToGrid w:val="0"/>
          <w:lang w:val="en-GB" w:eastAsia="en-US"/>
        </w:rPr>
        <w:t xml:space="preserve">, the PBAC considered that response should be based on </w:t>
      </w:r>
      <w:r w:rsidR="001E32A5">
        <w:rPr>
          <w:snapToGrid w:val="0"/>
          <w:lang w:val="en-GB" w:eastAsia="en-US"/>
        </w:rPr>
        <w:t>an</w:t>
      </w:r>
      <w:r w:rsidRPr="002628B5">
        <w:rPr>
          <w:snapToGrid w:val="0"/>
          <w:lang w:val="en-GB" w:eastAsia="en-US"/>
        </w:rPr>
        <w:t xml:space="preserve"> MG-ADL ≥ 2</w:t>
      </w:r>
      <w:bookmarkStart w:id="95" w:name="_Hlk195000899"/>
      <w:r w:rsidR="001E32A5">
        <w:rPr>
          <w:snapToGrid w:val="0"/>
          <w:lang w:val="en-GB" w:eastAsia="en-US"/>
        </w:rPr>
        <w:t xml:space="preserve"> </w:t>
      </w:r>
      <w:r w:rsidR="001E32A5">
        <w:t xml:space="preserve">(plus a corresponding </w:t>
      </w:r>
      <w:r w:rsidR="001E32A5" w:rsidRPr="00E8507D">
        <w:t xml:space="preserve">MGC </w:t>
      </w:r>
      <w:r w:rsidR="001E32A5">
        <w:t>level to be determined based on consultation with expert neurologists and immunologists</w:t>
      </w:r>
      <w:bookmarkEnd w:id="95"/>
      <w:r w:rsidR="001E32A5">
        <w:t>)</w:t>
      </w:r>
      <w:r w:rsidRPr="002628B5">
        <w:rPr>
          <w:snapToGrid w:val="0"/>
          <w:lang w:val="en-GB" w:eastAsia="en-US"/>
        </w:rPr>
        <w:t>, achieved at 2 to 16 weeks, per the clinician correspondence (paragraph 6.6e).</w:t>
      </w:r>
    </w:p>
    <w:p w14:paraId="1B0CF504" w14:textId="1D1B079C" w:rsidR="002628B5" w:rsidRPr="002628B5" w:rsidRDefault="00875456" w:rsidP="00873AF3">
      <w:pPr>
        <w:pStyle w:val="COMexecsummnumbered"/>
        <w:rPr>
          <w:snapToGrid w:val="0"/>
          <w:lang w:val="en-GB" w:eastAsia="en-US"/>
        </w:rPr>
      </w:pPr>
      <w:bookmarkStart w:id="96" w:name="_Ref194918945"/>
      <w:r w:rsidRPr="00875456">
        <w:rPr>
          <w:snapToGrid w:val="0"/>
          <w:lang w:val="en-GB" w:eastAsia="en-US"/>
        </w:rPr>
        <w:t xml:space="preserve">The PBAC considered it would be appropriate to list the required number of doses with repeats to enable the approximate full treatment time of </w:t>
      </w:r>
      <w:r w:rsidR="00AA7909" w:rsidRPr="00AA7909">
        <w:rPr>
          <w:rFonts w:ascii="Calibri" w:eastAsia="Times New Roman" w:hAnsi="Calibri" w:cs="Arial"/>
          <w:szCs w:val="24"/>
        </w:rPr>
        <w:t>3-months for the acute severe setting</w:t>
      </w:r>
      <w:r w:rsidRPr="00875456">
        <w:rPr>
          <w:snapToGrid w:val="0"/>
          <w:lang w:val="en-GB" w:eastAsia="en-US"/>
        </w:rPr>
        <w:t>, and 6-months for bridging</w:t>
      </w:r>
      <w:r w:rsidR="00F10CAF">
        <w:rPr>
          <w:snapToGrid w:val="0"/>
          <w:lang w:val="en-GB" w:eastAsia="en-US"/>
        </w:rPr>
        <w:t xml:space="preserve"> therapy</w:t>
      </w:r>
      <w:r w:rsidRPr="00875456">
        <w:rPr>
          <w:snapToGrid w:val="0"/>
          <w:lang w:val="en-GB" w:eastAsia="en-US"/>
        </w:rPr>
        <w:t xml:space="preserve">. The PBAC also advised it would be appropriate to list the number of doses with repeats for each 6-months of treatment in the refractory setting. The PBAC acknowledged there will be some variability in the number of doses and treatment when taking into account the specific dosing regimens of each drug. </w:t>
      </w:r>
      <w:r w:rsidR="00F32FA6" w:rsidRPr="00CB0367">
        <w:t>Therefore, for the FcRn inhibitors, the PBAC advised that repeat cycles should be permitted, noting the strict re-treatment criteria in some of the FcRn trials may be difficult to implement in practice.</w:t>
      </w:r>
      <w:bookmarkEnd w:id="96"/>
    </w:p>
    <w:p w14:paraId="5B204DED" w14:textId="77777777" w:rsidR="002628B5" w:rsidRPr="002628B5" w:rsidRDefault="002628B5" w:rsidP="00873AF3">
      <w:pPr>
        <w:pStyle w:val="COMexecsummnumbered"/>
        <w:rPr>
          <w:snapToGrid w:val="0"/>
          <w:lang w:val="en-GB" w:eastAsia="en-US"/>
        </w:rPr>
      </w:pPr>
      <w:r w:rsidRPr="002628B5">
        <w:rPr>
          <w:snapToGrid w:val="0"/>
          <w:lang w:val="en-GB" w:eastAsia="en-US"/>
        </w:rPr>
        <w:t xml:space="preserve">The PBAC considered that the patient must be treated by (or in consultation with) a neurologist or clinical immunologist with experience in the management of gMG. The PBAC advised that there should be no age criteria in the restrictions. </w:t>
      </w:r>
    </w:p>
    <w:p w14:paraId="015A7523" w14:textId="5577A02F" w:rsidR="002628B5" w:rsidRPr="002628B5" w:rsidRDefault="006F66B5" w:rsidP="00873AF3">
      <w:pPr>
        <w:pStyle w:val="COMexecsummnumbered"/>
        <w:rPr>
          <w:snapToGrid w:val="0"/>
          <w:lang w:val="en-GB" w:eastAsia="en-US"/>
        </w:rPr>
      </w:pPr>
      <w:r w:rsidRPr="006F66B5">
        <w:rPr>
          <w:snapToGrid w:val="0"/>
          <w:lang w:val="en-GB" w:eastAsia="en-US"/>
        </w:rPr>
        <w:t>Due to the short timeframe of 3-months and 6-months of acute severe treatment and bridging therapy respectively, the PBAC considered switching between the new therapies would not be appropriate within these settings, however a patient may switch when moving from one phase of treatment to the next. Within the refractory setting, patients may switch as needed on the basis that any unused repeat prescriptions for the previous therapy be cancelled.</w:t>
      </w:r>
      <w:r w:rsidR="002628B5" w:rsidRPr="002628B5">
        <w:rPr>
          <w:snapToGrid w:val="0"/>
          <w:lang w:val="en-GB" w:eastAsia="en-US"/>
        </w:rPr>
        <w:t xml:space="preserve"> </w:t>
      </w:r>
    </w:p>
    <w:p w14:paraId="064C72BF" w14:textId="26279F4E" w:rsidR="002628B5" w:rsidRPr="002628B5" w:rsidRDefault="002628B5" w:rsidP="00873AF3">
      <w:pPr>
        <w:pStyle w:val="COMexecsummnumbered"/>
        <w:rPr>
          <w:snapToGrid w:val="0"/>
          <w:lang w:val="en-GB" w:eastAsia="en-US"/>
        </w:rPr>
      </w:pPr>
      <w:r w:rsidRPr="002628B5">
        <w:rPr>
          <w:snapToGrid w:val="0"/>
          <w:lang w:val="en-GB" w:eastAsia="en-US"/>
        </w:rPr>
        <w:t>The PBAC considered that the new gMG therapies should substitute for IVIg and PLEX rather than be added on to or used in combination with these modalities. The PBAC advised that:</w:t>
      </w:r>
    </w:p>
    <w:p w14:paraId="3DDAB140" w14:textId="428D1C35" w:rsidR="002628B5" w:rsidRPr="002628B5" w:rsidRDefault="002628B5" w:rsidP="00873AF3">
      <w:pPr>
        <w:pStyle w:val="COMexecsummnumbered"/>
        <w:numPr>
          <w:ilvl w:val="1"/>
          <w:numId w:val="25"/>
        </w:numPr>
        <w:ind w:left="1134" w:hanging="425"/>
        <w:rPr>
          <w:snapToGrid w:val="0"/>
          <w:lang w:val="en-GB" w:eastAsia="en-US"/>
        </w:rPr>
      </w:pPr>
      <w:r w:rsidRPr="002628B5">
        <w:rPr>
          <w:snapToGrid w:val="0"/>
          <w:lang w:val="en-GB" w:eastAsia="en-US"/>
        </w:rPr>
        <w:t>the PBS restriction should state that the new therapy should not be used in combination with IVIg</w:t>
      </w:r>
      <w:r w:rsidR="001E32A5">
        <w:rPr>
          <w:snapToGrid w:val="0"/>
          <w:lang w:val="en-GB" w:eastAsia="en-US"/>
        </w:rPr>
        <w:t>.</w:t>
      </w:r>
      <w:r w:rsidRPr="002628B5">
        <w:rPr>
          <w:snapToGrid w:val="0"/>
          <w:lang w:val="en-GB" w:eastAsia="en-US"/>
        </w:rPr>
        <w:t xml:space="preserve"> </w:t>
      </w:r>
      <w:r w:rsidR="001E32A5" w:rsidRPr="001E32A5">
        <w:rPr>
          <w:snapToGrid w:val="0"/>
          <w:lang w:val="en-GB" w:eastAsia="en-US"/>
        </w:rPr>
        <w:t>In particular, the PBAC noted that FcRn blockers should not be administered concomitantly with IVIg or PLEX given FcRn blockers remove circulating immunoglobulin</w:t>
      </w:r>
    </w:p>
    <w:p w14:paraId="09CEBB81" w14:textId="05F7A157" w:rsidR="002628B5" w:rsidRPr="002628B5" w:rsidRDefault="002628B5" w:rsidP="00873AF3">
      <w:pPr>
        <w:pStyle w:val="COMexecsummnumbered"/>
        <w:numPr>
          <w:ilvl w:val="1"/>
          <w:numId w:val="25"/>
        </w:numPr>
        <w:ind w:left="1134" w:hanging="425"/>
        <w:rPr>
          <w:snapToGrid w:val="0"/>
          <w:lang w:val="en-GB" w:eastAsia="en-US"/>
        </w:rPr>
      </w:pPr>
      <w:r w:rsidRPr="002628B5">
        <w:rPr>
          <w:snapToGrid w:val="0"/>
          <w:lang w:val="en-GB" w:eastAsia="en-US"/>
        </w:rPr>
        <w:t>there should be no requirement for the patient to have trialled prior IVIg (or PLEX) given the limitations of the available evidence for chronic IVIg</w:t>
      </w:r>
    </w:p>
    <w:p w14:paraId="5AFBF085" w14:textId="77777777" w:rsidR="002628B5" w:rsidRPr="002628B5" w:rsidRDefault="002628B5" w:rsidP="00873AF3">
      <w:pPr>
        <w:pStyle w:val="COMexecsummnumbered"/>
        <w:numPr>
          <w:ilvl w:val="1"/>
          <w:numId w:val="25"/>
        </w:numPr>
        <w:ind w:left="1134" w:hanging="425"/>
        <w:rPr>
          <w:snapToGrid w:val="0"/>
          <w:lang w:val="en-GB" w:eastAsia="en-US"/>
        </w:rPr>
      </w:pPr>
      <w:r w:rsidRPr="002628B5">
        <w:rPr>
          <w:snapToGrid w:val="0"/>
          <w:lang w:val="en-GB" w:eastAsia="en-US"/>
        </w:rPr>
        <w:t>the prescribing criteria for IVIg should be revised to ensure use remains appropriate in the context of the availability of the new therapies.</w:t>
      </w:r>
    </w:p>
    <w:p w14:paraId="0E47020D" w14:textId="77777777" w:rsidR="002628B5" w:rsidRPr="002628B5" w:rsidRDefault="002628B5" w:rsidP="00873AF3">
      <w:pPr>
        <w:pStyle w:val="COMexecsummnumbered"/>
        <w:rPr>
          <w:snapToGrid w:val="0"/>
          <w:lang w:val="en-GB" w:eastAsia="en-US"/>
        </w:rPr>
      </w:pPr>
      <w:r w:rsidRPr="002628B5">
        <w:rPr>
          <w:snapToGrid w:val="0"/>
          <w:lang w:val="en-GB" w:eastAsia="en-US"/>
        </w:rPr>
        <w:t>The PBAC considered that chronic IVIg was a relevant comparator for providing a frame of reference for interpreting the cost-per-patient of the newer gMG therapies across both the refractory and bridging settings. The PBAC acknowledged the ESC’s concerns that, in the bridging setting, there is a lower level of certainty in the incremental benefit versus optimisation of existing therapies but considered these concerns would be adequately addressed by having a maximum duration of use in this setting, along with a combined RSA across both settings.</w:t>
      </w:r>
    </w:p>
    <w:p w14:paraId="55265722" w14:textId="6D0713E1" w:rsidR="002628B5" w:rsidRPr="002628B5" w:rsidRDefault="002628B5" w:rsidP="00873AF3">
      <w:pPr>
        <w:pStyle w:val="COMexecsummnumbered"/>
        <w:rPr>
          <w:snapToGrid w:val="0"/>
          <w:lang w:val="en-GB" w:eastAsia="en-US"/>
        </w:rPr>
      </w:pPr>
      <w:r w:rsidRPr="002628B5">
        <w:rPr>
          <w:snapToGrid w:val="0"/>
          <w:lang w:val="en-GB" w:eastAsia="en-US"/>
        </w:rPr>
        <w:t>The PBAC also considered that the four new gMG therapies (efgartigimod, rozanolixizumab, ravulizumab and zilucoplan) were all near-market comparators to each other.</w:t>
      </w:r>
    </w:p>
    <w:p w14:paraId="3AE985D9" w14:textId="5A247F7E" w:rsidR="002628B5" w:rsidRPr="002628B5" w:rsidRDefault="002628B5" w:rsidP="00873AF3">
      <w:pPr>
        <w:pStyle w:val="COMexecsummnumbered"/>
        <w:rPr>
          <w:snapToGrid w:val="0"/>
          <w:lang w:val="en-GB" w:eastAsia="en-US"/>
        </w:rPr>
      </w:pPr>
      <w:r w:rsidRPr="002628B5">
        <w:rPr>
          <w:snapToGrid w:val="0"/>
          <w:lang w:val="en-GB" w:eastAsia="en-US"/>
        </w:rPr>
        <w:t>The PBAC considered there was no evidence to suggest superior efficacy or safety between any of the four new gMG therapies (zilucoplan, ravulizumab, efgartigimod and rozanolixizumab). The PBAC further considered that the published network meta-analyses had substantial limitations, in particular the lack of accounting for the treatment effects of FcRn blockers waning over time during the off-treatment period.</w:t>
      </w:r>
    </w:p>
    <w:p w14:paraId="2BC0AF26" w14:textId="50573088" w:rsidR="002628B5" w:rsidRPr="002628B5" w:rsidRDefault="005E72B8" w:rsidP="00873AF3">
      <w:pPr>
        <w:pStyle w:val="COMexecsummnumbered"/>
        <w:rPr>
          <w:snapToGrid w:val="0"/>
          <w:lang w:val="en-GB" w:eastAsia="en-US"/>
        </w:rPr>
      </w:pPr>
      <w:r w:rsidRPr="005E72B8">
        <w:rPr>
          <w:snapToGrid w:val="0"/>
          <w:lang w:val="en-GB" w:eastAsia="en-US"/>
        </w:rPr>
        <w:t xml:space="preserve">The PBAC noted the submission’s indirect comparison between the MycarinG rozanolixizumab trial and the Bril 2024 IVIg trial, which found no statistically significant differences in functional outcomes or serious adverse events between rozanolixizumab and IVIg. </w:t>
      </w:r>
      <w:r w:rsidR="002628B5" w:rsidRPr="002628B5">
        <w:rPr>
          <w:snapToGrid w:val="0"/>
          <w:lang w:val="en-GB" w:eastAsia="en-US"/>
        </w:rPr>
        <w:t xml:space="preserve">The PBAC acknowledged the limitations of the available evidence for chronic </w:t>
      </w:r>
      <w:r w:rsidR="00725F84" w:rsidRPr="002628B5">
        <w:rPr>
          <w:snapToGrid w:val="0"/>
          <w:lang w:val="en-GB" w:eastAsia="en-US"/>
        </w:rPr>
        <w:t>IVIg and</w:t>
      </w:r>
      <w:r w:rsidR="001D7050">
        <w:rPr>
          <w:snapToGrid w:val="0"/>
          <w:lang w:val="en-GB" w:eastAsia="en-US"/>
        </w:rPr>
        <w:t xml:space="preserve"> </w:t>
      </w:r>
      <w:r w:rsidR="002628B5" w:rsidRPr="002628B5">
        <w:rPr>
          <w:snapToGrid w:val="0"/>
          <w:lang w:val="en-GB" w:eastAsia="en-US"/>
        </w:rPr>
        <w:t xml:space="preserve">based on the totality of the evidence presented across the four submissions, the PBAC </w:t>
      </w:r>
      <w:r w:rsidR="001D7050" w:rsidRPr="001D7050">
        <w:rPr>
          <w:snapToGrid w:val="0"/>
          <w:lang w:val="en-GB" w:eastAsia="en-US"/>
        </w:rPr>
        <w:t>agreed with the submission’s claim of non-inferior efficacy and safety versus</w:t>
      </w:r>
      <w:r w:rsidR="001D7050">
        <w:rPr>
          <w:snapToGrid w:val="0"/>
          <w:lang w:val="en-GB" w:eastAsia="en-US"/>
        </w:rPr>
        <w:t xml:space="preserve"> chronic</w:t>
      </w:r>
      <w:r w:rsidR="001D7050" w:rsidRPr="001D7050">
        <w:rPr>
          <w:snapToGrid w:val="0"/>
          <w:lang w:val="en-GB" w:eastAsia="en-US"/>
        </w:rPr>
        <w:t xml:space="preserve"> IVIg and PLEX.</w:t>
      </w:r>
      <w:r w:rsidR="002628B5" w:rsidRPr="002628B5">
        <w:rPr>
          <w:snapToGrid w:val="0"/>
          <w:lang w:val="en-GB" w:eastAsia="en-US"/>
        </w:rPr>
        <w:t xml:space="preserve"> </w:t>
      </w:r>
    </w:p>
    <w:p w14:paraId="1A0C0C10" w14:textId="62AC64DE" w:rsidR="002628B5" w:rsidRPr="002628B5" w:rsidRDefault="002628B5" w:rsidP="00873AF3">
      <w:pPr>
        <w:pStyle w:val="COMexecsummnumbered"/>
        <w:rPr>
          <w:snapToGrid w:val="0"/>
          <w:lang w:val="en-GB" w:eastAsia="en-US"/>
        </w:rPr>
      </w:pPr>
      <w:r w:rsidRPr="002628B5">
        <w:rPr>
          <w:snapToGrid w:val="0"/>
          <w:lang w:val="en-GB" w:eastAsia="en-US"/>
        </w:rPr>
        <w:t xml:space="preserve">Overall, the PBAC considered that </w:t>
      </w:r>
      <w:r w:rsidR="005E72B8" w:rsidRPr="005E72B8">
        <w:rPr>
          <w:snapToGrid w:val="0"/>
          <w:lang w:val="en-GB" w:eastAsia="en-US"/>
        </w:rPr>
        <w:t xml:space="preserve">rozanolixizumab </w:t>
      </w:r>
      <w:r w:rsidRPr="002628B5">
        <w:rPr>
          <w:snapToGrid w:val="0"/>
          <w:lang w:val="en-GB" w:eastAsia="en-US"/>
        </w:rPr>
        <w:t xml:space="preserve">has non-inferior comparative effectiveness and safety versus chronic IVIg and also against zilucoplan, efgartigimod and </w:t>
      </w:r>
      <w:r w:rsidR="005E72B8">
        <w:rPr>
          <w:snapToGrid w:val="0"/>
          <w:lang w:val="en-GB" w:eastAsia="en-US"/>
        </w:rPr>
        <w:t>ravulizumab</w:t>
      </w:r>
      <w:r w:rsidRPr="002628B5">
        <w:rPr>
          <w:snapToGrid w:val="0"/>
          <w:lang w:val="en-GB" w:eastAsia="en-US"/>
        </w:rPr>
        <w:t xml:space="preserve">. </w:t>
      </w:r>
    </w:p>
    <w:p w14:paraId="7DDCD889" w14:textId="4CB1BF9C" w:rsidR="002628B5" w:rsidRPr="00D05686" w:rsidRDefault="002628B5" w:rsidP="00873AF3">
      <w:pPr>
        <w:pStyle w:val="COMexecsummnumbered"/>
        <w:rPr>
          <w:snapToGrid w:val="0"/>
          <w:lang w:val="en-GB" w:eastAsia="en-US"/>
        </w:rPr>
      </w:pPr>
      <w:r w:rsidRPr="00D05686">
        <w:rPr>
          <w:snapToGrid w:val="0"/>
          <w:lang w:val="en-GB" w:eastAsia="en-US"/>
        </w:rPr>
        <w:t xml:space="preserve">To determine the average IVIg dose per patient per year, the PBAC considered it would not be practical to use the dose </w:t>
      </w:r>
      <w:r w:rsidR="004648F4">
        <w:rPr>
          <w:snapToGrid w:val="0"/>
          <w:lang w:val="en-GB" w:eastAsia="en-US"/>
        </w:rPr>
        <w:t>recommend</w:t>
      </w:r>
      <w:r w:rsidRPr="00D05686">
        <w:rPr>
          <w:snapToGrid w:val="0"/>
          <w:lang w:val="en-GB" w:eastAsia="en-US"/>
        </w:rPr>
        <w:t>ed in the Product Information (induction dose: 1-2</w:t>
      </w:r>
      <w:r w:rsidR="00FF5BC8">
        <w:rPr>
          <w:snapToGrid w:val="0"/>
          <w:lang w:val="en-GB" w:eastAsia="en-US"/>
        </w:rPr>
        <w:t> </w:t>
      </w:r>
      <w:r w:rsidRPr="00D05686">
        <w:rPr>
          <w:snapToGrid w:val="0"/>
          <w:lang w:val="en-GB" w:eastAsia="en-US"/>
        </w:rPr>
        <w:t xml:space="preserve">g/kg and maintenance dose: 0.4-1 g/kg every 4 to 6 weeks) given the wide dose range specified which could result in </w:t>
      </w:r>
      <w:r w:rsidR="00745AA1">
        <w:rPr>
          <w:snapToGrid w:val="0"/>
          <w:lang w:val="en-GB" w:eastAsia="en-US"/>
        </w:rPr>
        <w:t>annual</w:t>
      </w:r>
      <w:r w:rsidRPr="00D05686">
        <w:rPr>
          <w:snapToGrid w:val="0"/>
          <w:lang w:val="en-GB" w:eastAsia="en-US"/>
        </w:rPr>
        <w:t xml:space="preserve"> doses from 352</w:t>
      </w:r>
      <w:r w:rsidR="00FF5BC8">
        <w:rPr>
          <w:snapToGrid w:val="0"/>
          <w:lang w:val="en-GB" w:eastAsia="en-US"/>
        </w:rPr>
        <w:t> </w:t>
      </w:r>
      <w:r w:rsidRPr="00D05686">
        <w:rPr>
          <w:snapToGrid w:val="0"/>
          <w:lang w:val="en-GB" w:eastAsia="en-US"/>
        </w:rPr>
        <w:t>g to 1,172</w:t>
      </w:r>
      <w:r w:rsidR="00FF5BC8">
        <w:rPr>
          <w:snapToGrid w:val="0"/>
          <w:lang w:val="en-GB" w:eastAsia="en-US"/>
        </w:rPr>
        <w:t> </w:t>
      </w:r>
      <w:r w:rsidRPr="00D05686">
        <w:rPr>
          <w:snapToGrid w:val="0"/>
          <w:lang w:val="en-GB" w:eastAsia="en-US"/>
        </w:rPr>
        <w:t>g per patient (using an average patient weight of 83.7 kg per Bril 2024). Further, in Bril</w:t>
      </w:r>
      <w:r w:rsidR="00FF5BC8">
        <w:rPr>
          <w:snapToGrid w:val="0"/>
          <w:lang w:val="en-GB" w:eastAsia="en-US"/>
        </w:rPr>
        <w:t> </w:t>
      </w:r>
      <w:r w:rsidRPr="00D05686">
        <w:rPr>
          <w:snapToGrid w:val="0"/>
          <w:lang w:val="en-GB" w:eastAsia="en-US"/>
        </w:rPr>
        <w:t xml:space="preserve">2024 (one of the key studies of chronic IVIg in gMG), IVIg was administered every 3 weeks which does not align with the Product Information (dosing every 4 to 6 weeks). </w:t>
      </w:r>
    </w:p>
    <w:p w14:paraId="1C6C0A8A" w14:textId="005F682C" w:rsidR="002628B5" w:rsidRDefault="00562246" w:rsidP="00873AF3">
      <w:pPr>
        <w:pStyle w:val="COMexecsummnumbered"/>
        <w:rPr>
          <w:snapToGrid w:val="0"/>
          <w:lang w:val="en-GB" w:eastAsia="en-US"/>
        </w:rPr>
      </w:pPr>
      <w:r w:rsidRPr="00562246">
        <w:rPr>
          <w:snapToGrid w:val="0"/>
          <w:lang w:val="en-GB" w:eastAsia="en-US"/>
        </w:rPr>
        <w:t xml:space="preserve">The PBAC acknowledged the NBA data was based on the average dose across all severity levels and thus included patients with less severe disease than the threshold for initiation of the new therapies. Further, use of the 2023-24 NBA data would not account for the varying cost per gram of IVIg (which depends on the proportion of imported IVIg, with the cost in 2023-24 being higher than previous years). Notwithstanding this, the PBAC considered the IVIg utilisation data from the NBA was the most appropriate data available for determining the average annual dose of IVIg being used in Australian patients. </w:t>
      </w:r>
    </w:p>
    <w:p w14:paraId="7C630408" w14:textId="3F7CE82D" w:rsidR="00810CE3" w:rsidRPr="00125625" w:rsidRDefault="00E43DC4" w:rsidP="00873AF3">
      <w:pPr>
        <w:pStyle w:val="COMexecsummnumbered"/>
        <w:rPr>
          <w:snapToGrid w:val="0"/>
          <w:lang w:val="en-GB" w:eastAsia="en-US"/>
        </w:rPr>
      </w:pPr>
      <w:r w:rsidRPr="00E43DC4">
        <w:rPr>
          <w:snapToGrid w:val="0"/>
          <w:lang w:val="en-GB" w:eastAsia="en-US"/>
        </w:rPr>
        <w:t xml:space="preserve">The PBAC noted that a key uncertainty in the estimation of the average annual dose of rozanolixizumab was the treatment-free interval between cycles (refer to paragraphs </w:t>
      </w:r>
      <w:r w:rsidRPr="00E43DC4">
        <w:rPr>
          <w:snapToGrid w:val="0"/>
          <w:lang w:val="en-GB" w:eastAsia="en-US"/>
        </w:rPr>
        <w:fldChar w:fldCharType="begin" w:fldLock="1"/>
      </w:r>
      <w:r w:rsidRPr="00E43DC4">
        <w:rPr>
          <w:snapToGrid w:val="0"/>
          <w:highlight w:val="yellow"/>
          <w:lang w:val="en-GB" w:eastAsia="en-US"/>
        </w:rPr>
        <w:instrText xml:space="preserve"> REF _Ref194442686 \r \h  \* MERGEFORMAT </w:instrText>
      </w:r>
      <w:r w:rsidRPr="00E43DC4">
        <w:rPr>
          <w:snapToGrid w:val="0"/>
          <w:lang w:val="en-GB" w:eastAsia="en-US"/>
        </w:rPr>
      </w:r>
      <w:r w:rsidRPr="00E43DC4">
        <w:rPr>
          <w:snapToGrid w:val="0"/>
          <w:lang w:val="en-GB" w:eastAsia="en-US"/>
        </w:rPr>
        <w:fldChar w:fldCharType="separate"/>
      </w:r>
      <w:r w:rsidR="00E70E55" w:rsidRPr="00E70E55">
        <w:rPr>
          <w:snapToGrid w:val="0"/>
          <w:lang w:val="en-GB" w:eastAsia="en-US"/>
        </w:rPr>
        <w:t>6.73</w:t>
      </w:r>
      <w:r w:rsidRPr="00E43DC4">
        <w:rPr>
          <w:snapToGrid w:val="0"/>
          <w:lang w:val="en-GB" w:eastAsia="en-US"/>
        </w:rPr>
        <w:fldChar w:fldCharType="end"/>
      </w:r>
      <w:r w:rsidRPr="00E43DC4">
        <w:rPr>
          <w:snapToGrid w:val="0"/>
          <w:lang w:val="en-GB" w:eastAsia="en-US"/>
        </w:rPr>
        <w:t xml:space="preserve"> to </w:t>
      </w:r>
      <w:r w:rsidRPr="00E43DC4">
        <w:rPr>
          <w:snapToGrid w:val="0"/>
          <w:lang w:val="en-GB" w:eastAsia="en-US"/>
        </w:rPr>
        <w:fldChar w:fldCharType="begin" w:fldLock="1"/>
      </w:r>
      <w:r w:rsidRPr="00E43DC4">
        <w:rPr>
          <w:snapToGrid w:val="0"/>
          <w:highlight w:val="yellow"/>
          <w:lang w:val="en-GB" w:eastAsia="en-US"/>
        </w:rPr>
        <w:instrText xml:space="preserve"> REF _Ref194442709 \r \h  \* MERGEFORMAT </w:instrText>
      </w:r>
      <w:r w:rsidRPr="00E43DC4">
        <w:rPr>
          <w:snapToGrid w:val="0"/>
          <w:lang w:val="en-GB" w:eastAsia="en-US"/>
        </w:rPr>
      </w:r>
      <w:r w:rsidRPr="00E43DC4">
        <w:rPr>
          <w:snapToGrid w:val="0"/>
          <w:lang w:val="en-GB" w:eastAsia="en-US"/>
        </w:rPr>
        <w:fldChar w:fldCharType="separate"/>
      </w:r>
      <w:r w:rsidR="00E70E55" w:rsidRPr="00E70E55">
        <w:rPr>
          <w:snapToGrid w:val="0"/>
          <w:lang w:val="en-GB" w:eastAsia="en-US"/>
        </w:rPr>
        <w:t>6.74</w:t>
      </w:r>
      <w:r w:rsidRPr="00E43DC4">
        <w:rPr>
          <w:snapToGrid w:val="0"/>
          <w:lang w:val="en-GB" w:eastAsia="en-US"/>
        </w:rPr>
        <w:fldChar w:fldCharType="end"/>
      </w:r>
      <w:r w:rsidRPr="00E43DC4">
        <w:rPr>
          <w:snapToGrid w:val="0"/>
          <w:lang w:val="en-GB" w:eastAsia="en-US"/>
        </w:rPr>
        <w:t xml:space="preserve">). The PBAC noted the base case estimate in the submission (derived from a </w:t>
      </w:r>
      <w:r w:rsidRPr="00E43DC4">
        <w:rPr>
          <w:i/>
          <w:iCs/>
          <w:snapToGrid w:val="0"/>
          <w:lang w:val="en-GB" w:eastAsia="en-US"/>
        </w:rPr>
        <w:t>post hoc</w:t>
      </w:r>
      <w:r w:rsidRPr="00E43DC4">
        <w:rPr>
          <w:snapToGrid w:val="0"/>
          <w:lang w:val="en-GB" w:eastAsia="en-US"/>
        </w:rPr>
        <w:t xml:space="preserve"> analysis of data from the MycarinG trial and an interim analysis of the </w:t>
      </w:r>
      <w:r w:rsidRPr="004C04C2">
        <w:rPr>
          <w:snapToGrid w:val="0"/>
          <w:lang w:val="en-GB" w:eastAsia="en-US"/>
        </w:rPr>
        <w:t>MG0007 extension) equated to a treatment-free interval of 9.3 weeks between cycles (3.4 cycles per year). The PBAC considered this may have underestimated the number of infusions in clinical practice given longer-term data from the extension studies indicated decreasing treatment-free intervals over time</w:t>
      </w:r>
      <w:r w:rsidR="00D62676" w:rsidRPr="004C04C2">
        <w:rPr>
          <w:snapToGrid w:val="0"/>
          <w:lang w:val="en-GB" w:eastAsia="en-US"/>
        </w:rPr>
        <w:t xml:space="preserve"> </w:t>
      </w:r>
      <w:r w:rsidR="00D62676" w:rsidRPr="004C04C2">
        <w:t>(</w:t>
      </w:r>
      <w:r w:rsidR="00D62676" w:rsidRPr="004C04C2">
        <w:fldChar w:fldCharType="begin" w:fldLock="1"/>
      </w:r>
      <w:r w:rsidR="00D62676" w:rsidRPr="004C04C2">
        <w:instrText xml:space="preserve"> REF _Ref185258641 \h </w:instrText>
      </w:r>
      <w:r w:rsidR="004C04C2">
        <w:instrText xml:space="preserve"> \* MERGEFORMAT </w:instrText>
      </w:r>
      <w:r w:rsidR="00D62676" w:rsidRPr="004C04C2">
        <w:fldChar w:fldCharType="separate"/>
      </w:r>
      <w:r w:rsidR="00E70E55">
        <w:t xml:space="preserve">Table </w:t>
      </w:r>
      <w:r w:rsidR="00E70E55">
        <w:rPr>
          <w:noProof/>
        </w:rPr>
        <w:t>8</w:t>
      </w:r>
      <w:r w:rsidR="00D62676" w:rsidRPr="004C04C2">
        <w:fldChar w:fldCharType="end"/>
      </w:r>
      <w:r w:rsidR="00D62676" w:rsidRPr="004C04C2">
        <w:t>)</w:t>
      </w:r>
      <w:r w:rsidRPr="004C04C2">
        <w:rPr>
          <w:snapToGrid w:val="0"/>
          <w:lang w:val="en-GB" w:eastAsia="en-US"/>
        </w:rPr>
        <w:t>, and also given the strict retreatment criteria applied in the trial.</w:t>
      </w:r>
      <w:r w:rsidR="00D62676" w:rsidRPr="004C04C2">
        <w:rPr>
          <w:snapToGrid w:val="0"/>
          <w:lang w:val="en-GB" w:eastAsia="en-US"/>
        </w:rPr>
        <w:t xml:space="preserve"> The evaluation noted that u</w:t>
      </w:r>
      <w:r w:rsidRPr="004C04C2">
        <w:rPr>
          <w:snapToGrid w:val="0"/>
          <w:lang w:val="en-GB" w:eastAsia="en-US"/>
        </w:rPr>
        <w:t xml:space="preserve">pdated data from the MG0007 extension study equated to an </w:t>
      </w:r>
      <w:r w:rsidR="00725F84" w:rsidRPr="004C04C2">
        <w:rPr>
          <w:snapToGrid w:val="0"/>
          <w:lang w:val="en-GB" w:eastAsia="en-US"/>
        </w:rPr>
        <w:t>8.5-week</w:t>
      </w:r>
      <w:r w:rsidRPr="004C04C2">
        <w:rPr>
          <w:snapToGrid w:val="0"/>
          <w:lang w:val="en-GB" w:eastAsia="en-US"/>
        </w:rPr>
        <w:t xml:space="preserve"> interval between cycles (3.59 cycles per year), which the PBAC considered may also have underestimated the number of infusions in clinical practice. However,</w:t>
      </w:r>
      <w:r w:rsidRPr="00E43DC4">
        <w:rPr>
          <w:snapToGrid w:val="0"/>
          <w:lang w:val="en-GB" w:eastAsia="en-US"/>
        </w:rPr>
        <w:t xml:space="preserve"> overall, the PBAC considered this latter data was likely the best information available</w:t>
      </w:r>
      <w:r w:rsidR="00D62676">
        <w:rPr>
          <w:snapToGrid w:val="0"/>
          <w:lang w:val="en-GB" w:eastAsia="en-US"/>
        </w:rPr>
        <w:t>,</w:t>
      </w:r>
      <w:r w:rsidRPr="00E43DC4">
        <w:rPr>
          <w:snapToGrid w:val="0"/>
          <w:lang w:val="en-GB" w:eastAsia="en-US"/>
        </w:rPr>
        <w:t xml:space="preserve"> and that the risk of additional cycles should be managed through the RSA.</w:t>
      </w:r>
      <w:bookmarkStart w:id="97" w:name="_Hlk194580001"/>
    </w:p>
    <w:p w14:paraId="77DD12E4" w14:textId="77777777" w:rsidR="002628B5" w:rsidRPr="002628B5" w:rsidRDefault="002628B5" w:rsidP="00873AF3">
      <w:pPr>
        <w:pStyle w:val="COMexecsummnumbered"/>
        <w:rPr>
          <w:snapToGrid w:val="0"/>
          <w:lang w:val="en-GB" w:eastAsia="en-US"/>
        </w:rPr>
      </w:pPr>
      <w:bookmarkStart w:id="98" w:name="_Ref194664828"/>
      <w:bookmarkEnd w:id="97"/>
      <w:r w:rsidRPr="002628B5">
        <w:rPr>
          <w:snapToGrid w:val="0"/>
          <w:lang w:val="en-GB" w:eastAsia="en-US"/>
        </w:rPr>
        <w:t>The PBAC considered that a cost-comparison versus IVIg would need to be based on the drug cost per patient per year accounting for:</w:t>
      </w:r>
      <w:bookmarkEnd w:id="98"/>
    </w:p>
    <w:p w14:paraId="772AAEF5" w14:textId="5A10B231" w:rsidR="002628B5" w:rsidRPr="00622CCC" w:rsidRDefault="002628B5" w:rsidP="00873AF3">
      <w:pPr>
        <w:pStyle w:val="COMexecsummnumbered"/>
        <w:numPr>
          <w:ilvl w:val="1"/>
          <w:numId w:val="26"/>
        </w:numPr>
        <w:ind w:left="1134" w:hanging="425"/>
        <w:rPr>
          <w:snapToGrid w:val="0"/>
          <w:lang w:val="en-GB" w:eastAsia="en-US"/>
        </w:rPr>
      </w:pPr>
      <w:r w:rsidRPr="00622CCC">
        <w:rPr>
          <w:snapToGrid w:val="0"/>
          <w:lang w:val="en-GB" w:eastAsia="en-US"/>
        </w:rPr>
        <w:t>the total average annual dose of IVIg per patient observed in the NBA data (for maintenance gMG) of 541.1 grams per year</w:t>
      </w:r>
      <w:r w:rsidR="0049399C" w:rsidRPr="00622CCC">
        <w:rPr>
          <w:snapToGrid w:val="0"/>
          <w:lang w:val="en-GB" w:eastAsia="en-US"/>
        </w:rPr>
        <w:t xml:space="preserve"> (shown in Table 2</w:t>
      </w:r>
      <w:r w:rsidR="003D200D" w:rsidRPr="00622CCC">
        <w:rPr>
          <w:snapToGrid w:val="0"/>
          <w:lang w:val="en-GB" w:eastAsia="en-US"/>
        </w:rPr>
        <w:t>0</w:t>
      </w:r>
      <w:r w:rsidR="00145C79" w:rsidRPr="00622CCC">
        <w:rPr>
          <w:snapToGrid w:val="0"/>
          <w:lang w:val="en-GB" w:eastAsia="en-US"/>
        </w:rPr>
        <w:t>)</w:t>
      </w:r>
      <w:r w:rsidRPr="00622CCC">
        <w:rPr>
          <w:snapToGrid w:val="0"/>
          <w:lang w:val="en-GB" w:eastAsia="en-US"/>
        </w:rPr>
        <w:t>.</w:t>
      </w:r>
    </w:p>
    <w:p w14:paraId="3B86F034" w14:textId="38734753" w:rsidR="002628B5" w:rsidRPr="00622CCC" w:rsidRDefault="00C349D6" w:rsidP="00873AF3">
      <w:pPr>
        <w:pStyle w:val="COMexecsummnumbered"/>
        <w:numPr>
          <w:ilvl w:val="1"/>
          <w:numId w:val="26"/>
        </w:numPr>
        <w:ind w:left="1134" w:hanging="425"/>
        <w:rPr>
          <w:snapToGrid w:val="0"/>
          <w:lang w:val="en-GB" w:eastAsia="en-US"/>
        </w:rPr>
      </w:pPr>
      <w:bookmarkStart w:id="99" w:name="_Hlk194580078"/>
      <w:r w:rsidRPr="00622CCC">
        <w:rPr>
          <w:snapToGrid w:val="0"/>
          <w:lang w:val="en-GB" w:eastAsia="en-US"/>
        </w:rPr>
        <w:t xml:space="preserve">the rozanolixizumab dose </w:t>
      </w:r>
      <w:r w:rsidR="00145C79" w:rsidRPr="00622CCC">
        <w:rPr>
          <w:snapToGrid w:val="0"/>
          <w:lang w:val="en-GB" w:eastAsia="en-US"/>
        </w:rPr>
        <w:t xml:space="preserve">recommended </w:t>
      </w:r>
      <w:r w:rsidRPr="00622CCC">
        <w:rPr>
          <w:snapToGrid w:val="0"/>
          <w:lang w:val="en-GB" w:eastAsia="en-US"/>
        </w:rPr>
        <w:t xml:space="preserve">in the product information assuming the same weight distribution as patients in </w:t>
      </w:r>
      <w:r w:rsidR="00793735" w:rsidRPr="00622CCC">
        <w:t>the MycarinG</w:t>
      </w:r>
      <w:r w:rsidRPr="00622CCC" w:rsidDel="00793735">
        <w:t xml:space="preserve"> trial</w:t>
      </w:r>
      <w:r w:rsidR="00793735" w:rsidRPr="00622CCC">
        <w:rPr>
          <w:snapToGrid w:val="0"/>
          <w:lang w:val="en-GB" w:eastAsia="en-US"/>
        </w:rPr>
        <w:t xml:space="preserve"> </w:t>
      </w:r>
      <w:r w:rsidR="008F766A" w:rsidRPr="00622CCC">
        <w:rPr>
          <w:snapToGrid w:val="0"/>
          <w:lang w:eastAsia="en-US"/>
        </w:rPr>
        <w:t>(i.e. 2.11 vials per infusion</w:t>
      </w:r>
      <w:r w:rsidRPr="00622CCC">
        <w:rPr>
          <w:snapToGrid w:val="0"/>
          <w:lang w:eastAsia="en-US"/>
        </w:rPr>
        <w:t xml:space="preserve"> and </w:t>
      </w:r>
      <w:r w:rsidR="008F766A" w:rsidRPr="00622CCC">
        <w:rPr>
          <w:snapToGrid w:val="0"/>
          <w:lang w:eastAsia="en-US"/>
        </w:rPr>
        <w:t xml:space="preserve">6 </w:t>
      </w:r>
      <w:r w:rsidRPr="00622CCC">
        <w:rPr>
          <w:snapToGrid w:val="0"/>
          <w:lang w:eastAsia="en-US"/>
        </w:rPr>
        <w:t xml:space="preserve">infusions per </w:t>
      </w:r>
      <w:r w:rsidR="008F766A" w:rsidRPr="00622CCC">
        <w:rPr>
          <w:snapToGrid w:val="0"/>
          <w:lang w:eastAsia="en-US"/>
        </w:rPr>
        <w:t>cycle)</w:t>
      </w:r>
      <w:r w:rsidRPr="00622CCC">
        <w:rPr>
          <w:snapToGrid w:val="0"/>
          <w:lang w:val="en-GB" w:eastAsia="en-US"/>
        </w:rPr>
        <w:t xml:space="preserve">, </w:t>
      </w:r>
      <w:r w:rsidR="008F766A" w:rsidRPr="00622CCC">
        <w:rPr>
          <w:snapToGrid w:val="0"/>
          <w:lang w:eastAsia="en-US"/>
        </w:rPr>
        <w:t xml:space="preserve">with the number of cycles per </w:t>
      </w:r>
      <w:r w:rsidRPr="00622CCC">
        <w:rPr>
          <w:snapToGrid w:val="0"/>
          <w:lang w:eastAsia="en-US"/>
        </w:rPr>
        <w:t xml:space="preserve">patient per year </w:t>
      </w:r>
      <w:r w:rsidR="008F766A" w:rsidRPr="00622CCC">
        <w:rPr>
          <w:snapToGrid w:val="0"/>
          <w:lang w:eastAsia="en-US"/>
        </w:rPr>
        <w:t xml:space="preserve">based on the updated data from the MG0007 extension study </w:t>
      </w:r>
      <w:r w:rsidR="0075552B" w:rsidRPr="00622CCC">
        <w:rPr>
          <w:snapToGrid w:val="0"/>
          <w:lang w:eastAsia="en-US"/>
        </w:rPr>
        <w:t xml:space="preserve">of 3.59 cycles per year. </w:t>
      </w:r>
      <w:bookmarkStart w:id="100" w:name="_Hlk194443582"/>
      <w:r w:rsidR="0075552B" w:rsidRPr="00622CCC">
        <w:rPr>
          <w:snapToGrid w:val="0"/>
          <w:lang w:val="en-GB" w:eastAsia="en-US"/>
        </w:rPr>
        <w:t>Based on these assumptions the average annual dose of rozanolixizumab would be: 12,</w:t>
      </w:r>
      <w:r w:rsidR="00145C79" w:rsidRPr="00622CCC">
        <w:rPr>
          <w:snapToGrid w:val="0"/>
          <w:lang w:val="en-GB" w:eastAsia="en-US"/>
        </w:rPr>
        <w:t xml:space="preserve">711 </w:t>
      </w:r>
      <w:r w:rsidR="0075552B" w:rsidRPr="00622CCC">
        <w:rPr>
          <w:snapToGrid w:val="0"/>
          <w:lang w:val="en-GB" w:eastAsia="en-US"/>
        </w:rPr>
        <w:t>mg per year</w:t>
      </w:r>
      <w:bookmarkEnd w:id="100"/>
      <w:r w:rsidR="0075552B" w:rsidRPr="00622CCC">
        <w:rPr>
          <w:snapToGrid w:val="0"/>
          <w:lang w:val="en-GB" w:eastAsia="en-US"/>
        </w:rPr>
        <w:t>.</w:t>
      </w:r>
      <w:bookmarkEnd w:id="99"/>
    </w:p>
    <w:p w14:paraId="42B9D6D4" w14:textId="77777777" w:rsidR="002628B5" w:rsidRPr="00622CCC" w:rsidRDefault="002628B5" w:rsidP="00873AF3">
      <w:pPr>
        <w:pStyle w:val="COMexecsummnumbered"/>
        <w:numPr>
          <w:ilvl w:val="1"/>
          <w:numId w:val="26"/>
        </w:numPr>
        <w:ind w:left="1134" w:hanging="425"/>
        <w:rPr>
          <w:snapToGrid w:val="0"/>
          <w:lang w:val="en-GB" w:eastAsia="en-US"/>
        </w:rPr>
      </w:pPr>
      <w:r w:rsidRPr="00622CCC">
        <w:rPr>
          <w:snapToGrid w:val="0"/>
          <w:lang w:val="en-GB" w:eastAsia="en-US"/>
        </w:rPr>
        <w:t>a small premium to account for the administration benefits associated with the newer therapies compared with IVIg, noting the extensive administration requirements associated with IVIg, with an infusion time of around 2 to 4 hours and up to 8 hours, which have resource implications and a direct impact on patients and carers.</w:t>
      </w:r>
    </w:p>
    <w:p w14:paraId="5A0337A3" w14:textId="7F427D9B" w:rsidR="002628B5" w:rsidRPr="002628B5" w:rsidRDefault="002628B5" w:rsidP="00873AF3">
      <w:pPr>
        <w:pStyle w:val="COMexecsummnumbered"/>
        <w:rPr>
          <w:snapToGrid w:val="0"/>
          <w:lang w:val="en-GB" w:eastAsia="en-US"/>
        </w:rPr>
      </w:pPr>
      <w:r w:rsidRPr="002628B5">
        <w:rPr>
          <w:snapToGrid w:val="0"/>
          <w:lang w:val="en-GB" w:eastAsia="en-US"/>
        </w:rPr>
        <w:t>The PBAC noted the results of a cost-per-responder analysis versus placebo which assumed the same drug cost per patient as IVIg (based on the NBA data), along with the average incremental response rate across the four gMG trials (refer to paragraph</w:t>
      </w:r>
      <w:r w:rsidR="006A028B">
        <w:rPr>
          <w:snapToGrid w:val="0"/>
          <w:lang w:val="en-GB" w:eastAsia="en-US"/>
        </w:rPr>
        <w:t xml:space="preserve"> </w:t>
      </w:r>
      <w:r w:rsidR="006A028B">
        <w:rPr>
          <w:snapToGrid w:val="0"/>
          <w:lang w:val="en-GB" w:eastAsia="en-US"/>
        </w:rPr>
        <w:fldChar w:fldCharType="begin"/>
      </w:r>
      <w:r w:rsidR="006A028B">
        <w:rPr>
          <w:snapToGrid w:val="0"/>
          <w:lang w:val="en-GB" w:eastAsia="en-US"/>
        </w:rPr>
        <w:instrText xml:space="preserve"> REF _Ref224891007 \r \h </w:instrText>
      </w:r>
      <w:r w:rsidR="006A028B">
        <w:rPr>
          <w:snapToGrid w:val="0"/>
          <w:lang w:val="en-GB" w:eastAsia="en-US"/>
        </w:rPr>
      </w:r>
      <w:r w:rsidR="006A028B">
        <w:rPr>
          <w:snapToGrid w:val="0"/>
          <w:lang w:val="en-GB" w:eastAsia="en-US"/>
        </w:rPr>
        <w:fldChar w:fldCharType="separate"/>
      </w:r>
      <w:r w:rsidR="006233F7">
        <w:rPr>
          <w:snapToGrid w:val="0"/>
          <w:lang w:val="en-GB" w:eastAsia="en-US"/>
        </w:rPr>
        <w:t>6.29</w:t>
      </w:r>
      <w:r w:rsidR="006A028B">
        <w:rPr>
          <w:snapToGrid w:val="0"/>
          <w:lang w:val="en-GB" w:eastAsia="en-US"/>
        </w:rPr>
        <w:fldChar w:fldCharType="end"/>
      </w:r>
      <w:r w:rsidRPr="002628B5">
        <w:rPr>
          <w:snapToGrid w:val="0"/>
          <w:lang w:val="en-GB" w:eastAsia="en-US"/>
        </w:rPr>
        <w:t xml:space="preserve">). The PBAC considered cost-per-responder analysis supported that the new therapies would be cost effective if priced based on </w:t>
      </w:r>
      <w:r w:rsidR="00B44778">
        <w:rPr>
          <w:snapToGrid w:val="0"/>
          <w:lang w:val="en-GB" w:eastAsia="en-US"/>
        </w:rPr>
        <w:t xml:space="preserve">the </w:t>
      </w:r>
      <w:r w:rsidRPr="002628B5">
        <w:rPr>
          <w:snapToGrid w:val="0"/>
          <w:lang w:val="en-GB" w:eastAsia="en-US"/>
        </w:rPr>
        <w:t>IVIg cost as outlined above.</w:t>
      </w:r>
    </w:p>
    <w:p w14:paraId="487A4101" w14:textId="7DCBC4A0" w:rsidR="002628B5" w:rsidRPr="002628B5" w:rsidRDefault="002628B5" w:rsidP="00873AF3">
      <w:pPr>
        <w:pStyle w:val="COMexecsummnumbered"/>
        <w:rPr>
          <w:snapToGrid w:val="0"/>
          <w:lang w:val="en-GB" w:eastAsia="en-US"/>
        </w:rPr>
      </w:pPr>
      <w:bookmarkStart w:id="101" w:name="_Ref194648409"/>
      <w:r w:rsidRPr="002628B5">
        <w:rPr>
          <w:snapToGrid w:val="0"/>
          <w:lang w:val="en-GB" w:eastAsia="en-US"/>
        </w:rPr>
        <w:t xml:space="preserve">The PBAC advised that the financial estimates should </w:t>
      </w:r>
      <w:r w:rsidR="00666527">
        <w:rPr>
          <w:snapToGrid w:val="0"/>
          <w:lang w:val="en-GB" w:eastAsia="en-US"/>
        </w:rPr>
        <w:t>take</w:t>
      </w:r>
      <w:r w:rsidRPr="002628B5">
        <w:rPr>
          <w:snapToGrid w:val="0"/>
          <w:lang w:val="en-GB" w:eastAsia="en-US"/>
        </w:rPr>
        <w:t xml:space="preserve"> the total number of patients accessing IVIg as gMG maintenance therapy</w:t>
      </w:r>
      <w:r w:rsidR="00666527">
        <w:rPr>
          <w:snapToGrid w:val="0"/>
          <w:lang w:val="en-GB" w:eastAsia="en-US"/>
        </w:rPr>
        <w:t xml:space="preserve"> as a starting point</w:t>
      </w:r>
      <w:r w:rsidRPr="002628B5">
        <w:rPr>
          <w:snapToGrid w:val="0"/>
          <w:lang w:val="en-GB" w:eastAsia="en-US"/>
        </w:rPr>
        <w:t xml:space="preserve">, which </w:t>
      </w:r>
      <w:r w:rsidRPr="00622CCC">
        <w:rPr>
          <w:snapToGrid w:val="0"/>
          <w:lang w:val="en-GB" w:eastAsia="en-US"/>
        </w:rPr>
        <w:t xml:space="preserve">was 1,324 </w:t>
      </w:r>
      <w:r w:rsidRPr="002628B5">
        <w:rPr>
          <w:snapToGrid w:val="0"/>
          <w:lang w:val="en-GB" w:eastAsia="en-US"/>
        </w:rPr>
        <w:t xml:space="preserve">in 2023-24 (refer to Table 20). The PBAC considered the following should </w:t>
      </w:r>
      <w:r w:rsidR="00666527">
        <w:rPr>
          <w:snapToGrid w:val="0"/>
          <w:lang w:val="en-GB" w:eastAsia="en-US"/>
        </w:rPr>
        <w:t xml:space="preserve">then </w:t>
      </w:r>
      <w:r w:rsidRPr="002628B5">
        <w:rPr>
          <w:snapToGrid w:val="0"/>
          <w:lang w:val="en-GB" w:eastAsia="en-US"/>
        </w:rPr>
        <w:t xml:space="preserve">be applied: market growth (of around </w:t>
      </w:r>
      <w:r w:rsidR="00D63E16" w:rsidRPr="006233F7">
        <w:rPr>
          <w:snapToGrid w:val="0"/>
          <w:color w:val="000000"/>
          <w:w w:val="15"/>
          <w:shd w:val="solid" w:color="000000" w:fill="000000"/>
          <w:fitText w:val="-20" w:id="-691363067"/>
          <w:lang w:val="en-GB" w:eastAsia="en-US"/>
          <w14:textFill>
            <w14:solidFill>
              <w14:srgbClr w14:val="000000">
                <w14:alpha w14:val="100000"/>
              </w14:srgbClr>
            </w14:solidFill>
          </w14:textFill>
        </w:rPr>
        <w:t>|</w:t>
      </w:r>
      <w:r w:rsidR="00A91274" w:rsidRPr="006233F7">
        <w:rPr>
          <w:snapToGrid w:val="0"/>
          <w:color w:val="000000"/>
          <w:w w:val="15"/>
          <w:shd w:val="solid" w:color="000000" w:fill="000000"/>
          <w:fitText w:val="-20" w:id="-691363067"/>
          <w:lang w:val="en-GB" w:eastAsia="en-US"/>
          <w14:textFill>
            <w14:solidFill>
              <w14:srgbClr w14:val="000000">
                <w14:alpha w14:val="100000"/>
              </w14:srgbClr>
            </w14:solidFill>
          </w14:textFill>
        </w:rPr>
        <w:t xml:space="preserve"> </w:t>
      </w:r>
      <w:r w:rsidR="00D63E16" w:rsidRPr="006233F7">
        <w:rPr>
          <w:snapToGrid w:val="0"/>
          <w:color w:val="000000"/>
          <w:spacing w:val="-61"/>
          <w:w w:val="15"/>
          <w:shd w:val="solid" w:color="000000" w:fill="000000"/>
          <w:fitText w:val="-20" w:id="-691363067"/>
          <w:lang w:val="en-GB" w:eastAsia="en-US"/>
          <w14:textFill>
            <w14:solidFill>
              <w14:srgbClr w14:val="000000">
                <w14:alpha w14:val="100000"/>
              </w14:srgbClr>
            </w14:solidFill>
          </w14:textFill>
        </w:rPr>
        <w:t>|</w:t>
      </w:r>
      <w:r w:rsidRPr="00622CCC">
        <w:rPr>
          <w:snapToGrid w:val="0"/>
          <w:lang w:val="en-GB" w:eastAsia="en-US"/>
        </w:rPr>
        <w:t>%</w:t>
      </w:r>
      <w:r w:rsidRPr="002628B5">
        <w:rPr>
          <w:snapToGrid w:val="0"/>
          <w:lang w:val="en-GB" w:eastAsia="en-US"/>
        </w:rPr>
        <w:t xml:space="preserve"> per year, based on the last five years of IVIg data); and the proportion of patients whose gMG is AChR+ (of around 86%, based on the pooled estimates provided in one of the submissions, noting this is similar to the estimate of 88% provided in Hendricks et al. 2019, which was the only estimate included in the ravulizumab submission that was based on a gMG population ).</w:t>
      </w:r>
      <w:bookmarkEnd w:id="101"/>
    </w:p>
    <w:p w14:paraId="151CA692" w14:textId="77777777" w:rsidR="002628B5" w:rsidRPr="002628B5" w:rsidRDefault="002628B5" w:rsidP="00873AF3">
      <w:pPr>
        <w:pStyle w:val="COMexecsummnumbered"/>
        <w:rPr>
          <w:snapToGrid w:val="0"/>
          <w:lang w:val="en-GB" w:eastAsia="en-US"/>
        </w:rPr>
      </w:pPr>
      <w:r w:rsidRPr="002628B5">
        <w:rPr>
          <w:snapToGrid w:val="0"/>
          <w:lang w:val="en-GB" w:eastAsia="en-US"/>
        </w:rPr>
        <w:t>The PBAC advised that uptake should be based on the new therapies as a group, and should be from two key groups within existing IVIg users:</w:t>
      </w:r>
    </w:p>
    <w:p w14:paraId="072EF567" w14:textId="76FED127" w:rsidR="002628B5" w:rsidRPr="002628B5" w:rsidRDefault="002628B5" w:rsidP="00873AF3">
      <w:pPr>
        <w:pStyle w:val="COMexecsummnumbered"/>
        <w:numPr>
          <w:ilvl w:val="1"/>
          <w:numId w:val="27"/>
        </w:numPr>
        <w:ind w:left="1134" w:hanging="425"/>
        <w:rPr>
          <w:snapToGrid w:val="0"/>
          <w:lang w:val="en-GB" w:eastAsia="en-US"/>
        </w:rPr>
      </w:pPr>
      <w:r w:rsidRPr="002628B5">
        <w:rPr>
          <w:snapToGrid w:val="0"/>
          <w:lang w:val="en-GB" w:eastAsia="en-US"/>
        </w:rPr>
        <w:t>uptake from new patients and existing IVIg users with ongoing functional impairment</w:t>
      </w:r>
      <w:r w:rsidR="00A35AD1">
        <w:rPr>
          <w:snapToGrid w:val="0"/>
          <w:lang w:val="en-GB" w:eastAsia="en-US"/>
        </w:rPr>
        <w:t xml:space="preserve"> </w:t>
      </w:r>
      <w:r w:rsidR="00A35AD1" w:rsidRPr="00A35AD1">
        <w:rPr>
          <w:snapToGrid w:val="0"/>
          <w:lang w:val="en-GB" w:eastAsia="en-US"/>
        </w:rPr>
        <w:t xml:space="preserve">(i.e. </w:t>
      </w:r>
      <w:r w:rsidR="00D63E16" w:rsidRPr="006233F7">
        <w:rPr>
          <w:snapToGrid w:val="0"/>
          <w:color w:val="000000"/>
          <w:w w:val="15"/>
          <w:shd w:val="solid" w:color="000000" w:fill="000000"/>
          <w:fitText w:val="-20" w:id="-691363066"/>
          <w:lang w:val="en-GB" w:eastAsia="en-US"/>
          <w14:textFill>
            <w14:solidFill>
              <w14:srgbClr w14:val="000000">
                <w14:alpha w14:val="100000"/>
              </w14:srgbClr>
            </w14:solidFill>
          </w14:textFill>
        </w:rPr>
        <w:t>|</w:t>
      </w:r>
      <w:r w:rsidR="00A91274" w:rsidRPr="006233F7">
        <w:rPr>
          <w:snapToGrid w:val="0"/>
          <w:color w:val="000000"/>
          <w:w w:val="15"/>
          <w:shd w:val="solid" w:color="000000" w:fill="000000"/>
          <w:fitText w:val="-20" w:id="-691363066"/>
          <w:lang w:val="en-GB" w:eastAsia="en-US"/>
          <w14:textFill>
            <w14:solidFill>
              <w14:srgbClr w14:val="000000">
                <w14:alpha w14:val="100000"/>
              </w14:srgbClr>
            </w14:solidFill>
          </w14:textFill>
        </w:rPr>
        <w:t xml:space="preserve"> </w:t>
      </w:r>
      <w:r w:rsidR="00D63E16" w:rsidRPr="006233F7">
        <w:rPr>
          <w:snapToGrid w:val="0"/>
          <w:color w:val="000000"/>
          <w:spacing w:val="-61"/>
          <w:w w:val="15"/>
          <w:shd w:val="solid" w:color="000000" w:fill="000000"/>
          <w:fitText w:val="-20" w:id="-691363066"/>
          <w:lang w:val="en-GB" w:eastAsia="en-US"/>
          <w14:textFill>
            <w14:solidFill>
              <w14:srgbClr w14:val="000000">
                <w14:alpha w14:val="100000"/>
              </w14:srgbClr>
            </w14:solidFill>
          </w14:textFill>
        </w:rPr>
        <w:t>|</w:t>
      </w:r>
      <w:r w:rsidR="00A35AD1" w:rsidRPr="00622CCC">
        <w:rPr>
          <w:snapToGrid w:val="0"/>
          <w:lang w:val="en-GB" w:eastAsia="en-US"/>
        </w:rPr>
        <w:t>%</w:t>
      </w:r>
      <w:r w:rsidR="00A35AD1" w:rsidRPr="00A35AD1">
        <w:rPr>
          <w:snapToGrid w:val="0"/>
          <w:lang w:val="en-GB" w:eastAsia="en-US"/>
        </w:rPr>
        <w:t xml:space="preserve"> of the AChR+ patient cohort,</w:t>
      </w:r>
      <w:r w:rsidR="00F3716E">
        <w:rPr>
          <w:snapToGrid w:val="0"/>
          <w:lang w:val="en-GB" w:eastAsia="en-US"/>
        </w:rPr>
        <w:t xml:space="preserve"> </w:t>
      </w:r>
      <w:r w:rsidR="00F3716E" w:rsidRPr="00F3716E">
        <w:rPr>
          <w:snapToGrid w:val="0"/>
          <w:lang w:val="en-GB" w:eastAsia="en-US"/>
        </w:rPr>
        <w:fldChar w:fldCharType="begin" w:fldLock="1"/>
      </w:r>
      <w:r w:rsidR="00F3716E" w:rsidRPr="00F3716E">
        <w:rPr>
          <w:snapToGrid w:val="0"/>
          <w:lang w:val="en-GB" w:eastAsia="en-US"/>
        </w:rPr>
        <w:instrText xml:space="preserve"> REF _Ref193702983 \h </w:instrText>
      </w:r>
      <w:r w:rsidR="00F3716E">
        <w:rPr>
          <w:snapToGrid w:val="0"/>
          <w:lang w:val="en-GB" w:eastAsia="en-US"/>
        </w:rPr>
        <w:instrText xml:space="preserve"> \* MERGEFORMAT </w:instrText>
      </w:r>
      <w:r w:rsidR="00F3716E" w:rsidRPr="00F3716E">
        <w:rPr>
          <w:snapToGrid w:val="0"/>
          <w:lang w:val="en-GB" w:eastAsia="en-US"/>
        </w:rPr>
      </w:r>
      <w:r w:rsidR="00F3716E" w:rsidRPr="00F3716E">
        <w:rPr>
          <w:snapToGrid w:val="0"/>
          <w:lang w:val="en-GB" w:eastAsia="en-US"/>
        </w:rPr>
        <w:fldChar w:fldCharType="separate"/>
      </w:r>
      <w:r w:rsidR="00E70E55" w:rsidRPr="00D71E53">
        <w:rPr>
          <w:szCs w:val="20"/>
        </w:rPr>
        <w:t xml:space="preserve">Table </w:t>
      </w:r>
      <w:r w:rsidR="00E70E55">
        <w:rPr>
          <w:noProof/>
          <w:szCs w:val="20"/>
        </w:rPr>
        <w:t>19</w:t>
      </w:r>
      <w:r w:rsidR="00F3716E" w:rsidRPr="00F3716E">
        <w:rPr>
          <w:snapToGrid w:val="0"/>
          <w:lang w:val="en-GB" w:eastAsia="en-US"/>
        </w:rPr>
        <w:fldChar w:fldCharType="end"/>
      </w:r>
      <w:r w:rsidR="00A35AD1" w:rsidRPr="00F3716E">
        <w:rPr>
          <w:snapToGrid w:val="0"/>
          <w:lang w:val="en-GB" w:eastAsia="en-US"/>
        </w:rPr>
        <w:t>)</w:t>
      </w:r>
      <w:r w:rsidRPr="00F3716E">
        <w:rPr>
          <w:snapToGrid w:val="0"/>
          <w:lang w:val="en-GB" w:eastAsia="en-US"/>
        </w:rPr>
        <w:t>. T</w:t>
      </w:r>
      <w:r w:rsidRPr="002628B5">
        <w:rPr>
          <w:snapToGrid w:val="0"/>
          <w:lang w:val="en-GB" w:eastAsia="en-US"/>
        </w:rPr>
        <w:t xml:space="preserve">his group would likely have relatively high uptake of the new therapies (potentially up to </w:t>
      </w:r>
      <w:r w:rsidR="00D63E16" w:rsidRPr="006233F7">
        <w:rPr>
          <w:snapToGrid w:val="0"/>
          <w:color w:val="000000"/>
          <w:w w:val="15"/>
          <w:shd w:val="solid" w:color="000000" w:fill="000000"/>
          <w:fitText w:val="-20" w:id="-691363065"/>
          <w:lang w:val="en-GB" w:eastAsia="en-US"/>
          <w14:textFill>
            <w14:solidFill>
              <w14:srgbClr w14:val="000000">
                <w14:alpha w14:val="100000"/>
              </w14:srgbClr>
            </w14:solidFill>
          </w14:textFill>
        </w:rPr>
        <w:t>|</w:t>
      </w:r>
      <w:r w:rsidR="00A91274" w:rsidRPr="006233F7">
        <w:rPr>
          <w:snapToGrid w:val="0"/>
          <w:color w:val="000000"/>
          <w:w w:val="15"/>
          <w:shd w:val="solid" w:color="000000" w:fill="000000"/>
          <w:fitText w:val="-20" w:id="-691363065"/>
          <w:lang w:val="en-GB" w:eastAsia="en-US"/>
          <w14:textFill>
            <w14:solidFill>
              <w14:srgbClr w14:val="000000">
                <w14:alpha w14:val="100000"/>
              </w14:srgbClr>
            </w14:solidFill>
          </w14:textFill>
        </w:rPr>
        <w:t xml:space="preserve"> </w:t>
      </w:r>
      <w:r w:rsidR="00D63E16" w:rsidRPr="006233F7">
        <w:rPr>
          <w:snapToGrid w:val="0"/>
          <w:color w:val="000000"/>
          <w:spacing w:val="-61"/>
          <w:w w:val="15"/>
          <w:shd w:val="solid" w:color="000000" w:fill="000000"/>
          <w:fitText w:val="-20" w:id="-691363065"/>
          <w:lang w:val="en-GB" w:eastAsia="en-US"/>
          <w14:textFill>
            <w14:solidFill>
              <w14:srgbClr w14:val="000000">
                <w14:alpha w14:val="100000"/>
              </w14:srgbClr>
            </w14:solidFill>
          </w14:textFill>
        </w:rPr>
        <w:t>|</w:t>
      </w:r>
      <w:r w:rsidRPr="00622CCC">
        <w:rPr>
          <w:snapToGrid w:val="0"/>
          <w:lang w:val="en-GB" w:eastAsia="en-US"/>
        </w:rPr>
        <w:t>%</w:t>
      </w:r>
      <w:r w:rsidRPr="002628B5">
        <w:rPr>
          <w:snapToGrid w:val="0"/>
          <w:lang w:val="en-GB" w:eastAsia="en-US"/>
        </w:rPr>
        <w:t xml:space="preserve">). </w:t>
      </w:r>
    </w:p>
    <w:p w14:paraId="2F891309" w14:textId="12E5FC04" w:rsidR="002628B5" w:rsidRPr="002628B5" w:rsidRDefault="002628B5" w:rsidP="00873AF3">
      <w:pPr>
        <w:pStyle w:val="COMexecsummnumbered"/>
        <w:numPr>
          <w:ilvl w:val="1"/>
          <w:numId w:val="27"/>
        </w:numPr>
        <w:ind w:left="1134" w:hanging="425"/>
        <w:rPr>
          <w:snapToGrid w:val="0"/>
          <w:lang w:val="en-GB" w:eastAsia="en-US"/>
        </w:rPr>
      </w:pPr>
      <w:r w:rsidRPr="002628B5">
        <w:rPr>
          <w:snapToGrid w:val="0"/>
          <w:lang w:val="en-GB" w:eastAsia="en-US"/>
        </w:rPr>
        <w:t xml:space="preserve">uptake from prevalent patients </w:t>
      </w:r>
      <w:r w:rsidR="005F008D" w:rsidRPr="005F008D">
        <w:rPr>
          <w:snapToGrid w:val="0"/>
          <w:lang w:val="en-GB" w:eastAsia="en-US"/>
        </w:rPr>
        <w:t xml:space="preserve">(i.e. the remaining </w:t>
      </w:r>
      <w:r w:rsidR="00D63E16" w:rsidRPr="006233F7">
        <w:rPr>
          <w:snapToGrid w:val="0"/>
          <w:color w:val="000000"/>
          <w:w w:val="15"/>
          <w:shd w:val="solid" w:color="000000" w:fill="000000"/>
          <w:fitText w:val="-20" w:id="-691363064"/>
          <w:lang w:val="en-GB" w:eastAsia="en-US"/>
          <w14:textFill>
            <w14:solidFill>
              <w14:srgbClr w14:val="000000">
                <w14:alpha w14:val="100000"/>
              </w14:srgbClr>
            </w14:solidFill>
          </w14:textFill>
        </w:rPr>
        <w:t>|</w:t>
      </w:r>
      <w:r w:rsidR="00A91274" w:rsidRPr="006233F7">
        <w:rPr>
          <w:snapToGrid w:val="0"/>
          <w:color w:val="000000"/>
          <w:w w:val="15"/>
          <w:shd w:val="solid" w:color="000000" w:fill="000000"/>
          <w:fitText w:val="-20" w:id="-691363064"/>
          <w:lang w:val="en-GB" w:eastAsia="en-US"/>
          <w14:textFill>
            <w14:solidFill>
              <w14:srgbClr w14:val="000000">
                <w14:alpha w14:val="100000"/>
              </w14:srgbClr>
            </w14:solidFill>
          </w14:textFill>
        </w:rPr>
        <w:t xml:space="preserve"> </w:t>
      </w:r>
      <w:r w:rsidR="00D63E16" w:rsidRPr="006233F7">
        <w:rPr>
          <w:snapToGrid w:val="0"/>
          <w:color w:val="000000"/>
          <w:spacing w:val="-61"/>
          <w:w w:val="15"/>
          <w:shd w:val="solid" w:color="000000" w:fill="000000"/>
          <w:fitText w:val="-20" w:id="-691363064"/>
          <w:lang w:val="en-GB" w:eastAsia="en-US"/>
          <w14:textFill>
            <w14:solidFill>
              <w14:srgbClr w14:val="000000">
                <w14:alpha w14:val="100000"/>
              </w14:srgbClr>
            </w14:solidFill>
          </w14:textFill>
        </w:rPr>
        <w:t>|</w:t>
      </w:r>
      <w:r w:rsidR="005F008D" w:rsidRPr="00622CCC">
        <w:rPr>
          <w:snapToGrid w:val="0"/>
          <w:lang w:val="en-GB" w:eastAsia="en-US"/>
        </w:rPr>
        <w:t>%</w:t>
      </w:r>
      <w:r w:rsidR="005F008D" w:rsidRPr="005F008D">
        <w:rPr>
          <w:snapToGrid w:val="0"/>
          <w:lang w:val="en-GB" w:eastAsia="en-US"/>
        </w:rPr>
        <w:t xml:space="preserve"> of the AChR+ patient cohort)</w:t>
      </w:r>
      <w:r w:rsidR="005F008D">
        <w:rPr>
          <w:snapToGrid w:val="0"/>
          <w:lang w:val="en-GB" w:eastAsia="en-US"/>
        </w:rPr>
        <w:t xml:space="preserve"> </w:t>
      </w:r>
      <w:r w:rsidRPr="002628B5">
        <w:rPr>
          <w:snapToGrid w:val="0"/>
          <w:lang w:val="en-GB" w:eastAsia="en-US"/>
        </w:rPr>
        <w:t xml:space="preserve">already established on IVIg (uptake of around </w:t>
      </w:r>
      <w:r w:rsidR="00D63E16" w:rsidRPr="006233F7">
        <w:rPr>
          <w:snapToGrid w:val="0"/>
          <w:color w:val="000000"/>
          <w:w w:val="15"/>
          <w:shd w:val="solid" w:color="000000" w:fill="000000"/>
          <w:fitText w:val="-20" w:id="-691363063"/>
          <w:lang w:val="en-GB" w:eastAsia="en-US"/>
          <w14:textFill>
            <w14:solidFill>
              <w14:srgbClr w14:val="000000">
                <w14:alpha w14:val="100000"/>
              </w14:srgbClr>
            </w14:solidFill>
          </w14:textFill>
        </w:rPr>
        <w:t>|</w:t>
      </w:r>
      <w:r w:rsidR="00A91274" w:rsidRPr="006233F7">
        <w:rPr>
          <w:snapToGrid w:val="0"/>
          <w:color w:val="000000"/>
          <w:w w:val="15"/>
          <w:shd w:val="solid" w:color="000000" w:fill="000000"/>
          <w:fitText w:val="-20" w:id="-691363063"/>
          <w:lang w:val="en-GB" w:eastAsia="en-US"/>
          <w14:textFill>
            <w14:solidFill>
              <w14:srgbClr w14:val="000000">
                <w14:alpha w14:val="100000"/>
              </w14:srgbClr>
            </w14:solidFill>
          </w14:textFill>
        </w:rPr>
        <w:t xml:space="preserve"> </w:t>
      </w:r>
      <w:r w:rsidR="00D63E16" w:rsidRPr="006233F7">
        <w:rPr>
          <w:snapToGrid w:val="0"/>
          <w:color w:val="000000"/>
          <w:spacing w:val="-61"/>
          <w:w w:val="15"/>
          <w:shd w:val="solid" w:color="000000" w:fill="000000"/>
          <w:fitText w:val="-20" w:id="-691363063"/>
          <w:lang w:val="en-GB" w:eastAsia="en-US"/>
          <w14:textFill>
            <w14:solidFill>
              <w14:srgbClr w14:val="000000">
                <w14:alpha w14:val="100000"/>
              </w14:srgbClr>
            </w14:solidFill>
          </w14:textFill>
        </w:rPr>
        <w:t>|</w:t>
      </w:r>
      <w:r w:rsidRPr="00622CCC">
        <w:rPr>
          <w:snapToGrid w:val="0"/>
          <w:lang w:val="en-GB" w:eastAsia="en-US"/>
        </w:rPr>
        <w:t>%</w:t>
      </w:r>
      <w:r w:rsidRPr="002628B5">
        <w:rPr>
          <w:snapToGrid w:val="0"/>
          <w:lang w:val="en-GB" w:eastAsia="en-US"/>
        </w:rPr>
        <w:t>).</w:t>
      </w:r>
    </w:p>
    <w:p w14:paraId="38AC16F6" w14:textId="0060BAF2" w:rsidR="002628B5" w:rsidRPr="002628B5" w:rsidRDefault="002628B5" w:rsidP="00873AF3">
      <w:pPr>
        <w:pStyle w:val="COMexecsummnumbered"/>
        <w:rPr>
          <w:snapToGrid w:val="0"/>
          <w:lang w:val="en-GB" w:eastAsia="en-US"/>
        </w:rPr>
      </w:pPr>
      <w:r w:rsidRPr="002628B5">
        <w:rPr>
          <w:snapToGrid w:val="0"/>
          <w:lang w:val="en-GB" w:eastAsia="en-US"/>
        </w:rPr>
        <w:t xml:space="preserve">The PBAC advised that the aforementioned uptake rates were intended to account for: any additional eligible patients (e.g. patients who are not responding to, or who are unable to be treated with IVIg); the PBS restriction being narrower than the current IVIg criteria; and the stopping rules (as these would generally mirror how IVIg is used in practice). The aforementioned rates would equate to an overall uptake rate of around </w:t>
      </w:r>
      <w:r w:rsidR="00D63E16" w:rsidRPr="006233F7">
        <w:rPr>
          <w:snapToGrid w:val="0"/>
          <w:color w:val="000000"/>
          <w:w w:val="15"/>
          <w:shd w:val="solid" w:color="000000" w:fill="000000"/>
          <w:fitText w:val="-20" w:id="-691363062"/>
          <w:lang w:val="en-GB" w:eastAsia="en-US"/>
          <w14:textFill>
            <w14:solidFill>
              <w14:srgbClr w14:val="000000">
                <w14:alpha w14:val="100000"/>
              </w14:srgbClr>
            </w14:solidFill>
          </w14:textFill>
        </w:rPr>
        <w:t>|</w:t>
      </w:r>
      <w:r w:rsidR="00A91274" w:rsidRPr="006233F7">
        <w:rPr>
          <w:snapToGrid w:val="0"/>
          <w:color w:val="000000"/>
          <w:w w:val="15"/>
          <w:shd w:val="solid" w:color="000000" w:fill="000000"/>
          <w:fitText w:val="-20" w:id="-691363062"/>
          <w:lang w:val="en-GB" w:eastAsia="en-US"/>
          <w14:textFill>
            <w14:solidFill>
              <w14:srgbClr w14:val="000000">
                <w14:alpha w14:val="100000"/>
              </w14:srgbClr>
            </w14:solidFill>
          </w14:textFill>
        </w:rPr>
        <w:t xml:space="preserve"> </w:t>
      </w:r>
      <w:r w:rsidR="00D63E16" w:rsidRPr="006233F7">
        <w:rPr>
          <w:snapToGrid w:val="0"/>
          <w:color w:val="000000"/>
          <w:spacing w:val="-61"/>
          <w:w w:val="15"/>
          <w:shd w:val="solid" w:color="000000" w:fill="000000"/>
          <w:fitText w:val="-20" w:id="-691363062"/>
          <w:lang w:val="en-GB" w:eastAsia="en-US"/>
          <w14:textFill>
            <w14:solidFill>
              <w14:srgbClr w14:val="000000">
                <w14:alpha w14:val="100000"/>
              </w14:srgbClr>
            </w14:solidFill>
          </w14:textFill>
        </w:rPr>
        <w:t>|</w:t>
      </w:r>
      <w:r w:rsidRPr="00BC4913">
        <w:rPr>
          <w:snapToGrid w:val="0"/>
          <w:lang w:val="en-GB" w:eastAsia="en-US"/>
        </w:rPr>
        <w:t>%</w:t>
      </w:r>
      <w:r w:rsidRPr="002628B5">
        <w:rPr>
          <w:snapToGrid w:val="0"/>
          <w:lang w:val="en-GB" w:eastAsia="en-US"/>
        </w:rPr>
        <w:t xml:space="preserve"> in Year 1 (i.e. </w:t>
      </w:r>
      <w:r w:rsidR="00D63E16" w:rsidRPr="006233F7">
        <w:rPr>
          <w:snapToGrid w:val="0"/>
          <w:color w:val="000000"/>
          <w:w w:val="15"/>
          <w:shd w:val="solid" w:color="000000" w:fill="000000"/>
          <w:fitText w:val="-20" w:id="-691363061"/>
          <w:lang w:val="en-GB" w:eastAsia="en-US"/>
          <w14:textFill>
            <w14:solidFill>
              <w14:srgbClr w14:val="000000">
                <w14:alpha w14:val="100000"/>
              </w14:srgbClr>
            </w14:solidFill>
          </w14:textFill>
        </w:rPr>
        <w:t>|</w:t>
      </w:r>
      <w:r w:rsidR="00A91274" w:rsidRPr="006233F7">
        <w:rPr>
          <w:snapToGrid w:val="0"/>
          <w:color w:val="000000"/>
          <w:w w:val="15"/>
          <w:shd w:val="solid" w:color="000000" w:fill="000000"/>
          <w:fitText w:val="-20" w:id="-691363061"/>
          <w:lang w:val="en-GB" w:eastAsia="en-US"/>
          <w14:textFill>
            <w14:solidFill>
              <w14:srgbClr w14:val="000000">
                <w14:alpha w14:val="100000"/>
              </w14:srgbClr>
            </w14:solidFill>
          </w14:textFill>
        </w:rPr>
        <w:t xml:space="preserve"> </w:t>
      </w:r>
      <w:r w:rsidR="00D63E16" w:rsidRPr="006233F7">
        <w:rPr>
          <w:snapToGrid w:val="0"/>
          <w:color w:val="000000"/>
          <w:spacing w:val="-61"/>
          <w:w w:val="15"/>
          <w:shd w:val="solid" w:color="000000" w:fill="000000"/>
          <w:fitText w:val="-20" w:id="-691363061"/>
          <w:lang w:val="en-GB" w:eastAsia="en-US"/>
          <w14:textFill>
            <w14:solidFill>
              <w14:srgbClr w14:val="000000">
                <w14:alpha w14:val="100000"/>
              </w14:srgbClr>
            </w14:solidFill>
          </w14:textFill>
        </w:rPr>
        <w:t>|</w:t>
      </w:r>
      <w:r w:rsidRPr="00BC4913">
        <w:rPr>
          <w:snapToGrid w:val="0"/>
          <w:lang w:val="en-GB" w:eastAsia="en-US"/>
        </w:rPr>
        <w:t>%</w:t>
      </w:r>
      <w:r w:rsidRPr="002628B5">
        <w:rPr>
          <w:snapToGrid w:val="0"/>
          <w:lang w:val="en-GB" w:eastAsia="en-US"/>
        </w:rPr>
        <w:t xml:space="preserve"> of all patients on IVIg for AChR+ gMG would commence a new gMG therapy in Year 1 of listing, refer to Table 20). The PBAC considered this was at the higher end of plausibility given the proportion of patients on IVIg who would be eligible for the new therapies could potentially be quite low.</w:t>
      </w:r>
    </w:p>
    <w:p w14:paraId="3CF9BB47" w14:textId="3A01E7F4" w:rsidR="002628B5" w:rsidRPr="002628B5" w:rsidRDefault="002628B5" w:rsidP="00873AF3">
      <w:pPr>
        <w:pStyle w:val="COMexecsummnumbered"/>
        <w:rPr>
          <w:snapToGrid w:val="0"/>
          <w:lang w:val="en-GB" w:eastAsia="en-US"/>
        </w:rPr>
      </w:pPr>
      <w:r w:rsidRPr="002628B5">
        <w:rPr>
          <w:snapToGrid w:val="0"/>
          <w:lang w:val="en-GB" w:eastAsia="en-US"/>
        </w:rPr>
        <w:t xml:space="preserve">The PBAC advised that uptake was likely to increase over time, and that this may be gradual given the large prevalent pool with a long history of IVIg use. As such, the PBAC advised that it would be reasonable for the estimated uptake rates to increase by </w:t>
      </w:r>
      <w:r w:rsidR="00D63E16" w:rsidRPr="006233F7">
        <w:rPr>
          <w:snapToGrid w:val="0"/>
          <w:color w:val="000000"/>
          <w:w w:val="15"/>
          <w:shd w:val="solid" w:color="000000" w:fill="000000"/>
          <w:fitText w:val="-20" w:id="-691363060"/>
          <w:lang w:val="en-GB" w:eastAsia="en-US"/>
          <w14:textFill>
            <w14:solidFill>
              <w14:srgbClr w14:val="000000">
                <w14:alpha w14:val="100000"/>
              </w14:srgbClr>
            </w14:solidFill>
          </w14:textFill>
        </w:rPr>
        <w:t>|</w:t>
      </w:r>
      <w:r w:rsidR="00A91274" w:rsidRPr="006233F7">
        <w:rPr>
          <w:snapToGrid w:val="0"/>
          <w:color w:val="000000"/>
          <w:w w:val="15"/>
          <w:shd w:val="solid" w:color="000000" w:fill="000000"/>
          <w:fitText w:val="-20" w:id="-691363060"/>
          <w:lang w:val="en-GB" w:eastAsia="en-US"/>
          <w14:textFill>
            <w14:solidFill>
              <w14:srgbClr w14:val="000000">
                <w14:alpha w14:val="100000"/>
              </w14:srgbClr>
            </w14:solidFill>
          </w14:textFill>
        </w:rPr>
        <w:t xml:space="preserve"> </w:t>
      </w:r>
      <w:r w:rsidR="00D63E16" w:rsidRPr="006233F7">
        <w:rPr>
          <w:snapToGrid w:val="0"/>
          <w:color w:val="000000"/>
          <w:spacing w:val="-61"/>
          <w:w w:val="15"/>
          <w:shd w:val="solid" w:color="000000" w:fill="000000"/>
          <w:fitText w:val="-20" w:id="-691363060"/>
          <w:lang w:val="en-GB" w:eastAsia="en-US"/>
          <w14:textFill>
            <w14:solidFill>
              <w14:srgbClr w14:val="000000">
                <w14:alpha w14:val="100000"/>
              </w14:srgbClr>
            </w14:solidFill>
          </w14:textFill>
        </w:rPr>
        <w:t>|</w:t>
      </w:r>
      <w:r w:rsidR="00FF5BC8">
        <w:rPr>
          <w:snapToGrid w:val="0"/>
          <w:lang w:val="en-GB" w:eastAsia="en-US"/>
        </w:rPr>
        <w:t> </w:t>
      </w:r>
      <w:r w:rsidRPr="002628B5">
        <w:rPr>
          <w:snapToGrid w:val="0"/>
          <w:lang w:val="en-GB" w:eastAsia="en-US"/>
        </w:rPr>
        <w:t xml:space="preserve">percentage points each year for the first </w:t>
      </w:r>
      <w:r w:rsidR="008E18BD">
        <w:rPr>
          <w:snapToGrid w:val="0"/>
          <w:lang w:val="en-GB" w:eastAsia="en-US"/>
        </w:rPr>
        <w:t>six</w:t>
      </w:r>
      <w:r w:rsidR="008E18BD" w:rsidRPr="002628B5">
        <w:rPr>
          <w:snapToGrid w:val="0"/>
          <w:lang w:val="en-GB" w:eastAsia="en-US"/>
        </w:rPr>
        <w:t xml:space="preserve"> </w:t>
      </w:r>
      <w:r w:rsidRPr="002628B5">
        <w:rPr>
          <w:snapToGrid w:val="0"/>
          <w:lang w:val="en-GB" w:eastAsia="en-US"/>
        </w:rPr>
        <w:t>years of listing.</w:t>
      </w:r>
    </w:p>
    <w:p w14:paraId="53925973" w14:textId="3BA77C1C" w:rsidR="002628B5" w:rsidRPr="002628B5" w:rsidRDefault="002628B5" w:rsidP="00873AF3">
      <w:pPr>
        <w:pStyle w:val="COMexecsummnumbered"/>
        <w:rPr>
          <w:snapToGrid w:val="0"/>
          <w:lang w:val="en-GB" w:eastAsia="en-US"/>
        </w:rPr>
      </w:pPr>
      <w:bookmarkStart w:id="102" w:name="_Ref194648411"/>
      <w:r w:rsidRPr="002628B5">
        <w:rPr>
          <w:snapToGrid w:val="0"/>
          <w:lang w:val="en-GB" w:eastAsia="en-US"/>
        </w:rPr>
        <w:t>The PBAC advised that the dose assumptions (e.g. number of doses per patient per year) in the financial estimates should be the same as those applied in the cost-comparison</w:t>
      </w:r>
      <w:bookmarkEnd w:id="102"/>
      <w:r w:rsidR="001B00F3">
        <w:rPr>
          <w:snapToGrid w:val="0"/>
          <w:lang w:val="en-GB" w:eastAsia="en-US"/>
        </w:rPr>
        <w:t xml:space="preserve"> (refer to paragraph </w:t>
      </w:r>
      <w:r w:rsidR="001B00F3">
        <w:rPr>
          <w:snapToGrid w:val="0"/>
          <w:lang w:val="en-GB" w:eastAsia="en-US"/>
        </w:rPr>
        <w:fldChar w:fldCharType="begin" w:fldLock="1"/>
      </w:r>
      <w:r w:rsidR="001B00F3">
        <w:rPr>
          <w:snapToGrid w:val="0"/>
          <w:lang w:val="en-GB" w:eastAsia="en-US"/>
        </w:rPr>
        <w:instrText xml:space="preserve"> REF _Ref194664828 \r \h </w:instrText>
      </w:r>
      <w:r w:rsidR="001B00F3">
        <w:rPr>
          <w:snapToGrid w:val="0"/>
          <w:lang w:val="en-GB" w:eastAsia="en-US"/>
        </w:rPr>
      </w:r>
      <w:r w:rsidR="001B00F3">
        <w:rPr>
          <w:snapToGrid w:val="0"/>
          <w:lang w:val="en-GB" w:eastAsia="en-US"/>
        </w:rPr>
        <w:fldChar w:fldCharType="separate"/>
      </w:r>
      <w:r w:rsidR="00E70E55">
        <w:rPr>
          <w:snapToGrid w:val="0"/>
          <w:lang w:val="en-GB" w:eastAsia="en-US"/>
        </w:rPr>
        <w:t>8.23</w:t>
      </w:r>
      <w:r w:rsidR="001B00F3">
        <w:rPr>
          <w:snapToGrid w:val="0"/>
          <w:lang w:val="en-GB" w:eastAsia="en-US"/>
        </w:rPr>
        <w:fldChar w:fldCharType="end"/>
      </w:r>
      <w:r w:rsidR="001B00F3">
        <w:rPr>
          <w:snapToGrid w:val="0"/>
          <w:lang w:val="en-GB" w:eastAsia="en-US"/>
        </w:rPr>
        <w:t>)</w:t>
      </w:r>
      <w:r w:rsidRPr="002628B5">
        <w:rPr>
          <w:snapToGrid w:val="0"/>
          <w:lang w:val="en-GB" w:eastAsia="en-US"/>
        </w:rPr>
        <w:t>.</w:t>
      </w:r>
    </w:p>
    <w:p w14:paraId="307E75A2" w14:textId="25EBF24B" w:rsidR="002628B5" w:rsidRPr="002628B5" w:rsidRDefault="002628B5" w:rsidP="00873AF3">
      <w:pPr>
        <w:pStyle w:val="COMexecsummnumbered"/>
        <w:rPr>
          <w:snapToGrid w:val="0"/>
          <w:lang w:val="en-GB" w:eastAsia="en-US"/>
        </w:rPr>
      </w:pPr>
      <w:bookmarkStart w:id="103" w:name="_Hlk195002002"/>
      <w:r w:rsidRPr="002628B5">
        <w:rPr>
          <w:snapToGrid w:val="0"/>
          <w:lang w:val="en-GB" w:eastAsia="en-US"/>
        </w:rPr>
        <w:t xml:space="preserve">The PBAC considered that any listing of the new </w:t>
      </w:r>
      <w:r w:rsidR="001E32A5">
        <w:rPr>
          <w:snapToGrid w:val="0"/>
          <w:lang w:val="en-GB" w:eastAsia="en-US"/>
        </w:rPr>
        <w:t xml:space="preserve">gMG </w:t>
      </w:r>
      <w:r w:rsidRPr="002628B5">
        <w:rPr>
          <w:snapToGrid w:val="0"/>
          <w:lang w:val="en-GB" w:eastAsia="en-US"/>
        </w:rPr>
        <w:t xml:space="preserve">therapies would be associated with a </w:t>
      </w:r>
      <w:r w:rsidR="001E32A5">
        <w:rPr>
          <w:snapToGrid w:val="0"/>
          <w:lang w:val="en-GB" w:eastAsia="en-US"/>
        </w:rPr>
        <w:t>substantial</w:t>
      </w:r>
      <w:r w:rsidRPr="002628B5">
        <w:rPr>
          <w:snapToGrid w:val="0"/>
          <w:lang w:val="en-GB" w:eastAsia="en-US"/>
        </w:rPr>
        <w:t xml:space="preserve"> reduction in the utilisation of IVIg for gMG maintenance, given the lack of other treatment options but also </w:t>
      </w:r>
      <w:r w:rsidR="001E32A5">
        <w:rPr>
          <w:snapToGrid w:val="0"/>
          <w:lang w:val="en-GB" w:eastAsia="en-US"/>
        </w:rPr>
        <w:t>acknowledging that</w:t>
      </w:r>
      <w:r w:rsidRPr="002628B5">
        <w:rPr>
          <w:snapToGrid w:val="0"/>
          <w:lang w:val="en-GB" w:eastAsia="en-US"/>
        </w:rPr>
        <w:t xml:space="preserve"> a small proportion of patients cannot tolerate or access IVIg, or have ceased IVIg due to lack of response.</w:t>
      </w:r>
    </w:p>
    <w:bookmarkEnd w:id="103"/>
    <w:p w14:paraId="7E738E0E" w14:textId="1DCB7A56" w:rsidR="002628B5" w:rsidRPr="002628B5" w:rsidRDefault="002628B5" w:rsidP="00873AF3">
      <w:pPr>
        <w:pStyle w:val="COMexecsummnumbered"/>
        <w:rPr>
          <w:snapToGrid w:val="0"/>
          <w:lang w:val="en-GB" w:eastAsia="en-US"/>
        </w:rPr>
      </w:pPr>
      <w:r w:rsidRPr="002628B5">
        <w:rPr>
          <w:snapToGrid w:val="0"/>
          <w:lang w:val="en-GB" w:eastAsia="en-US"/>
        </w:rPr>
        <w:t xml:space="preserve">The PBAC noted that more complex approaches to estimating the financial impacts could be used (e.g. calculating utilisation in the bridging and refractory settings separately, taking stopping rules into account) but considered the simplified approach outlined above was </w:t>
      </w:r>
      <w:r w:rsidR="00041950" w:rsidRPr="00041950">
        <w:rPr>
          <w:snapToGrid w:val="0"/>
          <w:lang w:val="en-GB" w:eastAsia="en-US"/>
        </w:rPr>
        <w:t xml:space="preserve">likely to provide more accurate forecasts </w:t>
      </w:r>
      <w:r w:rsidRPr="002628B5">
        <w:rPr>
          <w:snapToGrid w:val="0"/>
          <w:lang w:val="en-GB" w:eastAsia="en-US"/>
        </w:rPr>
        <w:t xml:space="preserve">given the: lack of robust data to inform a more complex approach; and the intent of the restrictions to mimic the current use of IVIg in clinical practice (in terms of use across both the bridging and refractory settings, with clinicians regularly assessing the on-going need for continuing IVIg therapy including through treatment breaks). </w:t>
      </w:r>
    </w:p>
    <w:p w14:paraId="321DB6DB" w14:textId="64D45DC5" w:rsidR="002628B5" w:rsidRPr="002628B5" w:rsidRDefault="002628B5" w:rsidP="00873AF3">
      <w:pPr>
        <w:pStyle w:val="COMexecsummnumbered"/>
        <w:rPr>
          <w:snapToGrid w:val="0"/>
          <w:lang w:val="en-GB" w:eastAsia="en-US"/>
        </w:rPr>
      </w:pPr>
      <w:r w:rsidRPr="002628B5">
        <w:rPr>
          <w:snapToGrid w:val="0"/>
          <w:lang w:val="en-GB" w:eastAsia="en-US"/>
        </w:rPr>
        <w:t xml:space="preserve">The PBAC advised that a single RSA that includes all of the new therapies (in all settings) would be required to mitigate the risk of use outside the intended restriction. For the </w:t>
      </w:r>
      <w:r w:rsidR="00516E39">
        <w:rPr>
          <w:snapToGrid w:val="0"/>
          <w:lang w:val="en-GB" w:eastAsia="en-US"/>
        </w:rPr>
        <w:t>FcRn</w:t>
      </w:r>
      <w:r w:rsidRPr="002628B5">
        <w:rPr>
          <w:snapToGrid w:val="0"/>
          <w:lang w:val="en-GB" w:eastAsia="en-US"/>
        </w:rPr>
        <w:t xml:space="preserve"> blockers, the RSA would also need to mitigate the risk of an increase in the frequency of cycles received over time. The PBAC advised that the risk of higher dosing frequency is less relevant for the complement inhibitors and thus these sponsors should not be adversely affected by more frequent </w:t>
      </w:r>
      <w:r w:rsidR="00516E39">
        <w:rPr>
          <w:snapToGrid w:val="0"/>
          <w:lang w:val="en-GB" w:eastAsia="en-US"/>
        </w:rPr>
        <w:t>FcRn</w:t>
      </w:r>
      <w:r w:rsidRPr="002628B5">
        <w:rPr>
          <w:snapToGrid w:val="0"/>
          <w:lang w:val="en-GB" w:eastAsia="en-US"/>
        </w:rPr>
        <w:t xml:space="preserve"> blocker dosing. The PBAC advised that the Department and each sponsor should work to ensure the cost per patient does not exceed the estimates in the </w:t>
      </w:r>
      <w:r w:rsidR="003432C2" w:rsidRPr="003432C2">
        <w:rPr>
          <w:rFonts w:ascii="Calibri" w:eastAsia="Times New Roman" w:hAnsi="Calibri" w:cs="Arial"/>
          <w:szCs w:val="24"/>
        </w:rPr>
        <w:t xml:space="preserve">cost-comparison and </w:t>
      </w:r>
      <w:r w:rsidRPr="002628B5">
        <w:rPr>
          <w:snapToGrid w:val="0"/>
          <w:lang w:val="en-GB" w:eastAsia="en-US"/>
        </w:rPr>
        <w:t>the financials.</w:t>
      </w:r>
    </w:p>
    <w:p w14:paraId="386CC163" w14:textId="4E300B14" w:rsidR="00FD0170" w:rsidRPr="00FD0170" w:rsidRDefault="00FD0170" w:rsidP="00873AF3">
      <w:pPr>
        <w:pStyle w:val="COMexecsummnumbered"/>
        <w:rPr>
          <w:snapToGrid w:val="0"/>
          <w:lang w:val="en-GB" w:eastAsia="en-US"/>
        </w:rPr>
      </w:pPr>
      <w:r w:rsidRPr="00FD0170">
        <w:rPr>
          <w:snapToGrid w:val="0"/>
          <w:lang w:val="en-GB" w:eastAsia="en-US"/>
        </w:rPr>
        <w:t xml:space="preserve">The PBAC acknowledged </w:t>
      </w:r>
      <w:r>
        <w:t xml:space="preserve">the </w:t>
      </w:r>
      <w:r w:rsidRPr="0091023C">
        <w:t xml:space="preserve">financial estimates as </w:t>
      </w:r>
      <w:r w:rsidRPr="00FD0170">
        <w:rPr>
          <w:snapToGrid w:val="0"/>
          <w:lang w:val="en-GB" w:eastAsia="en-US"/>
        </w:rPr>
        <w:t xml:space="preserve">outlined in paragraphs </w:t>
      </w:r>
      <w:r>
        <w:rPr>
          <w:snapToGrid w:val="0"/>
          <w:lang w:val="en-GB" w:eastAsia="en-US"/>
        </w:rPr>
        <w:fldChar w:fldCharType="begin" w:fldLock="1"/>
      </w:r>
      <w:r>
        <w:rPr>
          <w:snapToGrid w:val="0"/>
          <w:lang w:val="en-GB" w:eastAsia="en-US"/>
        </w:rPr>
        <w:instrText xml:space="preserve"> REF _Ref194648409 \r \h </w:instrText>
      </w:r>
      <w:r>
        <w:rPr>
          <w:snapToGrid w:val="0"/>
          <w:lang w:val="en-GB" w:eastAsia="en-US"/>
        </w:rPr>
      </w:r>
      <w:r>
        <w:rPr>
          <w:snapToGrid w:val="0"/>
          <w:lang w:val="en-GB" w:eastAsia="en-US"/>
        </w:rPr>
        <w:fldChar w:fldCharType="separate"/>
      </w:r>
      <w:r w:rsidR="00E70E55">
        <w:rPr>
          <w:snapToGrid w:val="0"/>
          <w:lang w:val="en-GB" w:eastAsia="en-US"/>
        </w:rPr>
        <w:t>8.25</w:t>
      </w:r>
      <w:r>
        <w:rPr>
          <w:snapToGrid w:val="0"/>
          <w:lang w:val="en-GB" w:eastAsia="en-US"/>
        </w:rPr>
        <w:fldChar w:fldCharType="end"/>
      </w:r>
      <w:r>
        <w:rPr>
          <w:snapToGrid w:val="0"/>
          <w:lang w:val="en-GB" w:eastAsia="en-US"/>
        </w:rPr>
        <w:t xml:space="preserve"> to </w:t>
      </w:r>
      <w:r>
        <w:rPr>
          <w:snapToGrid w:val="0"/>
          <w:lang w:val="en-GB" w:eastAsia="en-US"/>
        </w:rPr>
        <w:fldChar w:fldCharType="begin" w:fldLock="1"/>
      </w:r>
      <w:r>
        <w:rPr>
          <w:snapToGrid w:val="0"/>
          <w:lang w:val="en-GB" w:eastAsia="en-US"/>
        </w:rPr>
        <w:instrText xml:space="preserve"> REF _Ref194648411 \r \h </w:instrText>
      </w:r>
      <w:r>
        <w:rPr>
          <w:snapToGrid w:val="0"/>
          <w:lang w:val="en-GB" w:eastAsia="en-US"/>
        </w:rPr>
      </w:r>
      <w:r>
        <w:rPr>
          <w:snapToGrid w:val="0"/>
          <w:lang w:val="en-GB" w:eastAsia="en-US"/>
        </w:rPr>
        <w:fldChar w:fldCharType="separate"/>
      </w:r>
      <w:r w:rsidR="00E70E55">
        <w:rPr>
          <w:snapToGrid w:val="0"/>
          <w:lang w:val="en-GB" w:eastAsia="en-US"/>
        </w:rPr>
        <w:t>8.29</w:t>
      </w:r>
      <w:r>
        <w:rPr>
          <w:snapToGrid w:val="0"/>
          <w:lang w:val="en-GB" w:eastAsia="en-US"/>
        </w:rPr>
        <w:fldChar w:fldCharType="end"/>
      </w:r>
      <w:r w:rsidRPr="00FD0170">
        <w:rPr>
          <w:snapToGrid w:val="0"/>
          <w:lang w:val="en-GB" w:eastAsia="en-US"/>
        </w:rPr>
        <w:t xml:space="preserve"> </w:t>
      </w:r>
      <w:r w:rsidR="00666527">
        <w:rPr>
          <w:snapToGrid w:val="0"/>
          <w:lang w:val="en-GB" w:eastAsia="en-US"/>
        </w:rPr>
        <w:t>were associated with</w:t>
      </w:r>
      <w:r w:rsidRPr="00FD0170">
        <w:rPr>
          <w:snapToGrid w:val="0"/>
          <w:lang w:val="en-GB" w:eastAsia="en-US"/>
        </w:rPr>
        <w:t xml:space="preserve"> some uncertainty and considered that it may be reasonable for the risk of use outside the intended restriction to be managed through a </w:t>
      </w:r>
      <w:r w:rsidR="00D63E16" w:rsidRPr="006233F7">
        <w:rPr>
          <w:snapToGrid w:val="0"/>
          <w:color w:val="000000"/>
          <w:w w:val="15"/>
          <w:shd w:val="solid" w:color="000000" w:fill="000000"/>
          <w:fitText w:val="-20" w:id="-691363059"/>
          <w:lang w:val="en-GB" w:eastAsia="en-US"/>
          <w14:textFill>
            <w14:solidFill>
              <w14:srgbClr w14:val="000000">
                <w14:alpha w14:val="100000"/>
              </w14:srgbClr>
            </w14:solidFill>
          </w14:textFill>
        </w:rPr>
        <w:t>|</w:t>
      </w:r>
      <w:r w:rsidR="00A91274" w:rsidRPr="006233F7">
        <w:rPr>
          <w:snapToGrid w:val="0"/>
          <w:color w:val="000000"/>
          <w:w w:val="15"/>
          <w:shd w:val="solid" w:color="000000" w:fill="000000"/>
          <w:fitText w:val="-20" w:id="-691363059"/>
          <w:lang w:val="en-GB" w:eastAsia="en-US"/>
          <w14:textFill>
            <w14:solidFill>
              <w14:srgbClr w14:val="000000">
                <w14:alpha w14:val="100000"/>
              </w14:srgbClr>
            </w14:solidFill>
          </w14:textFill>
        </w:rPr>
        <w:t xml:space="preserve"> </w:t>
      </w:r>
      <w:r w:rsidR="00D63E16" w:rsidRPr="006233F7">
        <w:rPr>
          <w:snapToGrid w:val="0"/>
          <w:color w:val="000000"/>
          <w:spacing w:val="-61"/>
          <w:w w:val="15"/>
          <w:shd w:val="solid" w:color="000000" w:fill="000000"/>
          <w:fitText w:val="-20" w:id="-691363059"/>
          <w:lang w:val="en-GB" w:eastAsia="en-US"/>
          <w14:textFill>
            <w14:solidFill>
              <w14:srgbClr w14:val="000000">
                <w14:alpha w14:val="100000"/>
              </w14:srgbClr>
            </w14:solidFill>
          </w14:textFill>
        </w:rPr>
        <w:t>|</w:t>
      </w:r>
      <w:r w:rsidRPr="00FD0170">
        <w:rPr>
          <w:snapToGrid w:val="0"/>
          <w:lang w:val="en-GB" w:eastAsia="en-US"/>
        </w:rPr>
        <w:t xml:space="preserve"> RSA – with the </w:t>
      </w:r>
      <w:r w:rsidR="00D63E16" w:rsidRPr="006233F7">
        <w:rPr>
          <w:snapToGrid w:val="0"/>
          <w:color w:val="000000"/>
          <w:w w:val="15"/>
          <w:shd w:val="solid" w:color="000000" w:fill="000000"/>
          <w:fitText w:val="-20" w:id="-691363058"/>
          <w:lang w:val="en-GB" w:eastAsia="en-US"/>
          <w14:textFill>
            <w14:solidFill>
              <w14:srgbClr w14:val="000000">
                <w14:alpha w14:val="100000"/>
              </w14:srgbClr>
            </w14:solidFill>
          </w14:textFill>
        </w:rPr>
        <w:t>|</w:t>
      </w:r>
      <w:r w:rsidR="00A91274" w:rsidRPr="006233F7">
        <w:rPr>
          <w:snapToGrid w:val="0"/>
          <w:color w:val="000000"/>
          <w:w w:val="15"/>
          <w:shd w:val="solid" w:color="000000" w:fill="000000"/>
          <w:fitText w:val="-20" w:id="-691363058"/>
          <w:lang w:val="en-GB" w:eastAsia="en-US"/>
          <w14:textFill>
            <w14:solidFill>
              <w14:srgbClr w14:val="000000">
                <w14:alpha w14:val="100000"/>
              </w14:srgbClr>
            </w14:solidFill>
          </w14:textFill>
        </w:rPr>
        <w:t xml:space="preserve"> </w:t>
      </w:r>
      <w:r w:rsidR="00D63E16" w:rsidRPr="006233F7">
        <w:rPr>
          <w:snapToGrid w:val="0"/>
          <w:color w:val="000000"/>
          <w:spacing w:val="-61"/>
          <w:w w:val="15"/>
          <w:shd w:val="solid" w:color="000000" w:fill="000000"/>
          <w:fitText w:val="-20" w:id="-691363058"/>
          <w:lang w:val="en-GB" w:eastAsia="en-US"/>
          <w14:textFill>
            <w14:solidFill>
              <w14:srgbClr w14:val="000000">
                <w14:alpha w14:val="100000"/>
              </w14:srgbClr>
            </w14:solidFill>
          </w14:textFill>
        </w:rPr>
        <w:t>|</w:t>
      </w:r>
      <w:r w:rsidR="00A43FAE" w:rsidRPr="00A43FAE">
        <w:rPr>
          <w:snapToGrid w:val="0"/>
          <w:lang w:val="en-GB" w:eastAsia="en-US"/>
        </w:rPr>
        <w:t xml:space="preserve"> </w:t>
      </w:r>
      <w:r w:rsidR="00D63E16" w:rsidRPr="006233F7">
        <w:rPr>
          <w:snapToGrid w:val="0"/>
          <w:color w:val="000000"/>
          <w:w w:val="15"/>
          <w:shd w:val="solid" w:color="000000" w:fill="000000"/>
          <w:fitText w:val="-20" w:id="-691363057"/>
          <w:lang w:val="en-GB" w:eastAsia="en-US"/>
          <w14:textFill>
            <w14:solidFill>
              <w14:srgbClr w14:val="000000">
                <w14:alpha w14:val="100000"/>
              </w14:srgbClr>
            </w14:solidFill>
          </w14:textFill>
        </w:rPr>
        <w:t>|</w:t>
      </w:r>
      <w:r w:rsidR="00A91274" w:rsidRPr="006233F7">
        <w:rPr>
          <w:snapToGrid w:val="0"/>
          <w:color w:val="000000"/>
          <w:w w:val="15"/>
          <w:shd w:val="solid" w:color="000000" w:fill="000000"/>
          <w:fitText w:val="-20" w:id="-691363057"/>
          <w:lang w:val="en-GB" w:eastAsia="en-US"/>
          <w14:textFill>
            <w14:solidFill>
              <w14:srgbClr w14:val="000000">
                <w14:alpha w14:val="100000"/>
              </w14:srgbClr>
            </w14:solidFill>
          </w14:textFill>
        </w:rPr>
        <w:t xml:space="preserve"> </w:t>
      </w:r>
      <w:r w:rsidR="00D63E16" w:rsidRPr="006233F7">
        <w:rPr>
          <w:snapToGrid w:val="0"/>
          <w:color w:val="000000"/>
          <w:spacing w:val="-61"/>
          <w:w w:val="15"/>
          <w:shd w:val="solid" w:color="000000" w:fill="000000"/>
          <w:fitText w:val="-20" w:id="-691363057"/>
          <w:lang w:val="en-GB" w:eastAsia="en-US"/>
          <w14:textFill>
            <w14:solidFill>
              <w14:srgbClr w14:val="000000">
                <w14:alpha w14:val="100000"/>
              </w14:srgbClr>
            </w14:solidFill>
          </w14:textFill>
        </w:rPr>
        <w:t>|</w:t>
      </w:r>
      <w:r w:rsidRPr="00FD0170">
        <w:rPr>
          <w:snapToGrid w:val="0"/>
          <w:lang w:val="en-GB" w:eastAsia="en-US"/>
        </w:rPr>
        <w:t xml:space="preserve"> based on the financial estimates outlined by </w:t>
      </w:r>
      <w:r w:rsidR="003E4A9C">
        <w:rPr>
          <w:snapToGrid w:val="0"/>
          <w:lang w:val="en-GB" w:eastAsia="en-US"/>
        </w:rPr>
        <w:t xml:space="preserve">the </w:t>
      </w:r>
      <w:r w:rsidRPr="00FD0170">
        <w:rPr>
          <w:snapToGrid w:val="0"/>
          <w:lang w:val="en-GB" w:eastAsia="en-US"/>
        </w:rPr>
        <w:t xml:space="preserve">PBAC </w:t>
      </w:r>
      <w:r w:rsidR="000B3A8A">
        <w:rPr>
          <w:snapToGrid w:val="0"/>
          <w:lang w:val="en-GB" w:eastAsia="en-US"/>
        </w:rPr>
        <w:t>(</w:t>
      </w:r>
      <w:r w:rsidR="000B3A8A">
        <w:t>e.g. with the AChR+ proportion and uptake rates applied as outlined i</w:t>
      </w:r>
      <w:r w:rsidR="000B3A8A" w:rsidRPr="00AA1386">
        <w:t xml:space="preserve">n paragraphs </w:t>
      </w:r>
      <w:r w:rsidR="000B3A8A">
        <w:rPr>
          <w:snapToGrid w:val="0"/>
          <w:lang w:val="en-GB" w:eastAsia="en-US"/>
        </w:rPr>
        <w:fldChar w:fldCharType="begin" w:fldLock="1"/>
      </w:r>
      <w:r w:rsidR="000B3A8A">
        <w:rPr>
          <w:snapToGrid w:val="0"/>
          <w:lang w:val="en-GB" w:eastAsia="en-US"/>
        </w:rPr>
        <w:instrText xml:space="preserve"> REF _Ref194648409 \r \h </w:instrText>
      </w:r>
      <w:r w:rsidR="000B3A8A">
        <w:rPr>
          <w:snapToGrid w:val="0"/>
          <w:lang w:val="en-GB" w:eastAsia="en-US"/>
        </w:rPr>
      </w:r>
      <w:r w:rsidR="000B3A8A">
        <w:rPr>
          <w:snapToGrid w:val="0"/>
          <w:lang w:val="en-GB" w:eastAsia="en-US"/>
        </w:rPr>
        <w:fldChar w:fldCharType="separate"/>
      </w:r>
      <w:r w:rsidR="00E70E55">
        <w:rPr>
          <w:snapToGrid w:val="0"/>
          <w:lang w:val="en-GB" w:eastAsia="en-US"/>
        </w:rPr>
        <w:t>8.25</w:t>
      </w:r>
      <w:r w:rsidR="000B3A8A">
        <w:rPr>
          <w:snapToGrid w:val="0"/>
          <w:lang w:val="en-GB" w:eastAsia="en-US"/>
        </w:rPr>
        <w:fldChar w:fldCharType="end"/>
      </w:r>
      <w:r w:rsidR="000B3A8A">
        <w:rPr>
          <w:snapToGrid w:val="0"/>
          <w:lang w:val="en-GB" w:eastAsia="en-US"/>
        </w:rPr>
        <w:t xml:space="preserve"> to </w:t>
      </w:r>
      <w:r w:rsidR="000B3A8A">
        <w:rPr>
          <w:snapToGrid w:val="0"/>
          <w:lang w:val="en-GB" w:eastAsia="en-US"/>
        </w:rPr>
        <w:fldChar w:fldCharType="begin" w:fldLock="1"/>
      </w:r>
      <w:r w:rsidR="000B3A8A">
        <w:rPr>
          <w:snapToGrid w:val="0"/>
          <w:lang w:val="en-GB" w:eastAsia="en-US"/>
        </w:rPr>
        <w:instrText xml:space="preserve"> REF _Ref194648411 \r \h </w:instrText>
      </w:r>
      <w:r w:rsidR="000B3A8A">
        <w:rPr>
          <w:snapToGrid w:val="0"/>
          <w:lang w:val="en-GB" w:eastAsia="en-US"/>
        </w:rPr>
      </w:r>
      <w:r w:rsidR="000B3A8A">
        <w:rPr>
          <w:snapToGrid w:val="0"/>
          <w:lang w:val="en-GB" w:eastAsia="en-US"/>
        </w:rPr>
        <w:fldChar w:fldCharType="separate"/>
      </w:r>
      <w:r w:rsidR="00E70E55">
        <w:rPr>
          <w:snapToGrid w:val="0"/>
          <w:lang w:val="en-GB" w:eastAsia="en-US"/>
        </w:rPr>
        <w:t>8.29</w:t>
      </w:r>
      <w:r w:rsidR="000B3A8A">
        <w:rPr>
          <w:snapToGrid w:val="0"/>
          <w:lang w:val="en-GB" w:eastAsia="en-US"/>
        </w:rPr>
        <w:fldChar w:fldCharType="end"/>
      </w:r>
      <w:r w:rsidR="000B3A8A">
        <w:t xml:space="preserve"> and </w:t>
      </w:r>
      <w:r w:rsidR="000B3A8A">
        <w:fldChar w:fldCharType="begin" w:fldLock="1"/>
      </w:r>
      <w:r w:rsidR="000B3A8A">
        <w:instrText xml:space="preserve"> REF _Ref193702983 \h </w:instrText>
      </w:r>
      <w:r w:rsidR="000B3A8A">
        <w:fldChar w:fldCharType="separate"/>
      </w:r>
      <w:r w:rsidR="00E70E55" w:rsidRPr="00D71E53">
        <w:rPr>
          <w:szCs w:val="20"/>
        </w:rPr>
        <w:t xml:space="preserve">Table </w:t>
      </w:r>
      <w:r w:rsidR="00E70E55">
        <w:rPr>
          <w:noProof/>
          <w:szCs w:val="20"/>
        </w:rPr>
        <w:t>19</w:t>
      </w:r>
      <w:r w:rsidR="000B3A8A">
        <w:fldChar w:fldCharType="end"/>
      </w:r>
      <w:r w:rsidR="000B3A8A">
        <w:t>)</w:t>
      </w:r>
      <w:r>
        <w:t xml:space="preserve"> </w:t>
      </w:r>
      <w:r w:rsidRPr="00FD0170">
        <w:rPr>
          <w:snapToGrid w:val="0"/>
          <w:lang w:val="en-GB" w:eastAsia="en-US"/>
        </w:rPr>
        <w:t xml:space="preserve">with a rebate of </w:t>
      </w:r>
      <w:r w:rsidRPr="00A43FAE">
        <w:rPr>
          <w:snapToGrid w:val="0"/>
          <w:lang w:val="en-GB" w:eastAsia="en-US"/>
        </w:rPr>
        <w:t xml:space="preserve">less than </w:t>
      </w:r>
      <w:r w:rsidR="00D63E16" w:rsidRPr="006233F7">
        <w:rPr>
          <w:snapToGrid w:val="0"/>
          <w:color w:val="000000"/>
          <w:w w:val="15"/>
          <w:shd w:val="solid" w:color="000000" w:fill="000000"/>
          <w:fitText w:val="-20" w:id="-691363056"/>
          <w:lang w:val="en-GB" w:eastAsia="en-US"/>
          <w14:textFill>
            <w14:solidFill>
              <w14:srgbClr w14:val="000000">
                <w14:alpha w14:val="100000"/>
              </w14:srgbClr>
            </w14:solidFill>
          </w14:textFill>
        </w:rPr>
        <w:t>|</w:t>
      </w:r>
      <w:r w:rsidR="00A91274" w:rsidRPr="006233F7">
        <w:rPr>
          <w:snapToGrid w:val="0"/>
          <w:color w:val="000000"/>
          <w:w w:val="15"/>
          <w:shd w:val="solid" w:color="000000" w:fill="000000"/>
          <w:fitText w:val="-20" w:id="-691363056"/>
          <w:lang w:val="en-GB" w:eastAsia="en-US"/>
          <w14:textFill>
            <w14:solidFill>
              <w14:srgbClr w14:val="000000">
                <w14:alpha w14:val="100000"/>
              </w14:srgbClr>
            </w14:solidFill>
          </w14:textFill>
        </w:rPr>
        <w:t xml:space="preserve"> </w:t>
      </w:r>
      <w:r w:rsidR="00D63E16" w:rsidRPr="006233F7">
        <w:rPr>
          <w:snapToGrid w:val="0"/>
          <w:color w:val="000000"/>
          <w:spacing w:val="-61"/>
          <w:w w:val="15"/>
          <w:shd w:val="solid" w:color="000000" w:fill="000000"/>
          <w:fitText w:val="-20" w:id="-691363056"/>
          <w:lang w:val="en-GB" w:eastAsia="en-US"/>
          <w14:textFill>
            <w14:solidFill>
              <w14:srgbClr w14:val="000000">
                <w14:alpha w14:val="100000"/>
              </w14:srgbClr>
            </w14:solidFill>
          </w14:textFill>
        </w:rPr>
        <w:t>|</w:t>
      </w:r>
      <w:r w:rsidRPr="00A43FAE">
        <w:rPr>
          <w:snapToGrid w:val="0"/>
          <w:lang w:val="en-GB" w:eastAsia="en-US"/>
        </w:rPr>
        <w:t>%,</w:t>
      </w:r>
      <w:r w:rsidRPr="00FD0170">
        <w:rPr>
          <w:snapToGrid w:val="0"/>
          <w:lang w:val="en-GB" w:eastAsia="en-US"/>
        </w:rPr>
        <w:t xml:space="preserve"> then a </w:t>
      </w:r>
      <w:r w:rsidR="00D63E16" w:rsidRPr="006233F7">
        <w:rPr>
          <w:snapToGrid w:val="0"/>
          <w:color w:val="000000"/>
          <w:w w:val="15"/>
          <w:shd w:val="solid" w:color="000000" w:fill="000000"/>
          <w:fitText w:val="-20" w:id="-691363072"/>
          <w:lang w:val="en-GB" w:eastAsia="en-US"/>
          <w14:textFill>
            <w14:solidFill>
              <w14:srgbClr w14:val="000000">
                <w14:alpha w14:val="100000"/>
              </w14:srgbClr>
            </w14:solidFill>
          </w14:textFill>
        </w:rPr>
        <w:t>|</w:t>
      </w:r>
      <w:r w:rsidR="00A91274" w:rsidRPr="006233F7">
        <w:rPr>
          <w:snapToGrid w:val="0"/>
          <w:color w:val="000000"/>
          <w:w w:val="15"/>
          <w:shd w:val="solid" w:color="000000" w:fill="000000"/>
          <w:fitText w:val="-20" w:id="-691363072"/>
          <w:lang w:val="en-GB" w:eastAsia="en-US"/>
          <w14:textFill>
            <w14:solidFill>
              <w14:srgbClr w14:val="000000">
                <w14:alpha w14:val="100000"/>
              </w14:srgbClr>
            </w14:solidFill>
          </w14:textFill>
        </w:rPr>
        <w:t xml:space="preserve"> </w:t>
      </w:r>
      <w:r w:rsidR="00D63E16" w:rsidRPr="006233F7">
        <w:rPr>
          <w:snapToGrid w:val="0"/>
          <w:color w:val="000000"/>
          <w:spacing w:val="-61"/>
          <w:w w:val="15"/>
          <w:shd w:val="solid" w:color="000000" w:fill="000000"/>
          <w:fitText w:val="-20" w:id="-691363072"/>
          <w:lang w:val="en-GB" w:eastAsia="en-US"/>
          <w14:textFill>
            <w14:solidFill>
              <w14:srgbClr w14:val="000000">
                <w14:alpha w14:val="100000"/>
              </w14:srgbClr>
            </w14:solidFill>
          </w14:textFill>
        </w:rPr>
        <w:t>|</w:t>
      </w:r>
      <w:r w:rsidR="00A43FAE" w:rsidRPr="00A43FAE">
        <w:rPr>
          <w:snapToGrid w:val="0"/>
          <w:lang w:val="en-GB" w:eastAsia="en-US"/>
        </w:rPr>
        <w:t xml:space="preserve"> </w:t>
      </w:r>
      <w:r w:rsidR="00D63E16" w:rsidRPr="006233F7">
        <w:rPr>
          <w:snapToGrid w:val="0"/>
          <w:color w:val="000000"/>
          <w:w w:val="15"/>
          <w:shd w:val="solid" w:color="000000" w:fill="000000"/>
          <w:fitText w:val="-20" w:id="-691363071"/>
          <w:lang w:val="en-GB" w:eastAsia="en-US"/>
          <w14:textFill>
            <w14:solidFill>
              <w14:srgbClr w14:val="000000">
                <w14:alpha w14:val="100000"/>
              </w14:srgbClr>
            </w14:solidFill>
          </w14:textFill>
        </w:rPr>
        <w:t>|</w:t>
      </w:r>
      <w:r w:rsidR="00A91274" w:rsidRPr="006233F7">
        <w:rPr>
          <w:snapToGrid w:val="0"/>
          <w:color w:val="000000"/>
          <w:w w:val="15"/>
          <w:shd w:val="solid" w:color="000000" w:fill="000000"/>
          <w:fitText w:val="-20" w:id="-691363071"/>
          <w:lang w:val="en-GB" w:eastAsia="en-US"/>
          <w14:textFill>
            <w14:solidFill>
              <w14:srgbClr w14:val="000000">
                <w14:alpha w14:val="100000"/>
              </w14:srgbClr>
            </w14:solidFill>
          </w14:textFill>
        </w:rPr>
        <w:t xml:space="preserve"> </w:t>
      </w:r>
      <w:r w:rsidR="00D63E16" w:rsidRPr="006233F7">
        <w:rPr>
          <w:snapToGrid w:val="0"/>
          <w:color w:val="000000"/>
          <w:spacing w:val="-61"/>
          <w:w w:val="15"/>
          <w:shd w:val="solid" w:color="000000" w:fill="000000"/>
          <w:fitText w:val="-20" w:id="-691363071"/>
          <w:lang w:val="en-GB" w:eastAsia="en-US"/>
          <w14:textFill>
            <w14:solidFill>
              <w14:srgbClr w14:val="000000">
                <w14:alpha w14:val="100000"/>
              </w14:srgbClr>
            </w14:solidFill>
          </w14:textFill>
        </w:rPr>
        <w:t>|</w:t>
      </w:r>
      <w:r w:rsidRPr="00FD0170">
        <w:rPr>
          <w:snapToGrid w:val="0"/>
          <w:lang w:val="en-GB" w:eastAsia="en-US"/>
        </w:rPr>
        <w:t xml:space="preserve"> based on the total number of patients using IVIg for maintenance gMG with a rebate of </w:t>
      </w:r>
      <w:r w:rsidR="00D63E16" w:rsidRPr="006233F7">
        <w:rPr>
          <w:snapToGrid w:val="0"/>
          <w:color w:val="000000"/>
          <w:w w:val="15"/>
          <w:shd w:val="solid" w:color="000000" w:fill="000000"/>
          <w:fitText w:val="-20" w:id="-691363070"/>
          <w:lang w:val="en-GB" w:eastAsia="en-US"/>
          <w14:textFill>
            <w14:solidFill>
              <w14:srgbClr w14:val="000000">
                <w14:alpha w14:val="100000"/>
              </w14:srgbClr>
            </w14:solidFill>
          </w14:textFill>
        </w:rPr>
        <w:t>|</w:t>
      </w:r>
      <w:r w:rsidR="00A91274" w:rsidRPr="006233F7">
        <w:rPr>
          <w:snapToGrid w:val="0"/>
          <w:color w:val="000000"/>
          <w:w w:val="15"/>
          <w:shd w:val="solid" w:color="000000" w:fill="000000"/>
          <w:fitText w:val="-20" w:id="-691363070"/>
          <w:lang w:val="en-GB" w:eastAsia="en-US"/>
          <w14:textFill>
            <w14:solidFill>
              <w14:srgbClr w14:val="000000">
                <w14:alpha w14:val="100000"/>
              </w14:srgbClr>
            </w14:solidFill>
          </w14:textFill>
        </w:rPr>
        <w:t xml:space="preserve"> </w:t>
      </w:r>
      <w:r w:rsidR="00D63E16" w:rsidRPr="006233F7">
        <w:rPr>
          <w:snapToGrid w:val="0"/>
          <w:color w:val="000000"/>
          <w:spacing w:val="-61"/>
          <w:w w:val="15"/>
          <w:shd w:val="solid" w:color="000000" w:fill="000000"/>
          <w:fitText w:val="-20" w:id="-691363070"/>
          <w:lang w:val="en-GB" w:eastAsia="en-US"/>
          <w14:textFill>
            <w14:solidFill>
              <w14:srgbClr w14:val="000000">
                <w14:alpha w14:val="100000"/>
              </w14:srgbClr>
            </w14:solidFill>
          </w14:textFill>
        </w:rPr>
        <w:t>|</w:t>
      </w:r>
      <w:r w:rsidRPr="00A43FAE">
        <w:rPr>
          <w:snapToGrid w:val="0"/>
          <w:lang w:val="en-GB" w:eastAsia="en-US"/>
        </w:rPr>
        <w:t>%.</w:t>
      </w:r>
    </w:p>
    <w:p w14:paraId="558A96EE" w14:textId="435452AF" w:rsidR="002628B5" w:rsidRPr="002628B5" w:rsidRDefault="002628B5" w:rsidP="00873AF3">
      <w:pPr>
        <w:pStyle w:val="COMexecsummnumbered"/>
        <w:rPr>
          <w:snapToGrid w:val="0"/>
          <w:lang w:val="en-GB" w:eastAsia="en-US"/>
        </w:rPr>
      </w:pPr>
      <w:r w:rsidRPr="002628B5">
        <w:rPr>
          <w:snapToGrid w:val="0"/>
          <w:lang w:val="en-GB" w:eastAsia="en-US"/>
        </w:rPr>
        <w:t>The PBAC advised that a utilisation review by DUSC should be conducted two years after listing of any new therapies, which should also assess whether the newer therapies have resulted in a reduction in IVIg use (noting this would require data from the</w:t>
      </w:r>
      <w:r w:rsidR="000D6E91">
        <w:rPr>
          <w:snapToGrid w:val="0"/>
          <w:lang w:val="en-GB" w:eastAsia="en-US"/>
        </w:rPr>
        <w:t xml:space="preserve"> NBA</w:t>
      </w:r>
      <w:r w:rsidRPr="002628B5">
        <w:rPr>
          <w:snapToGrid w:val="0"/>
          <w:lang w:val="en-GB" w:eastAsia="en-US"/>
        </w:rPr>
        <w:t>).</w:t>
      </w:r>
    </w:p>
    <w:p w14:paraId="17CC2862" w14:textId="5C2644B7" w:rsidR="002628B5" w:rsidRPr="002628B5" w:rsidRDefault="002628B5" w:rsidP="00873AF3">
      <w:pPr>
        <w:pStyle w:val="COMexecsummnumbered"/>
        <w:rPr>
          <w:snapToGrid w:val="0"/>
          <w:lang w:val="en-GB" w:eastAsia="en-US"/>
        </w:rPr>
      </w:pPr>
      <w:r w:rsidRPr="002628B5">
        <w:rPr>
          <w:snapToGrid w:val="0"/>
          <w:lang w:val="en-GB" w:eastAsia="en-US"/>
        </w:rPr>
        <w:t xml:space="preserve">The PBAC advised that </w:t>
      </w:r>
      <w:r w:rsidR="00E252B2" w:rsidRPr="00E252B2">
        <w:rPr>
          <w:snapToGrid w:val="0"/>
          <w:lang w:val="en-GB" w:eastAsia="en-US"/>
        </w:rPr>
        <w:t>rozanolixizumab</w:t>
      </w:r>
      <w:r w:rsidR="00E252B2" w:rsidRPr="00E252B2" w:rsidDel="00E252B2">
        <w:rPr>
          <w:snapToGrid w:val="0"/>
          <w:lang w:val="en-GB" w:eastAsia="en-US"/>
        </w:rPr>
        <w:t xml:space="preserve"> </w:t>
      </w:r>
      <w:r w:rsidRPr="002628B5">
        <w:rPr>
          <w:snapToGrid w:val="0"/>
          <w:lang w:val="en-GB" w:eastAsia="en-US"/>
        </w:rPr>
        <w:t>is not suitable for prescribing by nurse practitioners.</w:t>
      </w:r>
    </w:p>
    <w:p w14:paraId="3636D7FC" w14:textId="7F12D2B3" w:rsidR="009A09E8" w:rsidRPr="009A09E8" w:rsidRDefault="009A09E8" w:rsidP="00873AF3">
      <w:pPr>
        <w:pStyle w:val="COMexecsummnumbered"/>
        <w:rPr>
          <w:snapToGrid w:val="0"/>
          <w:lang w:val="en-GB" w:eastAsia="en-US"/>
        </w:rPr>
      </w:pPr>
      <w:r>
        <w:rPr>
          <w:snapToGrid w:val="0"/>
          <w:lang w:val="en-GB" w:eastAsia="en-US"/>
        </w:rPr>
        <w:t>Rozanolixizumab</w:t>
      </w:r>
      <w:r w:rsidRPr="009A09E8">
        <w:rPr>
          <w:snapToGrid w:val="0"/>
          <w:lang w:val="en-GB" w:eastAsia="en-US"/>
        </w:rPr>
        <w:t xml:space="preserve"> should be exempt from the Early Supply Rule as it does not be apply to Section 100 Highly Specialised Drug listings.</w:t>
      </w:r>
    </w:p>
    <w:p w14:paraId="2FE795A1" w14:textId="65C6AF39" w:rsidR="00B530DE" w:rsidRDefault="00B530DE" w:rsidP="00873AF3">
      <w:pPr>
        <w:pStyle w:val="COMexecsummnumbered"/>
        <w:rPr>
          <w:snapToGrid w:val="0"/>
          <w:lang w:val="en-GB" w:eastAsia="en-US"/>
        </w:rPr>
      </w:pPr>
      <w:r w:rsidRPr="00B530DE">
        <w:rPr>
          <w:snapToGrid w:val="0"/>
          <w:lang w:val="en-GB" w:eastAsia="en-US"/>
        </w:rPr>
        <w:t xml:space="preserve">The PBAC advised that </w:t>
      </w:r>
      <w:r>
        <w:rPr>
          <w:snapToGrid w:val="0"/>
          <w:lang w:val="en-GB" w:eastAsia="en-US"/>
        </w:rPr>
        <w:t>rozanolixizumab</w:t>
      </w:r>
      <w:r w:rsidRPr="00B530DE">
        <w:rPr>
          <w:snapToGrid w:val="0"/>
          <w:lang w:val="en-GB" w:eastAsia="en-US"/>
        </w:rPr>
        <w:t xml:space="preserve"> should not be treated as interchangeable with any other drugs.</w:t>
      </w:r>
    </w:p>
    <w:p w14:paraId="0E35FA11" w14:textId="3541946B" w:rsidR="002628B5" w:rsidRPr="002628B5" w:rsidRDefault="002628B5" w:rsidP="00873AF3">
      <w:pPr>
        <w:pStyle w:val="COMexecsummnumbered"/>
        <w:rPr>
          <w:snapToGrid w:val="0"/>
          <w:lang w:val="en-GB" w:eastAsia="en-US"/>
        </w:rPr>
      </w:pPr>
      <w:r w:rsidRPr="002628B5">
        <w:rPr>
          <w:snapToGrid w:val="0"/>
          <w:lang w:val="en-GB" w:eastAsia="en-US"/>
        </w:rPr>
        <w:t xml:space="preserve">The PBAC found that the criteria prescribed by the </w:t>
      </w:r>
      <w:r w:rsidRPr="003C6592">
        <w:rPr>
          <w:i/>
          <w:iCs/>
          <w:snapToGrid w:val="0"/>
          <w:lang w:val="en-GB" w:eastAsia="en-US"/>
        </w:rPr>
        <w:t>National Health (Pharmaceuticals and Vaccines – Cost Recovery) Regulations 2022 for Pricing Pathway A</w:t>
      </w:r>
      <w:r w:rsidRPr="002628B5">
        <w:rPr>
          <w:snapToGrid w:val="0"/>
          <w:lang w:val="en-GB" w:eastAsia="en-US"/>
        </w:rPr>
        <w:t xml:space="preserve"> were not met. Specifically, the PBAC found that in the circumstances of its recommendation for </w:t>
      </w:r>
      <w:r w:rsidR="00E252B2" w:rsidRPr="00E252B2">
        <w:rPr>
          <w:snapToGrid w:val="0"/>
          <w:lang w:val="en-GB" w:eastAsia="en-US"/>
        </w:rPr>
        <w:t>rozanolixizumab</w:t>
      </w:r>
      <w:r w:rsidRPr="002628B5">
        <w:rPr>
          <w:snapToGrid w:val="0"/>
          <w:lang w:val="en-GB" w:eastAsia="en-US"/>
        </w:rPr>
        <w:t>:</w:t>
      </w:r>
    </w:p>
    <w:p w14:paraId="47C71612" w14:textId="4D8A1CA5" w:rsidR="002628B5" w:rsidRPr="002628B5" w:rsidRDefault="002628B5" w:rsidP="00873AF3">
      <w:pPr>
        <w:pStyle w:val="COMexecsummnumbered"/>
        <w:numPr>
          <w:ilvl w:val="1"/>
          <w:numId w:val="28"/>
        </w:numPr>
        <w:ind w:left="1134" w:hanging="425"/>
        <w:rPr>
          <w:snapToGrid w:val="0"/>
          <w:lang w:val="en-GB" w:eastAsia="en-US"/>
        </w:rPr>
      </w:pPr>
      <w:r w:rsidRPr="002628B5">
        <w:rPr>
          <w:snapToGrid w:val="0"/>
          <w:lang w:val="en-GB" w:eastAsia="en-US"/>
        </w:rPr>
        <w:t>The treatment is not expected to provide a substantial and clinically relevant improvement in efficacy, or reduction of toxicity, over IVIg</w:t>
      </w:r>
    </w:p>
    <w:p w14:paraId="3BA69DB6" w14:textId="486E8570" w:rsidR="002628B5" w:rsidRPr="002628B5" w:rsidRDefault="002628B5" w:rsidP="00873AF3">
      <w:pPr>
        <w:pStyle w:val="COMexecsummnumbered"/>
        <w:numPr>
          <w:ilvl w:val="1"/>
          <w:numId w:val="28"/>
        </w:numPr>
        <w:ind w:left="1134" w:hanging="425"/>
        <w:rPr>
          <w:snapToGrid w:val="0"/>
          <w:lang w:val="en-GB" w:eastAsia="en-US"/>
        </w:rPr>
      </w:pPr>
      <w:r w:rsidRPr="002628B5">
        <w:rPr>
          <w:snapToGrid w:val="0"/>
          <w:lang w:val="en-GB" w:eastAsia="en-US"/>
        </w:rPr>
        <w:t>The treatment is not expected to address a high and urgent unmet clinical need because an alternative therapy (IVIg) is available</w:t>
      </w:r>
    </w:p>
    <w:p w14:paraId="01FD1B8C" w14:textId="77777777" w:rsidR="002628B5" w:rsidRPr="002628B5" w:rsidRDefault="002628B5" w:rsidP="00873AF3">
      <w:pPr>
        <w:pStyle w:val="COMexecsummnumbered"/>
        <w:numPr>
          <w:ilvl w:val="1"/>
          <w:numId w:val="28"/>
        </w:numPr>
        <w:ind w:left="1134" w:hanging="425"/>
        <w:rPr>
          <w:snapToGrid w:val="0"/>
          <w:lang w:val="en-GB" w:eastAsia="en-US"/>
        </w:rPr>
      </w:pPr>
      <w:r w:rsidRPr="002628B5">
        <w:rPr>
          <w:snapToGrid w:val="0"/>
          <w:lang w:val="en-GB" w:eastAsia="en-US"/>
        </w:rPr>
        <w:t xml:space="preserve">It was not necessary to make a finding in relation to whether it would be in the public interest for the subsequent pricing application to be progressed under Pricing Pathway A because one or more of the preceding tests had failed. </w:t>
      </w:r>
    </w:p>
    <w:p w14:paraId="1F1CD66F" w14:textId="661687D3" w:rsidR="00B94305" w:rsidRDefault="002628B5" w:rsidP="00873AF3">
      <w:pPr>
        <w:pStyle w:val="COMexecsummnumbered"/>
        <w:rPr>
          <w:snapToGrid w:val="0"/>
          <w:lang w:val="en-GB" w:eastAsia="en-US"/>
        </w:rPr>
      </w:pPr>
      <w:r w:rsidRPr="002628B5">
        <w:rPr>
          <w:snapToGrid w:val="0"/>
          <w:lang w:val="en-GB" w:eastAsia="en-US"/>
        </w:rPr>
        <w:t>The PBAC noted that this submission is not eligible for an Independent Review as it received a positive recommendation.</w:t>
      </w:r>
    </w:p>
    <w:p w14:paraId="0F5CFF23" w14:textId="77777777" w:rsidR="00B93121" w:rsidRPr="00B93121" w:rsidRDefault="00B93121" w:rsidP="00873AF3">
      <w:pPr>
        <w:spacing w:before="240"/>
        <w:rPr>
          <w:rFonts w:asciiTheme="minorHAnsi" w:hAnsiTheme="minorHAnsi"/>
          <w:b/>
          <w:bCs/>
          <w:snapToGrid w:val="0"/>
          <w:lang w:val="en-GB" w:eastAsia="en-US"/>
        </w:rPr>
      </w:pPr>
      <w:r w:rsidRPr="00B93121">
        <w:rPr>
          <w:rFonts w:asciiTheme="minorHAnsi" w:hAnsiTheme="minorHAnsi"/>
          <w:b/>
          <w:bCs/>
          <w:snapToGrid w:val="0"/>
          <w:lang w:val="en-GB" w:eastAsia="en-US"/>
        </w:rPr>
        <w:t>Outcome:</w:t>
      </w:r>
    </w:p>
    <w:p w14:paraId="16810B4F" w14:textId="4BA6C2A6" w:rsidR="00B93121" w:rsidRPr="00B25A3D" w:rsidRDefault="00B93121" w:rsidP="00873AF3">
      <w:pPr>
        <w:spacing w:after="120"/>
        <w:rPr>
          <w:rFonts w:asciiTheme="minorHAnsi" w:hAnsiTheme="minorHAnsi"/>
          <w:bCs/>
          <w:snapToGrid w:val="0"/>
          <w:lang w:val="en-GB" w:eastAsia="en-US"/>
        </w:rPr>
      </w:pPr>
      <w:r w:rsidRPr="00B93121">
        <w:rPr>
          <w:rFonts w:asciiTheme="minorHAnsi" w:hAnsiTheme="minorHAnsi"/>
          <w:bCs/>
          <w:snapToGrid w:val="0"/>
          <w:lang w:val="en-GB" w:eastAsia="en-US"/>
        </w:rPr>
        <w:t>Recommended</w:t>
      </w:r>
    </w:p>
    <w:bookmarkEnd w:id="83"/>
    <w:p w14:paraId="19B85457" w14:textId="77777777" w:rsidR="00B93121" w:rsidRPr="00B93121" w:rsidRDefault="00B93121" w:rsidP="00873AF3">
      <w:pPr>
        <w:keepNext/>
        <w:numPr>
          <w:ilvl w:val="0"/>
          <w:numId w:val="1"/>
        </w:numPr>
        <w:spacing w:before="240" w:after="120"/>
        <w:jc w:val="left"/>
        <w:outlineLvl w:val="0"/>
        <w:rPr>
          <w:rFonts w:asciiTheme="minorHAnsi" w:hAnsiTheme="minorHAnsi"/>
          <w:b/>
          <w:snapToGrid w:val="0"/>
          <w:sz w:val="32"/>
          <w:szCs w:val="32"/>
        </w:rPr>
      </w:pPr>
      <w:r w:rsidRPr="00B93121">
        <w:rPr>
          <w:rFonts w:asciiTheme="minorHAnsi" w:hAnsiTheme="minorHAnsi"/>
          <w:b/>
          <w:snapToGrid w:val="0"/>
          <w:sz w:val="32"/>
          <w:szCs w:val="32"/>
        </w:rPr>
        <w:t>Recommended listing</w:t>
      </w:r>
    </w:p>
    <w:p w14:paraId="3DAAC0F5" w14:textId="26626910" w:rsidR="00B93121" w:rsidRPr="000825A4" w:rsidRDefault="001F609E" w:rsidP="00873AF3">
      <w:pPr>
        <w:pStyle w:val="COMexecsummnumbered"/>
      </w:pPr>
      <w:r w:rsidRPr="000825A4">
        <w:t>This restriction is in the process of being finalised (see point 8.4). The sponsor will be notified of the final restriction.</w:t>
      </w:r>
    </w:p>
    <w:bookmarkEnd w:id="77"/>
    <w:bookmarkEnd w:id="84"/>
    <w:p w14:paraId="61C2ECE1" w14:textId="77777777" w:rsidR="003020C3" w:rsidRPr="003020C3" w:rsidRDefault="003020C3" w:rsidP="00873AF3">
      <w:pPr>
        <w:keepNext/>
        <w:numPr>
          <w:ilvl w:val="0"/>
          <w:numId w:val="1"/>
        </w:numPr>
        <w:spacing w:before="240" w:after="120"/>
        <w:jc w:val="left"/>
        <w:outlineLvl w:val="0"/>
        <w:rPr>
          <w:rFonts w:asciiTheme="minorHAnsi" w:hAnsiTheme="minorHAnsi"/>
          <w:b/>
          <w:snapToGrid w:val="0"/>
          <w:sz w:val="32"/>
          <w:szCs w:val="32"/>
        </w:rPr>
      </w:pPr>
      <w:r w:rsidRPr="003020C3">
        <w:rPr>
          <w:rFonts w:asciiTheme="minorHAnsi" w:hAnsiTheme="minorHAnsi"/>
          <w:b/>
          <w:snapToGrid w:val="0"/>
          <w:sz w:val="32"/>
          <w:szCs w:val="32"/>
        </w:rPr>
        <w:t>Context for Decision</w:t>
      </w:r>
    </w:p>
    <w:p w14:paraId="0E066961" w14:textId="77777777" w:rsidR="003020C3" w:rsidRPr="00061CBE" w:rsidRDefault="003020C3" w:rsidP="00873AF3">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2A68B62" w14:textId="77777777" w:rsidR="0026153B" w:rsidRDefault="003020C3" w:rsidP="00873AF3">
      <w:pPr>
        <w:pStyle w:val="COMH1-numbered"/>
      </w:pPr>
      <w:r w:rsidRPr="00061CBE">
        <w:t>Sponsor’s Comment</w:t>
      </w:r>
    </w:p>
    <w:p w14:paraId="2DD2EF4E" w14:textId="151F42E0" w:rsidR="00B849A1" w:rsidRDefault="0026153B" w:rsidP="00873AF3">
      <w:pPr>
        <w:pStyle w:val="COMexecsummnumbered"/>
        <w:numPr>
          <w:ilvl w:val="0"/>
          <w:numId w:val="0"/>
        </w:numPr>
        <w:ind w:left="709"/>
      </w:pPr>
      <w:r w:rsidRPr="0026153B">
        <w:t>The sponsor had no comment.</w:t>
      </w:r>
    </w:p>
    <w:p w14:paraId="6B55564D" w14:textId="77777777" w:rsidR="00B849A1" w:rsidRDefault="00B849A1" w:rsidP="00873AF3">
      <w:pPr>
        <w:jc w:val="left"/>
        <w:rPr>
          <w:rFonts w:asciiTheme="minorHAnsi" w:eastAsiaTheme="minorHAnsi" w:hAnsiTheme="minorHAnsi" w:cstheme="minorBidi"/>
          <w:szCs w:val="22"/>
        </w:rPr>
      </w:pPr>
      <w:r>
        <w:br w:type="page"/>
      </w:r>
    </w:p>
    <w:p w14:paraId="3FD8A6EC" w14:textId="27B5E5B3" w:rsidR="008A494F" w:rsidRPr="000C5D1B" w:rsidRDefault="008A494F" w:rsidP="00873AF3">
      <w:pPr>
        <w:pStyle w:val="COMH1-numbered"/>
        <w:numPr>
          <w:ilvl w:val="0"/>
          <w:numId w:val="0"/>
        </w:numPr>
        <w:rPr>
          <w:color w:val="FF0000"/>
        </w:rPr>
      </w:pPr>
      <w:r w:rsidRPr="0026153B">
        <w:rPr>
          <w:color w:val="FF0000"/>
        </w:rPr>
        <w:t>Addendum to the March 2025 PBAC Minutes:</w:t>
      </w:r>
    </w:p>
    <w:p w14:paraId="75889348" w14:textId="77777777" w:rsidR="008A494F" w:rsidRPr="00CE706B" w:rsidRDefault="008A494F" w:rsidP="00873AF3">
      <w:pPr>
        <w:pStyle w:val="COMexecsummheadings"/>
        <w:keepLines/>
      </w:pPr>
      <w:r>
        <w:t>3.01</w:t>
      </w:r>
      <w:r w:rsidRPr="00CE706B">
        <w:tab/>
        <w:t>ROZANOLIXIZUMAB,</w:t>
      </w:r>
      <w:r w:rsidRPr="00CE706B">
        <w:br/>
        <w:t>Solution for subcutaneous infusion,</w:t>
      </w:r>
      <w:r w:rsidRPr="00CE706B">
        <w:br/>
        <w:t>280 mg in 2 mL (140 mg per mL),</w:t>
      </w:r>
      <w:r w:rsidRPr="00CE706B">
        <w:br/>
        <w:t>Rystiggo</w:t>
      </w:r>
      <w:r w:rsidRPr="00CE706B">
        <w:rPr>
          <w:vertAlign w:val="superscript"/>
        </w:rPr>
        <w:t>®</w:t>
      </w:r>
      <w:r w:rsidRPr="00CE706B">
        <w:t>,</w:t>
      </w:r>
      <w:r w:rsidRPr="00CE706B">
        <w:br/>
        <w:t>UCB Australia Pty Ltd.</w:t>
      </w:r>
    </w:p>
    <w:p w14:paraId="13873269" w14:textId="77777777" w:rsidR="008A494F" w:rsidRPr="00CE706B" w:rsidRDefault="008A494F" w:rsidP="00873AF3">
      <w:pPr>
        <w:pStyle w:val="COMH1-numbered"/>
      </w:pPr>
      <w:r w:rsidRPr="00CE706B">
        <w:t>Purpose of submission</w:t>
      </w:r>
    </w:p>
    <w:p w14:paraId="44A5A65C" w14:textId="77777777" w:rsidR="008A494F" w:rsidRPr="00FD621F" w:rsidRDefault="008A494F" w:rsidP="00873AF3">
      <w:pPr>
        <w:pStyle w:val="COMexecsummnumbered"/>
        <w:spacing w:before="60" w:after="60"/>
        <w:rPr>
          <w:snapToGrid w:val="0"/>
        </w:rPr>
      </w:pPr>
      <w:r w:rsidRPr="00FD621F">
        <w:rPr>
          <w:snapToGrid w:val="0"/>
        </w:rPr>
        <w:t xml:space="preserve">Rozanolixizumab was recommended for the treatment of </w:t>
      </w:r>
      <w:r w:rsidRPr="000C36C5">
        <w:rPr>
          <w:snapToGrid w:val="0"/>
        </w:rPr>
        <w:t>generalised myasthenia gravis (gMG)</w:t>
      </w:r>
      <w:r w:rsidRPr="00FD621F">
        <w:rPr>
          <w:snapToGrid w:val="0"/>
        </w:rPr>
        <w:t xml:space="preserve"> at the March 2025 PBAC meeting. Following </w:t>
      </w:r>
      <w:r w:rsidRPr="00FD621F">
        <w:rPr>
          <w:snapToGrid w:val="0"/>
          <w:lang w:val="en-GB" w:eastAsia="en-US"/>
        </w:rPr>
        <w:t>the</w:t>
      </w:r>
      <w:r w:rsidRPr="00FD621F">
        <w:rPr>
          <w:snapToGrid w:val="0"/>
        </w:rPr>
        <w:t xml:space="preserve"> recommendation, the sponsor </w:t>
      </w:r>
      <w:r>
        <w:rPr>
          <w:snapToGrid w:val="0"/>
        </w:rPr>
        <w:t>provided</w:t>
      </w:r>
      <w:r w:rsidRPr="00FD621F">
        <w:rPr>
          <w:snapToGrid w:val="0"/>
        </w:rPr>
        <w:t xml:space="preserve"> a </w:t>
      </w:r>
      <w:r>
        <w:rPr>
          <w:snapToGrid w:val="0"/>
        </w:rPr>
        <w:t>submission</w:t>
      </w:r>
      <w:r w:rsidRPr="00FD621F">
        <w:rPr>
          <w:snapToGrid w:val="0"/>
        </w:rPr>
        <w:t xml:space="preserve"> </w:t>
      </w:r>
      <w:r>
        <w:rPr>
          <w:snapToGrid w:val="0"/>
        </w:rPr>
        <w:t>requesting that the</w:t>
      </w:r>
      <w:r w:rsidRPr="00FD621F">
        <w:rPr>
          <w:snapToGrid w:val="0"/>
        </w:rPr>
        <w:t xml:space="preserve"> PBAC modify the </w:t>
      </w:r>
      <w:r>
        <w:rPr>
          <w:snapToGrid w:val="0"/>
        </w:rPr>
        <w:t xml:space="preserve">average annual dose of rozanolixizumab that was estimated by the Committee in </w:t>
      </w:r>
      <w:r w:rsidRPr="00FD621F">
        <w:rPr>
          <w:snapToGrid w:val="0"/>
        </w:rPr>
        <w:t xml:space="preserve">March 2025. </w:t>
      </w:r>
      <w:r>
        <w:rPr>
          <w:snapToGrid w:val="0"/>
        </w:rPr>
        <w:t>This average annual dose was used for the purposes of the cost-comparison versus IVIg and the financial estimates.</w:t>
      </w:r>
    </w:p>
    <w:p w14:paraId="21EBE473" w14:textId="77777777" w:rsidR="008A494F" w:rsidRPr="006F04EE" w:rsidRDefault="008A494F" w:rsidP="00873AF3">
      <w:pPr>
        <w:pStyle w:val="COMH1-numbered"/>
      </w:pPr>
      <w:r w:rsidRPr="006F04EE">
        <w:t xml:space="preserve">Background </w:t>
      </w:r>
    </w:p>
    <w:p w14:paraId="71A7DF20" w14:textId="77777777" w:rsidR="008A494F" w:rsidRPr="006F04EE" w:rsidRDefault="008A494F" w:rsidP="00873AF3">
      <w:pPr>
        <w:keepNext/>
        <w:spacing w:before="120" w:after="120"/>
        <w:outlineLvl w:val="1"/>
        <w:rPr>
          <w:rFonts w:asciiTheme="minorHAnsi" w:eastAsiaTheme="majorEastAsia" w:hAnsiTheme="minorHAnsi" w:cstheme="majorBidi"/>
          <w:b/>
          <w:i/>
          <w:spacing w:val="5"/>
          <w:kern w:val="28"/>
          <w:sz w:val="28"/>
          <w:szCs w:val="36"/>
        </w:rPr>
      </w:pPr>
      <w:r w:rsidRPr="006F04EE">
        <w:rPr>
          <w:rFonts w:asciiTheme="minorHAnsi" w:eastAsiaTheme="majorEastAsia" w:hAnsiTheme="minorHAnsi" w:cstheme="majorBidi"/>
          <w:b/>
          <w:i/>
          <w:spacing w:val="5"/>
          <w:kern w:val="28"/>
          <w:sz w:val="28"/>
          <w:szCs w:val="36"/>
        </w:rPr>
        <w:t xml:space="preserve">Previous PBAC consideration </w:t>
      </w:r>
    </w:p>
    <w:p w14:paraId="5027B62D" w14:textId="77777777" w:rsidR="008A494F" w:rsidRPr="00432B6B" w:rsidRDefault="008A494F" w:rsidP="00873AF3">
      <w:pPr>
        <w:pStyle w:val="COMexecsummnumbered"/>
        <w:spacing w:before="60" w:after="60"/>
        <w:rPr>
          <w:rFonts w:eastAsia="Calibri" w:cs="Times New Roman"/>
          <w:lang w:eastAsia="en-US"/>
        </w:rPr>
      </w:pPr>
      <w:r w:rsidRPr="00B2401C">
        <w:rPr>
          <w:snapToGrid w:val="0"/>
        </w:rPr>
        <w:t>At the March 2025 PBAC meeting, the PBAC recommended rozanolixizumab on the basis of a cost-comparison versus intravenous immunoglobulin (IVIg). As part of its consideration, the PBAC</w:t>
      </w:r>
      <w:r>
        <w:rPr>
          <w:snapToGrid w:val="0"/>
        </w:rPr>
        <w:t>:</w:t>
      </w:r>
      <w:r w:rsidRPr="00B2401C">
        <w:rPr>
          <w:snapToGrid w:val="0"/>
        </w:rPr>
        <w:t xml:space="preserve"> </w:t>
      </w:r>
    </w:p>
    <w:p w14:paraId="1E84B763" w14:textId="77777777" w:rsidR="008A494F" w:rsidRPr="00A80780" w:rsidRDefault="008A494F" w:rsidP="00873AF3">
      <w:pPr>
        <w:pStyle w:val="COMexecsummnumbered"/>
        <w:numPr>
          <w:ilvl w:val="0"/>
          <w:numId w:val="0"/>
        </w:numPr>
        <w:ind w:left="1134"/>
        <w:rPr>
          <w:rFonts w:eastAsia="Calibri" w:cstheme="minorHAnsi"/>
          <w:szCs w:val="24"/>
          <w:lang w:eastAsia="en-US"/>
        </w:rPr>
      </w:pPr>
      <w:r w:rsidRPr="00A80780">
        <w:rPr>
          <w:rFonts w:cstheme="minorHAnsi"/>
          <w:snapToGrid w:val="0"/>
          <w:szCs w:val="24"/>
        </w:rPr>
        <w:t xml:space="preserve">“noted that a key uncertainty in the estimation of the average annual dose of rozanolixizumab was the treatment-free interval between cycles (refer to paragraphs 6.73 to 6.74). The PBAC noted the base case estimate in the submission (derived from a post hoc analysis of data from the MycarinG trial and an interim analysis of the MG0007 extension) equated to a treatment-free interval of 9.3 weeks between cycles (3.4 cycles per year). The PBAC considered this may have underestimated the number of infusions in clinical practice given longer-term data from the extension studies indicated decreasing treatment-free intervals over time (Table 8), and also given the strict retreatment criteria applied in the trial. The evaluation noted that updated data from the MG0007 extension study equated to an 8.5-week interval between cycles (3.59 cycles per year), which the PBAC considered may also have underestimated the number of infusions in clinical practice. However, overall, the PBAC considered this latter data was likely the best information available, and that the risk of additional cycles should be managed through the RSA” (paragraph 8.22, </w:t>
      </w:r>
      <w:r w:rsidRPr="00A80780">
        <w:rPr>
          <w:rFonts w:cstheme="minorHAnsi"/>
          <w:szCs w:val="24"/>
        </w:rPr>
        <w:t>rozanolixizumab Public Summary Document, March 2025 PBAC Meeting)</w:t>
      </w:r>
      <w:r w:rsidRPr="00A80780">
        <w:rPr>
          <w:rFonts w:cstheme="minorHAnsi"/>
          <w:snapToGrid w:val="0"/>
          <w:szCs w:val="24"/>
        </w:rPr>
        <w:t>.</w:t>
      </w:r>
    </w:p>
    <w:p w14:paraId="647C1F0A" w14:textId="77777777" w:rsidR="008A494F" w:rsidRPr="00A80780" w:rsidRDefault="008A494F" w:rsidP="00873AF3">
      <w:pPr>
        <w:pStyle w:val="COMexecsummnumbered"/>
        <w:spacing w:before="60" w:after="60"/>
        <w:rPr>
          <w:rFonts w:cstheme="minorHAnsi"/>
          <w:snapToGrid w:val="0"/>
          <w:szCs w:val="24"/>
        </w:rPr>
      </w:pPr>
      <w:r w:rsidRPr="00A80780">
        <w:rPr>
          <w:rFonts w:cstheme="minorHAnsi"/>
          <w:snapToGrid w:val="0"/>
          <w:szCs w:val="24"/>
        </w:rPr>
        <w:t>Thus, the PBAC estimated the average annual dose of rozanolixizumab</w:t>
      </w:r>
      <w:r>
        <w:rPr>
          <w:rFonts w:cstheme="minorHAnsi"/>
          <w:snapToGrid w:val="0"/>
          <w:szCs w:val="24"/>
        </w:rPr>
        <w:t xml:space="preserve"> based on</w:t>
      </w:r>
      <w:r w:rsidRPr="00A80780">
        <w:rPr>
          <w:rFonts w:cstheme="minorHAnsi"/>
          <w:snapToGrid w:val="0"/>
          <w:szCs w:val="24"/>
        </w:rPr>
        <w:t xml:space="preserve">: </w:t>
      </w:r>
    </w:p>
    <w:p w14:paraId="08BFA6D1" w14:textId="77777777" w:rsidR="008A494F" w:rsidRPr="00A80780" w:rsidRDefault="008A494F" w:rsidP="00873AF3">
      <w:pPr>
        <w:pStyle w:val="COMexecsummnumbered"/>
        <w:numPr>
          <w:ilvl w:val="0"/>
          <w:numId w:val="0"/>
        </w:numPr>
        <w:ind w:left="1134"/>
        <w:rPr>
          <w:rFonts w:cstheme="minorHAnsi"/>
          <w:snapToGrid w:val="0"/>
          <w:szCs w:val="24"/>
        </w:rPr>
      </w:pPr>
      <w:r w:rsidRPr="00A80780">
        <w:rPr>
          <w:rFonts w:cstheme="minorHAnsi"/>
          <w:snapToGrid w:val="0"/>
          <w:szCs w:val="24"/>
        </w:rPr>
        <w:t>“</w:t>
      </w:r>
      <w:r>
        <w:rPr>
          <w:rFonts w:cstheme="minorHAnsi"/>
          <w:snapToGrid w:val="0"/>
          <w:szCs w:val="24"/>
        </w:rPr>
        <w:t xml:space="preserve">the </w:t>
      </w:r>
      <w:r w:rsidRPr="00A80780">
        <w:rPr>
          <w:rFonts w:cstheme="minorHAnsi"/>
          <w:snapToGrid w:val="0"/>
          <w:szCs w:val="24"/>
        </w:rPr>
        <w:t>dose recommended in the product information assuming the same weight distribution as patients in the MycarinG trial (i.e. 2.11 vials per infusion and 6 infusions per cycle), with the number of cycles per patient per year based on the updated data from the MG0007 extension study of 3.59 cycles per year. Based on these assumptions the average annual dose of rozanolixizumab would be: 12,711</w:t>
      </w:r>
      <w:r>
        <w:rPr>
          <w:rFonts w:cstheme="minorHAnsi"/>
          <w:snapToGrid w:val="0"/>
          <w:szCs w:val="24"/>
        </w:rPr>
        <w:t> </w:t>
      </w:r>
      <w:r w:rsidRPr="00A80780">
        <w:rPr>
          <w:rFonts w:cstheme="minorHAnsi"/>
          <w:snapToGrid w:val="0"/>
          <w:szCs w:val="24"/>
        </w:rPr>
        <w:t xml:space="preserve">mg per year” (paragraph 8.23, rozanolixizumab Public Summary Document, March 2025 PBAC Meeting). </w:t>
      </w:r>
    </w:p>
    <w:p w14:paraId="3B6F4DC8" w14:textId="77777777" w:rsidR="008A494F" w:rsidRDefault="008A494F" w:rsidP="00873AF3">
      <w:pPr>
        <w:pStyle w:val="COMexecsummnumbered"/>
        <w:spacing w:before="60" w:after="60"/>
        <w:rPr>
          <w:snapToGrid w:val="0"/>
        </w:rPr>
      </w:pPr>
      <w:r>
        <w:rPr>
          <w:snapToGrid w:val="0"/>
        </w:rPr>
        <w:t xml:space="preserve">These doses are summarised in </w:t>
      </w:r>
      <w:r>
        <w:rPr>
          <w:snapToGrid w:val="0"/>
        </w:rPr>
        <w:fldChar w:fldCharType="begin" w:fldLock="1"/>
      </w:r>
      <w:r>
        <w:rPr>
          <w:snapToGrid w:val="0"/>
        </w:rPr>
        <w:instrText xml:space="preserve"> REF _Ref214271980 \h </w:instrText>
      </w:r>
      <w:r>
        <w:rPr>
          <w:snapToGrid w:val="0"/>
        </w:rPr>
      </w:r>
      <w:r>
        <w:rPr>
          <w:snapToGrid w:val="0"/>
        </w:rPr>
        <w:fldChar w:fldCharType="separate"/>
      </w:r>
      <w:r>
        <w:t xml:space="preserve">Table </w:t>
      </w:r>
      <w:r>
        <w:rPr>
          <w:noProof/>
        </w:rPr>
        <w:t>21</w:t>
      </w:r>
      <w:r>
        <w:rPr>
          <w:snapToGrid w:val="0"/>
        </w:rPr>
        <w:fldChar w:fldCharType="end"/>
      </w:r>
      <w:r>
        <w:rPr>
          <w:snapToGrid w:val="0"/>
        </w:rPr>
        <w:t>.</w:t>
      </w:r>
    </w:p>
    <w:p w14:paraId="3807D1CA" w14:textId="77777777" w:rsidR="008A494F" w:rsidRPr="006F04EE" w:rsidRDefault="008A494F" w:rsidP="00873AF3">
      <w:pPr>
        <w:keepNext/>
        <w:spacing w:before="120" w:after="120"/>
        <w:outlineLvl w:val="1"/>
        <w:rPr>
          <w:rFonts w:asciiTheme="minorHAnsi" w:eastAsiaTheme="majorEastAsia" w:hAnsiTheme="minorHAnsi" w:cstheme="majorBidi"/>
          <w:b/>
          <w:i/>
          <w:spacing w:val="5"/>
          <w:kern w:val="28"/>
          <w:sz w:val="28"/>
          <w:szCs w:val="36"/>
        </w:rPr>
      </w:pPr>
      <w:r>
        <w:rPr>
          <w:rFonts w:asciiTheme="minorHAnsi" w:eastAsiaTheme="majorEastAsia" w:hAnsiTheme="minorHAnsi" w:cstheme="majorBidi"/>
          <w:b/>
          <w:i/>
          <w:spacing w:val="5"/>
          <w:kern w:val="28"/>
          <w:sz w:val="28"/>
          <w:szCs w:val="36"/>
        </w:rPr>
        <w:t xml:space="preserve">Average annual dose of </w:t>
      </w:r>
      <w:r w:rsidRPr="00BA09C7">
        <w:rPr>
          <w:rFonts w:asciiTheme="minorHAnsi" w:eastAsiaTheme="majorEastAsia" w:hAnsiTheme="minorHAnsi" w:cstheme="majorBidi"/>
          <w:b/>
          <w:i/>
          <w:spacing w:val="5"/>
          <w:kern w:val="28"/>
          <w:sz w:val="28"/>
          <w:szCs w:val="36"/>
        </w:rPr>
        <w:t xml:space="preserve">rozanolixizumab </w:t>
      </w:r>
    </w:p>
    <w:p w14:paraId="1F080DF3" w14:textId="77777777" w:rsidR="008A494F" w:rsidRPr="00ED00E9" w:rsidRDefault="008A494F" w:rsidP="00873AF3">
      <w:pPr>
        <w:pStyle w:val="COMexecsummnumbered"/>
        <w:spacing w:before="60" w:after="60"/>
        <w:rPr>
          <w:snapToGrid w:val="0"/>
        </w:rPr>
      </w:pPr>
      <w:r>
        <w:rPr>
          <w:snapToGrid w:val="0"/>
        </w:rPr>
        <w:t>T</w:t>
      </w:r>
      <w:r w:rsidRPr="00ED00E9">
        <w:rPr>
          <w:snapToGrid w:val="0"/>
        </w:rPr>
        <w:t xml:space="preserve">he </w:t>
      </w:r>
      <w:r>
        <w:rPr>
          <w:snapToGrid w:val="0"/>
        </w:rPr>
        <w:t>submission</w:t>
      </w:r>
      <w:r w:rsidRPr="00ED00E9">
        <w:rPr>
          <w:snapToGrid w:val="0"/>
        </w:rPr>
        <w:t xml:space="preserve"> </w:t>
      </w:r>
      <w:r>
        <w:rPr>
          <w:snapToGrid w:val="0"/>
        </w:rPr>
        <w:t>stat</w:t>
      </w:r>
      <w:r w:rsidRPr="00ED00E9">
        <w:rPr>
          <w:snapToGrid w:val="0"/>
        </w:rPr>
        <w:t>ed th</w:t>
      </w:r>
      <w:r>
        <w:rPr>
          <w:snapToGrid w:val="0"/>
        </w:rPr>
        <w:t>at th</w:t>
      </w:r>
      <w:r w:rsidRPr="00ED00E9">
        <w:rPr>
          <w:snapToGrid w:val="0"/>
        </w:rPr>
        <w:t xml:space="preserve">e </w:t>
      </w:r>
      <w:r>
        <w:rPr>
          <w:snapToGrid w:val="0"/>
        </w:rPr>
        <w:t xml:space="preserve">average </w:t>
      </w:r>
      <w:r w:rsidRPr="00ED00E9">
        <w:rPr>
          <w:snapToGrid w:val="0"/>
        </w:rPr>
        <w:t xml:space="preserve">annual </w:t>
      </w:r>
      <w:r>
        <w:rPr>
          <w:snapToGrid w:val="0"/>
        </w:rPr>
        <w:t>dose of rozanolixizumab estimated</w:t>
      </w:r>
      <w:r w:rsidRPr="00ED00E9">
        <w:rPr>
          <w:snapToGrid w:val="0"/>
        </w:rPr>
        <w:t xml:space="preserve"> by the PBAC</w:t>
      </w:r>
      <w:r>
        <w:rPr>
          <w:snapToGrid w:val="0"/>
        </w:rPr>
        <w:t xml:space="preserve"> in March 2025</w:t>
      </w:r>
      <w:r w:rsidRPr="00ED00E9">
        <w:rPr>
          <w:snapToGrid w:val="0"/>
        </w:rPr>
        <w:t xml:space="preserve"> was not representative of </w:t>
      </w:r>
      <w:r>
        <w:rPr>
          <w:snapToGrid w:val="0"/>
        </w:rPr>
        <w:t>likely clinical practice as</w:t>
      </w:r>
      <w:r w:rsidRPr="00ED00E9">
        <w:rPr>
          <w:snapToGrid w:val="0"/>
        </w:rPr>
        <w:t xml:space="preserve"> it was based on the full safety set of the MG0007 open label extension, which included </w:t>
      </w:r>
      <w:r>
        <w:rPr>
          <w:snapToGrid w:val="0"/>
        </w:rPr>
        <w:t xml:space="preserve">data from </w:t>
      </w:r>
      <w:r w:rsidRPr="00ED00E9">
        <w:rPr>
          <w:snapToGrid w:val="0"/>
        </w:rPr>
        <w:t xml:space="preserve">patients who </w:t>
      </w:r>
      <w:r>
        <w:rPr>
          <w:snapToGrid w:val="0"/>
        </w:rPr>
        <w:t xml:space="preserve">had </w:t>
      </w:r>
      <w:r w:rsidRPr="00ED00E9">
        <w:rPr>
          <w:snapToGrid w:val="0"/>
        </w:rPr>
        <w:t>received continuous weekly dosing or fixed cycles not aligned with symptom-driven treatment</w:t>
      </w:r>
      <w:r>
        <w:rPr>
          <w:snapToGrid w:val="0"/>
        </w:rPr>
        <w:t>. This was because</w:t>
      </w:r>
      <w:r w:rsidRPr="00ED00E9">
        <w:rPr>
          <w:snapToGrid w:val="0"/>
        </w:rPr>
        <w:t xml:space="preserve"> MG0007</w:t>
      </w:r>
      <w:r>
        <w:rPr>
          <w:snapToGrid w:val="0"/>
        </w:rPr>
        <w:t xml:space="preserve"> </w:t>
      </w:r>
      <w:r w:rsidRPr="00ED00E9">
        <w:rPr>
          <w:snapToGrid w:val="0"/>
        </w:rPr>
        <w:t xml:space="preserve">was a roll-over extension study which </w:t>
      </w:r>
      <w:r>
        <w:rPr>
          <w:snapToGrid w:val="0"/>
        </w:rPr>
        <w:t>enrolled</w:t>
      </w:r>
      <w:r w:rsidRPr="00ED00E9">
        <w:rPr>
          <w:snapToGrid w:val="0"/>
        </w:rPr>
        <w:t xml:space="preserve"> </w:t>
      </w:r>
      <w:r>
        <w:rPr>
          <w:snapToGrid w:val="0"/>
        </w:rPr>
        <w:t>patients</w:t>
      </w:r>
      <w:r w:rsidRPr="00ED00E9">
        <w:rPr>
          <w:snapToGrid w:val="0"/>
        </w:rPr>
        <w:t xml:space="preserve"> from MG0004 (who </w:t>
      </w:r>
      <w:r>
        <w:rPr>
          <w:snapToGrid w:val="0"/>
        </w:rPr>
        <w:t>received</w:t>
      </w:r>
      <w:r w:rsidRPr="00ED00E9">
        <w:rPr>
          <w:snapToGrid w:val="0"/>
        </w:rPr>
        <w:t xml:space="preserve"> continuous weekly dosing of rozanolixizumab) and patients directly from MG0003 </w:t>
      </w:r>
      <w:r>
        <w:rPr>
          <w:snapToGrid w:val="0"/>
        </w:rPr>
        <w:t>(</w:t>
      </w:r>
      <w:r w:rsidRPr="00ED00E9">
        <w:rPr>
          <w:snapToGrid w:val="0"/>
        </w:rPr>
        <w:t xml:space="preserve">who received a fixed cycle without symptom worsening). </w:t>
      </w:r>
    </w:p>
    <w:p w14:paraId="130BD568" w14:textId="77777777" w:rsidR="008A494F" w:rsidRDefault="008A494F" w:rsidP="00873AF3">
      <w:pPr>
        <w:pStyle w:val="COMexecsummnumbered"/>
        <w:spacing w:before="60" w:after="60"/>
        <w:rPr>
          <w:snapToGrid w:val="0"/>
        </w:rPr>
      </w:pPr>
      <w:r>
        <w:rPr>
          <w:snapToGrid w:val="0"/>
        </w:rPr>
        <w:t>The submission argued that the Product Information for rozanolixizumab states: “e</w:t>
      </w:r>
      <w:r w:rsidRPr="00117974">
        <w:rPr>
          <w:snapToGrid w:val="0"/>
        </w:rPr>
        <w:t>ach subsequent treatment cycle may be administered based on clinical evaluation of symptom recurrence</w:t>
      </w:r>
      <w:r>
        <w:rPr>
          <w:snapToGrid w:val="0"/>
        </w:rPr>
        <w:t>.”</w:t>
      </w:r>
      <w:r w:rsidRPr="00117974">
        <w:rPr>
          <w:snapToGrid w:val="0"/>
        </w:rPr>
        <w:t xml:space="preserve"> </w:t>
      </w:r>
    </w:p>
    <w:p w14:paraId="4806BE1D" w14:textId="77777777" w:rsidR="008A494F" w:rsidRPr="007B3CD8" w:rsidRDefault="008A494F" w:rsidP="00873AF3">
      <w:pPr>
        <w:pStyle w:val="COMexecsummnumbered"/>
        <w:spacing w:before="60" w:after="60"/>
        <w:rPr>
          <w:snapToGrid w:val="0"/>
        </w:rPr>
      </w:pPr>
      <w:r w:rsidRPr="00081035">
        <w:rPr>
          <w:snapToGrid w:val="0"/>
        </w:rPr>
        <w:t xml:space="preserve">The </w:t>
      </w:r>
      <w:r>
        <w:rPr>
          <w:snapToGrid w:val="0"/>
        </w:rPr>
        <w:t>submission</w:t>
      </w:r>
      <w:r w:rsidRPr="00081035">
        <w:rPr>
          <w:snapToGrid w:val="0"/>
        </w:rPr>
        <w:t xml:space="preserve"> propose</w:t>
      </w:r>
      <w:r>
        <w:rPr>
          <w:snapToGrid w:val="0"/>
        </w:rPr>
        <w:t>d</w:t>
      </w:r>
      <w:r w:rsidRPr="00081035">
        <w:rPr>
          <w:snapToGrid w:val="0"/>
        </w:rPr>
        <w:t xml:space="preserve"> that </w:t>
      </w:r>
      <w:r>
        <w:rPr>
          <w:snapToGrid w:val="0"/>
        </w:rPr>
        <w:t xml:space="preserve">the rozanolixizumab </w:t>
      </w:r>
      <w:r w:rsidRPr="00081035">
        <w:rPr>
          <w:snapToGrid w:val="0"/>
        </w:rPr>
        <w:t xml:space="preserve">dose estimates should be based on </w:t>
      </w:r>
      <w:r>
        <w:rPr>
          <w:snapToGrid w:val="0"/>
        </w:rPr>
        <w:t xml:space="preserve">the </w:t>
      </w:r>
      <w:r w:rsidRPr="00081035">
        <w:rPr>
          <w:snapToGrid w:val="0"/>
        </w:rPr>
        <w:t xml:space="preserve">“Safety Pool S2” </w:t>
      </w:r>
      <w:r>
        <w:rPr>
          <w:snapToGrid w:val="0"/>
        </w:rPr>
        <w:t xml:space="preserve">data </w:t>
      </w:r>
      <w:r w:rsidRPr="00081035">
        <w:rPr>
          <w:snapToGrid w:val="0"/>
        </w:rPr>
        <w:t>which only include</w:t>
      </w:r>
      <w:r>
        <w:rPr>
          <w:snapToGrid w:val="0"/>
        </w:rPr>
        <w:t>d</w:t>
      </w:r>
      <w:r w:rsidRPr="00081035">
        <w:rPr>
          <w:snapToGrid w:val="0"/>
        </w:rPr>
        <w:t xml:space="preserve"> patients treated according to symptom recurrence</w:t>
      </w:r>
      <w:r>
        <w:rPr>
          <w:snapToGrid w:val="0"/>
        </w:rPr>
        <w:t>. Safety P</w:t>
      </w:r>
      <w:r w:rsidRPr="007B3CD8">
        <w:rPr>
          <w:snapToGrid w:val="0"/>
        </w:rPr>
        <w:t>ool S2 exclude</w:t>
      </w:r>
      <w:r>
        <w:rPr>
          <w:snapToGrid w:val="0"/>
        </w:rPr>
        <w:t>d</w:t>
      </w:r>
      <w:r w:rsidRPr="007B3CD8">
        <w:rPr>
          <w:snapToGrid w:val="0"/>
        </w:rPr>
        <w:t>:</w:t>
      </w:r>
    </w:p>
    <w:p w14:paraId="45B83561" w14:textId="77777777" w:rsidR="008A494F" w:rsidRPr="007B3CD8" w:rsidRDefault="008A494F" w:rsidP="00873AF3">
      <w:pPr>
        <w:pStyle w:val="COMbodybulletlist"/>
        <w:tabs>
          <w:tab w:val="clear" w:pos="360"/>
        </w:tabs>
        <w:ind w:left="1560" w:hanging="426"/>
        <w:rPr>
          <w:snapToGrid w:val="0"/>
        </w:rPr>
      </w:pPr>
      <w:r>
        <w:rPr>
          <w:snapToGrid w:val="0"/>
        </w:rPr>
        <w:t>patients</w:t>
      </w:r>
      <w:r w:rsidRPr="007B3CD8">
        <w:rPr>
          <w:snapToGrid w:val="0"/>
        </w:rPr>
        <w:t xml:space="preserve"> from MG0004 who received continuous weekly dosing</w:t>
      </w:r>
    </w:p>
    <w:p w14:paraId="46E491B8" w14:textId="77777777" w:rsidR="008A494F" w:rsidRPr="007B3CD8" w:rsidRDefault="008A494F" w:rsidP="00873AF3">
      <w:pPr>
        <w:pStyle w:val="COMbodybulletlist"/>
        <w:tabs>
          <w:tab w:val="clear" w:pos="360"/>
        </w:tabs>
        <w:ind w:left="1560" w:hanging="426"/>
        <w:rPr>
          <w:snapToGrid w:val="0"/>
        </w:rPr>
      </w:pPr>
      <w:r>
        <w:rPr>
          <w:snapToGrid w:val="0"/>
        </w:rPr>
        <w:t>p</w:t>
      </w:r>
      <w:r w:rsidRPr="007B3CD8">
        <w:rPr>
          <w:snapToGrid w:val="0"/>
        </w:rPr>
        <w:t>atients from MG0003 who received a fixed cycle without symptom worsening.</w:t>
      </w:r>
    </w:p>
    <w:p w14:paraId="49B7249F" w14:textId="77777777" w:rsidR="008A494F" w:rsidRPr="00B86CE2" w:rsidRDefault="008A494F" w:rsidP="00873AF3">
      <w:pPr>
        <w:pStyle w:val="COMexecsummnumbered"/>
        <w:spacing w:before="60" w:after="60"/>
        <w:rPr>
          <w:snapToGrid w:val="0"/>
        </w:rPr>
      </w:pPr>
      <w:r w:rsidRPr="00B86CE2">
        <w:rPr>
          <w:snapToGrid w:val="0"/>
        </w:rPr>
        <w:t xml:space="preserve">The </w:t>
      </w:r>
      <w:r>
        <w:rPr>
          <w:snapToGrid w:val="0"/>
        </w:rPr>
        <w:t>submission</w:t>
      </w:r>
      <w:r w:rsidRPr="00B86CE2">
        <w:rPr>
          <w:snapToGrid w:val="0"/>
        </w:rPr>
        <w:t xml:space="preserve"> </w:t>
      </w:r>
      <w:r>
        <w:rPr>
          <w:snapToGrid w:val="0"/>
        </w:rPr>
        <w:t>further</w:t>
      </w:r>
      <w:r w:rsidRPr="00B86CE2">
        <w:rPr>
          <w:snapToGrid w:val="0"/>
        </w:rPr>
        <w:t xml:space="preserve"> </w:t>
      </w:r>
      <w:r>
        <w:rPr>
          <w:snapToGrid w:val="0"/>
        </w:rPr>
        <w:t xml:space="preserve">argued </w:t>
      </w:r>
      <w:r w:rsidRPr="00B86CE2">
        <w:rPr>
          <w:snapToGrid w:val="0"/>
        </w:rPr>
        <w:t>that use</w:t>
      </w:r>
      <w:r>
        <w:rPr>
          <w:snapToGrid w:val="0"/>
        </w:rPr>
        <w:t xml:space="preserve"> </w:t>
      </w:r>
      <w:r w:rsidRPr="00B86CE2">
        <w:rPr>
          <w:snapToGrid w:val="0"/>
        </w:rPr>
        <w:t xml:space="preserve">in </w:t>
      </w:r>
      <w:r>
        <w:rPr>
          <w:snapToGrid w:val="0"/>
        </w:rPr>
        <w:t xml:space="preserve">the </w:t>
      </w:r>
      <w:r w:rsidRPr="00B86CE2">
        <w:rPr>
          <w:snapToGrid w:val="0"/>
        </w:rPr>
        <w:t xml:space="preserve">acute and bridging settings </w:t>
      </w:r>
      <w:r>
        <w:rPr>
          <w:snapToGrid w:val="0"/>
        </w:rPr>
        <w:t>may also</w:t>
      </w:r>
      <w:r w:rsidRPr="00B86CE2">
        <w:rPr>
          <w:snapToGrid w:val="0"/>
        </w:rPr>
        <w:t xml:space="preserve"> result in </w:t>
      </w:r>
      <w:r>
        <w:rPr>
          <w:snapToGrid w:val="0"/>
        </w:rPr>
        <w:t xml:space="preserve">a </w:t>
      </w:r>
      <w:r w:rsidRPr="00B86CE2">
        <w:rPr>
          <w:snapToGrid w:val="0"/>
        </w:rPr>
        <w:t xml:space="preserve">lower annual </w:t>
      </w:r>
      <w:r>
        <w:rPr>
          <w:snapToGrid w:val="0"/>
        </w:rPr>
        <w:t>rozanolixizumab dose per year than the March 2025 PBAC recommendation,</w:t>
      </w:r>
      <w:r w:rsidRPr="007800F9">
        <w:t xml:space="preserve"> </w:t>
      </w:r>
      <w:r w:rsidRPr="007800F9">
        <w:rPr>
          <w:snapToGrid w:val="0"/>
        </w:rPr>
        <w:t xml:space="preserve">given the maximum time on treatment </w:t>
      </w:r>
      <w:r>
        <w:rPr>
          <w:snapToGrid w:val="0"/>
        </w:rPr>
        <w:t xml:space="preserve">specified in the PBS restrictions in these settings is 3 </w:t>
      </w:r>
      <w:r w:rsidRPr="007800F9">
        <w:rPr>
          <w:snapToGrid w:val="0"/>
        </w:rPr>
        <w:t>months (acute) and 6 months (bridging)</w:t>
      </w:r>
      <w:r w:rsidRPr="00B86CE2">
        <w:rPr>
          <w:snapToGrid w:val="0"/>
        </w:rPr>
        <w:t>.</w:t>
      </w:r>
    </w:p>
    <w:p w14:paraId="1204CD5E" w14:textId="77777777" w:rsidR="008A494F" w:rsidRPr="00081035" w:rsidRDefault="008A494F" w:rsidP="00873AF3">
      <w:pPr>
        <w:pStyle w:val="COMexecsummnumbered"/>
        <w:spacing w:before="60" w:after="60"/>
        <w:rPr>
          <w:snapToGrid w:val="0"/>
        </w:rPr>
      </w:pPr>
      <w:r>
        <w:rPr>
          <w:snapToGrid w:val="0"/>
        </w:rPr>
        <w:fldChar w:fldCharType="begin" w:fldLock="1"/>
      </w:r>
      <w:r>
        <w:rPr>
          <w:snapToGrid w:val="0"/>
        </w:rPr>
        <w:instrText xml:space="preserve"> REF _Ref214271980 \h </w:instrText>
      </w:r>
      <w:r>
        <w:rPr>
          <w:snapToGrid w:val="0"/>
        </w:rPr>
      </w:r>
      <w:r>
        <w:rPr>
          <w:snapToGrid w:val="0"/>
        </w:rPr>
        <w:fldChar w:fldCharType="separate"/>
      </w:r>
      <w:r>
        <w:t xml:space="preserve">Table </w:t>
      </w:r>
      <w:r>
        <w:rPr>
          <w:noProof/>
        </w:rPr>
        <w:t>21</w:t>
      </w:r>
      <w:r>
        <w:rPr>
          <w:snapToGrid w:val="0"/>
        </w:rPr>
        <w:fldChar w:fldCharType="end"/>
      </w:r>
      <w:r>
        <w:rPr>
          <w:snapToGrid w:val="0"/>
        </w:rPr>
        <w:t xml:space="preserve"> summarises the average </w:t>
      </w:r>
      <w:r w:rsidRPr="00ED00E9">
        <w:rPr>
          <w:snapToGrid w:val="0"/>
        </w:rPr>
        <w:t xml:space="preserve">annual </w:t>
      </w:r>
      <w:r>
        <w:rPr>
          <w:snapToGrid w:val="0"/>
        </w:rPr>
        <w:t>dose of rozanolixizumab estimated</w:t>
      </w:r>
      <w:r w:rsidRPr="00ED00E9">
        <w:rPr>
          <w:snapToGrid w:val="0"/>
        </w:rPr>
        <w:t xml:space="preserve"> by the PBAC</w:t>
      </w:r>
      <w:r>
        <w:rPr>
          <w:snapToGrid w:val="0"/>
        </w:rPr>
        <w:t xml:space="preserve"> in March 2025 compared with the submission considered in November 2025. </w:t>
      </w:r>
    </w:p>
    <w:p w14:paraId="5D474E50" w14:textId="77777777" w:rsidR="008A494F" w:rsidRPr="00820CB6" w:rsidRDefault="008A494F" w:rsidP="00873AF3">
      <w:pPr>
        <w:pStyle w:val="Caption"/>
        <w:keepNext/>
        <w:keepLines/>
        <w:rPr>
          <w:rFonts w:cs="Calibri"/>
          <w:szCs w:val="20"/>
        </w:rPr>
      </w:pPr>
      <w:bookmarkStart w:id="104" w:name="_Ref214271980"/>
      <w:r>
        <w:t xml:space="preserve">Table </w:t>
      </w:r>
      <w:r>
        <w:fldChar w:fldCharType="begin" w:fldLock="1"/>
      </w:r>
      <w:r>
        <w:instrText xml:space="preserve"> SEQ Table \* ARABIC </w:instrText>
      </w:r>
      <w:r>
        <w:fldChar w:fldCharType="separate"/>
      </w:r>
      <w:r>
        <w:rPr>
          <w:noProof/>
        </w:rPr>
        <w:t>21</w:t>
      </w:r>
      <w:r>
        <w:fldChar w:fldCharType="end"/>
      </w:r>
      <w:bookmarkEnd w:id="104"/>
      <w:r>
        <w:t xml:space="preserve">: </w:t>
      </w:r>
      <w:r w:rsidRPr="00820CB6">
        <w:rPr>
          <w:rFonts w:cs="Calibri"/>
          <w:szCs w:val="20"/>
        </w:rPr>
        <w:t xml:space="preserve">Calculation of the number of </w:t>
      </w:r>
      <w:r>
        <w:rPr>
          <w:rFonts w:cs="Calibri"/>
          <w:szCs w:val="20"/>
        </w:rPr>
        <w:t xml:space="preserve">the average </w:t>
      </w:r>
      <w:r w:rsidRPr="00820CB6">
        <w:rPr>
          <w:rFonts w:cs="Calibri"/>
          <w:szCs w:val="20"/>
        </w:rPr>
        <w:t xml:space="preserve">annual dose of rozanolixizumab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21: Calculation of the number of the average annual dose of rozanolixizumab "/>
      </w:tblPr>
      <w:tblGrid>
        <w:gridCol w:w="279"/>
        <w:gridCol w:w="1526"/>
        <w:gridCol w:w="1108"/>
        <w:gridCol w:w="2039"/>
        <w:gridCol w:w="1134"/>
        <w:gridCol w:w="2921"/>
      </w:tblGrid>
      <w:tr w:rsidR="008A494F" w:rsidRPr="00820CB6" w14:paraId="1452E88A" w14:textId="77777777" w:rsidTr="002272D6">
        <w:trPr>
          <w:cantSplit/>
          <w:trHeight w:val="62"/>
        </w:trPr>
        <w:tc>
          <w:tcPr>
            <w:tcW w:w="279" w:type="dxa"/>
            <w:shd w:val="clear" w:color="auto" w:fill="FFFFFF" w:themeFill="background1"/>
            <w:tcMar>
              <w:top w:w="80" w:type="dxa"/>
              <w:left w:w="80" w:type="dxa"/>
              <w:bottom w:w="80" w:type="dxa"/>
              <w:right w:w="80" w:type="dxa"/>
            </w:tcMar>
            <w:hideMark/>
          </w:tcPr>
          <w:p w14:paraId="139431A0" w14:textId="77777777" w:rsidR="008A494F" w:rsidRPr="00820CB6" w:rsidRDefault="008A494F" w:rsidP="00873AF3">
            <w:pPr>
              <w:keepNext/>
              <w:keepLines/>
              <w:jc w:val="left"/>
              <w:rPr>
                <w:rFonts w:ascii="Arial Narrow" w:hAnsi="Arial Narrow" w:cs="Times New Roman"/>
                <w:sz w:val="20"/>
                <w:szCs w:val="20"/>
              </w:rPr>
            </w:pPr>
            <w:r w:rsidRPr="00820CB6">
              <w:rPr>
                <w:rFonts w:ascii="Arial Narrow" w:hAnsi="Arial Narrow" w:cs="Times New Roman"/>
                <w:b/>
                <w:bCs/>
                <w:sz w:val="20"/>
                <w:szCs w:val="20"/>
              </w:rPr>
              <w:t> </w:t>
            </w:r>
          </w:p>
        </w:tc>
        <w:tc>
          <w:tcPr>
            <w:tcW w:w="1526" w:type="dxa"/>
            <w:shd w:val="clear" w:color="auto" w:fill="FFFFFF" w:themeFill="background1"/>
            <w:tcMar>
              <w:top w:w="80" w:type="dxa"/>
              <w:left w:w="80" w:type="dxa"/>
              <w:bottom w:w="80" w:type="dxa"/>
              <w:right w:w="80" w:type="dxa"/>
            </w:tcMar>
            <w:hideMark/>
          </w:tcPr>
          <w:p w14:paraId="37408371" w14:textId="77777777" w:rsidR="008A494F" w:rsidRPr="00820CB6" w:rsidRDefault="008A494F" w:rsidP="00873AF3">
            <w:pPr>
              <w:keepNext/>
              <w:keepLines/>
              <w:jc w:val="left"/>
              <w:rPr>
                <w:rFonts w:ascii="Arial Narrow" w:hAnsi="Arial Narrow" w:cs="Times New Roman"/>
                <w:sz w:val="20"/>
                <w:szCs w:val="20"/>
              </w:rPr>
            </w:pPr>
            <w:r w:rsidRPr="00820CB6">
              <w:rPr>
                <w:rFonts w:ascii="Arial Narrow" w:hAnsi="Arial Narrow" w:cs="Times New Roman"/>
                <w:b/>
                <w:bCs/>
                <w:sz w:val="20"/>
                <w:szCs w:val="20"/>
              </w:rPr>
              <w:t> </w:t>
            </w:r>
          </w:p>
        </w:tc>
        <w:tc>
          <w:tcPr>
            <w:tcW w:w="3147" w:type="dxa"/>
            <w:gridSpan w:val="2"/>
            <w:shd w:val="clear" w:color="auto" w:fill="C6D9F1" w:themeFill="text2" w:themeFillTint="33"/>
            <w:tcMar>
              <w:top w:w="80" w:type="dxa"/>
              <w:left w:w="80" w:type="dxa"/>
              <w:bottom w:w="80" w:type="dxa"/>
              <w:right w:w="80" w:type="dxa"/>
            </w:tcMar>
            <w:hideMark/>
          </w:tcPr>
          <w:p w14:paraId="40FF685B" w14:textId="77777777" w:rsidR="008A494F" w:rsidRPr="00820CB6" w:rsidRDefault="008A494F" w:rsidP="00873AF3">
            <w:pPr>
              <w:keepNext/>
              <w:keepLines/>
              <w:jc w:val="center"/>
              <w:rPr>
                <w:rFonts w:ascii="Arial Narrow" w:hAnsi="Arial Narrow" w:cs="Calibri"/>
                <w:sz w:val="20"/>
                <w:szCs w:val="20"/>
              </w:rPr>
            </w:pPr>
            <w:r w:rsidRPr="00820CB6">
              <w:rPr>
                <w:rFonts w:ascii="Arial Narrow" w:hAnsi="Arial Narrow" w:cs="Times New Roman"/>
                <w:b/>
                <w:bCs/>
                <w:color w:val="000000"/>
                <w:sz w:val="20"/>
                <w:szCs w:val="20"/>
              </w:rPr>
              <w:t xml:space="preserve">PBAC March 2025 </w:t>
            </w:r>
            <w:r>
              <w:rPr>
                <w:rFonts w:ascii="Arial Narrow" w:hAnsi="Arial Narrow" w:cs="Times New Roman"/>
                <w:b/>
                <w:bCs/>
                <w:color w:val="000000"/>
                <w:sz w:val="20"/>
                <w:szCs w:val="20"/>
              </w:rPr>
              <w:t>PSD</w:t>
            </w:r>
            <w:r w:rsidRPr="00820CB6">
              <w:rPr>
                <w:rFonts w:ascii="Arial Narrow" w:hAnsi="Arial Narrow" w:cs="Calibri"/>
                <w:sz w:val="20"/>
                <w:szCs w:val="20"/>
              </w:rPr>
              <w:t> </w:t>
            </w:r>
          </w:p>
        </w:tc>
        <w:tc>
          <w:tcPr>
            <w:tcW w:w="4055" w:type="dxa"/>
            <w:gridSpan w:val="2"/>
            <w:shd w:val="clear" w:color="auto" w:fill="FFFFFF" w:themeFill="background1"/>
            <w:tcMar>
              <w:top w:w="80" w:type="dxa"/>
              <w:left w:w="80" w:type="dxa"/>
              <w:bottom w:w="80" w:type="dxa"/>
              <w:right w:w="80" w:type="dxa"/>
            </w:tcMar>
            <w:hideMark/>
          </w:tcPr>
          <w:p w14:paraId="215350E3" w14:textId="77777777" w:rsidR="008A494F" w:rsidRPr="00820CB6" w:rsidRDefault="008A494F" w:rsidP="00873AF3">
            <w:pPr>
              <w:keepNext/>
              <w:keepLines/>
              <w:jc w:val="center"/>
              <w:rPr>
                <w:rFonts w:ascii="Arial Narrow" w:hAnsi="Arial Narrow" w:cs="Calibri"/>
                <w:sz w:val="20"/>
                <w:szCs w:val="20"/>
              </w:rPr>
            </w:pPr>
            <w:r>
              <w:rPr>
                <w:rFonts w:ascii="Arial Narrow" w:hAnsi="Arial Narrow" w:cs="Times New Roman"/>
                <w:b/>
                <w:bCs/>
                <w:color w:val="000000"/>
                <w:sz w:val="20"/>
                <w:szCs w:val="20"/>
              </w:rPr>
              <w:t>Submission considered in November 2025</w:t>
            </w:r>
          </w:p>
        </w:tc>
      </w:tr>
      <w:tr w:rsidR="008A494F" w:rsidRPr="00820CB6" w14:paraId="2D90C8BA" w14:textId="77777777" w:rsidTr="002272D6">
        <w:trPr>
          <w:cantSplit/>
        </w:trPr>
        <w:tc>
          <w:tcPr>
            <w:tcW w:w="279" w:type="dxa"/>
            <w:shd w:val="clear" w:color="auto" w:fill="FFFFFF" w:themeFill="background1"/>
            <w:tcMar>
              <w:top w:w="80" w:type="dxa"/>
              <w:left w:w="80" w:type="dxa"/>
              <w:bottom w:w="80" w:type="dxa"/>
              <w:right w:w="80" w:type="dxa"/>
            </w:tcMar>
            <w:hideMark/>
          </w:tcPr>
          <w:p w14:paraId="4BAFA1F7" w14:textId="77777777" w:rsidR="008A494F" w:rsidRPr="00820CB6" w:rsidRDefault="008A494F" w:rsidP="00873AF3">
            <w:pPr>
              <w:keepNext/>
              <w:keepLines/>
              <w:jc w:val="left"/>
              <w:rPr>
                <w:rFonts w:ascii="Arial Narrow" w:hAnsi="Arial Narrow" w:cs="Times New Roman"/>
                <w:sz w:val="20"/>
                <w:szCs w:val="20"/>
              </w:rPr>
            </w:pPr>
            <w:r w:rsidRPr="00820CB6">
              <w:rPr>
                <w:rFonts w:ascii="Arial Narrow" w:hAnsi="Arial Narrow" w:cs="Times New Roman"/>
                <w:b/>
                <w:bCs/>
                <w:sz w:val="20"/>
                <w:szCs w:val="20"/>
              </w:rPr>
              <w:t> </w:t>
            </w:r>
          </w:p>
        </w:tc>
        <w:tc>
          <w:tcPr>
            <w:tcW w:w="1526" w:type="dxa"/>
            <w:shd w:val="clear" w:color="auto" w:fill="FFFFFF" w:themeFill="background1"/>
            <w:tcMar>
              <w:top w:w="80" w:type="dxa"/>
              <w:left w:w="80" w:type="dxa"/>
              <w:bottom w:w="80" w:type="dxa"/>
              <w:right w:w="80" w:type="dxa"/>
            </w:tcMar>
            <w:hideMark/>
          </w:tcPr>
          <w:p w14:paraId="2BE56489" w14:textId="77777777" w:rsidR="008A494F" w:rsidRPr="00820CB6" w:rsidRDefault="008A494F" w:rsidP="00873AF3">
            <w:pPr>
              <w:keepNext/>
              <w:keepLines/>
              <w:jc w:val="left"/>
              <w:rPr>
                <w:rFonts w:ascii="Arial Narrow" w:hAnsi="Arial Narrow" w:cs="Times New Roman"/>
                <w:color w:val="000000"/>
                <w:sz w:val="20"/>
                <w:szCs w:val="20"/>
              </w:rPr>
            </w:pPr>
            <w:r w:rsidRPr="00820CB6">
              <w:rPr>
                <w:rFonts w:ascii="Arial Narrow" w:hAnsi="Arial Narrow" w:cs="Times New Roman"/>
                <w:b/>
                <w:bCs/>
                <w:color w:val="000000"/>
                <w:sz w:val="20"/>
                <w:szCs w:val="20"/>
              </w:rPr>
              <w:t>Per patient</w:t>
            </w:r>
          </w:p>
        </w:tc>
        <w:tc>
          <w:tcPr>
            <w:tcW w:w="1108" w:type="dxa"/>
            <w:shd w:val="clear" w:color="auto" w:fill="C6D9F1" w:themeFill="text2" w:themeFillTint="33"/>
            <w:tcMar>
              <w:top w:w="80" w:type="dxa"/>
              <w:left w:w="80" w:type="dxa"/>
              <w:bottom w:w="80" w:type="dxa"/>
              <w:right w:w="80" w:type="dxa"/>
            </w:tcMar>
            <w:hideMark/>
          </w:tcPr>
          <w:p w14:paraId="1A4EB383" w14:textId="77777777" w:rsidR="008A494F" w:rsidRPr="00820CB6" w:rsidRDefault="008A494F" w:rsidP="00873AF3">
            <w:pPr>
              <w:keepNext/>
              <w:keepLines/>
              <w:jc w:val="center"/>
              <w:rPr>
                <w:rFonts w:ascii="Arial Narrow" w:hAnsi="Arial Narrow" w:cs="Times New Roman"/>
                <w:color w:val="000000"/>
                <w:sz w:val="20"/>
                <w:szCs w:val="20"/>
              </w:rPr>
            </w:pPr>
            <w:r w:rsidRPr="00820CB6">
              <w:rPr>
                <w:rFonts w:ascii="Arial Narrow" w:hAnsi="Arial Narrow" w:cs="Times New Roman"/>
                <w:b/>
                <w:bCs/>
                <w:color w:val="000000"/>
                <w:sz w:val="20"/>
                <w:szCs w:val="20"/>
              </w:rPr>
              <w:t>Assumption</w:t>
            </w:r>
          </w:p>
        </w:tc>
        <w:tc>
          <w:tcPr>
            <w:tcW w:w="2039" w:type="dxa"/>
            <w:shd w:val="clear" w:color="auto" w:fill="C6D9F1" w:themeFill="text2" w:themeFillTint="33"/>
            <w:tcMar>
              <w:top w:w="80" w:type="dxa"/>
              <w:left w:w="80" w:type="dxa"/>
              <w:bottom w:w="80" w:type="dxa"/>
              <w:right w:w="80" w:type="dxa"/>
            </w:tcMar>
            <w:hideMark/>
          </w:tcPr>
          <w:p w14:paraId="584976F7" w14:textId="77777777" w:rsidR="008A494F" w:rsidRPr="00820CB6" w:rsidRDefault="008A494F" w:rsidP="00873AF3">
            <w:pPr>
              <w:keepNext/>
              <w:keepLines/>
              <w:jc w:val="center"/>
              <w:rPr>
                <w:rFonts w:ascii="Arial Narrow" w:hAnsi="Arial Narrow" w:cs="Times New Roman"/>
                <w:color w:val="000000"/>
                <w:sz w:val="20"/>
                <w:szCs w:val="20"/>
              </w:rPr>
            </w:pPr>
            <w:r w:rsidRPr="00820CB6">
              <w:rPr>
                <w:rFonts w:ascii="Arial Narrow" w:hAnsi="Arial Narrow" w:cs="Times New Roman"/>
                <w:b/>
                <w:bCs/>
                <w:color w:val="000000"/>
                <w:sz w:val="20"/>
                <w:szCs w:val="20"/>
              </w:rPr>
              <w:t>Source/Rationale</w:t>
            </w:r>
          </w:p>
        </w:tc>
        <w:tc>
          <w:tcPr>
            <w:tcW w:w="1134" w:type="dxa"/>
            <w:shd w:val="clear" w:color="auto" w:fill="FFFFFF" w:themeFill="background1"/>
            <w:tcMar>
              <w:top w:w="80" w:type="dxa"/>
              <w:left w:w="80" w:type="dxa"/>
              <w:bottom w:w="80" w:type="dxa"/>
              <w:right w:w="80" w:type="dxa"/>
            </w:tcMar>
            <w:hideMark/>
          </w:tcPr>
          <w:p w14:paraId="1565BB6C" w14:textId="77777777" w:rsidR="008A494F" w:rsidRPr="00820CB6" w:rsidRDefault="008A494F" w:rsidP="00873AF3">
            <w:pPr>
              <w:keepNext/>
              <w:keepLines/>
              <w:jc w:val="center"/>
              <w:rPr>
                <w:rFonts w:ascii="Arial Narrow" w:hAnsi="Arial Narrow" w:cs="Times New Roman"/>
                <w:color w:val="000000"/>
                <w:sz w:val="20"/>
                <w:szCs w:val="20"/>
              </w:rPr>
            </w:pPr>
            <w:r w:rsidRPr="00820CB6">
              <w:rPr>
                <w:rFonts w:ascii="Arial Narrow" w:hAnsi="Arial Narrow" w:cs="Times New Roman"/>
                <w:b/>
                <w:bCs/>
                <w:color w:val="000000"/>
                <w:sz w:val="20"/>
                <w:szCs w:val="20"/>
              </w:rPr>
              <w:t>Assumption</w:t>
            </w:r>
          </w:p>
        </w:tc>
        <w:tc>
          <w:tcPr>
            <w:tcW w:w="2921" w:type="dxa"/>
            <w:shd w:val="clear" w:color="auto" w:fill="FFFFFF" w:themeFill="background1"/>
            <w:tcMar>
              <w:top w:w="80" w:type="dxa"/>
              <w:left w:w="80" w:type="dxa"/>
              <w:bottom w:w="80" w:type="dxa"/>
              <w:right w:w="80" w:type="dxa"/>
            </w:tcMar>
            <w:hideMark/>
          </w:tcPr>
          <w:p w14:paraId="7AD3E1F7" w14:textId="77777777" w:rsidR="008A494F" w:rsidRPr="00820CB6" w:rsidRDefault="008A494F" w:rsidP="00873AF3">
            <w:pPr>
              <w:keepNext/>
              <w:keepLines/>
              <w:jc w:val="center"/>
              <w:rPr>
                <w:rFonts w:ascii="Arial Narrow" w:hAnsi="Arial Narrow" w:cs="Times New Roman"/>
                <w:color w:val="000000"/>
                <w:sz w:val="20"/>
                <w:szCs w:val="20"/>
              </w:rPr>
            </w:pPr>
            <w:r w:rsidRPr="00820CB6">
              <w:rPr>
                <w:rFonts w:ascii="Arial Narrow" w:hAnsi="Arial Narrow" w:cs="Times New Roman"/>
                <w:b/>
                <w:bCs/>
                <w:color w:val="000000"/>
                <w:sz w:val="20"/>
                <w:szCs w:val="20"/>
              </w:rPr>
              <w:t>Source/Rationale</w:t>
            </w:r>
          </w:p>
        </w:tc>
      </w:tr>
      <w:tr w:rsidR="008A494F" w:rsidRPr="00820CB6" w14:paraId="7A4CC22A" w14:textId="77777777" w:rsidTr="002272D6">
        <w:trPr>
          <w:cantSplit/>
        </w:trPr>
        <w:tc>
          <w:tcPr>
            <w:tcW w:w="279" w:type="dxa"/>
            <w:shd w:val="clear" w:color="auto" w:fill="FFFFFF" w:themeFill="background1"/>
            <w:tcMar>
              <w:top w:w="80" w:type="dxa"/>
              <w:left w:w="80" w:type="dxa"/>
              <w:bottom w:w="80" w:type="dxa"/>
              <w:right w:w="80" w:type="dxa"/>
            </w:tcMar>
            <w:hideMark/>
          </w:tcPr>
          <w:p w14:paraId="2671551F" w14:textId="77777777" w:rsidR="008A494F" w:rsidRPr="00820CB6" w:rsidRDefault="008A494F" w:rsidP="00873AF3">
            <w:pPr>
              <w:keepNext/>
              <w:keepLines/>
              <w:jc w:val="left"/>
              <w:rPr>
                <w:rFonts w:ascii="Arial Narrow" w:hAnsi="Arial Narrow" w:cs="Times New Roman"/>
                <w:sz w:val="20"/>
                <w:szCs w:val="20"/>
              </w:rPr>
            </w:pPr>
            <w:r w:rsidRPr="00820CB6">
              <w:rPr>
                <w:rFonts w:ascii="Arial Narrow" w:hAnsi="Arial Narrow" w:cs="Times New Roman"/>
                <w:sz w:val="20"/>
                <w:szCs w:val="20"/>
              </w:rPr>
              <w:t>A</w:t>
            </w:r>
          </w:p>
        </w:tc>
        <w:tc>
          <w:tcPr>
            <w:tcW w:w="1526" w:type="dxa"/>
            <w:shd w:val="clear" w:color="auto" w:fill="FFFFFF" w:themeFill="background1"/>
            <w:tcMar>
              <w:top w:w="80" w:type="dxa"/>
              <w:left w:w="80" w:type="dxa"/>
              <w:bottom w:w="80" w:type="dxa"/>
              <w:right w:w="80" w:type="dxa"/>
            </w:tcMar>
            <w:hideMark/>
          </w:tcPr>
          <w:p w14:paraId="64DB6006" w14:textId="77777777" w:rsidR="008A494F" w:rsidRPr="00820CB6" w:rsidRDefault="008A494F" w:rsidP="00873AF3">
            <w:pPr>
              <w:keepNext/>
              <w:keepLines/>
              <w:jc w:val="left"/>
              <w:rPr>
                <w:rFonts w:ascii="Arial Narrow" w:hAnsi="Arial Narrow" w:cs="Times New Roman"/>
                <w:sz w:val="20"/>
                <w:szCs w:val="20"/>
              </w:rPr>
            </w:pPr>
            <w:r w:rsidRPr="00820CB6">
              <w:rPr>
                <w:rFonts w:ascii="Arial Narrow" w:hAnsi="Arial Narrow" w:cs="Times New Roman"/>
                <w:sz w:val="20"/>
                <w:szCs w:val="20"/>
              </w:rPr>
              <w:t>Average vials per infusion</w:t>
            </w:r>
          </w:p>
        </w:tc>
        <w:tc>
          <w:tcPr>
            <w:tcW w:w="1108" w:type="dxa"/>
            <w:shd w:val="clear" w:color="auto" w:fill="C6D9F1" w:themeFill="text2" w:themeFillTint="33"/>
            <w:tcMar>
              <w:top w:w="80" w:type="dxa"/>
              <w:left w:w="80" w:type="dxa"/>
              <w:bottom w:w="80" w:type="dxa"/>
              <w:right w:w="80" w:type="dxa"/>
            </w:tcMar>
            <w:hideMark/>
          </w:tcPr>
          <w:p w14:paraId="4EFFB73F" w14:textId="77777777" w:rsidR="008A494F" w:rsidRPr="00820CB6" w:rsidRDefault="008A494F" w:rsidP="00873AF3">
            <w:pPr>
              <w:keepNext/>
              <w:keepLines/>
              <w:jc w:val="center"/>
              <w:rPr>
                <w:rFonts w:ascii="Arial Narrow" w:hAnsi="Arial Narrow" w:cs="Times New Roman"/>
                <w:color w:val="000000"/>
                <w:sz w:val="20"/>
                <w:szCs w:val="20"/>
              </w:rPr>
            </w:pPr>
            <w:r w:rsidRPr="00820CB6">
              <w:rPr>
                <w:rFonts w:ascii="Arial Narrow" w:hAnsi="Arial Narrow" w:cs="Times New Roman"/>
                <w:color w:val="000000"/>
                <w:sz w:val="20"/>
                <w:szCs w:val="20"/>
              </w:rPr>
              <w:t>2.11</w:t>
            </w:r>
          </w:p>
        </w:tc>
        <w:tc>
          <w:tcPr>
            <w:tcW w:w="2039" w:type="dxa"/>
            <w:shd w:val="clear" w:color="auto" w:fill="C6D9F1" w:themeFill="text2" w:themeFillTint="33"/>
            <w:tcMar>
              <w:top w:w="80" w:type="dxa"/>
              <w:left w:w="80" w:type="dxa"/>
              <w:bottom w:w="80" w:type="dxa"/>
              <w:right w:w="80" w:type="dxa"/>
            </w:tcMar>
            <w:hideMark/>
          </w:tcPr>
          <w:p w14:paraId="4325C966" w14:textId="77777777" w:rsidR="008A494F" w:rsidRPr="00820CB6" w:rsidRDefault="008A494F" w:rsidP="00873AF3">
            <w:pPr>
              <w:keepNext/>
              <w:keepLines/>
              <w:jc w:val="left"/>
              <w:rPr>
                <w:rFonts w:ascii="Arial Narrow" w:hAnsi="Arial Narrow" w:cs="Times New Roman"/>
                <w:color w:val="000000"/>
                <w:sz w:val="20"/>
                <w:szCs w:val="20"/>
              </w:rPr>
            </w:pPr>
            <w:r w:rsidRPr="00820CB6">
              <w:rPr>
                <w:rFonts w:ascii="Arial Narrow" w:hAnsi="Arial Narrow" w:cs="Times New Roman"/>
                <w:color w:val="000000"/>
                <w:sz w:val="20"/>
                <w:szCs w:val="20"/>
              </w:rPr>
              <w:t>Distribution of patients across weight categories in MG0003</w:t>
            </w:r>
          </w:p>
        </w:tc>
        <w:tc>
          <w:tcPr>
            <w:tcW w:w="1134" w:type="dxa"/>
            <w:shd w:val="clear" w:color="auto" w:fill="FFFFFF" w:themeFill="background1"/>
            <w:tcMar>
              <w:top w:w="80" w:type="dxa"/>
              <w:left w:w="80" w:type="dxa"/>
              <w:bottom w:w="80" w:type="dxa"/>
              <w:right w:w="80" w:type="dxa"/>
            </w:tcMar>
            <w:hideMark/>
          </w:tcPr>
          <w:p w14:paraId="1BAC1BE8" w14:textId="77777777" w:rsidR="008A494F" w:rsidRPr="00820CB6" w:rsidRDefault="008A494F" w:rsidP="00873AF3">
            <w:pPr>
              <w:keepNext/>
              <w:keepLines/>
              <w:jc w:val="center"/>
              <w:rPr>
                <w:rFonts w:ascii="Arial Narrow" w:hAnsi="Arial Narrow" w:cs="Times New Roman"/>
                <w:color w:val="000000"/>
                <w:sz w:val="20"/>
                <w:szCs w:val="20"/>
              </w:rPr>
            </w:pPr>
            <w:r w:rsidRPr="00820CB6">
              <w:rPr>
                <w:rFonts w:ascii="Arial Narrow" w:hAnsi="Arial Narrow" w:cs="Times New Roman"/>
                <w:color w:val="000000"/>
                <w:sz w:val="20"/>
                <w:szCs w:val="20"/>
              </w:rPr>
              <w:t>2.11</w:t>
            </w:r>
          </w:p>
        </w:tc>
        <w:tc>
          <w:tcPr>
            <w:tcW w:w="2921" w:type="dxa"/>
            <w:shd w:val="clear" w:color="auto" w:fill="FFFFFF" w:themeFill="background1"/>
            <w:tcMar>
              <w:top w:w="80" w:type="dxa"/>
              <w:left w:w="80" w:type="dxa"/>
              <w:bottom w:w="80" w:type="dxa"/>
              <w:right w:w="80" w:type="dxa"/>
            </w:tcMar>
            <w:hideMark/>
          </w:tcPr>
          <w:p w14:paraId="34B7628E" w14:textId="77777777" w:rsidR="008A494F" w:rsidRPr="00820CB6" w:rsidRDefault="008A494F" w:rsidP="00873AF3">
            <w:pPr>
              <w:keepNext/>
              <w:keepLines/>
              <w:jc w:val="left"/>
              <w:rPr>
                <w:rFonts w:ascii="Arial Narrow" w:hAnsi="Arial Narrow" w:cs="Calibri"/>
                <w:sz w:val="20"/>
                <w:szCs w:val="20"/>
              </w:rPr>
            </w:pPr>
            <w:r>
              <w:rPr>
                <w:rFonts w:ascii="Arial Narrow" w:hAnsi="Arial Narrow" w:cs="Calibri"/>
                <w:sz w:val="20"/>
                <w:szCs w:val="20"/>
              </w:rPr>
              <w:t>Unchanged</w:t>
            </w:r>
          </w:p>
        </w:tc>
      </w:tr>
      <w:tr w:rsidR="008A494F" w:rsidRPr="00820CB6" w14:paraId="7CECC273" w14:textId="77777777" w:rsidTr="002272D6">
        <w:trPr>
          <w:cantSplit/>
        </w:trPr>
        <w:tc>
          <w:tcPr>
            <w:tcW w:w="279" w:type="dxa"/>
            <w:shd w:val="clear" w:color="auto" w:fill="FFFFFF" w:themeFill="background1"/>
            <w:tcMar>
              <w:top w:w="80" w:type="dxa"/>
              <w:left w:w="80" w:type="dxa"/>
              <w:bottom w:w="80" w:type="dxa"/>
              <w:right w:w="80" w:type="dxa"/>
            </w:tcMar>
            <w:hideMark/>
          </w:tcPr>
          <w:p w14:paraId="6DC1CAA1" w14:textId="77777777" w:rsidR="008A494F" w:rsidRPr="00820CB6" w:rsidRDefault="008A494F" w:rsidP="00873AF3">
            <w:pPr>
              <w:keepNext/>
              <w:keepLines/>
              <w:jc w:val="left"/>
              <w:rPr>
                <w:rFonts w:ascii="Arial Narrow" w:hAnsi="Arial Narrow" w:cs="Times New Roman"/>
                <w:sz w:val="20"/>
                <w:szCs w:val="20"/>
              </w:rPr>
            </w:pPr>
            <w:r w:rsidRPr="00820CB6">
              <w:rPr>
                <w:rFonts w:ascii="Arial Narrow" w:hAnsi="Arial Narrow" w:cs="Times New Roman"/>
                <w:sz w:val="20"/>
                <w:szCs w:val="20"/>
              </w:rPr>
              <w:t>B</w:t>
            </w:r>
          </w:p>
        </w:tc>
        <w:tc>
          <w:tcPr>
            <w:tcW w:w="1526" w:type="dxa"/>
            <w:shd w:val="clear" w:color="auto" w:fill="FFFFFF" w:themeFill="background1"/>
            <w:tcMar>
              <w:top w:w="80" w:type="dxa"/>
              <w:left w:w="80" w:type="dxa"/>
              <w:bottom w:w="80" w:type="dxa"/>
              <w:right w:w="80" w:type="dxa"/>
            </w:tcMar>
            <w:hideMark/>
          </w:tcPr>
          <w:p w14:paraId="3E87689E" w14:textId="77777777" w:rsidR="008A494F" w:rsidRPr="00820CB6" w:rsidRDefault="008A494F" w:rsidP="00873AF3">
            <w:pPr>
              <w:keepNext/>
              <w:keepLines/>
              <w:jc w:val="left"/>
              <w:rPr>
                <w:rFonts w:ascii="Arial Narrow" w:hAnsi="Arial Narrow" w:cs="Times New Roman"/>
                <w:sz w:val="20"/>
                <w:szCs w:val="20"/>
              </w:rPr>
            </w:pPr>
            <w:r w:rsidRPr="00820CB6">
              <w:rPr>
                <w:rFonts w:ascii="Arial Narrow" w:hAnsi="Arial Narrow" w:cs="Times New Roman"/>
                <w:sz w:val="20"/>
                <w:szCs w:val="20"/>
              </w:rPr>
              <w:t>Average infusions per cycle </w:t>
            </w:r>
          </w:p>
        </w:tc>
        <w:tc>
          <w:tcPr>
            <w:tcW w:w="1108" w:type="dxa"/>
            <w:shd w:val="clear" w:color="auto" w:fill="C6D9F1" w:themeFill="text2" w:themeFillTint="33"/>
            <w:tcMar>
              <w:top w:w="80" w:type="dxa"/>
              <w:left w:w="80" w:type="dxa"/>
              <w:bottom w:w="80" w:type="dxa"/>
              <w:right w:w="80" w:type="dxa"/>
            </w:tcMar>
            <w:hideMark/>
          </w:tcPr>
          <w:p w14:paraId="6BC53F0D" w14:textId="77777777" w:rsidR="008A494F" w:rsidRPr="00820CB6" w:rsidRDefault="008A494F" w:rsidP="00873AF3">
            <w:pPr>
              <w:keepNext/>
              <w:keepLines/>
              <w:jc w:val="center"/>
              <w:rPr>
                <w:rFonts w:ascii="Arial Narrow" w:hAnsi="Arial Narrow" w:cs="Times New Roman"/>
                <w:color w:val="000000"/>
                <w:sz w:val="20"/>
                <w:szCs w:val="20"/>
              </w:rPr>
            </w:pPr>
            <w:r w:rsidRPr="00820CB6">
              <w:rPr>
                <w:rFonts w:ascii="Arial Narrow" w:hAnsi="Arial Narrow" w:cs="Times New Roman"/>
                <w:color w:val="000000"/>
                <w:sz w:val="20"/>
                <w:szCs w:val="20"/>
              </w:rPr>
              <w:t>6</w:t>
            </w:r>
          </w:p>
        </w:tc>
        <w:tc>
          <w:tcPr>
            <w:tcW w:w="2039" w:type="dxa"/>
            <w:shd w:val="clear" w:color="auto" w:fill="C6D9F1" w:themeFill="text2" w:themeFillTint="33"/>
            <w:tcMar>
              <w:top w:w="80" w:type="dxa"/>
              <w:left w:w="80" w:type="dxa"/>
              <w:bottom w:w="80" w:type="dxa"/>
              <w:right w:w="80" w:type="dxa"/>
            </w:tcMar>
          </w:tcPr>
          <w:p w14:paraId="0910C4C5" w14:textId="77777777" w:rsidR="008A494F" w:rsidRPr="00820CB6" w:rsidRDefault="008A494F" w:rsidP="00873AF3">
            <w:pPr>
              <w:keepNext/>
              <w:keepLines/>
              <w:jc w:val="left"/>
              <w:rPr>
                <w:rFonts w:ascii="Arial Narrow" w:hAnsi="Arial Narrow" w:cs="Times New Roman"/>
                <w:color w:val="000000"/>
                <w:sz w:val="20"/>
                <w:szCs w:val="20"/>
              </w:rPr>
            </w:pPr>
            <w:r>
              <w:rPr>
                <w:rFonts w:ascii="Arial Narrow" w:hAnsi="Arial Narrow" w:cs="Times New Roman"/>
                <w:color w:val="000000"/>
                <w:sz w:val="20"/>
                <w:szCs w:val="20"/>
              </w:rPr>
              <w:t>Assumed full compliance</w:t>
            </w:r>
          </w:p>
        </w:tc>
        <w:tc>
          <w:tcPr>
            <w:tcW w:w="1134" w:type="dxa"/>
            <w:shd w:val="clear" w:color="auto" w:fill="FFFFFF" w:themeFill="background1"/>
            <w:tcMar>
              <w:top w:w="80" w:type="dxa"/>
              <w:left w:w="80" w:type="dxa"/>
              <w:bottom w:w="80" w:type="dxa"/>
              <w:right w:w="80" w:type="dxa"/>
            </w:tcMar>
            <w:hideMark/>
          </w:tcPr>
          <w:p w14:paraId="63597488" w14:textId="77777777" w:rsidR="008A494F" w:rsidRPr="00820CB6" w:rsidRDefault="008A494F" w:rsidP="00873AF3">
            <w:pPr>
              <w:keepNext/>
              <w:keepLines/>
              <w:jc w:val="center"/>
              <w:rPr>
                <w:rFonts w:ascii="Arial Narrow" w:hAnsi="Arial Narrow" w:cs="Times New Roman"/>
                <w:color w:val="000000"/>
                <w:sz w:val="20"/>
                <w:szCs w:val="20"/>
              </w:rPr>
            </w:pPr>
            <w:r w:rsidRPr="00820CB6">
              <w:rPr>
                <w:rFonts w:ascii="Arial Narrow" w:hAnsi="Arial Narrow" w:cs="Times New Roman"/>
                <w:color w:val="000000"/>
                <w:sz w:val="20"/>
                <w:szCs w:val="20"/>
              </w:rPr>
              <w:t>5.24</w:t>
            </w:r>
          </w:p>
        </w:tc>
        <w:tc>
          <w:tcPr>
            <w:tcW w:w="2921" w:type="dxa"/>
            <w:vMerge w:val="restart"/>
            <w:shd w:val="clear" w:color="auto" w:fill="FFFFFF" w:themeFill="background1"/>
            <w:tcMar>
              <w:top w:w="80" w:type="dxa"/>
              <w:left w:w="80" w:type="dxa"/>
              <w:bottom w:w="80" w:type="dxa"/>
              <w:right w:w="80" w:type="dxa"/>
            </w:tcMar>
            <w:hideMark/>
          </w:tcPr>
          <w:p w14:paraId="79D883BB" w14:textId="77777777" w:rsidR="008A494F" w:rsidRPr="00820CB6" w:rsidRDefault="008A494F" w:rsidP="00873AF3">
            <w:pPr>
              <w:keepNext/>
              <w:keepLines/>
              <w:jc w:val="left"/>
              <w:rPr>
                <w:rFonts w:ascii="Arial Narrow" w:hAnsi="Arial Narrow" w:cs="Times New Roman"/>
                <w:color w:val="000000"/>
                <w:sz w:val="20"/>
                <w:szCs w:val="20"/>
              </w:rPr>
            </w:pPr>
            <w:r w:rsidRPr="00820CB6">
              <w:rPr>
                <w:rFonts w:ascii="Arial Narrow" w:hAnsi="Arial Narrow" w:cs="Times New Roman"/>
                <w:color w:val="000000"/>
                <w:sz w:val="20"/>
                <w:szCs w:val="20"/>
              </w:rPr>
              <w:t>Safety Pool S2 (8 July 2022 data cut) – only includes the symptom driven cycles i.e. excludes:</w:t>
            </w:r>
          </w:p>
          <w:p w14:paraId="0242A695" w14:textId="77777777" w:rsidR="008A494F" w:rsidRPr="00820CB6" w:rsidRDefault="008A494F" w:rsidP="00873AF3">
            <w:pPr>
              <w:keepNext/>
              <w:keepLines/>
              <w:numPr>
                <w:ilvl w:val="1"/>
                <w:numId w:val="31"/>
              </w:numPr>
              <w:tabs>
                <w:tab w:val="clear" w:pos="1440"/>
                <w:tab w:val="num" w:pos="268"/>
              </w:tabs>
              <w:ind w:left="268" w:hanging="268"/>
              <w:jc w:val="left"/>
              <w:textAlignment w:val="center"/>
              <w:rPr>
                <w:rFonts w:ascii="Arial Narrow" w:hAnsi="Arial Narrow" w:cs="Times New Roman"/>
                <w:color w:val="000000"/>
                <w:sz w:val="20"/>
                <w:szCs w:val="20"/>
              </w:rPr>
            </w:pPr>
            <w:r w:rsidRPr="00820CB6">
              <w:rPr>
                <w:rFonts w:ascii="Arial Narrow" w:hAnsi="Arial Narrow" w:cs="Times New Roman"/>
                <w:color w:val="000000"/>
                <w:sz w:val="20"/>
                <w:szCs w:val="20"/>
              </w:rPr>
              <w:t>participants from MG0004 (who underwent continuous weekly dosing of rozanolixizumab) and;</w:t>
            </w:r>
          </w:p>
          <w:p w14:paraId="51FD492A" w14:textId="77777777" w:rsidR="008A494F" w:rsidRPr="00820CB6" w:rsidRDefault="008A494F" w:rsidP="00873AF3">
            <w:pPr>
              <w:keepNext/>
              <w:keepLines/>
              <w:numPr>
                <w:ilvl w:val="1"/>
                <w:numId w:val="31"/>
              </w:numPr>
              <w:tabs>
                <w:tab w:val="clear" w:pos="1440"/>
                <w:tab w:val="num" w:pos="268"/>
              </w:tabs>
              <w:ind w:left="268" w:hanging="268"/>
              <w:jc w:val="left"/>
              <w:textAlignment w:val="center"/>
              <w:rPr>
                <w:rFonts w:ascii="Arial Narrow" w:hAnsi="Arial Narrow" w:cs="Calibri"/>
                <w:sz w:val="20"/>
                <w:szCs w:val="20"/>
              </w:rPr>
            </w:pPr>
            <w:r w:rsidRPr="00820CB6">
              <w:rPr>
                <w:rFonts w:ascii="Arial Narrow" w:hAnsi="Arial Narrow" w:cs="Times New Roman"/>
                <w:color w:val="000000"/>
                <w:sz w:val="20"/>
                <w:szCs w:val="20"/>
              </w:rPr>
              <w:t>patients directly from MG0003 who received a fixed cycle without symptom worsening</w:t>
            </w:r>
            <w:r w:rsidRPr="00175D15">
              <w:rPr>
                <w:rFonts w:ascii="Arial Narrow" w:hAnsi="Arial Narrow" w:cs="Times New Roman"/>
                <w:color w:val="000000"/>
                <w:sz w:val="20"/>
                <w:szCs w:val="20"/>
              </w:rPr>
              <w:t xml:space="preserve"> </w:t>
            </w:r>
            <w:r w:rsidRPr="00175D15">
              <w:rPr>
                <w:rFonts w:ascii="Arial Narrow" w:hAnsi="Arial Narrow" w:cs="Times New Roman"/>
                <w:color w:val="000000"/>
                <w:sz w:val="20"/>
                <w:szCs w:val="20"/>
                <w:vertAlign w:val="superscript"/>
              </w:rPr>
              <w:t>a</w:t>
            </w:r>
          </w:p>
        </w:tc>
      </w:tr>
      <w:tr w:rsidR="008A494F" w:rsidRPr="00820CB6" w14:paraId="39B94611" w14:textId="77777777" w:rsidTr="002272D6">
        <w:trPr>
          <w:cantSplit/>
        </w:trPr>
        <w:tc>
          <w:tcPr>
            <w:tcW w:w="279" w:type="dxa"/>
            <w:shd w:val="clear" w:color="auto" w:fill="FFFFFF" w:themeFill="background1"/>
            <w:tcMar>
              <w:top w:w="80" w:type="dxa"/>
              <w:left w:w="80" w:type="dxa"/>
              <w:bottom w:w="80" w:type="dxa"/>
              <w:right w:w="80" w:type="dxa"/>
            </w:tcMar>
            <w:hideMark/>
          </w:tcPr>
          <w:p w14:paraId="21EC9FBA" w14:textId="77777777" w:rsidR="008A494F" w:rsidRPr="00820CB6" w:rsidRDefault="008A494F" w:rsidP="00873AF3">
            <w:pPr>
              <w:keepNext/>
              <w:keepLines/>
              <w:jc w:val="left"/>
              <w:rPr>
                <w:rFonts w:ascii="Arial Narrow" w:hAnsi="Arial Narrow" w:cs="Times New Roman"/>
                <w:sz w:val="20"/>
                <w:szCs w:val="20"/>
              </w:rPr>
            </w:pPr>
            <w:r w:rsidRPr="00820CB6">
              <w:rPr>
                <w:rFonts w:ascii="Arial Narrow" w:hAnsi="Arial Narrow" w:cs="Times New Roman"/>
                <w:sz w:val="20"/>
                <w:szCs w:val="20"/>
              </w:rPr>
              <w:t>C</w:t>
            </w:r>
          </w:p>
        </w:tc>
        <w:tc>
          <w:tcPr>
            <w:tcW w:w="1526" w:type="dxa"/>
            <w:shd w:val="clear" w:color="auto" w:fill="FFFFFF" w:themeFill="background1"/>
            <w:tcMar>
              <w:top w:w="80" w:type="dxa"/>
              <w:left w:w="80" w:type="dxa"/>
              <w:bottom w:w="80" w:type="dxa"/>
              <w:right w:w="80" w:type="dxa"/>
            </w:tcMar>
            <w:hideMark/>
          </w:tcPr>
          <w:p w14:paraId="0DB8766B" w14:textId="77777777" w:rsidR="008A494F" w:rsidRPr="00820CB6" w:rsidRDefault="008A494F" w:rsidP="00873AF3">
            <w:pPr>
              <w:keepNext/>
              <w:keepLines/>
              <w:jc w:val="left"/>
              <w:rPr>
                <w:rFonts w:ascii="Arial Narrow" w:hAnsi="Arial Narrow" w:cs="Times New Roman"/>
                <w:sz w:val="20"/>
                <w:szCs w:val="20"/>
              </w:rPr>
            </w:pPr>
            <w:r w:rsidRPr="00820CB6">
              <w:rPr>
                <w:rFonts w:ascii="Arial Narrow" w:hAnsi="Arial Narrow" w:cs="Times New Roman"/>
                <w:sz w:val="20"/>
                <w:szCs w:val="20"/>
              </w:rPr>
              <w:t>Average cycles per year (based on annualised cycles)</w:t>
            </w:r>
          </w:p>
        </w:tc>
        <w:tc>
          <w:tcPr>
            <w:tcW w:w="1108" w:type="dxa"/>
            <w:shd w:val="clear" w:color="auto" w:fill="C6D9F1" w:themeFill="text2" w:themeFillTint="33"/>
            <w:tcMar>
              <w:top w:w="80" w:type="dxa"/>
              <w:left w:w="80" w:type="dxa"/>
              <w:bottom w:w="80" w:type="dxa"/>
              <w:right w:w="80" w:type="dxa"/>
            </w:tcMar>
            <w:hideMark/>
          </w:tcPr>
          <w:p w14:paraId="78A3A429" w14:textId="77777777" w:rsidR="008A494F" w:rsidRPr="00820CB6" w:rsidRDefault="008A494F" w:rsidP="00873AF3">
            <w:pPr>
              <w:keepNext/>
              <w:keepLines/>
              <w:jc w:val="center"/>
              <w:rPr>
                <w:rFonts w:ascii="Arial Narrow" w:hAnsi="Arial Narrow" w:cs="Times New Roman"/>
                <w:color w:val="000000"/>
                <w:sz w:val="20"/>
                <w:szCs w:val="20"/>
              </w:rPr>
            </w:pPr>
            <w:r w:rsidRPr="00820CB6">
              <w:rPr>
                <w:rFonts w:ascii="Arial Narrow" w:hAnsi="Arial Narrow" w:cs="Times New Roman"/>
                <w:color w:val="000000"/>
                <w:sz w:val="20"/>
                <w:szCs w:val="20"/>
              </w:rPr>
              <w:t>3.59</w:t>
            </w:r>
          </w:p>
          <w:p w14:paraId="38DDA910" w14:textId="77777777" w:rsidR="008A494F" w:rsidRPr="00820CB6" w:rsidRDefault="008A494F" w:rsidP="00873AF3">
            <w:pPr>
              <w:keepNext/>
              <w:keepLines/>
              <w:jc w:val="center"/>
              <w:rPr>
                <w:rFonts w:ascii="Arial Narrow" w:hAnsi="Arial Narrow" w:cs="Times New Roman"/>
                <w:sz w:val="20"/>
                <w:szCs w:val="20"/>
              </w:rPr>
            </w:pPr>
            <w:r w:rsidRPr="00820CB6">
              <w:rPr>
                <w:rFonts w:ascii="Arial Narrow" w:hAnsi="Arial Narrow" w:cs="Times New Roman"/>
                <w:sz w:val="20"/>
                <w:szCs w:val="20"/>
              </w:rPr>
              <w:t> </w:t>
            </w:r>
          </w:p>
          <w:p w14:paraId="2AABA182" w14:textId="77777777" w:rsidR="008A494F" w:rsidRPr="00820CB6" w:rsidRDefault="008A494F" w:rsidP="00873AF3">
            <w:pPr>
              <w:keepNext/>
              <w:keepLines/>
              <w:jc w:val="center"/>
              <w:rPr>
                <w:rFonts w:ascii="Arial Narrow" w:hAnsi="Arial Narrow" w:cs="Times New Roman"/>
                <w:sz w:val="20"/>
                <w:szCs w:val="20"/>
              </w:rPr>
            </w:pPr>
            <w:r w:rsidRPr="00820CB6">
              <w:rPr>
                <w:rFonts w:ascii="Arial Narrow" w:hAnsi="Arial Narrow" w:cs="Times New Roman"/>
                <w:color w:val="000000"/>
                <w:sz w:val="20"/>
                <w:szCs w:val="20"/>
              </w:rPr>
              <w:t>8.5 weeks between cycles</w:t>
            </w:r>
          </w:p>
        </w:tc>
        <w:tc>
          <w:tcPr>
            <w:tcW w:w="2039" w:type="dxa"/>
            <w:shd w:val="clear" w:color="auto" w:fill="C6D9F1" w:themeFill="text2" w:themeFillTint="33"/>
            <w:tcMar>
              <w:top w:w="80" w:type="dxa"/>
              <w:left w:w="80" w:type="dxa"/>
              <w:bottom w:w="80" w:type="dxa"/>
              <w:right w:w="80" w:type="dxa"/>
            </w:tcMar>
            <w:hideMark/>
          </w:tcPr>
          <w:p w14:paraId="155FB1C6" w14:textId="77777777" w:rsidR="008A494F" w:rsidRPr="00820CB6" w:rsidRDefault="008A494F" w:rsidP="00873AF3">
            <w:pPr>
              <w:keepNext/>
              <w:keepLines/>
              <w:jc w:val="left"/>
              <w:rPr>
                <w:rFonts w:ascii="Arial Narrow" w:hAnsi="Arial Narrow" w:cs="Times New Roman"/>
                <w:color w:val="000000"/>
                <w:sz w:val="20"/>
                <w:szCs w:val="20"/>
              </w:rPr>
            </w:pPr>
            <w:r w:rsidRPr="00820CB6">
              <w:rPr>
                <w:rFonts w:ascii="Arial Narrow" w:hAnsi="Arial Narrow" w:cs="Times New Roman"/>
                <w:color w:val="000000"/>
                <w:sz w:val="20"/>
                <w:szCs w:val="20"/>
              </w:rPr>
              <w:t xml:space="preserve">Final MG0007 </w:t>
            </w:r>
            <w:r>
              <w:rPr>
                <w:rFonts w:ascii="Arial Narrow" w:hAnsi="Arial Narrow" w:cs="Times New Roman"/>
                <w:color w:val="000000"/>
                <w:sz w:val="20"/>
                <w:szCs w:val="20"/>
              </w:rPr>
              <w:t xml:space="preserve">(OLE) </w:t>
            </w:r>
            <w:r w:rsidRPr="00820CB6">
              <w:rPr>
                <w:rFonts w:ascii="Arial Narrow" w:hAnsi="Arial Narrow" w:cs="Times New Roman"/>
                <w:color w:val="000000"/>
                <w:sz w:val="20"/>
                <w:szCs w:val="20"/>
              </w:rPr>
              <w:t>study report</w:t>
            </w:r>
            <w:r w:rsidRPr="00175D15">
              <w:rPr>
                <w:rFonts w:ascii="Arial Narrow" w:hAnsi="Arial Narrow" w:cs="Times New Roman"/>
                <w:color w:val="000000"/>
                <w:sz w:val="20"/>
                <w:szCs w:val="20"/>
              </w:rPr>
              <w:t xml:space="preserve">, </w:t>
            </w:r>
            <w:r w:rsidRPr="00820CB6">
              <w:rPr>
                <w:rFonts w:ascii="Arial Narrow" w:hAnsi="Arial Narrow" w:cs="Times New Roman"/>
                <w:color w:val="000000"/>
                <w:sz w:val="20"/>
                <w:szCs w:val="20"/>
              </w:rPr>
              <w:t>safety set. This includes patients who were previously enrolled in the MG0004 (chronic weekly treatment) study.</w:t>
            </w:r>
          </w:p>
        </w:tc>
        <w:tc>
          <w:tcPr>
            <w:tcW w:w="1134" w:type="dxa"/>
            <w:shd w:val="clear" w:color="auto" w:fill="FFFFFF" w:themeFill="background1"/>
            <w:tcMar>
              <w:top w:w="80" w:type="dxa"/>
              <w:left w:w="80" w:type="dxa"/>
              <w:bottom w:w="80" w:type="dxa"/>
              <w:right w:w="80" w:type="dxa"/>
            </w:tcMar>
            <w:hideMark/>
          </w:tcPr>
          <w:p w14:paraId="1333BF97" w14:textId="77777777" w:rsidR="008A494F" w:rsidRPr="00820CB6" w:rsidRDefault="008A494F" w:rsidP="00873AF3">
            <w:pPr>
              <w:keepNext/>
              <w:keepLines/>
              <w:jc w:val="center"/>
              <w:rPr>
                <w:rFonts w:ascii="Arial Narrow" w:hAnsi="Arial Narrow" w:cs="Times New Roman"/>
                <w:color w:val="000000"/>
                <w:sz w:val="20"/>
                <w:szCs w:val="20"/>
              </w:rPr>
            </w:pPr>
            <w:r w:rsidRPr="00820CB6">
              <w:rPr>
                <w:rFonts w:ascii="Arial Narrow" w:hAnsi="Arial Narrow" w:cs="Times New Roman"/>
                <w:color w:val="000000"/>
                <w:sz w:val="20"/>
                <w:szCs w:val="20"/>
              </w:rPr>
              <w:t>3.4</w:t>
            </w:r>
          </w:p>
          <w:p w14:paraId="4349C259" w14:textId="77777777" w:rsidR="008A494F" w:rsidRPr="00820CB6" w:rsidRDefault="008A494F" w:rsidP="00873AF3">
            <w:pPr>
              <w:keepNext/>
              <w:keepLines/>
              <w:jc w:val="center"/>
              <w:rPr>
                <w:rFonts w:ascii="Arial Narrow" w:hAnsi="Arial Narrow" w:cs="Times New Roman"/>
                <w:color w:val="000000"/>
                <w:sz w:val="20"/>
                <w:szCs w:val="20"/>
              </w:rPr>
            </w:pPr>
            <w:r w:rsidRPr="00820CB6">
              <w:rPr>
                <w:rFonts w:ascii="Arial Narrow" w:hAnsi="Arial Narrow" w:cs="Times New Roman"/>
                <w:color w:val="000000"/>
                <w:sz w:val="20"/>
                <w:szCs w:val="20"/>
              </w:rPr>
              <w:t> </w:t>
            </w:r>
          </w:p>
          <w:p w14:paraId="7FB19689" w14:textId="77777777" w:rsidR="008A494F" w:rsidRPr="00820CB6" w:rsidRDefault="008A494F" w:rsidP="00873AF3">
            <w:pPr>
              <w:keepNext/>
              <w:keepLines/>
              <w:jc w:val="center"/>
              <w:rPr>
                <w:rFonts w:ascii="Arial Narrow" w:hAnsi="Arial Narrow" w:cs="Times New Roman"/>
                <w:color w:val="000000"/>
                <w:sz w:val="20"/>
                <w:szCs w:val="20"/>
              </w:rPr>
            </w:pPr>
            <w:r w:rsidRPr="00820CB6">
              <w:rPr>
                <w:rFonts w:ascii="Arial Narrow" w:hAnsi="Arial Narrow" w:cs="Times New Roman"/>
                <w:color w:val="000000"/>
                <w:sz w:val="20"/>
                <w:szCs w:val="20"/>
              </w:rPr>
              <w:t>9.3 weeks between cycles</w:t>
            </w:r>
          </w:p>
        </w:tc>
        <w:tc>
          <w:tcPr>
            <w:tcW w:w="2921" w:type="dxa"/>
            <w:vMerge/>
            <w:shd w:val="clear" w:color="auto" w:fill="FFFFFF" w:themeFill="background1"/>
            <w:tcMar>
              <w:top w:w="80" w:type="dxa"/>
              <w:left w:w="80" w:type="dxa"/>
              <w:bottom w:w="80" w:type="dxa"/>
              <w:right w:w="80" w:type="dxa"/>
            </w:tcMar>
            <w:hideMark/>
          </w:tcPr>
          <w:p w14:paraId="5AE90D8A" w14:textId="77777777" w:rsidR="008A494F" w:rsidRPr="00820CB6" w:rsidRDefault="008A494F" w:rsidP="00873AF3">
            <w:pPr>
              <w:keepNext/>
              <w:keepLines/>
              <w:numPr>
                <w:ilvl w:val="1"/>
                <w:numId w:val="31"/>
              </w:numPr>
              <w:tabs>
                <w:tab w:val="clear" w:pos="1440"/>
                <w:tab w:val="num" w:pos="268"/>
              </w:tabs>
              <w:ind w:left="268" w:hanging="268"/>
              <w:jc w:val="left"/>
              <w:textAlignment w:val="center"/>
              <w:rPr>
                <w:rFonts w:ascii="Arial Narrow" w:hAnsi="Arial Narrow" w:cs="Times New Roman"/>
                <w:color w:val="000000"/>
                <w:sz w:val="20"/>
                <w:szCs w:val="20"/>
              </w:rPr>
            </w:pPr>
          </w:p>
        </w:tc>
      </w:tr>
      <w:tr w:rsidR="008A494F" w:rsidRPr="00820CB6" w14:paraId="0ED95551" w14:textId="77777777" w:rsidTr="002272D6">
        <w:trPr>
          <w:cantSplit/>
        </w:trPr>
        <w:tc>
          <w:tcPr>
            <w:tcW w:w="279" w:type="dxa"/>
            <w:shd w:val="clear" w:color="auto" w:fill="FFFFFF" w:themeFill="background1"/>
            <w:tcMar>
              <w:top w:w="80" w:type="dxa"/>
              <w:left w:w="80" w:type="dxa"/>
              <w:bottom w:w="80" w:type="dxa"/>
              <w:right w:w="80" w:type="dxa"/>
            </w:tcMar>
            <w:hideMark/>
          </w:tcPr>
          <w:p w14:paraId="13C1D956" w14:textId="77777777" w:rsidR="008A494F" w:rsidRPr="00820CB6" w:rsidRDefault="008A494F" w:rsidP="00873AF3">
            <w:pPr>
              <w:keepNext/>
              <w:keepLines/>
              <w:jc w:val="left"/>
              <w:rPr>
                <w:rFonts w:ascii="Arial Narrow" w:hAnsi="Arial Narrow" w:cs="Times New Roman"/>
                <w:sz w:val="20"/>
                <w:szCs w:val="20"/>
              </w:rPr>
            </w:pPr>
            <w:r w:rsidRPr="00820CB6">
              <w:rPr>
                <w:rFonts w:ascii="Arial Narrow" w:hAnsi="Arial Narrow" w:cs="Times New Roman"/>
                <w:sz w:val="20"/>
                <w:szCs w:val="20"/>
              </w:rPr>
              <w:t>D</w:t>
            </w:r>
          </w:p>
        </w:tc>
        <w:tc>
          <w:tcPr>
            <w:tcW w:w="1526" w:type="dxa"/>
            <w:shd w:val="clear" w:color="auto" w:fill="FFFFFF" w:themeFill="background1"/>
            <w:tcMar>
              <w:top w:w="80" w:type="dxa"/>
              <w:left w:w="80" w:type="dxa"/>
              <w:bottom w:w="80" w:type="dxa"/>
              <w:right w:w="80" w:type="dxa"/>
            </w:tcMar>
            <w:hideMark/>
          </w:tcPr>
          <w:p w14:paraId="0EBB85F2" w14:textId="77777777" w:rsidR="008A494F" w:rsidRPr="00820CB6" w:rsidRDefault="008A494F" w:rsidP="00873AF3">
            <w:pPr>
              <w:keepNext/>
              <w:keepLines/>
              <w:jc w:val="left"/>
              <w:rPr>
                <w:rFonts w:ascii="Arial Narrow" w:hAnsi="Arial Narrow" w:cs="Times New Roman"/>
                <w:sz w:val="20"/>
                <w:szCs w:val="20"/>
              </w:rPr>
            </w:pPr>
            <w:r w:rsidRPr="00175D15">
              <w:rPr>
                <w:rFonts w:ascii="Arial Narrow" w:hAnsi="Arial Narrow" w:cs="Times New Roman"/>
                <w:sz w:val="20"/>
                <w:szCs w:val="20"/>
              </w:rPr>
              <w:t>mg</w:t>
            </w:r>
            <w:r w:rsidRPr="00820CB6">
              <w:rPr>
                <w:rFonts w:ascii="Arial Narrow" w:hAnsi="Arial Narrow" w:cs="Times New Roman"/>
                <w:sz w:val="20"/>
                <w:szCs w:val="20"/>
              </w:rPr>
              <w:t xml:space="preserve"> per vial</w:t>
            </w:r>
          </w:p>
        </w:tc>
        <w:tc>
          <w:tcPr>
            <w:tcW w:w="1108" w:type="dxa"/>
            <w:shd w:val="clear" w:color="auto" w:fill="C6D9F1" w:themeFill="text2" w:themeFillTint="33"/>
            <w:tcMar>
              <w:top w:w="80" w:type="dxa"/>
              <w:left w:w="80" w:type="dxa"/>
              <w:bottom w:w="80" w:type="dxa"/>
              <w:right w:w="80" w:type="dxa"/>
            </w:tcMar>
            <w:hideMark/>
          </w:tcPr>
          <w:p w14:paraId="4B0E5640" w14:textId="77777777" w:rsidR="008A494F" w:rsidRPr="00820CB6" w:rsidRDefault="008A494F" w:rsidP="00873AF3">
            <w:pPr>
              <w:keepNext/>
              <w:keepLines/>
              <w:jc w:val="center"/>
              <w:rPr>
                <w:rFonts w:ascii="Arial Narrow" w:hAnsi="Arial Narrow" w:cs="Times New Roman"/>
                <w:color w:val="000000"/>
                <w:sz w:val="20"/>
                <w:szCs w:val="20"/>
              </w:rPr>
            </w:pPr>
            <w:r w:rsidRPr="00820CB6">
              <w:rPr>
                <w:rFonts w:ascii="Arial Narrow" w:hAnsi="Arial Narrow" w:cs="Times New Roman"/>
                <w:color w:val="000000"/>
                <w:sz w:val="20"/>
                <w:szCs w:val="20"/>
              </w:rPr>
              <w:t>280 mg</w:t>
            </w:r>
          </w:p>
        </w:tc>
        <w:tc>
          <w:tcPr>
            <w:tcW w:w="2039" w:type="dxa"/>
            <w:shd w:val="clear" w:color="auto" w:fill="C6D9F1" w:themeFill="text2" w:themeFillTint="33"/>
            <w:tcMar>
              <w:top w:w="80" w:type="dxa"/>
              <w:left w:w="80" w:type="dxa"/>
              <w:bottom w:w="80" w:type="dxa"/>
              <w:right w:w="80" w:type="dxa"/>
            </w:tcMar>
            <w:hideMark/>
          </w:tcPr>
          <w:p w14:paraId="000FBE14" w14:textId="77777777" w:rsidR="008A494F" w:rsidRPr="00820CB6" w:rsidRDefault="008A494F" w:rsidP="00873AF3">
            <w:pPr>
              <w:keepNext/>
              <w:keepLines/>
              <w:jc w:val="left"/>
              <w:rPr>
                <w:rFonts w:ascii="Arial Narrow" w:hAnsi="Arial Narrow" w:cs="Times New Roman"/>
                <w:color w:val="000000"/>
                <w:sz w:val="20"/>
                <w:szCs w:val="20"/>
              </w:rPr>
            </w:pPr>
            <w:r w:rsidRPr="00820CB6">
              <w:rPr>
                <w:rFonts w:ascii="Arial Narrow" w:hAnsi="Arial Narrow" w:cs="Times New Roman"/>
                <w:color w:val="000000"/>
                <w:sz w:val="20"/>
                <w:szCs w:val="20"/>
              </w:rPr>
              <w:t xml:space="preserve">Each 2mL vial contains 140 mg/mL </w:t>
            </w:r>
          </w:p>
        </w:tc>
        <w:tc>
          <w:tcPr>
            <w:tcW w:w="1134" w:type="dxa"/>
            <w:shd w:val="clear" w:color="auto" w:fill="FFFFFF" w:themeFill="background1"/>
            <w:tcMar>
              <w:top w:w="80" w:type="dxa"/>
              <w:left w:w="80" w:type="dxa"/>
              <w:bottom w:w="80" w:type="dxa"/>
              <w:right w:w="80" w:type="dxa"/>
            </w:tcMar>
            <w:hideMark/>
          </w:tcPr>
          <w:p w14:paraId="76FBBD29" w14:textId="77777777" w:rsidR="008A494F" w:rsidRPr="00820CB6" w:rsidRDefault="008A494F" w:rsidP="00873AF3">
            <w:pPr>
              <w:keepNext/>
              <w:keepLines/>
              <w:jc w:val="center"/>
              <w:rPr>
                <w:rFonts w:ascii="Arial Narrow" w:hAnsi="Arial Narrow" w:cs="Times New Roman"/>
                <w:color w:val="000000"/>
                <w:sz w:val="20"/>
                <w:szCs w:val="20"/>
              </w:rPr>
            </w:pPr>
            <w:r w:rsidRPr="00820CB6">
              <w:rPr>
                <w:rFonts w:ascii="Arial Narrow" w:hAnsi="Arial Narrow" w:cs="Times New Roman"/>
                <w:color w:val="000000"/>
                <w:sz w:val="20"/>
                <w:szCs w:val="20"/>
              </w:rPr>
              <w:t>280 mg</w:t>
            </w:r>
          </w:p>
        </w:tc>
        <w:tc>
          <w:tcPr>
            <w:tcW w:w="2921" w:type="dxa"/>
            <w:shd w:val="clear" w:color="auto" w:fill="FFFFFF" w:themeFill="background1"/>
            <w:tcMar>
              <w:top w:w="80" w:type="dxa"/>
              <w:left w:w="80" w:type="dxa"/>
              <w:bottom w:w="80" w:type="dxa"/>
              <w:right w:w="80" w:type="dxa"/>
            </w:tcMar>
            <w:hideMark/>
          </w:tcPr>
          <w:p w14:paraId="3294BB11" w14:textId="77777777" w:rsidR="008A494F" w:rsidRPr="00820CB6" w:rsidRDefault="008A494F" w:rsidP="00873AF3">
            <w:pPr>
              <w:keepNext/>
              <w:keepLines/>
              <w:jc w:val="left"/>
              <w:rPr>
                <w:rFonts w:ascii="Arial Narrow" w:hAnsi="Arial Narrow" w:cs="Times New Roman"/>
                <w:sz w:val="20"/>
                <w:szCs w:val="20"/>
              </w:rPr>
            </w:pPr>
            <w:r>
              <w:rPr>
                <w:rFonts w:ascii="Arial Narrow" w:hAnsi="Arial Narrow" w:cs="Calibri"/>
                <w:sz w:val="20"/>
                <w:szCs w:val="20"/>
              </w:rPr>
              <w:t>Unchanged</w:t>
            </w:r>
          </w:p>
        </w:tc>
      </w:tr>
      <w:tr w:rsidR="008A494F" w:rsidRPr="00820CB6" w14:paraId="5652699B" w14:textId="77777777" w:rsidTr="002272D6">
        <w:trPr>
          <w:cantSplit/>
        </w:trPr>
        <w:tc>
          <w:tcPr>
            <w:tcW w:w="279" w:type="dxa"/>
            <w:shd w:val="clear" w:color="auto" w:fill="FFFFFF" w:themeFill="background1"/>
            <w:tcMar>
              <w:top w:w="80" w:type="dxa"/>
              <w:left w:w="80" w:type="dxa"/>
              <w:bottom w:w="80" w:type="dxa"/>
              <w:right w:w="80" w:type="dxa"/>
            </w:tcMar>
            <w:hideMark/>
          </w:tcPr>
          <w:p w14:paraId="42AACB9C" w14:textId="77777777" w:rsidR="008A494F" w:rsidRPr="00820CB6" w:rsidRDefault="008A494F" w:rsidP="00873AF3">
            <w:pPr>
              <w:keepNext/>
              <w:keepLines/>
              <w:jc w:val="left"/>
              <w:rPr>
                <w:rFonts w:ascii="Arial Narrow" w:hAnsi="Arial Narrow" w:cs="Times New Roman"/>
                <w:sz w:val="20"/>
                <w:szCs w:val="20"/>
              </w:rPr>
            </w:pPr>
            <w:r w:rsidRPr="00820CB6">
              <w:rPr>
                <w:rFonts w:ascii="Arial Narrow" w:hAnsi="Arial Narrow" w:cs="Times New Roman"/>
                <w:sz w:val="20"/>
                <w:szCs w:val="20"/>
              </w:rPr>
              <w:t>E</w:t>
            </w:r>
          </w:p>
        </w:tc>
        <w:tc>
          <w:tcPr>
            <w:tcW w:w="1526" w:type="dxa"/>
            <w:shd w:val="clear" w:color="auto" w:fill="FFFFFF" w:themeFill="background1"/>
            <w:tcMar>
              <w:top w:w="80" w:type="dxa"/>
              <w:left w:w="80" w:type="dxa"/>
              <w:bottom w:w="80" w:type="dxa"/>
              <w:right w:w="80" w:type="dxa"/>
            </w:tcMar>
            <w:hideMark/>
          </w:tcPr>
          <w:p w14:paraId="2D51E894" w14:textId="77777777" w:rsidR="008A494F" w:rsidRPr="00820CB6" w:rsidRDefault="008A494F" w:rsidP="00873AF3">
            <w:pPr>
              <w:keepNext/>
              <w:keepLines/>
              <w:jc w:val="left"/>
              <w:rPr>
                <w:rFonts w:ascii="Arial Narrow" w:hAnsi="Arial Narrow" w:cs="Times New Roman"/>
                <w:sz w:val="20"/>
                <w:szCs w:val="20"/>
              </w:rPr>
            </w:pPr>
            <w:r w:rsidRPr="00820CB6">
              <w:rPr>
                <w:rFonts w:ascii="Arial Narrow" w:hAnsi="Arial Narrow" w:cs="Times New Roman"/>
                <w:sz w:val="20"/>
                <w:szCs w:val="20"/>
              </w:rPr>
              <w:t>Average total mg per year</w:t>
            </w:r>
          </w:p>
        </w:tc>
        <w:tc>
          <w:tcPr>
            <w:tcW w:w="1108" w:type="dxa"/>
            <w:shd w:val="clear" w:color="auto" w:fill="C6D9F1" w:themeFill="text2" w:themeFillTint="33"/>
            <w:tcMar>
              <w:top w:w="80" w:type="dxa"/>
              <w:left w:w="80" w:type="dxa"/>
              <w:bottom w:w="80" w:type="dxa"/>
              <w:right w:w="80" w:type="dxa"/>
            </w:tcMar>
            <w:hideMark/>
          </w:tcPr>
          <w:p w14:paraId="3A54457D" w14:textId="77777777" w:rsidR="008A494F" w:rsidRPr="00820CB6" w:rsidRDefault="008A494F" w:rsidP="00873AF3">
            <w:pPr>
              <w:keepNext/>
              <w:keepLines/>
              <w:jc w:val="center"/>
              <w:rPr>
                <w:rFonts w:ascii="Arial Narrow" w:hAnsi="Arial Narrow" w:cs="Times New Roman"/>
                <w:color w:val="000000"/>
                <w:sz w:val="20"/>
                <w:szCs w:val="20"/>
              </w:rPr>
            </w:pPr>
            <w:r w:rsidRPr="00820CB6">
              <w:rPr>
                <w:rFonts w:ascii="Arial Narrow" w:hAnsi="Arial Narrow" w:cs="Times New Roman"/>
                <w:color w:val="000000"/>
                <w:sz w:val="20"/>
                <w:szCs w:val="20"/>
              </w:rPr>
              <w:t>19.9 infusions =</w:t>
            </w:r>
          </w:p>
          <w:p w14:paraId="4DFAB070" w14:textId="77777777" w:rsidR="008A494F" w:rsidRPr="00820CB6" w:rsidRDefault="008A494F" w:rsidP="00873AF3">
            <w:pPr>
              <w:keepNext/>
              <w:keepLines/>
              <w:jc w:val="center"/>
              <w:rPr>
                <w:rFonts w:ascii="Arial Narrow" w:hAnsi="Arial Narrow" w:cs="Times New Roman"/>
                <w:color w:val="000000"/>
                <w:sz w:val="20"/>
                <w:szCs w:val="20"/>
                <w:vertAlign w:val="superscript"/>
              </w:rPr>
            </w:pPr>
            <w:r w:rsidRPr="00820CB6">
              <w:rPr>
                <w:rFonts w:ascii="Arial Narrow" w:hAnsi="Arial Narrow" w:cs="Times New Roman"/>
                <w:color w:val="000000"/>
                <w:sz w:val="20"/>
                <w:szCs w:val="20"/>
              </w:rPr>
              <w:t>12,711 mg</w:t>
            </w:r>
            <w:r w:rsidRPr="00175D15">
              <w:rPr>
                <w:rFonts w:ascii="Arial Narrow" w:hAnsi="Arial Narrow" w:cs="Times New Roman"/>
                <w:color w:val="000000"/>
                <w:sz w:val="20"/>
                <w:szCs w:val="20"/>
              </w:rPr>
              <w:t xml:space="preserve"> </w:t>
            </w:r>
            <w:r w:rsidRPr="00175D15">
              <w:rPr>
                <w:rFonts w:ascii="Arial Narrow" w:hAnsi="Arial Narrow" w:cs="Times New Roman"/>
                <w:color w:val="000000"/>
                <w:sz w:val="20"/>
                <w:szCs w:val="20"/>
                <w:vertAlign w:val="superscript"/>
              </w:rPr>
              <w:t>b</w:t>
            </w:r>
          </w:p>
        </w:tc>
        <w:tc>
          <w:tcPr>
            <w:tcW w:w="2039" w:type="dxa"/>
            <w:shd w:val="clear" w:color="auto" w:fill="C6D9F1" w:themeFill="text2" w:themeFillTint="33"/>
            <w:tcMar>
              <w:top w:w="80" w:type="dxa"/>
              <w:left w:w="80" w:type="dxa"/>
              <w:bottom w:w="80" w:type="dxa"/>
              <w:right w:w="80" w:type="dxa"/>
            </w:tcMar>
            <w:hideMark/>
          </w:tcPr>
          <w:p w14:paraId="254FA556" w14:textId="77777777" w:rsidR="008A494F" w:rsidRPr="00820CB6" w:rsidRDefault="008A494F" w:rsidP="00873AF3">
            <w:pPr>
              <w:keepNext/>
              <w:keepLines/>
              <w:jc w:val="left"/>
              <w:rPr>
                <w:rFonts w:ascii="Arial Narrow" w:hAnsi="Arial Narrow" w:cs="Times New Roman"/>
                <w:color w:val="000000"/>
                <w:sz w:val="20"/>
                <w:szCs w:val="20"/>
              </w:rPr>
            </w:pPr>
            <w:r w:rsidRPr="00820CB6">
              <w:rPr>
                <w:rFonts w:ascii="Arial Narrow" w:hAnsi="Arial Narrow" w:cs="Times New Roman"/>
                <w:color w:val="000000"/>
                <w:sz w:val="20"/>
                <w:szCs w:val="20"/>
              </w:rPr>
              <w:t>A x B x C x D</w:t>
            </w:r>
          </w:p>
        </w:tc>
        <w:tc>
          <w:tcPr>
            <w:tcW w:w="1134" w:type="dxa"/>
            <w:shd w:val="clear" w:color="auto" w:fill="FFFFFF" w:themeFill="background1"/>
            <w:tcMar>
              <w:top w:w="80" w:type="dxa"/>
              <w:left w:w="80" w:type="dxa"/>
              <w:bottom w:w="80" w:type="dxa"/>
              <w:right w:w="80" w:type="dxa"/>
            </w:tcMar>
            <w:hideMark/>
          </w:tcPr>
          <w:p w14:paraId="7B869640" w14:textId="77777777" w:rsidR="008A494F" w:rsidRPr="00820CB6" w:rsidRDefault="008A494F" w:rsidP="00873AF3">
            <w:pPr>
              <w:keepNext/>
              <w:keepLines/>
              <w:jc w:val="center"/>
              <w:rPr>
                <w:rFonts w:ascii="Arial Narrow" w:hAnsi="Arial Narrow" w:cs="Times New Roman"/>
                <w:color w:val="000000"/>
                <w:sz w:val="20"/>
                <w:szCs w:val="20"/>
              </w:rPr>
            </w:pPr>
            <w:r w:rsidRPr="00820CB6">
              <w:rPr>
                <w:rFonts w:ascii="Arial Narrow" w:hAnsi="Arial Narrow" w:cs="Times New Roman"/>
                <w:color w:val="000000"/>
                <w:sz w:val="20"/>
                <w:szCs w:val="20"/>
              </w:rPr>
              <w:t>17.8 infusions =</w:t>
            </w:r>
          </w:p>
          <w:p w14:paraId="753F166C" w14:textId="77777777" w:rsidR="008A494F" w:rsidRPr="00820CB6" w:rsidRDefault="008A494F" w:rsidP="00873AF3">
            <w:pPr>
              <w:keepNext/>
              <w:keepLines/>
              <w:jc w:val="center"/>
              <w:rPr>
                <w:rFonts w:ascii="Arial Narrow" w:hAnsi="Arial Narrow" w:cs="Times New Roman"/>
                <w:color w:val="000000"/>
                <w:sz w:val="20"/>
                <w:szCs w:val="20"/>
                <w:vertAlign w:val="superscript"/>
              </w:rPr>
            </w:pPr>
            <w:r w:rsidRPr="00820CB6">
              <w:rPr>
                <w:rFonts w:ascii="Arial Narrow" w:hAnsi="Arial Narrow" w:cs="Times New Roman"/>
                <w:color w:val="000000"/>
                <w:sz w:val="20"/>
                <w:szCs w:val="20"/>
              </w:rPr>
              <w:t>10,508 mg</w:t>
            </w:r>
            <w:r w:rsidRPr="00175D15">
              <w:rPr>
                <w:rFonts w:ascii="Arial Narrow" w:hAnsi="Arial Narrow" w:cs="Times New Roman"/>
                <w:color w:val="000000"/>
                <w:sz w:val="20"/>
                <w:szCs w:val="20"/>
              </w:rPr>
              <w:t xml:space="preserve"> </w:t>
            </w:r>
            <w:r w:rsidRPr="00175D15">
              <w:rPr>
                <w:rFonts w:ascii="Arial Narrow" w:hAnsi="Arial Narrow" w:cs="Times New Roman"/>
                <w:color w:val="000000"/>
                <w:sz w:val="20"/>
                <w:szCs w:val="20"/>
                <w:vertAlign w:val="superscript"/>
              </w:rPr>
              <w:t>b</w:t>
            </w:r>
          </w:p>
        </w:tc>
        <w:tc>
          <w:tcPr>
            <w:tcW w:w="2921" w:type="dxa"/>
            <w:shd w:val="clear" w:color="auto" w:fill="FFFFFF" w:themeFill="background1"/>
            <w:tcMar>
              <w:top w:w="80" w:type="dxa"/>
              <w:left w:w="80" w:type="dxa"/>
              <w:bottom w:w="80" w:type="dxa"/>
              <w:right w:w="80" w:type="dxa"/>
            </w:tcMar>
            <w:hideMark/>
          </w:tcPr>
          <w:p w14:paraId="104C3322" w14:textId="77777777" w:rsidR="008A494F" w:rsidRPr="00820CB6" w:rsidRDefault="008A494F" w:rsidP="00873AF3">
            <w:pPr>
              <w:keepNext/>
              <w:keepLines/>
              <w:jc w:val="left"/>
              <w:rPr>
                <w:rFonts w:ascii="Arial Narrow" w:hAnsi="Arial Narrow" w:cs="Times New Roman"/>
                <w:color w:val="000000"/>
                <w:sz w:val="20"/>
                <w:szCs w:val="20"/>
              </w:rPr>
            </w:pPr>
            <w:r w:rsidRPr="00820CB6">
              <w:rPr>
                <w:rFonts w:ascii="Arial Narrow" w:hAnsi="Arial Narrow" w:cs="Times New Roman"/>
                <w:color w:val="000000"/>
                <w:sz w:val="20"/>
                <w:szCs w:val="20"/>
              </w:rPr>
              <w:t>A x B x C x D</w:t>
            </w:r>
          </w:p>
        </w:tc>
      </w:tr>
    </w:tbl>
    <w:p w14:paraId="32AA3960" w14:textId="77777777" w:rsidR="008A494F" w:rsidRDefault="008A494F" w:rsidP="00873AF3">
      <w:pPr>
        <w:jc w:val="left"/>
        <w:rPr>
          <w:rFonts w:ascii="Arial Narrow" w:hAnsi="Arial Narrow" w:cs="Times New Roman"/>
          <w:sz w:val="18"/>
          <w:szCs w:val="18"/>
        </w:rPr>
      </w:pPr>
      <w:r>
        <w:rPr>
          <w:rFonts w:ascii="Arial Narrow" w:hAnsi="Arial Narrow" w:cs="Times New Roman"/>
          <w:sz w:val="18"/>
          <w:szCs w:val="18"/>
        </w:rPr>
        <w:t>Source: Table 1 of the submission; blue shading indicates PBAC’s previous consideration.</w:t>
      </w:r>
    </w:p>
    <w:p w14:paraId="4767D817" w14:textId="77777777" w:rsidR="008A494F" w:rsidRDefault="008A494F" w:rsidP="00873AF3">
      <w:pPr>
        <w:jc w:val="left"/>
        <w:rPr>
          <w:rFonts w:ascii="Arial Narrow" w:hAnsi="Arial Narrow" w:cs="Times New Roman"/>
          <w:sz w:val="18"/>
          <w:szCs w:val="18"/>
        </w:rPr>
      </w:pPr>
      <w:r>
        <w:rPr>
          <w:rFonts w:ascii="Arial Narrow" w:hAnsi="Arial Narrow" w:cs="Times New Roman"/>
          <w:sz w:val="18"/>
          <w:szCs w:val="18"/>
        </w:rPr>
        <w:t>OLE = open label extension</w:t>
      </w:r>
    </w:p>
    <w:p w14:paraId="75D9B761" w14:textId="77777777" w:rsidR="008A494F" w:rsidRDefault="008A494F" w:rsidP="00873AF3">
      <w:pPr>
        <w:jc w:val="left"/>
        <w:rPr>
          <w:rFonts w:ascii="Arial Narrow" w:hAnsi="Arial Narrow" w:cs="Times New Roman"/>
          <w:sz w:val="18"/>
          <w:szCs w:val="18"/>
        </w:rPr>
      </w:pPr>
      <w:r w:rsidRPr="0072133F">
        <w:rPr>
          <w:rFonts w:ascii="Arial Narrow" w:hAnsi="Arial Narrow" w:cs="Times New Roman"/>
          <w:sz w:val="18"/>
          <w:szCs w:val="18"/>
          <w:vertAlign w:val="superscript"/>
        </w:rPr>
        <w:t>a</w:t>
      </w:r>
      <w:r>
        <w:rPr>
          <w:rFonts w:ascii="Arial Narrow" w:hAnsi="Arial Narrow" w:cs="Times New Roman"/>
          <w:sz w:val="18"/>
          <w:szCs w:val="18"/>
        </w:rPr>
        <w:t xml:space="preserve"> The sponsor’s proposal and the</w:t>
      </w:r>
      <w:r w:rsidRPr="0072133F">
        <w:rPr>
          <w:rFonts w:ascii="Arial Narrow" w:hAnsi="Arial Narrow" w:cs="Times New Roman"/>
          <w:sz w:val="18"/>
          <w:szCs w:val="18"/>
        </w:rPr>
        <w:t xml:space="preserve"> PSCR </w:t>
      </w:r>
      <w:r>
        <w:rPr>
          <w:rFonts w:ascii="Arial Narrow" w:hAnsi="Arial Narrow" w:cs="Times New Roman"/>
          <w:sz w:val="18"/>
          <w:szCs w:val="18"/>
        </w:rPr>
        <w:t>for the March 2025 submission further</w:t>
      </w:r>
      <w:r w:rsidRPr="0072133F">
        <w:rPr>
          <w:rFonts w:ascii="Arial Narrow" w:hAnsi="Arial Narrow" w:cs="Times New Roman"/>
          <w:sz w:val="18"/>
          <w:szCs w:val="18"/>
        </w:rPr>
        <w:t xml:space="preserve"> </w:t>
      </w:r>
      <w:r>
        <w:rPr>
          <w:rFonts w:ascii="Arial Narrow" w:hAnsi="Arial Narrow" w:cs="Times New Roman"/>
          <w:sz w:val="18"/>
          <w:szCs w:val="18"/>
        </w:rPr>
        <w:t>highlighted</w:t>
      </w:r>
      <w:r w:rsidRPr="0072133F">
        <w:rPr>
          <w:rFonts w:ascii="Arial Narrow" w:hAnsi="Arial Narrow" w:cs="Times New Roman"/>
          <w:sz w:val="18"/>
          <w:szCs w:val="18"/>
        </w:rPr>
        <w:t xml:space="preserve"> that the final analysis </w:t>
      </w:r>
      <w:r>
        <w:rPr>
          <w:rFonts w:ascii="Arial Narrow" w:hAnsi="Arial Narrow" w:cs="Times New Roman"/>
          <w:sz w:val="18"/>
          <w:szCs w:val="18"/>
        </w:rPr>
        <w:t xml:space="preserve">of the Safety Pool S2 </w:t>
      </w:r>
      <w:r w:rsidRPr="0072133F">
        <w:rPr>
          <w:rFonts w:ascii="Arial Narrow" w:hAnsi="Arial Narrow" w:cs="Times New Roman"/>
          <w:sz w:val="18"/>
          <w:szCs w:val="18"/>
        </w:rPr>
        <w:t xml:space="preserve">found </w:t>
      </w:r>
      <w:r>
        <w:rPr>
          <w:rFonts w:ascii="Arial Narrow" w:hAnsi="Arial Narrow" w:cs="Times New Roman"/>
          <w:sz w:val="18"/>
          <w:szCs w:val="18"/>
        </w:rPr>
        <w:t xml:space="preserve">an average of </w:t>
      </w:r>
      <w:r w:rsidRPr="0072133F">
        <w:rPr>
          <w:rFonts w:ascii="Arial Narrow" w:hAnsi="Arial Narrow" w:cs="Times New Roman"/>
          <w:sz w:val="18"/>
          <w:szCs w:val="18"/>
        </w:rPr>
        <w:t>2.9 cycles (mean infusions of 16</w:t>
      </w:r>
      <w:r>
        <w:rPr>
          <w:rFonts w:ascii="Arial Narrow" w:hAnsi="Arial Narrow" w:cs="Times New Roman"/>
          <w:sz w:val="18"/>
          <w:szCs w:val="18"/>
        </w:rPr>
        <w:t>.0</w:t>
      </w:r>
      <w:r w:rsidRPr="0072133F">
        <w:rPr>
          <w:rFonts w:ascii="Arial Narrow" w:hAnsi="Arial Narrow" w:cs="Times New Roman"/>
          <w:sz w:val="18"/>
          <w:szCs w:val="18"/>
        </w:rPr>
        <w:t xml:space="preserve"> per year or 9,445 mg per year).</w:t>
      </w:r>
    </w:p>
    <w:p w14:paraId="3C5CF9F4" w14:textId="77777777" w:rsidR="008A494F" w:rsidRPr="00820CB6" w:rsidRDefault="008A494F" w:rsidP="00873AF3">
      <w:pPr>
        <w:spacing w:after="240"/>
        <w:jc w:val="left"/>
        <w:rPr>
          <w:rFonts w:ascii="Arial Narrow" w:hAnsi="Arial Narrow" w:cs="Times New Roman"/>
          <w:sz w:val="18"/>
          <w:szCs w:val="18"/>
        </w:rPr>
      </w:pPr>
      <w:r>
        <w:rPr>
          <w:rFonts w:ascii="Arial Narrow" w:hAnsi="Arial Narrow" w:cs="Times New Roman"/>
          <w:sz w:val="18"/>
          <w:szCs w:val="18"/>
          <w:vertAlign w:val="superscript"/>
        </w:rPr>
        <w:t>b</w:t>
      </w:r>
      <w:r w:rsidRPr="00820CB6">
        <w:rPr>
          <w:rFonts w:ascii="Arial Narrow" w:hAnsi="Arial Narrow" w:cs="Times New Roman"/>
          <w:sz w:val="18"/>
          <w:szCs w:val="18"/>
        </w:rPr>
        <w:t xml:space="preserve"> Minor discrepancies due to rounding</w:t>
      </w:r>
    </w:p>
    <w:p w14:paraId="55EDC6E7" w14:textId="77777777" w:rsidR="008A494F" w:rsidRPr="00C33D30" w:rsidRDefault="008A494F" w:rsidP="00873AF3">
      <w:pPr>
        <w:ind w:firstLine="709"/>
        <w:rPr>
          <w:rFonts w:asciiTheme="minorHAnsi" w:hAnsiTheme="minorHAnsi"/>
          <w:i/>
        </w:rPr>
      </w:pPr>
      <w:bookmarkStart w:id="105" w:name="_Hlk76375324"/>
      <w:r w:rsidRPr="00C33D30">
        <w:rPr>
          <w:rFonts w:asciiTheme="minorHAnsi" w:hAnsiTheme="minorHAnsi"/>
          <w:i/>
        </w:rPr>
        <w:t xml:space="preserve">For more detail on PBAC’s view, see section </w:t>
      </w:r>
      <w:r>
        <w:rPr>
          <w:rFonts w:asciiTheme="minorHAnsi" w:hAnsiTheme="minorHAnsi"/>
          <w:i/>
        </w:rPr>
        <w:t>12</w:t>
      </w:r>
      <w:r w:rsidRPr="00C33D30">
        <w:rPr>
          <w:rFonts w:asciiTheme="minorHAnsi" w:hAnsiTheme="minorHAnsi"/>
          <w:i/>
        </w:rPr>
        <w:t xml:space="preserve"> PBAC outcome.</w:t>
      </w:r>
    </w:p>
    <w:bookmarkEnd w:id="105"/>
    <w:p w14:paraId="1DF46DC7" w14:textId="77777777" w:rsidR="008A494F" w:rsidRDefault="008A494F" w:rsidP="00873AF3">
      <w:pPr>
        <w:pStyle w:val="COMH1-numbered"/>
      </w:pPr>
      <w:r w:rsidRPr="00D04DB4">
        <w:t>PBAC Outcome</w:t>
      </w:r>
    </w:p>
    <w:p w14:paraId="4524274F" w14:textId="77777777" w:rsidR="008A494F" w:rsidRPr="00187BAC" w:rsidRDefault="008A494F" w:rsidP="00873AF3">
      <w:pPr>
        <w:pStyle w:val="COMexecsummnumbered"/>
        <w:spacing w:before="60" w:after="60"/>
        <w:rPr>
          <w:snapToGrid w:val="0"/>
        </w:rPr>
      </w:pPr>
      <w:r>
        <w:rPr>
          <w:snapToGrid w:val="0"/>
        </w:rPr>
        <w:t xml:space="preserve">The PBAC provided further advice in regard to its March 2025 recommendation for rozanolixizumab </w:t>
      </w:r>
      <w:r w:rsidRPr="006F04EE">
        <w:rPr>
          <w:snapToGrid w:val="0"/>
        </w:rPr>
        <w:t xml:space="preserve">for </w:t>
      </w:r>
      <w:r>
        <w:rPr>
          <w:snapToGrid w:val="0"/>
        </w:rPr>
        <w:t xml:space="preserve">the treatment of </w:t>
      </w:r>
      <w:r w:rsidRPr="002628B5">
        <w:rPr>
          <w:snapToGrid w:val="0"/>
          <w:lang w:val="en-GB" w:eastAsia="en-US"/>
        </w:rPr>
        <w:t>generalised myasthenia gravis (gMG</w:t>
      </w:r>
      <w:r>
        <w:rPr>
          <w:snapToGrid w:val="0"/>
        </w:rPr>
        <w:t>). T</w:t>
      </w:r>
      <w:r w:rsidRPr="00187BAC">
        <w:rPr>
          <w:snapToGrid w:val="0"/>
        </w:rPr>
        <w:t xml:space="preserve">he PBAC </w:t>
      </w:r>
      <w:r>
        <w:rPr>
          <w:snapToGrid w:val="0"/>
        </w:rPr>
        <w:t xml:space="preserve">considered that the </w:t>
      </w:r>
      <w:r w:rsidRPr="002A0AAB">
        <w:rPr>
          <w:snapToGrid w:val="0"/>
        </w:rPr>
        <w:t xml:space="preserve">average annual dose of rozanolixizumab </w:t>
      </w:r>
      <w:r w:rsidRPr="00187BAC">
        <w:rPr>
          <w:snapToGrid w:val="0"/>
        </w:rPr>
        <w:t xml:space="preserve">outlined in the </w:t>
      </w:r>
      <w:r>
        <w:rPr>
          <w:snapToGrid w:val="0"/>
        </w:rPr>
        <w:t xml:space="preserve">submission (i.e. </w:t>
      </w:r>
      <w:r w:rsidRPr="00C9446F">
        <w:rPr>
          <w:snapToGrid w:val="0"/>
        </w:rPr>
        <w:t>10,508 mg</w:t>
      </w:r>
      <w:r>
        <w:rPr>
          <w:snapToGrid w:val="0"/>
        </w:rPr>
        <w:t>)</w:t>
      </w:r>
      <w:r w:rsidRPr="00C9446F">
        <w:rPr>
          <w:snapToGrid w:val="0"/>
        </w:rPr>
        <w:t xml:space="preserve"> </w:t>
      </w:r>
      <w:r>
        <w:rPr>
          <w:snapToGrid w:val="0"/>
        </w:rPr>
        <w:t>would be reasonable for the purposes of the cost-comparison calculations and financial estimates, a</w:t>
      </w:r>
      <w:r w:rsidRPr="00DA451B">
        <w:rPr>
          <w:snapToGrid w:val="0"/>
        </w:rPr>
        <w:t>nd reaffirmed its advice that an RSA would be required to mitigate the risk of an increase in the frequency of cycles received over time (as well as use outside the restriction)</w:t>
      </w:r>
      <w:r>
        <w:rPr>
          <w:snapToGrid w:val="0"/>
        </w:rPr>
        <w:t xml:space="preserve">. </w:t>
      </w:r>
      <w:r w:rsidRPr="00187BAC">
        <w:rPr>
          <w:snapToGrid w:val="0"/>
        </w:rPr>
        <w:t>As such, the PBAC</w:t>
      </w:r>
      <w:r>
        <w:rPr>
          <w:snapToGrid w:val="0"/>
        </w:rPr>
        <w:t xml:space="preserve"> advised </w:t>
      </w:r>
      <w:r w:rsidRPr="00187BAC">
        <w:rPr>
          <w:snapToGrid w:val="0"/>
        </w:rPr>
        <w:t xml:space="preserve">that the cost-effectiveness of </w:t>
      </w:r>
      <w:r>
        <w:rPr>
          <w:snapToGrid w:val="0"/>
        </w:rPr>
        <w:t>rozanolixizumab</w:t>
      </w:r>
      <w:r w:rsidRPr="00187BAC">
        <w:rPr>
          <w:snapToGrid w:val="0"/>
        </w:rPr>
        <w:t xml:space="preserve"> would be acceptable </w:t>
      </w:r>
      <w:r>
        <w:rPr>
          <w:snapToGrid w:val="0"/>
        </w:rPr>
        <w:t xml:space="preserve">based on a cost-comparison versus IVIg </w:t>
      </w:r>
      <w:r w:rsidRPr="00187BAC">
        <w:rPr>
          <w:snapToGrid w:val="0"/>
        </w:rPr>
        <w:t xml:space="preserve">using the revised </w:t>
      </w:r>
      <w:r>
        <w:rPr>
          <w:snapToGrid w:val="0"/>
        </w:rPr>
        <w:t xml:space="preserve">rozanolixizumab </w:t>
      </w:r>
      <w:r w:rsidRPr="00187BAC">
        <w:rPr>
          <w:snapToGrid w:val="0"/>
        </w:rPr>
        <w:t xml:space="preserve">dose. </w:t>
      </w:r>
    </w:p>
    <w:p w14:paraId="1704EE7F" w14:textId="77777777" w:rsidR="008A494F" w:rsidRPr="00126C3B" w:rsidRDefault="008A494F" w:rsidP="00873AF3">
      <w:pPr>
        <w:pStyle w:val="COMexecsummnumbered"/>
        <w:spacing w:before="60" w:after="60"/>
        <w:rPr>
          <w:snapToGrid w:val="0"/>
        </w:rPr>
      </w:pPr>
      <w:r w:rsidRPr="00687BFF">
        <w:rPr>
          <w:iCs/>
          <w:snapToGrid w:val="0"/>
        </w:rPr>
        <w:t>The</w:t>
      </w:r>
      <w:r w:rsidRPr="00687BFF">
        <w:rPr>
          <w:snapToGrid w:val="0"/>
        </w:rPr>
        <w:t xml:space="preserve"> PBAC reaffirmed its </w:t>
      </w:r>
      <w:r>
        <w:rPr>
          <w:snapToGrid w:val="0"/>
        </w:rPr>
        <w:t>March</w:t>
      </w:r>
      <w:r w:rsidRPr="00687BFF">
        <w:rPr>
          <w:snapToGrid w:val="0"/>
        </w:rPr>
        <w:t xml:space="preserve"> 202</w:t>
      </w:r>
      <w:r>
        <w:rPr>
          <w:snapToGrid w:val="0"/>
        </w:rPr>
        <w:t>5</w:t>
      </w:r>
      <w:r w:rsidRPr="00687BFF">
        <w:rPr>
          <w:snapToGrid w:val="0"/>
        </w:rPr>
        <w:t xml:space="preserve"> advice that </w:t>
      </w:r>
      <w:r w:rsidRPr="00973D8F">
        <w:rPr>
          <w:snapToGrid w:val="0"/>
        </w:rPr>
        <w:t xml:space="preserve">rozanolixizumab has non-inferior comparative effectiveness and safety versus chronic IVIg and also against zilucoplan, efgartigimod and ravulizumab </w:t>
      </w:r>
      <w:r w:rsidRPr="00126C3B">
        <w:rPr>
          <w:snapToGrid w:val="0"/>
        </w:rPr>
        <w:t xml:space="preserve">(paragraph </w:t>
      </w:r>
      <w:r>
        <w:rPr>
          <w:snapToGrid w:val="0"/>
        </w:rPr>
        <w:t>8.19</w:t>
      </w:r>
      <w:r w:rsidRPr="00126C3B">
        <w:rPr>
          <w:snapToGrid w:val="0"/>
        </w:rPr>
        <w:t>,</w:t>
      </w:r>
      <w:r w:rsidRPr="00687BFF">
        <w:t xml:space="preserve"> </w:t>
      </w:r>
      <w:r>
        <w:t>rozanolixizumab PSD</w:t>
      </w:r>
      <w:r w:rsidRPr="00687BFF">
        <w:t>, March 202</w:t>
      </w:r>
      <w:r>
        <w:t>5</w:t>
      </w:r>
      <w:r w:rsidRPr="00687BFF">
        <w:t xml:space="preserve"> PBAC Meeting)</w:t>
      </w:r>
      <w:r w:rsidRPr="00126C3B">
        <w:rPr>
          <w:snapToGrid w:val="0"/>
        </w:rPr>
        <w:t>.</w:t>
      </w:r>
    </w:p>
    <w:p w14:paraId="333E4E16" w14:textId="2D295F1E" w:rsidR="008A494F" w:rsidRPr="009F1BA6" w:rsidRDefault="008A494F" w:rsidP="00873AF3">
      <w:pPr>
        <w:pStyle w:val="COMexecsummnumbered"/>
        <w:spacing w:before="60" w:after="60"/>
        <w:rPr>
          <w:rFonts w:eastAsiaTheme="majorEastAsia"/>
          <w:snapToGrid w:val="0"/>
        </w:rPr>
      </w:pPr>
      <w:bookmarkStart w:id="106" w:name="_Ref184370946"/>
      <w:r>
        <w:rPr>
          <w:snapToGrid w:val="0"/>
        </w:rPr>
        <w:t xml:space="preserve">The PBAC noted the submission proposed that the average annual dose of rozanolixizumab should be </w:t>
      </w:r>
      <w:r w:rsidRPr="00147CE3">
        <w:rPr>
          <w:snapToGrid w:val="0"/>
        </w:rPr>
        <w:t>10,508 mg</w:t>
      </w:r>
      <w:r>
        <w:rPr>
          <w:snapToGrid w:val="0"/>
        </w:rPr>
        <w:t>,</w:t>
      </w:r>
      <w:r w:rsidRPr="00147CE3">
        <w:rPr>
          <w:snapToGrid w:val="0"/>
        </w:rPr>
        <w:t xml:space="preserve"> </w:t>
      </w:r>
      <w:r>
        <w:rPr>
          <w:snapToGrid w:val="0"/>
        </w:rPr>
        <w:t xml:space="preserve">based on the average number of infusions reported in the Safety Pool S2 </w:t>
      </w:r>
      <w:r w:rsidRPr="00820CB6">
        <w:rPr>
          <w:snapToGrid w:val="0"/>
        </w:rPr>
        <w:t xml:space="preserve">(8 July 2022 data cut) </w:t>
      </w:r>
      <w:r>
        <w:rPr>
          <w:snapToGrid w:val="0"/>
        </w:rPr>
        <w:t xml:space="preserve">which excluded patients who received chronic dosing. On the other hand, the average dose advised by the PBAC in March 2025 (12,711 mg) was based on the safety set of the final MG0007 (open label extension study) which included some data from patients who had received continuous dosing or a fixed cycle. The submission </w:t>
      </w:r>
      <w:r w:rsidRPr="00407B80">
        <w:rPr>
          <w:snapToGrid w:val="0"/>
        </w:rPr>
        <w:t>argued that the Product Information for rozanolixizumab states “each subsequent treatment cycle may be administered based on clinical evaluation of symptom recurrence”</w:t>
      </w:r>
      <w:r>
        <w:rPr>
          <w:snapToGrid w:val="0"/>
        </w:rPr>
        <w:t>, which supported the use of the Safety Pool S2 dataset.</w:t>
      </w:r>
      <w:r w:rsidRPr="006F04EE">
        <w:rPr>
          <w:snapToGrid w:val="0"/>
        </w:rPr>
        <w:t xml:space="preserve"> </w:t>
      </w:r>
      <w:bookmarkEnd w:id="106"/>
      <w:r>
        <w:rPr>
          <w:snapToGrid w:val="0"/>
        </w:rPr>
        <w:t>The PBAC accepted the annual dose of rozanolixizumab outlined in the submission i.e.</w:t>
      </w:r>
      <w:r w:rsidR="006C76C8">
        <w:rPr>
          <w:snapToGrid w:val="0"/>
        </w:rPr>
        <w:t>,</w:t>
      </w:r>
      <w:r>
        <w:rPr>
          <w:snapToGrid w:val="0"/>
        </w:rPr>
        <w:t xml:space="preserve"> an average annual rozanolixizumab dose of </w:t>
      </w:r>
      <w:r w:rsidRPr="008A0F47">
        <w:rPr>
          <w:snapToGrid w:val="0"/>
        </w:rPr>
        <w:t>10,508 mg</w:t>
      </w:r>
      <w:r>
        <w:rPr>
          <w:snapToGrid w:val="0"/>
        </w:rPr>
        <w:t>.</w:t>
      </w:r>
    </w:p>
    <w:p w14:paraId="7846748F" w14:textId="65CAFB2A" w:rsidR="008A494F" w:rsidRPr="0005484C" w:rsidRDefault="008A494F" w:rsidP="00873AF3">
      <w:pPr>
        <w:pStyle w:val="COMexecsummnumbered"/>
        <w:spacing w:before="60" w:after="60"/>
        <w:rPr>
          <w:rFonts w:eastAsiaTheme="majorEastAsia"/>
          <w:snapToGrid w:val="0"/>
        </w:rPr>
      </w:pPr>
      <w:r>
        <w:rPr>
          <w:snapToGrid w:val="0"/>
        </w:rPr>
        <w:t xml:space="preserve">However, the PBAC considered there was a risk that the average annual dose in clinical practice may be higher than </w:t>
      </w:r>
      <w:r w:rsidRPr="008A0F47">
        <w:rPr>
          <w:snapToGrid w:val="0"/>
        </w:rPr>
        <w:t>10,508 mg</w:t>
      </w:r>
      <w:r>
        <w:rPr>
          <w:snapToGrid w:val="0"/>
        </w:rPr>
        <w:t xml:space="preserve"> per year given: strict re-treatment criteria were a</w:t>
      </w:r>
      <w:r w:rsidRPr="00F943DC">
        <w:rPr>
          <w:snapToGrid w:val="0"/>
        </w:rPr>
        <w:t xml:space="preserve">pplied in MG0003 and MG0007 </w:t>
      </w:r>
      <w:r>
        <w:rPr>
          <w:snapToGrid w:val="0"/>
        </w:rPr>
        <w:t>which would be</w:t>
      </w:r>
      <w:r w:rsidRPr="00F943DC">
        <w:rPr>
          <w:snapToGrid w:val="0"/>
        </w:rPr>
        <w:t xml:space="preserve"> difficult to implement in practice (refer to paragraphs 6.74 and 8.11)</w:t>
      </w:r>
      <w:r>
        <w:rPr>
          <w:snapToGrid w:val="0"/>
        </w:rPr>
        <w:t xml:space="preserve">; the data are based on the </w:t>
      </w:r>
      <w:r w:rsidRPr="009341A5">
        <w:rPr>
          <w:snapToGrid w:val="0"/>
        </w:rPr>
        <w:t>mean number of infusions across both the 7mg/kg and 10mg/kg dosing groups (i.e.</w:t>
      </w:r>
      <w:r w:rsidR="006C76C8">
        <w:rPr>
          <w:snapToGrid w:val="0"/>
        </w:rPr>
        <w:t>,</w:t>
      </w:r>
      <w:r w:rsidRPr="009341A5">
        <w:rPr>
          <w:snapToGrid w:val="0"/>
        </w:rPr>
        <w:t xml:space="preserve"> it includes doses that are higher than recommended in the PI, as only the 7mg/kg dose is in the PI)</w:t>
      </w:r>
      <w:r>
        <w:rPr>
          <w:snapToGrid w:val="0"/>
        </w:rPr>
        <w:t xml:space="preserve">; the potential for </w:t>
      </w:r>
      <w:r w:rsidRPr="00A7606D">
        <w:rPr>
          <w:snapToGrid w:val="0"/>
        </w:rPr>
        <w:t>decreasing treatment-free intervals over time</w:t>
      </w:r>
      <w:r>
        <w:rPr>
          <w:snapToGrid w:val="0"/>
        </w:rPr>
        <w:t>;</w:t>
      </w:r>
      <w:r w:rsidRPr="00A7606D">
        <w:rPr>
          <w:snapToGrid w:val="0"/>
        </w:rPr>
        <w:t xml:space="preserve"> </w:t>
      </w:r>
      <w:r>
        <w:rPr>
          <w:snapToGrid w:val="0"/>
        </w:rPr>
        <w:t>and r</w:t>
      </w:r>
      <w:r w:rsidRPr="00F943DC">
        <w:rPr>
          <w:snapToGrid w:val="0"/>
        </w:rPr>
        <w:t xml:space="preserve">eal world data for efgartigimod (another FcRN blocker) indicated a higher number of cycles per patient per year in clinical practice (in the United States) compared </w:t>
      </w:r>
      <w:r>
        <w:rPr>
          <w:snapToGrid w:val="0"/>
        </w:rPr>
        <w:t>with</w:t>
      </w:r>
      <w:r w:rsidRPr="00F943DC">
        <w:rPr>
          <w:snapToGrid w:val="0"/>
        </w:rPr>
        <w:t xml:space="preserve"> the clinical trial for that drug (para</w:t>
      </w:r>
      <w:r>
        <w:rPr>
          <w:snapToGrid w:val="0"/>
        </w:rPr>
        <w:t>graph</w:t>
      </w:r>
      <w:r w:rsidRPr="00F943DC">
        <w:rPr>
          <w:snapToGrid w:val="0"/>
        </w:rPr>
        <w:t xml:space="preserve"> 6.103</w:t>
      </w:r>
      <w:r>
        <w:rPr>
          <w:snapToGrid w:val="0"/>
        </w:rPr>
        <w:t xml:space="preserve">, </w:t>
      </w:r>
      <w:r w:rsidRPr="00F943DC">
        <w:rPr>
          <w:snapToGrid w:val="0"/>
        </w:rPr>
        <w:t xml:space="preserve">efgartigimod </w:t>
      </w:r>
      <w:r>
        <w:rPr>
          <w:snapToGrid w:val="0"/>
        </w:rPr>
        <w:t xml:space="preserve">Public Summary Document, </w:t>
      </w:r>
      <w:r w:rsidRPr="00687BFF">
        <w:t>March 202</w:t>
      </w:r>
      <w:r>
        <w:t>5</w:t>
      </w:r>
      <w:r w:rsidRPr="00687BFF">
        <w:t xml:space="preserve"> PBAC Meeting</w:t>
      </w:r>
      <w:r w:rsidRPr="00F943DC">
        <w:rPr>
          <w:snapToGrid w:val="0"/>
        </w:rPr>
        <w:t>).</w:t>
      </w:r>
      <w:r>
        <w:rPr>
          <w:snapToGrid w:val="0"/>
        </w:rPr>
        <w:t xml:space="preserve"> Thus, the PBAC re-iterated that the </w:t>
      </w:r>
      <w:r w:rsidRPr="00167FD8">
        <w:rPr>
          <w:snapToGrid w:val="0"/>
        </w:rPr>
        <w:t>RSA would need to mitigate the risk of an increase in the frequency of cycles received over time</w:t>
      </w:r>
      <w:r>
        <w:rPr>
          <w:snapToGrid w:val="0"/>
        </w:rPr>
        <w:t xml:space="preserve"> (paragraph 8.32)</w:t>
      </w:r>
      <w:r w:rsidRPr="00167FD8">
        <w:rPr>
          <w:snapToGrid w:val="0"/>
        </w:rPr>
        <w:t>.</w:t>
      </w:r>
    </w:p>
    <w:p w14:paraId="41F29898" w14:textId="77777777" w:rsidR="008A494F" w:rsidRPr="007E0A9B" w:rsidRDefault="008A494F" w:rsidP="00873AF3">
      <w:pPr>
        <w:pStyle w:val="COMexecsummnumbered"/>
        <w:spacing w:before="60" w:after="60"/>
        <w:rPr>
          <w:rFonts w:eastAsiaTheme="majorEastAsia"/>
          <w:snapToGrid w:val="0"/>
        </w:rPr>
      </w:pPr>
      <w:r w:rsidRPr="0005484C">
        <w:rPr>
          <w:rFonts w:eastAsiaTheme="majorEastAsia"/>
          <w:snapToGrid w:val="0"/>
        </w:rPr>
        <w:t xml:space="preserve">The PBAC </w:t>
      </w:r>
      <w:r>
        <w:rPr>
          <w:rFonts w:eastAsiaTheme="majorEastAsia"/>
          <w:snapToGrid w:val="0"/>
        </w:rPr>
        <w:t>reiterated its previous advice regarding the financial estimates and the RSA, including:</w:t>
      </w:r>
      <w:r w:rsidRPr="0005484C">
        <w:rPr>
          <w:rFonts w:eastAsiaTheme="majorEastAsia"/>
          <w:snapToGrid w:val="0"/>
        </w:rPr>
        <w:t xml:space="preserve"> the dose assumptions (e.g. number of doses per patient per year) in the financial estimates should be the same as those applied in the cost-comparison</w:t>
      </w:r>
      <w:r>
        <w:rPr>
          <w:rFonts w:eastAsiaTheme="majorEastAsia"/>
          <w:snapToGrid w:val="0"/>
        </w:rPr>
        <w:t xml:space="preserve"> (paragraph 8.29); and </w:t>
      </w:r>
      <w:r w:rsidRPr="00C50E03">
        <w:rPr>
          <w:rFonts w:eastAsiaTheme="majorEastAsia"/>
          <w:snapToGrid w:val="0"/>
        </w:rPr>
        <w:t>the Department and each sponsor should work to ensure the cost per patient does not exceed the estimates in the cost-comparison and the financials</w:t>
      </w:r>
      <w:r>
        <w:rPr>
          <w:rFonts w:eastAsiaTheme="majorEastAsia"/>
          <w:snapToGrid w:val="0"/>
        </w:rPr>
        <w:t xml:space="preserve"> (paragraph 8.32)</w:t>
      </w:r>
      <w:r w:rsidRPr="00C50E03">
        <w:rPr>
          <w:rFonts w:eastAsiaTheme="majorEastAsia"/>
          <w:snapToGrid w:val="0"/>
        </w:rPr>
        <w:t>.</w:t>
      </w:r>
    </w:p>
    <w:p w14:paraId="12D4E8CC" w14:textId="77777777" w:rsidR="008A494F" w:rsidRPr="00D04DB4" w:rsidRDefault="008A494F" w:rsidP="00873AF3">
      <w:pPr>
        <w:keepNext/>
        <w:keepLines/>
        <w:spacing w:before="240"/>
        <w:rPr>
          <w:rFonts w:asciiTheme="minorHAnsi" w:hAnsiTheme="minorHAnsi"/>
          <w:b/>
          <w:bCs/>
          <w:snapToGrid w:val="0"/>
          <w:lang w:val="en-GB" w:eastAsia="en-US"/>
        </w:rPr>
      </w:pPr>
      <w:r w:rsidRPr="00D04DB4">
        <w:rPr>
          <w:rFonts w:asciiTheme="minorHAnsi" w:hAnsiTheme="minorHAnsi"/>
          <w:b/>
          <w:bCs/>
          <w:snapToGrid w:val="0"/>
          <w:lang w:val="en-GB" w:eastAsia="en-US"/>
        </w:rPr>
        <w:t>Outcome:</w:t>
      </w:r>
    </w:p>
    <w:p w14:paraId="0CF38AF7" w14:textId="77777777" w:rsidR="008A494F" w:rsidRDefault="008A494F" w:rsidP="00873AF3">
      <w:pPr>
        <w:keepNext/>
        <w:keepLines/>
        <w:spacing w:after="120"/>
        <w:rPr>
          <w:rFonts w:asciiTheme="minorHAnsi" w:hAnsiTheme="minorHAnsi"/>
          <w:bCs/>
          <w:snapToGrid w:val="0"/>
          <w:lang w:val="en-GB" w:eastAsia="en-US"/>
        </w:rPr>
      </w:pPr>
      <w:r>
        <w:rPr>
          <w:rFonts w:asciiTheme="minorHAnsi" w:hAnsiTheme="minorHAnsi"/>
          <w:bCs/>
          <w:snapToGrid w:val="0"/>
          <w:lang w:val="en-GB" w:eastAsia="en-US"/>
        </w:rPr>
        <w:t>Advice provided</w:t>
      </w:r>
    </w:p>
    <w:p w14:paraId="7626E9B0" w14:textId="77777777" w:rsidR="008A494F" w:rsidRDefault="008A494F" w:rsidP="00873AF3">
      <w:pPr>
        <w:tabs>
          <w:tab w:val="left" w:pos="1080"/>
        </w:tabs>
        <w:autoSpaceDE w:val="0"/>
        <w:autoSpaceDN w:val="0"/>
        <w:adjustRightInd w:val="0"/>
        <w:rPr>
          <w:rFonts w:asciiTheme="minorHAnsi" w:hAnsiTheme="minorHAnsi" w:cstheme="minorHAnsi"/>
        </w:rPr>
      </w:pPr>
    </w:p>
    <w:p w14:paraId="4DDFFB79" w14:textId="77777777" w:rsidR="008A494F" w:rsidRPr="00B93121" w:rsidRDefault="008A494F" w:rsidP="00873AF3">
      <w:pPr>
        <w:keepNext/>
        <w:numPr>
          <w:ilvl w:val="0"/>
          <w:numId w:val="1"/>
        </w:numPr>
        <w:spacing w:before="240" w:after="120"/>
        <w:jc w:val="left"/>
        <w:outlineLvl w:val="0"/>
        <w:rPr>
          <w:rFonts w:asciiTheme="minorHAnsi" w:hAnsiTheme="minorHAnsi"/>
          <w:b/>
          <w:snapToGrid w:val="0"/>
          <w:sz w:val="32"/>
          <w:szCs w:val="32"/>
        </w:rPr>
      </w:pPr>
      <w:r w:rsidRPr="00B93121">
        <w:rPr>
          <w:rFonts w:asciiTheme="minorHAnsi" w:hAnsiTheme="minorHAnsi"/>
          <w:b/>
          <w:snapToGrid w:val="0"/>
          <w:sz w:val="32"/>
          <w:szCs w:val="32"/>
        </w:rPr>
        <w:t>Recommended listing</w:t>
      </w:r>
    </w:p>
    <w:p w14:paraId="24BF3896" w14:textId="77777777" w:rsidR="008A494F" w:rsidRDefault="008A494F" w:rsidP="00873AF3">
      <w:pPr>
        <w:spacing w:after="120"/>
        <w:ind w:left="567"/>
        <w:contextualSpacing/>
        <w:rPr>
          <w:rFonts w:asciiTheme="minorHAnsi" w:hAnsiTheme="minorHAnsi"/>
          <w:bCs/>
          <w:snapToGrid w:val="0"/>
          <w:lang w:eastAsia="en-US"/>
        </w:rPr>
      </w:pPr>
      <w:r w:rsidRPr="001F609E">
        <w:rPr>
          <w:rFonts w:asciiTheme="minorHAnsi" w:hAnsiTheme="minorHAnsi"/>
          <w:bCs/>
          <w:snapToGrid w:val="0"/>
          <w:lang w:eastAsia="en-US"/>
        </w:rPr>
        <w:t>Th</w:t>
      </w:r>
      <w:r>
        <w:rPr>
          <w:rFonts w:asciiTheme="minorHAnsi" w:hAnsiTheme="minorHAnsi"/>
          <w:bCs/>
          <w:snapToGrid w:val="0"/>
          <w:lang w:eastAsia="en-US"/>
        </w:rPr>
        <w:t>e</w:t>
      </w:r>
      <w:r w:rsidRPr="001F609E">
        <w:rPr>
          <w:rFonts w:asciiTheme="minorHAnsi" w:hAnsiTheme="minorHAnsi"/>
          <w:bCs/>
          <w:snapToGrid w:val="0"/>
          <w:lang w:eastAsia="en-US"/>
        </w:rPr>
        <w:t xml:space="preserve"> </w:t>
      </w:r>
      <w:r>
        <w:rPr>
          <w:rFonts w:asciiTheme="minorHAnsi" w:hAnsiTheme="minorHAnsi"/>
          <w:bCs/>
          <w:snapToGrid w:val="0"/>
          <w:lang w:eastAsia="en-US"/>
        </w:rPr>
        <w:t xml:space="preserve">finalised </w:t>
      </w:r>
      <w:r w:rsidRPr="001F609E">
        <w:rPr>
          <w:rFonts w:asciiTheme="minorHAnsi" w:hAnsiTheme="minorHAnsi"/>
          <w:bCs/>
          <w:snapToGrid w:val="0"/>
          <w:lang w:eastAsia="en-US"/>
        </w:rPr>
        <w:t>restriction</w:t>
      </w:r>
      <w:r>
        <w:rPr>
          <w:rFonts w:asciiTheme="minorHAnsi" w:hAnsiTheme="minorHAnsi"/>
          <w:bCs/>
          <w:snapToGrid w:val="0"/>
          <w:lang w:eastAsia="en-US"/>
        </w:rPr>
        <w:t>s for listing</w:t>
      </w:r>
      <w:r w:rsidRPr="001F609E">
        <w:rPr>
          <w:rFonts w:asciiTheme="minorHAnsi" w:hAnsiTheme="minorHAnsi"/>
          <w:bCs/>
          <w:snapToGrid w:val="0"/>
          <w:lang w:eastAsia="en-US"/>
        </w:rPr>
        <w:t xml:space="preserve"> </w:t>
      </w:r>
      <w:r>
        <w:rPr>
          <w:rFonts w:asciiTheme="minorHAnsi" w:hAnsiTheme="minorHAnsi"/>
          <w:bCs/>
          <w:snapToGrid w:val="0"/>
          <w:lang w:eastAsia="en-US"/>
        </w:rPr>
        <w:t>are presented as follows. Add new listing:</w:t>
      </w:r>
    </w:p>
    <w:p w14:paraId="56EA8DFC" w14:textId="77777777" w:rsidR="008A494F" w:rsidRPr="002D6116" w:rsidRDefault="008A494F" w:rsidP="00873AF3">
      <w:pPr>
        <w:pStyle w:val="Heading2"/>
        <w:spacing w:after="0"/>
        <w:rPr>
          <w:bCs/>
          <w:i w:val="0"/>
          <w:iCs/>
          <w:snapToGrid w:val="0"/>
          <w:sz w:val="24"/>
          <w:lang w:eastAsia="en-US"/>
        </w:rPr>
      </w:pPr>
      <w:bookmarkStart w:id="107" w:name="_Hlk193808601"/>
      <w:bookmarkStart w:id="108" w:name="_Hlk214373557"/>
      <w:r w:rsidRPr="002D6116">
        <w:rPr>
          <w:bCs/>
          <w:i w:val="0"/>
          <w:iCs/>
          <w:snapToGrid w:val="0"/>
          <w:sz w:val="24"/>
          <w:lang w:eastAsia="en-US"/>
        </w:rPr>
        <w:t>Acute severe patients</w:t>
      </w: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acute severe patients"/>
      </w:tblPr>
      <w:tblGrid>
        <w:gridCol w:w="3257"/>
        <w:gridCol w:w="1701"/>
        <w:gridCol w:w="850"/>
        <w:gridCol w:w="851"/>
        <w:gridCol w:w="992"/>
        <w:gridCol w:w="1420"/>
      </w:tblGrid>
      <w:tr w:rsidR="008A494F" w:rsidRPr="009C1AA2" w14:paraId="4EB375CA" w14:textId="77777777" w:rsidTr="00A13181">
        <w:trPr>
          <w:cantSplit/>
          <w:trHeight w:val="300"/>
        </w:trPr>
        <w:tc>
          <w:tcPr>
            <w:tcW w:w="3257" w:type="dxa"/>
            <w:vAlign w:val="center"/>
          </w:tcPr>
          <w:bookmarkEnd w:id="107"/>
          <w:p w14:paraId="7F55DEED" w14:textId="77777777" w:rsidR="008A494F" w:rsidRPr="009C1AA2" w:rsidRDefault="008A494F" w:rsidP="00873AF3">
            <w:pPr>
              <w:keepLines/>
              <w:jc w:val="left"/>
              <w:rPr>
                <w:rFonts w:ascii="Arial Narrow" w:eastAsia="Aptos" w:hAnsi="Arial Narrow"/>
                <w:b/>
                <w:bCs/>
                <w:kern w:val="2"/>
                <w:sz w:val="20"/>
                <w:szCs w:val="20"/>
                <w:lang w:eastAsia="en-US"/>
                <w14:ligatures w14:val="standardContextual"/>
              </w:rPr>
            </w:pPr>
            <w:r w:rsidRPr="009C1AA2">
              <w:rPr>
                <w:rFonts w:ascii="Arial Narrow" w:eastAsia="Aptos" w:hAnsi="Arial Narrow"/>
                <w:b/>
                <w:bCs/>
                <w:kern w:val="2"/>
                <w:sz w:val="20"/>
                <w:szCs w:val="20"/>
                <w:lang w:eastAsia="en-US"/>
                <w14:ligatures w14:val="standardContextual"/>
              </w:rPr>
              <w:t>MEDICINAL PRODUCT</w:t>
            </w:r>
          </w:p>
          <w:p w14:paraId="1C5616E5" w14:textId="77777777" w:rsidR="008A494F" w:rsidRPr="009C1AA2" w:rsidRDefault="008A494F" w:rsidP="00873AF3">
            <w:pPr>
              <w:keepLines/>
              <w:jc w:val="left"/>
              <w:rPr>
                <w:rFonts w:ascii="Arial Narrow" w:eastAsia="Aptos" w:hAnsi="Arial Narrow"/>
                <w:b/>
                <w:kern w:val="2"/>
                <w:sz w:val="20"/>
                <w:szCs w:val="20"/>
                <w:lang w:eastAsia="en-US"/>
                <w14:ligatures w14:val="standardContextual"/>
              </w:rPr>
            </w:pPr>
            <w:r w:rsidRPr="009C1AA2">
              <w:rPr>
                <w:rFonts w:ascii="Arial Narrow" w:eastAsia="Aptos" w:hAnsi="Arial Narrow"/>
                <w:b/>
                <w:bCs/>
                <w:kern w:val="2"/>
                <w:sz w:val="20"/>
                <w:szCs w:val="20"/>
                <w:lang w:eastAsia="en-US"/>
                <w14:ligatures w14:val="standardContextual"/>
              </w:rPr>
              <w:t>medicinal product pack</w:t>
            </w:r>
          </w:p>
        </w:tc>
        <w:tc>
          <w:tcPr>
            <w:tcW w:w="1701" w:type="dxa"/>
            <w:vAlign w:val="center"/>
          </w:tcPr>
          <w:p w14:paraId="2DB91F24" w14:textId="77777777" w:rsidR="008A494F" w:rsidRPr="009C1AA2" w:rsidRDefault="008A494F" w:rsidP="00873AF3">
            <w:pPr>
              <w:keepLines/>
              <w:jc w:val="center"/>
              <w:rPr>
                <w:rFonts w:ascii="Arial Narrow" w:eastAsia="Aptos" w:hAnsi="Arial Narrow"/>
                <w:b/>
                <w:kern w:val="2"/>
                <w:sz w:val="20"/>
                <w:szCs w:val="20"/>
                <w:lang w:eastAsia="en-US"/>
                <w14:ligatures w14:val="standardContextual"/>
              </w:rPr>
            </w:pPr>
            <w:r w:rsidRPr="009C1AA2">
              <w:rPr>
                <w:rFonts w:ascii="Arial Narrow" w:eastAsia="Aptos" w:hAnsi="Arial Narrow"/>
                <w:b/>
                <w:kern w:val="2"/>
                <w:sz w:val="20"/>
                <w:szCs w:val="20"/>
                <w:lang w:eastAsia="en-US"/>
                <w14:ligatures w14:val="standardContextual"/>
              </w:rPr>
              <w:t>PBS item code</w:t>
            </w:r>
          </w:p>
        </w:tc>
        <w:tc>
          <w:tcPr>
            <w:tcW w:w="850" w:type="dxa"/>
            <w:vAlign w:val="center"/>
          </w:tcPr>
          <w:p w14:paraId="31EC7AA6" w14:textId="77777777" w:rsidR="008A494F" w:rsidRPr="009C1AA2" w:rsidRDefault="008A494F" w:rsidP="00873AF3">
            <w:pPr>
              <w:keepLines/>
              <w:jc w:val="center"/>
              <w:rPr>
                <w:rFonts w:ascii="Arial Narrow" w:eastAsia="Aptos" w:hAnsi="Arial Narrow"/>
                <w:b/>
                <w:kern w:val="2"/>
                <w:sz w:val="20"/>
                <w:szCs w:val="20"/>
                <w:lang w:eastAsia="en-US"/>
                <w14:ligatures w14:val="standardContextual"/>
              </w:rPr>
            </w:pPr>
            <w:r w:rsidRPr="009C1AA2">
              <w:rPr>
                <w:rFonts w:ascii="Arial Narrow" w:eastAsia="Aptos" w:hAnsi="Arial Narrow"/>
                <w:b/>
                <w:kern w:val="2"/>
                <w:sz w:val="20"/>
                <w:szCs w:val="20"/>
                <w:lang w:eastAsia="en-US"/>
                <w14:ligatures w14:val="standardContextual"/>
              </w:rPr>
              <w:t>Max. qty packs</w:t>
            </w:r>
          </w:p>
        </w:tc>
        <w:tc>
          <w:tcPr>
            <w:tcW w:w="851" w:type="dxa"/>
            <w:vAlign w:val="center"/>
          </w:tcPr>
          <w:p w14:paraId="582A1296" w14:textId="77777777" w:rsidR="008A494F" w:rsidRPr="009C1AA2" w:rsidRDefault="008A494F" w:rsidP="00873AF3">
            <w:pPr>
              <w:keepLines/>
              <w:jc w:val="center"/>
              <w:rPr>
                <w:rFonts w:ascii="Arial Narrow" w:eastAsia="Aptos" w:hAnsi="Arial Narrow"/>
                <w:b/>
                <w:kern w:val="2"/>
                <w:sz w:val="20"/>
                <w:szCs w:val="20"/>
                <w:lang w:eastAsia="en-US"/>
                <w14:ligatures w14:val="standardContextual"/>
              </w:rPr>
            </w:pPr>
            <w:r w:rsidRPr="009C1AA2">
              <w:rPr>
                <w:rFonts w:ascii="Arial Narrow" w:eastAsia="Aptos" w:hAnsi="Arial Narrow"/>
                <w:b/>
                <w:kern w:val="2"/>
                <w:sz w:val="20"/>
                <w:szCs w:val="20"/>
                <w:lang w:eastAsia="en-US"/>
                <w14:ligatures w14:val="standardContextual"/>
              </w:rPr>
              <w:t>Max. qty units</w:t>
            </w:r>
          </w:p>
        </w:tc>
        <w:tc>
          <w:tcPr>
            <w:tcW w:w="992" w:type="dxa"/>
            <w:vAlign w:val="center"/>
          </w:tcPr>
          <w:p w14:paraId="6117EDFD" w14:textId="77777777" w:rsidR="008A494F" w:rsidRPr="009C1AA2" w:rsidRDefault="008A494F" w:rsidP="00873AF3">
            <w:pPr>
              <w:keepLines/>
              <w:jc w:val="center"/>
              <w:rPr>
                <w:rFonts w:ascii="Arial Narrow" w:eastAsia="Aptos" w:hAnsi="Arial Narrow"/>
                <w:b/>
                <w:kern w:val="2"/>
                <w:sz w:val="20"/>
                <w:szCs w:val="20"/>
                <w:lang w:eastAsia="en-US"/>
                <w14:ligatures w14:val="standardContextual"/>
              </w:rPr>
            </w:pPr>
            <w:r w:rsidRPr="009C1AA2">
              <w:rPr>
                <w:rFonts w:ascii="Arial Narrow" w:eastAsia="Aptos" w:hAnsi="Arial Narrow"/>
                <w:b/>
                <w:kern w:val="2"/>
                <w:sz w:val="20"/>
                <w:szCs w:val="20"/>
                <w:lang w:eastAsia="en-US"/>
                <w14:ligatures w14:val="standardContextual"/>
              </w:rPr>
              <w:t>№.of</w:t>
            </w:r>
          </w:p>
          <w:p w14:paraId="6E11F985" w14:textId="77777777" w:rsidR="008A494F" w:rsidRPr="009C1AA2" w:rsidRDefault="008A494F" w:rsidP="00873AF3">
            <w:pPr>
              <w:keepLines/>
              <w:jc w:val="center"/>
              <w:rPr>
                <w:rFonts w:ascii="Arial Narrow" w:eastAsia="Aptos" w:hAnsi="Arial Narrow"/>
                <w:b/>
                <w:kern w:val="2"/>
                <w:sz w:val="20"/>
                <w:szCs w:val="20"/>
                <w:lang w:eastAsia="en-US"/>
                <w14:ligatures w14:val="standardContextual"/>
              </w:rPr>
            </w:pPr>
            <w:r w:rsidRPr="009C1AA2">
              <w:rPr>
                <w:rFonts w:ascii="Arial Narrow" w:eastAsia="Aptos" w:hAnsi="Arial Narrow"/>
                <w:b/>
                <w:kern w:val="2"/>
                <w:sz w:val="20"/>
                <w:szCs w:val="20"/>
                <w:lang w:eastAsia="en-US"/>
                <w14:ligatures w14:val="standardContextual"/>
              </w:rPr>
              <w:t>Rpts</w:t>
            </w:r>
          </w:p>
        </w:tc>
        <w:tc>
          <w:tcPr>
            <w:tcW w:w="1420" w:type="dxa"/>
            <w:vAlign w:val="center"/>
          </w:tcPr>
          <w:p w14:paraId="429E51C3" w14:textId="77777777" w:rsidR="008A494F" w:rsidRPr="009C1AA2" w:rsidRDefault="008A494F" w:rsidP="00873AF3">
            <w:pPr>
              <w:keepLines/>
              <w:jc w:val="left"/>
              <w:rPr>
                <w:rFonts w:ascii="Arial Narrow" w:eastAsia="Aptos" w:hAnsi="Arial Narrow"/>
                <w:b/>
                <w:kern w:val="2"/>
                <w:sz w:val="20"/>
                <w:szCs w:val="20"/>
                <w:lang w:val="fr-FR" w:eastAsia="en-US"/>
                <w14:ligatures w14:val="standardContextual"/>
              </w:rPr>
            </w:pPr>
            <w:r w:rsidRPr="009C1AA2">
              <w:rPr>
                <w:rFonts w:ascii="Arial Narrow" w:eastAsia="Aptos" w:hAnsi="Arial Narrow"/>
                <w:b/>
                <w:kern w:val="2"/>
                <w:sz w:val="20"/>
                <w:szCs w:val="20"/>
                <w:lang w:eastAsia="en-US"/>
                <w14:ligatures w14:val="standardContextual"/>
              </w:rPr>
              <w:t>Available brands</w:t>
            </w:r>
          </w:p>
        </w:tc>
      </w:tr>
      <w:tr w:rsidR="008A494F" w:rsidRPr="009C1AA2" w14:paraId="728AA8EC" w14:textId="77777777" w:rsidTr="00A13181">
        <w:trPr>
          <w:cantSplit/>
          <w:trHeight w:val="20"/>
        </w:trPr>
        <w:tc>
          <w:tcPr>
            <w:tcW w:w="9071" w:type="dxa"/>
            <w:gridSpan w:val="6"/>
            <w:vAlign w:val="center"/>
          </w:tcPr>
          <w:p w14:paraId="55BA98F4" w14:textId="77777777" w:rsidR="008A494F" w:rsidRPr="009C1AA2" w:rsidRDefault="008A494F" w:rsidP="00873AF3">
            <w:pPr>
              <w:keepLines/>
              <w:jc w:val="left"/>
              <w:rPr>
                <w:rFonts w:ascii="Arial Narrow" w:eastAsia="Aptos" w:hAnsi="Arial Narrow"/>
                <w:kern w:val="2"/>
                <w:sz w:val="20"/>
                <w:szCs w:val="20"/>
                <w:lang w:eastAsia="en-US"/>
                <w14:ligatures w14:val="standardContextual"/>
              </w:rPr>
            </w:pPr>
            <w:r w:rsidRPr="009C1AA2">
              <w:rPr>
                <w:rFonts w:ascii="Arial Narrow" w:eastAsia="Aptos" w:hAnsi="Arial Narrow"/>
                <w:kern w:val="2"/>
                <w:sz w:val="20"/>
                <w:szCs w:val="20"/>
                <w:lang w:eastAsia="en-US"/>
                <w14:ligatures w14:val="standardContextual"/>
              </w:rPr>
              <w:t>ROZANOLIXIZUMAB</w:t>
            </w:r>
          </w:p>
        </w:tc>
      </w:tr>
      <w:tr w:rsidR="008A494F" w:rsidRPr="009C1AA2" w14:paraId="014AEE66" w14:textId="77777777" w:rsidTr="00A13181">
        <w:trPr>
          <w:cantSplit/>
          <w:trHeight w:val="20"/>
        </w:trPr>
        <w:tc>
          <w:tcPr>
            <w:tcW w:w="3257" w:type="dxa"/>
            <w:vAlign w:val="center"/>
          </w:tcPr>
          <w:p w14:paraId="4C7F4F3C" w14:textId="77777777" w:rsidR="008A494F" w:rsidRPr="009C1AA2" w:rsidRDefault="008A494F" w:rsidP="00873AF3">
            <w:pPr>
              <w:keepLines/>
              <w:jc w:val="left"/>
              <w:rPr>
                <w:rFonts w:ascii="Arial Narrow" w:eastAsia="Aptos" w:hAnsi="Arial Narrow"/>
                <w:kern w:val="2"/>
                <w:sz w:val="20"/>
                <w:szCs w:val="20"/>
                <w:lang w:eastAsia="en-US"/>
                <w14:ligatures w14:val="standardContextual"/>
              </w:rPr>
            </w:pPr>
            <w:r w:rsidRPr="009C1AA2">
              <w:rPr>
                <w:rFonts w:ascii="Arial Narrow" w:eastAsia="Aptos" w:hAnsi="Arial Narrow"/>
                <w:kern w:val="2"/>
                <w:sz w:val="20"/>
                <w:szCs w:val="20"/>
                <w:lang w:eastAsia="en-US"/>
                <w14:ligatures w14:val="standardContextual"/>
              </w:rPr>
              <w:t xml:space="preserve">rozanolixizumab 280 mg/2mL injection, 2 mL vial </w:t>
            </w:r>
          </w:p>
        </w:tc>
        <w:tc>
          <w:tcPr>
            <w:tcW w:w="1701" w:type="dxa"/>
            <w:vAlign w:val="center"/>
          </w:tcPr>
          <w:p w14:paraId="4B0F810B" w14:textId="77777777" w:rsidR="008A494F" w:rsidRPr="009C1AA2" w:rsidRDefault="008A494F" w:rsidP="00873AF3">
            <w:pPr>
              <w:keepLines/>
              <w:jc w:val="center"/>
              <w:rPr>
                <w:rFonts w:ascii="Arial Narrow" w:eastAsia="Aptos" w:hAnsi="Arial Narrow"/>
                <w:kern w:val="2"/>
                <w:sz w:val="20"/>
                <w:szCs w:val="20"/>
                <w:lang w:eastAsia="en-US"/>
                <w14:ligatures w14:val="standardContextual"/>
              </w:rPr>
            </w:pPr>
            <w:r w:rsidRPr="009C1AA2">
              <w:rPr>
                <w:rFonts w:ascii="Arial Narrow" w:eastAsia="Aptos" w:hAnsi="Arial Narrow"/>
                <w:kern w:val="2"/>
                <w:sz w:val="20"/>
                <w:szCs w:val="20"/>
                <w:lang w:eastAsia="en-US"/>
                <w14:ligatures w14:val="standardContextual"/>
              </w:rPr>
              <w:t>NEW (HSD Public)</w:t>
            </w:r>
          </w:p>
          <w:p w14:paraId="2CD67171" w14:textId="77777777" w:rsidR="008A494F" w:rsidRPr="009C1AA2" w:rsidRDefault="008A494F" w:rsidP="00873AF3">
            <w:pPr>
              <w:keepLines/>
              <w:jc w:val="center"/>
              <w:rPr>
                <w:rFonts w:ascii="Arial Narrow" w:eastAsia="Aptos" w:hAnsi="Arial Narrow"/>
                <w:kern w:val="2"/>
                <w:sz w:val="20"/>
                <w:szCs w:val="20"/>
                <w:lang w:eastAsia="en-US"/>
                <w14:ligatures w14:val="standardContextual"/>
              </w:rPr>
            </w:pPr>
            <w:r w:rsidRPr="009C1AA2">
              <w:rPr>
                <w:rFonts w:ascii="Arial Narrow" w:eastAsia="Aptos" w:hAnsi="Arial Narrow"/>
                <w:kern w:val="2"/>
                <w:sz w:val="20"/>
                <w:szCs w:val="20"/>
                <w:lang w:eastAsia="en-US"/>
                <w14:ligatures w14:val="standardContextual"/>
              </w:rPr>
              <w:t>NEW (HSD Private)</w:t>
            </w:r>
          </w:p>
        </w:tc>
        <w:tc>
          <w:tcPr>
            <w:tcW w:w="850" w:type="dxa"/>
            <w:vAlign w:val="center"/>
          </w:tcPr>
          <w:p w14:paraId="39CACBDA" w14:textId="77777777" w:rsidR="008A494F" w:rsidRPr="009C1AA2" w:rsidRDefault="008A494F" w:rsidP="00873AF3">
            <w:pPr>
              <w:keepLines/>
              <w:jc w:val="center"/>
              <w:rPr>
                <w:rFonts w:ascii="Arial Narrow" w:eastAsia="Aptos" w:hAnsi="Arial Narrow"/>
                <w:kern w:val="2"/>
                <w:sz w:val="20"/>
                <w:szCs w:val="20"/>
                <w:lang w:eastAsia="en-US"/>
                <w14:ligatures w14:val="standardContextual"/>
              </w:rPr>
            </w:pPr>
            <w:r w:rsidRPr="009C1AA2">
              <w:rPr>
                <w:rFonts w:ascii="Arial Narrow" w:eastAsia="Aptos" w:hAnsi="Arial Narrow"/>
                <w:kern w:val="2"/>
                <w:sz w:val="20"/>
                <w:szCs w:val="20"/>
                <w:lang w:eastAsia="en-US"/>
                <w14:ligatures w14:val="standardContextual"/>
              </w:rPr>
              <w:t>18</w:t>
            </w:r>
          </w:p>
        </w:tc>
        <w:tc>
          <w:tcPr>
            <w:tcW w:w="851" w:type="dxa"/>
            <w:vAlign w:val="center"/>
          </w:tcPr>
          <w:p w14:paraId="33FB2ED5" w14:textId="77777777" w:rsidR="008A494F" w:rsidRPr="009C1AA2" w:rsidRDefault="008A494F" w:rsidP="00873AF3">
            <w:pPr>
              <w:keepLines/>
              <w:jc w:val="center"/>
              <w:rPr>
                <w:rFonts w:ascii="Arial Narrow" w:eastAsia="Aptos" w:hAnsi="Arial Narrow"/>
                <w:kern w:val="2"/>
                <w:sz w:val="20"/>
                <w:szCs w:val="20"/>
                <w:lang w:eastAsia="en-US"/>
                <w14:ligatures w14:val="standardContextual"/>
              </w:rPr>
            </w:pPr>
            <w:r w:rsidRPr="009C1AA2">
              <w:rPr>
                <w:rFonts w:ascii="Arial Narrow" w:eastAsia="Aptos" w:hAnsi="Arial Narrow"/>
                <w:kern w:val="2"/>
                <w:sz w:val="20"/>
                <w:szCs w:val="20"/>
                <w:lang w:eastAsia="en-US"/>
                <w14:ligatures w14:val="standardContextual"/>
              </w:rPr>
              <w:t>18</w:t>
            </w:r>
          </w:p>
        </w:tc>
        <w:tc>
          <w:tcPr>
            <w:tcW w:w="992" w:type="dxa"/>
            <w:vAlign w:val="center"/>
          </w:tcPr>
          <w:p w14:paraId="4640638A" w14:textId="77777777" w:rsidR="008A494F" w:rsidRPr="009C1AA2" w:rsidRDefault="008A494F" w:rsidP="00873AF3">
            <w:pPr>
              <w:keepLines/>
              <w:jc w:val="center"/>
              <w:rPr>
                <w:rFonts w:ascii="Arial Narrow" w:eastAsia="Aptos" w:hAnsi="Arial Narrow"/>
                <w:kern w:val="2"/>
                <w:sz w:val="20"/>
                <w:szCs w:val="20"/>
                <w:lang w:eastAsia="en-US"/>
                <w14:ligatures w14:val="standardContextual"/>
              </w:rPr>
            </w:pPr>
            <w:r w:rsidRPr="009C1AA2">
              <w:rPr>
                <w:rFonts w:ascii="Arial Narrow" w:eastAsia="Aptos" w:hAnsi="Arial Narrow"/>
                <w:kern w:val="2"/>
                <w:sz w:val="20"/>
                <w:szCs w:val="20"/>
                <w:lang w:eastAsia="en-US"/>
                <w14:ligatures w14:val="standardContextual"/>
              </w:rPr>
              <w:t>1</w:t>
            </w:r>
          </w:p>
        </w:tc>
        <w:tc>
          <w:tcPr>
            <w:tcW w:w="1420" w:type="dxa"/>
            <w:vAlign w:val="center"/>
          </w:tcPr>
          <w:p w14:paraId="2F378DE2" w14:textId="77777777" w:rsidR="008A494F" w:rsidRPr="009C1AA2" w:rsidRDefault="008A494F" w:rsidP="00873AF3">
            <w:pPr>
              <w:keepLines/>
              <w:jc w:val="left"/>
              <w:rPr>
                <w:rFonts w:ascii="Arial Narrow" w:eastAsia="Aptos" w:hAnsi="Arial Narrow"/>
                <w:kern w:val="2"/>
                <w:sz w:val="20"/>
                <w:szCs w:val="20"/>
                <w:lang w:eastAsia="en-US"/>
                <w14:ligatures w14:val="standardContextual"/>
              </w:rPr>
            </w:pPr>
            <w:r w:rsidRPr="009C1AA2">
              <w:rPr>
                <w:rFonts w:ascii="Arial Narrow" w:eastAsia="Aptos" w:hAnsi="Arial Narrow"/>
                <w:kern w:val="2"/>
                <w:sz w:val="20"/>
                <w:szCs w:val="20"/>
                <w:lang w:eastAsia="en-US"/>
                <w14:ligatures w14:val="standardContextual"/>
              </w:rPr>
              <w:t>Rystiggo</w:t>
            </w:r>
          </w:p>
        </w:tc>
      </w:tr>
      <w:tr w:rsidR="008A494F" w:rsidRPr="009C1AA2" w14:paraId="010296D2" w14:textId="77777777" w:rsidTr="00A13181">
        <w:tblPrEx>
          <w:tblCellMar>
            <w:top w:w="15" w:type="dxa"/>
            <w:bottom w:w="15" w:type="dxa"/>
          </w:tblCellMar>
          <w:tblLook w:val="04A0" w:firstRow="1" w:lastRow="0" w:firstColumn="1" w:lastColumn="0" w:noHBand="0" w:noVBand="1"/>
        </w:tblPrEx>
        <w:trPr>
          <w:trHeight w:val="20"/>
        </w:trPr>
        <w:tc>
          <w:tcPr>
            <w:tcW w:w="9071" w:type="dxa"/>
            <w:gridSpan w:val="6"/>
            <w:tcBorders>
              <w:top w:val="single" w:sz="4" w:space="0" w:color="auto"/>
              <w:left w:val="single" w:sz="4" w:space="0" w:color="auto"/>
              <w:right w:val="single" w:sz="4" w:space="0" w:color="auto"/>
            </w:tcBorders>
            <w:vAlign w:val="center"/>
          </w:tcPr>
          <w:p w14:paraId="32A8639F" w14:textId="77777777" w:rsidR="008A494F" w:rsidRPr="009C1AA2" w:rsidRDefault="008A494F" w:rsidP="00873AF3">
            <w:pPr>
              <w:keepLines/>
              <w:contextualSpacing/>
              <w:jc w:val="left"/>
              <w:rPr>
                <w:rFonts w:ascii="Arial Narrow" w:eastAsia="Calibri" w:hAnsi="Arial Narrow"/>
                <w:b/>
                <w:sz w:val="20"/>
                <w:szCs w:val="20"/>
                <w:lang w:eastAsia="en-US"/>
              </w:rPr>
            </w:pPr>
          </w:p>
        </w:tc>
      </w:tr>
      <w:tr w:rsidR="00A13181" w:rsidRPr="009C1AA2" w14:paraId="0F1FA705" w14:textId="77777777" w:rsidTr="00A13181">
        <w:tblPrEx>
          <w:tblCellMar>
            <w:top w:w="15" w:type="dxa"/>
            <w:bottom w:w="15" w:type="dxa"/>
          </w:tblCellMar>
          <w:tblLook w:val="04A0" w:firstRow="1" w:lastRow="0" w:firstColumn="1" w:lastColumn="0" w:noHBand="0" w:noVBand="1"/>
        </w:tblPrEx>
        <w:trPr>
          <w:trHeight w:val="20"/>
        </w:trPr>
        <w:tc>
          <w:tcPr>
            <w:tcW w:w="9071" w:type="dxa"/>
            <w:gridSpan w:val="6"/>
            <w:tcBorders>
              <w:top w:val="single" w:sz="4" w:space="0" w:color="auto"/>
              <w:left w:val="single" w:sz="4" w:space="0" w:color="auto"/>
              <w:bottom w:val="single" w:sz="4" w:space="0" w:color="auto"/>
              <w:right w:val="single" w:sz="4" w:space="0" w:color="auto"/>
            </w:tcBorders>
            <w:vAlign w:val="center"/>
          </w:tcPr>
          <w:p w14:paraId="24709C0F" w14:textId="77777777" w:rsidR="00A13181" w:rsidRPr="009C1AA2" w:rsidRDefault="00A13181" w:rsidP="00873AF3">
            <w:pPr>
              <w:keepLines/>
              <w:contextualSpacing/>
              <w:jc w:val="left"/>
              <w:rPr>
                <w:rFonts w:ascii="Arial Narrow" w:eastAsia="Calibri" w:hAnsi="Arial Narrow"/>
                <w:sz w:val="20"/>
                <w:szCs w:val="20"/>
                <w:lang w:eastAsia="en-US"/>
              </w:rPr>
            </w:pPr>
            <w:r w:rsidRPr="009C1AA2">
              <w:rPr>
                <w:rFonts w:ascii="Arial Narrow" w:eastAsia="Calibri" w:hAnsi="Arial Narrow"/>
                <w:b/>
                <w:sz w:val="20"/>
                <w:szCs w:val="20"/>
                <w:lang w:eastAsia="en-US"/>
              </w:rPr>
              <w:t>Category / Program:</w:t>
            </w:r>
            <w:r w:rsidRPr="009C1AA2">
              <w:rPr>
                <w:rFonts w:ascii="Arial Narrow" w:eastAsia="Calibri" w:hAnsi="Arial Narrow"/>
                <w:color w:val="FF0000"/>
                <w:sz w:val="20"/>
                <w:szCs w:val="20"/>
                <w:lang w:eastAsia="en-US"/>
              </w:rPr>
              <w:t xml:space="preserve"> </w:t>
            </w:r>
            <w:r w:rsidRPr="009C1AA2">
              <w:rPr>
                <w:rFonts w:ascii="Arial Narrow" w:eastAsia="Calibri" w:hAnsi="Arial Narrow"/>
                <w:sz w:val="20"/>
                <w:szCs w:val="20"/>
                <w:lang w:eastAsia="en-US"/>
              </w:rPr>
              <w:fldChar w:fldCharType="begin" w:fldLock="1">
                <w:ffData>
                  <w:name w:val=""/>
                  <w:enabled/>
                  <w:calcOnExit w:val="0"/>
                  <w:checkBox>
                    <w:sizeAuto/>
                    <w:default w:val="1"/>
                  </w:checkBox>
                </w:ffData>
              </w:fldChar>
            </w:r>
            <w:r w:rsidRPr="009C1AA2">
              <w:rPr>
                <w:rFonts w:ascii="Arial Narrow" w:eastAsia="Calibri" w:hAnsi="Arial Narrow"/>
                <w:sz w:val="20"/>
                <w:szCs w:val="20"/>
                <w:lang w:eastAsia="en-US"/>
              </w:rPr>
              <w:instrText xml:space="preserve"> FORMCHECKBOX </w:instrText>
            </w:r>
            <w:r w:rsidRPr="009C1AA2">
              <w:rPr>
                <w:rFonts w:ascii="Arial Narrow" w:eastAsia="Calibri" w:hAnsi="Arial Narrow"/>
                <w:sz w:val="20"/>
                <w:szCs w:val="20"/>
                <w:lang w:eastAsia="en-US"/>
              </w:rPr>
            </w:r>
            <w:r w:rsidRPr="009C1AA2">
              <w:rPr>
                <w:rFonts w:ascii="Arial Narrow" w:eastAsia="Calibri" w:hAnsi="Arial Narrow"/>
                <w:sz w:val="20"/>
                <w:szCs w:val="20"/>
                <w:lang w:eastAsia="en-US"/>
              </w:rPr>
              <w:fldChar w:fldCharType="separate"/>
            </w:r>
            <w:r w:rsidRPr="009C1AA2">
              <w:rPr>
                <w:rFonts w:ascii="Arial Narrow" w:eastAsia="Calibri" w:hAnsi="Arial Narrow"/>
                <w:sz w:val="20"/>
                <w:szCs w:val="20"/>
                <w:lang w:eastAsia="en-US"/>
              </w:rPr>
              <w:fldChar w:fldCharType="end"/>
            </w:r>
            <w:r w:rsidRPr="009C1AA2">
              <w:rPr>
                <w:rFonts w:ascii="Arial Narrow" w:eastAsia="Calibri" w:hAnsi="Arial Narrow"/>
                <w:sz w:val="20"/>
                <w:szCs w:val="20"/>
                <w:lang w:eastAsia="en-US"/>
              </w:rPr>
              <w:t>Section 100 – Highly Specialised Drugs Program – Public (Code HB)</w:t>
            </w:r>
            <w:r w:rsidRPr="009C1AA2">
              <w:rPr>
                <w:rFonts w:ascii="Arial Narrow" w:eastAsia="Calibri" w:hAnsi="Arial Narrow"/>
                <w:color w:val="FF0000"/>
                <w:sz w:val="20"/>
                <w:szCs w:val="20"/>
                <w:lang w:eastAsia="en-US"/>
              </w:rPr>
              <w:t xml:space="preserve"> </w:t>
            </w:r>
            <w:r w:rsidRPr="009C1AA2">
              <w:rPr>
                <w:rFonts w:ascii="Arial Narrow" w:eastAsia="Calibri" w:hAnsi="Arial Narrow"/>
                <w:sz w:val="20"/>
                <w:szCs w:val="20"/>
                <w:lang w:eastAsia="en-US"/>
              </w:rPr>
              <w:t>/ Private (Code HS)</w:t>
            </w:r>
          </w:p>
        </w:tc>
      </w:tr>
      <w:tr w:rsidR="00A13181" w:rsidRPr="009C1AA2" w14:paraId="537D5421" w14:textId="77777777" w:rsidTr="00A13181">
        <w:tblPrEx>
          <w:tblCellMar>
            <w:top w:w="15" w:type="dxa"/>
            <w:bottom w:w="15" w:type="dxa"/>
          </w:tblCellMar>
          <w:tblLook w:val="04A0" w:firstRow="1" w:lastRow="0" w:firstColumn="1" w:lastColumn="0" w:noHBand="0" w:noVBand="1"/>
        </w:tblPrEx>
        <w:trPr>
          <w:trHeight w:val="20"/>
        </w:trPr>
        <w:tc>
          <w:tcPr>
            <w:tcW w:w="9071" w:type="dxa"/>
            <w:gridSpan w:val="6"/>
            <w:tcBorders>
              <w:top w:val="single" w:sz="4" w:space="0" w:color="auto"/>
              <w:left w:val="single" w:sz="4" w:space="0" w:color="auto"/>
              <w:bottom w:val="single" w:sz="4" w:space="0" w:color="auto"/>
              <w:right w:val="single" w:sz="4" w:space="0" w:color="auto"/>
            </w:tcBorders>
            <w:vAlign w:val="center"/>
          </w:tcPr>
          <w:p w14:paraId="4784FA26" w14:textId="77777777" w:rsidR="00A13181" w:rsidRPr="009C1AA2" w:rsidRDefault="00A13181" w:rsidP="00873AF3">
            <w:pPr>
              <w:keepLines/>
              <w:contextualSpacing/>
              <w:rPr>
                <w:rFonts w:ascii="Arial Narrow" w:eastAsia="Calibri" w:hAnsi="Arial Narrow"/>
                <w:b/>
                <w:sz w:val="20"/>
                <w:szCs w:val="20"/>
                <w:lang w:eastAsia="en-US"/>
              </w:rPr>
            </w:pPr>
            <w:r w:rsidRPr="009C1AA2">
              <w:rPr>
                <w:rFonts w:ascii="Arial Narrow" w:eastAsia="Calibri" w:hAnsi="Arial Narrow"/>
                <w:b/>
                <w:sz w:val="20"/>
                <w:szCs w:val="20"/>
                <w:lang w:eastAsia="en-US"/>
              </w:rPr>
              <w:t xml:space="preserve">Prescriber type: </w:t>
            </w:r>
            <w:r w:rsidRPr="009C1AA2">
              <w:rPr>
                <w:rFonts w:ascii="Arial Narrow" w:eastAsia="Calibri" w:hAnsi="Arial Narrow"/>
                <w:sz w:val="20"/>
                <w:szCs w:val="20"/>
                <w:lang w:eastAsia="en-US"/>
              </w:rPr>
              <w:fldChar w:fldCharType="begin" w:fldLock="1">
                <w:ffData>
                  <w:name w:val=""/>
                  <w:enabled/>
                  <w:calcOnExit w:val="0"/>
                  <w:checkBox>
                    <w:sizeAuto/>
                    <w:default w:val="1"/>
                  </w:checkBox>
                </w:ffData>
              </w:fldChar>
            </w:r>
            <w:r w:rsidRPr="009C1AA2">
              <w:rPr>
                <w:rFonts w:ascii="Arial Narrow" w:eastAsia="Calibri" w:hAnsi="Arial Narrow"/>
                <w:sz w:val="20"/>
                <w:szCs w:val="20"/>
                <w:lang w:eastAsia="en-US"/>
              </w:rPr>
              <w:instrText xml:space="preserve"> FORMCHECKBOX </w:instrText>
            </w:r>
            <w:r w:rsidRPr="009C1AA2">
              <w:rPr>
                <w:rFonts w:ascii="Arial Narrow" w:eastAsia="Calibri" w:hAnsi="Arial Narrow"/>
                <w:sz w:val="20"/>
                <w:szCs w:val="20"/>
                <w:lang w:eastAsia="en-US"/>
              </w:rPr>
            </w:r>
            <w:r w:rsidRPr="009C1AA2">
              <w:rPr>
                <w:rFonts w:ascii="Arial Narrow" w:eastAsia="Calibri" w:hAnsi="Arial Narrow"/>
                <w:sz w:val="20"/>
                <w:szCs w:val="20"/>
                <w:lang w:eastAsia="en-US"/>
              </w:rPr>
              <w:fldChar w:fldCharType="separate"/>
            </w:r>
            <w:r w:rsidRPr="009C1AA2">
              <w:rPr>
                <w:rFonts w:ascii="Arial Narrow" w:eastAsia="Calibri" w:hAnsi="Arial Narrow"/>
                <w:sz w:val="20"/>
                <w:szCs w:val="20"/>
                <w:lang w:eastAsia="en-US"/>
              </w:rPr>
              <w:fldChar w:fldCharType="end"/>
            </w:r>
            <w:r w:rsidRPr="009C1AA2">
              <w:rPr>
                <w:rFonts w:ascii="Arial Narrow" w:eastAsia="Calibri" w:hAnsi="Arial Narrow"/>
                <w:sz w:val="20"/>
                <w:szCs w:val="20"/>
                <w:lang w:eastAsia="en-US"/>
              </w:rPr>
              <w:t xml:space="preserve">Medical Practitioners </w:t>
            </w:r>
          </w:p>
        </w:tc>
      </w:tr>
      <w:tr w:rsidR="00A13181" w:rsidRPr="009C1AA2" w14:paraId="30EC2E13" w14:textId="77777777" w:rsidTr="00A13181">
        <w:tblPrEx>
          <w:tblCellMar>
            <w:top w:w="15" w:type="dxa"/>
            <w:bottom w:w="15" w:type="dxa"/>
          </w:tblCellMar>
          <w:tblLook w:val="04A0" w:firstRow="1" w:lastRow="0" w:firstColumn="1" w:lastColumn="0" w:noHBand="0" w:noVBand="1"/>
        </w:tblPrEx>
        <w:trPr>
          <w:trHeight w:val="20"/>
        </w:trPr>
        <w:tc>
          <w:tcPr>
            <w:tcW w:w="9071" w:type="dxa"/>
            <w:gridSpan w:val="6"/>
            <w:tcBorders>
              <w:top w:val="single" w:sz="4" w:space="0" w:color="auto"/>
              <w:left w:val="single" w:sz="4" w:space="0" w:color="auto"/>
              <w:bottom w:val="single" w:sz="4" w:space="0" w:color="auto"/>
              <w:right w:val="single" w:sz="4" w:space="0" w:color="auto"/>
            </w:tcBorders>
            <w:vAlign w:val="center"/>
          </w:tcPr>
          <w:p w14:paraId="53925C4F" w14:textId="77777777" w:rsidR="00A13181" w:rsidRPr="009C1AA2" w:rsidRDefault="00A13181" w:rsidP="00873AF3">
            <w:pPr>
              <w:keepLines/>
              <w:contextualSpacing/>
              <w:jc w:val="left"/>
              <w:rPr>
                <w:rFonts w:ascii="Arial Narrow" w:eastAsia="Calibri" w:hAnsi="Arial Narrow"/>
                <w:color w:val="FF0000"/>
                <w:sz w:val="20"/>
                <w:szCs w:val="20"/>
                <w:lang w:eastAsia="en-US"/>
              </w:rPr>
            </w:pPr>
            <w:r w:rsidRPr="009C1AA2">
              <w:rPr>
                <w:rFonts w:ascii="Arial Narrow" w:eastAsia="Calibri" w:hAnsi="Arial Narrow"/>
                <w:b/>
                <w:sz w:val="20"/>
                <w:szCs w:val="20"/>
                <w:lang w:eastAsia="en-US"/>
              </w:rPr>
              <w:t xml:space="preserve">Restriction type: </w:t>
            </w:r>
            <w:r w:rsidRPr="009C1AA2">
              <w:rPr>
                <w:rFonts w:ascii="Arial Narrow" w:eastAsia="Calibri" w:hAnsi="Arial Narrow"/>
                <w:sz w:val="20"/>
                <w:szCs w:val="20"/>
                <w:lang w:eastAsia="en-US"/>
              </w:rPr>
              <w:fldChar w:fldCharType="begin" w:fldLock="1">
                <w:ffData>
                  <w:name w:val=""/>
                  <w:enabled/>
                  <w:calcOnExit w:val="0"/>
                  <w:checkBox>
                    <w:sizeAuto/>
                    <w:default w:val="1"/>
                  </w:checkBox>
                </w:ffData>
              </w:fldChar>
            </w:r>
            <w:r w:rsidRPr="009C1AA2">
              <w:rPr>
                <w:rFonts w:ascii="Arial Narrow" w:eastAsia="Calibri" w:hAnsi="Arial Narrow"/>
                <w:sz w:val="20"/>
                <w:szCs w:val="20"/>
                <w:lang w:eastAsia="en-US"/>
              </w:rPr>
              <w:instrText xml:space="preserve"> FORMCHECKBOX </w:instrText>
            </w:r>
            <w:r w:rsidRPr="009C1AA2">
              <w:rPr>
                <w:rFonts w:ascii="Arial Narrow" w:eastAsia="Calibri" w:hAnsi="Arial Narrow"/>
                <w:sz w:val="20"/>
                <w:szCs w:val="20"/>
                <w:lang w:eastAsia="en-US"/>
              </w:rPr>
            </w:r>
            <w:r w:rsidRPr="009C1AA2">
              <w:rPr>
                <w:rFonts w:ascii="Arial Narrow" w:eastAsia="Calibri" w:hAnsi="Arial Narrow"/>
                <w:sz w:val="20"/>
                <w:szCs w:val="20"/>
                <w:lang w:eastAsia="en-US"/>
              </w:rPr>
              <w:fldChar w:fldCharType="separate"/>
            </w:r>
            <w:r w:rsidRPr="009C1AA2">
              <w:rPr>
                <w:rFonts w:ascii="Arial Narrow" w:eastAsia="Calibri" w:hAnsi="Arial Narrow"/>
                <w:sz w:val="20"/>
                <w:szCs w:val="20"/>
                <w:lang w:eastAsia="en-US"/>
              </w:rPr>
              <w:fldChar w:fldCharType="end"/>
            </w:r>
            <w:r w:rsidRPr="009C1AA2">
              <w:rPr>
                <w:rFonts w:ascii="Arial Narrow" w:eastAsia="Calibri" w:hAnsi="Arial Narrow"/>
                <w:sz w:val="20"/>
                <w:szCs w:val="20"/>
                <w:lang w:eastAsia="en-US"/>
              </w:rPr>
              <w:t>Authority Required (Written/Online – immediate assessment)</w:t>
            </w:r>
          </w:p>
        </w:tc>
      </w:tr>
      <w:tr w:rsidR="00A13181" w:rsidRPr="009C1AA2" w14:paraId="4294E9D1" w14:textId="77777777" w:rsidTr="00A13181">
        <w:tblPrEx>
          <w:tblCellMar>
            <w:top w:w="15" w:type="dxa"/>
            <w:bottom w:w="15" w:type="dxa"/>
          </w:tblCellMar>
          <w:tblLook w:val="04A0" w:firstRow="1" w:lastRow="0" w:firstColumn="1" w:lastColumn="0" w:noHBand="0" w:noVBand="1"/>
        </w:tblPrEx>
        <w:trPr>
          <w:trHeight w:val="20"/>
        </w:trPr>
        <w:tc>
          <w:tcPr>
            <w:tcW w:w="9071" w:type="dxa"/>
            <w:gridSpan w:val="6"/>
            <w:tcBorders>
              <w:top w:val="single" w:sz="4" w:space="0" w:color="auto"/>
              <w:left w:val="single" w:sz="4" w:space="0" w:color="auto"/>
              <w:bottom w:val="single" w:sz="4" w:space="0" w:color="auto"/>
              <w:right w:val="single" w:sz="4" w:space="0" w:color="auto"/>
            </w:tcBorders>
            <w:vAlign w:val="center"/>
          </w:tcPr>
          <w:p w14:paraId="599BA1A4" w14:textId="77777777" w:rsidR="00A13181" w:rsidRPr="009C1AA2" w:rsidRDefault="00A13181" w:rsidP="00873AF3">
            <w:pPr>
              <w:keepLines/>
              <w:contextualSpacing/>
              <w:jc w:val="left"/>
              <w:rPr>
                <w:rFonts w:ascii="Arial Narrow" w:eastAsia="Calibri" w:hAnsi="Arial Narrow"/>
                <w:b/>
                <w:color w:val="FF0000"/>
                <w:sz w:val="20"/>
                <w:szCs w:val="20"/>
                <w:lang w:eastAsia="en-US"/>
              </w:rPr>
            </w:pPr>
            <w:r w:rsidRPr="009C1AA2">
              <w:rPr>
                <w:rFonts w:ascii="Arial Narrow" w:eastAsia="Calibri" w:hAnsi="Arial Narrow"/>
                <w:b/>
                <w:sz w:val="20"/>
                <w:szCs w:val="20"/>
                <w:lang w:eastAsia="en-US"/>
              </w:rPr>
              <w:t xml:space="preserve">Authority type: </w:t>
            </w:r>
            <w:r w:rsidRPr="009C1AA2">
              <w:rPr>
                <w:rFonts w:ascii="Arial Narrow" w:eastAsia="Calibri" w:hAnsi="Arial Narrow"/>
                <w:sz w:val="20"/>
                <w:szCs w:val="20"/>
                <w:lang w:eastAsia="en-US"/>
              </w:rPr>
              <w:fldChar w:fldCharType="begin" w:fldLock="1">
                <w:ffData>
                  <w:name w:val=""/>
                  <w:enabled/>
                  <w:calcOnExit w:val="0"/>
                  <w:checkBox>
                    <w:sizeAuto/>
                    <w:default w:val="1"/>
                  </w:checkBox>
                </w:ffData>
              </w:fldChar>
            </w:r>
            <w:r w:rsidRPr="009C1AA2">
              <w:rPr>
                <w:rFonts w:ascii="Arial Narrow" w:eastAsia="Calibri" w:hAnsi="Arial Narrow"/>
                <w:sz w:val="20"/>
                <w:szCs w:val="20"/>
                <w:lang w:eastAsia="en-US"/>
              </w:rPr>
              <w:instrText xml:space="preserve"> FORMCHECKBOX </w:instrText>
            </w:r>
            <w:r w:rsidRPr="009C1AA2">
              <w:rPr>
                <w:rFonts w:ascii="Arial Narrow" w:eastAsia="Calibri" w:hAnsi="Arial Narrow"/>
                <w:sz w:val="20"/>
                <w:szCs w:val="20"/>
                <w:lang w:eastAsia="en-US"/>
              </w:rPr>
            </w:r>
            <w:r w:rsidRPr="009C1AA2">
              <w:rPr>
                <w:rFonts w:ascii="Arial Narrow" w:eastAsia="Calibri" w:hAnsi="Arial Narrow"/>
                <w:sz w:val="20"/>
                <w:szCs w:val="20"/>
                <w:lang w:eastAsia="en-US"/>
              </w:rPr>
              <w:fldChar w:fldCharType="separate"/>
            </w:r>
            <w:r w:rsidRPr="009C1AA2">
              <w:rPr>
                <w:rFonts w:ascii="Arial Narrow" w:eastAsia="Calibri" w:hAnsi="Arial Narrow"/>
                <w:sz w:val="20"/>
                <w:szCs w:val="20"/>
                <w:lang w:eastAsia="en-US"/>
              </w:rPr>
              <w:fldChar w:fldCharType="end"/>
            </w:r>
            <w:r w:rsidRPr="009C1AA2">
              <w:rPr>
                <w:rFonts w:ascii="Arial Narrow" w:eastAsia="Calibri" w:hAnsi="Arial Narrow"/>
                <w:sz w:val="20"/>
                <w:szCs w:val="20"/>
                <w:lang w:eastAsia="en-US"/>
              </w:rPr>
              <w:t xml:space="preserve"> Complex Authority Required (CAR)</w:t>
            </w:r>
          </w:p>
        </w:tc>
      </w:tr>
      <w:tr w:rsidR="00A13181" w:rsidRPr="009C1AA2" w14:paraId="6D1F17FC" w14:textId="77777777" w:rsidTr="00A13181">
        <w:tblPrEx>
          <w:tblCellMar>
            <w:top w:w="15" w:type="dxa"/>
            <w:bottom w:w="15" w:type="dxa"/>
          </w:tblCellMar>
          <w:tblLook w:val="04A0" w:firstRow="1" w:lastRow="0" w:firstColumn="1" w:lastColumn="0" w:noHBand="0" w:noVBand="1"/>
        </w:tblPrEx>
        <w:trPr>
          <w:trHeight w:val="300"/>
        </w:trPr>
        <w:tc>
          <w:tcPr>
            <w:tcW w:w="9071" w:type="dxa"/>
            <w:gridSpan w:val="6"/>
            <w:vAlign w:val="center"/>
          </w:tcPr>
          <w:p w14:paraId="1A07E612"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b/>
                <w:bCs/>
                <w:iCs/>
                <w:color w:val="000000"/>
                <w:sz w:val="20"/>
                <w:szCs w:val="20"/>
              </w:rPr>
              <w:t xml:space="preserve">Administrative Advice: </w:t>
            </w:r>
          </w:p>
          <w:p w14:paraId="3C12021A" w14:textId="77777777" w:rsidR="00A13181" w:rsidRPr="00B1209E" w:rsidRDefault="00A13181" w:rsidP="00873AF3">
            <w:pPr>
              <w:contextualSpacing/>
              <w:jc w:val="left"/>
              <w:rPr>
                <w:rFonts w:ascii="Arial Narrow" w:hAnsi="Arial Narrow" w:cs="Times New Roman"/>
                <w:iCs/>
                <w:color w:val="000000"/>
                <w:sz w:val="20"/>
                <w:szCs w:val="20"/>
              </w:rPr>
            </w:pPr>
            <w:r w:rsidRPr="00B1209E">
              <w:rPr>
                <w:rFonts w:ascii="Arial Narrow" w:hAnsi="Arial Narrow" w:cs="Times New Roman"/>
                <w:iCs/>
                <w:color w:val="000000"/>
                <w:sz w:val="20"/>
                <w:szCs w:val="20"/>
              </w:rPr>
              <w:t>Definitions for the purposes of administering this restriction.</w:t>
            </w:r>
          </w:p>
          <w:p w14:paraId="19E776D0" w14:textId="77777777" w:rsidR="00A13181" w:rsidRPr="009C1AA2" w:rsidRDefault="00A13181" w:rsidP="00873AF3">
            <w:pPr>
              <w:contextualSpacing/>
              <w:jc w:val="left"/>
              <w:rPr>
                <w:rFonts w:ascii="Arial Narrow" w:hAnsi="Arial Narrow" w:cs="Times New Roman"/>
                <w:iCs/>
                <w:color w:val="000000"/>
                <w:sz w:val="20"/>
                <w:szCs w:val="20"/>
              </w:rPr>
            </w:pPr>
          </w:p>
          <w:p w14:paraId="5FC5DB75"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Where the term </w:t>
            </w:r>
            <w:r w:rsidRPr="009C1AA2">
              <w:rPr>
                <w:rFonts w:ascii="Arial Narrow" w:hAnsi="Arial Narrow" w:cs="Times New Roman"/>
                <w:b/>
                <w:bCs/>
                <w:iCs/>
                <w:color w:val="000000"/>
                <w:sz w:val="20"/>
                <w:szCs w:val="20"/>
              </w:rPr>
              <w:t>‘gMG biological agent’</w:t>
            </w:r>
            <w:r w:rsidRPr="009C1AA2">
              <w:rPr>
                <w:rFonts w:ascii="Arial Narrow" w:hAnsi="Arial Narrow" w:cs="Times New Roman"/>
                <w:iCs/>
                <w:color w:val="000000"/>
                <w:sz w:val="20"/>
                <w:szCs w:val="20"/>
              </w:rPr>
              <w:t xml:space="preserve"> is referenced in this restriction, it refers to efgartigimod alfa, ravulizumab, rozanolixizumab, and zilucoplan.</w:t>
            </w:r>
          </w:p>
          <w:p w14:paraId="448105CC" w14:textId="77777777" w:rsidR="00A13181" w:rsidRPr="009C1AA2" w:rsidRDefault="00A13181" w:rsidP="00873AF3">
            <w:pPr>
              <w:contextualSpacing/>
              <w:jc w:val="left"/>
              <w:rPr>
                <w:rFonts w:ascii="Arial Narrow" w:hAnsi="Arial Narrow" w:cs="Times New Roman"/>
                <w:iCs/>
                <w:color w:val="000000"/>
                <w:sz w:val="20"/>
                <w:szCs w:val="20"/>
              </w:rPr>
            </w:pPr>
          </w:p>
          <w:p w14:paraId="24C84B56"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The following are settings and time limits where a gMG biological agent are PBS subsidised:</w:t>
            </w:r>
          </w:p>
          <w:p w14:paraId="32FEEF1F" w14:textId="77777777" w:rsidR="00A13181" w:rsidRPr="009C1AA2" w:rsidRDefault="00A13181" w:rsidP="00873AF3">
            <w:pPr>
              <w:numPr>
                <w:ilvl w:val="0"/>
                <w:numId w:val="33"/>
              </w:numPr>
              <w:spacing w:after="160" w:line="259" w:lineRule="auto"/>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3 months of acute treatment - ‘acute severe gMG’ </w:t>
            </w:r>
          </w:p>
          <w:p w14:paraId="792839AC" w14:textId="77777777" w:rsidR="00A13181" w:rsidRPr="009C1AA2" w:rsidRDefault="00A13181" w:rsidP="00873AF3">
            <w:pPr>
              <w:numPr>
                <w:ilvl w:val="0"/>
                <w:numId w:val="33"/>
              </w:numPr>
              <w:spacing w:after="160" w:line="259" w:lineRule="auto"/>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6 months of bridging therapy - ‘bridging therapy for gMG’ </w:t>
            </w:r>
          </w:p>
          <w:p w14:paraId="17396B48" w14:textId="77777777" w:rsidR="00A13181" w:rsidRPr="009C1AA2" w:rsidRDefault="00A13181" w:rsidP="00873AF3">
            <w:pPr>
              <w:numPr>
                <w:ilvl w:val="0"/>
                <w:numId w:val="33"/>
              </w:numPr>
              <w:spacing w:after="160" w:line="259" w:lineRule="auto"/>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Continuous therapy - ‘treatment refractory gMG’</w:t>
            </w:r>
          </w:p>
          <w:p w14:paraId="10D55CEF"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A patient may transition sequentially from one setting to another where all criteria are met e.g. (1) to (2) to (3), but cannot return to an earlier treatment setting. </w:t>
            </w:r>
          </w:p>
          <w:p w14:paraId="645B0401" w14:textId="77777777" w:rsidR="00A13181" w:rsidRPr="009C1AA2" w:rsidRDefault="00A13181" w:rsidP="00873AF3">
            <w:pPr>
              <w:contextualSpacing/>
              <w:jc w:val="left"/>
              <w:rPr>
                <w:rFonts w:ascii="Arial Narrow" w:hAnsi="Arial Narrow" w:cs="Times New Roman"/>
                <w:iCs/>
                <w:color w:val="000000"/>
                <w:sz w:val="20"/>
                <w:szCs w:val="20"/>
              </w:rPr>
            </w:pPr>
          </w:p>
          <w:p w14:paraId="12B589A3" w14:textId="77777777" w:rsidR="00A13181" w:rsidRPr="009C1AA2" w:rsidRDefault="00A13181" w:rsidP="00873AF3">
            <w:pPr>
              <w:contextualSpacing/>
              <w:jc w:val="left"/>
              <w:rPr>
                <w:rFonts w:ascii="Arial Narrow" w:hAnsi="Arial Narrow" w:cs="Times New Roman"/>
                <w:b/>
                <w:bCs/>
                <w:iCs/>
                <w:color w:val="000000"/>
                <w:sz w:val="20"/>
                <w:szCs w:val="20"/>
              </w:rPr>
            </w:pPr>
            <w:r w:rsidRPr="009C1AA2">
              <w:rPr>
                <w:rFonts w:ascii="Arial Narrow" w:hAnsi="Arial Narrow" w:cs="Times New Roman"/>
                <w:b/>
                <w:bCs/>
                <w:iCs/>
                <w:color w:val="000000"/>
                <w:sz w:val="20"/>
                <w:szCs w:val="20"/>
              </w:rPr>
              <w:t>Definitions:</w:t>
            </w:r>
          </w:p>
          <w:p w14:paraId="596DDB93"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A non-steroidal immunosuppressant (NS-IST) is one of the following:</w:t>
            </w:r>
          </w:p>
          <w:p w14:paraId="668D7A6E"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(i) azathioprine, </w:t>
            </w:r>
          </w:p>
          <w:p w14:paraId="5C9EBA9B"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(ii) ciclosporin,</w:t>
            </w:r>
          </w:p>
          <w:p w14:paraId="5069B4AF"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(iii) cyclophosphamide,</w:t>
            </w:r>
          </w:p>
          <w:p w14:paraId="02457864"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(iv) methotrexate,</w:t>
            </w:r>
          </w:p>
          <w:p w14:paraId="3E284D80" w14:textId="77777777" w:rsidR="00A13181" w:rsidRPr="009C1AA2" w:rsidRDefault="00A13181" w:rsidP="00873AF3">
            <w:pPr>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(v) mycophenolate</w:t>
            </w:r>
          </w:p>
          <w:p w14:paraId="2B31F1AF" w14:textId="77777777" w:rsidR="00A13181" w:rsidRPr="009C1AA2" w:rsidRDefault="00A13181" w:rsidP="00873AF3">
            <w:pPr>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(vi) tacrolimus</w:t>
            </w:r>
          </w:p>
          <w:p w14:paraId="36118A4F" w14:textId="77777777" w:rsidR="00A13181" w:rsidRPr="009C1AA2" w:rsidRDefault="00A13181" w:rsidP="00873AF3">
            <w:pPr>
              <w:jc w:val="left"/>
              <w:rPr>
                <w:rFonts w:ascii="Arial Narrow" w:hAnsi="Arial Narrow" w:cs="Times New Roman"/>
                <w:iCs/>
                <w:color w:val="000000"/>
                <w:sz w:val="20"/>
                <w:szCs w:val="20"/>
              </w:rPr>
            </w:pPr>
          </w:p>
          <w:p w14:paraId="59F3DA54" w14:textId="77777777" w:rsidR="00A13181" w:rsidRPr="009C1AA2" w:rsidRDefault="00A13181" w:rsidP="00873AF3">
            <w:pPr>
              <w:jc w:val="left"/>
              <w:rPr>
                <w:rFonts w:ascii="Arial Narrow" w:hAnsi="Arial Narrow" w:cs="Times New Roman"/>
                <w:iCs/>
                <w:color w:val="000000"/>
                <w:sz w:val="20"/>
                <w:szCs w:val="20"/>
              </w:rPr>
            </w:pPr>
            <w:r w:rsidRPr="009C1AA2">
              <w:rPr>
                <w:rFonts w:ascii="Arial Narrow" w:hAnsi="Arial Narrow" w:cs="Times New Roman"/>
                <w:iCs/>
                <w:color w:val="000000"/>
                <w:kern w:val="2"/>
                <w:sz w:val="20"/>
                <w:szCs w:val="20"/>
                <w14:ligatures w14:val="standardContextual"/>
              </w:rPr>
              <w:t>The Myasthenia Gravis Foundation of America (</w:t>
            </w:r>
            <w:r w:rsidRPr="009C1AA2">
              <w:rPr>
                <w:rFonts w:ascii="Arial Narrow" w:hAnsi="Arial Narrow" w:cs="Times New Roman"/>
                <w:b/>
                <w:bCs/>
                <w:iCs/>
                <w:color w:val="000000"/>
                <w:kern w:val="2"/>
                <w:sz w:val="20"/>
                <w:szCs w:val="20"/>
                <w14:ligatures w14:val="standardContextual"/>
              </w:rPr>
              <w:t>MGFA</w:t>
            </w:r>
            <w:r w:rsidRPr="009C1AA2">
              <w:rPr>
                <w:rFonts w:ascii="Arial Narrow" w:hAnsi="Arial Narrow" w:cs="Times New Roman"/>
                <w:iCs/>
                <w:color w:val="000000"/>
                <w:kern w:val="2"/>
                <w:sz w:val="20"/>
                <w:szCs w:val="20"/>
                <w14:ligatures w14:val="standardContextual"/>
              </w:rPr>
              <w:t xml:space="preserve">) Disease Classification can be accessed at </w:t>
            </w:r>
            <w:hyperlink r:id="rId13" w:history="1">
              <w:r w:rsidRPr="009C1AA2">
                <w:rPr>
                  <w:rFonts w:ascii="Arial Narrow" w:hAnsi="Arial Narrow" w:cs="Times New Roman"/>
                  <w:iCs/>
                  <w:color w:val="467886"/>
                  <w:sz w:val="20"/>
                  <w:szCs w:val="20"/>
                  <w:u w:val="single"/>
                </w:rPr>
                <w:t>https://myasthenia.org/</w:t>
              </w:r>
            </w:hyperlink>
            <w:r w:rsidRPr="009C1AA2">
              <w:rPr>
                <w:rFonts w:ascii="Arial Narrow" w:hAnsi="Arial Narrow" w:cs="Times New Roman"/>
                <w:iCs/>
                <w:color w:val="000000"/>
                <w:sz w:val="20"/>
                <w:szCs w:val="20"/>
              </w:rPr>
              <w:t xml:space="preserve"> </w:t>
            </w:r>
          </w:p>
          <w:p w14:paraId="7B0BBC5A" w14:textId="77777777" w:rsidR="00A13181" w:rsidRPr="009C1AA2" w:rsidRDefault="00A13181" w:rsidP="00873AF3">
            <w:pPr>
              <w:jc w:val="left"/>
              <w:rPr>
                <w:rFonts w:ascii="Arial Narrow" w:hAnsi="Arial Narrow" w:cs="Times New Roman"/>
                <w:iCs/>
                <w:color w:val="000000"/>
                <w:sz w:val="20"/>
                <w:szCs w:val="20"/>
              </w:rPr>
            </w:pPr>
          </w:p>
          <w:p w14:paraId="0C45C1DC" w14:textId="77777777" w:rsidR="00A13181" w:rsidRPr="009C1AA2" w:rsidRDefault="00A13181" w:rsidP="00873AF3">
            <w:pPr>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The Myasthenia Gravis Composite (</w:t>
            </w:r>
            <w:r w:rsidRPr="009C1AA2">
              <w:rPr>
                <w:rFonts w:ascii="Arial Narrow" w:hAnsi="Arial Narrow" w:cs="Times New Roman"/>
                <w:b/>
                <w:bCs/>
                <w:iCs/>
                <w:color w:val="000000"/>
                <w:sz w:val="20"/>
                <w:szCs w:val="20"/>
              </w:rPr>
              <w:t>MGC</w:t>
            </w:r>
            <w:r w:rsidRPr="009C1AA2">
              <w:rPr>
                <w:rFonts w:ascii="Arial Narrow" w:hAnsi="Arial Narrow" w:cs="Times New Roman"/>
                <w:iCs/>
                <w:color w:val="000000"/>
                <w:sz w:val="20"/>
                <w:szCs w:val="20"/>
              </w:rPr>
              <w:t xml:space="preserve">) scoring profile can be accessed at </w:t>
            </w:r>
            <w:hyperlink r:id="rId14" w:anchor="MGC" w:history="1">
              <w:r w:rsidRPr="009C1AA2">
                <w:rPr>
                  <w:rFonts w:ascii="Arial Narrow" w:hAnsi="Arial Narrow" w:cs="Times New Roman"/>
                  <w:iCs/>
                  <w:color w:val="467886"/>
                  <w:sz w:val="20"/>
                  <w:szCs w:val="20"/>
                  <w:u w:val="single"/>
                </w:rPr>
                <w:t>https://www.criteria.blood.gov.au/NeurologicalScales#MGC</w:t>
              </w:r>
            </w:hyperlink>
            <w:r w:rsidRPr="009C1AA2">
              <w:rPr>
                <w:rFonts w:ascii="Arial Narrow" w:hAnsi="Arial Narrow" w:cs="Times New Roman"/>
                <w:iCs/>
                <w:color w:val="000000"/>
                <w:sz w:val="20"/>
                <w:szCs w:val="20"/>
              </w:rPr>
              <w:t xml:space="preserve"> </w:t>
            </w:r>
          </w:p>
          <w:p w14:paraId="6B2ABD75" w14:textId="77777777" w:rsidR="00A13181" w:rsidRPr="009C1AA2" w:rsidRDefault="00A13181" w:rsidP="00873AF3">
            <w:pPr>
              <w:jc w:val="left"/>
              <w:rPr>
                <w:rFonts w:ascii="Arial Narrow" w:hAnsi="Arial Narrow" w:cs="Times New Roman"/>
                <w:iCs/>
                <w:color w:val="000000"/>
                <w:sz w:val="20"/>
                <w:szCs w:val="20"/>
              </w:rPr>
            </w:pPr>
          </w:p>
          <w:p w14:paraId="61B3159B" w14:textId="77777777" w:rsidR="00A13181" w:rsidRPr="009C1AA2" w:rsidRDefault="00A13181" w:rsidP="00873AF3">
            <w:pPr>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The Myasthenia Gravis-Activities of Daily Living (</w:t>
            </w:r>
            <w:r w:rsidRPr="009C1AA2">
              <w:rPr>
                <w:rFonts w:ascii="Arial Narrow" w:hAnsi="Arial Narrow" w:cs="Times New Roman"/>
                <w:b/>
                <w:bCs/>
                <w:iCs/>
                <w:color w:val="000000"/>
                <w:sz w:val="20"/>
                <w:szCs w:val="20"/>
              </w:rPr>
              <w:t>MG-ADL</w:t>
            </w:r>
            <w:r w:rsidRPr="009C1AA2">
              <w:rPr>
                <w:rFonts w:ascii="Arial Narrow" w:hAnsi="Arial Narrow" w:cs="Times New Roman"/>
                <w:iCs/>
                <w:color w:val="000000"/>
                <w:sz w:val="20"/>
                <w:szCs w:val="20"/>
              </w:rPr>
              <w:t xml:space="preserve">) scoring profile can be accessed at </w:t>
            </w:r>
          </w:p>
          <w:p w14:paraId="2E50CEED" w14:textId="77777777" w:rsidR="00A13181" w:rsidRPr="009C1AA2" w:rsidRDefault="00A13181" w:rsidP="00873AF3">
            <w:pPr>
              <w:jc w:val="left"/>
              <w:rPr>
                <w:rFonts w:ascii="Arial Narrow" w:hAnsi="Arial Narrow" w:cs="Times New Roman"/>
                <w:iCs/>
                <w:color w:val="000000"/>
                <w:sz w:val="20"/>
                <w:szCs w:val="20"/>
              </w:rPr>
            </w:pPr>
            <w:hyperlink r:id="rId15" w:history="1">
              <w:r w:rsidRPr="009C1AA2">
                <w:rPr>
                  <w:rFonts w:ascii="Arial Narrow" w:hAnsi="Arial Narrow" w:cs="Times New Roman"/>
                  <w:iCs/>
                  <w:color w:val="467886"/>
                  <w:sz w:val="20"/>
                  <w:szCs w:val="20"/>
                  <w:u w:val="single"/>
                </w:rPr>
                <w:t>https://myasthenia.org/</w:t>
              </w:r>
            </w:hyperlink>
          </w:p>
        </w:tc>
      </w:tr>
      <w:tr w:rsidR="00A13181" w:rsidRPr="009C1AA2" w14:paraId="56E19CFC" w14:textId="77777777" w:rsidTr="00A13181">
        <w:tblPrEx>
          <w:tblCellMar>
            <w:top w:w="15" w:type="dxa"/>
            <w:bottom w:w="15" w:type="dxa"/>
          </w:tblCellMar>
          <w:tblLook w:val="04A0" w:firstRow="1" w:lastRow="0" w:firstColumn="1" w:lastColumn="0" w:noHBand="0" w:noVBand="1"/>
        </w:tblPrEx>
        <w:trPr>
          <w:trHeight w:val="300"/>
        </w:trPr>
        <w:tc>
          <w:tcPr>
            <w:tcW w:w="9071" w:type="dxa"/>
            <w:gridSpan w:val="6"/>
            <w:shd w:val="clear" w:color="auto" w:fill="FAE2D5"/>
            <w:vAlign w:val="center"/>
          </w:tcPr>
          <w:p w14:paraId="10D01E4C"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b/>
                <w:bCs/>
                <w:iCs/>
                <w:color w:val="000000"/>
                <w:sz w:val="20"/>
                <w:szCs w:val="20"/>
              </w:rPr>
              <w:t xml:space="preserve">Administrative Advice: </w:t>
            </w:r>
          </w:p>
          <w:p w14:paraId="1B26F871" w14:textId="77777777" w:rsidR="00A13181" w:rsidRPr="009C1AA2" w:rsidRDefault="00A13181" w:rsidP="00873AF3">
            <w:pPr>
              <w:contextualSpacing/>
              <w:jc w:val="left"/>
              <w:rPr>
                <w:rFonts w:ascii="Arial Narrow" w:hAnsi="Arial Narrow" w:cs="Times New Roman"/>
                <w:b/>
                <w:bCs/>
                <w:iCs/>
                <w:color w:val="000000"/>
                <w:sz w:val="20"/>
                <w:szCs w:val="20"/>
              </w:rPr>
            </w:pPr>
            <w:r w:rsidRPr="009C1AA2">
              <w:rPr>
                <w:rFonts w:ascii="Arial Narrow" w:hAnsi="Arial Narrow" w:cs="Times New Roman"/>
                <w:b/>
                <w:bCs/>
                <w:iCs/>
                <w:color w:val="000000"/>
                <w:sz w:val="20"/>
                <w:szCs w:val="20"/>
              </w:rPr>
              <w:t>Treatment switching:</w:t>
            </w:r>
          </w:p>
          <w:p w14:paraId="4115DA2F"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Switching between gMG biological agents is permitted. Treatment switching should be limited to when a patient moves between different treatment settings, i.e. moving from ‘acute severe gMG’ to ‘bridging therapy for gMG’ [(1) to (2)]; or moving from ‘bridging therapy for gMG’ to ‘treatment refractory gMG’ [(2) to (3)]. </w:t>
            </w:r>
          </w:p>
          <w:p w14:paraId="7E601812" w14:textId="77777777" w:rsidR="00A13181" w:rsidRPr="009C1AA2" w:rsidRDefault="00A13181" w:rsidP="00873AF3">
            <w:pPr>
              <w:contextualSpacing/>
              <w:jc w:val="left"/>
              <w:rPr>
                <w:rFonts w:ascii="Arial Narrow" w:hAnsi="Arial Narrow" w:cs="Times New Roman"/>
                <w:iCs/>
                <w:color w:val="000000"/>
                <w:sz w:val="20"/>
                <w:szCs w:val="20"/>
              </w:rPr>
            </w:pPr>
          </w:p>
          <w:p w14:paraId="47886EB6"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In the acute severe (1) or bridging therapy (2) settings a patient may switch to an alternate gMG biological agent if they are experiencing an intolerance or toxicity necessitating treatment withdrawal. Patients can switch by requalifying through the relevant restrictions. Only a balance of the time limits specified within the relevant treatment phase will be approved i.e. the remaining of the 3 months (acute severe gMG); or 6 months (bridging therapy for gMG) after accounting for the treatment of the previous gMG biologic. </w:t>
            </w:r>
          </w:p>
          <w:p w14:paraId="580C25D7" w14:textId="77777777" w:rsidR="00A13181" w:rsidRPr="009C1AA2" w:rsidRDefault="00A13181" w:rsidP="00873AF3">
            <w:pPr>
              <w:contextualSpacing/>
              <w:jc w:val="left"/>
              <w:rPr>
                <w:rFonts w:ascii="Arial Narrow" w:hAnsi="Arial Narrow" w:cs="Times New Roman"/>
                <w:iCs/>
                <w:color w:val="000000"/>
                <w:sz w:val="20"/>
                <w:szCs w:val="20"/>
              </w:rPr>
            </w:pPr>
          </w:p>
          <w:p w14:paraId="65148E42"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In the treatment refractory setting (3), a patient may switch to an alternate gMG biological agent via either:</w:t>
            </w:r>
          </w:p>
          <w:p w14:paraId="60A25C0E" w14:textId="77777777" w:rsidR="00A13181" w:rsidRPr="009C1AA2" w:rsidRDefault="00A13181" w:rsidP="00873AF3">
            <w:pPr>
              <w:numPr>
                <w:ilvl w:val="0"/>
                <w:numId w:val="36"/>
              </w:numPr>
              <w:spacing w:after="160" w:line="259" w:lineRule="auto"/>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the initial restriction if they have trialled a different gMG biologic, but did not respond to treatment; or </w:t>
            </w:r>
          </w:p>
          <w:p w14:paraId="4FB27C5F" w14:textId="77777777" w:rsidR="00A13181" w:rsidRPr="009C1AA2" w:rsidRDefault="00A13181" w:rsidP="00873AF3">
            <w:pPr>
              <w:numPr>
                <w:ilvl w:val="0"/>
                <w:numId w:val="36"/>
              </w:numPr>
              <w:spacing w:after="160" w:line="259" w:lineRule="auto"/>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the continuing restriction if they have trialled a different gMG biological agent and have responded to treatment. </w:t>
            </w:r>
          </w:p>
          <w:p w14:paraId="0D5A28F3" w14:textId="77777777" w:rsidR="00A13181" w:rsidRPr="009C1AA2" w:rsidRDefault="00A13181" w:rsidP="00873AF3">
            <w:pPr>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Mark any remaining unused repeat prescriptions as “cancelled”.</w:t>
            </w:r>
          </w:p>
        </w:tc>
      </w:tr>
      <w:tr w:rsidR="00A13181" w:rsidRPr="009C1AA2" w14:paraId="220672FF" w14:textId="77777777" w:rsidTr="00A13181">
        <w:tblPrEx>
          <w:tblCellMar>
            <w:top w:w="15" w:type="dxa"/>
            <w:bottom w:w="15" w:type="dxa"/>
          </w:tblCellMar>
          <w:tblLook w:val="04A0" w:firstRow="1" w:lastRow="0" w:firstColumn="1" w:lastColumn="0" w:noHBand="0" w:noVBand="1"/>
        </w:tblPrEx>
        <w:trPr>
          <w:trHeight w:val="177"/>
        </w:trPr>
        <w:tc>
          <w:tcPr>
            <w:tcW w:w="9071" w:type="dxa"/>
            <w:gridSpan w:val="6"/>
            <w:vAlign w:val="center"/>
          </w:tcPr>
          <w:p w14:paraId="7A4698A5" w14:textId="77777777" w:rsidR="00A13181" w:rsidRPr="009C1AA2" w:rsidRDefault="00A13181" w:rsidP="00873AF3">
            <w:pPr>
              <w:contextualSpacing/>
              <w:jc w:val="left"/>
              <w:rPr>
                <w:rFonts w:ascii="Arial Narrow" w:hAnsi="Arial Narrow" w:cs="Times New Roman"/>
                <w:b/>
                <w:bCs/>
                <w:iCs/>
                <w:color w:val="000000"/>
                <w:sz w:val="20"/>
                <w:szCs w:val="20"/>
              </w:rPr>
            </w:pPr>
            <w:r w:rsidRPr="009C1AA2">
              <w:rPr>
                <w:rFonts w:ascii="Arial Narrow" w:hAnsi="Arial Narrow" w:cs="Times New Roman"/>
                <w:b/>
                <w:bCs/>
                <w:iCs/>
                <w:color w:val="000000"/>
                <w:sz w:val="20"/>
                <w:szCs w:val="20"/>
              </w:rPr>
              <w:t>Administrative Advice:</w:t>
            </w:r>
          </w:p>
          <w:p w14:paraId="015ADA19"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Any queries concerning the arrangements to prescribe may be directed to Services Australia on 1800 700 270 (hours of operation 8 a.m. to 5 p.m. Monday to Friday).</w:t>
            </w:r>
          </w:p>
          <w:p w14:paraId="156D90C8"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Prescribing information (including Authority Application forms and other relevant documentation as applicable) is available on the Services Australia website at www.servicesaustralia.gov.au</w:t>
            </w:r>
          </w:p>
          <w:p w14:paraId="2757F5C4"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Applications for authorisation under this restriction should be made using the Online PBS Authorities system (see www.servicesaustralia.gov.au/hpos)</w:t>
            </w:r>
          </w:p>
          <w:p w14:paraId="747C2C84"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Alternatively, applications for authority to prescribe should be submitted online using the form upload facility in Health Professional Online Services (HPOS) at www.servicesaustralia.gov.au/hpos</w:t>
            </w:r>
          </w:p>
          <w:p w14:paraId="5AC4B103"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Or mailed to:</w:t>
            </w:r>
          </w:p>
          <w:p w14:paraId="46C79549"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Services Australia</w:t>
            </w:r>
          </w:p>
          <w:p w14:paraId="71B6D926"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Complex Drugs</w:t>
            </w:r>
          </w:p>
          <w:p w14:paraId="0EB57986"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Reply Paid 9826</w:t>
            </w:r>
          </w:p>
          <w:p w14:paraId="6303C0C0" w14:textId="77777777" w:rsidR="00A13181" w:rsidRPr="009C1AA2" w:rsidRDefault="00A13181" w:rsidP="00873AF3">
            <w:pPr>
              <w:contextualSpacing/>
              <w:jc w:val="left"/>
              <w:rPr>
                <w:rFonts w:ascii="Arial Narrow" w:hAnsi="Arial Narrow" w:cs="Times New Roman"/>
                <w:b/>
                <w:bCs/>
                <w:iCs/>
                <w:color w:val="000000"/>
                <w:sz w:val="20"/>
                <w:szCs w:val="20"/>
              </w:rPr>
            </w:pPr>
            <w:r w:rsidRPr="009C1AA2">
              <w:rPr>
                <w:rFonts w:ascii="Arial Narrow" w:hAnsi="Arial Narrow" w:cs="Times New Roman"/>
                <w:iCs/>
                <w:color w:val="000000"/>
                <w:sz w:val="20"/>
                <w:szCs w:val="20"/>
              </w:rPr>
              <w:t>HOBART TAS 7001</w:t>
            </w:r>
          </w:p>
        </w:tc>
      </w:tr>
      <w:tr w:rsidR="00A13181" w:rsidRPr="009C1AA2" w14:paraId="1317FE8C" w14:textId="77777777" w:rsidTr="00A13181">
        <w:tblPrEx>
          <w:tblCellMar>
            <w:top w:w="15" w:type="dxa"/>
            <w:bottom w:w="15" w:type="dxa"/>
          </w:tblCellMar>
          <w:tblLook w:val="04A0" w:firstRow="1" w:lastRow="0" w:firstColumn="1" w:lastColumn="0" w:noHBand="0" w:noVBand="1"/>
        </w:tblPrEx>
        <w:trPr>
          <w:trHeight w:val="177"/>
        </w:trPr>
        <w:tc>
          <w:tcPr>
            <w:tcW w:w="9071" w:type="dxa"/>
            <w:gridSpan w:val="6"/>
            <w:vAlign w:val="center"/>
          </w:tcPr>
          <w:p w14:paraId="2EA53611" w14:textId="77777777" w:rsidR="00A13181" w:rsidRPr="009C1AA2" w:rsidRDefault="00A13181" w:rsidP="00873AF3">
            <w:pPr>
              <w:contextualSpacing/>
              <w:jc w:val="left"/>
              <w:rPr>
                <w:rFonts w:ascii="Arial Narrow" w:hAnsi="Arial Narrow" w:cs="Times New Roman"/>
                <w:b/>
                <w:bCs/>
                <w:iCs/>
                <w:color w:val="000000"/>
                <w:sz w:val="20"/>
                <w:szCs w:val="20"/>
              </w:rPr>
            </w:pPr>
            <w:r w:rsidRPr="009C1AA2">
              <w:rPr>
                <w:rFonts w:ascii="Arial Narrow" w:hAnsi="Arial Narrow" w:cs="Times New Roman"/>
                <w:b/>
                <w:bCs/>
                <w:iCs/>
                <w:color w:val="000000"/>
                <w:sz w:val="20"/>
                <w:szCs w:val="20"/>
              </w:rPr>
              <w:t xml:space="preserve">Administrative Advice: </w:t>
            </w:r>
            <w:r w:rsidRPr="009C1AA2">
              <w:rPr>
                <w:rFonts w:ascii="Arial Narrow" w:hAnsi="Arial Narrow" w:cs="Times New Roman"/>
                <w:iCs/>
                <w:color w:val="000000"/>
                <w:sz w:val="20"/>
                <w:szCs w:val="20"/>
              </w:rPr>
              <w:t>No increase in the maximum quantity or number of units may be authorised.</w:t>
            </w:r>
          </w:p>
        </w:tc>
      </w:tr>
      <w:tr w:rsidR="00A13181" w:rsidRPr="009C1AA2" w14:paraId="5F2FC806" w14:textId="77777777" w:rsidTr="00A13181">
        <w:tblPrEx>
          <w:tblCellMar>
            <w:top w:w="15" w:type="dxa"/>
            <w:bottom w:w="15" w:type="dxa"/>
          </w:tblCellMar>
          <w:tblLook w:val="04A0" w:firstRow="1" w:lastRow="0" w:firstColumn="1" w:lastColumn="0" w:noHBand="0" w:noVBand="1"/>
        </w:tblPrEx>
        <w:trPr>
          <w:trHeight w:val="177"/>
        </w:trPr>
        <w:tc>
          <w:tcPr>
            <w:tcW w:w="9071" w:type="dxa"/>
            <w:gridSpan w:val="6"/>
            <w:vAlign w:val="center"/>
          </w:tcPr>
          <w:p w14:paraId="075190E1" w14:textId="77777777" w:rsidR="00A13181" w:rsidRPr="009C1AA2" w:rsidRDefault="00A13181" w:rsidP="00873AF3">
            <w:pPr>
              <w:contextualSpacing/>
              <w:jc w:val="left"/>
              <w:rPr>
                <w:rFonts w:ascii="Arial Narrow" w:hAnsi="Arial Narrow" w:cs="Times New Roman"/>
                <w:b/>
                <w:bCs/>
                <w:iCs/>
                <w:color w:val="000000"/>
                <w:sz w:val="20"/>
                <w:szCs w:val="20"/>
              </w:rPr>
            </w:pPr>
            <w:r w:rsidRPr="009C1AA2">
              <w:rPr>
                <w:rFonts w:ascii="Arial Narrow" w:hAnsi="Arial Narrow" w:cs="Times New Roman"/>
                <w:b/>
                <w:bCs/>
                <w:iCs/>
                <w:color w:val="000000"/>
                <w:sz w:val="20"/>
                <w:szCs w:val="20"/>
              </w:rPr>
              <w:t xml:space="preserve">Administrative Advice: </w:t>
            </w:r>
            <w:r w:rsidRPr="009C1AA2">
              <w:rPr>
                <w:rFonts w:ascii="Arial Narrow" w:hAnsi="Arial Narrow" w:cs="Times New Roman"/>
                <w:iCs/>
                <w:color w:val="000000"/>
                <w:sz w:val="20"/>
                <w:szCs w:val="20"/>
              </w:rPr>
              <w:t>No increase in the maximum number of repeats may be authorised.</w:t>
            </w:r>
          </w:p>
        </w:tc>
      </w:tr>
      <w:tr w:rsidR="00A13181" w:rsidRPr="009C1AA2" w14:paraId="226F23B3" w14:textId="77777777" w:rsidTr="00A13181">
        <w:tblPrEx>
          <w:tblCellMar>
            <w:top w:w="15" w:type="dxa"/>
            <w:bottom w:w="15" w:type="dxa"/>
          </w:tblCellMar>
          <w:tblLook w:val="04A0" w:firstRow="1" w:lastRow="0" w:firstColumn="1" w:lastColumn="0" w:noHBand="0" w:noVBand="1"/>
        </w:tblPrEx>
        <w:trPr>
          <w:trHeight w:val="204"/>
        </w:trPr>
        <w:tc>
          <w:tcPr>
            <w:tcW w:w="9071" w:type="dxa"/>
            <w:gridSpan w:val="6"/>
            <w:vAlign w:val="center"/>
          </w:tcPr>
          <w:p w14:paraId="12AD6E5A" w14:textId="77777777" w:rsidR="00A13181" w:rsidRPr="009C1AA2" w:rsidRDefault="00A13181" w:rsidP="00873AF3">
            <w:pPr>
              <w:contextualSpacing/>
              <w:jc w:val="left"/>
              <w:rPr>
                <w:rFonts w:ascii="Arial Narrow" w:hAnsi="Arial Narrow" w:cs="Times New Roman"/>
                <w:b/>
                <w:bCs/>
                <w:iCs/>
                <w:color w:val="000000"/>
                <w:sz w:val="20"/>
                <w:szCs w:val="20"/>
              </w:rPr>
            </w:pPr>
            <w:r w:rsidRPr="009C1AA2">
              <w:rPr>
                <w:rFonts w:ascii="Arial Narrow" w:hAnsi="Arial Narrow" w:cs="Times New Roman"/>
                <w:b/>
                <w:bCs/>
                <w:iCs/>
                <w:color w:val="000000"/>
                <w:sz w:val="20"/>
                <w:szCs w:val="20"/>
              </w:rPr>
              <w:t xml:space="preserve">Administrative Advice: </w:t>
            </w:r>
            <w:r w:rsidRPr="009C1AA2">
              <w:rPr>
                <w:rFonts w:ascii="Arial Narrow" w:hAnsi="Arial Narrow" w:cs="Times New Roman"/>
                <w:iCs/>
                <w:color w:val="000000"/>
                <w:sz w:val="20"/>
                <w:szCs w:val="20"/>
              </w:rPr>
              <w:t>Special Pricing Arrangements apply.</w:t>
            </w:r>
          </w:p>
        </w:tc>
      </w:tr>
      <w:tr w:rsidR="008A494F" w:rsidRPr="009C1AA2" w14:paraId="0E085B08"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shd w:val="clear" w:color="auto" w:fill="D1D1D1"/>
            <w:vAlign w:val="center"/>
          </w:tcPr>
          <w:p w14:paraId="1CB95BED" w14:textId="2AAE20F9" w:rsidR="008A494F" w:rsidRPr="009C1AA2" w:rsidRDefault="008A494F" w:rsidP="00873AF3">
            <w:pPr>
              <w:keepLines/>
              <w:contextualSpacing/>
              <w:jc w:val="left"/>
              <w:rPr>
                <w:rFonts w:ascii="Arial Narrow" w:hAnsi="Arial Narrow" w:cs="Times New Roman"/>
                <w:b/>
                <w:bCs/>
                <w:color w:val="000000"/>
                <w:sz w:val="20"/>
                <w:szCs w:val="20"/>
              </w:rPr>
            </w:pPr>
            <w:r w:rsidRPr="009C1AA2">
              <w:rPr>
                <w:rFonts w:ascii="Arial Narrow" w:hAnsi="Arial Narrow" w:cs="Times New Roman"/>
                <w:b/>
                <w:bCs/>
                <w:color w:val="000000"/>
                <w:sz w:val="20"/>
                <w:szCs w:val="20"/>
              </w:rPr>
              <w:t xml:space="preserve">Restriction Summary / Treatment of Concept: </w:t>
            </w:r>
          </w:p>
        </w:tc>
      </w:tr>
      <w:tr w:rsidR="00A13181" w:rsidRPr="009C1AA2" w14:paraId="2703FBFA"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vAlign w:val="center"/>
          </w:tcPr>
          <w:p w14:paraId="16326972" w14:textId="77777777" w:rsidR="00A13181" w:rsidRPr="009C1AA2" w:rsidRDefault="00A13181" w:rsidP="00873AF3">
            <w:pPr>
              <w:keepLines/>
              <w:contextualSpacing/>
              <w:jc w:val="left"/>
              <w:rPr>
                <w:rFonts w:ascii="Arial Narrow" w:hAnsi="Arial Narrow" w:cs="Times New Roman"/>
                <w:b/>
                <w:bCs/>
                <w:color w:val="000000"/>
                <w:sz w:val="20"/>
                <w:szCs w:val="20"/>
              </w:rPr>
            </w:pPr>
            <w:r w:rsidRPr="009C1AA2">
              <w:rPr>
                <w:rFonts w:ascii="Arial Narrow" w:hAnsi="Arial Narrow" w:cs="Times New Roman"/>
                <w:b/>
                <w:bCs/>
                <w:color w:val="000000"/>
                <w:sz w:val="20"/>
                <w:szCs w:val="20"/>
              </w:rPr>
              <w:t>Indication:</w:t>
            </w:r>
            <w:r w:rsidRPr="009C1AA2">
              <w:rPr>
                <w:rFonts w:ascii="Arial Narrow" w:hAnsi="Arial Narrow" w:cs="Times New Roman"/>
                <w:color w:val="000000"/>
                <w:sz w:val="20"/>
                <w:szCs w:val="20"/>
              </w:rPr>
              <w:t xml:space="preserve"> </w:t>
            </w:r>
            <w:r w:rsidRPr="009C1AA2">
              <w:rPr>
                <w:rFonts w:ascii="Arial Narrow" w:hAnsi="Arial Narrow" w:cs="Times New Roman"/>
                <w:bCs/>
                <w:color w:val="000000"/>
                <w:sz w:val="20"/>
                <w:szCs w:val="20"/>
              </w:rPr>
              <w:t>Acute severe</w:t>
            </w:r>
            <w:r w:rsidRPr="009C1AA2">
              <w:rPr>
                <w:rFonts w:ascii="Arial Narrow" w:hAnsi="Arial Narrow" w:cs="Times New Roman"/>
                <w:color w:val="000000"/>
                <w:sz w:val="20"/>
                <w:szCs w:val="20"/>
              </w:rPr>
              <w:t xml:space="preserve"> generalised myasthenia gravis (gMG)</w:t>
            </w:r>
          </w:p>
        </w:tc>
      </w:tr>
      <w:tr w:rsidR="00A13181" w:rsidRPr="009C1AA2" w14:paraId="5A11E72C"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vAlign w:val="center"/>
          </w:tcPr>
          <w:p w14:paraId="4B5D6C55" w14:textId="77777777" w:rsidR="00A13181" w:rsidRPr="009C1AA2" w:rsidRDefault="00A13181" w:rsidP="00873AF3">
            <w:pPr>
              <w:keepLines/>
              <w:contextualSpacing/>
              <w:jc w:val="left"/>
              <w:rPr>
                <w:rFonts w:ascii="Arial Narrow" w:hAnsi="Arial Narrow" w:cs="Times New Roman"/>
                <w:b/>
                <w:bCs/>
                <w:sz w:val="20"/>
                <w:szCs w:val="20"/>
              </w:rPr>
            </w:pPr>
            <w:r w:rsidRPr="009C1AA2">
              <w:rPr>
                <w:rFonts w:ascii="Arial Narrow" w:hAnsi="Arial Narrow" w:cs="Times New Roman"/>
                <w:b/>
                <w:bCs/>
                <w:color w:val="000000"/>
                <w:sz w:val="20"/>
                <w:szCs w:val="20"/>
              </w:rPr>
              <w:t>Treatment Phase:</w:t>
            </w:r>
            <w:r w:rsidRPr="009C1AA2">
              <w:rPr>
                <w:rFonts w:ascii="Arial Narrow" w:hAnsi="Arial Narrow" w:cs="Times New Roman"/>
                <w:color w:val="000000"/>
                <w:sz w:val="20"/>
                <w:szCs w:val="20"/>
              </w:rPr>
              <w:t xml:space="preserve"> [Blank]</w:t>
            </w:r>
          </w:p>
        </w:tc>
      </w:tr>
      <w:tr w:rsidR="00A13181" w:rsidRPr="009C1AA2" w14:paraId="572FA0B3"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1EC3C37F" w14:textId="77777777" w:rsidR="00A13181" w:rsidRPr="009C1AA2" w:rsidRDefault="00A13181" w:rsidP="00873AF3">
            <w:pPr>
              <w:contextualSpacing/>
              <w:jc w:val="left"/>
              <w:rPr>
                <w:rFonts w:ascii="Arial Narrow" w:hAnsi="Arial Narrow" w:cs="Times New Roman"/>
                <w:sz w:val="20"/>
                <w:szCs w:val="20"/>
              </w:rPr>
            </w:pPr>
            <w:r w:rsidRPr="009C1AA2">
              <w:rPr>
                <w:rFonts w:ascii="Arial Narrow" w:hAnsi="Arial Narrow" w:cs="Times New Roman"/>
                <w:b/>
                <w:bCs/>
                <w:color w:val="333333"/>
                <w:sz w:val="20"/>
                <w:szCs w:val="20"/>
              </w:rPr>
              <w:t>Clinical criteria:</w:t>
            </w:r>
          </w:p>
        </w:tc>
      </w:tr>
      <w:tr w:rsidR="00A13181" w:rsidRPr="009C1AA2" w14:paraId="5417A6C9"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vAlign w:val="center"/>
          </w:tcPr>
          <w:p w14:paraId="59455696" w14:textId="77777777" w:rsidR="00A13181" w:rsidRPr="009C1AA2" w:rsidRDefault="00A13181" w:rsidP="00873AF3">
            <w:pPr>
              <w:contextualSpacing/>
              <w:jc w:val="left"/>
              <w:rPr>
                <w:rFonts w:ascii="Arial Narrow" w:hAnsi="Arial Narrow" w:cs="Times New Roman"/>
                <w:sz w:val="20"/>
                <w:szCs w:val="20"/>
              </w:rPr>
            </w:pPr>
            <w:r w:rsidRPr="009C1AA2">
              <w:rPr>
                <w:rFonts w:ascii="Arial Narrow" w:hAnsi="Arial Narrow" w:cs="Times New Roman"/>
                <w:color w:val="333333"/>
                <w:kern w:val="2"/>
                <w:sz w:val="20"/>
                <w:szCs w:val="20"/>
                <w14:ligatures w14:val="standardContextual"/>
              </w:rPr>
              <w:t xml:space="preserve">Patient must have a diagnosis of MGFA Disease </w:t>
            </w:r>
            <w:r w:rsidRPr="009C1AA2">
              <w:rPr>
                <w:rFonts w:ascii="Arial Narrow" w:hAnsi="Arial Narrow" w:cs="Times New Roman"/>
                <w:color w:val="000000"/>
                <w:kern w:val="2"/>
                <w:sz w:val="20"/>
                <w:szCs w:val="20"/>
                <w14:ligatures w14:val="standardContextual"/>
              </w:rPr>
              <w:t>Class II to IV</w:t>
            </w:r>
          </w:p>
        </w:tc>
      </w:tr>
      <w:tr w:rsidR="00A13181" w:rsidRPr="009C1AA2" w14:paraId="0166069F"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32E11EC4" w14:textId="77777777" w:rsidR="00A13181" w:rsidRPr="009C1AA2" w:rsidRDefault="00A13181" w:rsidP="00873AF3">
            <w:pPr>
              <w:contextualSpacing/>
              <w:jc w:val="left"/>
              <w:rPr>
                <w:rFonts w:ascii="Arial Narrow" w:hAnsi="Arial Narrow" w:cs="Times New Roman"/>
                <w:sz w:val="20"/>
                <w:szCs w:val="20"/>
              </w:rPr>
            </w:pPr>
            <w:r w:rsidRPr="009C1AA2">
              <w:rPr>
                <w:rFonts w:ascii="Arial Narrow" w:hAnsi="Arial Narrow" w:cs="Times New Roman"/>
                <w:b/>
                <w:bCs/>
                <w:sz w:val="20"/>
                <w:szCs w:val="20"/>
              </w:rPr>
              <w:t>AND</w:t>
            </w:r>
          </w:p>
        </w:tc>
      </w:tr>
      <w:tr w:rsidR="00A13181" w:rsidRPr="009C1AA2" w14:paraId="0C4F582E"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46783328" w14:textId="77777777" w:rsidR="00A13181" w:rsidRPr="009C1AA2" w:rsidRDefault="00A13181" w:rsidP="00873AF3">
            <w:pPr>
              <w:contextualSpacing/>
              <w:jc w:val="left"/>
              <w:rPr>
                <w:rFonts w:ascii="Arial Narrow" w:hAnsi="Arial Narrow" w:cs="Times New Roman"/>
                <w:sz w:val="20"/>
                <w:szCs w:val="20"/>
              </w:rPr>
            </w:pPr>
            <w:r w:rsidRPr="009C1AA2">
              <w:rPr>
                <w:rFonts w:ascii="Arial Narrow" w:hAnsi="Arial Narrow" w:cs="Times New Roman"/>
                <w:b/>
                <w:bCs/>
                <w:sz w:val="20"/>
                <w:szCs w:val="20"/>
              </w:rPr>
              <w:t>Clinical criteria:</w:t>
            </w:r>
          </w:p>
        </w:tc>
      </w:tr>
      <w:tr w:rsidR="00A13181" w:rsidRPr="009C1AA2" w14:paraId="68EB3CFD"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4208DBF6" w14:textId="77777777" w:rsidR="00A13181" w:rsidRPr="009C1AA2" w:rsidRDefault="00A13181" w:rsidP="00873AF3">
            <w:pPr>
              <w:contextualSpacing/>
              <w:jc w:val="left"/>
              <w:rPr>
                <w:rFonts w:ascii="Arial Narrow" w:eastAsia="Calibri" w:hAnsi="Arial Narrow" w:cs="Times New Roman"/>
                <w:sz w:val="20"/>
                <w:szCs w:val="20"/>
                <w:lang w:eastAsia="en-US"/>
              </w:rPr>
            </w:pPr>
            <w:r w:rsidRPr="009C1AA2">
              <w:rPr>
                <w:rFonts w:ascii="Arial Narrow" w:hAnsi="Arial Narrow" w:cs="Times New Roman"/>
                <w:bCs/>
                <w:kern w:val="2"/>
                <w:sz w:val="20"/>
                <w:szCs w:val="20"/>
                <w14:ligatures w14:val="standardContextual"/>
              </w:rPr>
              <w:t>Patient must have a positive serology for acetylcholine receptor (AChR) binding autoantibodies</w:t>
            </w:r>
          </w:p>
        </w:tc>
      </w:tr>
      <w:tr w:rsidR="00A13181" w:rsidRPr="009C1AA2" w14:paraId="75A379B1"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5819ECEF" w14:textId="77777777" w:rsidR="00A13181" w:rsidRPr="009C1AA2" w:rsidRDefault="00A13181" w:rsidP="00873AF3">
            <w:pPr>
              <w:contextualSpacing/>
              <w:jc w:val="left"/>
              <w:rPr>
                <w:rFonts w:ascii="Arial Narrow" w:hAnsi="Arial Narrow" w:cs="Times New Roman"/>
                <w:sz w:val="20"/>
                <w:szCs w:val="20"/>
              </w:rPr>
            </w:pPr>
            <w:r w:rsidRPr="009C1AA2">
              <w:rPr>
                <w:rFonts w:ascii="Arial Narrow" w:eastAsia="Calibri" w:hAnsi="Arial Narrow" w:cs="Times New Roman"/>
                <w:b/>
                <w:bCs/>
                <w:sz w:val="20"/>
                <w:szCs w:val="20"/>
                <w:lang w:eastAsia="en-US"/>
              </w:rPr>
              <w:t>AND</w:t>
            </w:r>
          </w:p>
        </w:tc>
      </w:tr>
      <w:tr w:rsidR="00A13181" w:rsidRPr="009C1AA2" w14:paraId="2668A06D"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2A9EBA95" w14:textId="77777777" w:rsidR="00A13181" w:rsidRPr="009C1AA2" w:rsidRDefault="00A13181" w:rsidP="00873AF3">
            <w:pPr>
              <w:contextualSpacing/>
              <w:jc w:val="left"/>
              <w:rPr>
                <w:rFonts w:ascii="Arial Narrow" w:hAnsi="Arial Narrow" w:cs="Times New Roman"/>
                <w:sz w:val="20"/>
                <w:szCs w:val="20"/>
              </w:rPr>
            </w:pPr>
            <w:r w:rsidRPr="009C1AA2">
              <w:rPr>
                <w:rFonts w:ascii="Arial Narrow" w:eastAsia="Calibri" w:hAnsi="Arial Narrow" w:cs="Times New Roman"/>
                <w:b/>
                <w:bCs/>
                <w:sz w:val="20"/>
                <w:szCs w:val="20"/>
                <w:lang w:eastAsia="en-US"/>
              </w:rPr>
              <w:t>Clinical criteria:</w:t>
            </w:r>
          </w:p>
        </w:tc>
      </w:tr>
      <w:tr w:rsidR="00A13181" w:rsidRPr="009C1AA2" w14:paraId="591AD614"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0C093AA0" w14:textId="77777777" w:rsidR="00A13181" w:rsidRPr="009C1AA2" w:rsidRDefault="00A13181" w:rsidP="00873AF3">
            <w:pPr>
              <w:contextualSpacing/>
              <w:jc w:val="left"/>
              <w:rPr>
                <w:rFonts w:ascii="Arial Narrow" w:hAnsi="Arial Narrow" w:cs="Times New Roman"/>
                <w:sz w:val="20"/>
                <w:szCs w:val="20"/>
              </w:rPr>
            </w:pPr>
            <w:r w:rsidRPr="009C1AA2">
              <w:rPr>
                <w:rFonts w:ascii="Arial Narrow" w:eastAsia="Calibri" w:hAnsi="Arial Narrow" w:cs="Times New Roman"/>
                <w:sz w:val="20"/>
                <w:szCs w:val="20"/>
                <w:lang w:eastAsia="en-US"/>
              </w:rPr>
              <w:t xml:space="preserve">Patient must not be experiencing a myasthenic crisis </w:t>
            </w:r>
          </w:p>
        </w:tc>
      </w:tr>
      <w:tr w:rsidR="00A13181" w:rsidRPr="009C1AA2" w14:paraId="7ABF4682"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3BB3C5FD" w14:textId="77777777" w:rsidR="00A13181" w:rsidRPr="009C1AA2" w:rsidRDefault="00A13181" w:rsidP="00873AF3">
            <w:pPr>
              <w:contextualSpacing/>
              <w:jc w:val="left"/>
              <w:rPr>
                <w:rFonts w:ascii="Arial Narrow" w:hAnsi="Arial Narrow" w:cs="Times New Roman"/>
                <w:sz w:val="20"/>
                <w:szCs w:val="20"/>
              </w:rPr>
            </w:pPr>
            <w:r w:rsidRPr="009C1AA2">
              <w:rPr>
                <w:rFonts w:ascii="Arial Narrow" w:eastAsia="Calibri" w:hAnsi="Arial Narrow" w:cs="Times New Roman"/>
                <w:b/>
                <w:bCs/>
                <w:sz w:val="20"/>
                <w:szCs w:val="20"/>
                <w:lang w:eastAsia="en-US"/>
              </w:rPr>
              <w:t>AND</w:t>
            </w:r>
          </w:p>
        </w:tc>
      </w:tr>
      <w:tr w:rsidR="00A13181" w:rsidRPr="009C1AA2" w14:paraId="1DBC5CD4"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1A9D4067" w14:textId="77777777" w:rsidR="00A13181" w:rsidRPr="009C1AA2" w:rsidRDefault="00A13181" w:rsidP="00873AF3">
            <w:pPr>
              <w:contextualSpacing/>
              <w:jc w:val="left"/>
              <w:rPr>
                <w:rFonts w:ascii="Arial Narrow" w:hAnsi="Arial Narrow" w:cs="Times New Roman"/>
                <w:sz w:val="20"/>
                <w:szCs w:val="20"/>
              </w:rPr>
            </w:pPr>
            <w:r w:rsidRPr="009C1AA2">
              <w:rPr>
                <w:rFonts w:ascii="Arial Narrow" w:eastAsia="Calibri" w:hAnsi="Arial Narrow" w:cs="Times New Roman"/>
                <w:b/>
                <w:bCs/>
                <w:sz w:val="20"/>
                <w:szCs w:val="20"/>
                <w:lang w:eastAsia="en-US"/>
              </w:rPr>
              <w:t>Clinical criteria:</w:t>
            </w:r>
          </w:p>
        </w:tc>
      </w:tr>
      <w:tr w:rsidR="00A13181" w:rsidRPr="009C1AA2" w14:paraId="4BB7B1A6"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2154C288" w14:textId="77777777" w:rsidR="00A13181" w:rsidRPr="009C1AA2" w:rsidRDefault="00A13181" w:rsidP="00873AF3">
            <w:pPr>
              <w:contextualSpacing/>
              <w:jc w:val="left"/>
              <w:rPr>
                <w:rFonts w:ascii="Arial Narrow" w:hAnsi="Arial Narrow" w:cs="Times New Roman"/>
                <w:color w:val="000000"/>
                <w:sz w:val="20"/>
                <w:szCs w:val="20"/>
              </w:rPr>
            </w:pPr>
            <w:r w:rsidRPr="009C1AA2">
              <w:rPr>
                <w:rFonts w:ascii="Arial Narrow" w:hAnsi="Arial Narrow" w:cs="Times New Roman"/>
                <w:color w:val="000000"/>
                <w:sz w:val="20"/>
                <w:szCs w:val="20"/>
              </w:rPr>
              <w:t>Patient must be considered by the treating clinician to have rapidly deteriorating gMG disease in the absence of immediate treatment with a gMG biological agent</w:t>
            </w:r>
          </w:p>
        </w:tc>
      </w:tr>
      <w:tr w:rsidR="00A13181" w:rsidRPr="009C1AA2" w14:paraId="0EFAF41A"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31AE8397" w14:textId="77777777" w:rsidR="00A13181" w:rsidRPr="009C1AA2" w:rsidRDefault="00A13181" w:rsidP="00873AF3">
            <w:pPr>
              <w:contextualSpacing/>
              <w:jc w:val="left"/>
              <w:rPr>
                <w:rFonts w:ascii="Arial Narrow" w:hAnsi="Arial Narrow" w:cs="Times New Roman"/>
                <w:color w:val="000000"/>
                <w:sz w:val="20"/>
                <w:szCs w:val="20"/>
              </w:rPr>
            </w:pPr>
            <w:r w:rsidRPr="009C1AA2">
              <w:rPr>
                <w:rFonts w:ascii="Arial Narrow" w:eastAsia="Calibri" w:hAnsi="Arial Narrow" w:cs="Times New Roman"/>
                <w:b/>
                <w:bCs/>
                <w:sz w:val="20"/>
                <w:szCs w:val="20"/>
                <w:lang w:eastAsia="en-US"/>
              </w:rPr>
              <w:t>AND</w:t>
            </w:r>
          </w:p>
        </w:tc>
      </w:tr>
      <w:tr w:rsidR="00A13181" w:rsidRPr="009C1AA2" w14:paraId="1DDDE3FD"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7C2E78D1" w14:textId="77777777" w:rsidR="00A13181" w:rsidRPr="009C1AA2" w:rsidRDefault="00A13181" w:rsidP="00873AF3">
            <w:pPr>
              <w:contextualSpacing/>
              <w:jc w:val="left"/>
              <w:rPr>
                <w:rFonts w:ascii="Arial Narrow" w:hAnsi="Arial Narrow" w:cs="Times New Roman"/>
                <w:b/>
                <w:bCs/>
                <w:sz w:val="20"/>
                <w:szCs w:val="20"/>
              </w:rPr>
            </w:pPr>
            <w:r w:rsidRPr="009C1AA2">
              <w:rPr>
                <w:rFonts w:ascii="Arial Narrow" w:hAnsi="Arial Narrow" w:cs="Times New Roman"/>
                <w:b/>
                <w:bCs/>
                <w:sz w:val="20"/>
                <w:szCs w:val="20"/>
              </w:rPr>
              <w:t>Clinical criteria:</w:t>
            </w:r>
          </w:p>
        </w:tc>
      </w:tr>
      <w:tr w:rsidR="00A13181" w:rsidRPr="009C1AA2" w14:paraId="11F3ED93"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1FFFB29F" w14:textId="77777777" w:rsidR="00A13181" w:rsidRPr="009C1AA2" w:rsidRDefault="00A13181" w:rsidP="00873AF3">
            <w:pPr>
              <w:contextualSpacing/>
              <w:jc w:val="left"/>
              <w:rPr>
                <w:rFonts w:ascii="Arial Narrow" w:hAnsi="Arial Narrow" w:cs="Times New Roman"/>
                <w:kern w:val="2"/>
                <w:sz w:val="20"/>
                <w:szCs w:val="20"/>
                <w14:ligatures w14:val="standardContextual"/>
              </w:rPr>
            </w:pPr>
            <w:r w:rsidRPr="009C1AA2">
              <w:rPr>
                <w:rFonts w:ascii="Arial Narrow" w:hAnsi="Arial Narrow" w:cs="Times New Roman"/>
                <w:kern w:val="2"/>
                <w:sz w:val="20"/>
                <w:szCs w:val="20"/>
                <w14:ligatures w14:val="standardContextual"/>
              </w:rPr>
              <w:t xml:space="preserve">Patient must not be receiving concomitant treatment with any of the following: </w:t>
            </w:r>
          </w:p>
          <w:p w14:paraId="2F744F83" w14:textId="77777777" w:rsidR="00A13181" w:rsidRPr="009C1AA2" w:rsidRDefault="00A13181" w:rsidP="00873AF3">
            <w:pPr>
              <w:contextualSpacing/>
              <w:jc w:val="left"/>
              <w:rPr>
                <w:rFonts w:ascii="Arial Narrow" w:hAnsi="Arial Narrow" w:cs="Times New Roman"/>
                <w:sz w:val="20"/>
                <w:szCs w:val="20"/>
              </w:rPr>
            </w:pPr>
            <w:r w:rsidRPr="009C1AA2">
              <w:rPr>
                <w:rFonts w:ascii="Arial Narrow" w:hAnsi="Arial Narrow" w:cs="Times New Roman"/>
                <w:sz w:val="20"/>
                <w:szCs w:val="20"/>
              </w:rPr>
              <w:t>(i) another gMG biological agent,</w:t>
            </w:r>
          </w:p>
          <w:p w14:paraId="1C1B0E96" w14:textId="77777777" w:rsidR="00A13181" w:rsidRPr="009C1AA2" w:rsidRDefault="00A13181" w:rsidP="00873AF3">
            <w:pPr>
              <w:contextualSpacing/>
              <w:jc w:val="left"/>
              <w:rPr>
                <w:rFonts w:ascii="Arial Narrow" w:hAnsi="Arial Narrow" w:cs="Times New Roman"/>
                <w:sz w:val="20"/>
                <w:szCs w:val="20"/>
              </w:rPr>
            </w:pPr>
            <w:r w:rsidRPr="009C1AA2">
              <w:rPr>
                <w:rFonts w:ascii="Arial Narrow" w:hAnsi="Arial Narrow" w:cs="Times New Roman"/>
                <w:sz w:val="20"/>
                <w:szCs w:val="20"/>
              </w:rPr>
              <w:t xml:space="preserve">(ii) </w:t>
            </w:r>
            <w:r w:rsidRPr="009C1AA2">
              <w:rPr>
                <w:rFonts w:ascii="Arial Narrow" w:hAnsi="Arial Narrow" w:cs="Times New Roman"/>
                <w:kern w:val="2"/>
                <w:sz w:val="20"/>
                <w:szCs w:val="20"/>
                <w14:ligatures w14:val="standardContextual"/>
              </w:rPr>
              <w:t>intravenous immunoglobulin (</w:t>
            </w:r>
            <w:r w:rsidRPr="009C1AA2">
              <w:rPr>
                <w:rFonts w:ascii="Arial Narrow" w:hAnsi="Arial Narrow" w:cs="Times New Roman"/>
                <w:sz w:val="20"/>
                <w:szCs w:val="20"/>
              </w:rPr>
              <w:t>IVIg),</w:t>
            </w:r>
          </w:p>
          <w:p w14:paraId="550B5A98" w14:textId="77777777" w:rsidR="00A13181" w:rsidRPr="009C1AA2" w:rsidRDefault="00A13181" w:rsidP="00873AF3">
            <w:pPr>
              <w:contextualSpacing/>
              <w:jc w:val="left"/>
              <w:rPr>
                <w:rFonts w:ascii="Arial Narrow" w:hAnsi="Arial Narrow" w:cs="Times New Roman"/>
                <w:sz w:val="20"/>
                <w:szCs w:val="20"/>
              </w:rPr>
            </w:pPr>
            <w:r w:rsidRPr="009C1AA2">
              <w:rPr>
                <w:rFonts w:ascii="Arial Narrow" w:hAnsi="Arial Narrow" w:cs="Times New Roman"/>
                <w:sz w:val="20"/>
                <w:szCs w:val="20"/>
              </w:rPr>
              <w:t>(iii) plasma exchange (PLEX),</w:t>
            </w:r>
          </w:p>
          <w:p w14:paraId="2F9F6BB6" w14:textId="77777777" w:rsidR="00A13181" w:rsidRPr="009C1AA2" w:rsidRDefault="00A13181" w:rsidP="00873AF3">
            <w:pPr>
              <w:contextualSpacing/>
              <w:jc w:val="left"/>
              <w:rPr>
                <w:rFonts w:ascii="Arial Narrow" w:hAnsi="Arial Narrow" w:cs="Times New Roman"/>
                <w:sz w:val="20"/>
                <w:szCs w:val="20"/>
              </w:rPr>
            </w:pPr>
            <w:r w:rsidRPr="009C1AA2">
              <w:rPr>
                <w:rFonts w:ascii="Arial Narrow" w:hAnsi="Arial Narrow" w:cs="Times New Roman"/>
                <w:sz w:val="20"/>
                <w:szCs w:val="20"/>
              </w:rPr>
              <w:t>(iv) rituximab for this condition.</w:t>
            </w:r>
          </w:p>
        </w:tc>
      </w:tr>
      <w:tr w:rsidR="00A13181" w:rsidRPr="009C1AA2" w14:paraId="71E6EF57"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239DA59B" w14:textId="77777777" w:rsidR="00A13181" w:rsidRPr="009C1AA2" w:rsidRDefault="00A13181"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b/>
                <w:bCs/>
                <w:sz w:val="20"/>
                <w:szCs w:val="20"/>
              </w:rPr>
              <w:t>AND</w:t>
            </w:r>
          </w:p>
        </w:tc>
      </w:tr>
      <w:tr w:rsidR="00A13181" w:rsidRPr="009C1AA2" w14:paraId="524BBA35"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0E54479B" w14:textId="77777777" w:rsidR="00A13181" w:rsidRPr="009C1AA2" w:rsidRDefault="00A13181"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b/>
                <w:bCs/>
                <w:sz w:val="20"/>
                <w:szCs w:val="20"/>
              </w:rPr>
              <w:t>Clinical criteria:</w:t>
            </w:r>
          </w:p>
        </w:tc>
      </w:tr>
      <w:tr w:rsidR="00A13181" w:rsidRPr="009C1AA2" w14:paraId="1259D362"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54E5E39D" w14:textId="77777777" w:rsidR="00A13181" w:rsidRPr="009C1AA2" w:rsidRDefault="00A13181" w:rsidP="00873AF3">
            <w:pPr>
              <w:contextualSpacing/>
              <w:jc w:val="left"/>
              <w:rPr>
                <w:rFonts w:ascii="Arial Narrow" w:hAnsi="Arial Narrow" w:cs="Times New Roman"/>
                <w:kern w:val="2"/>
                <w:sz w:val="20"/>
                <w:szCs w:val="20"/>
                <w14:ligatures w14:val="standardContextual"/>
              </w:rPr>
            </w:pPr>
            <w:r w:rsidRPr="009C1AA2">
              <w:rPr>
                <w:rFonts w:ascii="Arial Narrow" w:hAnsi="Arial Narrow" w:cs="Times New Roman"/>
                <w:kern w:val="2"/>
                <w:sz w:val="20"/>
                <w:szCs w:val="20"/>
                <w14:ligatures w14:val="standardContextual"/>
              </w:rPr>
              <w:t xml:space="preserve">Patient must be receiving concomitant treatment with a non-steroidal immunosuppressant (NS-IST); or </w:t>
            </w:r>
          </w:p>
        </w:tc>
      </w:tr>
      <w:tr w:rsidR="00A13181" w:rsidRPr="009C1AA2" w14:paraId="0A52A6D0"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2A5E9A50" w14:textId="77777777" w:rsidR="00A13181" w:rsidRPr="009C1AA2" w:rsidRDefault="00A13181" w:rsidP="00873AF3">
            <w:pPr>
              <w:contextualSpacing/>
              <w:jc w:val="left"/>
              <w:rPr>
                <w:rFonts w:ascii="Arial Narrow" w:hAnsi="Arial Narrow" w:cs="Times New Roman"/>
                <w:kern w:val="2"/>
                <w:sz w:val="20"/>
                <w:szCs w:val="20"/>
                <w14:ligatures w14:val="standardContextual"/>
              </w:rPr>
            </w:pPr>
            <w:r w:rsidRPr="009C1AA2">
              <w:rPr>
                <w:rFonts w:ascii="Arial Narrow" w:hAnsi="Arial Narrow" w:cs="Times New Roman"/>
                <w:kern w:val="2"/>
                <w:sz w:val="20"/>
                <w:szCs w:val="20"/>
                <w14:ligatures w14:val="standardContextual"/>
              </w:rPr>
              <w:t>Patient must be commencing treatment with an NS-IST within 2 weeks; or</w:t>
            </w:r>
          </w:p>
        </w:tc>
      </w:tr>
      <w:tr w:rsidR="00A13181" w:rsidRPr="009C1AA2" w14:paraId="448213DA"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7759A0FD" w14:textId="77777777" w:rsidR="00A13181" w:rsidRPr="009C1AA2" w:rsidRDefault="00A13181" w:rsidP="00873AF3">
            <w:pPr>
              <w:contextualSpacing/>
              <w:jc w:val="left"/>
              <w:rPr>
                <w:rFonts w:ascii="Arial Narrow" w:hAnsi="Arial Narrow" w:cs="Times New Roman"/>
                <w:kern w:val="2"/>
                <w:sz w:val="20"/>
                <w:szCs w:val="20"/>
                <w14:ligatures w14:val="standardContextual"/>
              </w:rPr>
            </w:pPr>
            <w:r w:rsidRPr="009C1AA2">
              <w:rPr>
                <w:rFonts w:ascii="Arial Narrow" w:hAnsi="Arial Narrow" w:cs="Times New Roman"/>
                <w:color w:val="333333"/>
                <w:kern w:val="2"/>
                <w:sz w:val="20"/>
                <w:szCs w:val="20"/>
                <w14:ligatures w14:val="standardContextual"/>
              </w:rPr>
              <w:t>Patient must have had a thymectomy</w:t>
            </w:r>
          </w:p>
        </w:tc>
      </w:tr>
      <w:tr w:rsidR="00A13181" w:rsidRPr="009C1AA2" w14:paraId="118C3A6C"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3DCD8C4D" w14:textId="77777777" w:rsidR="00A13181" w:rsidRPr="009C1AA2" w:rsidRDefault="00A13181"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b/>
                <w:bCs/>
                <w:sz w:val="20"/>
                <w:szCs w:val="20"/>
              </w:rPr>
              <w:t>AND</w:t>
            </w:r>
          </w:p>
        </w:tc>
      </w:tr>
      <w:tr w:rsidR="00A13181" w:rsidRPr="009C1AA2" w14:paraId="2ABE6C11"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50716F0F" w14:textId="77777777" w:rsidR="00A13181" w:rsidRPr="009C1AA2" w:rsidRDefault="00A13181"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b/>
                <w:bCs/>
                <w:sz w:val="20"/>
                <w:szCs w:val="20"/>
              </w:rPr>
              <w:t>Clinical criteria:</w:t>
            </w:r>
          </w:p>
        </w:tc>
      </w:tr>
      <w:tr w:rsidR="00A13181" w:rsidRPr="009C1AA2" w14:paraId="1F983871"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6DACF74D" w14:textId="77777777" w:rsidR="00A13181" w:rsidRPr="009C1AA2" w:rsidRDefault="00A13181"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color w:val="333333"/>
                <w:kern w:val="2"/>
                <w:sz w:val="20"/>
                <w:szCs w:val="20"/>
                <w14:ligatures w14:val="standardContextual"/>
              </w:rPr>
              <w:t xml:space="preserve">Patient must be receiving concomitant treatment with an oral </w:t>
            </w:r>
            <w:r w:rsidRPr="009C1AA2">
              <w:rPr>
                <w:rFonts w:ascii="Arial Narrow" w:hAnsi="Arial Narrow" w:cs="Times New Roman"/>
                <w:sz w:val="20"/>
                <w:szCs w:val="20"/>
              </w:rPr>
              <w:t>corticosteroid</w:t>
            </w:r>
          </w:p>
        </w:tc>
      </w:tr>
      <w:tr w:rsidR="00A13181" w:rsidRPr="009C1AA2" w14:paraId="47E1E4E6"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5248A4AA" w14:textId="77777777" w:rsidR="00A13181" w:rsidRPr="009C1AA2" w:rsidRDefault="00A13181"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b/>
                <w:bCs/>
                <w:sz w:val="20"/>
                <w:szCs w:val="20"/>
              </w:rPr>
              <w:t>AND</w:t>
            </w:r>
          </w:p>
        </w:tc>
      </w:tr>
      <w:tr w:rsidR="00A13181" w:rsidRPr="009C1AA2" w14:paraId="52E6024A"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546F74F0" w14:textId="77777777" w:rsidR="00A13181" w:rsidRPr="009C1AA2" w:rsidRDefault="00A13181"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b/>
                <w:bCs/>
                <w:sz w:val="20"/>
                <w:szCs w:val="20"/>
              </w:rPr>
              <w:t>Clinical criteria:</w:t>
            </w:r>
          </w:p>
        </w:tc>
      </w:tr>
      <w:tr w:rsidR="00A13181" w:rsidRPr="009C1AA2" w14:paraId="2CA0F0A1"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64305104" w14:textId="18661289" w:rsidR="00A13181" w:rsidRPr="009C1AA2" w:rsidRDefault="00A13181"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sz w:val="20"/>
                <w:szCs w:val="20"/>
              </w:rPr>
              <w:t>Patient must not receive more than 3 months of total treatment with gMG biological agents under this PBS indication (</w:t>
            </w:r>
            <w:r w:rsidR="00371BEC" w:rsidRPr="009C1AA2">
              <w:rPr>
                <w:rFonts w:ascii="Arial Narrow" w:hAnsi="Arial Narrow" w:cs="Times New Roman"/>
                <w:sz w:val="20"/>
                <w:szCs w:val="20"/>
              </w:rPr>
              <w:t>e.g.</w:t>
            </w:r>
            <w:r w:rsidRPr="009C1AA2">
              <w:rPr>
                <w:rFonts w:ascii="Arial Narrow" w:hAnsi="Arial Narrow" w:cs="Times New Roman"/>
                <w:sz w:val="20"/>
                <w:szCs w:val="20"/>
              </w:rPr>
              <w:t xml:space="preserve"> for ‘acute severe gMG’)</w:t>
            </w:r>
          </w:p>
        </w:tc>
      </w:tr>
      <w:tr w:rsidR="00A13181" w:rsidRPr="009C1AA2" w14:paraId="15598145"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5CA732EC" w14:textId="77777777" w:rsidR="00A13181" w:rsidRPr="009C1AA2" w:rsidRDefault="00A13181" w:rsidP="00873AF3">
            <w:pPr>
              <w:contextualSpacing/>
              <w:jc w:val="left"/>
              <w:rPr>
                <w:rFonts w:ascii="Arial Narrow" w:hAnsi="Arial Narrow" w:cs="Times New Roman"/>
                <w:sz w:val="20"/>
                <w:szCs w:val="20"/>
              </w:rPr>
            </w:pPr>
            <w:r w:rsidRPr="009C1AA2">
              <w:rPr>
                <w:rFonts w:ascii="Arial Narrow" w:hAnsi="Arial Narrow" w:cs="Times New Roman"/>
                <w:b/>
                <w:bCs/>
                <w:sz w:val="20"/>
                <w:szCs w:val="20"/>
              </w:rPr>
              <w:t>AND</w:t>
            </w:r>
          </w:p>
        </w:tc>
      </w:tr>
      <w:tr w:rsidR="00A13181" w:rsidRPr="009C1AA2" w14:paraId="5868813E"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7811A80A" w14:textId="77777777" w:rsidR="00A13181" w:rsidRPr="009C1AA2" w:rsidRDefault="00A13181" w:rsidP="00873AF3">
            <w:pPr>
              <w:contextualSpacing/>
              <w:jc w:val="left"/>
              <w:rPr>
                <w:rFonts w:ascii="Arial Narrow" w:hAnsi="Arial Narrow" w:cs="Times New Roman"/>
                <w:color w:val="000000"/>
                <w:sz w:val="20"/>
                <w:szCs w:val="20"/>
              </w:rPr>
            </w:pPr>
            <w:r w:rsidRPr="009C1AA2">
              <w:rPr>
                <w:rFonts w:ascii="Arial Narrow" w:hAnsi="Arial Narrow" w:cs="Times New Roman"/>
                <w:b/>
                <w:bCs/>
                <w:color w:val="000000"/>
                <w:sz w:val="20"/>
                <w:szCs w:val="20"/>
              </w:rPr>
              <w:t>Clinical criteria:</w:t>
            </w:r>
          </w:p>
        </w:tc>
      </w:tr>
      <w:tr w:rsidR="00A13181" w:rsidRPr="009C1AA2" w14:paraId="03C3EAD5"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0AA8AB65" w14:textId="77777777" w:rsidR="00A13181" w:rsidRPr="009C1AA2" w:rsidRDefault="00A13181" w:rsidP="00873AF3">
            <w:pPr>
              <w:contextualSpacing/>
              <w:jc w:val="left"/>
              <w:rPr>
                <w:rFonts w:ascii="Arial Narrow" w:hAnsi="Arial Narrow" w:cs="Times New Roman"/>
                <w:color w:val="000000"/>
                <w:sz w:val="20"/>
                <w:szCs w:val="20"/>
              </w:rPr>
            </w:pPr>
            <w:r w:rsidRPr="009C1AA2">
              <w:rPr>
                <w:rFonts w:ascii="Arial Narrow" w:hAnsi="Arial Narrow" w:cs="Times New Roman"/>
                <w:color w:val="000000"/>
                <w:sz w:val="20"/>
                <w:szCs w:val="20"/>
              </w:rPr>
              <w:t xml:space="preserve">Patient must not have accessed a prior PBS-subsidised gMG biological agent; or </w:t>
            </w:r>
          </w:p>
        </w:tc>
      </w:tr>
      <w:tr w:rsidR="00A13181" w:rsidRPr="009C1AA2" w14:paraId="4FD86175"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shd w:val="clear" w:color="auto" w:fill="FAE2D5"/>
          </w:tcPr>
          <w:p w14:paraId="46D0B5B9" w14:textId="77777777" w:rsidR="00A13181" w:rsidRPr="009C1AA2" w:rsidRDefault="00A13181" w:rsidP="00873AF3">
            <w:pPr>
              <w:contextualSpacing/>
              <w:jc w:val="left"/>
              <w:rPr>
                <w:rFonts w:ascii="Arial Narrow" w:hAnsi="Arial Narrow" w:cs="Times New Roman"/>
                <w:color w:val="000000"/>
                <w:sz w:val="20"/>
                <w:szCs w:val="20"/>
              </w:rPr>
            </w:pPr>
            <w:r w:rsidRPr="009C1AA2">
              <w:rPr>
                <w:rFonts w:ascii="Arial Narrow" w:hAnsi="Arial Narrow" w:cs="Times New Roman"/>
                <w:color w:val="000000"/>
                <w:sz w:val="20"/>
                <w:szCs w:val="20"/>
              </w:rPr>
              <w:t>Patient must have developed an intolerance/toxicity to a PBS-subsidised gMG biological agent necessitating a change in treatment</w:t>
            </w:r>
          </w:p>
        </w:tc>
      </w:tr>
      <w:tr w:rsidR="00A13181" w:rsidRPr="009C1AA2" w14:paraId="0B505422"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48EB70B9" w14:textId="77777777" w:rsidR="00A13181" w:rsidRPr="009C1AA2" w:rsidRDefault="00A13181" w:rsidP="00873AF3">
            <w:pPr>
              <w:contextualSpacing/>
              <w:jc w:val="left"/>
              <w:rPr>
                <w:rFonts w:ascii="Arial Narrow" w:hAnsi="Arial Narrow" w:cs="Times New Roman"/>
                <w:sz w:val="20"/>
                <w:szCs w:val="20"/>
              </w:rPr>
            </w:pPr>
            <w:r w:rsidRPr="009C1AA2">
              <w:rPr>
                <w:rFonts w:ascii="Arial Narrow" w:hAnsi="Arial Narrow" w:cs="Times New Roman"/>
                <w:b/>
                <w:bCs/>
                <w:sz w:val="20"/>
                <w:szCs w:val="20"/>
              </w:rPr>
              <w:t>Treatment criteria:</w:t>
            </w:r>
          </w:p>
        </w:tc>
      </w:tr>
      <w:tr w:rsidR="00A13181" w:rsidRPr="009C1AA2" w14:paraId="05FB5912"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72035C5D" w14:textId="77777777" w:rsidR="00A13181" w:rsidRPr="009C1AA2" w:rsidRDefault="00A13181" w:rsidP="00873AF3">
            <w:pPr>
              <w:contextualSpacing/>
              <w:jc w:val="left"/>
              <w:rPr>
                <w:rFonts w:ascii="Arial Narrow" w:hAnsi="Arial Narrow" w:cs="Times New Roman"/>
                <w:color w:val="000000"/>
                <w:sz w:val="20"/>
                <w:szCs w:val="20"/>
              </w:rPr>
            </w:pPr>
            <w:r w:rsidRPr="009C1AA2">
              <w:rPr>
                <w:rFonts w:ascii="Arial Narrow" w:eastAsia="Calibri" w:hAnsi="Arial Narrow" w:cs="Arial Narrow"/>
                <w:iCs/>
                <w:color w:val="000000"/>
                <w:sz w:val="20"/>
                <w:szCs w:val="20"/>
                <w:lang w:eastAsia="en-US"/>
              </w:rPr>
              <w:t>Must be treated by a prescriber who is either: (i) a neurologist; (ii) a clinical immunologist with expertise in the treatment of myasthenia gravis; or</w:t>
            </w:r>
          </w:p>
        </w:tc>
      </w:tr>
      <w:tr w:rsidR="00A13181" w:rsidRPr="009C1AA2" w14:paraId="00DA77A3"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61226DC8" w14:textId="77777777" w:rsidR="00A13181" w:rsidRPr="009C1AA2" w:rsidRDefault="00A13181" w:rsidP="00873AF3">
            <w:pPr>
              <w:contextualSpacing/>
              <w:jc w:val="left"/>
              <w:rPr>
                <w:rFonts w:ascii="Arial Narrow" w:eastAsia="Calibri" w:hAnsi="Arial Narrow" w:cs="Arial Narrow"/>
                <w:iCs/>
                <w:color w:val="000000"/>
                <w:sz w:val="20"/>
                <w:szCs w:val="20"/>
                <w:lang w:eastAsia="en-US"/>
              </w:rPr>
            </w:pPr>
            <w:r w:rsidRPr="009C1AA2">
              <w:rPr>
                <w:rFonts w:ascii="Arial Narrow" w:eastAsia="Calibri" w:hAnsi="Arial Narrow" w:cs="Arial Narrow"/>
                <w:iCs/>
                <w:color w:val="000000"/>
                <w:sz w:val="20"/>
                <w:szCs w:val="20"/>
                <w:lang w:eastAsia="en-US"/>
              </w:rPr>
              <w:t>Must be treated by a medical practitioner who has consulted at least one of the above mentioned specialist types, with an agreement reached that the patient should be treated with this pharmaceutical benefit on this occasion</w:t>
            </w:r>
          </w:p>
        </w:tc>
      </w:tr>
      <w:tr w:rsidR="00A13181" w:rsidRPr="009C1AA2" w14:paraId="2070591F"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tcPr>
          <w:p w14:paraId="39FFB8E1" w14:textId="77777777" w:rsidR="00A13181" w:rsidRPr="00B1209E" w:rsidRDefault="00A13181" w:rsidP="00873AF3">
            <w:pPr>
              <w:contextualSpacing/>
              <w:jc w:val="left"/>
              <w:rPr>
                <w:rFonts w:ascii="Arial Narrow" w:hAnsi="Arial Narrow" w:cs="Times New Roman"/>
                <w:b/>
                <w:bCs/>
                <w:sz w:val="20"/>
                <w:szCs w:val="20"/>
              </w:rPr>
            </w:pPr>
            <w:r w:rsidRPr="00B1209E">
              <w:rPr>
                <w:rFonts w:ascii="Arial Narrow" w:hAnsi="Arial Narrow" w:cs="Times New Roman"/>
                <w:b/>
                <w:bCs/>
                <w:sz w:val="20"/>
                <w:szCs w:val="20"/>
              </w:rPr>
              <w:t>Prescribing Instructions:</w:t>
            </w:r>
            <w:r w:rsidRPr="00B1209E">
              <w:rPr>
                <w:rFonts w:ascii="Arial" w:hAnsi="Arial"/>
                <w:b/>
                <w:bCs/>
                <w:sz w:val="20"/>
                <w:szCs w:val="20"/>
              </w:rPr>
              <w:t> </w:t>
            </w:r>
          </w:p>
          <w:p w14:paraId="22645965" w14:textId="77777777" w:rsidR="00A13181" w:rsidRPr="009C1AA2" w:rsidRDefault="00A13181" w:rsidP="00873AF3">
            <w:pPr>
              <w:contextualSpacing/>
              <w:jc w:val="left"/>
              <w:rPr>
                <w:rFonts w:ascii="Arial Narrow" w:eastAsia="Calibri" w:hAnsi="Arial Narrow" w:cs="Times New Roman"/>
                <w:bCs/>
                <w:color w:val="000000"/>
                <w:sz w:val="20"/>
                <w:szCs w:val="20"/>
                <w:lang w:eastAsia="en-US"/>
              </w:rPr>
            </w:pPr>
            <w:r w:rsidRPr="009C1AA2">
              <w:rPr>
                <w:rFonts w:ascii="Arial Narrow" w:eastAsia="Calibri" w:hAnsi="Arial Narrow" w:cs="Times New Roman"/>
                <w:bCs/>
                <w:color w:val="000000"/>
                <w:sz w:val="20"/>
                <w:szCs w:val="20"/>
                <w:lang w:eastAsia="en-US"/>
              </w:rPr>
              <w:t>The authority application must be via the Online PBS Authorities System or in writing via HPOS form upload or mail.</w:t>
            </w:r>
          </w:p>
          <w:p w14:paraId="7EC6405E" w14:textId="77777777" w:rsidR="00A13181" w:rsidRPr="009C1AA2" w:rsidRDefault="00A13181" w:rsidP="00873AF3">
            <w:pPr>
              <w:contextualSpacing/>
              <w:jc w:val="left"/>
              <w:rPr>
                <w:rFonts w:ascii="Arial Narrow" w:eastAsia="Calibri" w:hAnsi="Arial Narrow" w:cs="Times New Roman"/>
                <w:bCs/>
                <w:color w:val="000000"/>
                <w:sz w:val="20"/>
                <w:szCs w:val="20"/>
                <w:lang w:eastAsia="en-US"/>
              </w:rPr>
            </w:pPr>
          </w:p>
          <w:p w14:paraId="16A05DB2" w14:textId="77777777" w:rsidR="00A13181" w:rsidRPr="009C1AA2" w:rsidRDefault="00A13181" w:rsidP="00873AF3">
            <w:pPr>
              <w:contextualSpacing/>
              <w:jc w:val="left"/>
              <w:rPr>
                <w:rFonts w:ascii="Arial Narrow" w:eastAsia="Calibri" w:hAnsi="Arial Narrow" w:cs="Times New Roman"/>
                <w:bCs/>
                <w:color w:val="000000"/>
                <w:sz w:val="20"/>
                <w:szCs w:val="20"/>
                <w:lang w:eastAsia="en-US"/>
              </w:rPr>
            </w:pPr>
            <w:r w:rsidRPr="009C1AA2">
              <w:rPr>
                <w:rFonts w:ascii="Arial Narrow" w:eastAsia="Calibri" w:hAnsi="Arial Narrow" w:cs="Times New Roman"/>
                <w:bCs/>
                <w:color w:val="000000"/>
                <w:sz w:val="20"/>
                <w:szCs w:val="20"/>
                <w:lang w:eastAsia="en-US"/>
              </w:rPr>
              <w:t>If the application is submitted through HPOS form upload or mail, it must include the following:</w:t>
            </w:r>
          </w:p>
          <w:p w14:paraId="21373FC5" w14:textId="77777777" w:rsidR="00A13181" w:rsidRPr="009C1AA2" w:rsidRDefault="00A13181" w:rsidP="00873AF3">
            <w:pPr>
              <w:contextualSpacing/>
              <w:jc w:val="left"/>
              <w:rPr>
                <w:rFonts w:ascii="Arial Narrow" w:eastAsia="Calibri" w:hAnsi="Arial Narrow" w:cs="Times New Roman"/>
                <w:bCs/>
                <w:color w:val="000000"/>
                <w:sz w:val="20"/>
                <w:szCs w:val="20"/>
                <w:lang w:eastAsia="en-US"/>
              </w:rPr>
            </w:pPr>
            <w:r w:rsidRPr="009C1AA2">
              <w:rPr>
                <w:rFonts w:ascii="Arial Narrow" w:eastAsia="Calibri" w:hAnsi="Arial Narrow" w:cs="Times New Roman"/>
                <w:bCs/>
                <w:color w:val="000000"/>
                <w:sz w:val="20"/>
                <w:szCs w:val="20"/>
                <w:lang w:eastAsia="en-US"/>
              </w:rPr>
              <w:t xml:space="preserve">(1) </w:t>
            </w:r>
            <w:r w:rsidRPr="00B1209E">
              <w:rPr>
                <w:rFonts w:ascii="Arial Narrow" w:eastAsia="Calibri" w:hAnsi="Arial Narrow" w:cs="Times New Roman"/>
                <w:bCs/>
                <w:color w:val="000000"/>
                <w:sz w:val="20"/>
                <w:szCs w:val="20"/>
                <w:lang w:eastAsia="en-US"/>
              </w:rPr>
              <w:t>details of the proposed prescription</w:t>
            </w:r>
            <w:r w:rsidRPr="009C1AA2">
              <w:rPr>
                <w:rFonts w:ascii="Arial Narrow" w:eastAsia="Calibri" w:hAnsi="Arial Narrow" w:cs="Times New Roman"/>
                <w:color w:val="000000"/>
                <w:sz w:val="20"/>
                <w:szCs w:val="20"/>
                <w:shd w:val="clear" w:color="auto" w:fill="FFFFFF"/>
                <w:lang w:eastAsia="en-US"/>
              </w:rPr>
              <w:t xml:space="preserve"> </w:t>
            </w:r>
          </w:p>
          <w:p w14:paraId="5F9634B1" w14:textId="77777777" w:rsidR="00A13181" w:rsidRPr="009C1AA2" w:rsidRDefault="00A13181" w:rsidP="00873AF3">
            <w:pPr>
              <w:contextualSpacing/>
              <w:jc w:val="left"/>
              <w:rPr>
                <w:rFonts w:ascii="Arial Narrow" w:eastAsia="Calibri" w:hAnsi="Arial Narrow" w:cs="Arial Narrow"/>
                <w:iCs/>
                <w:color w:val="FF0000"/>
                <w:sz w:val="20"/>
                <w:szCs w:val="20"/>
                <w:lang w:eastAsia="en-US"/>
              </w:rPr>
            </w:pPr>
            <w:r w:rsidRPr="009C1AA2">
              <w:rPr>
                <w:rFonts w:ascii="Arial Narrow" w:eastAsia="Calibri" w:hAnsi="Arial Narrow" w:cs="Times New Roman"/>
                <w:bCs/>
                <w:color w:val="000000"/>
                <w:sz w:val="20"/>
                <w:szCs w:val="20"/>
                <w:lang w:eastAsia="en-US"/>
              </w:rPr>
              <w:t>(2) a completed authority application form relevant to the indication and treatment phase (the latest version is located on the website specified in the Administrative Advice)</w:t>
            </w:r>
          </w:p>
        </w:tc>
      </w:tr>
      <w:tr w:rsidR="00A13181" w:rsidRPr="009C1AA2" w14:paraId="22BE6914" w14:textId="77777777" w:rsidTr="002272D6">
        <w:tblPrEx>
          <w:tblCellMar>
            <w:top w:w="15" w:type="dxa"/>
            <w:bottom w:w="15" w:type="dxa"/>
          </w:tblCellMar>
          <w:tblLook w:val="04A0" w:firstRow="1" w:lastRow="0" w:firstColumn="1" w:lastColumn="0" w:noHBand="0" w:noVBand="1"/>
        </w:tblPrEx>
        <w:trPr>
          <w:cantSplit/>
          <w:trHeight w:val="20"/>
        </w:trPr>
        <w:tc>
          <w:tcPr>
            <w:tcW w:w="9071" w:type="dxa"/>
            <w:gridSpan w:val="6"/>
            <w:vAlign w:val="center"/>
          </w:tcPr>
          <w:p w14:paraId="58287286" w14:textId="77777777" w:rsidR="00A13181" w:rsidRPr="009C1AA2" w:rsidRDefault="00A13181" w:rsidP="00873AF3">
            <w:pPr>
              <w:contextualSpacing/>
              <w:jc w:val="left"/>
              <w:rPr>
                <w:rFonts w:ascii="Arial Narrow" w:eastAsia="Calibri" w:hAnsi="Arial Narrow" w:cs="Times New Roman"/>
                <w:b/>
                <w:bCs/>
                <w:sz w:val="20"/>
                <w:szCs w:val="20"/>
                <w:shd w:val="clear" w:color="auto" w:fill="FFFFFF"/>
                <w:lang w:eastAsia="en-US"/>
              </w:rPr>
            </w:pPr>
          </w:p>
        </w:tc>
      </w:tr>
    </w:tbl>
    <w:p w14:paraId="7DD1FB67" w14:textId="77777777" w:rsidR="008A494F" w:rsidRDefault="008A494F" w:rsidP="00873AF3"/>
    <w:p w14:paraId="7BA6A822" w14:textId="77777777" w:rsidR="008A494F" w:rsidRPr="009C1AA2" w:rsidRDefault="008A494F" w:rsidP="00873AF3">
      <w:pPr>
        <w:pStyle w:val="Heading2"/>
        <w:spacing w:after="0"/>
        <w:rPr>
          <w:bCs/>
          <w:i w:val="0"/>
          <w:iCs/>
          <w:snapToGrid w:val="0"/>
          <w:sz w:val="24"/>
          <w:szCs w:val="20"/>
          <w:lang w:eastAsia="en-US"/>
        </w:rPr>
      </w:pPr>
      <w:bookmarkStart w:id="109" w:name="_2._Non-acute/‘moderate_to"/>
      <w:bookmarkEnd w:id="109"/>
      <w:r w:rsidRPr="009C1AA2">
        <w:rPr>
          <w:bCs/>
          <w:i w:val="0"/>
          <w:iCs/>
          <w:snapToGrid w:val="0"/>
          <w:sz w:val="24"/>
          <w:szCs w:val="20"/>
          <w:lang w:eastAsia="en-US"/>
        </w:rPr>
        <w:t xml:space="preserve">Bridging therapy </w:t>
      </w: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bridging therapy"/>
      </w:tblPr>
      <w:tblGrid>
        <w:gridCol w:w="3257"/>
        <w:gridCol w:w="1842"/>
        <w:gridCol w:w="851"/>
        <w:gridCol w:w="850"/>
        <w:gridCol w:w="709"/>
        <w:gridCol w:w="1562"/>
      </w:tblGrid>
      <w:tr w:rsidR="008A494F" w:rsidRPr="009C1AA2" w14:paraId="71911935" w14:textId="77777777" w:rsidTr="00405F5C">
        <w:trPr>
          <w:cantSplit/>
          <w:trHeight w:val="300"/>
        </w:trPr>
        <w:tc>
          <w:tcPr>
            <w:tcW w:w="3258" w:type="dxa"/>
            <w:vAlign w:val="center"/>
          </w:tcPr>
          <w:p w14:paraId="438D1B29" w14:textId="77777777" w:rsidR="008A494F" w:rsidRPr="009C1AA2" w:rsidRDefault="008A494F" w:rsidP="00873AF3">
            <w:pPr>
              <w:keepLines/>
              <w:jc w:val="left"/>
              <w:rPr>
                <w:rFonts w:ascii="Arial Narrow" w:eastAsia="Aptos" w:hAnsi="Arial Narrow"/>
                <w:b/>
                <w:bCs/>
                <w:kern w:val="2"/>
                <w:sz w:val="20"/>
                <w:szCs w:val="20"/>
                <w:lang w:eastAsia="en-US"/>
                <w14:ligatures w14:val="standardContextual"/>
              </w:rPr>
            </w:pPr>
            <w:r w:rsidRPr="009C1AA2">
              <w:rPr>
                <w:rFonts w:ascii="Arial Narrow" w:eastAsia="Aptos" w:hAnsi="Arial Narrow"/>
                <w:b/>
                <w:bCs/>
                <w:kern w:val="2"/>
                <w:sz w:val="20"/>
                <w:szCs w:val="20"/>
                <w:lang w:eastAsia="en-US"/>
                <w14:ligatures w14:val="standardContextual"/>
              </w:rPr>
              <w:t>MEDICINAL PRODUCT</w:t>
            </w:r>
          </w:p>
          <w:p w14:paraId="1757C2A6" w14:textId="77777777" w:rsidR="008A494F" w:rsidRPr="009C1AA2" w:rsidRDefault="008A494F" w:rsidP="00873AF3">
            <w:pPr>
              <w:keepLines/>
              <w:jc w:val="left"/>
              <w:rPr>
                <w:rFonts w:ascii="Arial Narrow" w:eastAsia="Aptos" w:hAnsi="Arial Narrow"/>
                <w:b/>
                <w:kern w:val="2"/>
                <w:sz w:val="20"/>
                <w:szCs w:val="20"/>
                <w:lang w:eastAsia="en-US"/>
                <w14:ligatures w14:val="standardContextual"/>
              </w:rPr>
            </w:pPr>
            <w:r w:rsidRPr="009C1AA2">
              <w:rPr>
                <w:rFonts w:ascii="Arial Narrow" w:eastAsia="Aptos" w:hAnsi="Arial Narrow"/>
                <w:b/>
                <w:bCs/>
                <w:kern w:val="2"/>
                <w:sz w:val="20"/>
                <w:szCs w:val="20"/>
                <w:lang w:eastAsia="en-US"/>
                <w14:ligatures w14:val="standardContextual"/>
              </w:rPr>
              <w:t>medicinal product pack</w:t>
            </w:r>
          </w:p>
        </w:tc>
        <w:tc>
          <w:tcPr>
            <w:tcW w:w="1842" w:type="dxa"/>
            <w:vAlign w:val="center"/>
          </w:tcPr>
          <w:p w14:paraId="1CD30A1D" w14:textId="77777777" w:rsidR="008A494F" w:rsidRPr="009C1AA2" w:rsidRDefault="008A494F" w:rsidP="00873AF3">
            <w:pPr>
              <w:keepLines/>
              <w:jc w:val="center"/>
              <w:rPr>
                <w:rFonts w:ascii="Arial Narrow" w:eastAsia="Aptos" w:hAnsi="Arial Narrow"/>
                <w:b/>
                <w:kern w:val="2"/>
                <w:sz w:val="20"/>
                <w:szCs w:val="20"/>
                <w:lang w:eastAsia="en-US"/>
                <w14:ligatures w14:val="standardContextual"/>
              </w:rPr>
            </w:pPr>
            <w:r w:rsidRPr="009C1AA2">
              <w:rPr>
                <w:rFonts w:ascii="Arial Narrow" w:eastAsia="Aptos" w:hAnsi="Arial Narrow"/>
                <w:b/>
                <w:kern w:val="2"/>
                <w:sz w:val="20"/>
                <w:szCs w:val="20"/>
                <w:lang w:eastAsia="en-US"/>
                <w14:ligatures w14:val="standardContextual"/>
              </w:rPr>
              <w:t>PBS item code</w:t>
            </w:r>
          </w:p>
        </w:tc>
        <w:tc>
          <w:tcPr>
            <w:tcW w:w="851" w:type="dxa"/>
            <w:vAlign w:val="center"/>
          </w:tcPr>
          <w:p w14:paraId="6737A9AA" w14:textId="77777777" w:rsidR="008A494F" w:rsidRPr="009C1AA2" w:rsidRDefault="008A494F" w:rsidP="00873AF3">
            <w:pPr>
              <w:keepLines/>
              <w:jc w:val="center"/>
              <w:rPr>
                <w:rFonts w:ascii="Arial Narrow" w:eastAsia="Aptos" w:hAnsi="Arial Narrow"/>
                <w:b/>
                <w:kern w:val="2"/>
                <w:sz w:val="20"/>
                <w:szCs w:val="20"/>
                <w:lang w:eastAsia="en-US"/>
                <w14:ligatures w14:val="standardContextual"/>
              </w:rPr>
            </w:pPr>
            <w:r w:rsidRPr="009C1AA2">
              <w:rPr>
                <w:rFonts w:ascii="Arial Narrow" w:eastAsia="Aptos" w:hAnsi="Arial Narrow"/>
                <w:b/>
                <w:kern w:val="2"/>
                <w:sz w:val="20"/>
                <w:szCs w:val="20"/>
                <w:lang w:eastAsia="en-US"/>
                <w14:ligatures w14:val="standardContextual"/>
              </w:rPr>
              <w:t>Max. qty packs</w:t>
            </w:r>
          </w:p>
        </w:tc>
        <w:tc>
          <w:tcPr>
            <w:tcW w:w="850" w:type="dxa"/>
            <w:vAlign w:val="center"/>
          </w:tcPr>
          <w:p w14:paraId="5D74C243" w14:textId="77777777" w:rsidR="008A494F" w:rsidRPr="009C1AA2" w:rsidRDefault="008A494F" w:rsidP="00873AF3">
            <w:pPr>
              <w:keepLines/>
              <w:jc w:val="center"/>
              <w:rPr>
                <w:rFonts w:ascii="Arial Narrow" w:eastAsia="Aptos" w:hAnsi="Arial Narrow"/>
                <w:b/>
                <w:kern w:val="2"/>
                <w:sz w:val="20"/>
                <w:szCs w:val="20"/>
                <w:lang w:eastAsia="en-US"/>
                <w14:ligatures w14:val="standardContextual"/>
              </w:rPr>
            </w:pPr>
            <w:r w:rsidRPr="009C1AA2">
              <w:rPr>
                <w:rFonts w:ascii="Arial Narrow" w:eastAsia="Aptos" w:hAnsi="Arial Narrow"/>
                <w:b/>
                <w:kern w:val="2"/>
                <w:sz w:val="20"/>
                <w:szCs w:val="20"/>
                <w:lang w:eastAsia="en-US"/>
                <w14:ligatures w14:val="standardContextual"/>
              </w:rPr>
              <w:t>Max. qty units</w:t>
            </w:r>
          </w:p>
        </w:tc>
        <w:tc>
          <w:tcPr>
            <w:tcW w:w="709" w:type="dxa"/>
            <w:vAlign w:val="center"/>
          </w:tcPr>
          <w:p w14:paraId="634D6692" w14:textId="77777777" w:rsidR="008A494F" w:rsidRPr="009C1AA2" w:rsidRDefault="008A494F" w:rsidP="00873AF3">
            <w:pPr>
              <w:keepLines/>
              <w:jc w:val="center"/>
              <w:rPr>
                <w:rFonts w:ascii="Arial Narrow" w:eastAsia="Aptos" w:hAnsi="Arial Narrow"/>
                <w:b/>
                <w:kern w:val="2"/>
                <w:sz w:val="20"/>
                <w:szCs w:val="20"/>
                <w:lang w:eastAsia="en-US"/>
                <w14:ligatures w14:val="standardContextual"/>
              </w:rPr>
            </w:pPr>
            <w:r w:rsidRPr="009C1AA2">
              <w:rPr>
                <w:rFonts w:ascii="Arial Narrow" w:eastAsia="Aptos" w:hAnsi="Arial Narrow"/>
                <w:b/>
                <w:kern w:val="2"/>
                <w:sz w:val="20"/>
                <w:szCs w:val="20"/>
                <w:lang w:eastAsia="en-US"/>
                <w14:ligatures w14:val="standardContextual"/>
              </w:rPr>
              <w:t>№.of</w:t>
            </w:r>
          </w:p>
          <w:p w14:paraId="2B64CDE6" w14:textId="77777777" w:rsidR="008A494F" w:rsidRPr="009C1AA2" w:rsidRDefault="008A494F" w:rsidP="00873AF3">
            <w:pPr>
              <w:keepLines/>
              <w:jc w:val="center"/>
              <w:rPr>
                <w:rFonts w:ascii="Arial Narrow" w:eastAsia="Aptos" w:hAnsi="Arial Narrow"/>
                <w:b/>
                <w:kern w:val="2"/>
                <w:sz w:val="20"/>
                <w:szCs w:val="20"/>
                <w:lang w:eastAsia="en-US"/>
                <w14:ligatures w14:val="standardContextual"/>
              </w:rPr>
            </w:pPr>
            <w:r w:rsidRPr="009C1AA2">
              <w:rPr>
                <w:rFonts w:ascii="Arial Narrow" w:eastAsia="Aptos" w:hAnsi="Arial Narrow"/>
                <w:b/>
                <w:kern w:val="2"/>
                <w:sz w:val="20"/>
                <w:szCs w:val="20"/>
                <w:lang w:eastAsia="en-US"/>
                <w14:ligatures w14:val="standardContextual"/>
              </w:rPr>
              <w:t>Rpts</w:t>
            </w:r>
          </w:p>
        </w:tc>
        <w:tc>
          <w:tcPr>
            <w:tcW w:w="1561" w:type="dxa"/>
            <w:vAlign w:val="center"/>
          </w:tcPr>
          <w:p w14:paraId="553BC8BF" w14:textId="77777777" w:rsidR="008A494F" w:rsidRPr="009C1AA2" w:rsidRDefault="008A494F" w:rsidP="00873AF3">
            <w:pPr>
              <w:keepLines/>
              <w:jc w:val="left"/>
              <w:rPr>
                <w:rFonts w:ascii="Arial Narrow" w:eastAsia="Aptos" w:hAnsi="Arial Narrow"/>
                <w:b/>
                <w:kern w:val="2"/>
                <w:sz w:val="20"/>
                <w:szCs w:val="20"/>
                <w:lang w:val="fr-FR" w:eastAsia="en-US"/>
                <w14:ligatures w14:val="standardContextual"/>
              </w:rPr>
            </w:pPr>
            <w:r w:rsidRPr="009C1AA2">
              <w:rPr>
                <w:rFonts w:ascii="Arial Narrow" w:eastAsia="Aptos" w:hAnsi="Arial Narrow"/>
                <w:b/>
                <w:kern w:val="2"/>
                <w:sz w:val="20"/>
                <w:szCs w:val="20"/>
                <w:lang w:eastAsia="en-US"/>
                <w14:ligatures w14:val="standardContextual"/>
              </w:rPr>
              <w:t>Available brands</w:t>
            </w:r>
          </w:p>
        </w:tc>
      </w:tr>
      <w:tr w:rsidR="008A494F" w:rsidRPr="009C1AA2" w14:paraId="7B27332F" w14:textId="77777777" w:rsidTr="00A13181">
        <w:trPr>
          <w:cantSplit/>
          <w:trHeight w:val="20"/>
        </w:trPr>
        <w:tc>
          <w:tcPr>
            <w:tcW w:w="9071" w:type="dxa"/>
            <w:gridSpan w:val="6"/>
            <w:vAlign w:val="center"/>
          </w:tcPr>
          <w:p w14:paraId="6680ED94" w14:textId="77777777" w:rsidR="008A494F" w:rsidRPr="009C1AA2" w:rsidRDefault="008A494F" w:rsidP="00873AF3">
            <w:pPr>
              <w:keepLines/>
              <w:jc w:val="left"/>
              <w:rPr>
                <w:rFonts w:ascii="Arial Narrow" w:eastAsia="Aptos" w:hAnsi="Arial Narrow"/>
                <w:kern w:val="2"/>
                <w:sz w:val="20"/>
                <w:szCs w:val="20"/>
                <w:lang w:eastAsia="en-US"/>
                <w14:ligatures w14:val="standardContextual"/>
              </w:rPr>
            </w:pPr>
            <w:r w:rsidRPr="009C1AA2">
              <w:rPr>
                <w:rFonts w:ascii="Arial Narrow" w:eastAsia="Aptos" w:hAnsi="Arial Narrow"/>
                <w:kern w:val="2"/>
                <w:sz w:val="20"/>
                <w:szCs w:val="20"/>
                <w:lang w:eastAsia="en-US"/>
                <w14:ligatures w14:val="standardContextual"/>
              </w:rPr>
              <w:t>ROZANOLIXIZUMAB</w:t>
            </w:r>
          </w:p>
        </w:tc>
      </w:tr>
      <w:tr w:rsidR="008A494F" w:rsidRPr="009C1AA2" w14:paraId="10342C14" w14:textId="77777777" w:rsidTr="00405F5C">
        <w:trPr>
          <w:cantSplit/>
          <w:trHeight w:val="20"/>
        </w:trPr>
        <w:tc>
          <w:tcPr>
            <w:tcW w:w="3258" w:type="dxa"/>
            <w:vAlign w:val="center"/>
          </w:tcPr>
          <w:p w14:paraId="29E38BE9" w14:textId="77777777" w:rsidR="008A494F" w:rsidRPr="009C1AA2" w:rsidRDefault="008A494F" w:rsidP="00873AF3">
            <w:pPr>
              <w:keepLines/>
              <w:jc w:val="left"/>
              <w:rPr>
                <w:rFonts w:ascii="Arial Narrow" w:eastAsia="Aptos" w:hAnsi="Arial Narrow"/>
                <w:kern w:val="2"/>
                <w:sz w:val="20"/>
                <w:szCs w:val="20"/>
                <w:lang w:eastAsia="en-US"/>
                <w14:ligatures w14:val="standardContextual"/>
              </w:rPr>
            </w:pPr>
            <w:r w:rsidRPr="009C1AA2">
              <w:rPr>
                <w:rFonts w:ascii="Arial Narrow" w:eastAsia="Aptos" w:hAnsi="Arial Narrow"/>
                <w:kern w:val="2"/>
                <w:sz w:val="20"/>
                <w:szCs w:val="20"/>
                <w:lang w:eastAsia="en-US"/>
                <w14:ligatures w14:val="standardContextual"/>
              </w:rPr>
              <w:t xml:space="preserve">rozanolixizumab 280 mg/2mL injection, 2 mL vial </w:t>
            </w:r>
          </w:p>
        </w:tc>
        <w:tc>
          <w:tcPr>
            <w:tcW w:w="1842" w:type="dxa"/>
            <w:vAlign w:val="center"/>
          </w:tcPr>
          <w:p w14:paraId="197B2A9C" w14:textId="77777777" w:rsidR="008A494F" w:rsidRPr="009C1AA2" w:rsidRDefault="008A494F" w:rsidP="00873AF3">
            <w:pPr>
              <w:keepLines/>
              <w:jc w:val="center"/>
              <w:rPr>
                <w:rFonts w:ascii="Arial Narrow" w:eastAsia="Aptos" w:hAnsi="Arial Narrow"/>
                <w:kern w:val="2"/>
                <w:sz w:val="20"/>
                <w:szCs w:val="20"/>
                <w:lang w:eastAsia="en-US"/>
                <w14:ligatures w14:val="standardContextual"/>
              </w:rPr>
            </w:pPr>
            <w:r w:rsidRPr="009C1AA2">
              <w:rPr>
                <w:rFonts w:ascii="Arial Narrow" w:eastAsia="Aptos" w:hAnsi="Arial Narrow"/>
                <w:kern w:val="2"/>
                <w:sz w:val="20"/>
                <w:szCs w:val="20"/>
                <w:lang w:eastAsia="en-US"/>
                <w14:ligatures w14:val="standardContextual"/>
              </w:rPr>
              <w:t>NEW (HSD Public)</w:t>
            </w:r>
          </w:p>
          <w:p w14:paraId="251E68A8" w14:textId="77777777" w:rsidR="008A494F" w:rsidRPr="009C1AA2" w:rsidRDefault="008A494F" w:rsidP="00873AF3">
            <w:pPr>
              <w:keepLines/>
              <w:jc w:val="center"/>
              <w:rPr>
                <w:rFonts w:ascii="Arial Narrow" w:eastAsia="Aptos" w:hAnsi="Arial Narrow"/>
                <w:kern w:val="2"/>
                <w:sz w:val="20"/>
                <w:szCs w:val="20"/>
                <w:lang w:eastAsia="en-US"/>
                <w14:ligatures w14:val="standardContextual"/>
              </w:rPr>
            </w:pPr>
            <w:r w:rsidRPr="009C1AA2">
              <w:rPr>
                <w:rFonts w:ascii="Arial Narrow" w:eastAsia="Aptos" w:hAnsi="Arial Narrow"/>
                <w:kern w:val="2"/>
                <w:sz w:val="20"/>
                <w:szCs w:val="20"/>
                <w:lang w:eastAsia="en-US"/>
                <w14:ligatures w14:val="standardContextual"/>
              </w:rPr>
              <w:t>NEW (HSD Private)</w:t>
            </w:r>
          </w:p>
        </w:tc>
        <w:tc>
          <w:tcPr>
            <w:tcW w:w="851" w:type="dxa"/>
            <w:vAlign w:val="center"/>
          </w:tcPr>
          <w:p w14:paraId="1AA1C189" w14:textId="77777777" w:rsidR="008A494F" w:rsidRPr="009C1AA2" w:rsidRDefault="008A494F" w:rsidP="00873AF3">
            <w:pPr>
              <w:keepLines/>
              <w:jc w:val="center"/>
              <w:rPr>
                <w:rFonts w:ascii="Arial Narrow" w:eastAsia="Aptos" w:hAnsi="Arial Narrow"/>
                <w:kern w:val="2"/>
                <w:sz w:val="20"/>
                <w:szCs w:val="20"/>
                <w:lang w:eastAsia="en-US"/>
                <w14:ligatures w14:val="standardContextual"/>
              </w:rPr>
            </w:pPr>
            <w:r w:rsidRPr="009C1AA2">
              <w:rPr>
                <w:rFonts w:ascii="Arial Narrow" w:eastAsia="Aptos" w:hAnsi="Arial Narrow"/>
                <w:kern w:val="2"/>
                <w:sz w:val="20"/>
                <w:szCs w:val="20"/>
                <w:lang w:eastAsia="en-US"/>
                <w14:ligatures w14:val="standardContextual"/>
              </w:rPr>
              <w:t>18</w:t>
            </w:r>
          </w:p>
        </w:tc>
        <w:tc>
          <w:tcPr>
            <w:tcW w:w="850" w:type="dxa"/>
            <w:vAlign w:val="center"/>
          </w:tcPr>
          <w:p w14:paraId="4A8A69B4" w14:textId="77777777" w:rsidR="008A494F" w:rsidRPr="009C1AA2" w:rsidRDefault="008A494F" w:rsidP="00873AF3">
            <w:pPr>
              <w:keepLines/>
              <w:jc w:val="center"/>
              <w:rPr>
                <w:rFonts w:ascii="Arial Narrow" w:eastAsia="Aptos" w:hAnsi="Arial Narrow"/>
                <w:kern w:val="2"/>
                <w:sz w:val="20"/>
                <w:szCs w:val="20"/>
                <w:lang w:eastAsia="en-US"/>
                <w14:ligatures w14:val="standardContextual"/>
              </w:rPr>
            </w:pPr>
            <w:r w:rsidRPr="009C1AA2">
              <w:rPr>
                <w:rFonts w:ascii="Arial Narrow" w:eastAsia="Aptos" w:hAnsi="Arial Narrow"/>
                <w:kern w:val="2"/>
                <w:sz w:val="20"/>
                <w:szCs w:val="20"/>
                <w:lang w:eastAsia="en-US"/>
                <w14:ligatures w14:val="standardContextual"/>
              </w:rPr>
              <w:t>18</w:t>
            </w:r>
          </w:p>
        </w:tc>
        <w:tc>
          <w:tcPr>
            <w:tcW w:w="709" w:type="dxa"/>
            <w:vAlign w:val="center"/>
          </w:tcPr>
          <w:p w14:paraId="3B05FC6D" w14:textId="77777777" w:rsidR="008A494F" w:rsidRPr="009C1AA2" w:rsidRDefault="008A494F" w:rsidP="00873AF3">
            <w:pPr>
              <w:keepLines/>
              <w:jc w:val="center"/>
              <w:rPr>
                <w:rFonts w:ascii="Arial Narrow" w:eastAsia="Aptos" w:hAnsi="Arial Narrow"/>
                <w:kern w:val="2"/>
                <w:sz w:val="20"/>
                <w:szCs w:val="20"/>
                <w:lang w:eastAsia="en-US"/>
                <w14:ligatures w14:val="standardContextual"/>
              </w:rPr>
            </w:pPr>
            <w:r w:rsidRPr="009C1AA2">
              <w:rPr>
                <w:rFonts w:ascii="Arial Narrow" w:eastAsia="Aptos" w:hAnsi="Arial Narrow"/>
                <w:kern w:val="2"/>
                <w:sz w:val="20"/>
                <w:szCs w:val="20"/>
                <w:lang w:eastAsia="en-US"/>
                <w14:ligatures w14:val="standardContextual"/>
              </w:rPr>
              <w:t>2</w:t>
            </w:r>
          </w:p>
        </w:tc>
        <w:tc>
          <w:tcPr>
            <w:tcW w:w="1561" w:type="dxa"/>
            <w:vAlign w:val="center"/>
          </w:tcPr>
          <w:p w14:paraId="6FB1B9DC" w14:textId="77777777" w:rsidR="008A494F" w:rsidRPr="009C1AA2" w:rsidRDefault="008A494F" w:rsidP="00873AF3">
            <w:pPr>
              <w:keepLines/>
              <w:jc w:val="left"/>
              <w:rPr>
                <w:rFonts w:ascii="Arial Narrow" w:eastAsia="Aptos" w:hAnsi="Arial Narrow"/>
                <w:kern w:val="2"/>
                <w:sz w:val="20"/>
                <w:szCs w:val="20"/>
                <w:lang w:eastAsia="en-US"/>
                <w14:ligatures w14:val="standardContextual"/>
              </w:rPr>
            </w:pPr>
            <w:r w:rsidRPr="009C1AA2">
              <w:rPr>
                <w:rFonts w:ascii="Arial Narrow" w:eastAsia="Aptos" w:hAnsi="Arial Narrow"/>
                <w:kern w:val="2"/>
                <w:sz w:val="20"/>
                <w:szCs w:val="20"/>
                <w:lang w:eastAsia="en-US"/>
                <w14:ligatures w14:val="standardContextual"/>
              </w:rPr>
              <w:t>Rystiggo</w:t>
            </w:r>
          </w:p>
        </w:tc>
      </w:tr>
      <w:tr w:rsidR="008A494F" w:rsidRPr="009C1AA2" w14:paraId="5725B066" w14:textId="77777777" w:rsidTr="00A13181">
        <w:tblPrEx>
          <w:tblCellMar>
            <w:top w:w="15" w:type="dxa"/>
            <w:bottom w:w="15" w:type="dxa"/>
          </w:tblCellMar>
          <w:tblLook w:val="04A0" w:firstRow="1" w:lastRow="0" w:firstColumn="1" w:lastColumn="0" w:noHBand="0" w:noVBand="1"/>
        </w:tblPrEx>
        <w:trPr>
          <w:trHeight w:val="20"/>
        </w:trPr>
        <w:tc>
          <w:tcPr>
            <w:tcW w:w="9071" w:type="dxa"/>
            <w:gridSpan w:val="6"/>
            <w:tcBorders>
              <w:top w:val="single" w:sz="4" w:space="0" w:color="auto"/>
              <w:left w:val="single" w:sz="4" w:space="0" w:color="auto"/>
              <w:right w:val="single" w:sz="4" w:space="0" w:color="auto"/>
            </w:tcBorders>
            <w:vAlign w:val="center"/>
          </w:tcPr>
          <w:p w14:paraId="3C8BB82F" w14:textId="77777777" w:rsidR="008A494F" w:rsidRPr="009C1AA2" w:rsidRDefault="008A494F" w:rsidP="00873AF3">
            <w:pPr>
              <w:keepLines/>
              <w:contextualSpacing/>
              <w:jc w:val="left"/>
              <w:rPr>
                <w:rFonts w:ascii="Arial Narrow" w:eastAsia="Calibri" w:hAnsi="Arial Narrow"/>
                <w:b/>
                <w:sz w:val="20"/>
                <w:szCs w:val="20"/>
                <w:lang w:eastAsia="en-US"/>
              </w:rPr>
            </w:pPr>
          </w:p>
        </w:tc>
      </w:tr>
      <w:tr w:rsidR="00A13181" w:rsidRPr="009C1AA2" w14:paraId="0B966A50" w14:textId="77777777" w:rsidTr="00A13181">
        <w:tblPrEx>
          <w:tblCellMar>
            <w:top w:w="15" w:type="dxa"/>
            <w:bottom w:w="15" w:type="dxa"/>
          </w:tblCellMar>
          <w:tblLook w:val="04A0" w:firstRow="1" w:lastRow="0" w:firstColumn="1" w:lastColumn="0" w:noHBand="0" w:noVBand="1"/>
        </w:tblPrEx>
        <w:trPr>
          <w:trHeight w:val="20"/>
        </w:trPr>
        <w:tc>
          <w:tcPr>
            <w:tcW w:w="9071" w:type="dxa"/>
            <w:gridSpan w:val="6"/>
            <w:tcBorders>
              <w:top w:val="single" w:sz="4" w:space="0" w:color="auto"/>
              <w:left w:val="single" w:sz="4" w:space="0" w:color="auto"/>
              <w:bottom w:val="single" w:sz="4" w:space="0" w:color="auto"/>
              <w:right w:val="single" w:sz="4" w:space="0" w:color="auto"/>
            </w:tcBorders>
            <w:vAlign w:val="center"/>
          </w:tcPr>
          <w:p w14:paraId="33958EDC" w14:textId="77777777" w:rsidR="00A13181" w:rsidRPr="009C1AA2" w:rsidRDefault="00A13181" w:rsidP="00873AF3">
            <w:pPr>
              <w:keepLines/>
              <w:contextualSpacing/>
              <w:jc w:val="left"/>
              <w:rPr>
                <w:rFonts w:ascii="Arial Narrow" w:eastAsia="Calibri" w:hAnsi="Arial Narrow"/>
                <w:sz w:val="20"/>
                <w:szCs w:val="20"/>
                <w:lang w:eastAsia="en-US"/>
              </w:rPr>
            </w:pPr>
            <w:r w:rsidRPr="009C1AA2">
              <w:rPr>
                <w:rFonts w:ascii="Arial Narrow" w:eastAsia="Calibri" w:hAnsi="Arial Narrow"/>
                <w:b/>
                <w:sz w:val="20"/>
                <w:szCs w:val="20"/>
                <w:lang w:eastAsia="en-US"/>
              </w:rPr>
              <w:t>Category / Program:</w:t>
            </w:r>
            <w:r w:rsidRPr="009C1AA2">
              <w:rPr>
                <w:rFonts w:ascii="Arial Narrow" w:eastAsia="Calibri" w:hAnsi="Arial Narrow"/>
                <w:color w:val="FF0000"/>
                <w:sz w:val="20"/>
                <w:szCs w:val="20"/>
                <w:lang w:eastAsia="en-US"/>
              </w:rPr>
              <w:t xml:space="preserve"> </w:t>
            </w:r>
            <w:r w:rsidRPr="009C1AA2">
              <w:rPr>
                <w:rFonts w:ascii="Arial Narrow" w:eastAsia="Calibri" w:hAnsi="Arial Narrow"/>
                <w:sz w:val="20"/>
                <w:szCs w:val="20"/>
                <w:lang w:eastAsia="en-US"/>
              </w:rPr>
              <w:fldChar w:fldCharType="begin" w:fldLock="1">
                <w:ffData>
                  <w:name w:val=""/>
                  <w:enabled/>
                  <w:calcOnExit w:val="0"/>
                  <w:checkBox>
                    <w:sizeAuto/>
                    <w:default w:val="1"/>
                  </w:checkBox>
                </w:ffData>
              </w:fldChar>
            </w:r>
            <w:r w:rsidRPr="009C1AA2">
              <w:rPr>
                <w:rFonts w:ascii="Arial Narrow" w:eastAsia="Calibri" w:hAnsi="Arial Narrow"/>
                <w:sz w:val="20"/>
                <w:szCs w:val="20"/>
                <w:lang w:eastAsia="en-US"/>
              </w:rPr>
              <w:instrText xml:space="preserve"> FORMCHECKBOX </w:instrText>
            </w:r>
            <w:r w:rsidRPr="009C1AA2">
              <w:rPr>
                <w:rFonts w:ascii="Arial Narrow" w:eastAsia="Calibri" w:hAnsi="Arial Narrow"/>
                <w:sz w:val="20"/>
                <w:szCs w:val="20"/>
                <w:lang w:eastAsia="en-US"/>
              </w:rPr>
            </w:r>
            <w:r w:rsidRPr="009C1AA2">
              <w:rPr>
                <w:rFonts w:ascii="Arial Narrow" w:eastAsia="Calibri" w:hAnsi="Arial Narrow"/>
                <w:sz w:val="20"/>
                <w:szCs w:val="20"/>
                <w:lang w:eastAsia="en-US"/>
              </w:rPr>
              <w:fldChar w:fldCharType="separate"/>
            </w:r>
            <w:r w:rsidRPr="009C1AA2">
              <w:rPr>
                <w:rFonts w:ascii="Arial Narrow" w:eastAsia="Calibri" w:hAnsi="Arial Narrow"/>
                <w:sz w:val="20"/>
                <w:szCs w:val="20"/>
                <w:lang w:eastAsia="en-US"/>
              </w:rPr>
              <w:fldChar w:fldCharType="end"/>
            </w:r>
            <w:r w:rsidRPr="009C1AA2">
              <w:rPr>
                <w:rFonts w:ascii="Arial Narrow" w:eastAsia="Calibri" w:hAnsi="Arial Narrow"/>
                <w:sz w:val="20"/>
                <w:szCs w:val="20"/>
                <w:lang w:eastAsia="en-US"/>
              </w:rPr>
              <w:t xml:space="preserve"> Section 100 – Highly Specialised Drugs Program – Public (Code HB)</w:t>
            </w:r>
            <w:r w:rsidRPr="009C1AA2">
              <w:rPr>
                <w:rFonts w:ascii="Arial Narrow" w:eastAsia="Calibri" w:hAnsi="Arial Narrow"/>
                <w:color w:val="FF0000"/>
                <w:sz w:val="20"/>
                <w:szCs w:val="20"/>
                <w:lang w:eastAsia="en-US"/>
              </w:rPr>
              <w:t xml:space="preserve"> </w:t>
            </w:r>
            <w:r w:rsidRPr="009C1AA2">
              <w:rPr>
                <w:rFonts w:ascii="Arial Narrow" w:eastAsia="Calibri" w:hAnsi="Arial Narrow"/>
                <w:sz w:val="20"/>
                <w:szCs w:val="20"/>
                <w:lang w:eastAsia="en-US"/>
              </w:rPr>
              <w:t>/ Private (Code HS)</w:t>
            </w:r>
          </w:p>
        </w:tc>
      </w:tr>
      <w:tr w:rsidR="00A13181" w:rsidRPr="009C1AA2" w14:paraId="2B09414E" w14:textId="77777777" w:rsidTr="00A13181">
        <w:tblPrEx>
          <w:tblCellMar>
            <w:top w:w="15" w:type="dxa"/>
            <w:bottom w:w="15" w:type="dxa"/>
          </w:tblCellMar>
          <w:tblLook w:val="04A0" w:firstRow="1" w:lastRow="0" w:firstColumn="1" w:lastColumn="0" w:noHBand="0" w:noVBand="1"/>
        </w:tblPrEx>
        <w:trPr>
          <w:trHeight w:val="20"/>
        </w:trPr>
        <w:tc>
          <w:tcPr>
            <w:tcW w:w="9071" w:type="dxa"/>
            <w:gridSpan w:val="6"/>
            <w:tcBorders>
              <w:top w:val="single" w:sz="4" w:space="0" w:color="auto"/>
              <w:left w:val="single" w:sz="4" w:space="0" w:color="auto"/>
              <w:bottom w:val="single" w:sz="4" w:space="0" w:color="auto"/>
              <w:right w:val="single" w:sz="4" w:space="0" w:color="auto"/>
            </w:tcBorders>
            <w:vAlign w:val="center"/>
          </w:tcPr>
          <w:p w14:paraId="585E0C43" w14:textId="77777777" w:rsidR="00A13181" w:rsidRPr="009C1AA2" w:rsidRDefault="00A13181" w:rsidP="00873AF3">
            <w:pPr>
              <w:keepLines/>
              <w:contextualSpacing/>
              <w:rPr>
                <w:rFonts w:ascii="Arial Narrow" w:eastAsia="Calibri" w:hAnsi="Arial Narrow"/>
                <w:b/>
                <w:sz w:val="20"/>
                <w:szCs w:val="20"/>
                <w:lang w:eastAsia="en-US"/>
              </w:rPr>
            </w:pPr>
            <w:r w:rsidRPr="009C1AA2">
              <w:rPr>
                <w:rFonts w:ascii="Arial Narrow" w:eastAsia="Calibri" w:hAnsi="Arial Narrow"/>
                <w:b/>
                <w:sz w:val="20"/>
                <w:szCs w:val="20"/>
                <w:lang w:eastAsia="en-US"/>
              </w:rPr>
              <w:t xml:space="preserve">Prescriber type: </w:t>
            </w:r>
            <w:r w:rsidRPr="009C1AA2">
              <w:rPr>
                <w:rFonts w:ascii="Arial Narrow" w:eastAsia="Calibri" w:hAnsi="Arial Narrow"/>
                <w:sz w:val="20"/>
                <w:szCs w:val="20"/>
                <w:lang w:eastAsia="en-US"/>
              </w:rPr>
              <w:fldChar w:fldCharType="begin" w:fldLock="1">
                <w:ffData>
                  <w:name w:val=""/>
                  <w:enabled/>
                  <w:calcOnExit w:val="0"/>
                  <w:checkBox>
                    <w:sizeAuto/>
                    <w:default w:val="1"/>
                  </w:checkBox>
                </w:ffData>
              </w:fldChar>
            </w:r>
            <w:r w:rsidRPr="009C1AA2">
              <w:rPr>
                <w:rFonts w:ascii="Arial Narrow" w:eastAsia="Calibri" w:hAnsi="Arial Narrow"/>
                <w:sz w:val="20"/>
                <w:szCs w:val="20"/>
                <w:lang w:eastAsia="en-US"/>
              </w:rPr>
              <w:instrText xml:space="preserve"> FORMCHECKBOX </w:instrText>
            </w:r>
            <w:r w:rsidRPr="009C1AA2">
              <w:rPr>
                <w:rFonts w:ascii="Arial Narrow" w:eastAsia="Calibri" w:hAnsi="Arial Narrow"/>
                <w:sz w:val="20"/>
                <w:szCs w:val="20"/>
                <w:lang w:eastAsia="en-US"/>
              </w:rPr>
            </w:r>
            <w:r w:rsidRPr="009C1AA2">
              <w:rPr>
                <w:rFonts w:ascii="Arial Narrow" w:eastAsia="Calibri" w:hAnsi="Arial Narrow"/>
                <w:sz w:val="20"/>
                <w:szCs w:val="20"/>
                <w:lang w:eastAsia="en-US"/>
              </w:rPr>
              <w:fldChar w:fldCharType="separate"/>
            </w:r>
            <w:r w:rsidRPr="009C1AA2">
              <w:rPr>
                <w:rFonts w:ascii="Arial Narrow" w:eastAsia="Calibri" w:hAnsi="Arial Narrow"/>
                <w:sz w:val="20"/>
                <w:szCs w:val="20"/>
                <w:lang w:eastAsia="en-US"/>
              </w:rPr>
              <w:fldChar w:fldCharType="end"/>
            </w:r>
            <w:r w:rsidRPr="009C1AA2">
              <w:rPr>
                <w:rFonts w:ascii="Arial Narrow" w:eastAsia="Calibri" w:hAnsi="Arial Narrow"/>
                <w:sz w:val="20"/>
                <w:szCs w:val="20"/>
                <w:lang w:eastAsia="en-US"/>
              </w:rPr>
              <w:t xml:space="preserve">Medical Practitioners </w:t>
            </w:r>
          </w:p>
        </w:tc>
      </w:tr>
      <w:tr w:rsidR="00A13181" w:rsidRPr="009C1AA2" w14:paraId="26E21F8B" w14:textId="77777777" w:rsidTr="00A13181">
        <w:tblPrEx>
          <w:tblCellMar>
            <w:top w:w="15" w:type="dxa"/>
            <w:bottom w:w="15" w:type="dxa"/>
          </w:tblCellMar>
          <w:tblLook w:val="04A0" w:firstRow="1" w:lastRow="0" w:firstColumn="1" w:lastColumn="0" w:noHBand="0" w:noVBand="1"/>
        </w:tblPrEx>
        <w:trPr>
          <w:trHeight w:val="20"/>
        </w:trPr>
        <w:tc>
          <w:tcPr>
            <w:tcW w:w="9071" w:type="dxa"/>
            <w:gridSpan w:val="6"/>
            <w:tcBorders>
              <w:top w:val="single" w:sz="4" w:space="0" w:color="auto"/>
              <w:left w:val="single" w:sz="4" w:space="0" w:color="auto"/>
              <w:bottom w:val="single" w:sz="4" w:space="0" w:color="auto"/>
              <w:right w:val="single" w:sz="4" w:space="0" w:color="auto"/>
            </w:tcBorders>
            <w:vAlign w:val="center"/>
          </w:tcPr>
          <w:p w14:paraId="32EC1B5A" w14:textId="77777777" w:rsidR="00A13181" w:rsidRPr="009C1AA2" w:rsidRDefault="00A13181" w:rsidP="00873AF3">
            <w:pPr>
              <w:keepLines/>
              <w:contextualSpacing/>
              <w:jc w:val="left"/>
              <w:rPr>
                <w:rFonts w:ascii="Arial Narrow" w:eastAsia="Calibri" w:hAnsi="Arial Narrow"/>
                <w:color w:val="FF0000"/>
                <w:sz w:val="20"/>
                <w:szCs w:val="20"/>
                <w:lang w:eastAsia="en-US"/>
              </w:rPr>
            </w:pPr>
            <w:r w:rsidRPr="009C1AA2">
              <w:rPr>
                <w:rFonts w:ascii="Arial Narrow" w:eastAsia="Calibri" w:hAnsi="Arial Narrow"/>
                <w:b/>
                <w:sz w:val="20"/>
                <w:szCs w:val="20"/>
                <w:lang w:eastAsia="en-US"/>
              </w:rPr>
              <w:t xml:space="preserve">Restriction type: </w:t>
            </w:r>
            <w:r w:rsidRPr="009C1AA2">
              <w:rPr>
                <w:rFonts w:ascii="Arial Narrow" w:eastAsia="Calibri" w:hAnsi="Arial Narrow"/>
                <w:sz w:val="20"/>
                <w:szCs w:val="20"/>
                <w:lang w:eastAsia="en-US"/>
              </w:rPr>
              <w:fldChar w:fldCharType="begin" w:fldLock="1">
                <w:ffData>
                  <w:name w:val=""/>
                  <w:enabled/>
                  <w:calcOnExit w:val="0"/>
                  <w:checkBox>
                    <w:sizeAuto/>
                    <w:default w:val="1"/>
                  </w:checkBox>
                </w:ffData>
              </w:fldChar>
            </w:r>
            <w:r w:rsidRPr="009C1AA2">
              <w:rPr>
                <w:rFonts w:ascii="Arial Narrow" w:eastAsia="Calibri" w:hAnsi="Arial Narrow"/>
                <w:sz w:val="20"/>
                <w:szCs w:val="20"/>
                <w:lang w:eastAsia="en-US"/>
              </w:rPr>
              <w:instrText xml:space="preserve"> FORMCHECKBOX </w:instrText>
            </w:r>
            <w:r w:rsidRPr="009C1AA2">
              <w:rPr>
                <w:rFonts w:ascii="Arial Narrow" w:eastAsia="Calibri" w:hAnsi="Arial Narrow"/>
                <w:sz w:val="20"/>
                <w:szCs w:val="20"/>
                <w:lang w:eastAsia="en-US"/>
              </w:rPr>
            </w:r>
            <w:r w:rsidRPr="009C1AA2">
              <w:rPr>
                <w:rFonts w:ascii="Arial Narrow" w:eastAsia="Calibri" w:hAnsi="Arial Narrow"/>
                <w:sz w:val="20"/>
                <w:szCs w:val="20"/>
                <w:lang w:eastAsia="en-US"/>
              </w:rPr>
              <w:fldChar w:fldCharType="separate"/>
            </w:r>
            <w:r w:rsidRPr="009C1AA2">
              <w:rPr>
                <w:rFonts w:ascii="Arial Narrow" w:eastAsia="Calibri" w:hAnsi="Arial Narrow"/>
                <w:sz w:val="20"/>
                <w:szCs w:val="20"/>
                <w:lang w:eastAsia="en-US"/>
              </w:rPr>
              <w:fldChar w:fldCharType="end"/>
            </w:r>
            <w:r w:rsidRPr="009C1AA2">
              <w:rPr>
                <w:rFonts w:ascii="Arial Narrow" w:eastAsia="Calibri" w:hAnsi="Arial Narrow"/>
                <w:sz w:val="20"/>
                <w:szCs w:val="20"/>
                <w:lang w:eastAsia="en-US"/>
              </w:rPr>
              <w:t xml:space="preserve"> Authority Required (Written/Online – immediate assessment)</w:t>
            </w:r>
          </w:p>
        </w:tc>
      </w:tr>
      <w:tr w:rsidR="00A13181" w:rsidRPr="009C1AA2" w14:paraId="19FCEF0F" w14:textId="77777777" w:rsidTr="00A13181">
        <w:tblPrEx>
          <w:tblCellMar>
            <w:top w:w="15" w:type="dxa"/>
            <w:bottom w:w="15" w:type="dxa"/>
          </w:tblCellMar>
          <w:tblLook w:val="04A0" w:firstRow="1" w:lastRow="0" w:firstColumn="1" w:lastColumn="0" w:noHBand="0" w:noVBand="1"/>
        </w:tblPrEx>
        <w:trPr>
          <w:trHeight w:val="20"/>
        </w:trPr>
        <w:tc>
          <w:tcPr>
            <w:tcW w:w="9071" w:type="dxa"/>
            <w:gridSpan w:val="6"/>
            <w:tcBorders>
              <w:top w:val="single" w:sz="4" w:space="0" w:color="auto"/>
              <w:left w:val="single" w:sz="4" w:space="0" w:color="auto"/>
              <w:bottom w:val="single" w:sz="4" w:space="0" w:color="auto"/>
              <w:right w:val="single" w:sz="4" w:space="0" w:color="auto"/>
            </w:tcBorders>
            <w:vAlign w:val="center"/>
          </w:tcPr>
          <w:p w14:paraId="0B501331" w14:textId="77777777" w:rsidR="00A13181" w:rsidRPr="009C1AA2" w:rsidRDefault="00A13181" w:rsidP="00873AF3">
            <w:pPr>
              <w:keepLines/>
              <w:contextualSpacing/>
              <w:jc w:val="left"/>
              <w:rPr>
                <w:rFonts w:ascii="Arial Narrow" w:eastAsia="Calibri" w:hAnsi="Arial Narrow"/>
                <w:b/>
                <w:color w:val="FF0000"/>
                <w:sz w:val="20"/>
                <w:szCs w:val="20"/>
                <w:lang w:eastAsia="en-US"/>
              </w:rPr>
            </w:pPr>
            <w:r w:rsidRPr="009C1AA2">
              <w:rPr>
                <w:rFonts w:ascii="Arial Narrow" w:eastAsia="Calibri" w:hAnsi="Arial Narrow"/>
                <w:b/>
                <w:sz w:val="20"/>
                <w:szCs w:val="20"/>
                <w:lang w:eastAsia="en-US"/>
              </w:rPr>
              <w:t xml:space="preserve">Authority type: </w:t>
            </w:r>
            <w:r w:rsidRPr="009C1AA2">
              <w:rPr>
                <w:rFonts w:ascii="Arial Narrow" w:eastAsia="Calibri" w:hAnsi="Arial Narrow"/>
                <w:sz w:val="20"/>
                <w:szCs w:val="20"/>
                <w:lang w:eastAsia="en-US"/>
              </w:rPr>
              <w:fldChar w:fldCharType="begin" w:fldLock="1">
                <w:ffData>
                  <w:name w:val=""/>
                  <w:enabled/>
                  <w:calcOnExit w:val="0"/>
                  <w:checkBox>
                    <w:sizeAuto/>
                    <w:default w:val="1"/>
                  </w:checkBox>
                </w:ffData>
              </w:fldChar>
            </w:r>
            <w:r w:rsidRPr="009C1AA2">
              <w:rPr>
                <w:rFonts w:ascii="Arial Narrow" w:eastAsia="Calibri" w:hAnsi="Arial Narrow"/>
                <w:sz w:val="20"/>
                <w:szCs w:val="20"/>
                <w:lang w:eastAsia="en-US"/>
              </w:rPr>
              <w:instrText xml:space="preserve"> FORMCHECKBOX </w:instrText>
            </w:r>
            <w:r w:rsidRPr="009C1AA2">
              <w:rPr>
                <w:rFonts w:ascii="Arial Narrow" w:eastAsia="Calibri" w:hAnsi="Arial Narrow"/>
                <w:sz w:val="20"/>
                <w:szCs w:val="20"/>
                <w:lang w:eastAsia="en-US"/>
              </w:rPr>
            </w:r>
            <w:r w:rsidRPr="009C1AA2">
              <w:rPr>
                <w:rFonts w:ascii="Arial Narrow" w:eastAsia="Calibri" w:hAnsi="Arial Narrow"/>
                <w:sz w:val="20"/>
                <w:szCs w:val="20"/>
                <w:lang w:eastAsia="en-US"/>
              </w:rPr>
              <w:fldChar w:fldCharType="separate"/>
            </w:r>
            <w:r w:rsidRPr="009C1AA2">
              <w:rPr>
                <w:rFonts w:ascii="Arial Narrow" w:eastAsia="Calibri" w:hAnsi="Arial Narrow"/>
                <w:sz w:val="20"/>
                <w:szCs w:val="20"/>
                <w:lang w:eastAsia="en-US"/>
              </w:rPr>
              <w:fldChar w:fldCharType="end"/>
            </w:r>
            <w:r w:rsidRPr="009C1AA2">
              <w:rPr>
                <w:rFonts w:ascii="Arial Narrow" w:eastAsia="Calibri" w:hAnsi="Arial Narrow"/>
                <w:sz w:val="20"/>
                <w:szCs w:val="20"/>
                <w:lang w:eastAsia="en-US"/>
              </w:rPr>
              <w:t xml:space="preserve"> Complex Authority Required (CAR)</w:t>
            </w:r>
          </w:p>
        </w:tc>
      </w:tr>
      <w:tr w:rsidR="00A13181" w:rsidRPr="009C1AA2" w14:paraId="0B907FCB" w14:textId="77777777" w:rsidTr="00A13181">
        <w:tblPrEx>
          <w:tblCellMar>
            <w:top w:w="15" w:type="dxa"/>
            <w:bottom w:w="15" w:type="dxa"/>
          </w:tblCellMar>
          <w:tblLook w:val="04A0" w:firstRow="1" w:lastRow="0" w:firstColumn="1" w:lastColumn="0" w:noHBand="0" w:noVBand="1"/>
        </w:tblPrEx>
        <w:trPr>
          <w:trHeight w:val="300"/>
        </w:trPr>
        <w:tc>
          <w:tcPr>
            <w:tcW w:w="9071" w:type="dxa"/>
            <w:gridSpan w:val="6"/>
            <w:vAlign w:val="center"/>
          </w:tcPr>
          <w:p w14:paraId="6C18F644"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b/>
                <w:bCs/>
                <w:iCs/>
                <w:color w:val="000000"/>
                <w:sz w:val="20"/>
                <w:szCs w:val="20"/>
              </w:rPr>
              <w:t xml:space="preserve">Administrative Advice: </w:t>
            </w:r>
          </w:p>
          <w:p w14:paraId="14AC7ECC"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Definitions for the purposes of administering this restriction.</w:t>
            </w:r>
          </w:p>
          <w:p w14:paraId="388927C2" w14:textId="77777777" w:rsidR="00A13181" w:rsidRPr="009C1AA2" w:rsidRDefault="00A13181" w:rsidP="00873AF3">
            <w:pPr>
              <w:contextualSpacing/>
              <w:jc w:val="left"/>
              <w:rPr>
                <w:rFonts w:ascii="Arial Narrow" w:hAnsi="Arial Narrow" w:cs="Times New Roman"/>
                <w:iCs/>
                <w:color w:val="000000"/>
                <w:sz w:val="20"/>
                <w:szCs w:val="20"/>
              </w:rPr>
            </w:pPr>
          </w:p>
          <w:p w14:paraId="00C71A8B"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Where the term </w:t>
            </w:r>
            <w:r w:rsidRPr="009C1AA2">
              <w:rPr>
                <w:rFonts w:ascii="Arial Narrow" w:hAnsi="Arial Narrow" w:cs="Times New Roman"/>
                <w:b/>
                <w:bCs/>
                <w:iCs/>
                <w:color w:val="000000"/>
                <w:sz w:val="20"/>
                <w:szCs w:val="20"/>
              </w:rPr>
              <w:t>‘gMG biological agent’</w:t>
            </w:r>
            <w:r w:rsidRPr="009C1AA2">
              <w:rPr>
                <w:rFonts w:ascii="Arial Narrow" w:hAnsi="Arial Narrow" w:cs="Times New Roman"/>
                <w:iCs/>
                <w:color w:val="000000"/>
                <w:sz w:val="20"/>
                <w:szCs w:val="20"/>
              </w:rPr>
              <w:t xml:space="preserve"> is referenced in this restriction, it refers to efgartigimod alfa, ravulizumab, rozanolixizumab, and zilucoplan.</w:t>
            </w:r>
          </w:p>
          <w:p w14:paraId="7151EA89" w14:textId="77777777" w:rsidR="00A13181" w:rsidRPr="009C1AA2" w:rsidRDefault="00A13181" w:rsidP="00873AF3">
            <w:pPr>
              <w:contextualSpacing/>
              <w:jc w:val="left"/>
              <w:rPr>
                <w:rFonts w:ascii="Arial Narrow" w:hAnsi="Arial Narrow" w:cs="Times New Roman"/>
                <w:iCs/>
                <w:color w:val="000000"/>
                <w:sz w:val="20"/>
                <w:szCs w:val="20"/>
              </w:rPr>
            </w:pPr>
          </w:p>
          <w:p w14:paraId="6E9F71C5"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The following are settings where a gMG biological agent are PBS subsidised:</w:t>
            </w:r>
          </w:p>
          <w:p w14:paraId="75DC7C70" w14:textId="77777777" w:rsidR="00A13181" w:rsidRPr="009C1AA2" w:rsidRDefault="00A13181" w:rsidP="00873AF3">
            <w:pPr>
              <w:numPr>
                <w:ilvl w:val="0"/>
                <w:numId w:val="34"/>
              </w:numPr>
              <w:spacing w:after="160" w:line="259" w:lineRule="auto"/>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3 months of acute treatment - ‘acute severe gMG’ </w:t>
            </w:r>
          </w:p>
          <w:p w14:paraId="269EC7DB" w14:textId="77777777" w:rsidR="00A13181" w:rsidRPr="009C1AA2" w:rsidRDefault="00A13181" w:rsidP="00873AF3">
            <w:pPr>
              <w:numPr>
                <w:ilvl w:val="0"/>
                <w:numId w:val="34"/>
              </w:numPr>
              <w:spacing w:after="160" w:line="259" w:lineRule="auto"/>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6 months of bridging therapy - ‘bridging therapy for gMG’ </w:t>
            </w:r>
          </w:p>
          <w:p w14:paraId="3465D714" w14:textId="77777777" w:rsidR="00A13181" w:rsidRPr="009C1AA2" w:rsidRDefault="00A13181" w:rsidP="00873AF3">
            <w:pPr>
              <w:numPr>
                <w:ilvl w:val="0"/>
                <w:numId w:val="34"/>
              </w:numPr>
              <w:spacing w:after="160" w:line="259" w:lineRule="auto"/>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Continuous therapy - ‘treatment refractory gMG’</w:t>
            </w:r>
          </w:p>
          <w:p w14:paraId="41F8EEC9"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A patient may transition sequentially from one setting to another where all criteria are met e.g. (1) to (2) to (3), but cannot return to an earlier treatment setting. </w:t>
            </w:r>
          </w:p>
          <w:p w14:paraId="05ED6AAB" w14:textId="77777777" w:rsidR="00A13181" w:rsidRPr="009C1AA2" w:rsidRDefault="00A13181" w:rsidP="00873AF3">
            <w:pPr>
              <w:contextualSpacing/>
              <w:jc w:val="left"/>
              <w:rPr>
                <w:rFonts w:ascii="Arial Narrow" w:hAnsi="Arial Narrow" w:cs="Times New Roman"/>
                <w:iCs/>
                <w:color w:val="000000"/>
                <w:sz w:val="20"/>
                <w:szCs w:val="20"/>
              </w:rPr>
            </w:pPr>
          </w:p>
          <w:p w14:paraId="0021C6D7" w14:textId="77777777" w:rsidR="00A13181" w:rsidRPr="009C1AA2" w:rsidRDefault="00A13181" w:rsidP="00873AF3">
            <w:pPr>
              <w:contextualSpacing/>
              <w:jc w:val="left"/>
              <w:rPr>
                <w:rFonts w:ascii="Arial Narrow" w:hAnsi="Arial Narrow" w:cs="Times New Roman"/>
                <w:b/>
                <w:bCs/>
                <w:iCs/>
                <w:color w:val="000000"/>
                <w:sz w:val="20"/>
                <w:szCs w:val="20"/>
              </w:rPr>
            </w:pPr>
            <w:r w:rsidRPr="009C1AA2">
              <w:rPr>
                <w:rFonts w:ascii="Arial Narrow" w:hAnsi="Arial Narrow" w:cs="Times New Roman"/>
                <w:b/>
                <w:bCs/>
                <w:iCs/>
                <w:color w:val="000000"/>
                <w:sz w:val="20"/>
                <w:szCs w:val="20"/>
              </w:rPr>
              <w:t>Definitions:</w:t>
            </w:r>
          </w:p>
          <w:p w14:paraId="2AD5D9BC"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A non-steroidal immunosuppressant (NS-IST) is one of the following:</w:t>
            </w:r>
          </w:p>
          <w:p w14:paraId="690EBA8B"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(i) azathioprine, </w:t>
            </w:r>
          </w:p>
          <w:p w14:paraId="75174607"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(ii) ciclosporin,</w:t>
            </w:r>
          </w:p>
          <w:p w14:paraId="18E66B17"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(iii) cyclophosphamide,</w:t>
            </w:r>
          </w:p>
          <w:p w14:paraId="5AA6FE3C"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(iv) methotrexate,</w:t>
            </w:r>
          </w:p>
          <w:p w14:paraId="53743C6E" w14:textId="77777777" w:rsidR="00A13181" w:rsidRPr="009C1AA2" w:rsidRDefault="00A13181" w:rsidP="00873AF3">
            <w:pPr>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(v) mycophenolate</w:t>
            </w:r>
          </w:p>
          <w:p w14:paraId="2D3F32BC" w14:textId="77777777" w:rsidR="00A13181" w:rsidRPr="009C1AA2" w:rsidRDefault="00A13181" w:rsidP="00873AF3">
            <w:pPr>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(vi) tacrolimus</w:t>
            </w:r>
          </w:p>
          <w:p w14:paraId="6C8A29EA" w14:textId="77777777" w:rsidR="00A13181" w:rsidRPr="009C1AA2" w:rsidRDefault="00A13181" w:rsidP="00873AF3">
            <w:pPr>
              <w:jc w:val="left"/>
              <w:rPr>
                <w:rFonts w:ascii="Arial Narrow" w:hAnsi="Arial Narrow" w:cs="Times New Roman"/>
                <w:iCs/>
                <w:color w:val="000000"/>
                <w:sz w:val="20"/>
                <w:szCs w:val="20"/>
              </w:rPr>
            </w:pPr>
          </w:p>
          <w:p w14:paraId="0B76EB20" w14:textId="77777777" w:rsidR="00A13181" w:rsidRPr="009C1AA2" w:rsidRDefault="00A13181" w:rsidP="00873AF3">
            <w:pPr>
              <w:jc w:val="left"/>
              <w:rPr>
                <w:rFonts w:ascii="Arial Narrow" w:hAnsi="Arial Narrow" w:cs="Times New Roman"/>
                <w:iCs/>
                <w:color w:val="000000"/>
                <w:sz w:val="20"/>
                <w:szCs w:val="20"/>
              </w:rPr>
            </w:pPr>
            <w:r w:rsidRPr="009C1AA2">
              <w:rPr>
                <w:rFonts w:ascii="Arial Narrow" w:hAnsi="Arial Narrow" w:cs="Times New Roman"/>
                <w:iCs/>
                <w:color w:val="000000"/>
                <w:kern w:val="2"/>
                <w:sz w:val="20"/>
                <w:szCs w:val="20"/>
                <w14:ligatures w14:val="standardContextual"/>
              </w:rPr>
              <w:t>The Myasthenia Gravis Foundation of America (</w:t>
            </w:r>
            <w:r w:rsidRPr="009C1AA2">
              <w:rPr>
                <w:rFonts w:ascii="Arial Narrow" w:hAnsi="Arial Narrow" w:cs="Times New Roman"/>
                <w:b/>
                <w:bCs/>
                <w:iCs/>
                <w:color w:val="000000"/>
                <w:kern w:val="2"/>
                <w:sz w:val="20"/>
                <w:szCs w:val="20"/>
                <w14:ligatures w14:val="standardContextual"/>
              </w:rPr>
              <w:t>MGFA</w:t>
            </w:r>
            <w:r w:rsidRPr="009C1AA2">
              <w:rPr>
                <w:rFonts w:ascii="Arial Narrow" w:hAnsi="Arial Narrow" w:cs="Times New Roman"/>
                <w:iCs/>
                <w:color w:val="000000"/>
                <w:kern w:val="2"/>
                <w:sz w:val="20"/>
                <w:szCs w:val="20"/>
                <w14:ligatures w14:val="standardContextual"/>
              </w:rPr>
              <w:t xml:space="preserve">) Disease Classification can be accessed at </w:t>
            </w:r>
            <w:hyperlink r:id="rId16" w:history="1">
              <w:r w:rsidRPr="009C1AA2">
                <w:rPr>
                  <w:rFonts w:ascii="Arial Narrow" w:hAnsi="Arial Narrow" w:cs="Times New Roman"/>
                  <w:iCs/>
                  <w:color w:val="467886"/>
                  <w:sz w:val="20"/>
                  <w:szCs w:val="20"/>
                  <w:u w:val="single"/>
                </w:rPr>
                <w:t>https://myasthenia.org/</w:t>
              </w:r>
            </w:hyperlink>
            <w:r w:rsidRPr="009C1AA2">
              <w:rPr>
                <w:rFonts w:ascii="Arial Narrow" w:hAnsi="Arial Narrow" w:cs="Times New Roman"/>
                <w:iCs/>
                <w:color w:val="000000"/>
                <w:sz w:val="20"/>
                <w:szCs w:val="20"/>
              </w:rPr>
              <w:t xml:space="preserve"> </w:t>
            </w:r>
          </w:p>
          <w:p w14:paraId="6C26DA80" w14:textId="77777777" w:rsidR="00A13181" w:rsidRPr="009C1AA2" w:rsidRDefault="00A13181" w:rsidP="00873AF3">
            <w:pPr>
              <w:jc w:val="left"/>
              <w:rPr>
                <w:rFonts w:ascii="Arial Narrow" w:hAnsi="Arial Narrow" w:cs="Times New Roman"/>
                <w:iCs/>
                <w:color w:val="000000"/>
                <w:sz w:val="20"/>
                <w:szCs w:val="20"/>
              </w:rPr>
            </w:pPr>
          </w:p>
          <w:p w14:paraId="29996354" w14:textId="77777777" w:rsidR="00A13181" w:rsidRPr="009C1AA2" w:rsidRDefault="00A13181" w:rsidP="00873AF3">
            <w:pPr>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The Myasthenia Gravis Composite (</w:t>
            </w:r>
            <w:r w:rsidRPr="009C1AA2">
              <w:rPr>
                <w:rFonts w:ascii="Arial Narrow" w:hAnsi="Arial Narrow" w:cs="Times New Roman"/>
                <w:b/>
                <w:bCs/>
                <w:iCs/>
                <w:color w:val="000000"/>
                <w:sz w:val="20"/>
                <w:szCs w:val="20"/>
              </w:rPr>
              <w:t>MGC</w:t>
            </w:r>
            <w:r w:rsidRPr="009C1AA2">
              <w:rPr>
                <w:rFonts w:ascii="Arial Narrow" w:hAnsi="Arial Narrow" w:cs="Times New Roman"/>
                <w:iCs/>
                <w:color w:val="000000"/>
                <w:sz w:val="20"/>
                <w:szCs w:val="20"/>
              </w:rPr>
              <w:t xml:space="preserve">) scoring profile can be accessed at </w:t>
            </w:r>
            <w:hyperlink r:id="rId17" w:anchor="MGC" w:history="1">
              <w:r w:rsidRPr="009C1AA2">
                <w:rPr>
                  <w:rFonts w:ascii="Arial Narrow" w:hAnsi="Arial Narrow" w:cs="Times New Roman"/>
                  <w:iCs/>
                  <w:color w:val="467886"/>
                  <w:sz w:val="20"/>
                  <w:szCs w:val="20"/>
                  <w:u w:val="single"/>
                </w:rPr>
                <w:t>https://www.criteria.blood.gov.au/NeurologicalScales#MGC</w:t>
              </w:r>
            </w:hyperlink>
            <w:r w:rsidRPr="009C1AA2">
              <w:rPr>
                <w:rFonts w:ascii="Arial Narrow" w:hAnsi="Arial Narrow" w:cs="Times New Roman"/>
                <w:iCs/>
                <w:color w:val="000000"/>
                <w:sz w:val="20"/>
                <w:szCs w:val="20"/>
              </w:rPr>
              <w:t xml:space="preserve"> </w:t>
            </w:r>
          </w:p>
          <w:p w14:paraId="7C8446AF" w14:textId="77777777" w:rsidR="00A13181" w:rsidRPr="009C1AA2" w:rsidRDefault="00A13181" w:rsidP="00873AF3">
            <w:pPr>
              <w:jc w:val="left"/>
              <w:rPr>
                <w:rFonts w:ascii="Arial Narrow" w:hAnsi="Arial Narrow" w:cs="Times New Roman"/>
                <w:iCs/>
                <w:color w:val="000000"/>
                <w:sz w:val="20"/>
                <w:szCs w:val="20"/>
              </w:rPr>
            </w:pPr>
          </w:p>
          <w:p w14:paraId="7998981D" w14:textId="77777777" w:rsidR="00A13181" w:rsidRPr="009C1AA2" w:rsidRDefault="00A13181" w:rsidP="00873AF3">
            <w:pPr>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The Myasthenia Gravis-Activities of Daily Living (</w:t>
            </w:r>
            <w:r w:rsidRPr="009C1AA2">
              <w:rPr>
                <w:rFonts w:ascii="Arial Narrow" w:hAnsi="Arial Narrow" w:cs="Times New Roman"/>
                <w:b/>
                <w:bCs/>
                <w:iCs/>
                <w:color w:val="000000"/>
                <w:sz w:val="20"/>
                <w:szCs w:val="20"/>
              </w:rPr>
              <w:t>MG-ADL</w:t>
            </w:r>
            <w:r w:rsidRPr="009C1AA2">
              <w:rPr>
                <w:rFonts w:ascii="Arial Narrow" w:hAnsi="Arial Narrow" w:cs="Times New Roman"/>
                <w:iCs/>
                <w:color w:val="000000"/>
                <w:sz w:val="20"/>
                <w:szCs w:val="20"/>
              </w:rPr>
              <w:t xml:space="preserve">) scoring profile can be accessed at </w:t>
            </w:r>
          </w:p>
          <w:p w14:paraId="6E108A24" w14:textId="77777777" w:rsidR="00A13181" w:rsidRPr="009C1AA2" w:rsidRDefault="00A13181" w:rsidP="00873AF3">
            <w:pPr>
              <w:jc w:val="left"/>
              <w:rPr>
                <w:rFonts w:ascii="Arial Narrow" w:hAnsi="Arial Narrow" w:cs="Times New Roman"/>
                <w:iCs/>
                <w:color w:val="000000"/>
                <w:sz w:val="20"/>
                <w:szCs w:val="20"/>
              </w:rPr>
            </w:pPr>
            <w:hyperlink r:id="rId18" w:history="1">
              <w:r w:rsidRPr="009C1AA2">
                <w:rPr>
                  <w:rFonts w:ascii="Arial Narrow" w:hAnsi="Arial Narrow" w:cs="Times New Roman"/>
                  <w:iCs/>
                  <w:color w:val="467886"/>
                  <w:sz w:val="20"/>
                  <w:szCs w:val="20"/>
                  <w:u w:val="single"/>
                </w:rPr>
                <w:t>https://myasthenia.org/</w:t>
              </w:r>
            </w:hyperlink>
          </w:p>
        </w:tc>
      </w:tr>
      <w:tr w:rsidR="00A13181" w:rsidRPr="009C1AA2" w14:paraId="7246E29E" w14:textId="77777777" w:rsidTr="00A13181">
        <w:tblPrEx>
          <w:tblCellMar>
            <w:top w:w="15" w:type="dxa"/>
            <w:bottom w:w="15" w:type="dxa"/>
          </w:tblCellMar>
          <w:tblLook w:val="04A0" w:firstRow="1" w:lastRow="0" w:firstColumn="1" w:lastColumn="0" w:noHBand="0" w:noVBand="1"/>
        </w:tblPrEx>
        <w:trPr>
          <w:trHeight w:val="300"/>
        </w:trPr>
        <w:tc>
          <w:tcPr>
            <w:tcW w:w="9071" w:type="dxa"/>
            <w:gridSpan w:val="6"/>
            <w:shd w:val="clear" w:color="auto" w:fill="FAE2D5"/>
            <w:vAlign w:val="center"/>
          </w:tcPr>
          <w:p w14:paraId="2F20C763"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b/>
                <w:bCs/>
                <w:iCs/>
                <w:color w:val="000000"/>
                <w:sz w:val="20"/>
                <w:szCs w:val="20"/>
              </w:rPr>
              <w:t xml:space="preserve">Administrative Advice: </w:t>
            </w:r>
          </w:p>
          <w:p w14:paraId="178DF1D1" w14:textId="77777777" w:rsidR="00A13181" w:rsidRPr="009C1AA2" w:rsidRDefault="00A13181" w:rsidP="00873AF3">
            <w:pPr>
              <w:contextualSpacing/>
              <w:jc w:val="left"/>
              <w:rPr>
                <w:rFonts w:ascii="Arial Narrow" w:hAnsi="Arial Narrow" w:cs="Times New Roman"/>
                <w:b/>
                <w:bCs/>
                <w:iCs/>
                <w:color w:val="000000"/>
                <w:sz w:val="20"/>
                <w:szCs w:val="20"/>
              </w:rPr>
            </w:pPr>
            <w:r w:rsidRPr="009C1AA2">
              <w:rPr>
                <w:rFonts w:ascii="Arial Narrow" w:hAnsi="Arial Narrow" w:cs="Times New Roman"/>
                <w:b/>
                <w:bCs/>
                <w:iCs/>
                <w:color w:val="000000"/>
                <w:sz w:val="20"/>
                <w:szCs w:val="20"/>
              </w:rPr>
              <w:t>Treatment switching:</w:t>
            </w:r>
          </w:p>
          <w:p w14:paraId="3B829207"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Switching between gMG biological agents is permitted. Treatment switching should be limited to when a patient moves between different treatment settings, i.e. moving from ‘acute severe gMG’ to ‘bridging therapy for gMG’ [(1) to (2)]; or moving from ‘bridging therapy for gMG’ to ‘treatment refractory gMG’ [(2) to (3)]. </w:t>
            </w:r>
          </w:p>
          <w:p w14:paraId="1B28EBBD" w14:textId="77777777" w:rsidR="00A13181" w:rsidRPr="009C1AA2" w:rsidRDefault="00A13181" w:rsidP="00873AF3">
            <w:pPr>
              <w:contextualSpacing/>
              <w:jc w:val="left"/>
              <w:rPr>
                <w:rFonts w:ascii="Arial Narrow" w:hAnsi="Arial Narrow" w:cs="Times New Roman"/>
                <w:iCs/>
                <w:color w:val="000000"/>
                <w:sz w:val="20"/>
                <w:szCs w:val="20"/>
              </w:rPr>
            </w:pPr>
          </w:p>
          <w:p w14:paraId="0BE8794C"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In the acute severe (1) or bridging therapy (2) settings a patient may switch to an alternate gMG biological agent if they are experiencing an intolerance or toxicity necessitating treatment withdrawal. Patients can switch by requalifying through the relevant restrictions. Only a balance of the time limits specified within the relevant treatment phase will be approved i.e. the remaining of the 3 months (acute severe gMG); or 6 months (bridging therapy for gMG) after accounting for the treatment of the previous gMG biologic. </w:t>
            </w:r>
          </w:p>
          <w:p w14:paraId="7081FE98" w14:textId="77777777" w:rsidR="00A13181" w:rsidRPr="009C1AA2" w:rsidRDefault="00A13181" w:rsidP="00873AF3">
            <w:pPr>
              <w:contextualSpacing/>
              <w:jc w:val="left"/>
              <w:rPr>
                <w:rFonts w:ascii="Arial Narrow" w:hAnsi="Arial Narrow" w:cs="Times New Roman"/>
                <w:iCs/>
                <w:color w:val="000000"/>
                <w:sz w:val="20"/>
                <w:szCs w:val="20"/>
              </w:rPr>
            </w:pPr>
          </w:p>
          <w:p w14:paraId="461110F1"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In the treatment refractory setting (3), a patient may switch to an alternate gMG biological agent via either:</w:t>
            </w:r>
          </w:p>
          <w:p w14:paraId="17C3D3FB" w14:textId="77777777" w:rsidR="00A13181" w:rsidRPr="009C1AA2" w:rsidRDefault="00A13181" w:rsidP="00873AF3">
            <w:pPr>
              <w:numPr>
                <w:ilvl w:val="0"/>
                <w:numId w:val="37"/>
              </w:numPr>
              <w:spacing w:after="160" w:line="259" w:lineRule="auto"/>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the initial restriction if they have trialled a different gMG biologic, but did not respond to treatment; or </w:t>
            </w:r>
          </w:p>
          <w:p w14:paraId="4EA80346" w14:textId="77777777" w:rsidR="00A13181" w:rsidRPr="009C1AA2" w:rsidRDefault="00A13181" w:rsidP="00873AF3">
            <w:pPr>
              <w:numPr>
                <w:ilvl w:val="0"/>
                <w:numId w:val="37"/>
              </w:numPr>
              <w:spacing w:after="160" w:line="259" w:lineRule="auto"/>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the continuing restriction if they have trialled a different gMG biological agent and have responded to treatment. </w:t>
            </w:r>
          </w:p>
          <w:p w14:paraId="1E926C06" w14:textId="77777777" w:rsidR="00A13181" w:rsidRPr="009C1AA2" w:rsidRDefault="00A13181" w:rsidP="00873AF3">
            <w:pPr>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Mark any remaining unused repeat prescriptions as “cancelled”.</w:t>
            </w:r>
          </w:p>
        </w:tc>
      </w:tr>
      <w:tr w:rsidR="00A13181" w:rsidRPr="009C1AA2" w14:paraId="21ECCF8F" w14:textId="77777777" w:rsidTr="00A13181">
        <w:tblPrEx>
          <w:tblCellMar>
            <w:top w:w="15" w:type="dxa"/>
            <w:bottom w:w="15" w:type="dxa"/>
          </w:tblCellMar>
          <w:tblLook w:val="04A0" w:firstRow="1" w:lastRow="0" w:firstColumn="1" w:lastColumn="0" w:noHBand="0" w:noVBand="1"/>
        </w:tblPrEx>
        <w:trPr>
          <w:trHeight w:val="300"/>
        </w:trPr>
        <w:tc>
          <w:tcPr>
            <w:tcW w:w="9071" w:type="dxa"/>
            <w:gridSpan w:val="6"/>
            <w:vAlign w:val="center"/>
          </w:tcPr>
          <w:p w14:paraId="1C87BAD5" w14:textId="77777777" w:rsidR="00A13181" w:rsidRPr="009C1AA2" w:rsidRDefault="00A13181" w:rsidP="00873AF3">
            <w:pPr>
              <w:contextualSpacing/>
              <w:jc w:val="left"/>
              <w:rPr>
                <w:rFonts w:ascii="Arial Narrow" w:hAnsi="Arial Narrow" w:cs="Times New Roman"/>
                <w:b/>
                <w:bCs/>
                <w:iCs/>
                <w:color w:val="000000"/>
                <w:sz w:val="20"/>
                <w:szCs w:val="20"/>
              </w:rPr>
            </w:pPr>
            <w:r w:rsidRPr="009C1AA2">
              <w:rPr>
                <w:rFonts w:ascii="Arial Narrow" w:hAnsi="Arial Narrow" w:cs="Times New Roman"/>
                <w:b/>
                <w:bCs/>
                <w:iCs/>
                <w:color w:val="000000"/>
                <w:sz w:val="20"/>
                <w:szCs w:val="20"/>
              </w:rPr>
              <w:t>Administrative Advice:</w:t>
            </w:r>
          </w:p>
          <w:p w14:paraId="1E174995"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Any queries concerning the arrangements to prescribe may be directed to Services Australia on 1800 700 270 (hours of operation 8 a.m. to 5 p.m. Monday to Friday).</w:t>
            </w:r>
          </w:p>
          <w:p w14:paraId="7E6EA88D"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Prescribing information (including Authority Application forms and other relevant documentation as applicable) is available on the Services Australia website at www.servicesaustralia.gov.au</w:t>
            </w:r>
          </w:p>
          <w:p w14:paraId="764517BD"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Applications for authorisation under this restriction should be made using the Online PBS Authorities system (see www.servicesaustralia.gov.au/hpos)</w:t>
            </w:r>
          </w:p>
          <w:p w14:paraId="53ACAADD"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Alternatively, applications for authority to prescribe should be submitted online using the form upload facility in Health Professional Online Services (HPOS) at www.servicesaustralia.gov.au/hpos</w:t>
            </w:r>
          </w:p>
          <w:p w14:paraId="2223CE35"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Or mailed to:</w:t>
            </w:r>
          </w:p>
          <w:p w14:paraId="52AA8CA3"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Services Australia</w:t>
            </w:r>
          </w:p>
          <w:p w14:paraId="73E22AB2"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Complex Drugs</w:t>
            </w:r>
          </w:p>
          <w:p w14:paraId="468CD491" w14:textId="77777777" w:rsidR="00A13181" w:rsidRPr="009C1AA2" w:rsidRDefault="00A13181"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Reply Paid 9826</w:t>
            </w:r>
          </w:p>
          <w:p w14:paraId="23C399B7" w14:textId="77777777" w:rsidR="00A13181" w:rsidRPr="009C1AA2" w:rsidRDefault="00A13181" w:rsidP="00873AF3">
            <w:pPr>
              <w:contextualSpacing/>
              <w:jc w:val="left"/>
              <w:rPr>
                <w:rFonts w:ascii="Arial Narrow" w:hAnsi="Arial Narrow" w:cs="Times New Roman"/>
                <w:b/>
                <w:bCs/>
                <w:iCs/>
                <w:color w:val="000000"/>
                <w:sz w:val="20"/>
                <w:szCs w:val="20"/>
              </w:rPr>
            </w:pPr>
            <w:r w:rsidRPr="009C1AA2">
              <w:rPr>
                <w:rFonts w:ascii="Arial Narrow" w:hAnsi="Arial Narrow" w:cs="Times New Roman"/>
                <w:iCs/>
                <w:color w:val="000000"/>
                <w:sz w:val="20"/>
                <w:szCs w:val="20"/>
              </w:rPr>
              <w:t>HOBART TAS 7001</w:t>
            </w:r>
          </w:p>
        </w:tc>
      </w:tr>
      <w:tr w:rsidR="00A13181" w:rsidRPr="009C1AA2" w14:paraId="518D45C9" w14:textId="77777777" w:rsidTr="00A13181">
        <w:tblPrEx>
          <w:tblCellMar>
            <w:top w:w="15" w:type="dxa"/>
            <w:bottom w:w="15" w:type="dxa"/>
          </w:tblCellMar>
          <w:tblLook w:val="04A0" w:firstRow="1" w:lastRow="0" w:firstColumn="1" w:lastColumn="0" w:noHBand="0" w:noVBand="1"/>
        </w:tblPrEx>
        <w:trPr>
          <w:trHeight w:val="300"/>
        </w:trPr>
        <w:tc>
          <w:tcPr>
            <w:tcW w:w="9071" w:type="dxa"/>
            <w:gridSpan w:val="6"/>
            <w:vAlign w:val="center"/>
          </w:tcPr>
          <w:p w14:paraId="21EE645F" w14:textId="77777777" w:rsidR="00A13181" w:rsidRPr="009C1AA2" w:rsidRDefault="00A13181" w:rsidP="00873AF3">
            <w:pPr>
              <w:contextualSpacing/>
              <w:jc w:val="left"/>
              <w:rPr>
                <w:rFonts w:ascii="Arial Narrow" w:hAnsi="Arial Narrow" w:cs="Times New Roman"/>
                <w:b/>
                <w:bCs/>
                <w:iCs/>
                <w:color w:val="000000"/>
                <w:sz w:val="20"/>
                <w:szCs w:val="20"/>
              </w:rPr>
            </w:pPr>
            <w:r w:rsidRPr="009C1AA2">
              <w:rPr>
                <w:rFonts w:ascii="Arial Narrow" w:hAnsi="Arial Narrow" w:cs="Times New Roman"/>
                <w:b/>
                <w:bCs/>
                <w:iCs/>
                <w:color w:val="000000"/>
                <w:sz w:val="20"/>
                <w:szCs w:val="20"/>
              </w:rPr>
              <w:t xml:space="preserve">Administrative Advice: </w:t>
            </w:r>
            <w:r w:rsidRPr="009C1AA2">
              <w:rPr>
                <w:rFonts w:ascii="Arial Narrow" w:hAnsi="Arial Narrow" w:cs="Times New Roman"/>
                <w:iCs/>
                <w:color w:val="000000"/>
                <w:sz w:val="20"/>
                <w:szCs w:val="20"/>
              </w:rPr>
              <w:t>No increase in the maximum quantity or number of units may be authorised.</w:t>
            </w:r>
          </w:p>
        </w:tc>
      </w:tr>
      <w:tr w:rsidR="00A13181" w:rsidRPr="009C1AA2" w14:paraId="6037CC1A" w14:textId="77777777" w:rsidTr="00A13181">
        <w:tblPrEx>
          <w:tblCellMar>
            <w:top w:w="15" w:type="dxa"/>
            <w:bottom w:w="15" w:type="dxa"/>
          </w:tblCellMar>
          <w:tblLook w:val="04A0" w:firstRow="1" w:lastRow="0" w:firstColumn="1" w:lastColumn="0" w:noHBand="0" w:noVBand="1"/>
        </w:tblPrEx>
        <w:trPr>
          <w:trHeight w:val="189"/>
        </w:trPr>
        <w:tc>
          <w:tcPr>
            <w:tcW w:w="9071" w:type="dxa"/>
            <w:gridSpan w:val="6"/>
            <w:vAlign w:val="center"/>
          </w:tcPr>
          <w:p w14:paraId="7FBBBC68" w14:textId="77777777" w:rsidR="00A13181" w:rsidRPr="009C1AA2" w:rsidRDefault="00A13181" w:rsidP="00873AF3">
            <w:pPr>
              <w:contextualSpacing/>
              <w:jc w:val="left"/>
              <w:rPr>
                <w:rFonts w:ascii="Arial Narrow" w:hAnsi="Arial Narrow" w:cs="Times New Roman"/>
                <w:b/>
                <w:bCs/>
                <w:iCs/>
                <w:color w:val="000000"/>
                <w:sz w:val="20"/>
                <w:szCs w:val="20"/>
              </w:rPr>
            </w:pPr>
            <w:r w:rsidRPr="009C1AA2">
              <w:rPr>
                <w:rFonts w:ascii="Arial Narrow" w:hAnsi="Arial Narrow" w:cs="Times New Roman"/>
                <w:b/>
                <w:bCs/>
                <w:iCs/>
                <w:color w:val="000000"/>
                <w:sz w:val="20"/>
                <w:szCs w:val="20"/>
              </w:rPr>
              <w:t xml:space="preserve">Administrative Advice: </w:t>
            </w:r>
            <w:r w:rsidRPr="009C1AA2">
              <w:rPr>
                <w:rFonts w:ascii="Arial Narrow" w:hAnsi="Arial Narrow" w:cs="Times New Roman"/>
                <w:iCs/>
                <w:color w:val="000000"/>
                <w:sz w:val="20"/>
                <w:szCs w:val="20"/>
              </w:rPr>
              <w:t>No increase in the maximum number of repeats may be authorised.</w:t>
            </w:r>
          </w:p>
        </w:tc>
      </w:tr>
      <w:tr w:rsidR="00A13181" w:rsidRPr="009C1AA2" w14:paraId="7B36D9E3" w14:textId="77777777" w:rsidTr="00A13181">
        <w:tblPrEx>
          <w:tblCellMar>
            <w:top w:w="15" w:type="dxa"/>
            <w:bottom w:w="15" w:type="dxa"/>
          </w:tblCellMar>
          <w:tblLook w:val="04A0" w:firstRow="1" w:lastRow="0" w:firstColumn="1" w:lastColumn="0" w:noHBand="0" w:noVBand="1"/>
        </w:tblPrEx>
        <w:trPr>
          <w:trHeight w:val="260"/>
        </w:trPr>
        <w:tc>
          <w:tcPr>
            <w:tcW w:w="9071" w:type="dxa"/>
            <w:gridSpan w:val="6"/>
            <w:vAlign w:val="center"/>
          </w:tcPr>
          <w:p w14:paraId="1DC07435" w14:textId="77777777" w:rsidR="00A13181" w:rsidRPr="009C1AA2" w:rsidRDefault="00A13181" w:rsidP="00873AF3">
            <w:pPr>
              <w:contextualSpacing/>
              <w:jc w:val="left"/>
              <w:rPr>
                <w:rFonts w:ascii="Arial Narrow" w:hAnsi="Arial Narrow" w:cs="Times New Roman"/>
                <w:b/>
                <w:bCs/>
                <w:iCs/>
                <w:color w:val="000000"/>
                <w:sz w:val="20"/>
                <w:szCs w:val="20"/>
              </w:rPr>
            </w:pPr>
            <w:r w:rsidRPr="009C1AA2">
              <w:rPr>
                <w:rFonts w:ascii="Arial Narrow" w:hAnsi="Arial Narrow" w:cs="Times New Roman"/>
                <w:b/>
                <w:bCs/>
                <w:iCs/>
                <w:color w:val="000000"/>
                <w:sz w:val="20"/>
                <w:szCs w:val="20"/>
              </w:rPr>
              <w:t xml:space="preserve">Administrative Advice: </w:t>
            </w:r>
            <w:r w:rsidRPr="009C1AA2">
              <w:rPr>
                <w:rFonts w:ascii="Arial Narrow" w:hAnsi="Arial Narrow" w:cs="Times New Roman"/>
                <w:iCs/>
                <w:color w:val="000000"/>
                <w:sz w:val="20"/>
                <w:szCs w:val="20"/>
              </w:rPr>
              <w:t>Special Pricing Arrangements apply.</w:t>
            </w:r>
          </w:p>
        </w:tc>
      </w:tr>
      <w:tr w:rsidR="008A494F" w:rsidRPr="009C1AA2" w14:paraId="158BEFBD" w14:textId="77777777" w:rsidTr="00A13181">
        <w:tblPrEx>
          <w:tblCellMar>
            <w:top w:w="15" w:type="dxa"/>
            <w:bottom w:w="15" w:type="dxa"/>
          </w:tblCellMar>
          <w:tblLook w:val="04A0" w:firstRow="1" w:lastRow="0" w:firstColumn="1" w:lastColumn="0" w:noHBand="0" w:noVBand="1"/>
        </w:tblPrEx>
        <w:trPr>
          <w:cantSplit/>
          <w:trHeight w:val="20"/>
        </w:trPr>
        <w:tc>
          <w:tcPr>
            <w:tcW w:w="9071" w:type="dxa"/>
            <w:gridSpan w:val="6"/>
            <w:shd w:val="clear" w:color="auto" w:fill="D1D1D1"/>
            <w:vAlign w:val="center"/>
          </w:tcPr>
          <w:p w14:paraId="0251C1FE" w14:textId="52851DF4" w:rsidR="008A494F" w:rsidRPr="009C1AA2" w:rsidRDefault="008A494F" w:rsidP="00873AF3">
            <w:pPr>
              <w:keepLines/>
              <w:contextualSpacing/>
              <w:jc w:val="left"/>
              <w:rPr>
                <w:rFonts w:ascii="Arial Narrow" w:hAnsi="Arial Narrow" w:cs="Times New Roman"/>
                <w:b/>
                <w:bCs/>
                <w:color w:val="000000"/>
                <w:sz w:val="20"/>
                <w:szCs w:val="20"/>
              </w:rPr>
            </w:pPr>
            <w:r w:rsidRPr="009C1AA2">
              <w:rPr>
                <w:rFonts w:ascii="Arial Narrow" w:hAnsi="Arial Narrow" w:cs="Times New Roman"/>
                <w:b/>
                <w:bCs/>
                <w:color w:val="000000"/>
                <w:sz w:val="20"/>
                <w:szCs w:val="20"/>
              </w:rPr>
              <w:t xml:space="preserve">Restriction Summary / Treatment of Concept: </w:t>
            </w:r>
          </w:p>
        </w:tc>
      </w:tr>
      <w:tr w:rsidR="00A13181" w:rsidRPr="009C1AA2" w14:paraId="5ECFC033"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vAlign w:val="center"/>
          </w:tcPr>
          <w:p w14:paraId="1BD894C3" w14:textId="77777777" w:rsidR="00A13181" w:rsidRPr="009C1AA2" w:rsidRDefault="00A13181" w:rsidP="00873AF3">
            <w:pPr>
              <w:keepLines/>
              <w:contextualSpacing/>
              <w:jc w:val="left"/>
              <w:rPr>
                <w:rFonts w:ascii="Arial Narrow" w:hAnsi="Arial Narrow" w:cs="Times New Roman"/>
                <w:b/>
                <w:bCs/>
                <w:color w:val="000000"/>
                <w:sz w:val="20"/>
                <w:szCs w:val="20"/>
              </w:rPr>
            </w:pPr>
            <w:r w:rsidRPr="009C1AA2">
              <w:rPr>
                <w:rFonts w:ascii="Arial Narrow" w:hAnsi="Arial Narrow" w:cs="Times New Roman"/>
                <w:b/>
                <w:bCs/>
                <w:color w:val="000000"/>
                <w:sz w:val="20"/>
                <w:szCs w:val="20"/>
              </w:rPr>
              <w:t>Indication:</w:t>
            </w:r>
            <w:r w:rsidRPr="009C1AA2">
              <w:rPr>
                <w:rFonts w:ascii="Arial Narrow" w:hAnsi="Arial Narrow" w:cs="Times New Roman"/>
                <w:color w:val="000000"/>
                <w:sz w:val="20"/>
                <w:szCs w:val="20"/>
              </w:rPr>
              <w:t xml:space="preserve"> Bridging therapy for generalised myasthenia gravis (gMG)</w:t>
            </w:r>
          </w:p>
        </w:tc>
      </w:tr>
      <w:tr w:rsidR="00A13181" w:rsidRPr="009C1AA2" w14:paraId="4BF0602B"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vAlign w:val="center"/>
          </w:tcPr>
          <w:p w14:paraId="0FD07A4C" w14:textId="77777777" w:rsidR="00A13181" w:rsidRPr="009C1AA2" w:rsidRDefault="00A13181" w:rsidP="00873AF3">
            <w:pPr>
              <w:keepLines/>
              <w:contextualSpacing/>
              <w:jc w:val="left"/>
              <w:rPr>
                <w:rFonts w:ascii="Arial Narrow" w:hAnsi="Arial Narrow" w:cs="Times New Roman"/>
                <w:b/>
                <w:bCs/>
                <w:color w:val="000000"/>
                <w:sz w:val="20"/>
                <w:szCs w:val="20"/>
              </w:rPr>
            </w:pPr>
            <w:r w:rsidRPr="009C1AA2">
              <w:rPr>
                <w:rFonts w:ascii="Arial Narrow" w:hAnsi="Arial Narrow" w:cs="Times New Roman"/>
                <w:b/>
                <w:bCs/>
                <w:color w:val="000000"/>
                <w:sz w:val="20"/>
                <w:szCs w:val="20"/>
              </w:rPr>
              <w:t>Treatment Phase:</w:t>
            </w:r>
            <w:r w:rsidRPr="009C1AA2">
              <w:rPr>
                <w:rFonts w:ascii="Arial Narrow" w:hAnsi="Arial Narrow" w:cs="Times New Roman"/>
                <w:color w:val="000000"/>
                <w:sz w:val="20"/>
                <w:szCs w:val="20"/>
              </w:rPr>
              <w:t xml:space="preserve"> [Blank] </w:t>
            </w:r>
          </w:p>
        </w:tc>
      </w:tr>
      <w:tr w:rsidR="00A13181" w:rsidRPr="009C1AA2" w14:paraId="40A130E7"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05DB142A" w14:textId="77777777" w:rsidR="00A13181" w:rsidRPr="009C1AA2" w:rsidRDefault="00A13181" w:rsidP="00873AF3">
            <w:pPr>
              <w:contextualSpacing/>
              <w:jc w:val="left"/>
              <w:rPr>
                <w:rFonts w:ascii="Arial Narrow" w:hAnsi="Arial Narrow" w:cs="Times New Roman"/>
                <w:color w:val="000000"/>
                <w:sz w:val="20"/>
                <w:szCs w:val="20"/>
              </w:rPr>
            </w:pPr>
            <w:r w:rsidRPr="009C1AA2">
              <w:rPr>
                <w:rFonts w:ascii="Arial Narrow" w:hAnsi="Arial Narrow" w:cs="Times New Roman"/>
                <w:b/>
                <w:bCs/>
                <w:color w:val="000000"/>
                <w:sz w:val="20"/>
                <w:szCs w:val="20"/>
              </w:rPr>
              <w:t>Clinical criteria:</w:t>
            </w:r>
          </w:p>
        </w:tc>
      </w:tr>
      <w:tr w:rsidR="00A13181" w:rsidRPr="009C1AA2" w14:paraId="5577D904"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vAlign w:val="center"/>
          </w:tcPr>
          <w:p w14:paraId="13844C82" w14:textId="77777777" w:rsidR="00A13181" w:rsidRPr="009C1AA2" w:rsidRDefault="00A13181" w:rsidP="00873AF3">
            <w:pPr>
              <w:contextualSpacing/>
              <w:jc w:val="left"/>
              <w:rPr>
                <w:rFonts w:ascii="Arial Narrow" w:hAnsi="Arial Narrow" w:cs="Times New Roman"/>
                <w:color w:val="000000"/>
                <w:kern w:val="2"/>
                <w:sz w:val="20"/>
                <w:szCs w:val="20"/>
                <w14:ligatures w14:val="standardContextual"/>
              </w:rPr>
            </w:pPr>
            <w:r w:rsidRPr="009C1AA2">
              <w:rPr>
                <w:rFonts w:ascii="Arial Narrow" w:hAnsi="Arial Narrow" w:cs="Times New Roman"/>
                <w:color w:val="333333"/>
                <w:kern w:val="2"/>
                <w:sz w:val="20"/>
                <w:szCs w:val="20"/>
                <w14:ligatures w14:val="standardContextual"/>
              </w:rPr>
              <w:t xml:space="preserve">Patient must have a diagnosis of MGFA Disease </w:t>
            </w:r>
            <w:r w:rsidRPr="009C1AA2">
              <w:rPr>
                <w:rFonts w:ascii="Arial Narrow" w:hAnsi="Arial Narrow" w:cs="Times New Roman"/>
                <w:color w:val="000000"/>
                <w:kern w:val="2"/>
                <w:sz w:val="20"/>
                <w:szCs w:val="20"/>
                <w14:ligatures w14:val="standardContextual"/>
              </w:rPr>
              <w:t xml:space="preserve">Class II to IV </w:t>
            </w:r>
          </w:p>
        </w:tc>
      </w:tr>
      <w:tr w:rsidR="00A13181" w:rsidRPr="009C1AA2" w14:paraId="4E9DA45A"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6BD1119D" w14:textId="77777777" w:rsidR="00A13181" w:rsidRPr="009C1AA2" w:rsidRDefault="00A13181" w:rsidP="00873AF3">
            <w:pPr>
              <w:contextualSpacing/>
              <w:jc w:val="left"/>
              <w:rPr>
                <w:rFonts w:ascii="Arial Narrow" w:hAnsi="Arial Narrow" w:cs="Times New Roman"/>
                <w:color w:val="000000"/>
                <w:sz w:val="20"/>
                <w:szCs w:val="20"/>
              </w:rPr>
            </w:pPr>
            <w:r w:rsidRPr="009C1AA2">
              <w:rPr>
                <w:rFonts w:ascii="Arial Narrow" w:hAnsi="Arial Narrow" w:cs="Times New Roman"/>
                <w:b/>
                <w:bCs/>
                <w:color w:val="000000"/>
                <w:sz w:val="20"/>
                <w:szCs w:val="20"/>
              </w:rPr>
              <w:t>AND</w:t>
            </w:r>
          </w:p>
        </w:tc>
      </w:tr>
      <w:tr w:rsidR="00A13181" w:rsidRPr="009C1AA2" w14:paraId="316C67B2"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55EE48D1" w14:textId="77777777" w:rsidR="00A13181" w:rsidRPr="009C1AA2" w:rsidRDefault="00A13181" w:rsidP="00873AF3">
            <w:pPr>
              <w:contextualSpacing/>
              <w:jc w:val="left"/>
              <w:rPr>
                <w:rFonts w:ascii="Arial Narrow" w:hAnsi="Arial Narrow" w:cs="Times New Roman"/>
                <w:color w:val="000000"/>
                <w:sz w:val="20"/>
                <w:szCs w:val="20"/>
              </w:rPr>
            </w:pPr>
            <w:r w:rsidRPr="009C1AA2">
              <w:rPr>
                <w:rFonts w:ascii="Arial Narrow" w:hAnsi="Arial Narrow" w:cs="Times New Roman"/>
                <w:b/>
                <w:bCs/>
                <w:color w:val="000000"/>
                <w:sz w:val="20"/>
                <w:szCs w:val="20"/>
              </w:rPr>
              <w:t>Clinical criteria:</w:t>
            </w:r>
          </w:p>
        </w:tc>
      </w:tr>
      <w:tr w:rsidR="00A13181" w:rsidRPr="009C1AA2" w14:paraId="1693545E"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06200CAF" w14:textId="77777777" w:rsidR="00A13181" w:rsidRPr="009C1AA2" w:rsidRDefault="00A13181" w:rsidP="00873AF3">
            <w:pPr>
              <w:contextualSpacing/>
              <w:jc w:val="left"/>
              <w:rPr>
                <w:rFonts w:ascii="Arial Narrow" w:eastAsia="Calibri" w:hAnsi="Arial Narrow" w:cs="Times New Roman"/>
                <w:color w:val="000000"/>
                <w:sz w:val="20"/>
                <w:szCs w:val="20"/>
                <w:lang w:eastAsia="en-US"/>
              </w:rPr>
            </w:pPr>
            <w:r w:rsidRPr="009C1AA2">
              <w:rPr>
                <w:rFonts w:ascii="Arial Narrow" w:hAnsi="Arial Narrow" w:cs="Times New Roman"/>
                <w:bCs/>
                <w:color w:val="000000"/>
                <w:kern w:val="2"/>
                <w:sz w:val="20"/>
                <w:szCs w:val="20"/>
                <w14:ligatures w14:val="standardContextual"/>
              </w:rPr>
              <w:t>Patient must have a positive serology for acetylcholine receptor (AChR) binding autoantibodies</w:t>
            </w:r>
          </w:p>
        </w:tc>
      </w:tr>
      <w:tr w:rsidR="00A13181" w:rsidRPr="009C1AA2" w14:paraId="1BDA1F79"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19A2F693" w14:textId="77777777" w:rsidR="00A13181" w:rsidRPr="009C1AA2" w:rsidRDefault="00A13181" w:rsidP="00873AF3">
            <w:pPr>
              <w:contextualSpacing/>
              <w:jc w:val="left"/>
              <w:rPr>
                <w:rFonts w:ascii="Arial Narrow" w:hAnsi="Arial Narrow" w:cs="Times New Roman"/>
                <w:color w:val="000000"/>
                <w:sz w:val="20"/>
                <w:szCs w:val="20"/>
              </w:rPr>
            </w:pPr>
            <w:r w:rsidRPr="009C1AA2">
              <w:rPr>
                <w:rFonts w:ascii="Arial Narrow" w:eastAsia="Calibri" w:hAnsi="Arial Narrow" w:cs="Times New Roman"/>
                <w:b/>
                <w:bCs/>
                <w:color w:val="000000"/>
                <w:sz w:val="20"/>
                <w:szCs w:val="20"/>
                <w:lang w:eastAsia="en-US"/>
              </w:rPr>
              <w:t>AND</w:t>
            </w:r>
          </w:p>
        </w:tc>
      </w:tr>
      <w:tr w:rsidR="00A13181" w:rsidRPr="009C1AA2" w14:paraId="748E11D6"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158398EA" w14:textId="77777777" w:rsidR="00A13181" w:rsidRPr="009C1AA2" w:rsidRDefault="00A13181" w:rsidP="00873AF3">
            <w:pPr>
              <w:contextualSpacing/>
              <w:jc w:val="left"/>
              <w:rPr>
                <w:rFonts w:ascii="Arial Narrow" w:hAnsi="Arial Narrow" w:cs="Times New Roman"/>
                <w:color w:val="000000"/>
                <w:sz w:val="20"/>
                <w:szCs w:val="20"/>
              </w:rPr>
            </w:pPr>
            <w:r w:rsidRPr="009C1AA2">
              <w:rPr>
                <w:rFonts w:ascii="Arial Narrow" w:eastAsia="Calibri" w:hAnsi="Arial Narrow" w:cs="Times New Roman"/>
                <w:b/>
                <w:bCs/>
                <w:color w:val="000000"/>
                <w:sz w:val="20"/>
                <w:szCs w:val="20"/>
                <w:lang w:eastAsia="en-US"/>
              </w:rPr>
              <w:t>Clinical criteria:</w:t>
            </w:r>
          </w:p>
        </w:tc>
      </w:tr>
      <w:tr w:rsidR="00A13181" w:rsidRPr="009C1AA2" w14:paraId="206033AF"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3D9F3926" w14:textId="77777777" w:rsidR="00A13181" w:rsidRPr="009C1AA2" w:rsidRDefault="00A13181" w:rsidP="00873AF3">
            <w:pPr>
              <w:contextualSpacing/>
              <w:jc w:val="left"/>
              <w:rPr>
                <w:rFonts w:ascii="Arial Narrow" w:hAnsi="Arial Narrow" w:cs="Times New Roman"/>
                <w:color w:val="000000"/>
                <w:sz w:val="20"/>
                <w:szCs w:val="20"/>
              </w:rPr>
            </w:pPr>
            <w:r w:rsidRPr="009C1AA2">
              <w:rPr>
                <w:rFonts w:ascii="Arial Narrow" w:eastAsia="Calibri" w:hAnsi="Arial Narrow" w:cs="Times New Roman"/>
                <w:color w:val="000000"/>
                <w:sz w:val="20"/>
                <w:szCs w:val="20"/>
                <w:lang w:eastAsia="en-US"/>
              </w:rPr>
              <w:t xml:space="preserve">Patient must not be experiencing a myasthenic crisis </w:t>
            </w:r>
          </w:p>
        </w:tc>
      </w:tr>
      <w:tr w:rsidR="00A13181" w:rsidRPr="009C1AA2" w14:paraId="73FC33BE"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3FA69057" w14:textId="77777777" w:rsidR="00A13181" w:rsidRPr="009C1AA2" w:rsidRDefault="00A13181" w:rsidP="00873AF3">
            <w:pPr>
              <w:contextualSpacing/>
              <w:jc w:val="left"/>
              <w:rPr>
                <w:rFonts w:ascii="Arial Narrow" w:hAnsi="Arial Narrow" w:cs="Times New Roman"/>
                <w:color w:val="000000"/>
                <w:sz w:val="20"/>
                <w:szCs w:val="20"/>
              </w:rPr>
            </w:pPr>
            <w:r w:rsidRPr="009C1AA2">
              <w:rPr>
                <w:rFonts w:ascii="Arial Narrow" w:eastAsia="Calibri" w:hAnsi="Arial Narrow" w:cs="Times New Roman"/>
                <w:b/>
                <w:bCs/>
                <w:color w:val="000000"/>
                <w:sz w:val="20"/>
                <w:szCs w:val="20"/>
                <w:lang w:eastAsia="en-US"/>
              </w:rPr>
              <w:t>AND</w:t>
            </w:r>
          </w:p>
        </w:tc>
      </w:tr>
      <w:tr w:rsidR="00A13181" w:rsidRPr="009C1AA2" w14:paraId="6E784D60"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6DFBC317" w14:textId="77777777" w:rsidR="00A13181" w:rsidRPr="009C1AA2" w:rsidRDefault="00A13181"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b/>
                <w:bCs/>
                <w:sz w:val="20"/>
                <w:szCs w:val="20"/>
              </w:rPr>
              <w:t>Clinical criteria:</w:t>
            </w:r>
          </w:p>
        </w:tc>
      </w:tr>
      <w:tr w:rsidR="00A13181" w:rsidRPr="009C1AA2" w14:paraId="519F1163"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0552B965" w14:textId="77777777" w:rsidR="00A13181" w:rsidRPr="009C1AA2" w:rsidRDefault="00A13181" w:rsidP="00873AF3">
            <w:pPr>
              <w:contextualSpacing/>
              <w:jc w:val="left"/>
              <w:rPr>
                <w:rFonts w:ascii="Arial Narrow" w:hAnsi="Arial Narrow" w:cs="Times New Roman"/>
                <w:b/>
                <w:bCs/>
                <w:kern w:val="2"/>
                <w:sz w:val="20"/>
                <w:szCs w:val="20"/>
                <w14:ligatures w14:val="standardContextual"/>
              </w:rPr>
            </w:pPr>
            <w:r w:rsidRPr="009C1AA2">
              <w:rPr>
                <w:rFonts w:ascii="Arial Narrow" w:hAnsi="Arial Narrow" w:cs="Times New Roman"/>
                <w:kern w:val="2"/>
                <w:sz w:val="20"/>
                <w:szCs w:val="20"/>
                <w14:ligatures w14:val="standardContextual"/>
              </w:rPr>
              <w:t xml:space="preserve">Patient must be receiving concomitant treatment with a </w:t>
            </w:r>
            <w:r w:rsidRPr="009C1AA2">
              <w:rPr>
                <w:rFonts w:ascii="Arial Narrow" w:hAnsi="Arial Narrow" w:cs="Times New Roman"/>
                <w:sz w:val="20"/>
                <w:szCs w:val="20"/>
              </w:rPr>
              <w:t>non-steroidal immunosuppressant (NS-IST); or</w:t>
            </w:r>
          </w:p>
        </w:tc>
      </w:tr>
      <w:tr w:rsidR="00A13181" w:rsidRPr="009C1AA2" w14:paraId="79310C44"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43DC6590" w14:textId="77777777" w:rsidR="00A13181" w:rsidRPr="009C1AA2" w:rsidRDefault="00A13181" w:rsidP="00873AF3">
            <w:pPr>
              <w:contextualSpacing/>
              <w:jc w:val="left"/>
              <w:rPr>
                <w:rFonts w:ascii="Arial Narrow" w:hAnsi="Arial Narrow" w:cs="Times New Roman"/>
                <w:kern w:val="2"/>
                <w:sz w:val="20"/>
                <w:szCs w:val="20"/>
                <w14:ligatures w14:val="standardContextual"/>
              </w:rPr>
            </w:pPr>
            <w:r w:rsidRPr="009C1AA2">
              <w:rPr>
                <w:rFonts w:ascii="Arial Narrow" w:hAnsi="Arial Narrow" w:cs="Times New Roman"/>
                <w:kern w:val="2"/>
                <w:sz w:val="20"/>
                <w:szCs w:val="20"/>
                <w14:ligatures w14:val="standardContextual"/>
              </w:rPr>
              <w:t>Patient must have had a thymectomy</w:t>
            </w:r>
          </w:p>
        </w:tc>
      </w:tr>
      <w:tr w:rsidR="00A13181" w:rsidRPr="009C1AA2" w14:paraId="56851C01"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352E9133" w14:textId="77777777" w:rsidR="00A13181" w:rsidRPr="009C1AA2" w:rsidRDefault="00A13181"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b/>
                <w:bCs/>
                <w:sz w:val="20"/>
                <w:szCs w:val="20"/>
              </w:rPr>
              <w:t>AND</w:t>
            </w:r>
          </w:p>
        </w:tc>
      </w:tr>
      <w:tr w:rsidR="00A13181" w:rsidRPr="009C1AA2" w14:paraId="13064ADF"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78273417" w14:textId="77777777" w:rsidR="00A13181" w:rsidRPr="009C1AA2" w:rsidRDefault="00A13181"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b/>
                <w:bCs/>
                <w:sz w:val="20"/>
                <w:szCs w:val="20"/>
              </w:rPr>
              <w:t>Clinical criteria:</w:t>
            </w:r>
          </w:p>
        </w:tc>
      </w:tr>
      <w:tr w:rsidR="00A13181" w:rsidRPr="009C1AA2" w14:paraId="208F2ECE"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20816F15" w14:textId="77777777" w:rsidR="00A13181" w:rsidRPr="009C1AA2" w:rsidRDefault="00A13181"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color w:val="333333"/>
                <w:kern w:val="2"/>
                <w:sz w:val="20"/>
                <w:szCs w:val="20"/>
                <w14:ligatures w14:val="standardContextual"/>
              </w:rPr>
              <w:t xml:space="preserve">Patient must be receiving concomitant treatment with an oral </w:t>
            </w:r>
            <w:r w:rsidRPr="009C1AA2">
              <w:rPr>
                <w:rFonts w:ascii="Arial Narrow" w:hAnsi="Arial Narrow" w:cs="Times New Roman"/>
                <w:sz w:val="20"/>
                <w:szCs w:val="20"/>
              </w:rPr>
              <w:t>corticosteroid</w:t>
            </w:r>
          </w:p>
        </w:tc>
      </w:tr>
      <w:tr w:rsidR="00A13181" w:rsidRPr="009C1AA2" w14:paraId="686A776D"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0ADA0124" w14:textId="77777777" w:rsidR="00A13181" w:rsidRPr="009C1AA2" w:rsidRDefault="00A13181"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b/>
                <w:bCs/>
                <w:sz w:val="20"/>
                <w:szCs w:val="20"/>
              </w:rPr>
              <w:t>AND</w:t>
            </w:r>
          </w:p>
        </w:tc>
      </w:tr>
      <w:tr w:rsidR="00A13181" w:rsidRPr="009C1AA2" w14:paraId="6A964C71"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2A0706A2" w14:textId="77777777" w:rsidR="00A13181" w:rsidRPr="009C1AA2" w:rsidRDefault="00A13181" w:rsidP="00873AF3">
            <w:pPr>
              <w:contextualSpacing/>
              <w:jc w:val="left"/>
              <w:rPr>
                <w:rFonts w:ascii="Arial Narrow" w:hAnsi="Arial Narrow" w:cs="Times New Roman"/>
                <w:color w:val="333333"/>
                <w:kern w:val="2"/>
                <w:sz w:val="20"/>
                <w:szCs w:val="20"/>
                <w14:ligatures w14:val="standardContextual"/>
              </w:rPr>
            </w:pPr>
            <w:r w:rsidRPr="009C1AA2">
              <w:rPr>
                <w:rFonts w:ascii="Arial Narrow" w:eastAsia="Calibri" w:hAnsi="Arial Narrow" w:cs="Times New Roman"/>
                <w:b/>
                <w:bCs/>
                <w:color w:val="000000"/>
                <w:sz w:val="20"/>
                <w:szCs w:val="20"/>
                <w:lang w:eastAsia="en-US"/>
              </w:rPr>
              <w:t>Clinical criteria:</w:t>
            </w:r>
          </w:p>
        </w:tc>
      </w:tr>
      <w:tr w:rsidR="00A13181" w:rsidRPr="009C1AA2" w14:paraId="1D88A6FA"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3CBF9A21" w14:textId="77777777" w:rsidR="00A13181" w:rsidRPr="009C1AA2" w:rsidRDefault="00A13181"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color w:val="000000"/>
                <w:sz w:val="20"/>
                <w:szCs w:val="20"/>
              </w:rPr>
              <w:t>Patient must have a MG-ADL score of ≥ 6 and a MGC score of ≥ 10, despite having undergone 2 of the following 3 remission inducing treatments: (i) NS-IST for 3 months; (ii) oral corticosteroids for 3 months; (iii) a thymectomy</w:t>
            </w:r>
          </w:p>
        </w:tc>
      </w:tr>
      <w:tr w:rsidR="00A13181" w:rsidRPr="009C1AA2" w14:paraId="35F702E6"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5D9EF3AC" w14:textId="77777777" w:rsidR="00A13181" w:rsidRPr="009C1AA2" w:rsidRDefault="00A13181"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b/>
                <w:bCs/>
                <w:color w:val="000000"/>
                <w:sz w:val="20"/>
                <w:szCs w:val="20"/>
              </w:rPr>
              <w:t>AND</w:t>
            </w:r>
          </w:p>
        </w:tc>
      </w:tr>
      <w:tr w:rsidR="00A13181" w:rsidRPr="009C1AA2" w14:paraId="13D4E2D8"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389DABCE" w14:textId="77777777" w:rsidR="00A13181" w:rsidRPr="009C1AA2" w:rsidRDefault="00A13181"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b/>
                <w:bCs/>
                <w:sz w:val="20"/>
                <w:szCs w:val="20"/>
              </w:rPr>
              <w:t>Clinical criteria:</w:t>
            </w:r>
          </w:p>
        </w:tc>
      </w:tr>
      <w:tr w:rsidR="00A13181" w:rsidRPr="009C1AA2" w14:paraId="6493E723"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053B3E6B" w14:textId="77777777" w:rsidR="00A13181" w:rsidRPr="009C1AA2" w:rsidRDefault="00A13181"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color w:val="333333"/>
                <w:kern w:val="2"/>
                <w:sz w:val="20"/>
                <w:szCs w:val="20"/>
                <w14:ligatures w14:val="standardContextual"/>
              </w:rPr>
              <w:t xml:space="preserve">Patient must not be receiving concomitant treatment with any of the following: </w:t>
            </w:r>
          </w:p>
          <w:p w14:paraId="4CD64831" w14:textId="77777777" w:rsidR="00A13181" w:rsidRPr="009C1AA2" w:rsidRDefault="00A13181" w:rsidP="00873AF3">
            <w:pPr>
              <w:contextualSpacing/>
              <w:jc w:val="left"/>
              <w:rPr>
                <w:rFonts w:ascii="Arial Narrow" w:hAnsi="Arial Narrow" w:cs="Times New Roman"/>
                <w:sz w:val="20"/>
                <w:szCs w:val="20"/>
              </w:rPr>
            </w:pPr>
            <w:r w:rsidRPr="009C1AA2">
              <w:rPr>
                <w:rFonts w:ascii="Arial Narrow" w:hAnsi="Arial Narrow" w:cs="Times New Roman"/>
                <w:sz w:val="20"/>
                <w:szCs w:val="20"/>
              </w:rPr>
              <w:t>(i) another gMG biological agent,</w:t>
            </w:r>
          </w:p>
          <w:p w14:paraId="539C57EA" w14:textId="77777777" w:rsidR="00A13181" w:rsidRPr="009C1AA2" w:rsidRDefault="00A13181" w:rsidP="00873AF3">
            <w:pPr>
              <w:contextualSpacing/>
              <w:jc w:val="left"/>
              <w:rPr>
                <w:rFonts w:ascii="Arial Narrow" w:hAnsi="Arial Narrow" w:cs="Times New Roman"/>
                <w:sz w:val="20"/>
                <w:szCs w:val="20"/>
              </w:rPr>
            </w:pPr>
            <w:r w:rsidRPr="009C1AA2">
              <w:rPr>
                <w:rFonts w:ascii="Arial Narrow" w:hAnsi="Arial Narrow" w:cs="Times New Roman"/>
                <w:sz w:val="20"/>
                <w:szCs w:val="20"/>
              </w:rPr>
              <w:t xml:space="preserve">(ii) </w:t>
            </w:r>
            <w:r w:rsidRPr="009C1AA2">
              <w:rPr>
                <w:rFonts w:ascii="Arial Narrow" w:hAnsi="Arial Narrow" w:cs="Times New Roman"/>
                <w:color w:val="333333"/>
                <w:kern w:val="2"/>
                <w:sz w:val="20"/>
                <w:szCs w:val="20"/>
                <w14:ligatures w14:val="standardContextual"/>
              </w:rPr>
              <w:t>intravenous immunoglobulin (</w:t>
            </w:r>
            <w:r w:rsidRPr="009C1AA2">
              <w:rPr>
                <w:rFonts w:ascii="Arial Narrow" w:hAnsi="Arial Narrow" w:cs="Times New Roman"/>
                <w:sz w:val="20"/>
                <w:szCs w:val="20"/>
              </w:rPr>
              <w:t>IVIg),</w:t>
            </w:r>
          </w:p>
          <w:p w14:paraId="2FE59D3A" w14:textId="77777777" w:rsidR="00A13181" w:rsidRPr="009C1AA2" w:rsidRDefault="00A13181" w:rsidP="00873AF3">
            <w:pPr>
              <w:contextualSpacing/>
              <w:jc w:val="left"/>
              <w:rPr>
                <w:rFonts w:ascii="Arial Narrow" w:hAnsi="Arial Narrow" w:cs="Times New Roman"/>
                <w:sz w:val="20"/>
                <w:szCs w:val="20"/>
              </w:rPr>
            </w:pPr>
            <w:r w:rsidRPr="009C1AA2">
              <w:rPr>
                <w:rFonts w:ascii="Arial Narrow" w:hAnsi="Arial Narrow" w:cs="Times New Roman"/>
                <w:sz w:val="20"/>
                <w:szCs w:val="20"/>
              </w:rPr>
              <w:t>(iii) plasma exchange (PLEX),</w:t>
            </w:r>
          </w:p>
          <w:p w14:paraId="16CD7F28" w14:textId="77777777" w:rsidR="00A13181" w:rsidRPr="009C1AA2" w:rsidRDefault="00A13181"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sz w:val="20"/>
                <w:szCs w:val="20"/>
              </w:rPr>
              <w:t>(iv) rituximab for this condition</w:t>
            </w:r>
          </w:p>
        </w:tc>
      </w:tr>
      <w:tr w:rsidR="00A13181" w:rsidRPr="009C1AA2" w14:paraId="1243C5B6"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27375EFD" w14:textId="77777777" w:rsidR="00A13181" w:rsidRPr="009C1AA2" w:rsidRDefault="00A13181"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b/>
                <w:bCs/>
                <w:sz w:val="20"/>
                <w:szCs w:val="20"/>
              </w:rPr>
              <w:t>AND</w:t>
            </w:r>
          </w:p>
        </w:tc>
      </w:tr>
      <w:tr w:rsidR="00A13181" w:rsidRPr="009C1AA2" w14:paraId="36FC1AD2"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44ACDF37" w14:textId="77777777" w:rsidR="00A13181" w:rsidRPr="009C1AA2" w:rsidRDefault="00A13181"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b/>
                <w:bCs/>
                <w:sz w:val="20"/>
                <w:szCs w:val="20"/>
              </w:rPr>
              <w:t>Clinical criteria:</w:t>
            </w:r>
          </w:p>
        </w:tc>
      </w:tr>
      <w:tr w:rsidR="00A13181" w:rsidRPr="009C1AA2" w14:paraId="5123D1B4"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3E40A5C2" w14:textId="77777777" w:rsidR="00A13181" w:rsidRPr="009C1AA2" w:rsidRDefault="00A13181" w:rsidP="00873AF3">
            <w:pPr>
              <w:contextualSpacing/>
              <w:jc w:val="left"/>
              <w:rPr>
                <w:rFonts w:ascii="Arial Narrow" w:hAnsi="Arial Narrow" w:cs="Times New Roman"/>
                <w:color w:val="000000"/>
                <w:kern w:val="2"/>
                <w:sz w:val="20"/>
                <w:szCs w:val="20"/>
                <w14:ligatures w14:val="standardContextual"/>
              </w:rPr>
            </w:pPr>
            <w:r w:rsidRPr="009C1AA2">
              <w:rPr>
                <w:rFonts w:ascii="Arial Narrow" w:hAnsi="Arial Narrow" w:cs="Times New Roman"/>
                <w:sz w:val="20"/>
                <w:szCs w:val="20"/>
              </w:rPr>
              <w:t xml:space="preserve">Patient must not receive more than 6 months of bridging treatment with any gMG biological agent under this PBS indication </w:t>
            </w:r>
          </w:p>
        </w:tc>
      </w:tr>
      <w:tr w:rsidR="00A13181" w:rsidRPr="009C1AA2" w14:paraId="0F6B9007"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76E6CDA1" w14:textId="77777777" w:rsidR="00A13181" w:rsidRPr="009C1AA2" w:rsidRDefault="00A13181" w:rsidP="00873AF3">
            <w:pPr>
              <w:contextualSpacing/>
              <w:jc w:val="left"/>
              <w:rPr>
                <w:rFonts w:ascii="Arial Narrow" w:hAnsi="Arial Narrow" w:cs="Times New Roman"/>
                <w:sz w:val="20"/>
                <w:szCs w:val="20"/>
              </w:rPr>
            </w:pPr>
            <w:r w:rsidRPr="009C1AA2">
              <w:rPr>
                <w:rFonts w:ascii="Arial Narrow" w:hAnsi="Arial Narrow" w:cs="Times New Roman"/>
                <w:b/>
                <w:bCs/>
                <w:sz w:val="20"/>
                <w:szCs w:val="20"/>
              </w:rPr>
              <w:t>Treatment criteria:</w:t>
            </w:r>
          </w:p>
        </w:tc>
      </w:tr>
      <w:tr w:rsidR="00A13181" w:rsidRPr="009C1AA2" w14:paraId="5F54EDAE"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706149B1" w14:textId="77777777" w:rsidR="00A13181" w:rsidRPr="009C1AA2" w:rsidRDefault="00A13181" w:rsidP="00873AF3">
            <w:pPr>
              <w:contextualSpacing/>
              <w:jc w:val="left"/>
              <w:rPr>
                <w:rFonts w:ascii="Arial Narrow" w:hAnsi="Arial Narrow" w:cs="Times New Roman"/>
                <w:sz w:val="20"/>
                <w:szCs w:val="20"/>
              </w:rPr>
            </w:pPr>
            <w:r w:rsidRPr="009C1AA2">
              <w:rPr>
                <w:rFonts w:ascii="Arial Narrow" w:eastAsia="Calibri" w:hAnsi="Arial Narrow" w:cs="Arial Narrow"/>
                <w:iCs/>
                <w:sz w:val="20"/>
                <w:szCs w:val="20"/>
                <w:lang w:eastAsia="en-US"/>
              </w:rPr>
              <w:t>Must be treated by a prescriber who is either: (i) a neurologist; (ii) a clinical immunologist with expertise in the treatment of myasthenia gravis; or</w:t>
            </w:r>
          </w:p>
        </w:tc>
      </w:tr>
      <w:tr w:rsidR="00A13181" w:rsidRPr="009C1AA2" w14:paraId="78C7F64E" w14:textId="77777777" w:rsidTr="00405F5C">
        <w:tblPrEx>
          <w:tblCellMar>
            <w:top w:w="15" w:type="dxa"/>
            <w:bottom w:w="15" w:type="dxa"/>
          </w:tblCellMar>
          <w:tblLook w:val="04A0" w:firstRow="1" w:lastRow="0" w:firstColumn="1" w:lastColumn="0" w:noHBand="0" w:noVBand="1"/>
        </w:tblPrEx>
        <w:trPr>
          <w:cantSplit/>
          <w:trHeight w:val="20"/>
        </w:trPr>
        <w:tc>
          <w:tcPr>
            <w:tcW w:w="9071" w:type="dxa"/>
            <w:gridSpan w:val="6"/>
          </w:tcPr>
          <w:p w14:paraId="21E2118C" w14:textId="77777777" w:rsidR="00A13181" w:rsidRPr="009C1AA2" w:rsidRDefault="00A13181" w:rsidP="00873AF3">
            <w:pPr>
              <w:contextualSpacing/>
              <w:jc w:val="left"/>
              <w:rPr>
                <w:rFonts w:ascii="Arial Narrow" w:eastAsia="Calibri" w:hAnsi="Arial Narrow" w:cs="Arial Narrow"/>
                <w:iCs/>
                <w:sz w:val="20"/>
                <w:szCs w:val="20"/>
                <w:lang w:eastAsia="en-US"/>
              </w:rPr>
            </w:pPr>
            <w:r w:rsidRPr="009C1AA2">
              <w:rPr>
                <w:rFonts w:ascii="Arial Narrow" w:eastAsia="Calibri" w:hAnsi="Arial Narrow" w:cs="Arial Narrow"/>
                <w:iCs/>
                <w:sz w:val="20"/>
                <w:szCs w:val="20"/>
                <w:lang w:eastAsia="en-US"/>
              </w:rPr>
              <w:t>Must be treated by a medical practitioner who has consulted at least one of the above mentioned specialist types, with an agreement reached that the patient should be treated with this pharmaceutical benefit on this occasion</w:t>
            </w:r>
          </w:p>
        </w:tc>
      </w:tr>
      <w:tr w:rsidR="00405F5C" w:rsidRPr="009C1AA2" w14:paraId="7E5D8C91" w14:textId="77777777" w:rsidTr="00405F5C">
        <w:tblPrEx>
          <w:tblCellMar>
            <w:top w:w="15" w:type="dxa"/>
            <w:bottom w:w="15" w:type="dxa"/>
          </w:tblCellMar>
          <w:tblLook w:val="04A0" w:firstRow="1" w:lastRow="0" w:firstColumn="1" w:lastColumn="0" w:noHBand="0" w:noVBand="1"/>
        </w:tblPrEx>
        <w:trPr>
          <w:cantSplit/>
          <w:trHeight w:val="20"/>
        </w:trPr>
        <w:tc>
          <w:tcPr>
            <w:tcW w:w="9072" w:type="dxa"/>
            <w:gridSpan w:val="6"/>
          </w:tcPr>
          <w:p w14:paraId="1DDD2A30" w14:textId="77777777" w:rsidR="00405F5C" w:rsidRPr="00853127" w:rsidRDefault="00405F5C" w:rsidP="00873AF3">
            <w:pPr>
              <w:contextualSpacing/>
              <w:jc w:val="left"/>
              <w:rPr>
                <w:rFonts w:ascii="Arial Narrow" w:hAnsi="Arial Narrow" w:cs="Times New Roman"/>
                <w:b/>
                <w:bCs/>
                <w:sz w:val="20"/>
                <w:szCs w:val="20"/>
              </w:rPr>
            </w:pPr>
            <w:r w:rsidRPr="00853127">
              <w:rPr>
                <w:rFonts w:ascii="Arial Narrow" w:hAnsi="Arial Narrow" w:cs="Times New Roman"/>
                <w:b/>
                <w:bCs/>
                <w:sz w:val="20"/>
                <w:szCs w:val="20"/>
              </w:rPr>
              <w:t>Prescribing Instructions:</w:t>
            </w:r>
            <w:r w:rsidRPr="00853127">
              <w:rPr>
                <w:rFonts w:ascii="Arial" w:hAnsi="Arial"/>
                <w:b/>
                <w:bCs/>
                <w:sz w:val="20"/>
                <w:szCs w:val="20"/>
              </w:rPr>
              <w:t> </w:t>
            </w:r>
          </w:p>
          <w:p w14:paraId="48A83D04" w14:textId="77777777" w:rsidR="00405F5C" w:rsidRPr="009C1AA2" w:rsidRDefault="00405F5C" w:rsidP="00873AF3">
            <w:pPr>
              <w:contextualSpacing/>
              <w:jc w:val="left"/>
              <w:rPr>
                <w:rFonts w:ascii="Arial Narrow" w:eastAsia="Calibri" w:hAnsi="Arial Narrow" w:cs="Times New Roman"/>
                <w:bCs/>
                <w:sz w:val="20"/>
                <w:szCs w:val="20"/>
                <w:lang w:eastAsia="en-US"/>
              </w:rPr>
            </w:pPr>
            <w:r w:rsidRPr="009C1AA2">
              <w:rPr>
                <w:rFonts w:ascii="Arial Narrow" w:eastAsia="Calibri" w:hAnsi="Arial Narrow" w:cs="Times New Roman"/>
                <w:bCs/>
                <w:sz w:val="20"/>
                <w:szCs w:val="20"/>
                <w:lang w:eastAsia="en-US"/>
              </w:rPr>
              <w:t xml:space="preserve">The authority application must be via the Online PBS Authorities System or in writing and must include: </w:t>
            </w:r>
          </w:p>
          <w:p w14:paraId="7939AA86" w14:textId="77777777" w:rsidR="00405F5C" w:rsidRPr="009C1AA2" w:rsidRDefault="00405F5C" w:rsidP="00873AF3">
            <w:pPr>
              <w:contextualSpacing/>
              <w:jc w:val="left"/>
              <w:rPr>
                <w:rFonts w:ascii="Arial Narrow" w:eastAsia="Calibri" w:hAnsi="Arial Narrow" w:cs="Times New Roman"/>
                <w:bCs/>
                <w:sz w:val="20"/>
                <w:szCs w:val="20"/>
                <w:lang w:eastAsia="en-US"/>
              </w:rPr>
            </w:pPr>
            <w:r w:rsidRPr="009C1AA2">
              <w:rPr>
                <w:rFonts w:ascii="Arial Narrow" w:eastAsia="Calibri" w:hAnsi="Arial Narrow" w:cs="Times New Roman"/>
                <w:bCs/>
                <w:sz w:val="20"/>
                <w:szCs w:val="20"/>
                <w:lang w:eastAsia="en-US"/>
              </w:rPr>
              <w:t xml:space="preserve">(a) the MG-ADL and MGC score after 3-months of </w:t>
            </w:r>
            <w:r w:rsidRPr="009C1AA2">
              <w:rPr>
                <w:rFonts w:ascii="Arial Narrow" w:hAnsi="Arial Narrow" w:cs="Times New Roman"/>
                <w:color w:val="000000"/>
                <w:sz w:val="20"/>
                <w:szCs w:val="20"/>
              </w:rPr>
              <w:t xml:space="preserve">remission-inducing treatments </w:t>
            </w:r>
            <w:r w:rsidRPr="009C1AA2">
              <w:rPr>
                <w:rFonts w:ascii="Arial Narrow" w:eastAsia="Calibri" w:hAnsi="Arial Narrow" w:cs="Times New Roman"/>
                <w:bCs/>
                <w:color w:val="000000"/>
                <w:sz w:val="20"/>
                <w:szCs w:val="20"/>
                <w:lang w:eastAsia="en-US"/>
              </w:rPr>
              <w:t xml:space="preserve">(include the date the assessment </w:t>
            </w:r>
            <w:r w:rsidRPr="009C1AA2">
              <w:rPr>
                <w:rFonts w:ascii="Arial Narrow" w:eastAsia="Calibri" w:hAnsi="Arial Narrow" w:cs="Times New Roman"/>
                <w:bCs/>
                <w:sz w:val="20"/>
                <w:szCs w:val="20"/>
                <w:lang w:eastAsia="en-US"/>
              </w:rPr>
              <w:t>was conducted)</w:t>
            </w:r>
          </w:p>
          <w:p w14:paraId="344FE259" w14:textId="77777777" w:rsidR="00405F5C" w:rsidRPr="009C1AA2" w:rsidRDefault="00405F5C" w:rsidP="00873AF3">
            <w:pPr>
              <w:contextualSpacing/>
              <w:jc w:val="left"/>
              <w:rPr>
                <w:rFonts w:ascii="Arial Narrow" w:eastAsia="Calibri" w:hAnsi="Arial Narrow" w:cs="Times New Roman"/>
                <w:bCs/>
                <w:sz w:val="20"/>
                <w:szCs w:val="20"/>
                <w:lang w:eastAsia="en-US"/>
              </w:rPr>
            </w:pPr>
            <w:r w:rsidRPr="009C1AA2">
              <w:rPr>
                <w:rFonts w:ascii="Arial Narrow" w:eastAsia="Calibri" w:hAnsi="Arial Narrow" w:cs="Times New Roman"/>
                <w:bCs/>
                <w:sz w:val="20"/>
                <w:szCs w:val="20"/>
                <w:lang w:eastAsia="en-US"/>
              </w:rPr>
              <w:t xml:space="preserve">(b) details of </w:t>
            </w:r>
            <w:r w:rsidRPr="009C1AA2">
              <w:rPr>
                <w:rFonts w:ascii="Arial Narrow" w:hAnsi="Arial Narrow" w:cs="Times New Roman"/>
                <w:color w:val="000000"/>
                <w:sz w:val="20"/>
                <w:szCs w:val="20"/>
              </w:rPr>
              <w:t>remission-inducing treatments</w:t>
            </w:r>
            <w:r w:rsidRPr="009C1AA2">
              <w:rPr>
                <w:rFonts w:ascii="Arial Narrow" w:eastAsia="Calibri" w:hAnsi="Arial Narrow" w:cs="Times New Roman"/>
                <w:bCs/>
                <w:sz w:val="20"/>
                <w:szCs w:val="20"/>
                <w:lang w:eastAsia="en-US"/>
              </w:rPr>
              <w:t xml:space="preserve"> [date commencement and duration of drug therapy including drug names and dosages, and/or date of the thymectomy]</w:t>
            </w:r>
          </w:p>
          <w:p w14:paraId="77AB39FC" w14:textId="77777777" w:rsidR="00405F5C" w:rsidRPr="009C1AA2" w:rsidRDefault="00405F5C" w:rsidP="00873AF3">
            <w:pPr>
              <w:contextualSpacing/>
              <w:jc w:val="left"/>
              <w:rPr>
                <w:rFonts w:ascii="Arial Narrow" w:eastAsia="Calibri" w:hAnsi="Arial Narrow" w:cs="Times New Roman"/>
                <w:bCs/>
                <w:sz w:val="20"/>
                <w:szCs w:val="20"/>
                <w:lang w:eastAsia="en-US"/>
              </w:rPr>
            </w:pPr>
          </w:p>
          <w:p w14:paraId="7EDC6796" w14:textId="77777777" w:rsidR="00405F5C" w:rsidRPr="009C1AA2" w:rsidRDefault="00405F5C" w:rsidP="00873AF3">
            <w:pPr>
              <w:contextualSpacing/>
              <w:jc w:val="left"/>
              <w:rPr>
                <w:rFonts w:ascii="Arial Narrow" w:eastAsia="Calibri" w:hAnsi="Arial Narrow" w:cs="Times New Roman"/>
                <w:bCs/>
                <w:sz w:val="20"/>
                <w:szCs w:val="20"/>
                <w:lang w:eastAsia="en-US"/>
              </w:rPr>
            </w:pPr>
            <w:r w:rsidRPr="009C1AA2">
              <w:rPr>
                <w:rFonts w:ascii="Arial Narrow" w:eastAsia="Calibri" w:hAnsi="Arial Narrow" w:cs="Times New Roman"/>
                <w:bCs/>
                <w:sz w:val="20"/>
                <w:szCs w:val="20"/>
                <w:lang w:eastAsia="en-US"/>
              </w:rPr>
              <w:t>If the application is submitted through HPOS form upload or mail, it must include the following:</w:t>
            </w:r>
          </w:p>
          <w:p w14:paraId="687EED2F" w14:textId="77777777" w:rsidR="00405F5C" w:rsidRPr="009C1AA2" w:rsidRDefault="00405F5C" w:rsidP="00873AF3">
            <w:pPr>
              <w:contextualSpacing/>
              <w:jc w:val="left"/>
              <w:rPr>
                <w:rFonts w:ascii="Arial Narrow" w:eastAsia="Calibri" w:hAnsi="Arial Narrow" w:cs="Times New Roman"/>
                <w:bCs/>
                <w:sz w:val="20"/>
                <w:szCs w:val="20"/>
                <w:lang w:eastAsia="en-US"/>
              </w:rPr>
            </w:pPr>
            <w:r w:rsidRPr="009C1AA2">
              <w:rPr>
                <w:rFonts w:ascii="Arial Narrow" w:eastAsia="Calibri" w:hAnsi="Arial Narrow" w:cs="Times New Roman"/>
                <w:bCs/>
                <w:sz w:val="20"/>
                <w:szCs w:val="20"/>
                <w:lang w:eastAsia="en-US"/>
              </w:rPr>
              <w:t xml:space="preserve">(1) </w:t>
            </w:r>
            <w:r w:rsidRPr="00853127">
              <w:rPr>
                <w:rFonts w:ascii="Arial Narrow" w:eastAsia="Calibri" w:hAnsi="Arial Narrow" w:cs="Times New Roman"/>
                <w:bCs/>
                <w:sz w:val="20"/>
                <w:szCs w:val="20"/>
                <w:lang w:eastAsia="en-US"/>
              </w:rPr>
              <w:t>details of the proposed prescription</w:t>
            </w:r>
            <w:r w:rsidRPr="009C1AA2">
              <w:rPr>
                <w:rFonts w:ascii="Arial Narrow" w:eastAsia="Calibri" w:hAnsi="Arial Narrow" w:cs="Times New Roman"/>
                <w:sz w:val="20"/>
                <w:szCs w:val="20"/>
                <w:shd w:val="clear" w:color="auto" w:fill="FFFFFF"/>
                <w:lang w:eastAsia="en-US"/>
              </w:rPr>
              <w:t xml:space="preserve"> </w:t>
            </w:r>
          </w:p>
          <w:p w14:paraId="685E227A" w14:textId="77777777" w:rsidR="00405F5C" w:rsidRPr="009C1AA2" w:rsidRDefault="00405F5C" w:rsidP="00873AF3">
            <w:pPr>
              <w:contextualSpacing/>
              <w:jc w:val="left"/>
              <w:rPr>
                <w:rFonts w:ascii="Arial Narrow" w:eastAsia="Calibri" w:hAnsi="Arial Narrow" w:cs="Arial Narrow"/>
                <w:iCs/>
                <w:sz w:val="20"/>
                <w:szCs w:val="20"/>
                <w:lang w:eastAsia="en-US"/>
              </w:rPr>
            </w:pPr>
            <w:r w:rsidRPr="009C1AA2">
              <w:rPr>
                <w:rFonts w:ascii="Arial Narrow" w:eastAsia="Calibri" w:hAnsi="Arial Narrow" w:cs="Times New Roman"/>
                <w:bCs/>
                <w:sz w:val="20"/>
                <w:szCs w:val="20"/>
                <w:lang w:eastAsia="en-US"/>
              </w:rPr>
              <w:t>(2) a completed authority application form relevant to the indication and treatment phase (the latest version is located on the website specified in the Administrative Advice)</w:t>
            </w:r>
          </w:p>
        </w:tc>
      </w:tr>
      <w:tr w:rsidR="00405F5C" w:rsidRPr="009C1AA2" w14:paraId="7319D2DE" w14:textId="77777777" w:rsidTr="00405F5C">
        <w:tblPrEx>
          <w:tblCellMar>
            <w:top w:w="15" w:type="dxa"/>
            <w:bottom w:w="15" w:type="dxa"/>
          </w:tblCellMar>
          <w:tblLook w:val="04A0" w:firstRow="1" w:lastRow="0" w:firstColumn="1" w:lastColumn="0" w:noHBand="0" w:noVBand="1"/>
        </w:tblPrEx>
        <w:trPr>
          <w:cantSplit/>
          <w:trHeight w:val="20"/>
        </w:trPr>
        <w:tc>
          <w:tcPr>
            <w:tcW w:w="9072" w:type="dxa"/>
            <w:gridSpan w:val="6"/>
            <w:vAlign w:val="center"/>
          </w:tcPr>
          <w:p w14:paraId="57B8E432" w14:textId="77777777" w:rsidR="00405F5C" w:rsidRPr="00853127" w:rsidRDefault="00405F5C" w:rsidP="00873AF3">
            <w:pPr>
              <w:contextualSpacing/>
              <w:jc w:val="left"/>
              <w:rPr>
                <w:rFonts w:ascii="Arial Narrow" w:hAnsi="Arial Narrow" w:cs="Times New Roman"/>
                <w:b/>
                <w:bCs/>
                <w:sz w:val="20"/>
                <w:szCs w:val="20"/>
              </w:rPr>
            </w:pPr>
            <w:r w:rsidRPr="00853127">
              <w:rPr>
                <w:rFonts w:ascii="Arial Narrow" w:hAnsi="Arial Narrow" w:cs="Times New Roman"/>
                <w:b/>
                <w:bCs/>
                <w:sz w:val="20"/>
                <w:szCs w:val="20"/>
              </w:rPr>
              <w:t>Prescribing Instruction:</w:t>
            </w:r>
          </w:p>
          <w:p w14:paraId="6B172CAD" w14:textId="77777777" w:rsidR="00405F5C" w:rsidRPr="009C1AA2" w:rsidRDefault="00405F5C" w:rsidP="00873AF3">
            <w:pPr>
              <w:contextualSpacing/>
              <w:jc w:val="left"/>
              <w:rPr>
                <w:rFonts w:ascii="Arial Narrow" w:eastAsia="Calibri" w:hAnsi="Arial Narrow" w:cs="Times New Roman"/>
                <w:b/>
                <w:bCs/>
                <w:sz w:val="20"/>
                <w:szCs w:val="20"/>
                <w:shd w:val="clear" w:color="auto" w:fill="FFFFFF"/>
                <w:lang w:eastAsia="en-US"/>
              </w:rPr>
            </w:pPr>
            <w:bookmarkStart w:id="110" w:name="_Hlk211844566"/>
            <w:r w:rsidRPr="00853127">
              <w:rPr>
                <w:rFonts w:ascii="Arial Narrow" w:eastAsia="Calibri" w:hAnsi="Arial Narrow" w:cs="Times New Roman"/>
                <w:bCs/>
                <w:sz w:val="20"/>
                <w:szCs w:val="20"/>
                <w:lang w:eastAsia="en-US"/>
              </w:rPr>
              <w:t>A retrospective assessment for one of the MGC score or MG-ADL score can be accepted in cases where it was not conducted after completing 3 months of remission inducing treatments</w:t>
            </w:r>
            <w:bookmarkEnd w:id="110"/>
            <w:r w:rsidRPr="00853127">
              <w:rPr>
                <w:rFonts w:ascii="Arial Narrow" w:eastAsia="Calibri" w:hAnsi="Arial Narrow" w:cs="Times New Roman"/>
                <w:bCs/>
                <w:sz w:val="20"/>
                <w:szCs w:val="20"/>
                <w:lang w:eastAsia="en-US"/>
              </w:rPr>
              <w:t>.</w:t>
            </w:r>
          </w:p>
        </w:tc>
      </w:tr>
      <w:tr w:rsidR="00405F5C" w:rsidRPr="009C1AA2" w14:paraId="23847E99" w14:textId="77777777" w:rsidTr="00405F5C">
        <w:tblPrEx>
          <w:tblCellMar>
            <w:top w:w="15" w:type="dxa"/>
            <w:bottom w:w="15" w:type="dxa"/>
          </w:tblCellMar>
          <w:tblLook w:val="04A0" w:firstRow="1" w:lastRow="0" w:firstColumn="1" w:lastColumn="0" w:noHBand="0" w:noVBand="1"/>
        </w:tblPrEx>
        <w:trPr>
          <w:cantSplit/>
          <w:trHeight w:val="20"/>
        </w:trPr>
        <w:tc>
          <w:tcPr>
            <w:tcW w:w="9072" w:type="dxa"/>
            <w:gridSpan w:val="6"/>
            <w:vAlign w:val="center"/>
          </w:tcPr>
          <w:p w14:paraId="76869163" w14:textId="77777777" w:rsidR="00405F5C" w:rsidRPr="009C1AA2" w:rsidRDefault="00405F5C" w:rsidP="00873AF3">
            <w:pPr>
              <w:contextualSpacing/>
              <w:jc w:val="left"/>
              <w:rPr>
                <w:rFonts w:ascii="Arial Narrow" w:eastAsia="Calibri" w:hAnsi="Arial Narrow" w:cs="Times New Roman"/>
                <w:b/>
                <w:bCs/>
                <w:sz w:val="20"/>
                <w:szCs w:val="20"/>
                <w:shd w:val="clear" w:color="auto" w:fill="FFFFFF"/>
                <w:lang w:eastAsia="en-US"/>
              </w:rPr>
            </w:pPr>
          </w:p>
        </w:tc>
      </w:tr>
    </w:tbl>
    <w:p w14:paraId="2CF98255" w14:textId="77777777" w:rsidR="008A494F" w:rsidRPr="009C1AA2" w:rsidRDefault="008A494F" w:rsidP="00873AF3">
      <w:pPr>
        <w:spacing w:after="160" w:line="259" w:lineRule="auto"/>
        <w:jc w:val="left"/>
        <w:rPr>
          <w:rFonts w:ascii="Times New Roman" w:eastAsia="Aptos" w:hAnsi="Times New Roman" w:cs="Times New Roman"/>
          <w:kern w:val="2"/>
          <w:lang w:eastAsia="en-US"/>
          <w14:ligatures w14:val="standardContextual"/>
        </w:rPr>
      </w:pPr>
    </w:p>
    <w:p w14:paraId="7B09CD0B" w14:textId="77777777" w:rsidR="008A494F" w:rsidRPr="009C1AA2" w:rsidRDefault="008A494F" w:rsidP="00873AF3">
      <w:pPr>
        <w:pStyle w:val="Heading2"/>
        <w:keepLines/>
        <w:spacing w:after="0"/>
        <w:rPr>
          <w:bCs/>
          <w:i w:val="0"/>
          <w:iCs/>
          <w:snapToGrid w:val="0"/>
          <w:sz w:val="24"/>
          <w:szCs w:val="20"/>
          <w:lang w:eastAsia="en-US"/>
        </w:rPr>
      </w:pPr>
      <w:bookmarkStart w:id="111" w:name="_3._Refractory_patient"/>
      <w:bookmarkEnd w:id="111"/>
      <w:r w:rsidRPr="009C1AA2">
        <w:rPr>
          <w:bCs/>
          <w:i w:val="0"/>
          <w:iCs/>
          <w:snapToGrid w:val="0"/>
          <w:sz w:val="24"/>
          <w:szCs w:val="20"/>
          <w:lang w:eastAsia="en-US"/>
        </w:rPr>
        <w:t xml:space="preserve">Treatment Refractory patients </w:t>
      </w: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treatment refractory patients"/>
      </w:tblPr>
      <w:tblGrid>
        <w:gridCol w:w="1269"/>
        <w:gridCol w:w="1985"/>
        <w:gridCol w:w="1842"/>
        <w:gridCol w:w="851"/>
        <w:gridCol w:w="709"/>
        <w:gridCol w:w="850"/>
        <w:gridCol w:w="1565"/>
      </w:tblGrid>
      <w:tr w:rsidR="008A494F" w:rsidRPr="009C1AA2" w14:paraId="045CDF85" w14:textId="77777777" w:rsidTr="0091111B">
        <w:trPr>
          <w:cantSplit/>
          <w:trHeight w:val="300"/>
        </w:trPr>
        <w:tc>
          <w:tcPr>
            <w:tcW w:w="3255" w:type="dxa"/>
            <w:gridSpan w:val="2"/>
            <w:vAlign w:val="center"/>
          </w:tcPr>
          <w:p w14:paraId="420C1ADA" w14:textId="77777777" w:rsidR="008A494F" w:rsidRPr="009C1AA2" w:rsidRDefault="008A494F" w:rsidP="00873AF3">
            <w:pPr>
              <w:keepNext/>
              <w:keepLines/>
              <w:jc w:val="left"/>
              <w:rPr>
                <w:rFonts w:ascii="Arial Narrow" w:eastAsia="Aptos" w:hAnsi="Arial Narrow"/>
                <w:b/>
                <w:bCs/>
                <w:kern w:val="2"/>
                <w:sz w:val="20"/>
                <w:szCs w:val="20"/>
                <w:lang w:eastAsia="en-US"/>
                <w14:ligatures w14:val="standardContextual"/>
              </w:rPr>
            </w:pPr>
            <w:r w:rsidRPr="009C1AA2">
              <w:rPr>
                <w:rFonts w:ascii="Arial Narrow" w:eastAsia="Aptos" w:hAnsi="Arial Narrow"/>
                <w:b/>
                <w:bCs/>
                <w:kern w:val="2"/>
                <w:sz w:val="20"/>
                <w:szCs w:val="20"/>
                <w:lang w:eastAsia="en-US"/>
                <w14:ligatures w14:val="standardContextual"/>
              </w:rPr>
              <w:t>MEDICINAL PRODUCT</w:t>
            </w:r>
          </w:p>
          <w:p w14:paraId="656F00C6" w14:textId="77777777" w:rsidR="008A494F" w:rsidRPr="009C1AA2" w:rsidRDefault="008A494F" w:rsidP="00873AF3">
            <w:pPr>
              <w:keepNext/>
              <w:keepLines/>
              <w:jc w:val="left"/>
              <w:rPr>
                <w:rFonts w:ascii="Arial Narrow" w:eastAsia="Aptos" w:hAnsi="Arial Narrow"/>
                <w:b/>
                <w:kern w:val="2"/>
                <w:sz w:val="20"/>
                <w:szCs w:val="20"/>
                <w:lang w:eastAsia="en-US"/>
                <w14:ligatures w14:val="standardContextual"/>
              </w:rPr>
            </w:pPr>
            <w:r w:rsidRPr="009C1AA2">
              <w:rPr>
                <w:rFonts w:ascii="Arial Narrow" w:eastAsia="Aptos" w:hAnsi="Arial Narrow"/>
                <w:b/>
                <w:bCs/>
                <w:kern w:val="2"/>
                <w:sz w:val="20"/>
                <w:szCs w:val="20"/>
                <w:lang w:eastAsia="en-US"/>
                <w14:ligatures w14:val="standardContextual"/>
              </w:rPr>
              <w:t>medicinal product pack</w:t>
            </w:r>
          </w:p>
        </w:tc>
        <w:tc>
          <w:tcPr>
            <w:tcW w:w="1842" w:type="dxa"/>
            <w:vAlign w:val="center"/>
          </w:tcPr>
          <w:p w14:paraId="6E7D9520" w14:textId="77777777" w:rsidR="008A494F" w:rsidRPr="009C1AA2" w:rsidRDefault="008A494F" w:rsidP="00873AF3">
            <w:pPr>
              <w:keepNext/>
              <w:keepLines/>
              <w:jc w:val="center"/>
              <w:rPr>
                <w:rFonts w:ascii="Arial Narrow" w:eastAsia="Aptos" w:hAnsi="Arial Narrow"/>
                <w:b/>
                <w:kern w:val="2"/>
                <w:sz w:val="20"/>
                <w:szCs w:val="20"/>
                <w:lang w:eastAsia="en-US"/>
                <w14:ligatures w14:val="standardContextual"/>
              </w:rPr>
            </w:pPr>
            <w:r w:rsidRPr="009C1AA2">
              <w:rPr>
                <w:rFonts w:ascii="Arial Narrow" w:eastAsia="Aptos" w:hAnsi="Arial Narrow"/>
                <w:b/>
                <w:kern w:val="2"/>
                <w:sz w:val="20"/>
                <w:szCs w:val="20"/>
                <w:lang w:eastAsia="en-US"/>
                <w14:ligatures w14:val="standardContextual"/>
              </w:rPr>
              <w:t>PBS item code</w:t>
            </w:r>
          </w:p>
        </w:tc>
        <w:tc>
          <w:tcPr>
            <w:tcW w:w="851" w:type="dxa"/>
            <w:vAlign w:val="center"/>
          </w:tcPr>
          <w:p w14:paraId="62CEEDBA" w14:textId="77777777" w:rsidR="008A494F" w:rsidRPr="009C1AA2" w:rsidRDefault="008A494F" w:rsidP="00873AF3">
            <w:pPr>
              <w:keepNext/>
              <w:keepLines/>
              <w:jc w:val="center"/>
              <w:rPr>
                <w:rFonts w:ascii="Arial Narrow" w:eastAsia="Aptos" w:hAnsi="Arial Narrow"/>
                <w:b/>
                <w:kern w:val="2"/>
                <w:sz w:val="20"/>
                <w:szCs w:val="20"/>
                <w:lang w:eastAsia="en-US"/>
                <w14:ligatures w14:val="standardContextual"/>
              </w:rPr>
            </w:pPr>
            <w:r w:rsidRPr="009C1AA2">
              <w:rPr>
                <w:rFonts w:ascii="Arial Narrow" w:eastAsia="Aptos" w:hAnsi="Arial Narrow"/>
                <w:b/>
                <w:kern w:val="2"/>
                <w:sz w:val="20"/>
                <w:szCs w:val="20"/>
                <w:lang w:eastAsia="en-US"/>
                <w14:ligatures w14:val="standardContextual"/>
              </w:rPr>
              <w:t>Max. qty packs</w:t>
            </w:r>
          </w:p>
        </w:tc>
        <w:tc>
          <w:tcPr>
            <w:tcW w:w="709" w:type="dxa"/>
            <w:vAlign w:val="center"/>
          </w:tcPr>
          <w:p w14:paraId="3782D136" w14:textId="77777777" w:rsidR="008A494F" w:rsidRPr="009C1AA2" w:rsidRDefault="008A494F" w:rsidP="00873AF3">
            <w:pPr>
              <w:keepNext/>
              <w:keepLines/>
              <w:jc w:val="center"/>
              <w:rPr>
                <w:rFonts w:ascii="Arial Narrow" w:eastAsia="Aptos" w:hAnsi="Arial Narrow"/>
                <w:b/>
                <w:kern w:val="2"/>
                <w:sz w:val="20"/>
                <w:szCs w:val="20"/>
                <w:lang w:eastAsia="en-US"/>
                <w14:ligatures w14:val="standardContextual"/>
              </w:rPr>
            </w:pPr>
            <w:r w:rsidRPr="009C1AA2">
              <w:rPr>
                <w:rFonts w:ascii="Arial Narrow" w:eastAsia="Aptos" w:hAnsi="Arial Narrow"/>
                <w:b/>
                <w:kern w:val="2"/>
                <w:sz w:val="20"/>
                <w:szCs w:val="20"/>
                <w:lang w:eastAsia="en-US"/>
                <w14:ligatures w14:val="standardContextual"/>
              </w:rPr>
              <w:t>Max. qty units</w:t>
            </w:r>
          </w:p>
        </w:tc>
        <w:tc>
          <w:tcPr>
            <w:tcW w:w="850" w:type="dxa"/>
            <w:vAlign w:val="center"/>
          </w:tcPr>
          <w:p w14:paraId="30A0D9E3" w14:textId="77777777" w:rsidR="008A494F" w:rsidRPr="009C1AA2" w:rsidRDefault="008A494F" w:rsidP="00873AF3">
            <w:pPr>
              <w:keepNext/>
              <w:keepLines/>
              <w:jc w:val="center"/>
              <w:rPr>
                <w:rFonts w:ascii="Arial Narrow" w:eastAsia="Aptos" w:hAnsi="Arial Narrow"/>
                <w:b/>
                <w:kern w:val="2"/>
                <w:sz w:val="20"/>
                <w:szCs w:val="20"/>
                <w:lang w:eastAsia="en-US"/>
                <w14:ligatures w14:val="standardContextual"/>
              </w:rPr>
            </w:pPr>
            <w:r w:rsidRPr="009C1AA2">
              <w:rPr>
                <w:rFonts w:ascii="Arial Narrow" w:eastAsia="Aptos" w:hAnsi="Arial Narrow"/>
                <w:b/>
                <w:kern w:val="2"/>
                <w:sz w:val="20"/>
                <w:szCs w:val="20"/>
                <w:lang w:eastAsia="en-US"/>
                <w14:ligatures w14:val="standardContextual"/>
              </w:rPr>
              <w:t>№.of</w:t>
            </w:r>
          </w:p>
          <w:p w14:paraId="25D3A811" w14:textId="77777777" w:rsidR="008A494F" w:rsidRPr="009C1AA2" w:rsidRDefault="008A494F" w:rsidP="00873AF3">
            <w:pPr>
              <w:keepNext/>
              <w:keepLines/>
              <w:jc w:val="center"/>
              <w:rPr>
                <w:rFonts w:ascii="Arial Narrow" w:eastAsia="Aptos" w:hAnsi="Arial Narrow"/>
                <w:b/>
                <w:kern w:val="2"/>
                <w:sz w:val="20"/>
                <w:szCs w:val="20"/>
                <w:lang w:eastAsia="en-US"/>
                <w14:ligatures w14:val="standardContextual"/>
              </w:rPr>
            </w:pPr>
            <w:r w:rsidRPr="009C1AA2">
              <w:rPr>
                <w:rFonts w:ascii="Arial Narrow" w:eastAsia="Aptos" w:hAnsi="Arial Narrow"/>
                <w:b/>
                <w:kern w:val="2"/>
                <w:sz w:val="20"/>
                <w:szCs w:val="20"/>
                <w:lang w:eastAsia="en-US"/>
                <w14:ligatures w14:val="standardContextual"/>
              </w:rPr>
              <w:t>Rpts</w:t>
            </w:r>
          </w:p>
        </w:tc>
        <w:tc>
          <w:tcPr>
            <w:tcW w:w="1564" w:type="dxa"/>
            <w:vAlign w:val="center"/>
          </w:tcPr>
          <w:p w14:paraId="43E35C68" w14:textId="77777777" w:rsidR="008A494F" w:rsidRPr="009C1AA2" w:rsidRDefault="008A494F" w:rsidP="00873AF3">
            <w:pPr>
              <w:keepNext/>
              <w:keepLines/>
              <w:jc w:val="left"/>
              <w:rPr>
                <w:rFonts w:ascii="Arial Narrow" w:eastAsia="Aptos" w:hAnsi="Arial Narrow"/>
                <w:b/>
                <w:kern w:val="2"/>
                <w:sz w:val="20"/>
                <w:szCs w:val="20"/>
                <w:lang w:val="fr-FR" w:eastAsia="en-US"/>
                <w14:ligatures w14:val="standardContextual"/>
              </w:rPr>
            </w:pPr>
            <w:r w:rsidRPr="009C1AA2">
              <w:rPr>
                <w:rFonts w:ascii="Arial Narrow" w:eastAsia="Aptos" w:hAnsi="Arial Narrow"/>
                <w:b/>
                <w:kern w:val="2"/>
                <w:sz w:val="20"/>
                <w:szCs w:val="20"/>
                <w:lang w:eastAsia="en-US"/>
                <w14:ligatures w14:val="standardContextual"/>
              </w:rPr>
              <w:t>Available brands</w:t>
            </w:r>
          </w:p>
        </w:tc>
      </w:tr>
      <w:tr w:rsidR="008A494F" w:rsidRPr="009C1AA2" w14:paraId="2DCFE208" w14:textId="77777777" w:rsidTr="0091111B">
        <w:trPr>
          <w:cantSplit/>
          <w:trHeight w:val="20"/>
        </w:trPr>
        <w:tc>
          <w:tcPr>
            <w:tcW w:w="9071" w:type="dxa"/>
            <w:gridSpan w:val="7"/>
            <w:vAlign w:val="center"/>
          </w:tcPr>
          <w:p w14:paraId="79F7ADB5" w14:textId="77777777" w:rsidR="008A494F" w:rsidRPr="009C1AA2" w:rsidRDefault="008A494F" w:rsidP="00873AF3">
            <w:pPr>
              <w:keepNext/>
              <w:keepLines/>
              <w:jc w:val="left"/>
              <w:rPr>
                <w:rFonts w:ascii="Arial Narrow" w:eastAsia="Aptos" w:hAnsi="Arial Narrow"/>
                <w:kern w:val="2"/>
                <w:sz w:val="20"/>
                <w:szCs w:val="20"/>
                <w:lang w:eastAsia="en-US"/>
                <w14:ligatures w14:val="standardContextual"/>
              </w:rPr>
            </w:pPr>
            <w:r w:rsidRPr="009C1AA2">
              <w:rPr>
                <w:rFonts w:ascii="Arial Narrow" w:eastAsia="Aptos" w:hAnsi="Arial Narrow"/>
                <w:kern w:val="2"/>
                <w:sz w:val="20"/>
                <w:szCs w:val="20"/>
                <w:lang w:eastAsia="en-US"/>
                <w14:ligatures w14:val="standardContextual"/>
              </w:rPr>
              <w:t>ROZANOLIXIZUMAB</w:t>
            </w:r>
          </w:p>
        </w:tc>
      </w:tr>
      <w:tr w:rsidR="008A494F" w:rsidRPr="009C1AA2" w14:paraId="1C170D4C" w14:textId="77777777" w:rsidTr="0091111B">
        <w:trPr>
          <w:cantSplit/>
          <w:trHeight w:val="20"/>
        </w:trPr>
        <w:tc>
          <w:tcPr>
            <w:tcW w:w="3255" w:type="dxa"/>
            <w:gridSpan w:val="2"/>
            <w:vAlign w:val="center"/>
          </w:tcPr>
          <w:p w14:paraId="1B1F0854" w14:textId="77777777" w:rsidR="008A494F" w:rsidRPr="009C1AA2" w:rsidRDefault="008A494F" w:rsidP="00873AF3">
            <w:pPr>
              <w:keepNext/>
              <w:keepLines/>
              <w:jc w:val="left"/>
              <w:rPr>
                <w:rFonts w:ascii="Arial Narrow" w:eastAsia="Aptos" w:hAnsi="Arial Narrow"/>
                <w:kern w:val="2"/>
                <w:sz w:val="20"/>
                <w:szCs w:val="20"/>
                <w:lang w:eastAsia="en-US"/>
                <w14:ligatures w14:val="standardContextual"/>
              </w:rPr>
            </w:pPr>
            <w:r w:rsidRPr="009C1AA2">
              <w:rPr>
                <w:rFonts w:ascii="Arial Narrow" w:eastAsia="Aptos" w:hAnsi="Arial Narrow"/>
                <w:kern w:val="2"/>
                <w:sz w:val="20"/>
                <w:szCs w:val="20"/>
                <w:lang w:eastAsia="en-US"/>
                <w14:ligatures w14:val="standardContextual"/>
              </w:rPr>
              <w:t xml:space="preserve">rozanolixizumab 280 mg/2mL injection, 2 mL vial </w:t>
            </w:r>
          </w:p>
        </w:tc>
        <w:tc>
          <w:tcPr>
            <w:tcW w:w="1842" w:type="dxa"/>
            <w:vAlign w:val="center"/>
          </w:tcPr>
          <w:p w14:paraId="108F3391" w14:textId="77777777" w:rsidR="008A494F" w:rsidRPr="009C1AA2" w:rsidRDefault="008A494F" w:rsidP="00873AF3">
            <w:pPr>
              <w:keepNext/>
              <w:keepLines/>
              <w:jc w:val="center"/>
              <w:rPr>
                <w:rFonts w:ascii="Arial Narrow" w:eastAsia="Aptos" w:hAnsi="Arial Narrow"/>
                <w:kern w:val="2"/>
                <w:sz w:val="20"/>
                <w:szCs w:val="20"/>
                <w:lang w:eastAsia="en-US"/>
                <w14:ligatures w14:val="standardContextual"/>
              </w:rPr>
            </w:pPr>
            <w:r w:rsidRPr="009C1AA2">
              <w:rPr>
                <w:rFonts w:ascii="Arial Narrow" w:eastAsia="Aptos" w:hAnsi="Arial Narrow"/>
                <w:kern w:val="2"/>
                <w:sz w:val="20"/>
                <w:szCs w:val="20"/>
                <w:lang w:eastAsia="en-US"/>
                <w14:ligatures w14:val="standardContextual"/>
              </w:rPr>
              <w:t>NEW (HSD Public)</w:t>
            </w:r>
          </w:p>
          <w:p w14:paraId="60BA0C3A" w14:textId="77777777" w:rsidR="008A494F" w:rsidRPr="009C1AA2" w:rsidRDefault="008A494F" w:rsidP="00873AF3">
            <w:pPr>
              <w:keepNext/>
              <w:keepLines/>
              <w:jc w:val="center"/>
              <w:rPr>
                <w:rFonts w:ascii="Arial Narrow" w:eastAsia="Aptos" w:hAnsi="Arial Narrow"/>
                <w:kern w:val="2"/>
                <w:sz w:val="20"/>
                <w:szCs w:val="20"/>
                <w:lang w:eastAsia="en-US"/>
                <w14:ligatures w14:val="standardContextual"/>
              </w:rPr>
            </w:pPr>
            <w:r w:rsidRPr="009C1AA2">
              <w:rPr>
                <w:rFonts w:ascii="Arial Narrow" w:eastAsia="Aptos" w:hAnsi="Arial Narrow"/>
                <w:kern w:val="2"/>
                <w:sz w:val="20"/>
                <w:szCs w:val="20"/>
                <w:lang w:eastAsia="en-US"/>
                <w14:ligatures w14:val="standardContextual"/>
              </w:rPr>
              <w:t>NEW (HSD Private)</w:t>
            </w:r>
          </w:p>
        </w:tc>
        <w:tc>
          <w:tcPr>
            <w:tcW w:w="851" w:type="dxa"/>
            <w:vAlign w:val="center"/>
          </w:tcPr>
          <w:p w14:paraId="5C740302" w14:textId="77777777" w:rsidR="008A494F" w:rsidRPr="009C1AA2" w:rsidRDefault="008A494F" w:rsidP="00873AF3">
            <w:pPr>
              <w:keepNext/>
              <w:keepLines/>
              <w:jc w:val="center"/>
              <w:rPr>
                <w:rFonts w:ascii="Arial Narrow" w:eastAsia="Aptos" w:hAnsi="Arial Narrow"/>
                <w:kern w:val="2"/>
                <w:sz w:val="20"/>
                <w:szCs w:val="20"/>
                <w:lang w:eastAsia="en-US"/>
                <w14:ligatures w14:val="standardContextual"/>
              </w:rPr>
            </w:pPr>
            <w:r w:rsidRPr="009C1AA2">
              <w:rPr>
                <w:rFonts w:ascii="Arial Narrow" w:eastAsia="Aptos" w:hAnsi="Arial Narrow"/>
                <w:kern w:val="2"/>
                <w:sz w:val="20"/>
                <w:szCs w:val="20"/>
                <w:lang w:eastAsia="en-US"/>
                <w14:ligatures w14:val="standardContextual"/>
              </w:rPr>
              <w:t>18</w:t>
            </w:r>
          </w:p>
        </w:tc>
        <w:tc>
          <w:tcPr>
            <w:tcW w:w="709" w:type="dxa"/>
            <w:vAlign w:val="center"/>
          </w:tcPr>
          <w:p w14:paraId="69A439D1" w14:textId="77777777" w:rsidR="008A494F" w:rsidRPr="009C1AA2" w:rsidRDefault="008A494F" w:rsidP="00873AF3">
            <w:pPr>
              <w:keepNext/>
              <w:keepLines/>
              <w:jc w:val="center"/>
              <w:rPr>
                <w:rFonts w:ascii="Arial Narrow" w:eastAsia="Aptos" w:hAnsi="Arial Narrow"/>
                <w:kern w:val="2"/>
                <w:sz w:val="20"/>
                <w:szCs w:val="20"/>
                <w:lang w:eastAsia="en-US"/>
                <w14:ligatures w14:val="standardContextual"/>
              </w:rPr>
            </w:pPr>
            <w:r w:rsidRPr="009C1AA2">
              <w:rPr>
                <w:rFonts w:ascii="Arial Narrow" w:eastAsia="Aptos" w:hAnsi="Arial Narrow"/>
                <w:kern w:val="2"/>
                <w:sz w:val="20"/>
                <w:szCs w:val="20"/>
                <w:lang w:eastAsia="en-US"/>
                <w14:ligatures w14:val="standardContextual"/>
              </w:rPr>
              <w:t>18</w:t>
            </w:r>
          </w:p>
        </w:tc>
        <w:tc>
          <w:tcPr>
            <w:tcW w:w="850" w:type="dxa"/>
            <w:vAlign w:val="center"/>
          </w:tcPr>
          <w:p w14:paraId="5C4AFBD0" w14:textId="77777777" w:rsidR="008A494F" w:rsidRPr="009C1AA2" w:rsidRDefault="008A494F" w:rsidP="00873AF3">
            <w:pPr>
              <w:keepNext/>
              <w:keepLines/>
              <w:jc w:val="center"/>
              <w:rPr>
                <w:rFonts w:ascii="Arial Narrow" w:eastAsia="Aptos" w:hAnsi="Arial Narrow"/>
                <w:kern w:val="2"/>
                <w:sz w:val="20"/>
                <w:szCs w:val="20"/>
                <w:lang w:eastAsia="en-US"/>
                <w14:ligatures w14:val="standardContextual"/>
              </w:rPr>
            </w:pPr>
            <w:r w:rsidRPr="009C1AA2">
              <w:rPr>
                <w:rFonts w:ascii="Arial Narrow" w:eastAsia="Aptos" w:hAnsi="Arial Narrow"/>
                <w:kern w:val="2"/>
                <w:sz w:val="20"/>
                <w:szCs w:val="20"/>
                <w:lang w:eastAsia="en-US"/>
                <w14:ligatures w14:val="standardContextual"/>
              </w:rPr>
              <w:t>2</w:t>
            </w:r>
          </w:p>
        </w:tc>
        <w:tc>
          <w:tcPr>
            <w:tcW w:w="1564" w:type="dxa"/>
            <w:vAlign w:val="center"/>
          </w:tcPr>
          <w:p w14:paraId="43AB4230" w14:textId="77777777" w:rsidR="008A494F" w:rsidRPr="009C1AA2" w:rsidRDefault="008A494F" w:rsidP="00873AF3">
            <w:pPr>
              <w:keepNext/>
              <w:keepLines/>
              <w:jc w:val="left"/>
              <w:rPr>
                <w:rFonts w:ascii="Arial Narrow" w:eastAsia="Aptos" w:hAnsi="Arial Narrow"/>
                <w:kern w:val="2"/>
                <w:sz w:val="20"/>
                <w:szCs w:val="20"/>
                <w:lang w:eastAsia="en-US"/>
                <w14:ligatures w14:val="standardContextual"/>
              </w:rPr>
            </w:pPr>
            <w:r w:rsidRPr="009C1AA2">
              <w:rPr>
                <w:rFonts w:ascii="Arial Narrow" w:eastAsia="Aptos" w:hAnsi="Arial Narrow"/>
                <w:kern w:val="2"/>
                <w:sz w:val="20"/>
                <w:szCs w:val="20"/>
                <w:lang w:eastAsia="en-US"/>
                <w14:ligatures w14:val="standardContextual"/>
              </w:rPr>
              <w:t>Rystiggo</w:t>
            </w:r>
          </w:p>
        </w:tc>
      </w:tr>
      <w:tr w:rsidR="008A494F" w:rsidRPr="009C1AA2" w14:paraId="4D345EEC" w14:textId="77777777" w:rsidTr="0091111B">
        <w:tblPrEx>
          <w:tblCellMar>
            <w:top w:w="15" w:type="dxa"/>
            <w:bottom w:w="15" w:type="dxa"/>
          </w:tblCellMar>
          <w:tblLook w:val="04A0" w:firstRow="1" w:lastRow="0" w:firstColumn="1" w:lastColumn="0" w:noHBand="0" w:noVBand="1"/>
        </w:tblPrEx>
        <w:trPr>
          <w:trHeight w:val="20"/>
        </w:trPr>
        <w:tc>
          <w:tcPr>
            <w:tcW w:w="9071" w:type="dxa"/>
            <w:gridSpan w:val="7"/>
            <w:tcBorders>
              <w:top w:val="single" w:sz="4" w:space="0" w:color="auto"/>
              <w:left w:val="single" w:sz="4" w:space="0" w:color="auto"/>
              <w:right w:val="single" w:sz="4" w:space="0" w:color="auto"/>
            </w:tcBorders>
            <w:vAlign w:val="center"/>
          </w:tcPr>
          <w:p w14:paraId="3B65D8A1" w14:textId="77777777" w:rsidR="008A494F" w:rsidRPr="009C1AA2" w:rsidRDefault="008A494F" w:rsidP="00873AF3">
            <w:pPr>
              <w:keepNext/>
              <w:keepLines/>
              <w:contextualSpacing/>
              <w:jc w:val="left"/>
              <w:rPr>
                <w:rFonts w:ascii="Arial Narrow" w:eastAsia="Calibri" w:hAnsi="Arial Narrow"/>
                <w:b/>
                <w:sz w:val="20"/>
                <w:szCs w:val="20"/>
                <w:lang w:eastAsia="en-US"/>
              </w:rPr>
            </w:pPr>
          </w:p>
        </w:tc>
      </w:tr>
      <w:tr w:rsidR="00405F5C" w:rsidRPr="009C1AA2" w14:paraId="268BF2E0" w14:textId="77777777" w:rsidTr="0091111B">
        <w:tblPrEx>
          <w:tblCellMar>
            <w:top w:w="15" w:type="dxa"/>
            <w:bottom w:w="15" w:type="dxa"/>
          </w:tblCellMar>
          <w:tblLook w:val="04A0" w:firstRow="1" w:lastRow="0" w:firstColumn="1" w:lastColumn="0" w:noHBand="0" w:noVBand="1"/>
        </w:tblPrEx>
        <w:trPr>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0BD93326" w14:textId="77777777" w:rsidR="00405F5C" w:rsidRPr="009C1AA2" w:rsidRDefault="00405F5C" w:rsidP="00873AF3">
            <w:pPr>
              <w:keepNext/>
              <w:keepLines/>
              <w:contextualSpacing/>
              <w:jc w:val="left"/>
              <w:rPr>
                <w:rFonts w:ascii="Arial Narrow" w:eastAsia="Calibri" w:hAnsi="Arial Narrow"/>
                <w:sz w:val="20"/>
                <w:szCs w:val="20"/>
                <w:lang w:eastAsia="en-US"/>
              </w:rPr>
            </w:pPr>
            <w:r w:rsidRPr="009C1AA2">
              <w:rPr>
                <w:rFonts w:ascii="Arial Narrow" w:eastAsia="Calibri" w:hAnsi="Arial Narrow"/>
                <w:b/>
                <w:sz w:val="20"/>
                <w:szCs w:val="20"/>
                <w:lang w:eastAsia="en-US"/>
              </w:rPr>
              <w:t>Category / Program:</w:t>
            </w:r>
            <w:r w:rsidRPr="009C1AA2">
              <w:rPr>
                <w:rFonts w:ascii="Arial Narrow" w:eastAsia="Calibri" w:hAnsi="Arial Narrow"/>
                <w:color w:val="FF0000"/>
                <w:sz w:val="20"/>
                <w:szCs w:val="20"/>
                <w:lang w:eastAsia="en-US"/>
              </w:rPr>
              <w:t xml:space="preserve"> </w:t>
            </w:r>
            <w:r w:rsidRPr="009C1AA2">
              <w:rPr>
                <w:rFonts w:ascii="Arial Narrow" w:eastAsia="Calibri" w:hAnsi="Arial Narrow"/>
                <w:sz w:val="20"/>
                <w:szCs w:val="20"/>
                <w:lang w:eastAsia="en-US"/>
              </w:rPr>
              <w:fldChar w:fldCharType="begin" w:fldLock="1">
                <w:ffData>
                  <w:name w:val=""/>
                  <w:enabled/>
                  <w:calcOnExit w:val="0"/>
                  <w:checkBox>
                    <w:sizeAuto/>
                    <w:default w:val="1"/>
                  </w:checkBox>
                </w:ffData>
              </w:fldChar>
            </w:r>
            <w:r w:rsidRPr="009C1AA2">
              <w:rPr>
                <w:rFonts w:ascii="Arial Narrow" w:eastAsia="Calibri" w:hAnsi="Arial Narrow"/>
                <w:sz w:val="20"/>
                <w:szCs w:val="20"/>
                <w:lang w:eastAsia="en-US"/>
              </w:rPr>
              <w:instrText xml:space="preserve"> FORMCHECKBOX </w:instrText>
            </w:r>
            <w:r w:rsidRPr="009C1AA2">
              <w:rPr>
                <w:rFonts w:ascii="Arial Narrow" w:eastAsia="Calibri" w:hAnsi="Arial Narrow"/>
                <w:sz w:val="20"/>
                <w:szCs w:val="20"/>
                <w:lang w:eastAsia="en-US"/>
              </w:rPr>
            </w:r>
            <w:r w:rsidRPr="009C1AA2">
              <w:rPr>
                <w:rFonts w:ascii="Arial Narrow" w:eastAsia="Calibri" w:hAnsi="Arial Narrow"/>
                <w:sz w:val="20"/>
                <w:szCs w:val="20"/>
                <w:lang w:eastAsia="en-US"/>
              </w:rPr>
              <w:fldChar w:fldCharType="separate"/>
            </w:r>
            <w:r w:rsidRPr="009C1AA2">
              <w:rPr>
                <w:rFonts w:ascii="Arial Narrow" w:eastAsia="Calibri" w:hAnsi="Arial Narrow"/>
                <w:sz w:val="20"/>
                <w:szCs w:val="20"/>
                <w:lang w:eastAsia="en-US"/>
              </w:rPr>
              <w:fldChar w:fldCharType="end"/>
            </w:r>
            <w:r w:rsidRPr="009C1AA2">
              <w:rPr>
                <w:rFonts w:ascii="Arial Narrow" w:eastAsia="Calibri" w:hAnsi="Arial Narrow"/>
                <w:sz w:val="20"/>
                <w:szCs w:val="20"/>
                <w:lang w:eastAsia="en-US"/>
              </w:rPr>
              <w:t xml:space="preserve"> Section 100 – Highly Specialised Drugs Program – Public (Code HB)</w:t>
            </w:r>
            <w:r w:rsidRPr="009C1AA2">
              <w:rPr>
                <w:rFonts w:ascii="Arial Narrow" w:eastAsia="Calibri" w:hAnsi="Arial Narrow"/>
                <w:color w:val="FF0000"/>
                <w:sz w:val="20"/>
                <w:szCs w:val="20"/>
                <w:lang w:eastAsia="en-US"/>
              </w:rPr>
              <w:t xml:space="preserve"> </w:t>
            </w:r>
            <w:r w:rsidRPr="009C1AA2">
              <w:rPr>
                <w:rFonts w:ascii="Arial Narrow" w:eastAsia="Calibri" w:hAnsi="Arial Narrow"/>
                <w:sz w:val="20"/>
                <w:szCs w:val="20"/>
                <w:lang w:eastAsia="en-US"/>
              </w:rPr>
              <w:t>/ Private (Code HS)</w:t>
            </w:r>
          </w:p>
        </w:tc>
      </w:tr>
      <w:tr w:rsidR="00405F5C" w:rsidRPr="009C1AA2" w14:paraId="2914AADA" w14:textId="77777777" w:rsidTr="0091111B">
        <w:tblPrEx>
          <w:tblCellMar>
            <w:top w:w="15" w:type="dxa"/>
            <w:bottom w:w="15" w:type="dxa"/>
          </w:tblCellMar>
          <w:tblLook w:val="04A0" w:firstRow="1" w:lastRow="0" w:firstColumn="1" w:lastColumn="0" w:noHBand="0" w:noVBand="1"/>
        </w:tblPrEx>
        <w:trPr>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010E9FCA" w14:textId="77777777" w:rsidR="00405F5C" w:rsidRPr="009C1AA2" w:rsidRDefault="00405F5C" w:rsidP="00873AF3">
            <w:pPr>
              <w:keepNext/>
              <w:keepLines/>
              <w:contextualSpacing/>
              <w:rPr>
                <w:rFonts w:ascii="Arial Narrow" w:eastAsia="Calibri" w:hAnsi="Arial Narrow"/>
                <w:b/>
                <w:sz w:val="20"/>
                <w:szCs w:val="20"/>
                <w:lang w:eastAsia="en-US"/>
              </w:rPr>
            </w:pPr>
            <w:r w:rsidRPr="009C1AA2">
              <w:rPr>
                <w:rFonts w:ascii="Arial Narrow" w:eastAsia="Calibri" w:hAnsi="Arial Narrow"/>
                <w:b/>
                <w:sz w:val="20"/>
                <w:szCs w:val="20"/>
                <w:lang w:eastAsia="en-US"/>
              </w:rPr>
              <w:t xml:space="preserve">Prescriber type: </w:t>
            </w:r>
            <w:r w:rsidRPr="009C1AA2">
              <w:rPr>
                <w:rFonts w:ascii="Arial Narrow" w:eastAsia="Calibri" w:hAnsi="Arial Narrow"/>
                <w:sz w:val="20"/>
                <w:szCs w:val="20"/>
                <w:lang w:eastAsia="en-US"/>
              </w:rPr>
              <w:fldChar w:fldCharType="begin" w:fldLock="1">
                <w:ffData>
                  <w:name w:val=""/>
                  <w:enabled/>
                  <w:calcOnExit w:val="0"/>
                  <w:checkBox>
                    <w:sizeAuto/>
                    <w:default w:val="1"/>
                  </w:checkBox>
                </w:ffData>
              </w:fldChar>
            </w:r>
            <w:r w:rsidRPr="009C1AA2">
              <w:rPr>
                <w:rFonts w:ascii="Arial Narrow" w:eastAsia="Calibri" w:hAnsi="Arial Narrow"/>
                <w:sz w:val="20"/>
                <w:szCs w:val="20"/>
                <w:lang w:eastAsia="en-US"/>
              </w:rPr>
              <w:instrText xml:space="preserve"> FORMCHECKBOX </w:instrText>
            </w:r>
            <w:r w:rsidRPr="009C1AA2">
              <w:rPr>
                <w:rFonts w:ascii="Arial Narrow" w:eastAsia="Calibri" w:hAnsi="Arial Narrow"/>
                <w:sz w:val="20"/>
                <w:szCs w:val="20"/>
                <w:lang w:eastAsia="en-US"/>
              </w:rPr>
            </w:r>
            <w:r w:rsidRPr="009C1AA2">
              <w:rPr>
                <w:rFonts w:ascii="Arial Narrow" w:eastAsia="Calibri" w:hAnsi="Arial Narrow"/>
                <w:sz w:val="20"/>
                <w:szCs w:val="20"/>
                <w:lang w:eastAsia="en-US"/>
              </w:rPr>
              <w:fldChar w:fldCharType="separate"/>
            </w:r>
            <w:r w:rsidRPr="009C1AA2">
              <w:rPr>
                <w:rFonts w:ascii="Arial Narrow" w:eastAsia="Calibri" w:hAnsi="Arial Narrow"/>
                <w:sz w:val="20"/>
                <w:szCs w:val="20"/>
                <w:lang w:eastAsia="en-US"/>
              </w:rPr>
              <w:fldChar w:fldCharType="end"/>
            </w:r>
            <w:r w:rsidRPr="009C1AA2">
              <w:rPr>
                <w:rFonts w:ascii="Arial Narrow" w:eastAsia="Calibri" w:hAnsi="Arial Narrow"/>
                <w:sz w:val="20"/>
                <w:szCs w:val="20"/>
                <w:lang w:eastAsia="en-US"/>
              </w:rPr>
              <w:t xml:space="preserve">Medical Practitioners </w:t>
            </w:r>
          </w:p>
        </w:tc>
      </w:tr>
      <w:tr w:rsidR="00405F5C" w:rsidRPr="009C1AA2" w14:paraId="11BAE505" w14:textId="77777777" w:rsidTr="0091111B">
        <w:tblPrEx>
          <w:tblCellMar>
            <w:top w:w="15" w:type="dxa"/>
            <w:bottom w:w="15" w:type="dxa"/>
          </w:tblCellMar>
          <w:tblLook w:val="04A0" w:firstRow="1" w:lastRow="0" w:firstColumn="1" w:lastColumn="0" w:noHBand="0" w:noVBand="1"/>
        </w:tblPrEx>
        <w:trPr>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12819EEF" w14:textId="77777777" w:rsidR="00405F5C" w:rsidRPr="009C1AA2" w:rsidRDefault="00405F5C" w:rsidP="00873AF3">
            <w:pPr>
              <w:keepNext/>
              <w:keepLines/>
              <w:contextualSpacing/>
              <w:jc w:val="left"/>
              <w:rPr>
                <w:rFonts w:ascii="Arial Narrow" w:eastAsia="Calibri" w:hAnsi="Arial Narrow"/>
                <w:b/>
                <w:sz w:val="20"/>
                <w:szCs w:val="20"/>
                <w:lang w:eastAsia="en-US"/>
              </w:rPr>
            </w:pPr>
            <w:r w:rsidRPr="009C1AA2">
              <w:rPr>
                <w:rFonts w:ascii="Arial Narrow" w:eastAsia="Calibri" w:hAnsi="Arial Narrow"/>
                <w:b/>
                <w:sz w:val="20"/>
                <w:szCs w:val="20"/>
                <w:lang w:eastAsia="en-US"/>
              </w:rPr>
              <w:t xml:space="preserve">Restriction type: </w:t>
            </w:r>
            <w:r w:rsidRPr="009C1AA2">
              <w:rPr>
                <w:rFonts w:ascii="Arial Narrow" w:eastAsia="Calibri" w:hAnsi="Arial Narrow"/>
                <w:sz w:val="20"/>
                <w:szCs w:val="20"/>
                <w:lang w:eastAsia="en-US"/>
              </w:rPr>
              <w:fldChar w:fldCharType="begin" w:fldLock="1">
                <w:ffData>
                  <w:name w:val=""/>
                  <w:enabled/>
                  <w:calcOnExit w:val="0"/>
                  <w:checkBox>
                    <w:sizeAuto/>
                    <w:default w:val="1"/>
                  </w:checkBox>
                </w:ffData>
              </w:fldChar>
            </w:r>
            <w:r w:rsidRPr="009C1AA2">
              <w:rPr>
                <w:rFonts w:ascii="Arial Narrow" w:eastAsia="Calibri" w:hAnsi="Arial Narrow"/>
                <w:sz w:val="20"/>
                <w:szCs w:val="20"/>
                <w:lang w:eastAsia="en-US"/>
              </w:rPr>
              <w:instrText xml:space="preserve"> FORMCHECKBOX </w:instrText>
            </w:r>
            <w:r w:rsidRPr="009C1AA2">
              <w:rPr>
                <w:rFonts w:ascii="Arial Narrow" w:eastAsia="Calibri" w:hAnsi="Arial Narrow"/>
                <w:sz w:val="20"/>
                <w:szCs w:val="20"/>
                <w:lang w:eastAsia="en-US"/>
              </w:rPr>
            </w:r>
            <w:r w:rsidRPr="009C1AA2">
              <w:rPr>
                <w:rFonts w:ascii="Arial Narrow" w:eastAsia="Calibri" w:hAnsi="Arial Narrow"/>
                <w:sz w:val="20"/>
                <w:szCs w:val="20"/>
                <w:lang w:eastAsia="en-US"/>
              </w:rPr>
              <w:fldChar w:fldCharType="separate"/>
            </w:r>
            <w:r w:rsidRPr="009C1AA2">
              <w:rPr>
                <w:rFonts w:ascii="Arial Narrow" w:eastAsia="Calibri" w:hAnsi="Arial Narrow"/>
                <w:sz w:val="20"/>
                <w:szCs w:val="20"/>
                <w:lang w:eastAsia="en-US"/>
              </w:rPr>
              <w:fldChar w:fldCharType="end"/>
            </w:r>
            <w:r w:rsidRPr="009C1AA2">
              <w:rPr>
                <w:rFonts w:ascii="Arial Narrow" w:eastAsia="Calibri" w:hAnsi="Arial Narrow"/>
                <w:sz w:val="20"/>
                <w:szCs w:val="20"/>
                <w:lang w:eastAsia="en-US"/>
              </w:rPr>
              <w:t>Authority Required (Written/Online – immediate assessment)</w:t>
            </w:r>
          </w:p>
        </w:tc>
      </w:tr>
      <w:tr w:rsidR="00405F5C" w:rsidRPr="009C1AA2" w14:paraId="46D2E0D9" w14:textId="77777777" w:rsidTr="0091111B">
        <w:tblPrEx>
          <w:tblCellMar>
            <w:top w:w="15" w:type="dxa"/>
            <w:bottom w:w="15" w:type="dxa"/>
          </w:tblCellMar>
          <w:tblLook w:val="04A0" w:firstRow="1" w:lastRow="0" w:firstColumn="1" w:lastColumn="0" w:noHBand="0" w:noVBand="1"/>
        </w:tblPrEx>
        <w:trPr>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32A0330A" w14:textId="77777777" w:rsidR="00405F5C" w:rsidRPr="009C1AA2" w:rsidRDefault="00405F5C" w:rsidP="00873AF3">
            <w:pPr>
              <w:keepNext/>
              <w:keepLines/>
              <w:contextualSpacing/>
              <w:jc w:val="left"/>
              <w:rPr>
                <w:rFonts w:ascii="Arial Narrow" w:eastAsia="Calibri" w:hAnsi="Arial Narrow"/>
                <w:b/>
                <w:color w:val="FF0000"/>
                <w:sz w:val="20"/>
                <w:szCs w:val="20"/>
                <w:lang w:eastAsia="en-US"/>
              </w:rPr>
            </w:pPr>
            <w:r w:rsidRPr="009C1AA2">
              <w:rPr>
                <w:rFonts w:ascii="Arial Narrow" w:eastAsia="Calibri" w:hAnsi="Arial Narrow"/>
                <w:b/>
                <w:sz w:val="20"/>
                <w:szCs w:val="20"/>
                <w:lang w:eastAsia="en-US"/>
              </w:rPr>
              <w:t xml:space="preserve">Authority type: </w:t>
            </w:r>
            <w:r w:rsidRPr="009C1AA2">
              <w:rPr>
                <w:rFonts w:ascii="Arial Narrow" w:eastAsia="Calibri" w:hAnsi="Arial Narrow"/>
                <w:sz w:val="20"/>
                <w:szCs w:val="20"/>
                <w:lang w:eastAsia="en-US"/>
              </w:rPr>
              <w:fldChar w:fldCharType="begin" w:fldLock="1">
                <w:ffData>
                  <w:name w:val=""/>
                  <w:enabled/>
                  <w:calcOnExit w:val="0"/>
                  <w:checkBox>
                    <w:sizeAuto/>
                    <w:default w:val="1"/>
                  </w:checkBox>
                </w:ffData>
              </w:fldChar>
            </w:r>
            <w:r w:rsidRPr="009C1AA2">
              <w:rPr>
                <w:rFonts w:ascii="Arial Narrow" w:eastAsia="Calibri" w:hAnsi="Arial Narrow"/>
                <w:sz w:val="20"/>
                <w:szCs w:val="20"/>
                <w:lang w:eastAsia="en-US"/>
              </w:rPr>
              <w:instrText xml:space="preserve"> FORMCHECKBOX </w:instrText>
            </w:r>
            <w:r w:rsidRPr="009C1AA2">
              <w:rPr>
                <w:rFonts w:ascii="Arial Narrow" w:eastAsia="Calibri" w:hAnsi="Arial Narrow"/>
                <w:sz w:val="20"/>
                <w:szCs w:val="20"/>
                <w:lang w:eastAsia="en-US"/>
              </w:rPr>
            </w:r>
            <w:r w:rsidRPr="009C1AA2">
              <w:rPr>
                <w:rFonts w:ascii="Arial Narrow" w:eastAsia="Calibri" w:hAnsi="Arial Narrow"/>
                <w:sz w:val="20"/>
                <w:szCs w:val="20"/>
                <w:lang w:eastAsia="en-US"/>
              </w:rPr>
              <w:fldChar w:fldCharType="separate"/>
            </w:r>
            <w:r w:rsidRPr="009C1AA2">
              <w:rPr>
                <w:rFonts w:ascii="Arial Narrow" w:eastAsia="Calibri" w:hAnsi="Arial Narrow"/>
                <w:sz w:val="20"/>
                <w:szCs w:val="20"/>
                <w:lang w:eastAsia="en-US"/>
              </w:rPr>
              <w:fldChar w:fldCharType="end"/>
            </w:r>
            <w:r w:rsidRPr="009C1AA2">
              <w:rPr>
                <w:rFonts w:ascii="Arial Narrow" w:eastAsia="Calibri" w:hAnsi="Arial Narrow"/>
                <w:sz w:val="20"/>
                <w:szCs w:val="20"/>
                <w:lang w:eastAsia="en-US"/>
              </w:rPr>
              <w:t xml:space="preserve"> Complex Authority Required (CAR)</w:t>
            </w:r>
          </w:p>
        </w:tc>
      </w:tr>
      <w:tr w:rsidR="00405F5C" w:rsidRPr="009C1AA2" w14:paraId="154AA57E" w14:textId="77777777" w:rsidTr="0091111B">
        <w:tblPrEx>
          <w:tblCellMar>
            <w:top w:w="15" w:type="dxa"/>
            <w:bottom w:w="15" w:type="dxa"/>
          </w:tblCellMar>
          <w:tblLook w:val="04A0" w:firstRow="1" w:lastRow="0" w:firstColumn="1" w:lastColumn="0" w:noHBand="0" w:noVBand="1"/>
        </w:tblPrEx>
        <w:trPr>
          <w:trHeight w:val="300"/>
        </w:trPr>
        <w:tc>
          <w:tcPr>
            <w:tcW w:w="9071" w:type="dxa"/>
            <w:gridSpan w:val="7"/>
            <w:vAlign w:val="center"/>
          </w:tcPr>
          <w:p w14:paraId="37E2B6FA" w14:textId="77777777" w:rsidR="00405F5C" w:rsidRPr="009C1AA2" w:rsidRDefault="00405F5C" w:rsidP="00873AF3">
            <w:pPr>
              <w:contextualSpacing/>
              <w:jc w:val="left"/>
              <w:rPr>
                <w:rFonts w:ascii="Arial Narrow" w:hAnsi="Arial Narrow" w:cs="Times New Roman"/>
                <w:iCs/>
                <w:color w:val="000000"/>
                <w:sz w:val="20"/>
                <w:szCs w:val="20"/>
              </w:rPr>
            </w:pPr>
            <w:r w:rsidRPr="009C1AA2">
              <w:rPr>
                <w:rFonts w:ascii="Arial Narrow" w:hAnsi="Arial Narrow" w:cs="Times New Roman"/>
                <w:b/>
                <w:bCs/>
                <w:iCs/>
                <w:color w:val="000000"/>
                <w:sz w:val="20"/>
                <w:szCs w:val="20"/>
              </w:rPr>
              <w:t xml:space="preserve">Administrative Advice: </w:t>
            </w:r>
          </w:p>
          <w:p w14:paraId="0F927555" w14:textId="77777777" w:rsidR="00405F5C" w:rsidRPr="009C1AA2" w:rsidRDefault="00405F5C"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Definitions for the purposes of administering this restriction.</w:t>
            </w:r>
          </w:p>
          <w:p w14:paraId="00ABEF90" w14:textId="77777777" w:rsidR="00405F5C" w:rsidRPr="009C1AA2" w:rsidRDefault="00405F5C" w:rsidP="00873AF3">
            <w:pPr>
              <w:contextualSpacing/>
              <w:jc w:val="left"/>
              <w:rPr>
                <w:rFonts w:ascii="Arial Narrow" w:hAnsi="Arial Narrow" w:cs="Times New Roman"/>
                <w:iCs/>
                <w:color w:val="000000"/>
                <w:sz w:val="20"/>
                <w:szCs w:val="20"/>
              </w:rPr>
            </w:pPr>
          </w:p>
          <w:p w14:paraId="5F1204D5" w14:textId="77777777" w:rsidR="00405F5C" w:rsidRPr="009C1AA2" w:rsidRDefault="00405F5C"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Where the term </w:t>
            </w:r>
            <w:r w:rsidRPr="009C1AA2">
              <w:rPr>
                <w:rFonts w:ascii="Arial Narrow" w:hAnsi="Arial Narrow" w:cs="Times New Roman"/>
                <w:b/>
                <w:bCs/>
                <w:iCs/>
                <w:color w:val="000000"/>
                <w:sz w:val="20"/>
                <w:szCs w:val="20"/>
              </w:rPr>
              <w:t>‘gMG biological agent’</w:t>
            </w:r>
            <w:r w:rsidRPr="009C1AA2">
              <w:rPr>
                <w:rFonts w:ascii="Arial Narrow" w:hAnsi="Arial Narrow" w:cs="Times New Roman"/>
                <w:iCs/>
                <w:color w:val="000000"/>
                <w:sz w:val="20"/>
                <w:szCs w:val="20"/>
              </w:rPr>
              <w:t xml:space="preserve"> is referenced in this restriction, it refers to efgartigimod alfa, ravulizumab, rozanolixizumab, and zilucoplan.</w:t>
            </w:r>
          </w:p>
          <w:p w14:paraId="51504EF3" w14:textId="77777777" w:rsidR="00405F5C" w:rsidRPr="009C1AA2" w:rsidRDefault="00405F5C" w:rsidP="00873AF3">
            <w:pPr>
              <w:contextualSpacing/>
              <w:jc w:val="left"/>
              <w:rPr>
                <w:rFonts w:ascii="Arial Narrow" w:hAnsi="Arial Narrow" w:cs="Times New Roman"/>
                <w:iCs/>
                <w:color w:val="000000"/>
                <w:sz w:val="20"/>
                <w:szCs w:val="20"/>
              </w:rPr>
            </w:pPr>
          </w:p>
          <w:p w14:paraId="10F190FA" w14:textId="77777777" w:rsidR="00405F5C" w:rsidRPr="009C1AA2" w:rsidRDefault="00405F5C"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The following are settings where a gMG biological agent are PBS subsidised:</w:t>
            </w:r>
          </w:p>
          <w:p w14:paraId="1E53925A" w14:textId="77777777" w:rsidR="00405F5C" w:rsidRPr="009C1AA2" w:rsidRDefault="00405F5C" w:rsidP="00873AF3">
            <w:pPr>
              <w:numPr>
                <w:ilvl w:val="0"/>
                <w:numId w:val="35"/>
              </w:numPr>
              <w:spacing w:after="160" w:line="259" w:lineRule="auto"/>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3 months of acute treatment - ‘acute severe gMG’ </w:t>
            </w:r>
          </w:p>
          <w:p w14:paraId="07223DC5" w14:textId="77777777" w:rsidR="00405F5C" w:rsidRPr="009C1AA2" w:rsidRDefault="00405F5C" w:rsidP="00873AF3">
            <w:pPr>
              <w:numPr>
                <w:ilvl w:val="0"/>
                <w:numId w:val="35"/>
              </w:numPr>
              <w:spacing w:after="160" w:line="259" w:lineRule="auto"/>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6 months of bridging therapy - ‘bridging therapy for gMG’ </w:t>
            </w:r>
          </w:p>
          <w:p w14:paraId="47A87573" w14:textId="77777777" w:rsidR="00405F5C" w:rsidRPr="009C1AA2" w:rsidRDefault="00405F5C" w:rsidP="00873AF3">
            <w:pPr>
              <w:numPr>
                <w:ilvl w:val="0"/>
                <w:numId w:val="35"/>
              </w:numPr>
              <w:spacing w:after="160" w:line="259" w:lineRule="auto"/>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Continuous therapy - ‘treatment refractory gMG’</w:t>
            </w:r>
          </w:p>
          <w:p w14:paraId="24AE902D" w14:textId="77777777" w:rsidR="00405F5C" w:rsidRPr="009C1AA2" w:rsidRDefault="00405F5C"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A patient may transition sequentially from one setting to another where all criteria are met e.g. (1) to (2) to (3), but cannot return to an earlier treatment setting. </w:t>
            </w:r>
          </w:p>
          <w:p w14:paraId="57DDC831" w14:textId="77777777" w:rsidR="00405F5C" w:rsidRPr="009C1AA2" w:rsidRDefault="00405F5C" w:rsidP="00873AF3">
            <w:pPr>
              <w:contextualSpacing/>
              <w:jc w:val="left"/>
              <w:rPr>
                <w:rFonts w:ascii="Arial Narrow" w:hAnsi="Arial Narrow" w:cs="Times New Roman"/>
                <w:iCs/>
                <w:color w:val="000000"/>
                <w:sz w:val="20"/>
                <w:szCs w:val="20"/>
              </w:rPr>
            </w:pPr>
          </w:p>
          <w:p w14:paraId="7255E254" w14:textId="77777777" w:rsidR="00405F5C" w:rsidRPr="009C1AA2" w:rsidRDefault="00405F5C" w:rsidP="00873AF3">
            <w:pPr>
              <w:contextualSpacing/>
              <w:jc w:val="left"/>
              <w:rPr>
                <w:rFonts w:ascii="Arial Narrow" w:hAnsi="Arial Narrow" w:cs="Times New Roman"/>
                <w:b/>
                <w:bCs/>
                <w:iCs/>
                <w:color w:val="000000"/>
                <w:sz w:val="20"/>
                <w:szCs w:val="20"/>
              </w:rPr>
            </w:pPr>
            <w:r w:rsidRPr="009C1AA2">
              <w:rPr>
                <w:rFonts w:ascii="Arial Narrow" w:hAnsi="Arial Narrow" w:cs="Times New Roman"/>
                <w:b/>
                <w:bCs/>
                <w:iCs/>
                <w:color w:val="000000"/>
                <w:sz w:val="20"/>
                <w:szCs w:val="20"/>
              </w:rPr>
              <w:t>Definitions:</w:t>
            </w:r>
          </w:p>
          <w:p w14:paraId="63D8AB3F" w14:textId="77777777" w:rsidR="00405F5C" w:rsidRPr="009C1AA2" w:rsidRDefault="00405F5C"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A non-steroidal immunosuppressant (NS-IST) is one of the following:</w:t>
            </w:r>
          </w:p>
          <w:p w14:paraId="0A2E7E1C" w14:textId="77777777" w:rsidR="00405F5C" w:rsidRPr="009C1AA2" w:rsidRDefault="00405F5C"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(i) azathioprine, </w:t>
            </w:r>
          </w:p>
          <w:p w14:paraId="34A8B311" w14:textId="77777777" w:rsidR="00405F5C" w:rsidRPr="009C1AA2" w:rsidRDefault="00405F5C"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(ii) ciclosporin,</w:t>
            </w:r>
          </w:p>
          <w:p w14:paraId="46EA642C" w14:textId="77777777" w:rsidR="00405F5C" w:rsidRPr="009C1AA2" w:rsidRDefault="00405F5C"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(iii) cyclophosphamide,</w:t>
            </w:r>
          </w:p>
          <w:p w14:paraId="2911D363" w14:textId="77777777" w:rsidR="00405F5C" w:rsidRPr="009C1AA2" w:rsidRDefault="00405F5C"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(iv) methotrexate,</w:t>
            </w:r>
          </w:p>
          <w:p w14:paraId="2BE749EB" w14:textId="77777777" w:rsidR="00405F5C" w:rsidRPr="009C1AA2" w:rsidRDefault="00405F5C" w:rsidP="00873AF3">
            <w:pPr>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(v) mycophenolate</w:t>
            </w:r>
          </w:p>
          <w:p w14:paraId="630B84C0" w14:textId="77777777" w:rsidR="00405F5C" w:rsidRPr="009C1AA2" w:rsidRDefault="00405F5C" w:rsidP="00873AF3">
            <w:pPr>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(vi) tacrolimus</w:t>
            </w:r>
          </w:p>
          <w:p w14:paraId="4BF0A56C" w14:textId="77777777" w:rsidR="00405F5C" w:rsidRPr="009C1AA2" w:rsidRDefault="00405F5C" w:rsidP="00873AF3">
            <w:pPr>
              <w:jc w:val="left"/>
              <w:rPr>
                <w:rFonts w:ascii="Arial Narrow" w:hAnsi="Arial Narrow" w:cs="Times New Roman"/>
                <w:iCs/>
                <w:color w:val="000000"/>
                <w:sz w:val="20"/>
                <w:szCs w:val="20"/>
              </w:rPr>
            </w:pPr>
          </w:p>
          <w:p w14:paraId="6A06FABF" w14:textId="77777777" w:rsidR="00405F5C" w:rsidRPr="009C1AA2" w:rsidRDefault="00405F5C" w:rsidP="00873AF3">
            <w:pPr>
              <w:jc w:val="left"/>
              <w:rPr>
                <w:rFonts w:ascii="Arial Narrow" w:hAnsi="Arial Narrow" w:cs="Times New Roman"/>
                <w:iCs/>
                <w:color w:val="000000"/>
                <w:sz w:val="20"/>
                <w:szCs w:val="20"/>
              </w:rPr>
            </w:pPr>
            <w:r w:rsidRPr="009C1AA2">
              <w:rPr>
                <w:rFonts w:ascii="Arial Narrow" w:hAnsi="Arial Narrow" w:cs="Times New Roman"/>
                <w:iCs/>
                <w:color w:val="000000"/>
                <w:kern w:val="2"/>
                <w:sz w:val="20"/>
                <w:szCs w:val="20"/>
                <w14:ligatures w14:val="standardContextual"/>
              </w:rPr>
              <w:t>The Myasthenia Gravis Foundation of America (</w:t>
            </w:r>
            <w:r w:rsidRPr="009C1AA2">
              <w:rPr>
                <w:rFonts w:ascii="Arial Narrow" w:hAnsi="Arial Narrow" w:cs="Times New Roman"/>
                <w:b/>
                <w:bCs/>
                <w:iCs/>
                <w:color w:val="000000"/>
                <w:kern w:val="2"/>
                <w:sz w:val="20"/>
                <w:szCs w:val="20"/>
                <w14:ligatures w14:val="standardContextual"/>
              </w:rPr>
              <w:t>MGFA</w:t>
            </w:r>
            <w:r w:rsidRPr="009C1AA2">
              <w:rPr>
                <w:rFonts w:ascii="Arial Narrow" w:hAnsi="Arial Narrow" w:cs="Times New Roman"/>
                <w:iCs/>
                <w:color w:val="000000"/>
                <w:kern w:val="2"/>
                <w:sz w:val="20"/>
                <w:szCs w:val="20"/>
                <w14:ligatures w14:val="standardContextual"/>
              </w:rPr>
              <w:t xml:space="preserve">) Disease Classification can be accessed at </w:t>
            </w:r>
            <w:hyperlink r:id="rId19" w:history="1">
              <w:r w:rsidRPr="009C1AA2">
                <w:rPr>
                  <w:rFonts w:ascii="Arial Narrow" w:hAnsi="Arial Narrow" w:cs="Times New Roman"/>
                  <w:iCs/>
                  <w:color w:val="467886"/>
                  <w:sz w:val="20"/>
                  <w:szCs w:val="20"/>
                  <w:u w:val="single"/>
                </w:rPr>
                <w:t>https://myasthenia.org/</w:t>
              </w:r>
            </w:hyperlink>
            <w:r w:rsidRPr="009C1AA2">
              <w:rPr>
                <w:rFonts w:ascii="Arial Narrow" w:hAnsi="Arial Narrow" w:cs="Times New Roman"/>
                <w:iCs/>
                <w:color w:val="000000"/>
                <w:sz w:val="20"/>
                <w:szCs w:val="20"/>
              </w:rPr>
              <w:t xml:space="preserve"> </w:t>
            </w:r>
          </w:p>
          <w:p w14:paraId="28CE5B69" w14:textId="77777777" w:rsidR="00405F5C" w:rsidRPr="009C1AA2" w:rsidRDefault="00405F5C" w:rsidP="00873AF3">
            <w:pPr>
              <w:jc w:val="left"/>
              <w:rPr>
                <w:rFonts w:ascii="Arial Narrow" w:hAnsi="Arial Narrow" w:cs="Times New Roman"/>
                <w:iCs/>
                <w:color w:val="000000"/>
                <w:sz w:val="20"/>
                <w:szCs w:val="20"/>
              </w:rPr>
            </w:pPr>
          </w:p>
          <w:p w14:paraId="0F95A5D0" w14:textId="77777777" w:rsidR="00405F5C" w:rsidRPr="009C1AA2" w:rsidRDefault="00405F5C" w:rsidP="00873AF3">
            <w:pPr>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The Myasthenia Gravis Composite (</w:t>
            </w:r>
            <w:r w:rsidRPr="009C1AA2">
              <w:rPr>
                <w:rFonts w:ascii="Arial Narrow" w:hAnsi="Arial Narrow" w:cs="Times New Roman"/>
                <w:b/>
                <w:bCs/>
                <w:iCs/>
                <w:color w:val="000000"/>
                <w:sz w:val="20"/>
                <w:szCs w:val="20"/>
              </w:rPr>
              <w:t>MGC</w:t>
            </w:r>
            <w:r w:rsidRPr="009C1AA2">
              <w:rPr>
                <w:rFonts w:ascii="Arial Narrow" w:hAnsi="Arial Narrow" w:cs="Times New Roman"/>
                <w:iCs/>
                <w:color w:val="000000"/>
                <w:sz w:val="20"/>
                <w:szCs w:val="20"/>
              </w:rPr>
              <w:t xml:space="preserve">) scoring profile can be accessed at </w:t>
            </w:r>
            <w:hyperlink r:id="rId20" w:anchor="MGC" w:history="1">
              <w:r w:rsidRPr="009C1AA2">
                <w:rPr>
                  <w:rFonts w:ascii="Arial Narrow" w:hAnsi="Arial Narrow" w:cs="Times New Roman"/>
                  <w:iCs/>
                  <w:color w:val="467886"/>
                  <w:sz w:val="20"/>
                  <w:szCs w:val="20"/>
                  <w:u w:val="single"/>
                </w:rPr>
                <w:t>https://www.criteria.blood.gov.au/NeurologicalScales#MGC</w:t>
              </w:r>
            </w:hyperlink>
            <w:r w:rsidRPr="009C1AA2">
              <w:rPr>
                <w:rFonts w:ascii="Arial Narrow" w:hAnsi="Arial Narrow" w:cs="Times New Roman"/>
                <w:iCs/>
                <w:color w:val="000000"/>
                <w:sz w:val="20"/>
                <w:szCs w:val="20"/>
              </w:rPr>
              <w:t xml:space="preserve"> </w:t>
            </w:r>
          </w:p>
          <w:p w14:paraId="7B06C7CB" w14:textId="77777777" w:rsidR="00405F5C" w:rsidRPr="009C1AA2" w:rsidRDefault="00405F5C" w:rsidP="00873AF3">
            <w:pPr>
              <w:jc w:val="left"/>
              <w:rPr>
                <w:rFonts w:ascii="Arial Narrow" w:hAnsi="Arial Narrow" w:cs="Times New Roman"/>
                <w:iCs/>
                <w:color w:val="000000"/>
                <w:sz w:val="20"/>
                <w:szCs w:val="20"/>
              </w:rPr>
            </w:pPr>
          </w:p>
          <w:p w14:paraId="4E2BAF88" w14:textId="77777777" w:rsidR="00405F5C" w:rsidRPr="009C1AA2" w:rsidRDefault="00405F5C" w:rsidP="00873AF3">
            <w:pPr>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The Myasthenia Gravis-Activities of Daily Living (</w:t>
            </w:r>
            <w:r w:rsidRPr="009C1AA2">
              <w:rPr>
                <w:rFonts w:ascii="Arial Narrow" w:hAnsi="Arial Narrow" w:cs="Times New Roman"/>
                <w:b/>
                <w:bCs/>
                <w:iCs/>
                <w:color w:val="000000"/>
                <w:sz w:val="20"/>
                <w:szCs w:val="20"/>
              </w:rPr>
              <w:t>MG-ADL</w:t>
            </w:r>
            <w:r w:rsidRPr="009C1AA2">
              <w:rPr>
                <w:rFonts w:ascii="Arial Narrow" w:hAnsi="Arial Narrow" w:cs="Times New Roman"/>
                <w:iCs/>
                <w:color w:val="000000"/>
                <w:sz w:val="20"/>
                <w:szCs w:val="20"/>
              </w:rPr>
              <w:t xml:space="preserve">) scoring profile can be accessed at </w:t>
            </w:r>
          </w:p>
          <w:p w14:paraId="7CF9C6C0" w14:textId="77777777" w:rsidR="00405F5C" w:rsidRPr="009C1AA2" w:rsidRDefault="00405F5C" w:rsidP="00873AF3">
            <w:pPr>
              <w:jc w:val="left"/>
              <w:rPr>
                <w:rFonts w:ascii="Arial Narrow" w:hAnsi="Arial Narrow" w:cs="Times New Roman"/>
                <w:iCs/>
                <w:color w:val="000000"/>
                <w:sz w:val="20"/>
                <w:szCs w:val="20"/>
              </w:rPr>
            </w:pPr>
            <w:hyperlink r:id="rId21" w:history="1">
              <w:r w:rsidRPr="009C1AA2">
                <w:rPr>
                  <w:rFonts w:ascii="Arial Narrow" w:hAnsi="Arial Narrow" w:cs="Times New Roman"/>
                  <w:iCs/>
                  <w:color w:val="467886"/>
                  <w:sz w:val="20"/>
                  <w:szCs w:val="20"/>
                  <w:u w:val="single"/>
                </w:rPr>
                <w:t>https://myasthenia.org/</w:t>
              </w:r>
            </w:hyperlink>
          </w:p>
        </w:tc>
      </w:tr>
      <w:tr w:rsidR="00405F5C" w:rsidRPr="009C1AA2" w14:paraId="0CED7EFA" w14:textId="77777777" w:rsidTr="0091111B">
        <w:tblPrEx>
          <w:tblCellMar>
            <w:top w:w="15" w:type="dxa"/>
            <w:bottom w:w="15" w:type="dxa"/>
          </w:tblCellMar>
          <w:tblLook w:val="04A0" w:firstRow="1" w:lastRow="0" w:firstColumn="1" w:lastColumn="0" w:noHBand="0" w:noVBand="1"/>
        </w:tblPrEx>
        <w:trPr>
          <w:trHeight w:val="300"/>
        </w:trPr>
        <w:tc>
          <w:tcPr>
            <w:tcW w:w="9071" w:type="dxa"/>
            <w:gridSpan w:val="7"/>
            <w:shd w:val="clear" w:color="auto" w:fill="FAE2D5"/>
            <w:vAlign w:val="center"/>
          </w:tcPr>
          <w:p w14:paraId="0839CF7A" w14:textId="77777777" w:rsidR="00405F5C" w:rsidRPr="009C1AA2" w:rsidRDefault="00405F5C" w:rsidP="00873AF3">
            <w:pPr>
              <w:contextualSpacing/>
              <w:jc w:val="left"/>
              <w:rPr>
                <w:rFonts w:ascii="Arial Narrow" w:hAnsi="Arial Narrow" w:cs="Times New Roman"/>
                <w:iCs/>
                <w:color w:val="000000"/>
                <w:sz w:val="20"/>
                <w:szCs w:val="20"/>
              </w:rPr>
            </w:pPr>
            <w:r w:rsidRPr="009C1AA2">
              <w:rPr>
                <w:rFonts w:ascii="Arial Narrow" w:hAnsi="Arial Narrow" w:cs="Times New Roman"/>
                <w:b/>
                <w:bCs/>
                <w:iCs/>
                <w:color w:val="000000"/>
                <w:sz w:val="20"/>
                <w:szCs w:val="20"/>
              </w:rPr>
              <w:t xml:space="preserve">Administrative Advice: </w:t>
            </w:r>
          </w:p>
          <w:p w14:paraId="2CD9238F" w14:textId="77777777" w:rsidR="00405F5C" w:rsidRPr="009C1AA2" w:rsidRDefault="00405F5C" w:rsidP="00873AF3">
            <w:pPr>
              <w:contextualSpacing/>
              <w:jc w:val="left"/>
              <w:rPr>
                <w:rFonts w:ascii="Arial Narrow" w:hAnsi="Arial Narrow" w:cs="Times New Roman"/>
                <w:b/>
                <w:bCs/>
                <w:iCs/>
                <w:color w:val="000000"/>
                <w:sz w:val="20"/>
                <w:szCs w:val="20"/>
              </w:rPr>
            </w:pPr>
            <w:r w:rsidRPr="009C1AA2">
              <w:rPr>
                <w:rFonts w:ascii="Arial Narrow" w:hAnsi="Arial Narrow" w:cs="Times New Roman"/>
                <w:b/>
                <w:bCs/>
                <w:iCs/>
                <w:color w:val="000000"/>
                <w:sz w:val="20"/>
                <w:szCs w:val="20"/>
              </w:rPr>
              <w:t>Treatment switching:</w:t>
            </w:r>
          </w:p>
          <w:p w14:paraId="2135ED2F" w14:textId="77777777" w:rsidR="00405F5C" w:rsidRPr="009C1AA2" w:rsidRDefault="00405F5C"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Switching between gMG biological agents is permitted. Treatment switching should be limited to when a patient moves between different treatment settings, i.e. moving from ‘acute severe gMG’ to ‘bridging therapy for gMG’ [(1) to (2)]; or moving from ‘bridging therapy for gMG’ to ‘treatment refractory gMG’ [(2) to (3)]. </w:t>
            </w:r>
          </w:p>
          <w:p w14:paraId="2CD8DB73" w14:textId="77777777" w:rsidR="00405F5C" w:rsidRPr="009C1AA2" w:rsidRDefault="00405F5C" w:rsidP="00873AF3">
            <w:pPr>
              <w:contextualSpacing/>
              <w:jc w:val="left"/>
              <w:rPr>
                <w:rFonts w:ascii="Arial Narrow" w:hAnsi="Arial Narrow" w:cs="Times New Roman"/>
                <w:iCs/>
                <w:color w:val="000000"/>
                <w:sz w:val="20"/>
                <w:szCs w:val="20"/>
              </w:rPr>
            </w:pPr>
          </w:p>
          <w:p w14:paraId="1667872C" w14:textId="77777777" w:rsidR="00405F5C" w:rsidRPr="009C1AA2" w:rsidRDefault="00405F5C"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In the acute severe (1) or bridging therapy (2) settings a patient may switch to an alternate gMG biological agent if they are experiencing an intolerance or toxicity necessitating treatment withdrawal. Patients can switch by requalifying through the relevant restrictions. Only a balance of the time limits specified within the relevant treatment phase will be approved i.e. the remaining of the 3 months (acute severe gMG); or 6 months (bridging therapy for gMG) after accounting for the treatment of the previous gMG biologic. </w:t>
            </w:r>
          </w:p>
          <w:p w14:paraId="1CB965E6" w14:textId="77777777" w:rsidR="00405F5C" w:rsidRPr="009C1AA2" w:rsidRDefault="00405F5C" w:rsidP="00873AF3">
            <w:pPr>
              <w:contextualSpacing/>
              <w:jc w:val="left"/>
              <w:rPr>
                <w:rFonts w:ascii="Arial Narrow" w:hAnsi="Arial Narrow" w:cs="Times New Roman"/>
                <w:iCs/>
                <w:color w:val="000000"/>
                <w:sz w:val="20"/>
                <w:szCs w:val="20"/>
              </w:rPr>
            </w:pPr>
          </w:p>
          <w:p w14:paraId="0F86E3E7" w14:textId="77777777" w:rsidR="00405F5C" w:rsidRPr="009C1AA2" w:rsidRDefault="00405F5C"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In the treatment refractory setting (3), a patient may switch to an alternate gMG biological agent via either:</w:t>
            </w:r>
          </w:p>
          <w:p w14:paraId="44E1C300" w14:textId="77777777" w:rsidR="00405F5C" w:rsidRPr="009C1AA2" w:rsidRDefault="00405F5C" w:rsidP="00873AF3">
            <w:pPr>
              <w:numPr>
                <w:ilvl w:val="0"/>
                <w:numId w:val="38"/>
              </w:numPr>
              <w:spacing w:after="160" w:line="259" w:lineRule="auto"/>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the initial restriction if they have trialled a different gMG biologic, but did not respond due to an intolerance to treatment; or </w:t>
            </w:r>
          </w:p>
          <w:p w14:paraId="2402A5AD" w14:textId="77777777" w:rsidR="00405F5C" w:rsidRPr="009C1AA2" w:rsidRDefault="00405F5C" w:rsidP="00873AF3">
            <w:pPr>
              <w:numPr>
                <w:ilvl w:val="0"/>
                <w:numId w:val="38"/>
              </w:numPr>
              <w:spacing w:after="160" w:line="259" w:lineRule="auto"/>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 xml:space="preserve">the continuing restriction if they have trialled a different gMG biological agent and have responded to treatment. </w:t>
            </w:r>
          </w:p>
          <w:p w14:paraId="149AAD0D" w14:textId="77777777" w:rsidR="00405F5C" w:rsidRPr="009C1AA2" w:rsidRDefault="00405F5C" w:rsidP="00873AF3">
            <w:pPr>
              <w:contextualSpacing/>
              <w:jc w:val="left"/>
              <w:rPr>
                <w:rFonts w:ascii="Arial Narrow" w:hAnsi="Arial Narrow" w:cs="Times New Roman"/>
                <w:b/>
                <w:bCs/>
                <w:iCs/>
                <w:color w:val="000000"/>
                <w:sz w:val="20"/>
                <w:szCs w:val="20"/>
              </w:rPr>
            </w:pPr>
            <w:r w:rsidRPr="009C1AA2">
              <w:rPr>
                <w:rFonts w:ascii="Arial Narrow" w:hAnsi="Arial Narrow" w:cs="Times New Roman"/>
                <w:iCs/>
                <w:color w:val="000000"/>
                <w:sz w:val="20"/>
                <w:szCs w:val="20"/>
              </w:rPr>
              <w:t>Mark any remaining unused repeat prescriptions as “cancelled”.</w:t>
            </w:r>
          </w:p>
        </w:tc>
      </w:tr>
      <w:tr w:rsidR="00405F5C" w:rsidRPr="009C1AA2" w14:paraId="7191F98E" w14:textId="77777777" w:rsidTr="0091111B">
        <w:tblPrEx>
          <w:tblCellMar>
            <w:top w:w="15" w:type="dxa"/>
            <w:bottom w:w="15" w:type="dxa"/>
          </w:tblCellMar>
          <w:tblLook w:val="04A0" w:firstRow="1" w:lastRow="0" w:firstColumn="1" w:lastColumn="0" w:noHBand="0" w:noVBand="1"/>
        </w:tblPrEx>
        <w:trPr>
          <w:trHeight w:val="285"/>
        </w:trPr>
        <w:tc>
          <w:tcPr>
            <w:tcW w:w="9071" w:type="dxa"/>
            <w:gridSpan w:val="7"/>
            <w:vAlign w:val="center"/>
          </w:tcPr>
          <w:p w14:paraId="53549EFD" w14:textId="77777777" w:rsidR="00405F5C" w:rsidRPr="009C1AA2" w:rsidRDefault="00405F5C" w:rsidP="00873AF3">
            <w:pPr>
              <w:contextualSpacing/>
              <w:jc w:val="left"/>
              <w:rPr>
                <w:rFonts w:ascii="Arial Narrow" w:hAnsi="Arial Narrow" w:cs="Times New Roman"/>
                <w:b/>
                <w:bCs/>
                <w:iCs/>
                <w:color w:val="000000"/>
                <w:sz w:val="20"/>
                <w:szCs w:val="20"/>
              </w:rPr>
            </w:pPr>
            <w:r w:rsidRPr="009C1AA2">
              <w:rPr>
                <w:rFonts w:ascii="Arial Narrow" w:hAnsi="Arial Narrow" w:cs="Times New Roman"/>
                <w:b/>
                <w:bCs/>
                <w:iCs/>
                <w:color w:val="000000"/>
                <w:sz w:val="20"/>
                <w:szCs w:val="20"/>
              </w:rPr>
              <w:t>Administrative Advice:</w:t>
            </w:r>
          </w:p>
          <w:p w14:paraId="7064264D" w14:textId="77777777" w:rsidR="00405F5C" w:rsidRPr="009C1AA2" w:rsidRDefault="00405F5C"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Any queries concerning the arrangements to prescribe may be directed to Services Australia on 1800 700 270 (hours of operation 8 a.m. to 5 p.m. Monday to Friday).</w:t>
            </w:r>
          </w:p>
          <w:p w14:paraId="4D1E425F" w14:textId="77777777" w:rsidR="00405F5C" w:rsidRPr="009C1AA2" w:rsidRDefault="00405F5C"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Prescribing information (including Authority Application forms and other relevant documentation as applicable) is available on the Services Australia website at www.servicesaustralia.gov.au</w:t>
            </w:r>
          </w:p>
          <w:p w14:paraId="1CE50DA8" w14:textId="77777777" w:rsidR="00405F5C" w:rsidRPr="009C1AA2" w:rsidRDefault="00405F5C"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Applications for authorisation under this restriction should be made using the Online PBS Authorities system (see www.servicesaustralia.gov.au/hpos)</w:t>
            </w:r>
          </w:p>
          <w:p w14:paraId="1A49A307" w14:textId="77777777" w:rsidR="00405F5C" w:rsidRPr="009C1AA2" w:rsidRDefault="00405F5C"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Alternatively, applications for authority to prescribe should be submitted online using the form upload facility in Health Professional Online Services (HPOS) at www.servicesaustralia.gov.au/hpos</w:t>
            </w:r>
          </w:p>
          <w:p w14:paraId="15FFF17A" w14:textId="77777777" w:rsidR="00405F5C" w:rsidRPr="009C1AA2" w:rsidRDefault="00405F5C"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Or mailed to:</w:t>
            </w:r>
          </w:p>
          <w:p w14:paraId="16DF9610" w14:textId="77777777" w:rsidR="00405F5C" w:rsidRPr="009C1AA2" w:rsidRDefault="00405F5C"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Services Australia</w:t>
            </w:r>
          </w:p>
          <w:p w14:paraId="1A8C94E5" w14:textId="77777777" w:rsidR="00405F5C" w:rsidRPr="009C1AA2" w:rsidRDefault="00405F5C"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Complex Drugs</w:t>
            </w:r>
          </w:p>
          <w:p w14:paraId="1E38C7B2" w14:textId="77777777" w:rsidR="00405F5C" w:rsidRPr="009C1AA2" w:rsidRDefault="00405F5C" w:rsidP="00873AF3">
            <w:pPr>
              <w:contextualSpacing/>
              <w:jc w:val="left"/>
              <w:rPr>
                <w:rFonts w:ascii="Arial Narrow" w:hAnsi="Arial Narrow" w:cs="Times New Roman"/>
                <w:iCs/>
                <w:color w:val="000000"/>
                <w:sz w:val="20"/>
                <w:szCs w:val="20"/>
              </w:rPr>
            </w:pPr>
            <w:r w:rsidRPr="009C1AA2">
              <w:rPr>
                <w:rFonts w:ascii="Arial Narrow" w:hAnsi="Arial Narrow" w:cs="Times New Roman"/>
                <w:iCs/>
                <w:color w:val="000000"/>
                <w:sz w:val="20"/>
                <w:szCs w:val="20"/>
              </w:rPr>
              <w:t>Reply Paid 9826</w:t>
            </w:r>
          </w:p>
          <w:p w14:paraId="0351BB7A" w14:textId="77777777" w:rsidR="00405F5C" w:rsidRPr="009C1AA2" w:rsidRDefault="00405F5C" w:rsidP="00873AF3">
            <w:pPr>
              <w:contextualSpacing/>
              <w:jc w:val="left"/>
              <w:rPr>
                <w:rFonts w:ascii="Arial Narrow" w:hAnsi="Arial Narrow" w:cs="Times New Roman"/>
                <w:b/>
                <w:bCs/>
                <w:iCs/>
                <w:color w:val="000000"/>
                <w:sz w:val="20"/>
                <w:szCs w:val="20"/>
              </w:rPr>
            </w:pPr>
            <w:r w:rsidRPr="009C1AA2">
              <w:rPr>
                <w:rFonts w:ascii="Arial Narrow" w:hAnsi="Arial Narrow" w:cs="Times New Roman"/>
                <w:iCs/>
                <w:color w:val="000000"/>
                <w:sz w:val="20"/>
                <w:szCs w:val="20"/>
              </w:rPr>
              <w:t>HOBART TAS 7001</w:t>
            </w:r>
          </w:p>
        </w:tc>
      </w:tr>
      <w:tr w:rsidR="00405F5C" w:rsidRPr="009C1AA2" w14:paraId="45A3CB5F" w14:textId="77777777" w:rsidTr="0091111B">
        <w:tblPrEx>
          <w:tblCellMar>
            <w:top w:w="15" w:type="dxa"/>
            <w:bottom w:w="15" w:type="dxa"/>
          </w:tblCellMar>
          <w:tblLook w:val="04A0" w:firstRow="1" w:lastRow="0" w:firstColumn="1" w:lastColumn="0" w:noHBand="0" w:noVBand="1"/>
        </w:tblPrEx>
        <w:trPr>
          <w:trHeight w:val="252"/>
        </w:trPr>
        <w:tc>
          <w:tcPr>
            <w:tcW w:w="9071" w:type="dxa"/>
            <w:gridSpan w:val="7"/>
            <w:vAlign w:val="center"/>
          </w:tcPr>
          <w:p w14:paraId="30C661D4" w14:textId="77777777" w:rsidR="00405F5C" w:rsidRPr="009C1AA2" w:rsidRDefault="00405F5C" w:rsidP="00873AF3">
            <w:pPr>
              <w:contextualSpacing/>
              <w:jc w:val="left"/>
              <w:rPr>
                <w:rFonts w:ascii="Arial Narrow" w:hAnsi="Arial Narrow" w:cs="Times New Roman"/>
                <w:b/>
                <w:bCs/>
                <w:iCs/>
                <w:color w:val="000000"/>
                <w:sz w:val="20"/>
                <w:szCs w:val="20"/>
              </w:rPr>
            </w:pPr>
            <w:r w:rsidRPr="009C1AA2">
              <w:rPr>
                <w:rFonts w:ascii="Arial Narrow" w:hAnsi="Arial Narrow" w:cs="Times New Roman"/>
                <w:b/>
                <w:bCs/>
                <w:iCs/>
                <w:color w:val="000000"/>
                <w:sz w:val="20"/>
                <w:szCs w:val="20"/>
              </w:rPr>
              <w:t xml:space="preserve">Administrative Advice: </w:t>
            </w:r>
            <w:r w:rsidRPr="009C1AA2">
              <w:rPr>
                <w:rFonts w:ascii="Arial Narrow" w:hAnsi="Arial Narrow" w:cs="Times New Roman"/>
                <w:iCs/>
                <w:color w:val="000000"/>
                <w:sz w:val="20"/>
                <w:szCs w:val="20"/>
              </w:rPr>
              <w:t>No increase in the maximum quantity or number of units may be authorised.</w:t>
            </w:r>
          </w:p>
        </w:tc>
      </w:tr>
      <w:tr w:rsidR="00405F5C" w:rsidRPr="009C1AA2" w14:paraId="2736D450" w14:textId="77777777" w:rsidTr="0091111B">
        <w:tblPrEx>
          <w:tblCellMar>
            <w:top w:w="15" w:type="dxa"/>
            <w:bottom w:w="15" w:type="dxa"/>
          </w:tblCellMar>
          <w:tblLook w:val="04A0" w:firstRow="1" w:lastRow="0" w:firstColumn="1" w:lastColumn="0" w:noHBand="0" w:noVBand="1"/>
        </w:tblPrEx>
        <w:trPr>
          <w:trHeight w:val="242"/>
        </w:trPr>
        <w:tc>
          <w:tcPr>
            <w:tcW w:w="9071" w:type="dxa"/>
            <w:gridSpan w:val="7"/>
            <w:vAlign w:val="center"/>
          </w:tcPr>
          <w:p w14:paraId="5A0FB245" w14:textId="77777777" w:rsidR="00405F5C" w:rsidRPr="009C1AA2" w:rsidRDefault="00405F5C" w:rsidP="00873AF3">
            <w:pPr>
              <w:contextualSpacing/>
              <w:jc w:val="left"/>
              <w:rPr>
                <w:rFonts w:ascii="Arial Narrow" w:hAnsi="Arial Narrow" w:cs="Times New Roman"/>
                <w:b/>
                <w:bCs/>
                <w:iCs/>
                <w:color w:val="000000"/>
                <w:sz w:val="20"/>
                <w:szCs w:val="20"/>
              </w:rPr>
            </w:pPr>
            <w:r w:rsidRPr="009C1AA2">
              <w:rPr>
                <w:rFonts w:ascii="Arial Narrow" w:hAnsi="Arial Narrow" w:cs="Times New Roman"/>
                <w:b/>
                <w:bCs/>
                <w:iCs/>
                <w:color w:val="000000"/>
                <w:sz w:val="20"/>
                <w:szCs w:val="20"/>
              </w:rPr>
              <w:t xml:space="preserve">Administrative Advice: </w:t>
            </w:r>
            <w:r w:rsidRPr="009C1AA2">
              <w:rPr>
                <w:rFonts w:ascii="Arial Narrow" w:hAnsi="Arial Narrow" w:cs="Times New Roman"/>
                <w:iCs/>
                <w:color w:val="000000"/>
                <w:sz w:val="20"/>
                <w:szCs w:val="20"/>
              </w:rPr>
              <w:t>No increase in the maximum number of repeats may be authorised.</w:t>
            </w:r>
          </w:p>
        </w:tc>
      </w:tr>
      <w:tr w:rsidR="00405F5C" w:rsidRPr="009C1AA2" w14:paraId="7FE93580" w14:textId="77777777" w:rsidTr="0091111B">
        <w:tblPrEx>
          <w:tblCellMar>
            <w:top w:w="15" w:type="dxa"/>
            <w:bottom w:w="15" w:type="dxa"/>
          </w:tblCellMar>
          <w:tblLook w:val="04A0" w:firstRow="1" w:lastRow="0" w:firstColumn="1" w:lastColumn="0" w:noHBand="0" w:noVBand="1"/>
        </w:tblPrEx>
        <w:trPr>
          <w:trHeight w:val="162"/>
        </w:trPr>
        <w:tc>
          <w:tcPr>
            <w:tcW w:w="9071" w:type="dxa"/>
            <w:gridSpan w:val="7"/>
            <w:vAlign w:val="center"/>
          </w:tcPr>
          <w:p w14:paraId="2041305D" w14:textId="77777777" w:rsidR="00405F5C" w:rsidRPr="009C1AA2" w:rsidRDefault="00405F5C" w:rsidP="00873AF3">
            <w:pPr>
              <w:contextualSpacing/>
              <w:jc w:val="left"/>
              <w:rPr>
                <w:rFonts w:ascii="Arial Narrow" w:hAnsi="Arial Narrow" w:cs="Times New Roman"/>
                <w:b/>
                <w:bCs/>
                <w:iCs/>
                <w:color w:val="000000"/>
                <w:sz w:val="20"/>
                <w:szCs w:val="20"/>
              </w:rPr>
            </w:pPr>
            <w:r w:rsidRPr="009C1AA2">
              <w:rPr>
                <w:rFonts w:ascii="Arial Narrow" w:hAnsi="Arial Narrow" w:cs="Times New Roman"/>
                <w:b/>
                <w:bCs/>
                <w:iCs/>
                <w:color w:val="000000"/>
                <w:sz w:val="20"/>
                <w:szCs w:val="20"/>
              </w:rPr>
              <w:t xml:space="preserve">Administrative Advice: </w:t>
            </w:r>
            <w:r w:rsidRPr="009C1AA2">
              <w:rPr>
                <w:rFonts w:ascii="Arial Narrow" w:hAnsi="Arial Narrow" w:cs="Times New Roman"/>
                <w:iCs/>
                <w:color w:val="000000"/>
                <w:sz w:val="20"/>
                <w:szCs w:val="20"/>
              </w:rPr>
              <w:t>Special Pricing Arrangements apply.</w:t>
            </w:r>
          </w:p>
        </w:tc>
      </w:tr>
      <w:tr w:rsidR="008A494F" w:rsidRPr="009C1AA2" w14:paraId="60BD2B96"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shd w:val="clear" w:color="auto" w:fill="D1D1D1"/>
            <w:vAlign w:val="center"/>
          </w:tcPr>
          <w:p w14:paraId="30B667E9" w14:textId="4796D815" w:rsidR="008A494F" w:rsidRPr="009C1AA2" w:rsidRDefault="008A494F" w:rsidP="00873AF3">
            <w:pPr>
              <w:keepLines/>
              <w:contextualSpacing/>
              <w:jc w:val="left"/>
              <w:rPr>
                <w:rFonts w:ascii="Arial Narrow" w:hAnsi="Arial Narrow" w:cs="Times New Roman"/>
                <w:b/>
                <w:bCs/>
                <w:color w:val="000000"/>
                <w:sz w:val="20"/>
                <w:szCs w:val="20"/>
              </w:rPr>
            </w:pPr>
            <w:r w:rsidRPr="009C1AA2">
              <w:rPr>
                <w:rFonts w:ascii="Arial Narrow" w:eastAsia="Calibri" w:hAnsi="Arial Narrow" w:cs="Times New Roman"/>
                <w:b/>
                <w:color w:val="000000"/>
                <w:sz w:val="20"/>
                <w:szCs w:val="20"/>
                <w:lang w:eastAsia="en-US"/>
              </w:rPr>
              <w:t>Restriction Summary</w:t>
            </w:r>
            <w:r w:rsidR="00A709EC">
              <w:rPr>
                <w:rFonts w:ascii="Arial Narrow" w:eastAsia="Calibri" w:hAnsi="Arial Narrow" w:cs="Times New Roman"/>
                <w:b/>
                <w:color w:val="000000"/>
                <w:sz w:val="20"/>
                <w:szCs w:val="20"/>
                <w:lang w:eastAsia="en-US"/>
              </w:rPr>
              <w:t xml:space="preserve">] </w:t>
            </w:r>
            <w:r w:rsidRPr="009C1AA2">
              <w:rPr>
                <w:rFonts w:ascii="Arial Narrow" w:eastAsia="Calibri" w:hAnsi="Arial Narrow" w:cs="Times New Roman"/>
                <w:b/>
                <w:color w:val="000000"/>
                <w:sz w:val="20"/>
                <w:szCs w:val="20"/>
                <w:lang w:eastAsia="en-US"/>
              </w:rPr>
              <w:t xml:space="preserve">/ Treatment of Concept: </w:t>
            </w:r>
          </w:p>
        </w:tc>
      </w:tr>
      <w:tr w:rsidR="00405F5C" w:rsidRPr="009C1AA2" w14:paraId="4EABBE7A"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69A3DEEB" w14:textId="77777777" w:rsidR="00405F5C" w:rsidRPr="009C1AA2" w:rsidRDefault="00405F5C" w:rsidP="00873AF3">
            <w:pPr>
              <w:contextualSpacing/>
              <w:jc w:val="left"/>
              <w:rPr>
                <w:rFonts w:ascii="Arial Narrow" w:hAnsi="Arial Narrow" w:cs="Times New Roman"/>
                <w:b/>
                <w:bCs/>
                <w:color w:val="000000"/>
                <w:sz w:val="20"/>
                <w:szCs w:val="20"/>
              </w:rPr>
            </w:pPr>
            <w:r w:rsidRPr="009C1AA2">
              <w:rPr>
                <w:rFonts w:ascii="Arial Narrow" w:hAnsi="Arial Narrow" w:cs="Times New Roman"/>
                <w:b/>
                <w:bCs/>
                <w:color w:val="000000"/>
                <w:sz w:val="20"/>
                <w:szCs w:val="20"/>
              </w:rPr>
              <w:t>Indication:</w:t>
            </w:r>
            <w:r w:rsidRPr="009C1AA2">
              <w:rPr>
                <w:rFonts w:ascii="Arial Narrow" w:hAnsi="Arial Narrow" w:cs="Times New Roman"/>
                <w:color w:val="000000"/>
                <w:sz w:val="20"/>
                <w:szCs w:val="20"/>
              </w:rPr>
              <w:t xml:space="preserve"> </w:t>
            </w:r>
            <w:r w:rsidRPr="009C1AA2">
              <w:rPr>
                <w:rFonts w:ascii="Arial Narrow" w:eastAsia="Arial Narrow" w:hAnsi="Arial Narrow" w:cs="Arial Narrow"/>
                <w:color w:val="000000"/>
                <w:sz w:val="20"/>
                <w:szCs w:val="20"/>
                <w:lang w:eastAsia="en-US"/>
              </w:rPr>
              <w:t>Treatment refractory</w:t>
            </w:r>
            <w:r w:rsidRPr="009C1AA2">
              <w:rPr>
                <w:rFonts w:ascii="Arial Narrow" w:hAnsi="Arial Narrow" w:cs="Times New Roman"/>
                <w:color w:val="000000"/>
                <w:sz w:val="20"/>
                <w:szCs w:val="20"/>
              </w:rPr>
              <w:t xml:space="preserve"> generalised myasthenia gravis (gMG)</w:t>
            </w:r>
          </w:p>
        </w:tc>
      </w:tr>
      <w:tr w:rsidR="00405F5C" w:rsidRPr="009C1AA2" w14:paraId="50166353"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68E263AA" w14:textId="77777777" w:rsidR="00405F5C" w:rsidRPr="009C1AA2" w:rsidRDefault="00405F5C" w:rsidP="00873AF3">
            <w:pPr>
              <w:contextualSpacing/>
              <w:jc w:val="left"/>
              <w:rPr>
                <w:rFonts w:ascii="Arial Narrow" w:hAnsi="Arial Narrow" w:cs="Times New Roman"/>
                <w:b/>
                <w:bCs/>
                <w:color w:val="000000"/>
                <w:sz w:val="20"/>
                <w:szCs w:val="20"/>
              </w:rPr>
            </w:pPr>
            <w:r w:rsidRPr="009C1AA2">
              <w:rPr>
                <w:rFonts w:ascii="Arial Narrow" w:hAnsi="Arial Narrow" w:cs="Times New Roman"/>
                <w:b/>
                <w:bCs/>
                <w:color w:val="000000"/>
                <w:sz w:val="20"/>
                <w:szCs w:val="20"/>
              </w:rPr>
              <w:t xml:space="preserve">Treatment Phase: </w:t>
            </w:r>
            <w:r w:rsidRPr="009C1AA2">
              <w:rPr>
                <w:rFonts w:ascii="Arial Narrow" w:hAnsi="Arial Narrow" w:cs="Times New Roman"/>
                <w:color w:val="000000"/>
                <w:sz w:val="20"/>
                <w:szCs w:val="20"/>
              </w:rPr>
              <w:t xml:space="preserve">Initial treatment – </w:t>
            </w:r>
            <w:r w:rsidRPr="009C1AA2">
              <w:rPr>
                <w:rFonts w:ascii="Arial Narrow" w:eastAsia="Arial Narrow" w:hAnsi="Arial Narrow" w:cs="Arial Narrow"/>
                <w:color w:val="000000"/>
                <w:sz w:val="20"/>
                <w:szCs w:val="20"/>
                <w:lang w:eastAsia="en-US"/>
              </w:rPr>
              <w:t>Treatment refractory</w:t>
            </w:r>
            <w:r w:rsidRPr="009C1AA2">
              <w:rPr>
                <w:rFonts w:ascii="Arial Narrow" w:hAnsi="Arial Narrow" w:cs="Times New Roman"/>
                <w:color w:val="000000"/>
                <w:sz w:val="20"/>
                <w:szCs w:val="20"/>
              </w:rPr>
              <w:t xml:space="preserve"> gMG patients </w:t>
            </w:r>
          </w:p>
        </w:tc>
      </w:tr>
      <w:tr w:rsidR="00405F5C" w:rsidRPr="009C1AA2" w14:paraId="395E9B81"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785393EB" w14:textId="77777777" w:rsidR="00405F5C" w:rsidRPr="009C1AA2" w:rsidRDefault="00405F5C" w:rsidP="00873AF3">
            <w:pPr>
              <w:contextualSpacing/>
              <w:jc w:val="left"/>
              <w:rPr>
                <w:rFonts w:ascii="Arial Narrow" w:hAnsi="Arial Narrow" w:cs="Times New Roman"/>
                <w:color w:val="000000"/>
                <w:sz w:val="20"/>
                <w:szCs w:val="20"/>
              </w:rPr>
            </w:pPr>
            <w:r w:rsidRPr="009C1AA2">
              <w:rPr>
                <w:rFonts w:ascii="Arial Narrow" w:hAnsi="Arial Narrow" w:cs="Times New Roman"/>
                <w:b/>
                <w:bCs/>
                <w:color w:val="000000"/>
                <w:sz w:val="20"/>
                <w:szCs w:val="20"/>
              </w:rPr>
              <w:t>Clinical criteria:</w:t>
            </w:r>
          </w:p>
        </w:tc>
      </w:tr>
      <w:tr w:rsidR="00405F5C" w:rsidRPr="009C1AA2" w14:paraId="4D662817"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419D5F84" w14:textId="77777777" w:rsidR="00405F5C" w:rsidRPr="009C1AA2" w:rsidRDefault="00405F5C" w:rsidP="00873AF3">
            <w:pPr>
              <w:contextualSpacing/>
              <w:jc w:val="left"/>
              <w:rPr>
                <w:rFonts w:ascii="Arial Narrow" w:hAnsi="Arial Narrow" w:cs="Times New Roman"/>
                <w:color w:val="000000"/>
                <w:sz w:val="20"/>
                <w:szCs w:val="20"/>
              </w:rPr>
            </w:pPr>
            <w:r w:rsidRPr="009C1AA2">
              <w:rPr>
                <w:rFonts w:ascii="Arial Narrow" w:hAnsi="Arial Narrow" w:cs="Times New Roman"/>
                <w:color w:val="333333"/>
                <w:kern w:val="2"/>
                <w:sz w:val="20"/>
                <w:szCs w:val="20"/>
                <w14:ligatures w14:val="standardContextual"/>
              </w:rPr>
              <w:t xml:space="preserve">Patient must have a diagnosis of MGFA Disease </w:t>
            </w:r>
            <w:r w:rsidRPr="009C1AA2">
              <w:rPr>
                <w:rFonts w:ascii="Arial Narrow" w:hAnsi="Arial Narrow" w:cs="Times New Roman"/>
                <w:color w:val="000000"/>
                <w:kern w:val="2"/>
                <w:sz w:val="20"/>
                <w:szCs w:val="20"/>
                <w14:ligatures w14:val="standardContextual"/>
              </w:rPr>
              <w:t xml:space="preserve">Class II to IV </w:t>
            </w:r>
          </w:p>
        </w:tc>
      </w:tr>
      <w:tr w:rsidR="00405F5C" w:rsidRPr="009C1AA2" w14:paraId="0E59547D"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62C08273" w14:textId="77777777" w:rsidR="00405F5C" w:rsidRPr="009C1AA2" w:rsidRDefault="00405F5C" w:rsidP="00873AF3">
            <w:pPr>
              <w:contextualSpacing/>
              <w:jc w:val="left"/>
              <w:rPr>
                <w:rFonts w:ascii="Arial Narrow" w:hAnsi="Arial Narrow" w:cs="Times New Roman"/>
                <w:color w:val="000000"/>
                <w:sz w:val="20"/>
                <w:szCs w:val="20"/>
              </w:rPr>
            </w:pPr>
            <w:r w:rsidRPr="009C1AA2">
              <w:rPr>
                <w:rFonts w:ascii="Arial Narrow" w:hAnsi="Arial Narrow" w:cs="Times New Roman"/>
                <w:b/>
                <w:bCs/>
                <w:color w:val="000000"/>
                <w:sz w:val="20"/>
                <w:szCs w:val="20"/>
              </w:rPr>
              <w:t>AND</w:t>
            </w:r>
          </w:p>
        </w:tc>
      </w:tr>
      <w:tr w:rsidR="00405F5C" w:rsidRPr="009C1AA2" w14:paraId="41B996DE"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067E98D3" w14:textId="77777777" w:rsidR="00405F5C" w:rsidRPr="009C1AA2" w:rsidRDefault="00405F5C" w:rsidP="00873AF3">
            <w:pPr>
              <w:contextualSpacing/>
              <w:jc w:val="left"/>
              <w:rPr>
                <w:rFonts w:ascii="Arial Narrow" w:hAnsi="Arial Narrow" w:cs="Times New Roman"/>
                <w:color w:val="000000"/>
                <w:sz w:val="20"/>
                <w:szCs w:val="20"/>
              </w:rPr>
            </w:pPr>
            <w:r w:rsidRPr="009C1AA2">
              <w:rPr>
                <w:rFonts w:ascii="Arial Narrow" w:hAnsi="Arial Narrow" w:cs="Times New Roman"/>
                <w:b/>
                <w:bCs/>
                <w:color w:val="000000"/>
                <w:sz w:val="20"/>
                <w:szCs w:val="20"/>
              </w:rPr>
              <w:t>Clinical criteria:</w:t>
            </w:r>
          </w:p>
        </w:tc>
      </w:tr>
      <w:tr w:rsidR="00405F5C" w:rsidRPr="009C1AA2" w14:paraId="2896F8B7"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59DDAF32" w14:textId="77777777" w:rsidR="00405F5C" w:rsidRPr="009C1AA2" w:rsidRDefault="00405F5C" w:rsidP="00873AF3">
            <w:pPr>
              <w:contextualSpacing/>
              <w:jc w:val="left"/>
              <w:rPr>
                <w:rFonts w:ascii="Arial Narrow" w:hAnsi="Arial Narrow" w:cs="Times New Roman"/>
                <w:sz w:val="20"/>
                <w:szCs w:val="20"/>
              </w:rPr>
            </w:pPr>
            <w:r w:rsidRPr="009C1AA2">
              <w:rPr>
                <w:rFonts w:ascii="Arial Narrow" w:hAnsi="Arial Narrow" w:cs="Times New Roman"/>
                <w:bCs/>
                <w:kern w:val="2"/>
                <w:sz w:val="20"/>
                <w:szCs w:val="20"/>
                <w14:ligatures w14:val="standardContextual"/>
              </w:rPr>
              <w:t>Patient must have a positive serology for acetylcholine receptor (AChR) binding autoantibodies</w:t>
            </w:r>
          </w:p>
        </w:tc>
      </w:tr>
      <w:tr w:rsidR="00405F5C" w:rsidRPr="009C1AA2" w14:paraId="2218EFBA"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4EE77FA6" w14:textId="77777777" w:rsidR="00405F5C" w:rsidRPr="009C1AA2" w:rsidRDefault="00405F5C" w:rsidP="00873AF3">
            <w:pPr>
              <w:contextualSpacing/>
              <w:jc w:val="left"/>
              <w:rPr>
                <w:rFonts w:ascii="Arial Narrow" w:hAnsi="Arial Narrow" w:cs="Times New Roman"/>
                <w:sz w:val="20"/>
                <w:szCs w:val="20"/>
              </w:rPr>
            </w:pPr>
            <w:r w:rsidRPr="009C1AA2">
              <w:rPr>
                <w:rFonts w:ascii="Arial Narrow" w:eastAsia="Calibri" w:hAnsi="Arial Narrow" w:cs="Times New Roman"/>
                <w:b/>
                <w:bCs/>
                <w:sz w:val="20"/>
                <w:szCs w:val="20"/>
                <w:lang w:eastAsia="en-US"/>
              </w:rPr>
              <w:t>AND</w:t>
            </w:r>
          </w:p>
        </w:tc>
      </w:tr>
      <w:tr w:rsidR="00405F5C" w:rsidRPr="009C1AA2" w14:paraId="20DB279C"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027014D0" w14:textId="77777777" w:rsidR="00405F5C" w:rsidRPr="009C1AA2" w:rsidRDefault="00405F5C" w:rsidP="00873AF3">
            <w:pPr>
              <w:contextualSpacing/>
              <w:jc w:val="left"/>
              <w:rPr>
                <w:rFonts w:ascii="Arial Narrow" w:hAnsi="Arial Narrow" w:cs="Times New Roman"/>
                <w:sz w:val="20"/>
                <w:szCs w:val="20"/>
              </w:rPr>
            </w:pPr>
            <w:r w:rsidRPr="009C1AA2">
              <w:rPr>
                <w:rFonts w:ascii="Arial Narrow" w:eastAsia="Calibri" w:hAnsi="Arial Narrow" w:cs="Times New Roman"/>
                <w:b/>
                <w:bCs/>
                <w:sz w:val="20"/>
                <w:szCs w:val="20"/>
                <w:lang w:eastAsia="en-US"/>
              </w:rPr>
              <w:t>Clinical criteria:</w:t>
            </w:r>
          </w:p>
        </w:tc>
      </w:tr>
      <w:tr w:rsidR="00405F5C" w:rsidRPr="009C1AA2" w14:paraId="53B44F76"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07FEC410" w14:textId="77777777" w:rsidR="00405F5C" w:rsidRPr="009C1AA2" w:rsidRDefault="00405F5C" w:rsidP="00873AF3">
            <w:pPr>
              <w:contextualSpacing/>
              <w:jc w:val="left"/>
              <w:rPr>
                <w:rFonts w:ascii="Arial Narrow" w:hAnsi="Arial Narrow" w:cs="Times New Roman"/>
                <w:sz w:val="20"/>
                <w:szCs w:val="20"/>
              </w:rPr>
            </w:pPr>
            <w:r w:rsidRPr="009C1AA2">
              <w:rPr>
                <w:rFonts w:ascii="Arial Narrow" w:eastAsia="Calibri" w:hAnsi="Arial Narrow" w:cs="Times New Roman"/>
                <w:sz w:val="20"/>
                <w:szCs w:val="20"/>
                <w:lang w:eastAsia="en-US"/>
              </w:rPr>
              <w:t xml:space="preserve">Patient must not be experiencing a myasthenic crisis </w:t>
            </w:r>
          </w:p>
        </w:tc>
      </w:tr>
      <w:tr w:rsidR="00405F5C" w:rsidRPr="009C1AA2" w14:paraId="60B7A3ED"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45A4DCCE" w14:textId="77777777" w:rsidR="00405F5C" w:rsidRPr="009C1AA2" w:rsidRDefault="00405F5C" w:rsidP="00873AF3">
            <w:pPr>
              <w:contextualSpacing/>
              <w:jc w:val="left"/>
              <w:rPr>
                <w:rFonts w:ascii="Arial Narrow" w:eastAsia="Calibri" w:hAnsi="Arial Narrow" w:cs="Times New Roman"/>
                <w:color w:val="000000"/>
                <w:sz w:val="20"/>
                <w:szCs w:val="20"/>
                <w:lang w:eastAsia="en-US"/>
              </w:rPr>
            </w:pPr>
            <w:r w:rsidRPr="009C1AA2">
              <w:rPr>
                <w:rFonts w:ascii="Arial Narrow" w:eastAsia="Calibri" w:hAnsi="Arial Narrow" w:cs="Times New Roman"/>
                <w:b/>
                <w:bCs/>
                <w:color w:val="000000"/>
                <w:sz w:val="20"/>
                <w:szCs w:val="20"/>
                <w:lang w:eastAsia="en-US"/>
              </w:rPr>
              <w:t>AND</w:t>
            </w:r>
          </w:p>
        </w:tc>
      </w:tr>
      <w:tr w:rsidR="00405F5C" w:rsidRPr="009C1AA2" w14:paraId="680678F3"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49EB6ECD" w14:textId="77777777" w:rsidR="00405F5C" w:rsidRPr="009C1AA2" w:rsidRDefault="00405F5C" w:rsidP="00873AF3">
            <w:pPr>
              <w:contextualSpacing/>
              <w:jc w:val="left"/>
              <w:rPr>
                <w:rFonts w:ascii="Arial Narrow" w:eastAsia="Calibri" w:hAnsi="Arial Narrow" w:cs="Times New Roman"/>
                <w:color w:val="000000"/>
                <w:sz w:val="20"/>
                <w:szCs w:val="20"/>
                <w:lang w:eastAsia="en-US"/>
              </w:rPr>
            </w:pPr>
            <w:r w:rsidRPr="009C1AA2">
              <w:rPr>
                <w:rFonts w:ascii="Arial Narrow" w:eastAsia="Calibri" w:hAnsi="Arial Narrow" w:cs="Times New Roman"/>
                <w:b/>
                <w:bCs/>
                <w:color w:val="000000"/>
                <w:sz w:val="20"/>
                <w:szCs w:val="20"/>
                <w:lang w:eastAsia="en-US"/>
              </w:rPr>
              <w:t>Clinical criteria:</w:t>
            </w:r>
          </w:p>
        </w:tc>
      </w:tr>
      <w:tr w:rsidR="00405F5C" w:rsidRPr="009C1AA2" w14:paraId="54AF73B2"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4CF10090" w14:textId="77777777" w:rsidR="00405F5C" w:rsidRPr="009C1AA2" w:rsidRDefault="00405F5C" w:rsidP="00873AF3">
            <w:pPr>
              <w:contextualSpacing/>
              <w:jc w:val="left"/>
              <w:rPr>
                <w:rFonts w:ascii="Arial Narrow" w:eastAsia="Calibri" w:hAnsi="Arial Narrow" w:cs="Times New Roman"/>
                <w:color w:val="000000"/>
                <w:sz w:val="20"/>
                <w:szCs w:val="20"/>
                <w:lang w:eastAsia="en-US"/>
              </w:rPr>
            </w:pPr>
            <w:r w:rsidRPr="009C1AA2">
              <w:rPr>
                <w:rFonts w:ascii="Arial Narrow" w:eastAsia="Calibri" w:hAnsi="Arial Narrow" w:cs="Times New Roman"/>
                <w:color w:val="000000"/>
                <w:sz w:val="20"/>
                <w:szCs w:val="20"/>
                <w:lang w:eastAsia="en-US"/>
              </w:rPr>
              <w:t>Patient must not have received treatment with a gMG biologic within 3 months prior to the first authority application for this indication (i.e. in treatment refractory setting); or</w:t>
            </w:r>
          </w:p>
        </w:tc>
      </w:tr>
      <w:tr w:rsidR="00405F5C" w:rsidRPr="009C1AA2" w14:paraId="1DDD095E"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2A587068" w14:textId="77777777" w:rsidR="00405F5C" w:rsidRPr="009C1AA2" w:rsidRDefault="00405F5C" w:rsidP="00873AF3">
            <w:pPr>
              <w:contextualSpacing/>
              <w:jc w:val="left"/>
              <w:rPr>
                <w:rFonts w:ascii="Arial Narrow" w:eastAsia="Calibri" w:hAnsi="Arial Narrow" w:cs="Times New Roman"/>
                <w:color w:val="000000"/>
                <w:sz w:val="20"/>
                <w:szCs w:val="20"/>
                <w:lang w:eastAsia="en-US"/>
              </w:rPr>
            </w:pPr>
            <w:r w:rsidRPr="009C1AA2">
              <w:rPr>
                <w:rFonts w:ascii="Arial Narrow" w:eastAsia="Calibri" w:hAnsi="Arial Narrow" w:cs="Times New Roman"/>
                <w:color w:val="000000"/>
                <w:sz w:val="20"/>
                <w:szCs w:val="20"/>
                <w:lang w:eastAsia="en-US"/>
              </w:rPr>
              <w:t xml:space="preserve">Patient must be considered by the treating clinician to have deteriorating gMG disease during a treatment break with a gMG biological agent; </w:t>
            </w:r>
          </w:p>
        </w:tc>
      </w:tr>
      <w:tr w:rsidR="00405F5C" w:rsidRPr="009C1AA2" w14:paraId="5CB7057C"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4BBAEA30" w14:textId="77777777" w:rsidR="00405F5C" w:rsidRPr="009C1AA2" w:rsidRDefault="00405F5C" w:rsidP="00873AF3">
            <w:pPr>
              <w:contextualSpacing/>
              <w:jc w:val="left"/>
              <w:rPr>
                <w:rFonts w:ascii="Arial Narrow" w:hAnsi="Arial Narrow" w:cs="Times New Roman"/>
                <w:sz w:val="20"/>
                <w:szCs w:val="20"/>
              </w:rPr>
            </w:pPr>
            <w:r w:rsidRPr="009C1AA2">
              <w:rPr>
                <w:rFonts w:ascii="Arial Narrow" w:hAnsi="Arial Narrow" w:cs="Times New Roman"/>
                <w:b/>
                <w:bCs/>
                <w:sz w:val="20"/>
                <w:szCs w:val="20"/>
              </w:rPr>
              <w:t>AND</w:t>
            </w:r>
          </w:p>
        </w:tc>
      </w:tr>
      <w:tr w:rsidR="00405F5C" w:rsidRPr="009C1AA2" w14:paraId="16A460FA"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44B95FFE" w14:textId="77777777" w:rsidR="00405F5C" w:rsidRPr="009C1AA2" w:rsidRDefault="00405F5C" w:rsidP="00873AF3">
            <w:pPr>
              <w:contextualSpacing/>
              <w:jc w:val="left"/>
              <w:rPr>
                <w:rFonts w:ascii="Arial Narrow" w:hAnsi="Arial Narrow" w:cs="Times New Roman"/>
                <w:b/>
                <w:bCs/>
                <w:sz w:val="20"/>
                <w:szCs w:val="20"/>
              </w:rPr>
            </w:pPr>
            <w:r w:rsidRPr="009C1AA2">
              <w:rPr>
                <w:rFonts w:ascii="Arial Narrow" w:hAnsi="Arial Narrow" w:cs="Times New Roman"/>
                <w:b/>
                <w:bCs/>
                <w:sz w:val="20"/>
                <w:szCs w:val="20"/>
              </w:rPr>
              <w:t>Clinical criteria:</w:t>
            </w:r>
          </w:p>
        </w:tc>
      </w:tr>
      <w:tr w:rsidR="00405F5C" w:rsidRPr="009C1AA2" w14:paraId="14F6F002"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32909F5B" w14:textId="77777777" w:rsidR="00405F5C" w:rsidRPr="009C1AA2" w:rsidRDefault="00405F5C"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color w:val="333333"/>
                <w:kern w:val="2"/>
                <w:sz w:val="20"/>
                <w:szCs w:val="20"/>
                <w14:ligatures w14:val="standardContextual"/>
              </w:rPr>
              <w:t xml:space="preserve">Patient must not be receiving concomitant treatment with any of the following: </w:t>
            </w:r>
          </w:p>
          <w:p w14:paraId="713E4451" w14:textId="77777777" w:rsidR="00405F5C" w:rsidRPr="009C1AA2" w:rsidRDefault="00405F5C" w:rsidP="00873AF3">
            <w:pPr>
              <w:contextualSpacing/>
              <w:jc w:val="left"/>
              <w:rPr>
                <w:rFonts w:ascii="Arial Narrow" w:hAnsi="Arial Narrow" w:cs="Times New Roman"/>
                <w:sz w:val="20"/>
                <w:szCs w:val="20"/>
              </w:rPr>
            </w:pPr>
            <w:r w:rsidRPr="009C1AA2">
              <w:rPr>
                <w:rFonts w:ascii="Arial Narrow" w:hAnsi="Arial Narrow" w:cs="Times New Roman"/>
                <w:sz w:val="20"/>
                <w:szCs w:val="20"/>
              </w:rPr>
              <w:t>(i) another gMG biological agent,</w:t>
            </w:r>
          </w:p>
          <w:p w14:paraId="7CCFC498" w14:textId="77777777" w:rsidR="00405F5C" w:rsidRPr="009C1AA2" w:rsidRDefault="00405F5C" w:rsidP="00873AF3">
            <w:pPr>
              <w:contextualSpacing/>
              <w:jc w:val="left"/>
              <w:rPr>
                <w:rFonts w:ascii="Arial Narrow" w:hAnsi="Arial Narrow" w:cs="Times New Roman"/>
                <w:sz w:val="20"/>
                <w:szCs w:val="20"/>
              </w:rPr>
            </w:pPr>
            <w:r w:rsidRPr="009C1AA2">
              <w:rPr>
                <w:rFonts w:ascii="Arial Narrow" w:hAnsi="Arial Narrow" w:cs="Times New Roman"/>
                <w:sz w:val="20"/>
                <w:szCs w:val="20"/>
              </w:rPr>
              <w:t xml:space="preserve">(ii) </w:t>
            </w:r>
            <w:r w:rsidRPr="009C1AA2">
              <w:rPr>
                <w:rFonts w:ascii="Arial Narrow" w:hAnsi="Arial Narrow" w:cs="Times New Roman"/>
                <w:color w:val="333333"/>
                <w:kern w:val="2"/>
                <w:sz w:val="20"/>
                <w:szCs w:val="20"/>
                <w14:ligatures w14:val="standardContextual"/>
              </w:rPr>
              <w:t>intravenous immunoglobulin (</w:t>
            </w:r>
            <w:r w:rsidRPr="009C1AA2">
              <w:rPr>
                <w:rFonts w:ascii="Arial Narrow" w:hAnsi="Arial Narrow" w:cs="Times New Roman"/>
                <w:sz w:val="20"/>
                <w:szCs w:val="20"/>
              </w:rPr>
              <w:t>IVIg),</w:t>
            </w:r>
          </w:p>
          <w:p w14:paraId="49B5EE15" w14:textId="77777777" w:rsidR="00405F5C" w:rsidRPr="009C1AA2" w:rsidRDefault="00405F5C" w:rsidP="00873AF3">
            <w:pPr>
              <w:contextualSpacing/>
              <w:jc w:val="left"/>
              <w:rPr>
                <w:rFonts w:ascii="Arial Narrow" w:hAnsi="Arial Narrow" w:cs="Times New Roman"/>
                <w:sz w:val="20"/>
                <w:szCs w:val="20"/>
              </w:rPr>
            </w:pPr>
            <w:r w:rsidRPr="009C1AA2">
              <w:rPr>
                <w:rFonts w:ascii="Arial Narrow" w:hAnsi="Arial Narrow" w:cs="Times New Roman"/>
                <w:sz w:val="20"/>
                <w:szCs w:val="20"/>
              </w:rPr>
              <w:t>(iii) plasma exchange (PLEX),</w:t>
            </w:r>
          </w:p>
          <w:p w14:paraId="637B8700" w14:textId="77777777" w:rsidR="00405F5C" w:rsidRPr="009C1AA2" w:rsidRDefault="00405F5C" w:rsidP="00873AF3">
            <w:pPr>
              <w:contextualSpacing/>
              <w:jc w:val="left"/>
              <w:rPr>
                <w:rFonts w:ascii="Arial Narrow" w:hAnsi="Arial Narrow" w:cs="Times New Roman"/>
                <w:b/>
                <w:bCs/>
                <w:sz w:val="20"/>
                <w:szCs w:val="20"/>
              </w:rPr>
            </w:pPr>
            <w:r w:rsidRPr="009C1AA2">
              <w:rPr>
                <w:rFonts w:ascii="Arial Narrow" w:hAnsi="Arial Narrow" w:cs="Times New Roman"/>
                <w:sz w:val="20"/>
                <w:szCs w:val="20"/>
              </w:rPr>
              <w:t>(iv) rituximab for this condition.</w:t>
            </w:r>
          </w:p>
        </w:tc>
      </w:tr>
      <w:tr w:rsidR="00405F5C" w:rsidRPr="009C1AA2" w14:paraId="3E675A03"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31059664" w14:textId="77777777" w:rsidR="00405F5C" w:rsidRPr="009C1AA2" w:rsidRDefault="00405F5C" w:rsidP="00873AF3">
            <w:pPr>
              <w:contextualSpacing/>
              <w:jc w:val="left"/>
              <w:rPr>
                <w:rFonts w:ascii="Arial Narrow" w:hAnsi="Arial Narrow" w:cs="Times New Roman"/>
                <w:b/>
                <w:bCs/>
                <w:sz w:val="20"/>
                <w:szCs w:val="20"/>
              </w:rPr>
            </w:pPr>
            <w:r w:rsidRPr="009C1AA2">
              <w:rPr>
                <w:rFonts w:ascii="Arial Narrow" w:hAnsi="Arial Narrow" w:cs="Times New Roman"/>
                <w:b/>
                <w:bCs/>
                <w:sz w:val="20"/>
                <w:szCs w:val="20"/>
              </w:rPr>
              <w:t>AND</w:t>
            </w:r>
          </w:p>
        </w:tc>
      </w:tr>
      <w:tr w:rsidR="00405F5C" w:rsidRPr="009C1AA2" w14:paraId="2CA4E842"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5AA2A51B" w14:textId="77777777" w:rsidR="00405F5C" w:rsidRPr="009C1AA2" w:rsidRDefault="00405F5C" w:rsidP="00873AF3">
            <w:pPr>
              <w:contextualSpacing/>
              <w:jc w:val="left"/>
              <w:rPr>
                <w:rFonts w:ascii="Arial Narrow" w:hAnsi="Arial Narrow" w:cs="Times New Roman"/>
                <w:b/>
                <w:bCs/>
                <w:sz w:val="20"/>
                <w:szCs w:val="20"/>
              </w:rPr>
            </w:pPr>
            <w:r w:rsidRPr="009C1AA2">
              <w:rPr>
                <w:rFonts w:ascii="Arial Narrow" w:hAnsi="Arial Narrow" w:cs="Times New Roman"/>
                <w:b/>
                <w:bCs/>
                <w:sz w:val="20"/>
                <w:szCs w:val="20"/>
              </w:rPr>
              <w:t>Clinical criteria:</w:t>
            </w:r>
          </w:p>
        </w:tc>
      </w:tr>
      <w:tr w:rsidR="00405F5C" w:rsidRPr="009C1AA2" w14:paraId="36F6BC7E"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3436D784" w14:textId="77777777" w:rsidR="00405F5C" w:rsidRPr="009C1AA2" w:rsidRDefault="00405F5C" w:rsidP="00873AF3">
            <w:pPr>
              <w:contextualSpacing/>
              <w:jc w:val="left"/>
              <w:rPr>
                <w:rFonts w:ascii="Arial Narrow" w:hAnsi="Arial Narrow" w:cs="Times New Roman"/>
                <w:sz w:val="20"/>
                <w:szCs w:val="20"/>
              </w:rPr>
            </w:pPr>
            <w:r w:rsidRPr="009C1AA2">
              <w:rPr>
                <w:rFonts w:ascii="Arial Narrow" w:hAnsi="Arial Narrow" w:cs="Times New Roman"/>
                <w:color w:val="333333"/>
                <w:kern w:val="2"/>
                <w:sz w:val="20"/>
                <w:szCs w:val="20"/>
                <w14:ligatures w14:val="standardContextual"/>
              </w:rPr>
              <w:t xml:space="preserve">Patient must be receiving concomitant treatment with a </w:t>
            </w:r>
            <w:r w:rsidRPr="009C1AA2">
              <w:rPr>
                <w:rFonts w:ascii="Arial Narrow" w:hAnsi="Arial Narrow" w:cs="Times New Roman"/>
                <w:sz w:val="20"/>
                <w:szCs w:val="20"/>
              </w:rPr>
              <w:t>non-steroidal immunosuppressant (NS-IST); or</w:t>
            </w:r>
          </w:p>
        </w:tc>
      </w:tr>
      <w:tr w:rsidR="00405F5C" w:rsidRPr="009C1AA2" w14:paraId="3E9D42C1"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404BFFB3" w14:textId="77777777" w:rsidR="00405F5C" w:rsidRPr="009C1AA2" w:rsidRDefault="00405F5C"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color w:val="333333"/>
                <w:kern w:val="2"/>
                <w:sz w:val="20"/>
                <w:szCs w:val="20"/>
                <w14:ligatures w14:val="standardContextual"/>
              </w:rPr>
              <w:t>Patient must have had a thymectomy</w:t>
            </w:r>
          </w:p>
        </w:tc>
      </w:tr>
      <w:tr w:rsidR="00405F5C" w:rsidRPr="009C1AA2" w14:paraId="70746773"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2DCEC550" w14:textId="77777777" w:rsidR="00405F5C" w:rsidRPr="009C1AA2" w:rsidRDefault="00405F5C" w:rsidP="00873AF3">
            <w:pPr>
              <w:contextualSpacing/>
              <w:jc w:val="left"/>
              <w:rPr>
                <w:rFonts w:ascii="Arial Narrow" w:hAnsi="Arial Narrow" w:cs="Times New Roman"/>
                <w:sz w:val="20"/>
                <w:szCs w:val="20"/>
              </w:rPr>
            </w:pPr>
            <w:r w:rsidRPr="009C1AA2">
              <w:rPr>
                <w:rFonts w:ascii="Arial Narrow" w:eastAsia="Calibri" w:hAnsi="Arial Narrow" w:cs="Times New Roman"/>
                <w:b/>
                <w:bCs/>
                <w:sz w:val="20"/>
                <w:szCs w:val="20"/>
                <w:lang w:eastAsia="en-US"/>
              </w:rPr>
              <w:t>AND</w:t>
            </w:r>
          </w:p>
        </w:tc>
      </w:tr>
      <w:tr w:rsidR="00405F5C" w:rsidRPr="009C1AA2" w14:paraId="5D3AD9E5"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04A230E8" w14:textId="77777777" w:rsidR="00405F5C" w:rsidRPr="009C1AA2" w:rsidRDefault="00405F5C" w:rsidP="00873AF3">
            <w:pPr>
              <w:contextualSpacing/>
              <w:jc w:val="left"/>
              <w:rPr>
                <w:rFonts w:ascii="Arial Narrow" w:hAnsi="Arial Narrow" w:cs="Times New Roman"/>
                <w:sz w:val="20"/>
                <w:szCs w:val="20"/>
              </w:rPr>
            </w:pPr>
            <w:r w:rsidRPr="009C1AA2">
              <w:rPr>
                <w:rFonts w:ascii="Arial Narrow" w:eastAsia="Calibri" w:hAnsi="Arial Narrow" w:cs="Times New Roman"/>
                <w:b/>
                <w:bCs/>
                <w:sz w:val="20"/>
                <w:szCs w:val="20"/>
                <w:lang w:eastAsia="en-US"/>
              </w:rPr>
              <w:t>Clinical criteria:</w:t>
            </w:r>
          </w:p>
        </w:tc>
      </w:tr>
      <w:tr w:rsidR="00405F5C" w:rsidRPr="009C1AA2" w14:paraId="68235CE0"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090A386D" w14:textId="77777777" w:rsidR="00405F5C" w:rsidRPr="009C1AA2" w:rsidRDefault="00405F5C" w:rsidP="00873AF3">
            <w:pPr>
              <w:contextualSpacing/>
              <w:jc w:val="left"/>
              <w:rPr>
                <w:rFonts w:ascii="Arial Narrow" w:hAnsi="Arial Narrow" w:cs="Times New Roman"/>
                <w:sz w:val="20"/>
                <w:szCs w:val="20"/>
              </w:rPr>
            </w:pPr>
            <w:r w:rsidRPr="009C1AA2">
              <w:rPr>
                <w:rFonts w:ascii="Arial Narrow" w:hAnsi="Arial Narrow" w:cs="Times New Roman"/>
                <w:sz w:val="20"/>
                <w:szCs w:val="20"/>
              </w:rPr>
              <w:t xml:space="preserve">Patient must </w:t>
            </w:r>
            <w:r w:rsidRPr="009C1AA2">
              <w:rPr>
                <w:rFonts w:ascii="Arial Narrow" w:hAnsi="Arial Narrow" w:cs="Times New Roman"/>
                <w:color w:val="000000"/>
                <w:sz w:val="20"/>
                <w:szCs w:val="20"/>
              </w:rPr>
              <w:t>have a MG-ADL score of ≥ 6 and a MGC score of ≥ 10, despite having undergone 2 of the following 3 remission inducing</w:t>
            </w:r>
            <w:r w:rsidRPr="009C1AA2">
              <w:rPr>
                <w:rFonts w:ascii="Arial Narrow" w:eastAsia="Calibri" w:hAnsi="Arial Narrow" w:cs="Times New Roman"/>
                <w:bCs/>
                <w:color w:val="000000"/>
                <w:sz w:val="20"/>
                <w:szCs w:val="20"/>
                <w:lang w:eastAsia="en-US"/>
              </w:rPr>
              <w:t xml:space="preserve"> </w:t>
            </w:r>
            <w:r w:rsidRPr="009C1AA2">
              <w:rPr>
                <w:rFonts w:ascii="Arial Narrow" w:hAnsi="Arial Narrow" w:cs="Times New Roman"/>
                <w:color w:val="000000"/>
                <w:sz w:val="20"/>
                <w:szCs w:val="20"/>
              </w:rPr>
              <w:t>treatments: (i) NS-IST for a minimum of 12 months, (ii) oral corticosteroids for a minimum of 12 months; (iii) a thymectomy.</w:t>
            </w:r>
          </w:p>
        </w:tc>
      </w:tr>
      <w:tr w:rsidR="00405F5C" w:rsidRPr="009C1AA2" w14:paraId="30AC6D9E"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650CA1EA" w14:textId="77777777" w:rsidR="00405F5C" w:rsidRPr="009C1AA2" w:rsidRDefault="00405F5C" w:rsidP="00873AF3">
            <w:pPr>
              <w:contextualSpacing/>
              <w:jc w:val="left"/>
              <w:rPr>
                <w:rFonts w:ascii="Arial Narrow" w:hAnsi="Arial Narrow" w:cs="Times New Roman"/>
                <w:b/>
                <w:bCs/>
                <w:sz w:val="20"/>
                <w:szCs w:val="20"/>
              </w:rPr>
            </w:pPr>
            <w:r w:rsidRPr="009C1AA2">
              <w:rPr>
                <w:rFonts w:ascii="Arial Narrow" w:hAnsi="Arial Narrow" w:cs="Times New Roman"/>
                <w:b/>
                <w:bCs/>
                <w:sz w:val="20"/>
                <w:szCs w:val="20"/>
              </w:rPr>
              <w:t>AND</w:t>
            </w:r>
          </w:p>
        </w:tc>
      </w:tr>
      <w:tr w:rsidR="00405F5C" w:rsidRPr="009C1AA2" w14:paraId="3C7BEA74"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38F224D6" w14:textId="77777777" w:rsidR="00405F5C" w:rsidRPr="009C1AA2" w:rsidRDefault="00405F5C" w:rsidP="00873AF3">
            <w:pPr>
              <w:contextualSpacing/>
              <w:jc w:val="left"/>
              <w:rPr>
                <w:rFonts w:ascii="Arial Narrow" w:hAnsi="Arial Narrow" w:cs="Times New Roman"/>
                <w:b/>
                <w:bCs/>
                <w:sz w:val="20"/>
                <w:szCs w:val="20"/>
              </w:rPr>
            </w:pPr>
            <w:r w:rsidRPr="009C1AA2">
              <w:rPr>
                <w:rFonts w:ascii="Arial Narrow" w:hAnsi="Arial Narrow" w:cs="Times New Roman"/>
                <w:b/>
                <w:bCs/>
                <w:sz w:val="20"/>
                <w:szCs w:val="20"/>
              </w:rPr>
              <w:t>Clinical criteria:</w:t>
            </w:r>
          </w:p>
        </w:tc>
      </w:tr>
      <w:tr w:rsidR="00405F5C" w:rsidRPr="009C1AA2" w14:paraId="66044867"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7E7B94B1" w14:textId="77777777" w:rsidR="00405F5C" w:rsidRPr="009C1AA2" w:rsidRDefault="00405F5C" w:rsidP="00873AF3">
            <w:pPr>
              <w:contextualSpacing/>
              <w:jc w:val="left"/>
              <w:rPr>
                <w:rFonts w:ascii="Arial Narrow" w:hAnsi="Arial Narrow" w:cs="Times New Roman"/>
                <w:b/>
                <w:bCs/>
                <w:sz w:val="20"/>
                <w:szCs w:val="20"/>
              </w:rPr>
            </w:pPr>
            <w:r w:rsidRPr="009C1AA2">
              <w:rPr>
                <w:rFonts w:ascii="Arial Narrow" w:eastAsia="Aptos" w:hAnsi="Arial Narrow" w:cs="Times New Roman"/>
                <w:kern w:val="2"/>
                <w:sz w:val="20"/>
                <w:szCs w:val="20"/>
                <w:lang w:eastAsia="en-US"/>
                <w14:ligatures w14:val="standardContextual"/>
              </w:rPr>
              <w:t xml:space="preserve">The treatment must provide no </w:t>
            </w:r>
            <w:r w:rsidRPr="009C1AA2">
              <w:rPr>
                <w:rFonts w:ascii="Arial Narrow" w:eastAsia="Aptos" w:hAnsi="Arial Narrow" w:cs="Times New Roman"/>
                <w:color w:val="000000"/>
                <w:kern w:val="2"/>
                <w:sz w:val="20"/>
                <w:szCs w:val="20"/>
                <w:lang w:eastAsia="en-US"/>
                <w14:ligatures w14:val="standardContextual"/>
              </w:rPr>
              <w:t xml:space="preserve">more than 6 months of therapy per initial authority </w:t>
            </w:r>
            <w:r w:rsidRPr="009C1AA2">
              <w:rPr>
                <w:rFonts w:ascii="Arial Narrow" w:eastAsia="Aptos" w:hAnsi="Arial Narrow" w:cs="Times New Roman"/>
                <w:kern w:val="2"/>
                <w:sz w:val="20"/>
                <w:szCs w:val="20"/>
                <w:lang w:eastAsia="en-US"/>
                <w14:ligatures w14:val="standardContextual"/>
              </w:rPr>
              <w:t xml:space="preserve">application </w:t>
            </w:r>
          </w:p>
        </w:tc>
      </w:tr>
      <w:tr w:rsidR="00405F5C" w:rsidRPr="009C1AA2" w14:paraId="34B81C55"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25C29418" w14:textId="77777777" w:rsidR="00405F5C" w:rsidRPr="009C1AA2" w:rsidRDefault="00405F5C" w:rsidP="00873AF3">
            <w:pPr>
              <w:contextualSpacing/>
              <w:jc w:val="left"/>
              <w:rPr>
                <w:rFonts w:ascii="Arial Narrow" w:hAnsi="Arial Narrow" w:cs="Times New Roman"/>
                <w:sz w:val="20"/>
                <w:szCs w:val="20"/>
              </w:rPr>
            </w:pPr>
            <w:r w:rsidRPr="009C1AA2">
              <w:rPr>
                <w:rFonts w:ascii="Arial Narrow" w:hAnsi="Arial Narrow" w:cs="Times New Roman"/>
                <w:b/>
                <w:bCs/>
                <w:sz w:val="20"/>
                <w:szCs w:val="20"/>
              </w:rPr>
              <w:t>Treatment criteria:</w:t>
            </w:r>
          </w:p>
        </w:tc>
      </w:tr>
      <w:tr w:rsidR="00405F5C" w:rsidRPr="009C1AA2" w14:paraId="71ED5D6C"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762B306B" w14:textId="77777777" w:rsidR="00405F5C" w:rsidRPr="009C1AA2" w:rsidRDefault="00405F5C" w:rsidP="00873AF3">
            <w:pPr>
              <w:contextualSpacing/>
              <w:jc w:val="left"/>
              <w:rPr>
                <w:rFonts w:ascii="Arial Narrow" w:eastAsia="Calibri" w:hAnsi="Arial Narrow" w:cs="Arial Narrow"/>
                <w:color w:val="000000"/>
                <w:sz w:val="20"/>
                <w:szCs w:val="20"/>
                <w:lang w:eastAsia="en-US"/>
              </w:rPr>
            </w:pPr>
            <w:r w:rsidRPr="009C1AA2">
              <w:rPr>
                <w:rFonts w:ascii="Arial Narrow" w:eastAsia="Calibri" w:hAnsi="Arial Narrow" w:cs="Arial Narrow"/>
                <w:iCs/>
                <w:color w:val="000000"/>
                <w:sz w:val="20"/>
                <w:szCs w:val="20"/>
                <w:lang w:eastAsia="en-US"/>
              </w:rPr>
              <w:t>Must be treated by a prescriber who is either: (i) a neurologist; (ii) a clinical immunologist with expertise in the treatment of myasthenia gravis, or</w:t>
            </w:r>
          </w:p>
        </w:tc>
      </w:tr>
      <w:tr w:rsidR="00405F5C" w:rsidRPr="009C1AA2" w14:paraId="60A089CD"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5C5FC1F4" w14:textId="77777777" w:rsidR="00405F5C" w:rsidRPr="009C1AA2" w:rsidRDefault="00405F5C" w:rsidP="00873AF3">
            <w:pPr>
              <w:contextualSpacing/>
              <w:jc w:val="left"/>
              <w:rPr>
                <w:rFonts w:ascii="Arial Narrow" w:hAnsi="Arial Narrow" w:cs="Times New Roman"/>
                <w:color w:val="000000"/>
                <w:sz w:val="20"/>
                <w:szCs w:val="20"/>
              </w:rPr>
            </w:pPr>
            <w:r w:rsidRPr="009C1AA2">
              <w:rPr>
                <w:rFonts w:ascii="Arial Narrow" w:eastAsia="Calibri" w:hAnsi="Arial Narrow" w:cs="Arial Narrow"/>
                <w:iCs/>
                <w:color w:val="000000"/>
                <w:sz w:val="20"/>
                <w:szCs w:val="20"/>
                <w:lang w:eastAsia="en-US"/>
              </w:rPr>
              <w:t>Must be treated by a medical practitioner who has consulted at least one of the above mentioned specialist types, with an agreement reached that the patient should be treated with this pharmaceutical benefit on this occasion</w:t>
            </w:r>
          </w:p>
        </w:tc>
      </w:tr>
      <w:tr w:rsidR="00405F5C" w:rsidRPr="009C1AA2" w14:paraId="1C3F7B8F"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0E308E10" w14:textId="77777777" w:rsidR="00405F5C" w:rsidRPr="009C1AA2" w:rsidRDefault="00405F5C" w:rsidP="00873AF3">
            <w:pPr>
              <w:contextualSpacing/>
              <w:jc w:val="left"/>
              <w:rPr>
                <w:rFonts w:ascii="Arial Narrow" w:eastAsia="Calibri" w:hAnsi="Arial Narrow" w:cs="Arial Narrow"/>
                <w:b/>
                <w:bCs/>
                <w:iCs/>
                <w:color w:val="000000"/>
                <w:sz w:val="20"/>
                <w:szCs w:val="20"/>
                <w:lang w:eastAsia="en-US"/>
              </w:rPr>
            </w:pPr>
            <w:r w:rsidRPr="009C1AA2">
              <w:rPr>
                <w:rFonts w:ascii="Arial Narrow" w:eastAsia="Calibri" w:hAnsi="Arial Narrow" w:cs="Arial Narrow"/>
                <w:b/>
                <w:bCs/>
                <w:iCs/>
                <w:color w:val="000000"/>
                <w:sz w:val="20"/>
                <w:szCs w:val="20"/>
                <w:lang w:eastAsia="en-US"/>
              </w:rPr>
              <w:t>Prescribing Instruction:</w:t>
            </w:r>
          </w:p>
          <w:p w14:paraId="77C6AF49" w14:textId="77777777" w:rsidR="00405F5C" w:rsidRPr="009C1AA2" w:rsidRDefault="00405F5C" w:rsidP="00873AF3">
            <w:pPr>
              <w:contextualSpacing/>
              <w:jc w:val="left"/>
              <w:rPr>
                <w:rFonts w:ascii="Arial Narrow" w:eastAsia="Calibri" w:hAnsi="Arial Narrow" w:cs="Arial Narrow"/>
                <w:iCs/>
                <w:color w:val="000000"/>
                <w:sz w:val="20"/>
                <w:szCs w:val="20"/>
                <w:lang w:eastAsia="en-US"/>
              </w:rPr>
            </w:pPr>
            <w:r w:rsidRPr="009C1AA2">
              <w:rPr>
                <w:rFonts w:ascii="Arial Narrow" w:eastAsia="Calibri" w:hAnsi="Arial Narrow" w:cs="Arial Narrow"/>
                <w:iCs/>
                <w:color w:val="000000"/>
                <w:sz w:val="20"/>
                <w:szCs w:val="20"/>
                <w:lang w:eastAsia="en-US"/>
              </w:rPr>
              <w:t>Patients who are considered to have deteriorating gMG disease while on a treatment break with a gMG biologic may qualify with 9 months of remission inducing treatments (rather than 12 months)</w:t>
            </w:r>
          </w:p>
        </w:tc>
      </w:tr>
      <w:tr w:rsidR="00405F5C" w:rsidRPr="009C1AA2" w14:paraId="486B9FFF"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580437C9" w14:textId="77777777" w:rsidR="00405F5C" w:rsidRPr="009C1AA2" w:rsidRDefault="00405F5C" w:rsidP="00873AF3">
            <w:pPr>
              <w:contextualSpacing/>
              <w:jc w:val="left"/>
              <w:rPr>
                <w:rFonts w:ascii="Arial" w:eastAsia="Calibri" w:hAnsi="Arial"/>
                <w:b/>
                <w:bCs/>
                <w:sz w:val="20"/>
                <w:szCs w:val="20"/>
                <w:shd w:val="clear" w:color="auto" w:fill="FFFFFF"/>
                <w:lang w:eastAsia="en-US"/>
              </w:rPr>
            </w:pPr>
            <w:r w:rsidRPr="009C1AA2">
              <w:rPr>
                <w:rFonts w:ascii="Arial Narrow" w:eastAsia="Calibri" w:hAnsi="Arial Narrow" w:cs="Times New Roman"/>
                <w:b/>
                <w:bCs/>
                <w:sz w:val="20"/>
                <w:szCs w:val="20"/>
                <w:shd w:val="clear" w:color="auto" w:fill="FFFFFF"/>
                <w:lang w:eastAsia="en-US"/>
              </w:rPr>
              <w:t>Prescribing Instructions:</w:t>
            </w:r>
            <w:r w:rsidRPr="009C1AA2">
              <w:rPr>
                <w:rFonts w:ascii="Arial" w:eastAsia="Calibri" w:hAnsi="Arial"/>
                <w:b/>
                <w:bCs/>
                <w:sz w:val="20"/>
                <w:szCs w:val="20"/>
                <w:shd w:val="clear" w:color="auto" w:fill="FFFFFF"/>
                <w:lang w:eastAsia="en-US"/>
              </w:rPr>
              <w:t> </w:t>
            </w:r>
          </w:p>
          <w:p w14:paraId="34DD03E5" w14:textId="77777777" w:rsidR="00405F5C" w:rsidRPr="009C1AA2" w:rsidRDefault="00405F5C" w:rsidP="00873AF3">
            <w:pPr>
              <w:contextualSpacing/>
              <w:jc w:val="left"/>
              <w:rPr>
                <w:rFonts w:ascii="Arial Narrow" w:eastAsia="Calibri" w:hAnsi="Arial Narrow" w:cs="Times New Roman"/>
                <w:bCs/>
                <w:sz w:val="20"/>
                <w:szCs w:val="20"/>
                <w:lang w:eastAsia="en-US"/>
              </w:rPr>
            </w:pPr>
            <w:r w:rsidRPr="009C1AA2">
              <w:rPr>
                <w:rFonts w:ascii="Arial Narrow" w:eastAsia="Calibri" w:hAnsi="Arial Narrow" w:cs="Times New Roman"/>
                <w:bCs/>
                <w:sz w:val="20"/>
                <w:szCs w:val="20"/>
                <w:lang w:eastAsia="en-US"/>
              </w:rPr>
              <w:t xml:space="preserve">The authority application must be </w:t>
            </w:r>
            <w:r w:rsidRPr="009C1AA2">
              <w:rPr>
                <w:rFonts w:ascii="Arial Narrow" w:hAnsi="Arial Narrow" w:cs="Times New Roman"/>
                <w:sz w:val="20"/>
                <w:szCs w:val="20"/>
              </w:rPr>
              <w:t xml:space="preserve">via the Online PBS Authorities System, or </w:t>
            </w:r>
            <w:r w:rsidRPr="009C1AA2">
              <w:rPr>
                <w:rFonts w:ascii="Arial Narrow" w:eastAsia="Calibri" w:hAnsi="Arial Narrow" w:cs="Times New Roman"/>
                <w:bCs/>
                <w:sz w:val="20"/>
                <w:szCs w:val="20"/>
                <w:lang w:eastAsia="en-US"/>
              </w:rPr>
              <w:t>in writing and must include:</w:t>
            </w:r>
          </w:p>
          <w:p w14:paraId="1DEB34EC" w14:textId="77777777" w:rsidR="00405F5C" w:rsidRPr="009C1AA2" w:rsidRDefault="00405F5C" w:rsidP="00873AF3">
            <w:pPr>
              <w:numPr>
                <w:ilvl w:val="0"/>
                <w:numId w:val="32"/>
              </w:numPr>
              <w:spacing w:after="160" w:line="259" w:lineRule="auto"/>
              <w:contextualSpacing/>
              <w:jc w:val="left"/>
              <w:rPr>
                <w:rFonts w:ascii="Arial Narrow" w:eastAsia="Calibri" w:hAnsi="Arial Narrow" w:cs="Times New Roman"/>
                <w:sz w:val="20"/>
                <w:szCs w:val="20"/>
                <w:shd w:val="clear" w:color="auto" w:fill="FFFFFF"/>
                <w:lang w:eastAsia="en-US"/>
              </w:rPr>
            </w:pPr>
            <w:r w:rsidRPr="009C1AA2">
              <w:rPr>
                <w:rFonts w:ascii="Arial Narrow" w:eastAsia="Calibri" w:hAnsi="Arial Narrow" w:cs="Times New Roman"/>
                <w:bCs/>
                <w:sz w:val="20"/>
                <w:szCs w:val="20"/>
                <w:lang w:eastAsia="en-US"/>
              </w:rPr>
              <w:t>details of remission-inducing treatments [date commencement and duration of drug therapy including drug names and dosages, and/or date of the thymectomy]</w:t>
            </w:r>
          </w:p>
          <w:p w14:paraId="6359F535" w14:textId="77777777" w:rsidR="00405F5C" w:rsidRPr="009C1AA2" w:rsidRDefault="00405F5C" w:rsidP="00873AF3">
            <w:pPr>
              <w:numPr>
                <w:ilvl w:val="0"/>
                <w:numId w:val="32"/>
              </w:numPr>
              <w:spacing w:after="160" w:line="259" w:lineRule="auto"/>
              <w:contextualSpacing/>
              <w:jc w:val="left"/>
              <w:rPr>
                <w:rFonts w:ascii="Arial Narrow" w:eastAsia="Calibri" w:hAnsi="Arial Narrow" w:cs="Times New Roman"/>
                <w:sz w:val="20"/>
                <w:szCs w:val="20"/>
                <w:shd w:val="clear" w:color="auto" w:fill="FFFFFF"/>
                <w:lang w:eastAsia="en-US"/>
              </w:rPr>
            </w:pPr>
            <w:r w:rsidRPr="009C1AA2">
              <w:rPr>
                <w:rFonts w:ascii="Arial Narrow" w:eastAsia="Calibri" w:hAnsi="Arial Narrow" w:cs="Times New Roman"/>
                <w:bCs/>
                <w:sz w:val="20"/>
                <w:szCs w:val="20"/>
                <w:lang w:eastAsia="en-US"/>
              </w:rPr>
              <w:t xml:space="preserve">the </w:t>
            </w:r>
            <w:r w:rsidRPr="009C1AA2">
              <w:rPr>
                <w:rFonts w:ascii="Arial Narrow" w:eastAsia="Calibri" w:hAnsi="Arial Narrow" w:cs="Times New Roman"/>
                <w:bCs/>
                <w:color w:val="000000"/>
                <w:sz w:val="20"/>
                <w:szCs w:val="20"/>
                <w:lang w:eastAsia="en-US"/>
              </w:rPr>
              <w:t>baseline MG-ADL and MGC scores assessed after completing the 12 months of remission-inducing treatments (include the date the assessments were</w:t>
            </w:r>
            <w:r w:rsidRPr="009C1AA2">
              <w:rPr>
                <w:rFonts w:ascii="Arial Narrow" w:eastAsia="Calibri" w:hAnsi="Arial Narrow" w:cs="Times New Roman"/>
                <w:bCs/>
                <w:sz w:val="20"/>
                <w:szCs w:val="20"/>
                <w:lang w:eastAsia="en-US"/>
              </w:rPr>
              <w:t xml:space="preserve"> conducted)</w:t>
            </w:r>
          </w:p>
          <w:p w14:paraId="0D20EA4B" w14:textId="77777777" w:rsidR="00405F5C" w:rsidRPr="009C1AA2" w:rsidRDefault="00405F5C" w:rsidP="00873AF3">
            <w:pPr>
              <w:contextualSpacing/>
              <w:jc w:val="left"/>
              <w:rPr>
                <w:rFonts w:ascii="Arial Narrow" w:eastAsia="Calibri" w:hAnsi="Arial Narrow" w:cs="Times New Roman"/>
                <w:bCs/>
                <w:sz w:val="20"/>
                <w:szCs w:val="20"/>
                <w:lang w:eastAsia="en-US"/>
              </w:rPr>
            </w:pPr>
          </w:p>
          <w:p w14:paraId="42C8F246" w14:textId="77777777" w:rsidR="00405F5C" w:rsidRPr="009C1AA2" w:rsidRDefault="00405F5C" w:rsidP="00873AF3">
            <w:pPr>
              <w:jc w:val="left"/>
              <w:rPr>
                <w:rFonts w:ascii="Arial Narrow" w:hAnsi="Arial Narrow" w:cs="Times New Roman"/>
                <w:sz w:val="20"/>
                <w:szCs w:val="20"/>
              </w:rPr>
            </w:pPr>
            <w:r w:rsidRPr="009C1AA2">
              <w:rPr>
                <w:rFonts w:ascii="Arial Narrow" w:hAnsi="Arial Narrow" w:cs="Times New Roman"/>
                <w:sz w:val="20"/>
                <w:szCs w:val="20"/>
              </w:rPr>
              <w:t>If the application is submitted through HPOS form upload or mail, it must include:</w:t>
            </w:r>
          </w:p>
          <w:p w14:paraId="320335A8" w14:textId="77777777" w:rsidR="00405F5C" w:rsidRPr="009C1AA2" w:rsidRDefault="00405F5C" w:rsidP="00873AF3">
            <w:pPr>
              <w:contextualSpacing/>
              <w:jc w:val="left"/>
              <w:rPr>
                <w:rFonts w:ascii="Arial Narrow" w:eastAsia="Calibri" w:hAnsi="Arial Narrow" w:cs="Times New Roman"/>
                <w:bCs/>
                <w:sz w:val="20"/>
                <w:szCs w:val="20"/>
                <w:lang w:eastAsia="en-US"/>
              </w:rPr>
            </w:pPr>
            <w:r w:rsidRPr="009C1AA2">
              <w:rPr>
                <w:rFonts w:ascii="Arial Narrow" w:eastAsia="Calibri" w:hAnsi="Arial Narrow" w:cs="Times New Roman"/>
                <w:bCs/>
                <w:sz w:val="20"/>
                <w:szCs w:val="20"/>
                <w:lang w:eastAsia="en-US"/>
              </w:rPr>
              <w:t>(1) details of the proposed prescription;</w:t>
            </w:r>
          </w:p>
          <w:p w14:paraId="402E39C9" w14:textId="77777777" w:rsidR="00405F5C" w:rsidRPr="009C1AA2" w:rsidRDefault="00405F5C" w:rsidP="00873AF3">
            <w:pPr>
              <w:contextualSpacing/>
              <w:jc w:val="left"/>
              <w:rPr>
                <w:rFonts w:ascii="Arial Narrow" w:eastAsia="Calibri" w:hAnsi="Arial Narrow" w:cs="Times New Roman"/>
                <w:sz w:val="20"/>
                <w:szCs w:val="20"/>
                <w:shd w:val="clear" w:color="auto" w:fill="FFFFFF"/>
                <w:lang w:eastAsia="en-US"/>
              </w:rPr>
            </w:pPr>
            <w:r w:rsidRPr="009C1AA2">
              <w:rPr>
                <w:rFonts w:ascii="Arial Narrow" w:eastAsia="Calibri" w:hAnsi="Arial Narrow" w:cs="Times New Roman"/>
                <w:bCs/>
                <w:sz w:val="20"/>
                <w:szCs w:val="20"/>
                <w:lang w:eastAsia="en-US"/>
              </w:rPr>
              <w:t>(2) a completed authority application form relevant to the indication and treatment phase (the latest version is located on the website specified in the Administrative Advice);</w:t>
            </w:r>
          </w:p>
        </w:tc>
      </w:tr>
      <w:tr w:rsidR="00405F5C" w:rsidRPr="009C1AA2" w14:paraId="1A498B63"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03FCF4D7" w14:textId="77777777" w:rsidR="00405F5C" w:rsidRPr="009C1AA2" w:rsidRDefault="00405F5C" w:rsidP="00873AF3">
            <w:pPr>
              <w:contextualSpacing/>
              <w:jc w:val="left"/>
              <w:rPr>
                <w:rFonts w:ascii="Arial Narrow" w:hAnsi="Arial Narrow" w:cs="Times New Roman"/>
                <w:b/>
                <w:bCs/>
                <w:sz w:val="20"/>
                <w:szCs w:val="20"/>
              </w:rPr>
            </w:pPr>
          </w:p>
        </w:tc>
      </w:tr>
      <w:tr w:rsidR="008A494F" w:rsidRPr="009C1AA2" w14:paraId="325B1FFC"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shd w:val="clear" w:color="auto" w:fill="D1D1D1"/>
            <w:vAlign w:val="center"/>
          </w:tcPr>
          <w:p w14:paraId="1275200C" w14:textId="5D422535" w:rsidR="008A494F" w:rsidRPr="009C1AA2" w:rsidRDefault="008A494F" w:rsidP="00873AF3">
            <w:pPr>
              <w:contextualSpacing/>
              <w:jc w:val="left"/>
              <w:rPr>
                <w:rFonts w:ascii="Arial Narrow" w:hAnsi="Arial Narrow" w:cs="Times New Roman"/>
                <w:b/>
                <w:bCs/>
                <w:sz w:val="20"/>
                <w:szCs w:val="20"/>
              </w:rPr>
            </w:pPr>
            <w:r w:rsidRPr="009C1AA2">
              <w:rPr>
                <w:rFonts w:ascii="Arial Narrow" w:hAnsi="Arial Narrow" w:cs="Times New Roman"/>
                <w:b/>
                <w:bCs/>
                <w:sz w:val="20"/>
                <w:szCs w:val="20"/>
              </w:rPr>
              <w:t xml:space="preserve">Restriction Summary / Treatment of Concept: </w:t>
            </w:r>
          </w:p>
        </w:tc>
      </w:tr>
      <w:tr w:rsidR="00A709EC" w:rsidRPr="009C1AA2" w14:paraId="4ECEAB42"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shd w:val="clear" w:color="auto" w:fill="FFFFFF"/>
            <w:vAlign w:val="center"/>
          </w:tcPr>
          <w:p w14:paraId="71185DAD" w14:textId="77777777" w:rsidR="00A709EC" w:rsidRPr="009C1AA2" w:rsidRDefault="00A709EC" w:rsidP="00873AF3">
            <w:pPr>
              <w:contextualSpacing/>
              <w:jc w:val="left"/>
              <w:rPr>
                <w:rFonts w:ascii="Arial Narrow" w:hAnsi="Arial Narrow" w:cs="Times New Roman"/>
                <w:b/>
                <w:bCs/>
                <w:sz w:val="20"/>
                <w:szCs w:val="20"/>
              </w:rPr>
            </w:pPr>
            <w:r w:rsidRPr="009C1AA2">
              <w:rPr>
                <w:rFonts w:ascii="Arial Narrow" w:hAnsi="Arial Narrow" w:cs="Times New Roman"/>
                <w:b/>
                <w:bCs/>
                <w:color w:val="000000"/>
                <w:sz w:val="20"/>
                <w:szCs w:val="20"/>
              </w:rPr>
              <w:t>Indication:</w:t>
            </w:r>
            <w:r w:rsidRPr="009C1AA2">
              <w:rPr>
                <w:rFonts w:ascii="Arial Narrow" w:hAnsi="Arial Narrow" w:cs="Times New Roman"/>
                <w:color w:val="000000"/>
                <w:sz w:val="20"/>
                <w:szCs w:val="20"/>
              </w:rPr>
              <w:t xml:space="preserve"> </w:t>
            </w:r>
            <w:r w:rsidRPr="009C1AA2">
              <w:rPr>
                <w:rFonts w:ascii="Arial Narrow" w:eastAsia="Arial Narrow" w:hAnsi="Arial Narrow" w:cs="Arial Narrow"/>
                <w:color w:val="000000"/>
                <w:sz w:val="20"/>
                <w:szCs w:val="20"/>
                <w:lang w:eastAsia="en-US"/>
              </w:rPr>
              <w:t xml:space="preserve">Treatment </w:t>
            </w:r>
            <w:r w:rsidRPr="009C1AA2">
              <w:rPr>
                <w:rFonts w:ascii="Arial Narrow" w:hAnsi="Arial Narrow" w:cs="Times New Roman"/>
                <w:iCs/>
                <w:color w:val="000000"/>
                <w:sz w:val="20"/>
                <w:szCs w:val="20"/>
              </w:rPr>
              <w:t>refractory</w:t>
            </w:r>
            <w:r w:rsidRPr="009C1AA2">
              <w:rPr>
                <w:rFonts w:ascii="Arial Narrow" w:hAnsi="Arial Narrow" w:cs="Times New Roman"/>
                <w:color w:val="000000"/>
                <w:sz w:val="20"/>
                <w:szCs w:val="20"/>
              </w:rPr>
              <w:t xml:space="preserve"> generalised </w:t>
            </w:r>
            <w:r w:rsidRPr="009C1AA2">
              <w:rPr>
                <w:rFonts w:ascii="Arial Narrow" w:hAnsi="Arial Narrow" w:cs="Times New Roman"/>
                <w:sz w:val="20"/>
                <w:szCs w:val="20"/>
              </w:rPr>
              <w:t>myasthenia gravis (gMG)</w:t>
            </w:r>
          </w:p>
        </w:tc>
      </w:tr>
      <w:tr w:rsidR="00A709EC" w:rsidRPr="009C1AA2" w14:paraId="1A813E8D"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shd w:val="clear" w:color="auto" w:fill="FFFFFF"/>
          </w:tcPr>
          <w:p w14:paraId="5FA365B2" w14:textId="77777777" w:rsidR="00A709EC" w:rsidRPr="009C1AA2" w:rsidRDefault="00A709EC" w:rsidP="00873AF3">
            <w:pPr>
              <w:contextualSpacing/>
              <w:jc w:val="left"/>
              <w:rPr>
                <w:rFonts w:ascii="Arial Narrow" w:hAnsi="Arial Narrow" w:cs="Times New Roman"/>
                <w:b/>
                <w:bCs/>
                <w:color w:val="000000"/>
                <w:sz w:val="20"/>
                <w:szCs w:val="20"/>
              </w:rPr>
            </w:pPr>
            <w:r w:rsidRPr="009C1AA2">
              <w:rPr>
                <w:rFonts w:ascii="Arial Narrow" w:hAnsi="Arial Narrow" w:cs="Times New Roman"/>
                <w:b/>
                <w:bCs/>
                <w:sz w:val="20"/>
                <w:szCs w:val="20"/>
              </w:rPr>
              <w:t>Treatment Phase:</w:t>
            </w:r>
            <w:r w:rsidRPr="009C1AA2">
              <w:rPr>
                <w:rFonts w:ascii="Arial Narrow" w:hAnsi="Arial Narrow" w:cs="Times New Roman"/>
                <w:sz w:val="20"/>
                <w:szCs w:val="20"/>
              </w:rPr>
              <w:t xml:space="preserve"> Continuing treatment – </w:t>
            </w:r>
            <w:r w:rsidRPr="009C1AA2">
              <w:rPr>
                <w:rFonts w:ascii="Arial Narrow" w:eastAsia="Arial Narrow" w:hAnsi="Arial Narrow" w:cs="Arial Narrow"/>
                <w:sz w:val="20"/>
                <w:szCs w:val="20"/>
                <w:lang w:eastAsia="en-US"/>
              </w:rPr>
              <w:t xml:space="preserve">Treatment </w:t>
            </w:r>
            <w:r w:rsidRPr="009C1AA2">
              <w:rPr>
                <w:rFonts w:ascii="Arial Narrow" w:hAnsi="Arial Narrow" w:cs="Times New Roman"/>
                <w:iCs/>
                <w:color w:val="000000"/>
                <w:sz w:val="20"/>
                <w:szCs w:val="20"/>
              </w:rPr>
              <w:t>refractory</w:t>
            </w:r>
            <w:r w:rsidRPr="009C1AA2">
              <w:rPr>
                <w:rFonts w:ascii="Arial Narrow" w:hAnsi="Arial Narrow" w:cs="Times New Roman"/>
                <w:sz w:val="20"/>
                <w:szCs w:val="20"/>
              </w:rPr>
              <w:t xml:space="preserve"> gMG patients</w:t>
            </w:r>
          </w:p>
        </w:tc>
      </w:tr>
      <w:tr w:rsidR="00A709EC" w:rsidRPr="009C1AA2" w14:paraId="4F688C41"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775D3FE1" w14:textId="77777777" w:rsidR="00A709EC" w:rsidRPr="009C1AA2" w:rsidRDefault="00A709EC" w:rsidP="00873AF3">
            <w:pPr>
              <w:contextualSpacing/>
              <w:jc w:val="left"/>
              <w:rPr>
                <w:rFonts w:ascii="Arial Narrow" w:hAnsi="Arial Narrow" w:cs="Times New Roman"/>
                <w:b/>
                <w:bCs/>
                <w:sz w:val="20"/>
                <w:szCs w:val="20"/>
              </w:rPr>
            </w:pPr>
            <w:r w:rsidRPr="009C1AA2">
              <w:rPr>
                <w:rFonts w:ascii="Arial Narrow" w:hAnsi="Arial Narrow" w:cs="Times New Roman"/>
                <w:b/>
                <w:bCs/>
                <w:sz w:val="20"/>
                <w:szCs w:val="20"/>
              </w:rPr>
              <w:t>Clinical criteria:</w:t>
            </w:r>
          </w:p>
        </w:tc>
      </w:tr>
      <w:tr w:rsidR="00A709EC" w:rsidRPr="009C1AA2" w14:paraId="04C08C9C"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4A42EE66" w14:textId="77777777" w:rsidR="00A709EC" w:rsidRPr="009C1AA2" w:rsidRDefault="00A709EC" w:rsidP="00873AF3">
            <w:pPr>
              <w:contextualSpacing/>
              <w:jc w:val="left"/>
              <w:rPr>
                <w:rFonts w:ascii="Arial Narrow" w:hAnsi="Arial Narrow" w:cs="Times New Roman"/>
                <w:b/>
                <w:bCs/>
                <w:sz w:val="20"/>
                <w:szCs w:val="20"/>
              </w:rPr>
            </w:pPr>
            <w:r w:rsidRPr="009C1AA2">
              <w:rPr>
                <w:rFonts w:ascii="Arial Narrow" w:hAnsi="Arial Narrow" w:cs="Times New Roman"/>
                <w:sz w:val="20"/>
                <w:szCs w:val="20"/>
              </w:rPr>
              <w:t>Patient must have previously received PBS subsidised treatment with a gMG biological agent for this PBS indication.</w:t>
            </w:r>
          </w:p>
        </w:tc>
      </w:tr>
      <w:tr w:rsidR="00A709EC" w:rsidRPr="009C1AA2" w14:paraId="093EBED3"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28ACD39C" w14:textId="77777777" w:rsidR="00A709EC" w:rsidRPr="009C1AA2" w:rsidRDefault="00A709EC" w:rsidP="00873AF3">
            <w:pPr>
              <w:contextualSpacing/>
              <w:jc w:val="left"/>
              <w:rPr>
                <w:rFonts w:ascii="Arial Narrow" w:hAnsi="Arial Narrow" w:cs="Times New Roman"/>
                <w:b/>
                <w:bCs/>
                <w:sz w:val="20"/>
                <w:szCs w:val="20"/>
              </w:rPr>
            </w:pPr>
            <w:r w:rsidRPr="009C1AA2">
              <w:rPr>
                <w:rFonts w:ascii="Arial Narrow" w:hAnsi="Arial Narrow" w:cs="Times New Roman"/>
                <w:b/>
                <w:bCs/>
                <w:sz w:val="20"/>
                <w:szCs w:val="20"/>
              </w:rPr>
              <w:t>AND</w:t>
            </w:r>
          </w:p>
        </w:tc>
      </w:tr>
      <w:tr w:rsidR="00A709EC" w:rsidRPr="009C1AA2" w14:paraId="3089ED47"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6314D05A" w14:textId="77777777" w:rsidR="00A709EC" w:rsidRPr="009C1AA2" w:rsidRDefault="00A709EC" w:rsidP="00873AF3">
            <w:pPr>
              <w:contextualSpacing/>
              <w:jc w:val="left"/>
              <w:rPr>
                <w:rFonts w:ascii="Arial Narrow" w:hAnsi="Arial Narrow" w:cs="Times New Roman"/>
                <w:b/>
                <w:bCs/>
                <w:sz w:val="20"/>
                <w:szCs w:val="20"/>
              </w:rPr>
            </w:pPr>
            <w:r w:rsidRPr="009C1AA2">
              <w:rPr>
                <w:rFonts w:ascii="Arial Narrow" w:hAnsi="Arial Narrow" w:cs="Times New Roman"/>
                <w:b/>
                <w:bCs/>
                <w:sz w:val="20"/>
                <w:szCs w:val="20"/>
              </w:rPr>
              <w:t>Clinical criteria:</w:t>
            </w:r>
          </w:p>
        </w:tc>
      </w:tr>
      <w:tr w:rsidR="00A709EC" w:rsidRPr="009C1AA2" w14:paraId="1CB8F687"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3345ED9A" w14:textId="77777777" w:rsidR="00A709EC" w:rsidRPr="009C1AA2" w:rsidRDefault="00A709EC" w:rsidP="00873AF3">
            <w:pPr>
              <w:contextualSpacing/>
              <w:jc w:val="left"/>
              <w:rPr>
                <w:rFonts w:ascii="Arial Narrow" w:hAnsi="Arial Narrow" w:cs="Times New Roman"/>
                <w:b/>
                <w:bCs/>
                <w:color w:val="000000"/>
                <w:sz w:val="20"/>
                <w:szCs w:val="20"/>
              </w:rPr>
            </w:pPr>
            <w:r w:rsidRPr="009C1AA2">
              <w:rPr>
                <w:rFonts w:ascii="Arial Narrow" w:hAnsi="Arial Narrow" w:cs="Times New Roman"/>
                <w:color w:val="000000"/>
                <w:sz w:val="20"/>
                <w:szCs w:val="20"/>
              </w:rPr>
              <w:t xml:space="preserve">Patient must have demonstrated a clinical improvement based on a decrease in MG-ADL score of at least 2 points from baseline </w:t>
            </w:r>
          </w:p>
        </w:tc>
      </w:tr>
      <w:tr w:rsidR="00A709EC" w:rsidRPr="009C1AA2" w14:paraId="2B126987"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0064836C" w14:textId="77777777" w:rsidR="00A709EC" w:rsidRPr="009C1AA2" w:rsidRDefault="00A709EC" w:rsidP="00873AF3">
            <w:pPr>
              <w:contextualSpacing/>
              <w:jc w:val="left"/>
              <w:rPr>
                <w:rFonts w:ascii="Arial Narrow" w:hAnsi="Arial Narrow" w:cs="Times New Roman"/>
                <w:color w:val="000000"/>
                <w:sz w:val="20"/>
                <w:szCs w:val="20"/>
              </w:rPr>
            </w:pPr>
            <w:r w:rsidRPr="009C1AA2">
              <w:rPr>
                <w:rFonts w:ascii="Arial Narrow" w:hAnsi="Arial Narrow" w:cs="Times New Roman"/>
                <w:b/>
                <w:bCs/>
                <w:color w:val="000000"/>
                <w:sz w:val="20"/>
                <w:szCs w:val="20"/>
              </w:rPr>
              <w:t>AND</w:t>
            </w:r>
          </w:p>
        </w:tc>
      </w:tr>
      <w:tr w:rsidR="00A709EC" w:rsidRPr="009C1AA2" w14:paraId="2F66079A"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1C9230C7" w14:textId="77777777" w:rsidR="00A709EC" w:rsidRPr="009C1AA2" w:rsidRDefault="00A709EC" w:rsidP="00873AF3">
            <w:pPr>
              <w:contextualSpacing/>
              <w:jc w:val="left"/>
              <w:rPr>
                <w:rFonts w:ascii="Arial Narrow" w:hAnsi="Arial Narrow" w:cs="Times New Roman"/>
                <w:b/>
                <w:bCs/>
                <w:color w:val="000000"/>
                <w:sz w:val="20"/>
                <w:szCs w:val="20"/>
              </w:rPr>
            </w:pPr>
            <w:r w:rsidRPr="009C1AA2">
              <w:rPr>
                <w:rFonts w:ascii="Arial Narrow" w:hAnsi="Arial Narrow" w:cs="Times New Roman"/>
                <w:b/>
                <w:bCs/>
                <w:sz w:val="20"/>
                <w:szCs w:val="20"/>
              </w:rPr>
              <w:t>Clinical criteria:</w:t>
            </w:r>
          </w:p>
        </w:tc>
      </w:tr>
      <w:tr w:rsidR="00A709EC" w:rsidRPr="009C1AA2" w14:paraId="497E80C8"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0FC66788" w14:textId="77777777" w:rsidR="00A709EC" w:rsidRPr="009C1AA2" w:rsidRDefault="00A709EC" w:rsidP="00873AF3">
            <w:pPr>
              <w:contextualSpacing/>
              <w:jc w:val="left"/>
              <w:rPr>
                <w:rFonts w:ascii="Arial Narrow" w:hAnsi="Arial Narrow" w:cs="Times New Roman"/>
                <w:color w:val="000000"/>
                <w:sz w:val="20"/>
                <w:szCs w:val="20"/>
              </w:rPr>
            </w:pPr>
            <w:r w:rsidRPr="009C1AA2">
              <w:rPr>
                <w:rFonts w:ascii="Arial Narrow" w:hAnsi="Arial Narrow" w:cs="Times New Roman"/>
                <w:color w:val="000000"/>
                <w:sz w:val="20"/>
                <w:szCs w:val="20"/>
              </w:rPr>
              <w:t>Patient must have demonstrated a clinical improvement based on a decrease in MGC score of at least 3 points from baseline</w:t>
            </w:r>
          </w:p>
        </w:tc>
      </w:tr>
      <w:tr w:rsidR="00A709EC" w:rsidRPr="009C1AA2" w14:paraId="40680D73"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6D7BC601" w14:textId="77777777" w:rsidR="00A709EC" w:rsidRPr="009C1AA2" w:rsidRDefault="00A709EC" w:rsidP="00873AF3">
            <w:pPr>
              <w:contextualSpacing/>
              <w:jc w:val="left"/>
              <w:rPr>
                <w:rFonts w:ascii="Arial Narrow" w:hAnsi="Arial Narrow" w:cs="Times New Roman"/>
                <w:sz w:val="20"/>
                <w:szCs w:val="20"/>
              </w:rPr>
            </w:pPr>
            <w:r w:rsidRPr="009C1AA2">
              <w:rPr>
                <w:rFonts w:ascii="Arial Narrow" w:hAnsi="Arial Narrow" w:cs="Times New Roman"/>
                <w:b/>
                <w:bCs/>
                <w:sz w:val="20"/>
                <w:szCs w:val="20"/>
              </w:rPr>
              <w:t>AND</w:t>
            </w:r>
          </w:p>
        </w:tc>
      </w:tr>
      <w:tr w:rsidR="00A709EC" w:rsidRPr="009C1AA2" w14:paraId="6E782751"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7FC9741B" w14:textId="77777777" w:rsidR="00A709EC" w:rsidRPr="009C1AA2" w:rsidRDefault="00A709EC" w:rsidP="00873AF3">
            <w:pPr>
              <w:contextualSpacing/>
              <w:jc w:val="left"/>
              <w:rPr>
                <w:rFonts w:ascii="Arial Narrow" w:hAnsi="Arial Narrow" w:cs="Times New Roman"/>
                <w:sz w:val="20"/>
                <w:szCs w:val="20"/>
              </w:rPr>
            </w:pPr>
            <w:r w:rsidRPr="009C1AA2">
              <w:rPr>
                <w:rFonts w:ascii="Arial Narrow" w:hAnsi="Arial Narrow" w:cs="Times New Roman"/>
                <w:b/>
                <w:bCs/>
                <w:sz w:val="20"/>
                <w:szCs w:val="20"/>
              </w:rPr>
              <w:t>Clinical criteria:</w:t>
            </w:r>
          </w:p>
        </w:tc>
      </w:tr>
      <w:tr w:rsidR="00A709EC" w:rsidRPr="009C1AA2" w14:paraId="3D7DB2A2"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36FC5ADC" w14:textId="77777777" w:rsidR="00A709EC" w:rsidRPr="009C1AA2" w:rsidRDefault="00A709EC"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color w:val="333333"/>
                <w:kern w:val="2"/>
                <w:sz w:val="20"/>
                <w:szCs w:val="20"/>
                <w14:ligatures w14:val="standardContextual"/>
              </w:rPr>
              <w:t xml:space="preserve">Patient must not be receiving concomitant treatment with any of the following: </w:t>
            </w:r>
          </w:p>
          <w:p w14:paraId="0A3675E7" w14:textId="77777777" w:rsidR="00A709EC" w:rsidRPr="009C1AA2" w:rsidRDefault="00A709EC" w:rsidP="00873AF3">
            <w:pPr>
              <w:contextualSpacing/>
              <w:jc w:val="left"/>
              <w:rPr>
                <w:rFonts w:ascii="Arial Narrow" w:hAnsi="Arial Narrow" w:cs="Times New Roman"/>
                <w:sz w:val="20"/>
                <w:szCs w:val="20"/>
              </w:rPr>
            </w:pPr>
            <w:r w:rsidRPr="009C1AA2">
              <w:rPr>
                <w:rFonts w:ascii="Arial Narrow" w:hAnsi="Arial Narrow" w:cs="Times New Roman"/>
                <w:sz w:val="20"/>
                <w:szCs w:val="20"/>
              </w:rPr>
              <w:t>(i) another gMG biological agent,</w:t>
            </w:r>
          </w:p>
          <w:p w14:paraId="6655D96F" w14:textId="77777777" w:rsidR="00A709EC" w:rsidRPr="009C1AA2" w:rsidRDefault="00A709EC" w:rsidP="00873AF3">
            <w:pPr>
              <w:contextualSpacing/>
              <w:jc w:val="left"/>
              <w:rPr>
                <w:rFonts w:ascii="Arial Narrow" w:hAnsi="Arial Narrow" w:cs="Times New Roman"/>
                <w:sz w:val="20"/>
                <w:szCs w:val="20"/>
              </w:rPr>
            </w:pPr>
            <w:r w:rsidRPr="009C1AA2">
              <w:rPr>
                <w:rFonts w:ascii="Arial Narrow" w:hAnsi="Arial Narrow" w:cs="Times New Roman"/>
                <w:sz w:val="20"/>
                <w:szCs w:val="20"/>
              </w:rPr>
              <w:t xml:space="preserve">(ii) </w:t>
            </w:r>
            <w:r w:rsidRPr="009C1AA2">
              <w:rPr>
                <w:rFonts w:ascii="Arial Narrow" w:hAnsi="Arial Narrow" w:cs="Times New Roman"/>
                <w:color w:val="333333"/>
                <w:kern w:val="2"/>
                <w:sz w:val="20"/>
                <w:szCs w:val="20"/>
                <w14:ligatures w14:val="standardContextual"/>
              </w:rPr>
              <w:t>intravenous immunoglobulin (</w:t>
            </w:r>
            <w:r w:rsidRPr="009C1AA2">
              <w:rPr>
                <w:rFonts w:ascii="Arial Narrow" w:hAnsi="Arial Narrow" w:cs="Times New Roman"/>
                <w:sz w:val="20"/>
                <w:szCs w:val="20"/>
              </w:rPr>
              <w:t>IVIg),</w:t>
            </w:r>
          </w:p>
          <w:p w14:paraId="06837236" w14:textId="77777777" w:rsidR="00A709EC" w:rsidRPr="009C1AA2" w:rsidRDefault="00A709EC" w:rsidP="00873AF3">
            <w:pPr>
              <w:contextualSpacing/>
              <w:jc w:val="left"/>
              <w:rPr>
                <w:rFonts w:ascii="Arial Narrow" w:hAnsi="Arial Narrow" w:cs="Times New Roman"/>
                <w:sz w:val="20"/>
                <w:szCs w:val="20"/>
              </w:rPr>
            </w:pPr>
            <w:r w:rsidRPr="009C1AA2">
              <w:rPr>
                <w:rFonts w:ascii="Arial Narrow" w:hAnsi="Arial Narrow" w:cs="Times New Roman"/>
                <w:sz w:val="20"/>
                <w:szCs w:val="20"/>
              </w:rPr>
              <w:t>(iii) plasma exchange (PLEX),</w:t>
            </w:r>
          </w:p>
          <w:p w14:paraId="7BC130E5" w14:textId="77777777" w:rsidR="00A709EC" w:rsidRPr="009C1AA2" w:rsidRDefault="00A709EC" w:rsidP="00873AF3">
            <w:pPr>
              <w:contextualSpacing/>
              <w:jc w:val="left"/>
              <w:rPr>
                <w:rFonts w:ascii="Arial Narrow" w:hAnsi="Arial Narrow" w:cs="Times New Roman"/>
                <w:sz w:val="20"/>
                <w:szCs w:val="20"/>
              </w:rPr>
            </w:pPr>
            <w:r w:rsidRPr="009C1AA2">
              <w:rPr>
                <w:rFonts w:ascii="Arial Narrow" w:hAnsi="Arial Narrow" w:cs="Times New Roman"/>
                <w:sz w:val="20"/>
                <w:szCs w:val="20"/>
              </w:rPr>
              <w:t>(iv) rituximab for this condition.</w:t>
            </w:r>
          </w:p>
        </w:tc>
      </w:tr>
      <w:tr w:rsidR="00A709EC" w:rsidRPr="009C1AA2" w14:paraId="3DCB0669"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5C8A3974" w14:textId="77777777" w:rsidR="00A709EC" w:rsidRPr="009C1AA2" w:rsidRDefault="00A709EC"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b/>
                <w:bCs/>
                <w:sz w:val="20"/>
                <w:szCs w:val="20"/>
              </w:rPr>
              <w:t>AND</w:t>
            </w:r>
          </w:p>
        </w:tc>
      </w:tr>
      <w:tr w:rsidR="00A709EC" w:rsidRPr="009C1AA2" w14:paraId="298AA27F"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13045DAE" w14:textId="77777777" w:rsidR="00A709EC" w:rsidRPr="009C1AA2" w:rsidRDefault="00A709EC"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b/>
                <w:bCs/>
                <w:sz w:val="20"/>
                <w:szCs w:val="20"/>
              </w:rPr>
              <w:t>Clinical criteria:</w:t>
            </w:r>
          </w:p>
        </w:tc>
      </w:tr>
      <w:tr w:rsidR="00A709EC" w:rsidRPr="009C1AA2" w14:paraId="50062CEE"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030E209F" w14:textId="77777777" w:rsidR="00A709EC" w:rsidRPr="009C1AA2" w:rsidRDefault="00A709EC"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color w:val="333333"/>
                <w:kern w:val="2"/>
                <w:sz w:val="20"/>
                <w:szCs w:val="20"/>
                <w14:ligatures w14:val="standardContextual"/>
              </w:rPr>
              <w:t xml:space="preserve">Patient must be receiving concomitant treatment with a </w:t>
            </w:r>
            <w:r w:rsidRPr="009C1AA2">
              <w:rPr>
                <w:rFonts w:ascii="Arial Narrow" w:hAnsi="Arial Narrow" w:cs="Times New Roman"/>
                <w:sz w:val="20"/>
                <w:szCs w:val="20"/>
              </w:rPr>
              <w:t>non-steroidal immunosuppressant (NS-IST); or</w:t>
            </w:r>
          </w:p>
        </w:tc>
      </w:tr>
      <w:tr w:rsidR="00A709EC" w:rsidRPr="009C1AA2" w14:paraId="6654EF7F"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6A0BEB76" w14:textId="77777777" w:rsidR="00A709EC" w:rsidRPr="009C1AA2" w:rsidRDefault="00A709EC"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color w:val="333333"/>
                <w:kern w:val="2"/>
                <w:sz w:val="20"/>
                <w:szCs w:val="20"/>
                <w14:ligatures w14:val="standardContextual"/>
              </w:rPr>
              <w:t>Patient must have had a thymectomy</w:t>
            </w:r>
          </w:p>
        </w:tc>
      </w:tr>
      <w:tr w:rsidR="00A709EC" w:rsidRPr="009C1AA2" w14:paraId="780ABF38"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13351F9E" w14:textId="77777777" w:rsidR="00A709EC" w:rsidRPr="009C1AA2" w:rsidRDefault="00A709EC"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b/>
                <w:bCs/>
                <w:sz w:val="20"/>
                <w:szCs w:val="20"/>
              </w:rPr>
              <w:t>AND</w:t>
            </w:r>
          </w:p>
        </w:tc>
      </w:tr>
      <w:tr w:rsidR="00A709EC" w:rsidRPr="009C1AA2" w14:paraId="43DAA8DB"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4FB091EA" w14:textId="77777777" w:rsidR="00A709EC" w:rsidRPr="009C1AA2" w:rsidRDefault="00A709EC"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b/>
                <w:bCs/>
                <w:sz w:val="20"/>
                <w:szCs w:val="20"/>
              </w:rPr>
              <w:t>Clinical criteria:</w:t>
            </w:r>
          </w:p>
        </w:tc>
      </w:tr>
      <w:tr w:rsidR="00A709EC" w:rsidRPr="009C1AA2" w14:paraId="3099D8DE"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4EE7E06F" w14:textId="77777777" w:rsidR="00A709EC" w:rsidRPr="009C1AA2" w:rsidRDefault="00A709EC" w:rsidP="00873AF3">
            <w:pPr>
              <w:contextualSpacing/>
              <w:jc w:val="left"/>
              <w:rPr>
                <w:rFonts w:ascii="Arial Narrow" w:hAnsi="Arial Narrow" w:cs="Times New Roman"/>
                <w:color w:val="333333"/>
                <w:kern w:val="2"/>
                <w:sz w:val="20"/>
                <w:szCs w:val="20"/>
                <w14:ligatures w14:val="standardContextual"/>
              </w:rPr>
            </w:pPr>
            <w:r w:rsidRPr="009C1AA2">
              <w:rPr>
                <w:rFonts w:ascii="Arial Narrow" w:eastAsia="Aptos" w:hAnsi="Arial Narrow" w:cs="Times New Roman"/>
                <w:kern w:val="2"/>
                <w:sz w:val="20"/>
                <w:szCs w:val="20"/>
                <w:lang w:eastAsia="en-US"/>
                <w14:ligatures w14:val="standardContextual"/>
              </w:rPr>
              <w:t xml:space="preserve">The treatment must </w:t>
            </w:r>
            <w:r w:rsidRPr="009C1AA2">
              <w:rPr>
                <w:rFonts w:ascii="Arial Narrow" w:eastAsia="Aptos" w:hAnsi="Arial Narrow" w:cs="Times New Roman"/>
                <w:color w:val="000000"/>
                <w:kern w:val="2"/>
                <w:sz w:val="20"/>
                <w:szCs w:val="20"/>
                <w:lang w:eastAsia="en-US"/>
                <w14:ligatures w14:val="standardContextual"/>
              </w:rPr>
              <w:t>provide no more than 6 months of therapy per continuing authority application</w:t>
            </w:r>
          </w:p>
        </w:tc>
      </w:tr>
      <w:tr w:rsidR="00A709EC" w:rsidRPr="009C1AA2" w14:paraId="5AAF8F7F"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376938A9" w14:textId="77777777" w:rsidR="00A709EC" w:rsidRPr="009C1AA2" w:rsidRDefault="00A709EC"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b/>
                <w:bCs/>
                <w:sz w:val="20"/>
                <w:szCs w:val="20"/>
              </w:rPr>
              <w:t>AND</w:t>
            </w:r>
          </w:p>
        </w:tc>
      </w:tr>
      <w:tr w:rsidR="00A709EC" w:rsidRPr="009C1AA2" w14:paraId="1FFCA18E"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36742001" w14:textId="77777777" w:rsidR="00A709EC" w:rsidRPr="009C1AA2" w:rsidRDefault="00A709EC" w:rsidP="00873AF3">
            <w:pPr>
              <w:contextualSpacing/>
              <w:jc w:val="left"/>
              <w:rPr>
                <w:rFonts w:ascii="Arial Narrow" w:hAnsi="Arial Narrow" w:cs="Times New Roman"/>
                <w:b/>
                <w:bCs/>
                <w:color w:val="000000"/>
                <w:sz w:val="20"/>
                <w:szCs w:val="20"/>
              </w:rPr>
            </w:pPr>
            <w:r w:rsidRPr="009C1AA2">
              <w:rPr>
                <w:rFonts w:ascii="Arial Narrow" w:hAnsi="Arial Narrow" w:cs="Times New Roman"/>
                <w:b/>
                <w:bCs/>
                <w:color w:val="000000"/>
                <w:sz w:val="20"/>
                <w:szCs w:val="20"/>
              </w:rPr>
              <w:t>Treatment criteria:</w:t>
            </w:r>
          </w:p>
        </w:tc>
      </w:tr>
      <w:tr w:rsidR="00A709EC" w:rsidRPr="009C1AA2" w14:paraId="097EA045"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41342BBC" w14:textId="77777777" w:rsidR="00A709EC" w:rsidRPr="009C1AA2" w:rsidRDefault="00A709EC" w:rsidP="00873AF3">
            <w:pPr>
              <w:contextualSpacing/>
              <w:jc w:val="left"/>
              <w:rPr>
                <w:rFonts w:ascii="Arial Narrow" w:hAnsi="Arial Narrow" w:cs="Times New Roman"/>
                <w:b/>
                <w:bCs/>
                <w:color w:val="000000"/>
                <w:sz w:val="20"/>
                <w:szCs w:val="20"/>
              </w:rPr>
            </w:pPr>
            <w:r w:rsidRPr="009C1AA2">
              <w:rPr>
                <w:rFonts w:ascii="Arial Narrow" w:eastAsia="Calibri" w:hAnsi="Arial Narrow" w:cs="Arial Narrow"/>
                <w:iCs/>
                <w:color w:val="000000"/>
                <w:sz w:val="20"/>
                <w:szCs w:val="20"/>
                <w:lang w:eastAsia="en-US"/>
              </w:rPr>
              <w:t>Must be treated by a prescriber who is either: (i) a neurologist; (ii) a clinical immunologist with expertise in the treatment of myasthenia gravis; or</w:t>
            </w:r>
          </w:p>
        </w:tc>
      </w:tr>
      <w:tr w:rsidR="00A709EC" w:rsidRPr="009C1AA2" w14:paraId="6022701A"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2E6B2976" w14:textId="77777777" w:rsidR="00A709EC" w:rsidRPr="009C1AA2" w:rsidRDefault="00A709EC" w:rsidP="00873AF3">
            <w:pPr>
              <w:contextualSpacing/>
              <w:jc w:val="left"/>
              <w:rPr>
                <w:rFonts w:ascii="Arial Narrow" w:eastAsia="Calibri" w:hAnsi="Arial Narrow" w:cs="Arial Narrow"/>
                <w:color w:val="000000"/>
                <w:sz w:val="20"/>
                <w:szCs w:val="20"/>
                <w:lang w:eastAsia="en-US"/>
              </w:rPr>
            </w:pPr>
            <w:r w:rsidRPr="009C1AA2">
              <w:rPr>
                <w:rFonts w:ascii="Arial Narrow" w:eastAsia="Calibri" w:hAnsi="Arial Narrow" w:cs="Arial Narrow"/>
                <w:iCs/>
                <w:color w:val="000000"/>
                <w:sz w:val="20"/>
                <w:szCs w:val="20"/>
                <w:lang w:eastAsia="en-US"/>
              </w:rPr>
              <w:t>Must be treated by a medical practitioner who has consulted at least one of the above-mentioned specialist types, with an agreement reached that the patient should be treated with this pharmaceutical benefit on this occasion.</w:t>
            </w:r>
          </w:p>
        </w:tc>
      </w:tr>
      <w:tr w:rsidR="00A709EC" w:rsidRPr="009C1AA2" w14:paraId="0E1884FE"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67B38D7C" w14:textId="77777777" w:rsidR="00A709EC" w:rsidRPr="009C1AA2" w:rsidRDefault="00A709EC" w:rsidP="00873AF3">
            <w:pPr>
              <w:contextualSpacing/>
              <w:jc w:val="left"/>
              <w:rPr>
                <w:rFonts w:ascii="Arial Narrow" w:eastAsia="Calibri" w:hAnsi="Arial Narrow" w:cs="Times New Roman"/>
                <w:bCs/>
                <w:sz w:val="20"/>
                <w:szCs w:val="20"/>
                <w:lang w:eastAsia="en-US"/>
              </w:rPr>
            </w:pPr>
            <w:r w:rsidRPr="009C1AA2">
              <w:rPr>
                <w:rFonts w:ascii="Arial Narrow" w:eastAsia="Calibri" w:hAnsi="Arial Narrow" w:cs="Times New Roman"/>
                <w:b/>
                <w:bCs/>
                <w:sz w:val="20"/>
                <w:szCs w:val="20"/>
                <w:lang w:eastAsia="en-US"/>
              </w:rPr>
              <w:t>Prescribing Instructions</w:t>
            </w:r>
            <w:r w:rsidRPr="009C1AA2">
              <w:rPr>
                <w:rFonts w:ascii="Arial Narrow" w:eastAsia="Calibri" w:hAnsi="Arial Narrow" w:cs="Times New Roman"/>
                <w:bCs/>
                <w:sz w:val="20"/>
                <w:szCs w:val="20"/>
                <w:lang w:eastAsia="en-US"/>
              </w:rPr>
              <w:t>:</w:t>
            </w:r>
          </w:p>
          <w:p w14:paraId="6E47CE9F" w14:textId="77777777" w:rsidR="00A709EC" w:rsidRPr="009C1AA2" w:rsidRDefault="00A709EC" w:rsidP="00873AF3">
            <w:pPr>
              <w:contextualSpacing/>
              <w:jc w:val="left"/>
              <w:rPr>
                <w:rFonts w:ascii="Arial Narrow" w:eastAsia="Calibri" w:hAnsi="Arial Narrow" w:cs="Times New Roman"/>
                <w:bCs/>
                <w:color w:val="000000"/>
                <w:sz w:val="20"/>
                <w:szCs w:val="20"/>
                <w:lang w:eastAsia="en-US"/>
              </w:rPr>
            </w:pPr>
            <w:r w:rsidRPr="009C1AA2">
              <w:rPr>
                <w:rFonts w:ascii="Arial Narrow" w:eastAsia="Calibri" w:hAnsi="Arial Narrow" w:cs="Times New Roman"/>
                <w:bCs/>
                <w:sz w:val="20"/>
                <w:szCs w:val="20"/>
                <w:lang w:eastAsia="en-US"/>
              </w:rPr>
              <w:t xml:space="preserve">The authority application </w:t>
            </w:r>
            <w:r w:rsidRPr="009C1AA2">
              <w:rPr>
                <w:rFonts w:ascii="Arial Narrow" w:eastAsia="Calibri" w:hAnsi="Arial Narrow" w:cs="Times New Roman"/>
                <w:bCs/>
                <w:color w:val="000000"/>
                <w:sz w:val="20"/>
                <w:szCs w:val="20"/>
                <w:lang w:eastAsia="en-US"/>
              </w:rPr>
              <w:t xml:space="preserve">must be </w:t>
            </w:r>
            <w:r w:rsidRPr="009C1AA2">
              <w:rPr>
                <w:rFonts w:ascii="Arial Narrow" w:hAnsi="Arial Narrow" w:cs="Times New Roman"/>
                <w:color w:val="000000"/>
                <w:sz w:val="20"/>
                <w:szCs w:val="20"/>
              </w:rPr>
              <w:t xml:space="preserve">via the Online PBS Authorities System, or </w:t>
            </w:r>
            <w:r w:rsidRPr="009C1AA2">
              <w:rPr>
                <w:rFonts w:ascii="Arial Narrow" w:eastAsia="Calibri" w:hAnsi="Arial Narrow" w:cs="Times New Roman"/>
                <w:bCs/>
                <w:color w:val="000000"/>
                <w:sz w:val="20"/>
                <w:szCs w:val="20"/>
                <w:lang w:eastAsia="en-US"/>
              </w:rPr>
              <w:t xml:space="preserve">in writing and must include </w:t>
            </w:r>
            <w:r w:rsidRPr="009C1AA2">
              <w:rPr>
                <w:rFonts w:ascii="Arial Narrow" w:hAnsi="Arial Narrow" w:cs="Times New Roman"/>
                <w:color w:val="000000"/>
                <w:sz w:val="20"/>
                <w:szCs w:val="20"/>
              </w:rPr>
              <w:t>the MG-ADL and MGC scores assessed from the most recent course of treatment.</w:t>
            </w:r>
          </w:p>
          <w:p w14:paraId="53CE9E46" w14:textId="77777777" w:rsidR="00A709EC" w:rsidRPr="009C1AA2" w:rsidRDefault="00A709EC" w:rsidP="00873AF3">
            <w:pPr>
              <w:jc w:val="left"/>
              <w:rPr>
                <w:rFonts w:ascii="Arial Narrow" w:hAnsi="Arial Narrow" w:cs="Times New Roman"/>
                <w:color w:val="000000"/>
                <w:sz w:val="20"/>
                <w:szCs w:val="20"/>
              </w:rPr>
            </w:pPr>
          </w:p>
          <w:p w14:paraId="389ACEA7" w14:textId="77777777" w:rsidR="00A709EC" w:rsidRPr="009C1AA2" w:rsidRDefault="00A709EC" w:rsidP="00873AF3">
            <w:pPr>
              <w:jc w:val="left"/>
              <w:rPr>
                <w:rFonts w:ascii="Arial Narrow" w:hAnsi="Arial Narrow" w:cs="Times New Roman"/>
                <w:sz w:val="20"/>
                <w:szCs w:val="20"/>
              </w:rPr>
            </w:pPr>
            <w:r w:rsidRPr="009C1AA2">
              <w:rPr>
                <w:rFonts w:ascii="Arial Narrow" w:hAnsi="Arial Narrow" w:cs="Times New Roman"/>
                <w:sz w:val="20"/>
                <w:szCs w:val="20"/>
              </w:rPr>
              <w:t>If the application is submitted through HPOS form upload or mail, it must include:</w:t>
            </w:r>
          </w:p>
          <w:p w14:paraId="25F6B3BD" w14:textId="77777777" w:rsidR="00A709EC" w:rsidRPr="009C1AA2" w:rsidRDefault="00A709EC" w:rsidP="00873AF3">
            <w:pPr>
              <w:contextualSpacing/>
              <w:jc w:val="left"/>
              <w:rPr>
                <w:rFonts w:ascii="Arial Narrow" w:eastAsia="Calibri" w:hAnsi="Arial Narrow" w:cs="Times New Roman"/>
                <w:bCs/>
                <w:sz w:val="20"/>
                <w:szCs w:val="20"/>
                <w:lang w:eastAsia="en-US"/>
              </w:rPr>
            </w:pPr>
            <w:r w:rsidRPr="009C1AA2">
              <w:rPr>
                <w:rFonts w:ascii="Arial Narrow" w:eastAsia="Calibri" w:hAnsi="Arial Narrow" w:cs="Times New Roman"/>
                <w:bCs/>
                <w:sz w:val="20"/>
                <w:szCs w:val="20"/>
                <w:lang w:eastAsia="en-US"/>
              </w:rPr>
              <w:t>(1) details of the proposed prescription;</w:t>
            </w:r>
          </w:p>
          <w:p w14:paraId="045A0FB0" w14:textId="77777777" w:rsidR="00A709EC" w:rsidRPr="009C1AA2" w:rsidRDefault="00A709EC" w:rsidP="00873AF3">
            <w:pPr>
              <w:contextualSpacing/>
              <w:jc w:val="left"/>
              <w:rPr>
                <w:rFonts w:ascii="Arial Narrow" w:eastAsia="Calibri" w:hAnsi="Arial Narrow" w:cs="Times New Roman"/>
                <w:bCs/>
                <w:sz w:val="20"/>
                <w:szCs w:val="20"/>
                <w:lang w:eastAsia="en-US"/>
              </w:rPr>
            </w:pPr>
            <w:r w:rsidRPr="009C1AA2">
              <w:rPr>
                <w:rFonts w:ascii="Arial Narrow" w:eastAsia="Calibri" w:hAnsi="Arial Narrow" w:cs="Times New Roman"/>
                <w:bCs/>
                <w:sz w:val="20"/>
                <w:szCs w:val="20"/>
                <w:lang w:eastAsia="en-US"/>
              </w:rPr>
              <w:t>(2) a completed authority application form relevant to the indication and treatment phase (the latest version is located on the website specified in the Administrative Advice);</w:t>
            </w:r>
          </w:p>
        </w:tc>
      </w:tr>
      <w:tr w:rsidR="008A494F" w:rsidRPr="009C1AA2" w14:paraId="485EB7D1" w14:textId="77777777" w:rsidTr="0091111B">
        <w:tblPrEx>
          <w:tblCellMar>
            <w:top w:w="15" w:type="dxa"/>
            <w:bottom w:w="15" w:type="dxa"/>
          </w:tblCellMar>
          <w:tblLook w:val="04A0" w:firstRow="1" w:lastRow="0" w:firstColumn="1" w:lastColumn="0" w:noHBand="0" w:noVBand="1"/>
        </w:tblPrEx>
        <w:trPr>
          <w:cantSplit/>
          <w:trHeight w:val="20"/>
        </w:trPr>
        <w:tc>
          <w:tcPr>
            <w:tcW w:w="1270" w:type="dxa"/>
            <w:vAlign w:val="center"/>
          </w:tcPr>
          <w:p w14:paraId="5DB2C4A3" w14:textId="77777777" w:rsidR="008A494F" w:rsidRPr="009C1AA2" w:rsidRDefault="008A494F" w:rsidP="00873AF3">
            <w:pPr>
              <w:contextualSpacing/>
              <w:jc w:val="center"/>
              <w:rPr>
                <w:rFonts w:ascii="Arial Narrow" w:hAnsi="Arial Narrow" w:cs="Times New Roman"/>
                <w:sz w:val="20"/>
                <w:szCs w:val="20"/>
              </w:rPr>
            </w:pPr>
          </w:p>
        </w:tc>
        <w:tc>
          <w:tcPr>
            <w:tcW w:w="7801" w:type="dxa"/>
            <w:gridSpan w:val="6"/>
          </w:tcPr>
          <w:p w14:paraId="2E2E7C2E" w14:textId="77777777" w:rsidR="008A494F" w:rsidRPr="009C1AA2" w:rsidRDefault="008A494F" w:rsidP="00873AF3">
            <w:pPr>
              <w:contextualSpacing/>
              <w:jc w:val="left"/>
              <w:rPr>
                <w:rFonts w:ascii="Arial Narrow" w:hAnsi="Arial Narrow" w:cs="Times New Roman"/>
                <w:b/>
                <w:bCs/>
                <w:sz w:val="20"/>
                <w:szCs w:val="20"/>
              </w:rPr>
            </w:pPr>
          </w:p>
        </w:tc>
      </w:tr>
      <w:tr w:rsidR="008A494F" w:rsidRPr="009C1AA2" w14:paraId="533B45EA"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shd w:val="clear" w:color="auto" w:fill="D1D1D1"/>
            <w:vAlign w:val="center"/>
          </w:tcPr>
          <w:p w14:paraId="74BEB539" w14:textId="6E0B2A1C" w:rsidR="008A494F" w:rsidRPr="009C1AA2" w:rsidRDefault="008A494F" w:rsidP="00873AF3">
            <w:pPr>
              <w:keepLines/>
              <w:contextualSpacing/>
              <w:jc w:val="left"/>
              <w:rPr>
                <w:rFonts w:ascii="Arial Narrow" w:hAnsi="Arial Narrow" w:cs="Times New Roman"/>
                <w:b/>
                <w:bCs/>
                <w:color w:val="000000"/>
                <w:sz w:val="20"/>
                <w:szCs w:val="20"/>
              </w:rPr>
            </w:pPr>
            <w:r w:rsidRPr="009C1AA2">
              <w:rPr>
                <w:rFonts w:ascii="Arial Narrow" w:eastAsia="Calibri" w:hAnsi="Arial Narrow" w:cs="Times New Roman"/>
                <w:b/>
                <w:color w:val="000000"/>
                <w:sz w:val="20"/>
                <w:szCs w:val="20"/>
                <w:lang w:eastAsia="en-US"/>
              </w:rPr>
              <w:t xml:space="preserve">Restriction Summary / Treatment of Concept: </w:t>
            </w:r>
          </w:p>
        </w:tc>
      </w:tr>
      <w:tr w:rsidR="0091111B" w:rsidRPr="009C1AA2" w14:paraId="2D1C18D2"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3046F46F" w14:textId="77777777" w:rsidR="0091111B" w:rsidRPr="009C1AA2" w:rsidRDefault="0091111B" w:rsidP="00873AF3">
            <w:pPr>
              <w:contextualSpacing/>
              <w:jc w:val="left"/>
              <w:rPr>
                <w:rFonts w:ascii="Arial Narrow" w:hAnsi="Arial Narrow" w:cs="Times New Roman"/>
                <w:b/>
                <w:bCs/>
                <w:color w:val="000000"/>
                <w:sz w:val="20"/>
                <w:szCs w:val="20"/>
              </w:rPr>
            </w:pPr>
            <w:r w:rsidRPr="009C1AA2">
              <w:rPr>
                <w:rFonts w:ascii="Arial Narrow" w:hAnsi="Arial Narrow" w:cs="Times New Roman"/>
                <w:b/>
                <w:bCs/>
                <w:color w:val="000000"/>
                <w:sz w:val="20"/>
                <w:szCs w:val="20"/>
              </w:rPr>
              <w:t>Indication:</w:t>
            </w:r>
            <w:r w:rsidRPr="009C1AA2">
              <w:rPr>
                <w:rFonts w:ascii="Arial Narrow" w:hAnsi="Arial Narrow" w:cs="Times New Roman"/>
                <w:color w:val="000000"/>
                <w:sz w:val="20"/>
                <w:szCs w:val="20"/>
              </w:rPr>
              <w:t xml:space="preserve"> </w:t>
            </w:r>
            <w:r w:rsidRPr="009C1AA2">
              <w:rPr>
                <w:rFonts w:ascii="Arial Narrow" w:eastAsia="Arial Narrow" w:hAnsi="Arial Narrow" w:cs="Arial Narrow"/>
                <w:color w:val="000000"/>
                <w:sz w:val="20"/>
                <w:szCs w:val="20"/>
                <w:lang w:eastAsia="en-US"/>
              </w:rPr>
              <w:t>Treatment refractory</w:t>
            </w:r>
            <w:r w:rsidRPr="009C1AA2">
              <w:rPr>
                <w:rFonts w:ascii="Arial Narrow" w:hAnsi="Arial Narrow" w:cs="Times New Roman"/>
                <w:color w:val="000000"/>
                <w:sz w:val="20"/>
                <w:szCs w:val="20"/>
              </w:rPr>
              <w:t xml:space="preserve"> generalised myasthenia gravis (gMG)</w:t>
            </w:r>
          </w:p>
        </w:tc>
      </w:tr>
      <w:tr w:rsidR="0091111B" w:rsidRPr="009C1AA2" w14:paraId="6841F88C"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1F0A4691" w14:textId="77777777" w:rsidR="0091111B" w:rsidRPr="009C1AA2" w:rsidRDefault="0091111B" w:rsidP="00873AF3">
            <w:pPr>
              <w:contextualSpacing/>
              <w:jc w:val="left"/>
              <w:rPr>
                <w:rFonts w:ascii="Arial Narrow" w:hAnsi="Arial Narrow" w:cs="Times New Roman"/>
                <w:b/>
                <w:bCs/>
                <w:color w:val="000000"/>
                <w:sz w:val="20"/>
                <w:szCs w:val="20"/>
              </w:rPr>
            </w:pPr>
            <w:r w:rsidRPr="009C1AA2">
              <w:rPr>
                <w:rFonts w:ascii="Arial Narrow" w:hAnsi="Arial Narrow" w:cs="Times New Roman"/>
                <w:b/>
                <w:bCs/>
                <w:color w:val="000000"/>
                <w:sz w:val="20"/>
                <w:szCs w:val="20"/>
              </w:rPr>
              <w:t xml:space="preserve">Treatment Phase: </w:t>
            </w:r>
            <w:r w:rsidRPr="009C1AA2">
              <w:rPr>
                <w:rFonts w:ascii="Arial Narrow" w:hAnsi="Arial Narrow"/>
                <w:kern w:val="2"/>
                <w:sz w:val="20"/>
                <w:szCs w:val="20"/>
                <w14:ligatures w14:val="standardContextual"/>
              </w:rPr>
              <w:t>Transitioning from non-PBS to PBS-subsidised treatment - Grandfathering treatment</w:t>
            </w:r>
          </w:p>
        </w:tc>
      </w:tr>
      <w:tr w:rsidR="0091111B" w:rsidRPr="009C1AA2" w14:paraId="7D94BD35"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176AF70F" w14:textId="77777777" w:rsidR="0091111B" w:rsidRPr="009C1AA2" w:rsidRDefault="0091111B" w:rsidP="00873AF3">
            <w:pPr>
              <w:contextualSpacing/>
              <w:jc w:val="left"/>
              <w:rPr>
                <w:rFonts w:ascii="Arial Narrow" w:hAnsi="Arial Narrow" w:cs="Times New Roman"/>
                <w:b/>
                <w:bCs/>
                <w:color w:val="000000"/>
                <w:sz w:val="20"/>
                <w:szCs w:val="20"/>
              </w:rPr>
            </w:pPr>
            <w:r w:rsidRPr="009C1AA2">
              <w:rPr>
                <w:rFonts w:ascii="Arial Narrow" w:hAnsi="Arial Narrow"/>
                <w:b/>
                <w:bCs/>
                <w:kern w:val="2"/>
                <w:sz w:val="20"/>
                <w:szCs w:val="20"/>
                <w14:ligatures w14:val="standardContextual"/>
              </w:rPr>
              <w:t xml:space="preserve">Clinical criteria: </w:t>
            </w:r>
          </w:p>
        </w:tc>
      </w:tr>
      <w:tr w:rsidR="0091111B" w:rsidRPr="009C1AA2" w14:paraId="09227257"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78E876CC" w14:textId="77777777" w:rsidR="0091111B" w:rsidRPr="009C1AA2" w:rsidRDefault="0091111B" w:rsidP="00873AF3">
            <w:pPr>
              <w:contextualSpacing/>
              <w:jc w:val="left"/>
              <w:rPr>
                <w:rFonts w:ascii="Arial Narrow" w:hAnsi="Arial Narrow" w:cs="Times New Roman"/>
                <w:b/>
                <w:bCs/>
                <w:color w:val="000000"/>
                <w:sz w:val="20"/>
                <w:szCs w:val="20"/>
              </w:rPr>
            </w:pPr>
            <w:r w:rsidRPr="009C1AA2">
              <w:rPr>
                <w:rFonts w:ascii="Arial Narrow" w:hAnsi="Arial Narrow"/>
                <w:kern w:val="2"/>
                <w:sz w:val="20"/>
                <w:szCs w:val="20"/>
                <w14:ligatures w14:val="standardContextual"/>
              </w:rPr>
              <w:t>Patient must have received non-PBS subsidised treatment with this drug for this PBS indication prior to [PBS listing date].</w:t>
            </w:r>
          </w:p>
        </w:tc>
      </w:tr>
      <w:tr w:rsidR="0091111B" w:rsidRPr="009C1AA2" w14:paraId="7321366A"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6BECB679" w14:textId="77777777" w:rsidR="0091111B" w:rsidRPr="009C1AA2" w:rsidRDefault="0091111B" w:rsidP="00873AF3">
            <w:pPr>
              <w:contextualSpacing/>
              <w:jc w:val="left"/>
              <w:rPr>
                <w:rFonts w:ascii="Arial Narrow" w:hAnsi="Arial Narrow" w:cs="Times New Roman"/>
                <w:b/>
                <w:bCs/>
                <w:color w:val="000000"/>
                <w:sz w:val="20"/>
                <w:szCs w:val="20"/>
              </w:rPr>
            </w:pPr>
            <w:r w:rsidRPr="009C1AA2">
              <w:rPr>
                <w:rFonts w:ascii="Arial Narrow" w:hAnsi="Arial Narrow" w:cs="Times New Roman"/>
                <w:b/>
                <w:bCs/>
                <w:color w:val="000000"/>
                <w:sz w:val="20"/>
                <w:szCs w:val="20"/>
              </w:rPr>
              <w:t>AND</w:t>
            </w:r>
          </w:p>
        </w:tc>
      </w:tr>
      <w:tr w:rsidR="0091111B" w:rsidRPr="009C1AA2" w14:paraId="1F4713CE"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73264C39" w14:textId="77777777" w:rsidR="0091111B" w:rsidRPr="009C1AA2" w:rsidRDefault="0091111B" w:rsidP="00873AF3">
            <w:pPr>
              <w:contextualSpacing/>
              <w:jc w:val="left"/>
              <w:rPr>
                <w:rFonts w:ascii="Arial Narrow" w:hAnsi="Arial Narrow" w:cs="Times New Roman"/>
                <w:color w:val="000000"/>
                <w:sz w:val="20"/>
                <w:szCs w:val="20"/>
              </w:rPr>
            </w:pPr>
            <w:r w:rsidRPr="009C1AA2">
              <w:rPr>
                <w:rFonts w:ascii="Arial Narrow" w:hAnsi="Arial Narrow" w:cs="Times New Roman"/>
                <w:b/>
                <w:bCs/>
                <w:color w:val="000000"/>
                <w:sz w:val="20"/>
                <w:szCs w:val="20"/>
              </w:rPr>
              <w:t>Clinical criteria:</w:t>
            </w:r>
          </w:p>
        </w:tc>
      </w:tr>
      <w:tr w:rsidR="0091111B" w:rsidRPr="009C1AA2" w14:paraId="3DFE2272"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291FA4B3" w14:textId="77777777" w:rsidR="0091111B" w:rsidRPr="009C1AA2" w:rsidRDefault="0091111B" w:rsidP="00873AF3">
            <w:pPr>
              <w:contextualSpacing/>
              <w:jc w:val="left"/>
              <w:rPr>
                <w:rFonts w:ascii="Arial Narrow" w:hAnsi="Arial Narrow" w:cs="Times New Roman"/>
                <w:color w:val="000000"/>
                <w:sz w:val="20"/>
                <w:szCs w:val="20"/>
              </w:rPr>
            </w:pPr>
            <w:r w:rsidRPr="009C1AA2">
              <w:rPr>
                <w:rFonts w:ascii="Arial Narrow" w:hAnsi="Arial Narrow" w:cs="Times New Roman"/>
                <w:color w:val="333333"/>
                <w:kern w:val="2"/>
                <w:sz w:val="20"/>
                <w:szCs w:val="20"/>
                <w14:ligatures w14:val="standardContextual"/>
              </w:rPr>
              <w:t xml:space="preserve">Patient must have a diagnosis of MGFA Disease </w:t>
            </w:r>
            <w:r w:rsidRPr="009C1AA2">
              <w:rPr>
                <w:rFonts w:ascii="Arial Narrow" w:hAnsi="Arial Narrow" w:cs="Times New Roman"/>
                <w:color w:val="000000"/>
                <w:kern w:val="2"/>
                <w:sz w:val="20"/>
                <w:szCs w:val="20"/>
                <w14:ligatures w14:val="standardContextual"/>
              </w:rPr>
              <w:t xml:space="preserve">Class II to IV </w:t>
            </w:r>
          </w:p>
        </w:tc>
      </w:tr>
      <w:tr w:rsidR="0091111B" w:rsidRPr="009C1AA2" w14:paraId="52C4BD9D"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104F7193" w14:textId="77777777" w:rsidR="0091111B" w:rsidRPr="009C1AA2" w:rsidRDefault="0091111B" w:rsidP="00873AF3">
            <w:pPr>
              <w:contextualSpacing/>
              <w:jc w:val="left"/>
              <w:rPr>
                <w:rFonts w:ascii="Arial Narrow" w:hAnsi="Arial Narrow" w:cs="Times New Roman"/>
                <w:color w:val="000000"/>
                <w:sz w:val="20"/>
                <w:szCs w:val="20"/>
              </w:rPr>
            </w:pPr>
            <w:r w:rsidRPr="009C1AA2">
              <w:rPr>
                <w:rFonts w:ascii="Arial Narrow" w:hAnsi="Arial Narrow" w:cs="Times New Roman"/>
                <w:b/>
                <w:bCs/>
                <w:color w:val="000000"/>
                <w:sz w:val="20"/>
                <w:szCs w:val="20"/>
              </w:rPr>
              <w:t>AND</w:t>
            </w:r>
          </w:p>
        </w:tc>
      </w:tr>
      <w:tr w:rsidR="0091111B" w:rsidRPr="009C1AA2" w14:paraId="36C8FF37"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1C16EE84" w14:textId="77777777" w:rsidR="0091111B" w:rsidRPr="009C1AA2" w:rsidRDefault="0091111B" w:rsidP="00873AF3">
            <w:pPr>
              <w:contextualSpacing/>
              <w:jc w:val="left"/>
              <w:rPr>
                <w:rFonts w:ascii="Arial Narrow" w:hAnsi="Arial Narrow" w:cs="Times New Roman"/>
                <w:color w:val="000000"/>
                <w:sz w:val="20"/>
                <w:szCs w:val="20"/>
              </w:rPr>
            </w:pPr>
            <w:r w:rsidRPr="009C1AA2">
              <w:rPr>
                <w:rFonts w:ascii="Arial Narrow" w:hAnsi="Arial Narrow" w:cs="Times New Roman"/>
                <w:b/>
                <w:bCs/>
                <w:color w:val="000000"/>
                <w:sz w:val="20"/>
                <w:szCs w:val="20"/>
              </w:rPr>
              <w:t>Clinical criteria:</w:t>
            </w:r>
          </w:p>
        </w:tc>
      </w:tr>
      <w:tr w:rsidR="0091111B" w:rsidRPr="009C1AA2" w14:paraId="693B880E"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3D866E20" w14:textId="77777777" w:rsidR="0091111B" w:rsidRPr="009C1AA2" w:rsidRDefault="0091111B" w:rsidP="00873AF3">
            <w:pPr>
              <w:contextualSpacing/>
              <w:jc w:val="left"/>
              <w:rPr>
                <w:rFonts w:ascii="Arial Narrow" w:hAnsi="Arial Narrow" w:cs="Times New Roman"/>
                <w:sz w:val="20"/>
                <w:szCs w:val="20"/>
              </w:rPr>
            </w:pPr>
            <w:r w:rsidRPr="009C1AA2">
              <w:rPr>
                <w:rFonts w:ascii="Arial Narrow" w:hAnsi="Arial Narrow" w:cs="Times New Roman"/>
                <w:bCs/>
                <w:kern w:val="2"/>
                <w:sz w:val="20"/>
                <w:szCs w:val="20"/>
                <w14:ligatures w14:val="standardContextual"/>
              </w:rPr>
              <w:t>Patient must have a positive serology for acetylcholine receptor (AChR) binding autoantibodies</w:t>
            </w:r>
          </w:p>
        </w:tc>
      </w:tr>
      <w:tr w:rsidR="0091111B" w:rsidRPr="009C1AA2" w14:paraId="56AC1868"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36F456A0" w14:textId="77777777" w:rsidR="0091111B" w:rsidRPr="009C1AA2" w:rsidRDefault="0091111B" w:rsidP="00873AF3">
            <w:pPr>
              <w:contextualSpacing/>
              <w:jc w:val="left"/>
              <w:rPr>
                <w:rFonts w:ascii="Arial Narrow" w:hAnsi="Arial Narrow" w:cs="Times New Roman"/>
                <w:sz w:val="20"/>
                <w:szCs w:val="20"/>
              </w:rPr>
            </w:pPr>
            <w:r w:rsidRPr="009C1AA2">
              <w:rPr>
                <w:rFonts w:ascii="Arial Narrow" w:eastAsia="Calibri" w:hAnsi="Arial Narrow" w:cs="Times New Roman"/>
                <w:b/>
                <w:bCs/>
                <w:sz w:val="20"/>
                <w:szCs w:val="20"/>
                <w:lang w:eastAsia="en-US"/>
              </w:rPr>
              <w:t>AND</w:t>
            </w:r>
          </w:p>
        </w:tc>
      </w:tr>
      <w:tr w:rsidR="0091111B" w:rsidRPr="009C1AA2" w14:paraId="73CA7EDC"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32229568" w14:textId="77777777" w:rsidR="0091111B" w:rsidRPr="009C1AA2" w:rsidRDefault="0091111B" w:rsidP="00873AF3">
            <w:pPr>
              <w:contextualSpacing/>
              <w:jc w:val="left"/>
              <w:rPr>
                <w:rFonts w:ascii="Arial Narrow" w:hAnsi="Arial Narrow" w:cs="Times New Roman"/>
                <w:sz w:val="20"/>
                <w:szCs w:val="20"/>
              </w:rPr>
            </w:pPr>
            <w:r w:rsidRPr="009C1AA2">
              <w:rPr>
                <w:rFonts w:ascii="Arial Narrow" w:eastAsia="Calibri" w:hAnsi="Arial Narrow" w:cs="Times New Roman"/>
                <w:b/>
                <w:bCs/>
                <w:sz w:val="20"/>
                <w:szCs w:val="20"/>
                <w:lang w:eastAsia="en-US"/>
              </w:rPr>
              <w:t>Clinical criteria:</w:t>
            </w:r>
          </w:p>
        </w:tc>
      </w:tr>
      <w:tr w:rsidR="0091111B" w:rsidRPr="009C1AA2" w14:paraId="7387E685"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371674B4" w14:textId="77777777" w:rsidR="0091111B" w:rsidRPr="009C1AA2" w:rsidRDefault="0091111B" w:rsidP="00873AF3">
            <w:pPr>
              <w:contextualSpacing/>
              <w:jc w:val="left"/>
              <w:rPr>
                <w:rFonts w:ascii="Arial Narrow" w:hAnsi="Arial Narrow" w:cs="Times New Roman"/>
                <w:sz w:val="20"/>
                <w:szCs w:val="20"/>
              </w:rPr>
            </w:pPr>
            <w:r w:rsidRPr="009C1AA2">
              <w:rPr>
                <w:rFonts w:ascii="Arial Narrow" w:eastAsia="Calibri" w:hAnsi="Arial Narrow" w:cs="Times New Roman"/>
                <w:sz w:val="20"/>
                <w:szCs w:val="20"/>
                <w:lang w:eastAsia="en-US"/>
              </w:rPr>
              <w:t xml:space="preserve">Patient must not be experiencing a myasthenic crisis </w:t>
            </w:r>
          </w:p>
        </w:tc>
      </w:tr>
      <w:tr w:rsidR="0091111B" w:rsidRPr="009C1AA2" w14:paraId="7B252A67"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79CAFBA7" w14:textId="77777777" w:rsidR="0091111B" w:rsidRPr="009C1AA2" w:rsidRDefault="0091111B" w:rsidP="00873AF3">
            <w:pPr>
              <w:contextualSpacing/>
              <w:jc w:val="left"/>
              <w:rPr>
                <w:rFonts w:ascii="Arial Narrow" w:eastAsia="Calibri" w:hAnsi="Arial Narrow" w:cs="Times New Roman"/>
                <w:color w:val="000000"/>
                <w:sz w:val="20"/>
                <w:szCs w:val="20"/>
                <w:lang w:eastAsia="en-US"/>
              </w:rPr>
            </w:pPr>
            <w:r w:rsidRPr="009C1AA2">
              <w:rPr>
                <w:rFonts w:ascii="Arial Narrow" w:eastAsia="Calibri" w:hAnsi="Arial Narrow" w:cs="Times New Roman"/>
                <w:b/>
                <w:bCs/>
                <w:color w:val="000000"/>
                <w:sz w:val="20"/>
                <w:szCs w:val="20"/>
                <w:lang w:eastAsia="en-US"/>
              </w:rPr>
              <w:t>AND</w:t>
            </w:r>
          </w:p>
        </w:tc>
      </w:tr>
      <w:tr w:rsidR="0091111B" w:rsidRPr="009C1AA2" w14:paraId="0EBE4596"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2322F283" w14:textId="77777777" w:rsidR="0091111B" w:rsidRPr="009C1AA2" w:rsidRDefault="0091111B" w:rsidP="00873AF3">
            <w:pPr>
              <w:contextualSpacing/>
              <w:jc w:val="left"/>
              <w:rPr>
                <w:rFonts w:ascii="Arial Narrow" w:hAnsi="Arial Narrow" w:cs="Times New Roman"/>
                <w:b/>
                <w:bCs/>
                <w:sz w:val="20"/>
                <w:szCs w:val="20"/>
              </w:rPr>
            </w:pPr>
            <w:r w:rsidRPr="009C1AA2">
              <w:rPr>
                <w:rFonts w:ascii="Arial Narrow" w:hAnsi="Arial Narrow" w:cs="Times New Roman"/>
                <w:b/>
                <w:bCs/>
                <w:sz w:val="20"/>
                <w:szCs w:val="20"/>
              </w:rPr>
              <w:t>Clinical criteria:</w:t>
            </w:r>
          </w:p>
        </w:tc>
      </w:tr>
      <w:tr w:rsidR="0091111B" w:rsidRPr="009C1AA2" w14:paraId="08D83CFD"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3A609AB6" w14:textId="77777777" w:rsidR="0091111B" w:rsidRPr="009C1AA2" w:rsidRDefault="0091111B"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color w:val="333333"/>
                <w:kern w:val="2"/>
                <w:sz w:val="20"/>
                <w:szCs w:val="20"/>
                <w14:ligatures w14:val="standardContextual"/>
              </w:rPr>
              <w:t xml:space="preserve">Patient must not be receiving concomitant treatment with any of the following: </w:t>
            </w:r>
          </w:p>
          <w:p w14:paraId="271C0093" w14:textId="77777777" w:rsidR="0091111B" w:rsidRPr="009C1AA2" w:rsidRDefault="0091111B" w:rsidP="00873AF3">
            <w:pPr>
              <w:contextualSpacing/>
              <w:jc w:val="left"/>
              <w:rPr>
                <w:rFonts w:ascii="Arial Narrow" w:hAnsi="Arial Narrow" w:cs="Times New Roman"/>
                <w:sz w:val="20"/>
                <w:szCs w:val="20"/>
              </w:rPr>
            </w:pPr>
            <w:r w:rsidRPr="009C1AA2">
              <w:rPr>
                <w:rFonts w:ascii="Arial Narrow" w:hAnsi="Arial Narrow" w:cs="Times New Roman"/>
                <w:sz w:val="20"/>
                <w:szCs w:val="20"/>
              </w:rPr>
              <w:t>(i) another gMG biological agent,</w:t>
            </w:r>
          </w:p>
          <w:p w14:paraId="784ED3AD" w14:textId="77777777" w:rsidR="0091111B" w:rsidRPr="009C1AA2" w:rsidRDefault="0091111B" w:rsidP="00873AF3">
            <w:pPr>
              <w:contextualSpacing/>
              <w:jc w:val="left"/>
              <w:rPr>
                <w:rFonts w:ascii="Arial Narrow" w:hAnsi="Arial Narrow" w:cs="Times New Roman"/>
                <w:sz w:val="20"/>
                <w:szCs w:val="20"/>
              </w:rPr>
            </w:pPr>
            <w:r w:rsidRPr="009C1AA2">
              <w:rPr>
                <w:rFonts w:ascii="Arial Narrow" w:hAnsi="Arial Narrow" w:cs="Times New Roman"/>
                <w:sz w:val="20"/>
                <w:szCs w:val="20"/>
              </w:rPr>
              <w:t xml:space="preserve">(ii) </w:t>
            </w:r>
            <w:r w:rsidRPr="009C1AA2">
              <w:rPr>
                <w:rFonts w:ascii="Arial Narrow" w:hAnsi="Arial Narrow" w:cs="Times New Roman"/>
                <w:color w:val="333333"/>
                <w:kern w:val="2"/>
                <w:sz w:val="20"/>
                <w:szCs w:val="20"/>
                <w14:ligatures w14:val="standardContextual"/>
              </w:rPr>
              <w:t>intravenous immunoglobulin (</w:t>
            </w:r>
            <w:r w:rsidRPr="009C1AA2">
              <w:rPr>
                <w:rFonts w:ascii="Arial Narrow" w:hAnsi="Arial Narrow" w:cs="Times New Roman"/>
                <w:sz w:val="20"/>
                <w:szCs w:val="20"/>
              </w:rPr>
              <w:t>IVIg),</w:t>
            </w:r>
          </w:p>
          <w:p w14:paraId="031B909B" w14:textId="77777777" w:rsidR="0091111B" w:rsidRPr="009C1AA2" w:rsidRDefault="0091111B" w:rsidP="00873AF3">
            <w:pPr>
              <w:contextualSpacing/>
              <w:jc w:val="left"/>
              <w:rPr>
                <w:rFonts w:ascii="Arial Narrow" w:hAnsi="Arial Narrow" w:cs="Times New Roman"/>
                <w:sz w:val="20"/>
                <w:szCs w:val="20"/>
              </w:rPr>
            </w:pPr>
            <w:r w:rsidRPr="009C1AA2">
              <w:rPr>
                <w:rFonts w:ascii="Arial Narrow" w:hAnsi="Arial Narrow" w:cs="Times New Roman"/>
                <w:sz w:val="20"/>
                <w:szCs w:val="20"/>
              </w:rPr>
              <w:t>(iii) plasma exchange (PLEX),</w:t>
            </w:r>
          </w:p>
          <w:p w14:paraId="53874E6B" w14:textId="77777777" w:rsidR="0091111B" w:rsidRPr="009C1AA2" w:rsidRDefault="0091111B" w:rsidP="00873AF3">
            <w:pPr>
              <w:contextualSpacing/>
              <w:jc w:val="left"/>
              <w:rPr>
                <w:rFonts w:ascii="Arial Narrow" w:hAnsi="Arial Narrow" w:cs="Times New Roman"/>
                <w:b/>
                <w:bCs/>
                <w:sz w:val="20"/>
                <w:szCs w:val="20"/>
              </w:rPr>
            </w:pPr>
            <w:r w:rsidRPr="009C1AA2">
              <w:rPr>
                <w:rFonts w:ascii="Arial Narrow" w:hAnsi="Arial Narrow" w:cs="Times New Roman"/>
                <w:sz w:val="20"/>
                <w:szCs w:val="20"/>
              </w:rPr>
              <w:t>(iv) rituximab for this condition.</w:t>
            </w:r>
          </w:p>
        </w:tc>
      </w:tr>
      <w:tr w:rsidR="0091111B" w:rsidRPr="009C1AA2" w14:paraId="2F255F26"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58617DD6" w14:textId="77777777" w:rsidR="0091111B" w:rsidRPr="009C1AA2" w:rsidRDefault="0091111B" w:rsidP="00873AF3">
            <w:pPr>
              <w:contextualSpacing/>
              <w:jc w:val="left"/>
              <w:rPr>
                <w:rFonts w:ascii="Arial Narrow" w:hAnsi="Arial Narrow" w:cs="Times New Roman"/>
                <w:b/>
                <w:bCs/>
                <w:sz w:val="20"/>
                <w:szCs w:val="20"/>
              </w:rPr>
            </w:pPr>
            <w:r w:rsidRPr="009C1AA2">
              <w:rPr>
                <w:rFonts w:ascii="Arial Narrow" w:hAnsi="Arial Narrow" w:cs="Times New Roman"/>
                <w:b/>
                <w:bCs/>
                <w:sz w:val="20"/>
                <w:szCs w:val="20"/>
              </w:rPr>
              <w:t>AND</w:t>
            </w:r>
          </w:p>
        </w:tc>
      </w:tr>
      <w:tr w:rsidR="0091111B" w:rsidRPr="009C1AA2" w14:paraId="6FD37719"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2A894972" w14:textId="77777777" w:rsidR="0091111B" w:rsidRPr="009C1AA2" w:rsidRDefault="0091111B" w:rsidP="00873AF3">
            <w:pPr>
              <w:contextualSpacing/>
              <w:jc w:val="left"/>
              <w:rPr>
                <w:rFonts w:ascii="Arial Narrow" w:hAnsi="Arial Narrow" w:cs="Times New Roman"/>
                <w:b/>
                <w:bCs/>
                <w:sz w:val="20"/>
                <w:szCs w:val="20"/>
              </w:rPr>
            </w:pPr>
            <w:r w:rsidRPr="009C1AA2">
              <w:rPr>
                <w:rFonts w:ascii="Arial Narrow" w:hAnsi="Arial Narrow" w:cs="Times New Roman"/>
                <w:b/>
                <w:bCs/>
                <w:sz w:val="20"/>
                <w:szCs w:val="20"/>
              </w:rPr>
              <w:t>Clinical criteria:</w:t>
            </w:r>
          </w:p>
        </w:tc>
      </w:tr>
      <w:tr w:rsidR="0091111B" w:rsidRPr="009C1AA2" w14:paraId="13083094"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1FA188C2" w14:textId="77777777" w:rsidR="0091111B" w:rsidRPr="009C1AA2" w:rsidRDefault="0091111B" w:rsidP="00873AF3">
            <w:pPr>
              <w:contextualSpacing/>
              <w:jc w:val="left"/>
              <w:rPr>
                <w:rFonts w:ascii="Arial Narrow" w:hAnsi="Arial Narrow" w:cs="Times New Roman"/>
                <w:sz w:val="20"/>
                <w:szCs w:val="20"/>
              </w:rPr>
            </w:pPr>
            <w:r w:rsidRPr="009C1AA2">
              <w:rPr>
                <w:rFonts w:ascii="Arial Narrow" w:hAnsi="Arial Narrow" w:cs="Times New Roman"/>
                <w:color w:val="333333"/>
                <w:kern w:val="2"/>
                <w:sz w:val="20"/>
                <w:szCs w:val="20"/>
                <w14:ligatures w14:val="standardContextual"/>
              </w:rPr>
              <w:t xml:space="preserve">Patient must be receiving concomitant treatment with a </w:t>
            </w:r>
            <w:r w:rsidRPr="009C1AA2">
              <w:rPr>
                <w:rFonts w:ascii="Arial Narrow" w:hAnsi="Arial Narrow" w:cs="Times New Roman"/>
                <w:sz w:val="20"/>
                <w:szCs w:val="20"/>
              </w:rPr>
              <w:t>non-steroidal immunosuppressant (NS-IST); or</w:t>
            </w:r>
          </w:p>
        </w:tc>
      </w:tr>
      <w:tr w:rsidR="0091111B" w:rsidRPr="009C1AA2" w14:paraId="5CC7B876"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71DA3F9F" w14:textId="77777777" w:rsidR="0091111B" w:rsidRPr="009C1AA2" w:rsidRDefault="0091111B" w:rsidP="00873AF3">
            <w:pPr>
              <w:contextualSpacing/>
              <w:jc w:val="left"/>
              <w:rPr>
                <w:rFonts w:ascii="Arial Narrow" w:hAnsi="Arial Narrow" w:cs="Times New Roman"/>
                <w:color w:val="333333"/>
                <w:kern w:val="2"/>
                <w:sz w:val="20"/>
                <w:szCs w:val="20"/>
                <w14:ligatures w14:val="standardContextual"/>
              </w:rPr>
            </w:pPr>
            <w:r w:rsidRPr="009C1AA2">
              <w:rPr>
                <w:rFonts w:ascii="Arial Narrow" w:hAnsi="Arial Narrow" w:cs="Times New Roman"/>
                <w:color w:val="333333"/>
                <w:kern w:val="2"/>
                <w:sz w:val="20"/>
                <w:szCs w:val="20"/>
                <w14:ligatures w14:val="standardContextual"/>
              </w:rPr>
              <w:t>Patient must have had a thymectomy</w:t>
            </w:r>
          </w:p>
        </w:tc>
      </w:tr>
      <w:tr w:rsidR="0091111B" w:rsidRPr="009C1AA2" w14:paraId="3ED67485"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1383B57F" w14:textId="77777777" w:rsidR="0091111B" w:rsidRPr="009C1AA2" w:rsidRDefault="0091111B" w:rsidP="00873AF3">
            <w:pPr>
              <w:contextualSpacing/>
              <w:jc w:val="left"/>
              <w:rPr>
                <w:rFonts w:ascii="Arial Narrow" w:hAnsi="Arial Narrow" w:cs="Times New Roman"/>
                <w:sz w:val="20"/>
                <w:szCs w:val="20"/>
              </w:rPr>
            </w:pPr>
            <w:r w:rsidRPr="009C1AA2">
              <w:rPr>
                <w:rFonts w:ascii="Arial Narrow" w:eastAsia="Calibri" w:hAnsi="Arial Narrow" w:cs="Times New Roman"/>
                <w:b/>
                <w:bCs/>
                <w:sz w:val="20"/>
                <w:szCs w:val="20"/>
                <w:lang w:eastAsia="en-US"/>
              </w:rPr>
              <w:t>AND</w:t>
            </w:r>
          </w:p>
        </w:tc>
      </w:tr>
      <w:tr w:rsidR="0091111B" w:rsidRPr="009C1AA2" w14:paraId="4EED7CC4"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0AAAA0F5" w14:textId="77777777" w:rsidR="0091111B" w:rsidRPr="009C1AA2" w:rsidRDefault="0091111B" w:rsidP="00873AF3">
            <w:pPr>
              <w:contextualSpacing/>
              <w:jc w:val="left"/>
              <w:rPr>
                <w:rFonts w:ascii="Arial Narrow" w:hAnsi="Arial Narrow" w:cs="Times New Roman"/>
                <w:sz w:val="20"/>
                <w:szCs w:val="20"/>
              </w:rPr>
            </w:pPr>
            <w:r w:rsidRPr="009C1AA2">
              <w:rPr>
                <w:rFonts w:ascii="Arial Narrow" w:eastAsia="Calibri" w:hAnsi="Arial Narrow" w:cs="Times New Roman"/>
                <w:b/>
                <w:bCs/>
                <w:sz w:val="20"/>
                <w:szCs w:val="20"/>
                <w:lang w:eastAsia="en-US"/>
              </w:rPr>
              <w:t>Clinical criteria:</w:t>
            </w:r>
          </w:p>
        </w:tc>
      </w:tr>
      <w:tr w:rsidR="0091111B" w:rsidRPr="009C1AA2" w14:paraId="00D4B2E7"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12026476" w14:textId="77777777" w:rsidR="0091111B" w:rsidRPr="009C1AA2" w:rsidRDefault="0091111B" w:rsidP="00873AF3">
            <w:pPr>
              <w:contextualSpacing/>
              <w:jc w:val="left"/>
              <w:rPr>
                <w:rFonts w:ascii="Arial Narrow" w:hAnsi="Arial Narrow" w:cs="Times New Roman"/>
                <w:sz w:val="20"/>
                <w:szCs w:val="20"/>
              </w:rPr>
            </w:pPr>
            <w:r w:rsidRPr="009C1AA2">
              <w:rPr>
                <w:rFonts w:ascii="Arial Narrow" w:hAnsi="Arial Narrow" w:cs="Times New Roman"/>
                <w:sz w:val="20"/>
                <w:szCs w:val="20"/>
              </w:rPr>
              <w:t xml:space="preserve">Patient must </w:t>
            </w:r>
            <w:r w:rsidRPr="009C1AA2">
              <w:rPr>
                <w:rFonts w:ascii="Arial Narrow" w:hAnsi="Arial Narrow" w:cs="Times New Roman"/>
                <w:color w:val="000000"/>
                <w:sz w:val="20"/>
                <w:szCs w:val="20"/>
              </w:rPr>
              <w:t>have had a MG-ADL score of ≥ 6 and a MGC score of ≥ 10, despite having undergone 2 of the following 3 remission inducing</w:t>
            </w:r>
            <w:r w:rsidRPr="009C1AA2">
              <w:rPr>
                <w:rFonts w:ascii="Arial Narrow" w:eastAsia="Calibri" w:hAnsi="Arial Narrow" w:cs="Times New Roman"/>
                <w:bCs/>
                <w:color w:val="000000"/>
                <w:sz w:val="20"/>
                <w:szCs w:val="20"/>
                <w:lang w:eastAsia="en-US"/>
              </w:rPr>
              <w:t xml:space="preserve"> </w:t>
            </w:r>
            <w:r w:rsidRPr="009C1AA2">
              <w:rPr>
                <w:rFonts w:ascii="Arial Narrow" w:hAnsi="Arial Narrow" w:cs="Times New Roman"/>
                <w:color w:val="000000"/>
                <w:sz w:val="20"/>
                <w:szCs w:val="20"/>
              </w:rPr>
              <w:t>treatments: (i) NS-IST for a minimum of 12 months, (ii) oral corticosteroids for a minimum of 12 months; (iii) a thymectomy.</w:t>
            </w:r>
          </w:p>
        </w:tc>
      </w:tr>
      <w:tr w:rsidR="0091111B" w:rsidRPr="009C1AA2" w14:paraId="5B9B2D9B"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7A77A8FF" w14:textId="77777777" w:rsidR="0091111B" w:rsidRPr="009C1AA2" w:rsidRDefault="0091111B" w:rsidP="00873AF3">
            <w:pPr>
              <w:contextualSpacing/>
              <w:jc w:val="left"/>
              <w:rPr>
                <w:rFonts w:ascii="Arial Narrow" w:hAnsi="Arial Narrow" w:cs="Times New Roman"/>
                <w:sz w:val="20"/>
                <w:szCs w:val="20"/>
              </w:rPr>
            </w:pPr>
            <w:r w:rsidRPr="009C1AA2">
              <w:rPr>
                <w:rFonts w:ascii="Arial Narrow" w:hAnsi="Arial Narrow" w:cs="Times New Roman"/>
                <w:b/>
                <w:bCs/>
                <w:sz w:val="20"/>
                <w:szCs w:val="20"/>
              </w:rPr>
              <w:t>AND</w:t>
            </w:r>
          </w:p>
        </w:tc>
      </w:tr>
      <w:tr w:rsidR="0091111B" w:rsidRPr="009C1AA2" w14:paraId="4038C90E"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62465BB3" w14:textId="77777777" w:rsidR="0091111B" w:rsidRPr="009C1AA2" w:rsidRDefault="0091111B" w:rsidP="00873AF3">
            <w:pPr>
              <w:contextualSpacing/>
              <w:jc w:val="left"/>
              <w:rPr>
                <w:rFonts w:ascii="Arial Narrow" w:hAnsi="Arial Narrow" w:cs="Times New Roman"/>
                <w:sz w:val="20"/>
                <w:szCs w:val="20"/>
              </w:rPr>
            </w:pPr>
            <w:r w:rsidRPr="009C1AA2">
              <w:rPr>
                <w:rFonts w:ascii="Arial Narrow" w:hAnsi="Arial Narrow" w:cs="Times New Roman"/>
                <w:b/>
                <w:bCs/>
                <w:sz w:val="20"/>
                <w:szCs w:val="20"/>
              </w:rPr>
              <w:t>Clinical criteria:</w:t>
            </w:r>
          </w:p>
        </w:tc>
      </w:tr>
      <w:tr w:rsidR="0091111B" w:rsidRPr="009C1AA2" w14:paraId="6E7F7A9F"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761DC0EF" w14:textId="77777777" w:rsidR="0091111B" w:rsidRPr="009C1AA2" w:rsidRDefault="0091111B" w:rsidP="00873AF3">
            <w:pPr>
              <w:contextualSpacing/>
              <w:jc w:val="left"/>
              <w:rPr>
                <w:rFonts w:ascii="Arial Narrow" w:hAnsi="Arial Narrow" w:cs="Times New Roman"/>
                <w:sz w:val="20"/>
                <w:szCs w:val="20"/>
              </w:rPr>
            </w:pPr>
            <w:r w:rsidRPr="009C1AA2">
              <w:rPr>
                <w:rFonts w:ascii="Arial Narrow" w:hAnsi="Arial Narrow" w:cs="Times New Roman"/>
                <w:color w:val="000000"/>
                <w:sz w:val="20"/>
                <w:szCs w:val="20"/>
              </w:rPr>
              <w:t xml:space="preserve">Patient must have demonstrated a clinical improvement based on a decrease in MG-ADL score of at least 2 points from baseline </w:t>
            </w:r>
          </w:p>
        </w:tc>
      </w:tr>
      <w:tr w:rsidR="0091111B" w:rsidRPr="009C1AA2" w14:paraId="2A9EBBFB"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510AE923" w14:textId="77777777" w:rsidR="0091111B" w:rsidRPr="009C1AA2" w:rsidRDefault="0091111B" w:rsidP="00873AF3">
            <w:pPr>
              <w:contextualSpacing/>
              <w:jc w:val="left"/>
              <w:rPr>
                <w:rFonts w:ascii="Arial Narrow" w:hAnsi="Arial Narrow" w:cs="Times New Roman"/>
                <w:sz w:val="20"/>
                <w:szCs w:val="20"/>
              </w:rPr>
            </w:pPr>
            <w:r w:rsidRPr="009C1AA2">
              <w:rPr>
                <w:rFonts w:ascii="Arial Narrow" w:hAnsi="Arial Narrow" w:cs="Times New Roman"/>
                <w:b/>
                <w:bCs/>
                <w:color w:val="000000"/>
                <w:sz w:val="20"/>
                <w:szCs w:val="20"/>
              </w:rPr>
              <w:t>AND</w:t>
            </w:r>
          </w:p>
        </w:tc>
      </w:tr>
      <w:tr w:rsidR="0091111B" w:rsidRPr="009C1AA2" w14:paraId="4E254B1D"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259487AA" w14:textId="77777777" w:rsidR="0091111B" w:rsidRPr="009C1AA2" w:rsidRDefault="0091111B" w:rsidP="00873AF3">
            <w:pPr>
              <w:contextualSpacing/>
              <w:jc w:val="left"/>
              <w:rPr>
                <w:rFonts w:ascii="Arial Narrow" w:hAnsi="Arial Narrow" w:cs="Times New Roman"/>
                <w:sz w:val="20"/>
                <w:szCs w:val="20"/>
              </w:rPr>
            </w:pPr>
            <w:r w:rsidRPr="009C1AA2">
              <w:rPr>
                <w:rFonts w:ascii="Arial Narrow" w:hAnsi="Arial Narrow" w:cs="Times New Roman"/>
                <w:b/>
                <w:bCs/>
                <w:sz w:val="20"/>
                <w:szCs w:val="20"/>
              </w:rPr>
              <w:t>Clinical criteria:</w:t>
            </w:r>
          </w:p>
        </w:tc>
      </w:tr>
      <w:tr w:rsidR="0091111B" w:rsidRPr="009C1AA2" w14:paraId="596927DE"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59A63C6E" w14:textId="77777777" w:rsidR="0091111B" w:rsidRPr="009C1AA2" w:rsidRDefault="0091111B" w:rsidP="00873AF3">
            <w:pPr>
              <w:contextualSpacing/>
              <w:jc w:val="left"/>
              <w:rPr>
                <w:rFonts w:ascii="Arial Narrow" w:hAnsi="Arial Narrow" w:cs="Times New Roman"/>
                <w:sz w:val="20"/>
                <w:szCs w:val="20"/>
              </w:rPr>
            </w:pPr>
            <w:r w:rsidRPr="009C1AA2">
              <w:rPr>
                <w:rFonts w:ascii="Arial Narrow" w:hAnsi="Arial Narrow" w:cs="Times New Roman"/>
                <w:color w:val="000000"/>
                <w:sz w:val="20"/>
                <w:szCs w:val="20"/>
              </w:rPr>
              <w:t>Patient must have demonstrated a clinical improvement based on a decrease in MGC score of at least 3 points from baseline</w:t>
            </w:r>
          </w:p>
        </w:tc>
      </w:tr>
      <w:tr w:rsidR="0091111B" w:rsidRPr="009C1AA2" w14:paraId="3ABF6D07"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448EF0FA" w14:textId="77777777" w:rsidR="0091111B" w:rsidRPr="009C1AA2" w:rsidRDefault="0091111B" w:rsidP="00873AF3">
            <w:pPr>
              <w:contextualSpacing/>
              <w:jc w:val="left"/>
              <w:rPr>
                <w:rFonts w:ascii="Arial Narrow" w:hAnsi="Arial Narrow" w:cs="Times New Roman"/>
                <w:b/>
                <w:bCs/>
                <w:sz w:val="20"/>
                <w:szCs w:val="20"/>
              </w:rPr>
            </w:pPr>
            <w:r w:rsidRPr="009C1AA2">
              <w:rPr>
                <w:rFonts w:ascii="Arial Narrow" w:hAnsi="Arial Narrow" w:cs="Times New Roman"/>
                <w:b/>
                <w:bCs/>
                <w:sz w:val="20"/>
                <w:szCs w:val="20"/>
              </w:rPr>
              <w:t>AND</w:t>
            </w:r>
          </w:p>
        </w:tc>
      </w:tr>
      <w:tr w:rsidR="0091111B" w:rsidRPr="009C1AA2" w14:paraId="2F9FB1C7"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4733F736" w14:textId="77777777" w:rsidR="0091111B" w:rsidRPr="009C1AA2" w:rsidRDefault="0091111B" w:rsidP="00873AF3">
            <w:pPr>
              <w:contextualSpacing/>
              <w:jc w:val="left"/>
              <w:rPr>
                <w:rFonts w:ascii="Arial Narrow" w:hAnsi="Arial Narrow" w:cs="Times New Roman"/>
                <w:b/>
                <w:bCs/>
                <w:sz w:val="20"/>
                <w:szCs w:val="20"/>
              </w:rPr>
            </w:pPr>
            <w:r w:rsidRPr="009C1AA2">
              <w:rPr>
                <w:rFonts w:ascii="Arial Narrow" w:hAnsi="Arial Narrow" w:cs="Times New Roman"/>
                <w:b/>
                <w:bCs/>
                <w:sz w:val="20"/>
                <w:szCs w:val="20"/>
              </w:rPr>
              <w:t>Clinical criteria:</w:t>
            </w:r>
          </w:p>
        </w:tc>
      </w:tr>
      <w:tr w:rsidR="0091111B" w:rsidRPr="009C1AA2" w14:paraId="0DA04049"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2657B3FA" w14:textId="77777777" w:rsidR="0091111B" w:rsidRPr="009C1AA2" w:rsidRDefault="0091111B" w:rsidP="00873AF3">
            <w:pPr>
              <w:contextualSpacing/>
              <w:jc w:val="left"/>
              <w:rPr>
                <w:rFonts w:ascii="Arial Narrow" w:hAnsi="Arial Narrow" w:cs="Times New Roman"/>
                <w:b/>
                <w:bCs/>
                <w:sz w:val="20"/>
                <w:szCs w:val="20"/>
              </w:rPr>
            </w:pPr>
            <w:r w:rsidRPr="009C1AA2">
              <w:rPr>
                <w:rFonts w:ascii="Arial Narrow" w:eastAsia="Aptos" w:hAnsi="Arial Narrow" w:cs="Times New Roman"/>
                <w:kern w:val="2"/>
                <w:sz w:val="20"/>
                <w:szCs w:val="20"/>
                <w:lang w:eastAsia="en-US"/>
                <w14:ligatures w14:val="standardContextual"/>
              </w:rPr>
              <w:t xml:space="preserve">The treatment must provide no </w:t>
            </w:r>
            <w:r w:rsidRPr="009C1AA2">
              <w:rPr>
                <w:rFonts w:ascii="Arial Narrow" w:eastAsia="Aptos" w:hAnsi="Arial Narrow" w:cs="Times New Roman"/>
                <w:color w:val="000000"/>
                <w:kern w:val="2"/>
                <w:sz w:val="20"/>
                <w:szCs w:val="20"/>
                <w:lang w:eastAsia="en-US"/>
                <w14:ligatures w14:val="standardContextual"/>
              </w:rPr>
              <w:t>more than 6 months of therapy under this restriction</w:t>
            </w:r>
          </w:p>
        </w:tc>
      </w:tr>
      <w:tr w:rsidR="0091111B" w:rsidRPr="009C1AA2" w14:paraId="06143AA4"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37B717AE" w14:textId="77777777" w:rsidR="0091111B" w:rsidRPr="009C1AA2" w:rsidRDefault="0091111B" w:rsidP="00873AF3">
            <w:pPr>
              <w:contextualSpacing/>
              <w:jc w:val="left"/>
              <w:rPr>
                <w:rFonts w:ascii="Arial Narrow" w:hAnsi="Arial Narrow" w:cs="Times New Roman"/>
                <w:sz w:val="20"/>
                <w:szCs w:val="20"/>
              </w:rPr>
            </w:pPr>
            <w:r w:rsidRPr="009C1AA2">
              <w:rPr>
                <w:rFonts w:ascii="Arial Narrow" w:hAnsi="Arial Narrow" w:cs="Times New Roman"/>
                <w:b/>
                <w:bCs/>
                <w:sz w:val="20"/>
                <w:szCs w:val="20"/>
              </w:rPr>
              <w:t>Treatment criteria:</w:t>
            </w:r>
          </w:p>
        </w:tc>
      </w:tr>
      <w:tr w:rsidR="0091111B" w:rsidRPr="009C1AA2" w14:paraId="7D37B78E"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7C69ADA6" w14:textId="77777777" w:rsidR="0091111B" w:rsidRPr="009C1AA2" w:rsidRDefault="0091111B" w:rsidP="00873AF3">
            <w:pPr>
              <w:contextualSpacing/>
              <w:jc w:val="left"/>
              <w:rPr>
                <w:rFonts w:ascii="Arial Narrow" w:eastAsia="Calibri" w:hAnsi="Arial Narrow" w:cs="Arial Narrow"/>
                <w:color w:val="000000"/>
                <w:sz w:val="20"/>
                <w:szCs w:val="20"/>
                <w:lang w:eastAsia="en-US"/>
              </w:rPr>
            </w:pPr>
            <w:r w:rsidRPr="009C1AA2">
              <w:rPr>
                <w:rFonts w:ascii="Arial Narrow" w:eastAsia="Calibri" w:hAnsi="Arial Narrow" w:cs="Arial Narrow"/>
                <w:iCs/>
                <w:color w:val="000000"/>
                <w:sz w:val="20"/>
                <w:szCs w:val="20"/>
                <w:lang w:eastAsia="en-US"/>
              </w:rPr>
              <w:t>Must be treated by a prescriber who is either: (i) a neurologist; (ii) a clinical immunologist with expertise in the treatment of myasthenia gravis, or</w:t>
            </w:r>
          </w:p>
        </w:tc>
      </w:tr>
      <w:tr w:rsidR="0091111B" w:rsidRPr="009C1AA2" w14:paraId="67E08FA0"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tcPr>
          <w:p w14:paraId="09644CBC" w14:textId="77777777" w:rsidR="0091111B" w:rsidRPr="009C1AA2" w:rsidRDefault="0091111B" w:rsidP="00873AF3">
            <w:pPr>
              <w:contextualSpacing/>
              <w:jc w:val="left"/>
              <w:rPr>
                <w:rFonts w:ascii="Arial Narrow" w:hAnsi="Arial Narrow" w:cs="Times New Roman"/>
                <w:color w:val="000000"/>
                <w:sz w:val="20"/>
                <w:szCs w:val="20"/>
              </w:rPr>
            </w:pPr>
            <w:r w:rsidRPr="009C1AA2">
              <w:rPr>
                <w:rFonts w:ascii="Arial Narrow" w:eastAsia="Calibri" w:hAnsi="Arial Narrow" w:cs="Arial Narrow"/>
                <w:iCs/>
                <w:color w:val="000000"/>
                <w:sz w:val="20"/>
                <w:szCs w:val="20"/>
                <w:lang w:eastAsia="en-US"/>
              </w:rPr>
              <w:t>Must be treated by a medical practitioner who has consulted at least one of the above mentioned specialist types, with an agreement reached that the patient should be treated with this pharmaceutical benefit on this occasion</w:t>
            </w:r>
          </w:p>
        </w:tc>
      </w:tr>
      <w:tr w:rsidR="0091111B" w:rsidRPr="009C1AA2" w14:paraId="7F8EC2FD" w14:textId="77777777" w:rsidTr="0091111B">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7E14865B" w14:textId="77777777" w:rsidR="0091111B" w:rsidRPr="009C1AA2" w:rsidRDefault="0091111B" w:rsidP="00873AF3">
            <w:pPr>
              <w:contextualSpacing/>
              <w:jc w:val="left"/>
              <w:rPr>
                <w:rFonts w:ascii="Arial Narrow" w:hAnsi="Arial Narrow" w:cs="Times New Roman"/>
                <w:b/>
                <w:bCs/>
                <w:sz w:val="20"/>
                <w:szCs w:val="20"/>
              </w:rPr>
            </w:pPr>
            <w:r w:rsidRPr="009C1AA2">
              <w:rPr>
                <w:rFonts w:ascii="Arial Narrow" w:hAnsi="Arial Narrow" w:cs="Times New Roman"/>
                <w:b/>
                <w:bCs/>
                <w:sz w:val="20"/>
                <w:szCs w:val="20"/>
              </w:rPr>
              <w:t>Prescribing Instructions:</w:t>
            </w:r>
            <w:r w:rsidRPr="009C1AA2">
              <w:rPr>
                <w:rFonts w:ascii="Arial" w:hAnsi="Arial"/>
                <w:b/>
                <w:bCs/>
                <w:sz w:val="20"/>
                <w:szCs w:val="20"/>
              </w:rPr>
              <w:t> </w:t>
            </w:r>
          </w:p>
          <w:p w14:paraId="74735C33" w14:textId="77777777" w:rsidR="0091111B" w:rsidRPr="009C1AA2" w:rsidRDefault="0091111B" w:rsidP="00873AF3">
            <w:pPr>
              <w:contextualSpacing/>
              <w:jc w:val="left"/>
              <w:rPr>
                <w:rFonts w:ascii="Arial Narrow" w:eastAsia="Calibri" w:hAnsi="Arial Narrow" w:cs="Times New Roman"/>
                <w:bCs/>
                <w:sz w:val="20"/>
                <w:szCs w:val="20"/>
                <w:lang w:eastAsia="en-US"/>
              </w:rPr>
            </w:pPr>
            <w:r w:rsidRPr="009C1AA2">
              <w:rPr>
                <w:rFonts w:ascii="Arial Narrow" w:eastAsia="Calibri" w:hAnsi="Arial Narrow" w:cs="Times New Roman"/>
                <w:bCs/>
                <w:sz w:val="20"/>
                <w:szCs w:val="20"/>
                <w:lang w:eastAsia="en-US"/>
              </w:rPr>
              <w:t xml:space="preserve">The authority application must be </w:t>
            </w:r>
            <w:r w:rsidRPr="009C1AA2">
              <w:rPr>
                <w:rFonts w:ascii="Arial Narrow" w:hAnsi="Arial Narrow" w:cs="Times New Roman"/>
                <w:sz w:val="20"/>
                <w:szCs w:val="20"/>
              </w:rPr>
              <w:t xml:space="preserve">via the Online PBS Authorities System, or </w:t>
            </w:r>
            <w:r w:rsidRPr="009C1AA2">
              <w:rPr>
                <w:rFonts w:ascii="Arial Narrow" w:eastAsia="Calibri" w:hAnsi="Arial Narrow" w:cs="Times New Roman"/>
                <w:bCs/>
                <w:sz w:val="20"/>
                <w:szCs w:val="20"/>
                <w:lang w:eastAsia="en-US"/>
              </w:rPr>
              <w:t>in writing and must include:</w:t>
            </w:r>
          </w:p>
          <w:p w14:paraId="08A4F635" w14:textId="77777777" w:rsidR="0091111B" w:rsidRPr="009C1AA2" w:rsidRDefault="0091111B" w:rsidP="00873AF3">
            <w:pPr>
              <w:numPr>
                <w:ilvl w:val="0"/>
                <w:numId w:val="39"/>
              </w:numPr>
              <w:spacing w:after="160" w:line="259" w:lineRule="auto"/>
              <w:contextualSpacing/>
              <w:jc w:val="left"/>
              <w:rPr>
                <w:rFonts w:ascii="Arial Narrow" w:eastAsia="Calibri" w:hAnsi="Arial Narrow" w:cs="Times New Roman"/>
                <w:sz w:val="20"/>
                <w:szCs w:val="20"/>
                <w:shd w:val="clear" w:color="auto" w:fill="FFFFFF"/>
                <w:lang w:eastAsia="en-US"/>
              </w:rPr>
            </w:pPr>
            <w:r w:rsidRPr="009C1AA2">
              <w:rPr>
                <w:rFonts w:ascii="Arial Narrow" w:eastAsia="Calibri" w:hAnsi="Arial Narrow" w:cs="Times New Roman"/>
                <w:bCs/>
                <w:sz w:val="20"/>
                <w:szCs w:val="20"/>
                <w:lang w:eastAsia="en-US"/>
              </w:rPr>
              <w:t>details of remission-inducing treatments [date commencement and duration of drug therapy including drug names and dosages, and/or date of the thymectomy]</w:t>
            </w:r>
          </w:p>
          <w:p w14:paraId="3B861576" w14:textId="77777777" w:rsidR="0091111B" w:rsidRPr="009C1AA2" w:rsidRDefault="0091111B" w:rsidP="00873AF3">
            <w:pPr>
              <w:numPr>
                <w:ilvl w:val="0"/>
                <w:numId w:val="39"/>
              </w:numPr>
              <w:spacing w:after="160" w:line="259" w:lineRule="auto"/>
              <w:contextualSpacing/>
              <w:jc w:val="left"/>
              <w:rPr>
                <w:rFonts w:ascii="Arial Narrow" w:eastAsia="Calibri" w:hAnsi="Arial Narrow" w:cs="Times New Roman"/>
                <w:sz w:val="20"/>
                <w:szCs w:val="20"/>
                <w:shd w:val="clear" w:color="auto" w:fill="FFFFFF"/>
                <w:lang w:eastAsia="en-US"/>
              </w:rPr>
            </w:pPr>
            <w:r w:rsidRPr="009C1AA2">
              <w:rPr>
                <w:rFonts w:ascii="Arial Narrow" w:eastAsia="Calibri" w:hAnsi="Arial Narrow" w:cs="Times New Roman"/>
                <w:bCs/>
                <w:sz w:val="20"/>
                <w:szCs w:val="20"/>
                <w:lang w:eastAsia="en-US"/>
              </w:rPr>
              <w:t xml:space="preserve">the </w:t>
            </w:r>
            <w:r w:rsidRPr="009C1AA2">
              <w:rPr>
                <w:rFonts w:ascii="Arial Narrow" w:eastAsia="Calibri" w:hAnsi="Arial Narrow" w:cs="Times New Roman"/>
                <w:bCs/>
                <w:color w:val="000000"/>
                <w:sz w:val="20"/>
                <w:szCs w:val="20"/>
                <w:lang w:eastAsia="en-US"/>
              </w:rPr>
              <w:t xml:space="preserve">baseline MG-ADL and MGC scores assessed after completing the 12 months of remission-inducing treatments (include the date the assessment </w:t>
            </w:r>
            <w:r w:rsidRPr="009C1AA2">
              <w:rPr>
                <w:rFonts w:ascii="Arial Narrow" w:eastAsia="Calibri" w:hAnsi="Arial Narrow" w:cs="Times New Roman"/>
                <w:bCs/>
                <w:sz w:val="20"/>
                <w:szCs w:val="20"/>
                <w:lang w:eastAsia="en-US"/>
              </w:rPr>
              <w:t>was conducted)</w:t>
            </w:r>
          </w:p>
          <w:p w14:paraId="21F23147" w14:textId="77777777" w:rsidR="0091111B" w:rsidRPr="009C1AA2" w:rsidRDefault="0091111B" w:rsidP="00873AF3">
            <w:pPr>
              <w:numPr>
                <w:ilvl w:val="0"/>
                <w:numId w:val="39"/>
              </w:numPr>
              <w:spacing w:after="160" w:line="259" w:lineRule="auto"/>
              <w:contextualSpacing/>
              <w:jc w:val="left"/>
              <w:rPr>
                <w:rFonts w:ascii="Arial Narrow" w:eastAsia="Calibri" w:hAnsi="Arial Narrow" w:cs="Times New Roman"/>
                <w:sz w:val="20"/>
                <w:szCs w:val="20"/>
                <w:shd w:val="clear" w:color="auto" w:fill="FFFFFF"/>
                <w:lang w:eastAsia="en-US"/>
              </w:rPr>
            </w:pPr>
            <w:r w:rsidRPr="009C1AA2">
              <w:rPr>
                <w:rFonts w:ascii="Arial Narrow" w:eastAsia="Calibri" w:hAnsi="Arial Narrow" w:cs="Times New Roman"/>
                <w:bCs/>
                <w:sz w:val="20"/>
                <w:szCs w:val="20"/>
                <w:lang w:eastAsia="en-US"/>
              </w:rPr>
              <w:t>the MG-ADL and MGC</w:t>
            </w:r>
            <w:r w:rsidRPr="009C1AA2">
              <w:rPr>
                <w:rFonts w:ascii="Times New Roman" w:eastAsia="Aptos" w:hAnsi="Times New Roman" w:cs="Times New Roman"/>
                <w:kern w:val="2"/>
                <w:lang w:eastAsia="en-US"/>
                <w14:ligatures w14:val="standardContextual"/>
              </w:rPr>
              <w:t xml:space="preserve"> </w:t>
            </w:r>
            <w:r w:rsidRPr="009C1AA2">
              <w:rPr>
                <w:rFonts w:ascii="Arial Narrow" w:eastAsia="Calibri" w:hAnsi="Arial Narrow" w:cs="Times New Roman"/>
                <w:bCs/>
                <w:sz w:val="20"/>
                <w:szCs w:val="20"/>
                <w:lang w:eastAsia="en-US"/>
              </w:rPr>
              <w:t xml:space="preserve">scores assessed from the most recent course of treatment demonstrating clinical improvement to treatment </w:t>
            </w:r>
            <w:r w:rsidRPr="009C1AA2">
              <w:rPr>
                <w:rFonts w:ascii="Arial Narrow" w:eastAsia="Calibri" w:hAnsi="Arial Narrow" w:cs="Times New Roman"/>
                <w:bCs/>
                <w:color w:val="000000"/>
                <w:sz w:val="20"/>
                <w:szCs w:val="20"/>
                <w:lang w:eastAsia="en-US"/>
              </w:rPr>
              <w:t xml:space="preserve">(include the date the assessment </w:t>
            </w:r>
            <w:r w:rsidRPr="009C1AA2">
              <w:rPr>
                <w:rFonts w:ascii="Arial Narrow" w:eastAsia="Calibri" w:hAnsi="Arial Narrow" w:cs="Times New Roman"/>
                <w:bCs/>
                <w:sz w:val="20"/>
                <w:szCs w:val="20"/>
                <w:lang w:eastAsia="en-US"/>
              </w:rPr>
              <w:t>was conducted)</w:t>
            </w:r>
          </w:p>
          <w:p w14:paraId="6359295D" w14:textId="77777777" w:rsidR="0091111B" w:rsidRPr="009C1AA2" w:rsidRDefault="0091111B" w:rsidP="00873AF3">
            <w:pPr>
              <w:contextualSpacing/>
              <w:jc w:val="left"/>
              <w:rPr>
                <w:rFonts w:ascii="Arial Narrow" w:eastAsia="Calibri" w:hAnsi="Arial Narrow" w:cs="Times New Roman"/>
                <w:bCs/>
                <w:sz w:val="20"/>
                <w:szCs w:val="20"/>
                <w:lang w:eastAsia="en-US"/>
              </w:rPr>
            </w:pPr>
          </w:p>
          <w:p w14:paraId="6E94B3F1" w14:textId="77777777" w:rsidR="0091111B" w:rsidRPr="009C1AA2" w:rsidRDefault="0091111B" w:rsidP="00873AF3">
            <w:pPr>
              <w:jc w:val="left"/>
              <w:rPr>
                <w:rFonts w:ascii="Arial Narrow" w:hAnsi="Arial Narrow" w:cs="Times New Roman"/>
                <w:sz w:val="20"/>
                <w:szCs w:val="20"/>
              </w:rPr>
            </w:pPr>
            <w:r w:rsidRPr="009C1AA2">
              <w:rPr>
                <w:rFonts w:ascii="Arial Narrow" w:hAnsi="Arial Narrow" w:cs="Times New Roman"/>
                <w:sz w:val="20"/>
                <w:szCs w:val="20"/>
              </w:rPr>
              <w:t>If the application is submitted through HPOS form upload or mail, it must include:</w:t>
            </w:r>
          </w:p>
          <w:p w14:paraId="59C8189D" w14:textId="77777777" w:rsidR="0091111B" w:rsidRPr="009C1AA2" w:rsidRDefault="0091111B" w:rsidP="00873AF3">
            <w:pPr>
              <w:contextualSpacing/>
              <w:jc w:val="left"/>
              <w:rPr>
                <w:rFonts w:ascii="Arial Narrow" w:eastAsia="Calibri" w:hAnsi="Arial Narrow" w:cs="Times New Roman"/>
                <w:bCs/>
                <w:sz w:val="20"/>
                <w:szCs w:val="20"/>
                <w:lang w:eastAsia="en-US"/>
              </w:rPr>
            </w:pPr>
            <w:r w:rsidRPr="009C1AA2">
              <w:rPr>
                <w:rFonts w:ascii="Arial Narrow" w:eastAsia="Calibri" w:hAnsi="Arial Narrow" w:cs="Times New Roman"/>
                <w:bCs/>
                <w:sz w:val="20"/>
                <w:szCs w:val="20"/>
                <w:lang w:eastAsia="en-US"/>
              </w:rPr>
              <w:t>(1) details of the proposed prescription;</w:t>
            </w:r>
          </w:p>
          <w:p w14:paraId="6C6526CF" w14:textId="77777777" w:rsidR="0091111B" w:rsidRPr="009C1AA2" w:rsidRDefault="0091111B" w:rsidP="00873AF3">
            <w:pPr>
              <w:contextualSpacing/>
              <w:jc w:val="left"/>
              <w:rPr>
                <w:rFonts w:ascii="Arial Narrow" w:eastAsia="Calibri" w:hAnsi="Arial Narrow" w:cs="Times New Roman"/>
                <w:sz w:val="20"/>
                <w:szCs w:val="20"/>
                <w:shd w:val="clear" w:color="auto" w:fill="FFFFFF"/>
                <w:lang w:eastAsia="en-US"/>
              </w:rPr>
            </w:pPr>
            <w:r w:rsidRPr="009C1AA2">
              <w:rPr>
                <w:rFonts w:ascii="Arial Narrow" w:eastAsia="Calibri" w:hAnsi="Arial Narrow" w:cs="Times New Roman"/>
                <w:bCs/>
                <w:sz w:val="20"/>
                <w:szCs w:val="20"/>
                <w:lang w:eastAsia="en-US"/>
              </w:rPr>
              <w:t>(2) a completed authority application form relevant to the indication and treatment phase (the latest version is located on the website specified in the Administrative Advice);</w:t>
            </w:r>
          </w:p>
        </w:tc>
      </w:tr>
      <w:tr w:rsidR="0091111B" w:rsidRPr="009C1AA2" w14:paraId="460B82DE" w14:textId="77777777" w:rsidTr="0091111B">
        <w:tblPrEx>
          <w:tblCellMar>
            <w:top w:w="15" w:type="dxa"/>
            <w:bottom w:w="15" w:type="dxa"/>
          </w:tblCellMar>
          <w:tblLook w:val="04A0" w:firstRow="1" w:lastRow="0" w:firstColumn="1" w:lastColumn="0" w:noHBand="0" w:noVBand="1"/>
        </w:tblPrEx>
        <w:trPr>
          <w:cantSplit/>
          <w:trHeight w:val="20"/>
        </w:trPr>
        <w:tc>
          <w:tcPr>
            <w:tcW w:w="9072" w:type="dxa"/>
            <w:gridSpan w:val="7"/>
          </w:tcPr>
          <w:p w14:paraId="55A7FDC3" w14:textId="77777777" w:rsidR="0091111B" w:rsidRPr="009C1AA2" w:rsidRDefault="0091111B" w:rsidP="00873AF3">
            <w:pPr>
              <w:contextualSpacing/>
              <w:jc w:val="left"/>
              <w:rPr>
                <w:rFonts w:ascii="Arial Narrow" w:eastAsia="Calibri" w:hAnsi="Arial Narrow" w:cs="Arial Narrow"/>
                <w:b/>
                <w:bCs/>
                <w:iCs/>
                <w:color w:val="000000"/>
                <w:sz w:val="20"/>
                <w:szCs w:val="20"/>
                <w:lang w:eastAsia="en-US"/>
              </w:rPr>
            </w:pPr>
            <w:r w:rsidRPr="009C1AA2">
              <w:rPr>
                <w:rFonts w:ascii="Arial Narrow" w:eastAsia="Calibri" w:hAnsi="Arial Narrow" w:cs="Arial Narrow"/>
                <w:b/>
                <w:bCs/>
                <w:iCs/>
                <w:color w:val="000000"/>
                <w:sz w:val="20"/>
                <w:szCs w:val="20"/>
                <w:lang w:eastAsia="en-US"/>
              </w:rPr>
              <w:t>Prescribing Instruction:</w:t>
            </w:r>
          </w:p>
          <w:p w14:paraId="28BF1814" w14:textId="519D3D28" w:rsidR="0091111B" w:rsidRPr="009C1AA2" w:rsidRDefault="0091111B" w:rsidP="00873AF3">
            <w:pPr>
              <w:contextualSpacing/>
              <w:jc w:val="left"/>
              <w:rPr>
                <w:rFonts w:ascii="Arial Narrow" w:hAnsi="Arial Narrow" w:cs="Times New Roman"/>
                <w:b/>
                <w:bCs/>
                <w:sz w:val="20"/>
                <w:szCs w:val="20"/>
              </w:rPr>
            </w:pPr>
            <w:r w:rsidRPr="009C1AA2">
              <w:rPr>
                <w:rFonts w:ascii="Arial Narrow" w:eastAsia="Calibri" w:hAnsi="Arial Narrow" w:cs="Arial Narrow"/>
                <w:iCs/>
                <w:color w:val="000000"/>
                <w:sz w:val="20"/>
                <w:szCs w:val="20"/>
                <w:lang w:eastAsia="en-US"/>
              </w:rPr>
              <w:t>A retrospective assessment for one of the MGC score or MG-ADL score after completing the 12 months</w:t>
            </w:r>
            <w:r w:rsidRPr="009C1AA2">
              <w:rPr>
                <w:rFonts w:ascii="Arial Narrow" w:hAnsi="Arial Narrow" w:cs="Times New Roman"/>
                <w:color w:val="000000"/>
                <w:sz w:val="20"/>
                <w:szCs w:val="20"/>
              </w:rPr>
              <w:t xml:space="preserve"> remission inducing</w:t>
            </w:r>
            <w:r w:rsidRPr="009C1AA2">
              <w:rPr>
                <w:rFonts w:ascii="Arial Narrow" w:eastAsia="Calibri" w:hAnsi="Arial Narrow" w:cs="Times New Roman"/>
                <w:bCs/>
                <w:color w:val="000000"/>
                <w:sz w:val="20"/>
                <w:szCs w:val="20"/>
                <w:lang w:eastAsia="en-US"/>
              </w:rPr>
              <w:t xml:space="preserve"> </w:t>
            </w:r>
            <w:r w:rsidRPr="009C1AA2">
              <w:rPr>
                <w:rFonts w:ascii="Arial Narrow" w:hAnsi="Arial Narrow" w:cs="Times New Roman"/>
                <w:color w:val="000000"/>
                <w:sz w:val="20"/>
                <w:szCs w:val="20"/>
              </w:rPr>
              <w:t>treatments can be accepted for grandfathered patients in cases where it was not conducted prior to commencing non-PBS subsidised treatment for this indication.</w:t>
            </w:r>
            <w:r w:rsidR="00873AF3">
              <w:rPr>
                <w:rFonts w:ascii="Arial Narrow" w:hAnsi="Arial Narrow" w:cs="Times New Roman"/>
                <w:color w:val="000000"/>
                <w:sz w:val="20"/>
                <w:szCs w:val="20"/>
              </w:rPr>
              <w:t xml:space="preserve"> </w:t>
            </w:r>
            <w:r w:rsidRPr="009C1AA2">
              <w:rPr>
                <w:rFonts w:ascii="Arial Narrow" w:eastAsia="Calibri" w:hAnsi="Arial Narrow" w:cs="Arial Narrow"/>
                <w:iCs/>
                <w:color w:val="000000"/>
                <w:sz w:val="20"/>
                <w:szCs w:val="20"/>
                <w:lang w:eastAsia="en-US"/>
              </w:rPr>
              <w:t xml:space="preserve"> </w:t>
            </w:r>
          </w:p>
        </w:tc>
      </w:tr>
      <w:tr w:rsidR="0091111B" w:rsidRPr="009C1AA2" w14:paraId="2861A29B" w14:textId="77777777" w:rsidTr="0091111B">
        <w:tblPrEx>
          <w:tblCellMar>
            <w:top w:w="15" w:type="dxa"/>
            <w:bottom w:w="15" w:type="dxa"/>
          </w:tblCellMar>
          <w:tblLook w:val="04A0" w:firstRow="1" w:lastRow="0" w:firstColumn="1" w:lastColumn="0" w:noHBand="0" w:noVBand="1"/>
        </w:tblPrEx>
        <w:trPr>
          <w:cantSplit/>
          <w:trHeight w:val="20"/>
        </w:trPr>
        <w:tc>
          <w:tcPr>
            <w:tcW w:w="9072" w:type="dxa"/>
            <w:gridSpan w:val="7"/>
            <w:vAlign w:val="center"/>
          </w:tcPr>
          <w:p w14:paraId="50ECD2D9" w14:textId="77777777" w:rsidR="0091111B" w:rsidRPr="009C1AA2" w:rsidRDefault="0091111B" w:rsidP="00873AF3">
            <w:pPr>
              <w:contextualSpacing/>
              <w:jc w:val="left"/>
              <w:rPr>
                <w:rFonts w:ascii="Arial Narrow" w:eastAsia="Calibri" w:hAnsi="Arial Narrow" w:cs="Arial Narrow"/>
                <w:b/>
                <w:bCs/>
                <w:iCs/>
                <w:color w:val="000000"/>
                <w:sz w:val="20"/>
                <w:szCs w:val="20"/>
                <w:highlight w:val="yellow"/>
                <w:lang w:eastAsia="en-US"/>
              </w:rPr>
            </w:pPr>
            <w:r w:rsidRPr="009C1AA2">
              <w:rPr>
                <w:rFonts w:ascii="Arial Narrow" w:eastAsia="Calibri" w:hAnsi="Arial Narrow"/>
                <w:b/>
                <w:bCs/>
                <w:kern w:val="2"/>
                <w:sz w:val="20"/>
                <w:szCs w:val="20"/>
                <w14:ligatures w14:val="standardContextual"/>
              </w:rPr>
              <w:t xml:space="preserve">Administrative Advice: </w:t>
            </w:r>
            <w:r w:rsidRPr="009C1AA2">
              <w:rPr>
                <w:rFonts w:ascii="Arial Narrow" w:eastAsia="Calibri" w:hAnsi="Arial Narrow"/>
                <w:bCs/>
                <w:kern w:val="2"/>
                <w:sz w:val="20"/>
                <w:szCs w:val="20"/>
                <w14:ligatures w14:val="standardContextual"/>
              </w:rPr>
              <w:t>Patients may qualify for PBS-subsidised treatment under this restriction once only. For continuing PBS-subsidised treatment, a 'Grandfathered' patient must qualify under the 'Continuing treatment' criteria.</w:t>
            </w:r>
          </w:p>
        </w:tc>
      </w:tr>
      <w:tr w:rsidR="0091111B" w:rsidRPr="009C1AA2" w14:paraId="767A8688" w14:textId="77777777" w:rsidTr="0091111B">
        <w:tblPrEx>
          <w:tblCellMar>
            <w:top w:w="15" w:type="dxa"/>
            <w:bottom w:w="15" w:type="dxa"/>
          </w:tblCellMar>
          <w:tblLook w:val="04A0" w:firstRow="1" w:lastRow="0" w:firstColumn="1" w:lastColumn="0" w:noHBand="0" w:noVBand="1"/>
        </w:tblPrEx>
        <w:trPr>
          <w:cantSplit/>
          <w:trHeight w:val="20"/>
        </w:trPr>
        <w:tc>
          <w:tcPr>
            <w:tcW w:w="9072" w:type="dxa"/>
            <w:gridSpan w:val="7"/>
            <w:vAlign w:val="center"/>
          </w:tcPr>
          <w:p w14:paraId="741576C6" w14:textId="77777777" w:rsidR="0091111B" w:rsidRPr="009C1AA2" w:rsidRDefault="0091111B" w:rsidP="00873AF3">
            <w:pPr>
              <w:contextualSpacing/>
              <w:jc w:val="left"/>
              <w:rPr>
                <w:rFonts w:ascii="Arial Narrow" w:eastAsia="Calibri" w:hAnsi="Arial Narrow" w:cs="Arial Narrow"/>
                <w:b/>
                <w:bCs/>
                <w:iCs/>
                <w:color w:val="000000"/>
                <w:sz w:val="20"/>
                <w:szCs w:val="20"/>
                <w:highlight w:val="yellow"/>
                <w:lang w:eastAsia="en-US"/>
              </w:rPr>
            </w:pPr>
            <w:r w:rsidRPr="009C1AA2">
              <w:rPr>
                <w:rFonts w:ascii="Arial Narrow" w:eastAsia="Calibri" w:hAnsi="Arial Narrow"/>
                <w:b/>
                <w:bCs/>
                <w:kern w:val="2"/>
                <w:sz w:val="20"/>
                <w:szCs w:val="20"/>
                <w14:ligatures w14:val="standardContextual"/>
              </w:rPr>
              <w:t xml:space="preserve">Administrative Advice: </w:t>
            </w:r>
            <w:r w:rsidRPr="009C1AA2">
              <w:rPr>
                <w:rFonts w:ascii="Arial Narrow" w:eastAsia="Calibri" w:hAnsi="Arial Narrow"/>
                <w:bCs/>
                <w:kern w:val="2"/>
                <w:sz w:val="20"/>
                <w:szCs w:val="20"/>
                <w14:ligatures w14:val="standardContextual"/>
              </w:rPr>
              <w:t>This grandfather restriction will cease to operate from 12 months after the date specified in the clinical criteria.</w:t>
            </w:r>
          </w:p>
        </w:tc>
      </w:tr>
      <w:bookmarkEnd w:id="108"/>
    </w:tbl>
    <w:p w14:paraId="5588124E" w14:textId="77777777" w:rsidR="008A494F" w:rsidRPr="009C1AA2" w:rsidRDefault="008A494F" w:rsidP="00873AF3">
      <w:pPr>
        <w:jc w:val="left"/>
        <w:rPr>
          <w:rFonts w:ascii="Times New Roman" w:eastAsia="Aptos" w:hAnsi="Times New Roman" w:cs="Times New Roman"/>
          <w:kern w:val="2"/>
          <w:lang w:eastAsia="en-US"/>
          <w14:ligatures w14:val="standardContextual"/>
        </w:rPr>
      </w:pPr>
    </w:p>
    <w:p w14:paraId="490CA8EE" w14:textId="39BD0B03" w:rsidR="00540641" w:rsidRPr="00540641" w:rsidRDefault="00540641" w:rsidP="00873AF3">
      <w:pPr>
        <w:pStyle w:val="COMH1-numbered"/>
        <w:rPr>
          <w:rFonts w:eastAsia="Calibri"/>
        </w:rPr>
      </w:pPr>
      <w:r w:rsidRPr="00540641">
        <w:rPr>
          <w:rFonts w:eastAsia="Calibri"/>
        </w:rPr>
        <w:t>Context for Decision</w:t>
      </w:r>
    </w:p>
    <w:p w14:paraId="2F073E3B" w14:textId="134DF5E5" w:rsidR="00540641" w:rsidRPr="00111B74" w:rsidRDefault="00540641" w:rsidP="00873AF3">
      <w:pPr>
        <w:spacing w:before="120" w:after="120"/>
        <w:ind w:left="709" w:firstLine="11"/>
        <w:contextualSpacing/>
        <w:rPr>
          <w:rFonts w:eastAsia="Calibri" w:cs="Times New Roman"/>
          <w:lang w:eastAsia="en-US"/>
        </w:rPr>
      </w:pPr>
      <w:r w:rsidRPr="00540641">
        <w:rPr>
          <w:rFonts w:eastAsia="Calibri" w:cs="Times New Roman"/>
          <w:lang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7EF72AD" w14:textId="426F19ED" w:rsidR="00540641" w:rsidRPr="00540641" w:rsidRDefault="00540641" w:rsidP="00873AF3">
      <w:pPr>
        <w:pStyle w:val="COMH1-numbered"/>
        <w:rPr>
          <w:rFonts w:eastAsia="Calibri"/>
        </w:rPr>
      </w:pPr>
      <w:r w:rsidRPr="00540641">
        <w:rPr>
          <w:rFonts w:eastAsia="Calibri"/>
        </w:rPr>
        <w:t>Sponsor’s Comment</w:t>
      </w:r>
    </w:p>
    <w:p w14:paraId="53392C25" w14:textId="28CFE5A0" w:rsidR="001A2948" w:rsidRPr="001A2948" w:rsidRDefault="001A2948" w:rsidP="00873AF3">
      <w:pPr>
        <w:spacing w:before="120" w:after="120"/>
        <w:ind w:left="720"/>
        <w:contextualSpacing/>
        <w:rPr>
          <w:rFonts w:eastAsia="Calibri" w:cs="Times New Roman"/>
          <w:lang w:eastAsia="en-US"/>
        </w:rPr>
      </w:pPr>
      <w:r w:rsidRPr="00AE5D7D">
        <w:rPr>
          <w:rFonts w:eastAsia="Calibri" w:cs="Times New Roman"/>
          <w:lang w:eastAsia="en-US"/>
        </w:rPr>
        <w:t>UCB Australia acknowledges the PBAC for its updated advice, which appropriately align</w:t>
      </w:r>
      <w:r w:rsidR="00915194" w:rsidRPr="00AE5D7D">
        <w:rPr>
          <w:rFonts w:eastAsia="Calibri" w:cs="Times New Roman"/>
          <w:lang w:eastAsia="en-US"/>
        </w:rPr>
        <w:t>s</w:t>
      </w:r>
      <w:r w:rsidR="00295A92" w:rsidRPr="00AE5D7D">
        <w:rPr>
          <w:rFonts w:eastAsia="Calibri" w:cs="Times New Roman"/>
          <w:lang w:eastAsia="en-US"/>
        </w:rPr>
        <w:t xml:space="preserve"> the</w:t>
      </w:r>
      <w:r w:rsidRPr="00AE5D7D">
        <w:rPr>
          <w:rFonts w:eastAsia="Calibri" w:cs="Times New Roman"/>
          <w:lang w:eastAsia="en-US"/>
        </w:rPr>
        <w:t xml:space="preserve"> </w:t>
      </w:r>
      <w:r w:rsidR="005B6BC1" w:rsidRPr="00AE5D7D">
        <w:rPr>
          <w:rFonts w:eastAsia="Calibri" w:cs="Times New Roman"/>
          <w:lang w:eastAsia="en-US"/>
        </w:rPr>
        <w:t xml:space="preserve">average </w:t>
      </w:r>
      <w:r w:rsidRPr="00AE5D7D">
        <w:rPr>
          <w:rFonts w:eastAsia="Calibri" w:cs="Times New Roman"/>
          <w:lang w:eastAsia="en-US"/>
        </w:rPr>
        <w:t>utilisation estimate</w:t>
      </w:r>
      <w:r w:rsidR="004A42A6" w:rsidRPr="00AE5D7D">
        <w:rPr>
          <w:rFonts w:eastAsia="Calibri" w:cs="Times New Roman"/>
          <w:lang w:eastAsia="en-US"/>
        </w:rPr>
        <w:t>,</w:t>
      </w:r>
      <w:r w:rsidRPr="00AE5D7D">
        <w:rPr>
          <w:rFonts w:eastAsia="Calibri" w:cs="Times New Roman"/>
          <w:lang w:eastAsia="en-US"/>
        </w:rPr>
        <w:t xml:space="preserve"> based on the best available evidence from the rozanolixizumab clinical trial program</w:t>
      </w:r>
      <w:r w:rsidR="00A137D7" w:rsidRPr="00AE5D7D">
        <w:rPr>
          <w:rFonts w:eastAsia="Calibri" w:cs="Times New Roman"/>
          <w:lang w:eastAsia="en-US"/>
        </w:rPr>
        <w:t>,</w:t>
      </w:r>
      <w:r w:rsidRPr="00AE5D7D">
        <w:rPr>
          <w:rFonts w:eastAsia="Calibri" w:cs="Times New Roman"/>
          <w:lang w:eastAsia="en-US"/>
        </w:rPr>
        <w:t xml:space="preserve"> with expected clinical use in Australia </w:t>
      </w:r>
      <w:r w:rsidR="0082456C" w:rsidRPr="00AE5D7D">
        <w:rPr>
          <w:rFonts w:eastAsia="Calibri" w:cs="Times New Roman"/>
          <w:lang w:eastAsia="en-US"/>
        </w:rPr>
        <w:t xml:space="preserve">as recommended </w:t>
      </w:r>
      <w:r w:rsidRPr="00AE5D7D">
        <w:rPr>
          <w:rFonts w:eastAsia="Calibri" w:cs="Times New Roman"/>
          <w:lang w:eastAsia="en-US"/>
        </w:rPr>
        <w:t>in the Rystiggo Product Information and with the</w:t>
      </w:r>
      <w:r w:rsidR="00D041F1" w:rsidRPr="00AE5D7D">
        <w:rPr>
          <w:rFonts w:eastAsia="Calibri" w:cs="Times New Roman"/>
          <w:lang w:eastAsia="en-US"/>
        </w:rPr>
        <w:t xml:space="preserve"> recommended </w:t>
      </w:r>
      <w:r w:rsidRPr="00AE5D7D">
        <w:rPr>
          <w:rFonts w:eastAsia="Calibri" w:cs="Times New Roman"/>
          <w:lang w:eastAsia="en-US"/>
        </w:rPr>
        <w:t>PBS restriction criteria</w:t>
      </w:r>
      <w:r w:rsidR="00D041F1" w:rsidRPr="00AE5D7D">
        <w:rPr>
          <w:rFonts w:eastAsia="Calibri" w:cs="Times New Roman"/>
          <w:lang w:eastAsia="en-US"/>
        </w:rPr>
        <w:t xml:space="preserve">. </w:t>
      </w:r>
      <w:r w:rsidRPr="00AE5D7D">
        <w:rPr>
          <w:rFonts w:eastAsia="Calibri" w:cs="Times New Roman"/>
          <w:lang w:eastAsia="en-US"/>
        </w:rPr>
        <w:t xml:space="preserve">We remain committed to working collaboratively with the Department of Health, Disability and Ageing to </w:t>
      </w:r>
      <w:r w:rsidR="00CC311C" w:rsidRPr="00AE5D7D">
        <w:rPr>
          <w:rFonts w:eastAsia="Calibri" w:cs="Times New Roman"/>
          <w:lang w:eastAsia="en-US"/>
        </w:rPr>
        <w:t>facilitate timely and</w:t>
      </w:r>
      <w:r w:rsidR="00146D35" w:rsidRPr="00AE5D7D">
        <w:rPr>
          <w:rFonts w:eastAsia="Calibri" w:cs="Times New Roman"/>
          <w:lang w:eastAsia="en-US"/>
        </w:rPr>
        <w:t xml:space="preserve"> </w:t>
      </w:r>
      <w:r w:rsidRPr="00AE5D7D">
        <w:rPr>
          <w:rFonts w:eastAsia="Calibri" w:cs="Times New Roman"/>
          <w:lang w:eastAsia="en-US"/>
        </w:rPr>
        <w:t>equitable access for Australian patients.</w:t>
      </w:r>
    </w:p>
    <w:p w14:paraId="0D4BF0CE" w14:textId="77777777" w:rsidR="001A2948" w:rsidRPr="00E644F1" w:rsidRDefault="001A2948" w:rsidP="00873AF3">
      <w:pPr>
        <w:spacing w:before="120" w:after="120"/>
        <w:ind w:firstLine="720"/>
        <w:contextualSpacing/>
        <w:rPr>
          <w:rFonts w:eastAsia="Calibri" w:cs="Times New Roman"/>
          <w:lang w:eastAsia="en-US"/>
        </w:rPr>
      </w:pPr>
    </w:p>
    <w:p w14:paraId="5F5EE872" w14:textId="77777777" w:rsidR="00540641" w:rsidRPr="002F5140" w:rsidRDefault="00540641" w:rsidP="00873AF3">
      <w:pPr>
        <w:spacing w:before="120" w:after="120"/>
        <w:ind w:firstLine="720"/>
        <w:contextualSpacing/>
        <w:rPr>
          <w:rFonts w:eastAsia="Calibri" w:cs="Times New Roman"/>
          <w:lang w:eastAsia="en-US"/>
        </w:rPr>
      </w:pPr>
    </w:p>
    <w:sectPr w:rsidR="00540641" w:rsidRPr="002F5140" w:rsidSect="00C538FA">
      <w:headerReference w:type="even" r:id="rId22"/>
      <w:headerReference w:type="default" r:id="rId23"/>
      <w:footerReference w:type="even" r:id="rId24"/>
      <w:footerReference w:type="default" r:id="rId25"/>
      <w:headerReference w:type="first" r:id="rId26"/>
      <w:footerReference w:type="first" r:id="rId27"/>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130ED" w14:textId="77777777" w:rsidR="000C3833" w:rsidRDefault="000C3833" w:rsidP="00124A51">
      <w:r>
        <w:separator/>
      </w:r>
    </w:p>
    <w:p w14:paraId="368EB98F" w14:textId="77777777" w:rsidR="000C3833" w:rsidRDefault="000C3833"/>
    <w:p w14:paraId="1C71650A" w14:textId="77777777" w:rsidR="000C3833" w:rsidRDefault="000C3833"/>
    <w:p w14:paraId="453DEC0D" w14:textId="77777777" w:rsidR="000C3833" w:rsidRDefault="000C3833"/>
  </w:endnote>
  <w:endnote w:type="continuationSeparator" w:id="0">
    <w:p w14:paraId="4AE12B45" w14:textId="77777777" w:rsidR="000C3833" w:rsidRDefault="000C3833" w:rsidP="00124A51">
      <w:r>
        <w:continuationSeparator/>
      </w:r>
    </w:p>
    <w:p w14:paraId="3B45C5B7" w14:textId="77777777" w:rsidR="000C3833" w:rsidRDefault="000C3833"/>
    <w:p w14:paraId="7EBEDA8A" w14:textId="77777777" w:rsidR="000C3833" w:rsidRDefault="000C3833"/>
    <w:p w14:paraId="7AD2D0E6" w14:textId="77777777" w:rsidR="000C3833" w:rsidRDefault="000C3833"/>
  </w:endnote>
  <w:endnote w:type="continuationNotice" w:id="1">
    <w:p w14:paraId="4689D8DE" w14:textId="77777777" w:rsidR="000C3833" w:rsidRDefault="000C3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93A5" w14:textId="77BDEC9F" w:rsidR="003F3A31" w:rsidRDefault="00B67660">
    <w:pPr>
      <w:pStyle w:val="Footer"/>
    </w:pPr>
    <w:r>
      <w:rPr>
        <w:noProof/>
      </w:rPr>
      <mc:AlternateContent>
        <mc:Choice Requires="wps">
          <w:drawing>
            <wp:anchor distT="0" distB="0" distL="0" distR="0" simplePos="0" relativeHeight="251658244" behindDoc="0" locked="0" layoutInCell="1" allowOverlap="1" wp14:anchorId="4C2B9043" wp14:editId="4079FCA5">
              <wp:simplePos x="635" y="635"/>
              <wp:positionH relativeFrom="page">
                <wp:align>center</wp:align>
              </wp:positionH>
              <wp:positionV relativeFrom="page">
                <wp:align>bottom</wp:align>
              </wp:positionV>
              <wp:extent cx="551815" cy="376555"/>
              <wp:effectExtent l="0" t="0" r="635" b="0"/>
              <wp:wrapNone/>
              <wp:docPr id="11523600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8CAE21" w14:textId="1700E608" w:rsidR="00B67660" w:rsidRPr="00B67660" w:rsidRDefault="00B67660" w:rsidP="00B67660">
                          <w:pPr>
                            <w:rPr>
                              <w:rFonts w:eastAsia="Calibri" w:cs="Calibri"/>
                              <w:noProof/>
                              <w:color w:val="FF0000"/>
                            </w:rPr>
                          </w:pPr>
                          <w:r w:rsidRPr="00B67660">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2B9043"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138CAE21" w14:textId="1700E608" w:rsidR="00B67660" w:rsidRPr="00B67660" w:rsidRDefault="00B67660" w:rsidP="00B67660">
                    <w:pPr>
                      <w:rPr>
                        <w:rFonts w:eastAsia="Calibri" w:cs="Calibri"/>
                        <w:noProof/>
                        <w:color w:val="FF0000"/>
                      </w:rPr>
                    </w:pPr>
                    <w:r w:rsidRPr="00B67660">
                      <w:rPr>
                        <w:rFonts w:eastAsia="Calibri" w:cs="Calibri"/>
                        <w:noProof/>
                        <w:color w:val="FF0000"/>
                      </w:rPr>
                      <w:t>OFFICIAL</w:t>
                    </w:r>
                  </w:p>
                </w:txbxContent>
              </v:textbox>
              <w10:wrap anchorx="page" anchory="page"/>
            </v:shape>
          </w:pict>
        </mc:Fallback>
      </mc:AlternateContent>
    </w:r>
  </w:p>
  <w:p w14:paraId="7822056E" w14:textId="77777777" w:rsidR="00607839" w:rsidRDefault="006078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3F4AC3C2" w:rsidR="00D843F2" w:rsidRDefault="00B67660" w:rsidP="00753B29">
    <w:pPr>
      <w:jc w:val="center"/>
    </w:pPr>
    <w:r>
      <w:rPr>
        <w:noProof/>
      </w:rPr>
      <mc:AlternateContent>
        <mc:Choice Requires="wps">
          <w:drawing>
            <wp:anchor distT="0" distB="0" distL="0" distR="0" simplePos="0" relativeHeight="251658245" behindDoc="0" locked="0" layoutInCell="1" allowOverlap="1" wp14:anchorId="3244C4D1" wp14:editId="2F583E2F">
              <wp:simplePos x="914400" y="9410700"/>
              <wp:positionH relativeFrom="page">
                <wp:align>center</wp:align>
              </wp:positionH>
              <wp:positionV relativeFrom="page">
                <wp:align>bottom</wp:align>
              </wp:positionV>
              <wp:extent cx="551815" cy="376555"/>
              <wp:effectExtent l="0" t="0" r="635" b="0"/>
              <wp:wrapNone/>
              <wp:docPr id="34061964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D5983E" w14:textId="043E2E36" w:rsidR="00B67660" w:rsidRPr="00B67660" w:rsidRDefault="00B67660" w:rsidP="00B67660">
                          <w:pPr>
                            <w:rPr>
                              <w:rFonts w:eastAsia="Calibri" w:cs="Calibri"/>
                              <w:noProof/>
                              <w:color w:val="FF0000"/>
                            </w:rPr>
                          </w:pPr>
                          <w:r w:rsidRPr="00B67660">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44C4D1"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3D5983E" w14:textId="043E2E36" w:rsidR="00B67660" w:rsidRPr="00B67660" w:rsidRDefault="00B67660" w:rsidP="00B67660">
                    <w:pPr>
                      <w:rPr>
                        <w:rFonts w:eastAsia="Calibri" w:cs="Calibri"/>
                        <w:noProof/>
                        <w:color w:val="FF0000"/>
                      </w:rPr>
                    </w:pPr>
                    <w:r w:rsidRPr="00B67660">
                      <w:rPr>
                        <w:rFonts w:eastAsia="Calibri" w:cs="Calibri"/>
                        <w:noProof/>
                        <w:color w:val="FF0000"/>
                      </w:rPr>
                      <w:t>OFFICIAL</w:t>
                    </w:r>
                  </w:p>
                </w:txbxContent>
              </v:textbox>
              <w10:wrap anchorx="page" anchory="page"/>
            </v:shape>
          </w:pict>
        </mc:Fallback>
      </mc:AlternateContent>
    </w:r>
  </w:p>
  <w:p w14:paraId="4FFC2AFA" w14:textId="00C60C1B" w:rsidR="00607839" w:rsidRDefault="006233F7" w:rsidP="00B10284">
    <w:pPr>
      <w:pStyle w:val="PageFooter"/>
    </w:pPr>
    <w:sdt>
      <w:sdtPr>
        <w:id w:val="1036156457"/>
        <w:docPartObj>
          <w:docPartGallery w:val="Page Numbers (Bottom of Page)"/>
          <w:docPartUnique/>
        </w:docPartObj>
      </w:sdtPr>
      <w:sdtEndPr/>
      <w:sdtContent>
        <w:r w:rsidR="00D843F2">
          <w:fldChar w:fldCharType="begin"/>
        </w:r>
        <w:r w:rsidR="00D843F2">
          <w:instrText xml:space="preserve"> PAGE   \* MERGEFORMAT </w:instrText>
        </w:r>
        <w:r w:rsidR="00D843F2">
          <w:fldChar w:fldCharType="separate"/>
        </w:r>
        <w:r w:rsidR="00D843F2">
          <w:t>2</w:t>
        </w:r>
        <w:r w:rsidR="00D843F2">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4E40" w14:textId="5FF9CBB2" w:rsidR="00D63E16" w:rsidRDefault="00B67660">
    <w:pPr>
      <w:pStyle w:val="Footer"/>
    </w:pPr>
    <w:r>
      <w:rPr>
        <w:noProof/>
      </w:rPr>
      <mc:AlternateContent>
        <mc:Choice Requires="wps">
          <w:drawing>
            <wp:anchor distT="0" distB="0" distL="0" distR="0" simplePos="0" relativeHeight="251658243" behindDoc="0" locked="0" layoutInCell="1" allowOverlap="1" wp14:anchorId="0D0860C8" wp14:editId="4AE81E2F">
              <wp:simplePos x="635" y="635"/>
              <wp:positionH relativeFrom="page">
                <wp:align>center</wp:align>
              </wp:positionH>
              <wp:positionV relativeFrom="page">
                <wp:align>bottom</wp:align>
              </wp:positionV>
              <wp:extent cx="551815" cy="376555"/>
              <wp:effectExtent l="0" t="0" r="635" b="0"/>
              <wp:wrapNone/>
              <wp:docPr id="7167062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7868EE" w14:textId="0D5E2E55" w:rsidR="00B67660" w:rsidRPr="00B67660" w:rsidRDefault="00B67660" w:rsidP="00B67660">
                          <w:pPr>
                            <w:rPr>
                              <w:rFonts w:eastAsia="Calibri" w:cs="Calibri"/>
                              <w:noProof/>
                              <w:color w:val="FF0000"/>
                            </w:rPr>
                          </w:pPr>
                          <w:r w:rsidRPr="00B67660">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0860C8"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137868EE" w14:textId="0D5E2E55" w:rsidR="00B67660" w:rsidRPr="00B67660" w:rsidRDefault="00B67660" w:rsidP="00B67660">
                    <w:pPr>
                      <w:rPr>
                        <w:rFonts w:eastAsia="Calibri" w:cs="Calibri"/>
                        <w:noProof/>
                        <w:color w:val="FF0000"/>
                      </w:rPr>
                    </w:pPr>
                    <w:r w:rsidRPr="00B67660">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5A4AE" w14:textId="77777777" w:rsidR="000C3833" w:rsidRDefault="000C3833" w:rsidP="00124A51">
      <w:r>
        <w:separator/>
      </w:r>
    </w:p>
  </w:footnote>
  <w:footnote w:type="continuationSeparator" w:id="0">
    <w:p w14:paraId="0CF84C56" w14:textId="77777777" w:rsidR="000C3833" w:rsidRDefault="000C3833" w:rsidP="00124A51">
      <w:r>
        <w:continuationSeparator/>
      </w:r>
    </w:p>
    <w:p w14:paraId="2C952562" w14:textId="77777777" w:rsidR="000C3833" w:rsidRDefault="000C3833"/>
    <w:p w14:paraId="70C7E588" w14:textId="77777777" w:rsidR="000C3833" w:rsidRDefault="000C3833"/>
    <w:p w14:paraId="3FBD96CE" w14:textId="77777777" w:rsidR="000C3833" w:rsidRDefault="000C3833"/>
  </w:footnote>
  <w:footnote w:type="continuationNotice" w:id="1">
    <w:p w14:paraId="64B7DF1B" w14:textId="77777777" w:rsidR="000C3833" w:rsidRDefault="000C3833"/>
  </w:footnote>
  <w:footnote w:id="2">
    <w:p w14:paraId="44EE3118" w14:textId="77777777" w:rsidR="00C33F4E" w:rsidRPr="00C33F4E" w:rsidRDefault="00C92DBF" w:rsidP="00C33F4E">
      <w:pPr>
        <w:pStyle w:val="FootnoteText"/>
        <w:rPr>
          <w:rFonts w:ascii="Arial Narrow" w:hAnsi="Arial Narrow"/>
        </w:rPr>
      </w:pPr>
      <w:r w:rsidRPr="00C33F4E">
        <w:rPr>
          <w:rStyle w:val="FootnoteReference"/>
          <w:rFonts w:ascii="Arial Narrow" w:hAnsi="Arial Narrow"/>
        </w:rPr>
        <w:footnoteRef/>
      </w:r>
      <w:r w:rsidRPr="00C33F4E">
        <w:rPr>
          <w:rFonts w:ascii="Arial Narrow" w:hAnsi="Arial Narrow"/>
        </w:rPr>
        <w:t xml:space="preserve"> </w:t>
      </w:r>
      <w:r w:rsidR="00C33F4E" w:rsidRPr="00C33F4E">
        <w:rPr>
          <w:rFonts w:ascii="Arial Narrow" w:hAnsi="Arial Narrow"/>
        </w:rPr>
        <w:t xml:space="preserve">Criteria for Clinical Use of Immunoglobulin in Australia, accessed at: </w:t>
      </w:r>
    </w:p>
    <w:p w14:paraId="644F8DFB" w14:textId="00DE40D6" w:rsidR="00C92DBF" w:rsidRDefault="00C33F4E" w:rsidP="00C33F4E">
      <w:pPr>
        <w:pStyle w:val="FootnoteText"/>
      </w:pPr>
      <w:r w:rsidRPr="00C33F4E">
        <w:rPr>
          <w:rFonts w:ascii="Arial Narrow" w:hAnsi="Arial Narrow"/>
        </w:rPr>
        <w:t xml:space="preserve"> https://www.criteria.blood.gov.au/MedicalCondition/View/2681</w:t>
      </w:r>
    </w:p>
  </w:footnote>
  <w:footnote w:id="3">
    <w:p w14:paraId="747D335E" w14:textId="77777777" w:rsidR="00F32FF1" w:rsidRPr="00C539C3" w:rsidRDefault="00F32FF1" w:rsidP="00F32FF1">
      <w:pPr>
        <w:pStyle w:val="FootnoteText"/>
        <w:rPr>
          <w:rFonts w:ascii="Arial Narrow" w:hAnsi="Arial Narrow"/>
        </w:rPr>
      </w:pPr>
      <w:r>
        <w:rPr>
          <w:rStyle w:val="FootnoteReference"/>
        </w:rPr>
        <w:footnoteRef/>
      </w:r>
      <w:r>
        <w:t xml:space="preserve"> </w:t>
      </w:r>
      <w:r w:rsidRPr="00C539C3">
        <w:rPr>
          <w:rFonts w:ascii="Arial Narrow" w:hAnsi="Arial Narrow"/>
        </w:rPr>
        <w:t>Myasthenia Gravis Stakeholder Meeting (May 2024) Outcome Statement, Available at: https://www.pbs.gov.au/info/industry/listing/elements/pbac-meetings/stakeholder-meetings</w:t>
      </w:r>
    </w:p>
  </w:footnote>
  <w:footnote w:id="4">
    <w:p w14:paraId="7C4129C4" w14:textId="77777777" w:rsidR="000A2A45" w:rsidRPr="00C539C3" w:rsidRDefault="000A2A45" w:rsidP="000A2A45">
      <w:pPr>
        <w:pStyle w:val="FootnoteText"/>
        <w:rPr>
          <w:rFonts w:ascii="Arial Narrow" w:hAnsi="Arial Narrow"/>
        </w:rPr>
      </w:pPr>
      <w:r>
        <w:rPr>
          <w:rStyle w:val="FootnoteReference"/>
        </w:rPr>
        <w:footnoteRef/>
      </w:r>
      <w:r>
        <w:t xml:space="preserve"> </w:t>
      </w:r>
      <w:r w:rsidRPr="00C539C3">
        <w:rPr>
          <w:rFonts w:ascii="Arial Narrow" w:hAnsi="Arial Narrow"/>
        </w:rPr>
        <w:t>Myasthenia Gravis Stakeholder Meeting (May 2024) Outcome Statement, Available at: https://www.pbs.gov.au/info/industry/listing/elements/pbac-meetings/stakeholder-meetings</w:t>
      </w:r>
    </w:p>
  </w:footnote>
  <w:footnote w:id="5">
    <w:p w14:paraId="6AEC5184" w14:textId="77777777" w:rsidR="000A2A45" w:rsidRDefault="000A2A45" w:rsidP="000A2A45">
      <w:pPr>
        <w:pStyle w:val="FootnoteText"/>
      </w:pPr>
      <w:r w:rsidRPr="00C539C3">
        <w:rPr>
          <w:rStyle w:val="FootnoteReference"/>
          <w:rFonts w:ascii="Arial Narrow" w:hAnsi="Arial Narrow"/>
        </w:rPr>
        <w:footnoteRef/>
      </w:r>
      <w:r w:rsidRPr="00C539C3">
        <w:rPr>
          <w:rFonts w:ascii="Arial Narrow" w:hAnsi="Arial Narrow"/>
        </w:rPr>
        <w:t xml:space="preserve"> Hehir, M.K., Burns, T.M., Alpers, J., Conaway, M.R., Sawa, M. and Sanders, D.B. (2010), Mycophenolate mofetil in AChR-antibody-positive myasthenia gravis: Outcomes in 102 patients†. Muscle Nerve, 41: 593-598. </w:t>
      </w:r>
      <w:hyperlink r:id="rId1" w:history="1">
        <w:r w:rsidRPr="00C539C3">
          <w:rPr>
            <w:rStyle w:val="Hyperlink"/>
            <w:rFonts w:ascii="Arial Narrow" w:hAnsi="Arial Narrow"/>
          </w:rPr>
          <w:t>https://doi.org/10.1002/mus.21640</w:t>
        </w:r>
      </w:hyperlink>
      <w:r w:rsidRPr="00C539C3">
        <w:rPr>
          <w:rFonts w:ascii="Arial Narrow" w:hAnsi="Arial Narrow"/>
        </w:rPr>
        <w:t>, Accessed at https://pubmed.ncbi.nlm.nih.gov/20405499/</w:t>
      </w:r>
    </w:p>
  </w:footnote>
  <w:footnote w:id="6">
    <w:p w14:paraId="070024FA" w14:textId="77777777" w:rsidR="000A2A45" w:rsidRPr="00C112C3" w:rsidRDefault="000A2A45" w:rsidP="000A2A45">
      <w:pPr>
        <w:pStyle w:val="FootnoteText"/>
        <w:rPr>
          <w:rFonts w:ascii="Arial Narrow" w:hAnsi="Arial Narrow"/>
        </w:rPr>
      </w:pPr>
      <w:r w:rsidRPr="00C112C3">
        <w:rPr>
          <w:rStyle w:val="FootnoteReference"/>
          <w:rFonts w:ascii="Arial Narrow" w:hAnsi="Arial Narrow"/>
        </w:rPr>
        <w:footnoteRef/>
      </w:r>
      <w:r w:rsidRPr="00C112C3">
        <w:rPr>
          <w:rFonts w:ascii="Arial Narrow" w:hAnsi="Arial Narrow"/>
        </w:rPr>
        <w:t xml:space="preserve"> Palace J, Newsom-Davis J, Lecky B. A randomized double-blind trial of prednisolone alone or with azathioprine in myasthenia gravis. Myasthenia Gravis Study Group. Neurology. 1998 Jun;50(6):1778-83. doi: 10.1212/wnl.50.6.1778. PMID: 9633727.</w:t>
      </w:r>
    </w:p>
  </w:footnote>
  <w:footnote w:id="7">
    <w:p w14:paraId="2B972D37" w14:textId="77777777" w:rsidR="000A2A45" w:rsidRPr="00116D6F" w:rsidRDefault="000A2A45" w:rsidP="000A2A45">
      <w:pPr>
        <w:pStyle w:val="FootnoteText"/>
        <w:rPr>
          <w:rFonts w:ascii="Arial Narrow" w:hAnsi="Arial Narrow"/>
        </w:rPr>
      </w:pPr>
      <w:r w:rsidRPr="00116D6F">
        <w:rPr>
          <w:rStyle w:val="FootnoteReference"/>
          <w:rFonts w:ascii="Arial Narrow" w:hAnsi="Arial Narrow"/>
        </w:rPr>
        <w:footnoteRef/>
      </w:r>
      <w:r w:rsidRPr="00116D6F">
        <w:rPr>
          <w:rFonts w:ascii="Arial Narrow" w:hAnsi="Arial Narrow"/>
        </w:rPr>
        <w:t xml:space="preserve"> Criteria for Clinical Use of Immunoglobulin in Australia, accessed at: </w:t>
      </w:r>
    </w:p>
    <w:p w14:paraId="61AE58C4" w14:textId="77777777" w:rsidR="000A2A45" w:rsidRDefault="000A2A45" w:rsidP="000A2A45">
      <w:pPr>
        <w:pStyle w:val="FootnoteText"/>
      </w:pPr>
      <w:r w:rsidRPr="00116D6F">
        <w:rPr>
          <w:rFonts w:ascii="Arial Narrow" w:hAnsi="Arial Narrow"/>
        </w:rPr>
        <w:t xml:space="preserve"> https://www.criteria.blood.gov.au/MedicalCondition/View/2681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DE99" w14:textId="0A7A1B8D" w:rsidR="003F3A31" w:rsidRDefault="00B67660">
    <w:pPr>
      <w:pStyle w:val="Header"/>
    </w:pPr>
    <w:r>
      <w:rPr>
        <w:noProof/>
      </w:rPr>
      <mc:AlternateContent>
        <mc:Choice Requires="wps">
          <w:drawing>
            <wp:anchor distT="0" distB="0" distL="0" distR="0" simplePos="0" relativeHeight="251658241" behindDoc="0" locked="0" layoutInCell="1" allowOverlap="1" wp14:anchorId="097FA114" wp14:editId="2EB727DF">
              <wp:simplePos x="635" y="635"/>
              <wp:positionH relativeFrom="page">
                <wp:align>center</wp:align>
              </wp:positionH>
              <wp:positionV relativeFrom="page">
                <wp:align>top</wp:align>
              </wp:positionV>
              <wp:extent cx="551815" cy="376555"/>
              <wp:effectExtent l="0" t="0" r="635" b="4445"/>
              <wp:wrapNone/>
              <wp:docPr id="15348085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A94F01" w14:textId="6C489549" w:rsidR="00B67660" w:rsidRPr="00B67660" w:rsidRDefault="00B67660" w:rsidP="00B67660">
                          <w:pPr>
                            <w:rPr>
                              <w:rFonts w:eastAsia="Calibri" w:cs="Calibri"/>
                              <w:noProof/>
                              <w:color w:val="FF0000"/>
                            </w:rPr>
                          </w:pPr>
                          <w:r w:rsidRPr="00B67660">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7FA114"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AA94F01" w14:textId="6C489549" w:rsidR="00B67660" w:rsidRPr="00B67660" w:rsidRDefault="00B67660" w:rsidP="00B67660">
                    <w:pPr>
                      <w:rPr>
                        <w:rFonts w:eastAsia="Calibri" w:cs="Calibri"/>
                        <w:noProof/>
                        <w:color w:val="FF0000"/>
                      </w:rPr>
                    </w:pPr>
                    <w:r w:rsidRPr="00B67660">
                      <w:rPr>
                        <w:rFonts w:eastAsia="Calibri" w:cs="Calibri"/>
                        <w:noProof/>
                        <w:color w:val="FF0000"/>
                      </w:rPr>
                      <w:t>OFFICIAL</w:t>
                    </w:r>
                  </w:p>
                </w:txbxContent>
              </v:textbox>
              <w10:wrap anchorx="page" anchory="page"/>
            </v:shape>
          </w:pict>
        </mc:Fallback>
      </mc:AlternateContent>
    </w:r>
  </w:p>
  <w:p w14:paraId="40F20024" w14:textId="77777777" w:rsidR="00607839" w:rsidRDefault="006078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BB13" w14:textId="3578D6E6" w:rsidR="00DF3733" w:rsidRPr="00EA31F7" w:rsidRDefault="00B67660" w:rsidP="00DF3733">
    <w:pPr>
      <w:pStyle w:val="Header"/>
      <w:rPr>
        <w:rFonts w:asciiTheme="minorHAnsi" w:hAnsiTheme="minorHAnsi"/>
        <w:color w:val="808080"/>
      </w:rPr>
    </w:pPr>
    <w:r>
      <w:rPr>
        <w:rFonts w:asciiTheme="minorHAnsi" w:hAnsiTheme="minorHAnsi"/>
        <w:noProof/>
        <w:color w:val="808080"/>
      </w:rPr>
      <mc:AlternateContent>
        <mc:Choice Requires="wps">
          <w:drawing>
            <wp:anchor distT="0" distB="0" distL="0" distR="0" simplePos="0" relativeHeight="251658242" behindDoc="0" locked="0" layoutInCell="1" allowOverlap="1" wp14:anchorId="45D0124E" wp14:editId="1A488681">
              <wp:simplePos x="914400" y="914400"/>
              <wp:positionH relativeFrom="page">
                <wp:align>center</wp:align>
              </wp:positionH>
              <wp:positionV relativeFrom="page">
                <wp:align>top</wp:align>
              </wp:positionV>
              <wp:extent cx="551815" cy="376555"/>
              <wp:effectExtent l="0" t="0" r="635" b="4445"/>
              <wp:wrapNone/>
              <wp:docPr id="20080182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520668F" w14:textId="370B5497" w:rsidR="00B67660" w:rsidRPr="00B67660" w:rsidRDefault="00B67660" w:rsidP="00B67660">
                          <w:pPr>
                            <w:rPr>
                              <w:rFonts w:eastAsia="Calibri" w:cs="Calibri"/>
                              <w:noProof/>
                              <w:color w:val="FF0000"/>
                            </w:rPr>
                          </w:pPr>
                          <w:r w:rsidRPr="00B67660">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D0124E"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520668F" w14:textId="370B5497" w:rsidR="00B67660" w:rsidRPr="00B67660" w:rsidRDefault="00B67660" w:rsidP="00B67660">
                    <w:pPr>
                      <w:rPr>
                        <w:rFonts w:eastAsia="Calibri" w:cs="Calibri"/>
                        <w:noProof/>
                        <w:color w:val="FF0000"/>
                      </w:rPr>
                    </w:pPr>
                    <w:r w:rsidRPr="00B67660">
                      <w:rPr>
                        <w:rFonts w:eastAsia="Calibri" w:cs="Calibri"/>
                        <w:noProof/>
                        <w:color w:val="FF0000"/>
                      </w:rPr>
                      <w:t>OFFICIAL</w:t>
                    </w:r>
                  </w:p>
                </w:txbxContent>
              </v:textbox>
              <w10:wrap anchorx="page" anchory="page"/>
            </v:shape>
          </w:pict>
        </mc:Fallback>
      </mc:AlternateContent>
    </w:r>
    <w:r w:rsidR="00873AF3">
      <w:rPr>
        <w:rFonts w:asciiTheme="minorHAnsi" w:hAnsiTheme="minorHAnsi"/>
        <w:color w:val="808080"/>
      </w:rPr>
      <w:t xml:space="preserve"> </w:t>
    </w:r>
    <w:r w:rsidR="00D23D35">
      <w:rPr>
        <w:rFonts w:asciiTheme="minorHAnsi" w:hAnsiTheme="minorHAnsi"/>
        <w:color w:val="808080"/>
      </w:rPr>
      <w:t>Public Summary Document</w:t>
    </w:r>
    <w:r w:rsidR="00873AF3">
      <w:rPr>
        <w:rFonts w:asciiTheme="minorHAnsi" w:hAnsiTheme="minorHAnsi"/>
        <w:color w:val="808080"/>
      </w:rPr>
      <w:t xml:space="preserve"> </w:t>
    </w:r>
    <w:r w:rsidR="00DF3733" w:rsidRPr="00EA31F7">
      <w:rPr>
        <w:rFonts w:asciiTheme="minorHAnsi" w:hAnsiTheme="minorHAnsi"/>
        <w:color w:val="808080"/>
      </w:rPr>
      <w:t>– March 202</w:t>
    </w:r>
    <w:r w:rsidR="00DF3733">
      <w:rPr>
        <w:rFonts w:asciiTheme="minorHAnsi" w:hAnsiTheme="minorHAnsi"/>
        <w:color w:val="808080"/>
      </w:rPr>
      <w:t>5</w:t>
    </w:r>
    <w:r w:rsidR="00DF3733" w:rsidRPr="00EA31F7">
      <w:rPr>
        <w:rFonts w:asciiTheme="minorHAnsi" w:hAnsiTheme="minorHAnsi"/>
        <w:color w:val="808080"/>
      </w:rPr>
      <w:t xml:space="preserve"> PBAC Meeting</w:t>
    </w:r>
    <w:r w:rsidR="00DF3733">
      <w:rPr>
        <w:rFonts w:asciiTheme="minorHAnsi" w:hAnsiTheme="minorHAnsi"/>
        <w:color w:val="808080"/>
      </w:rPr>
      <w:t xml:space="preserve"> with November 2025 Addendum</w:t>
    </w:r>
  </w:p>
  <w:p w14:paraId="63B3DBAF" w14:textId="77777777" w:rsidR="00607839" w:rsidRDefault="006078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E155" w14:textId="3F9F5927" w:rsidR="00D63E16" w:rsidRDefault="00B67660">
    <w:pPr>
      <w:pStyle w:val="Header"/>
    </w:pPr>
    <w:r>
      <w:rPr>
        <w:noProof/>
      </w:rPr>
      <mc:AlternateContent>
        <mc:Choice Requires="wps">
          <w:drawing>
            <wp:anchor distT="0" distB="0" distL="0" distR="0" simplePos="0" relativeHeight="251658240" behindDoc="0" locked="0" layoutInCell="1" allowOverlap="1" wp14:anchorId="5F2C0894" wp14:editId="7EBF5DC8">
              <wp:simplePos x="635" y="635"/>
              <wp:positionH relativeFrom="page">
                <wp:align>center</wp:align>
              </wp:positionH>
              <wp:positionV relativeFrom="page">
                <wp:align>top</wp:align>
              </wp:positionV>
              <wp:extent cx="551815" cy="376555"/>
              <wp:effectExtent l="0" t="0" r="635" b="4445"/>
              <wp:wrapNone/>
              <wp:docPr id="17651781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6B82E6" w14:textId="26898015" w:rsidR="00B67660" w:rsidRPr="00B67660" w:rsidRDefault="00B67660" w:rsidP="00B67660">
                          <w:pPr>
                            <w:rPr>
                              <w:rFonts w:eastAsia="Calibri" w:cs="Calibri"/>
                              <w:noProof/>
                              <w:color w:val="FF0000"/>
                            </w:rPr>
                          </w:pPr>
                          <w:r w:rsidRPr="00B67660">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2C0894"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3B6B82E6" w14:textId="26898015" w:rsidR="00B67660" w:rsidRPr="00B67660" w:rsidRDefault="00B67660" w:rsidP="00B67660">
                    <w:pPr>
                      <w:rPr>
                        <w:rFonts w:eastAsia="Calibri" w:cs="Calibri"/>
                        <w:noProof/>
                        <w:color w:val="FF0000"/>
                      </w:rPr>
                    </w:pPr>
                    <w:r w:rsidRPr="00B67660">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2A90A0"/>
    <w:lvl w:ilvl="0">
      <w:start w:val="1"/>
      <w:numFmt w:val="bullet"/>
      <w:pStyle w:val="COMbodybulletlist"/>
      <w:lvlText w:val=""/>
      <w:lvlJc w:val="left"/>
      <w:pPr>
        <w:tabs>
          <w:tab w:val="num" w:pos="360"/>
        </w:tabs>
        <w:ind w:left="360" w:hanging="360"/>
      </w:pPr>
      <w:rPr>
        <w:rFonts w:ascii="Symbol" w:hAnsi="Symbol" w:hint="default"/>
      </w:rPr>
    </w:lvl>
  </w:abstractNum>
  <w:abstractNum w:abstractNumId="1" w15:restartNumberingAfterBreak="0">
    <w:nsid w:val="00E61E85"/>
    <w:multiLevelType w:val="hybridMultilevel"/>
    <w:tmpl w:val="236A10FE"/>
    <w:lvl w:ilvl="0" w:tplc="FFFFFFFF">
      <w:start w:val="1"/>
      <w:numFmt w:val="decimal"/>
      <w:lvlText w:val="(%1)"/>
      <w:lvlJc w:val="left"/>
      <w:pPr>
        <w:ind w:left="1080" w:hanging="720"/>
      </w:pPr>
      <w:rPr>
        <w:rFonts w:ascii="Arial Narrow" w:eastAsia="Times New Roman"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465964"/>
    <w:multiLevelType w:val="multilevel"/>
    <w:tmpl w:val="2A542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97931"/>
    <w:multiLevelType w:val="multilevel"/>
    <w:tmpl w:val="209438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879B4"/>
    <w:multiLevelType w:val="multilevel"/>
    <w:tmpl w:val="C97AD740"/>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6669CD"/>
    <w:multiLevelType w:val="multilevel"/>
    <w:tmpl w:val="6ACA3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EE7AEA"/>
    <w:multiLevelType w:val="hybridMultilevel"/>
    <w:tmpl w:val="444CAD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786170E"/>
    <w:multiLevelType w:val="multilevel"/>
    <w:tmpl w:val="327E7C5E"/>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BD0C62"/>
    <w:multiLevelType w:val="hybridMultilevel"/>
    <w:tmpl w:val="236A10FE"/>
    <w:lvl w:ilvl="0" w:tplc="FFFFFFFF">
      <w:start w:val="1"/>
      <w:numFmt w:val="decimal"/>
      <w:lvlText w:val="(%1)"/>
      <w:lvlJc w:val="left"/>
      <w:pPr>
        <w:ind w:left="1080" w:hanging="720"/>
      </w:pPr>
      <w:rPr>
        <w:rFonts w:ascii="Arial Narrow" w:eastAsia="Times New Roman"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8C0D71"/>
    <w:multiLevelType w:val="hybridMultilevel"/>
    <w:tmpl w:val="BC468348"/>
    <w:lvl w:ilvl="0" w:tplc="7B4C6F6A">
      <w:start w:val="19"/>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B219F8"/>
    <w:multiLevelType w:val="hybridMultilevel"/>
    <w:tmpl w:val="6CA0CEB4"/>
    <w:lvl w:ilvl="0" w:tplc="4F38898A">
      <w:start w:val="1"/>
      <w:numFmt w:val="bullet"/>
      <w:pStyle w:val="COMexecsummmainissue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1824DA"/>
    <w:multiLevelType w:val="hybridMultilevel"/>
    <w:tmpl w:val="236A10FE"/>
    <w:lvl w:ilvl="0" w:tplc="FFFFFFFF">
      <w:start w:val="1"/>
      <w:numFmt w:val="decimal"/>
      <w:lvlText w:val="(%1)"/>
      <w:lvlJc w:val="left"/>
      <w:pPr>
        <w:ind w:left="1080" w:hanging="720"/>
      </w:pPr>
      <w:rPr>
        <w:rFonts w:ascii="Arial Narrow" w:eastAsia="Times New Roman"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4305A4"/>
    <w:multiLevelType w:val="multilevel"/>
    <w:tmpl w:val="327E7C5E"/>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784E17"/>
    <w:multiLevelType w:val="hybridMultilevel"/>
    <w:tmpl w:val="B1188F8E"/>
    <w:lvl w:ilvl="0" w:tplc="E81AF5D4">
      <w:start w:val="1"/>
      <w:numFmt w:val="lowerLetter"/>
      <w:lvlText w:val="(%1)"/>
      <w:lvlJc w:val="left"/>
      <w:pPr>
        <w:ind w:left="720" w:hanging="360"/>
      </w:pPr>
      <w:rPr>
        <w:rFonts w:ascii="Arial Narrow" w:eastAsia="Calibri"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2B48B4"/>
    <w:multiLevelType w:val="multilevel"/>
    <w:tmpl w:val="327E7C5E"/>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8D55BF"/>
    <w:multiLevelType w:val="hybridMultilevel"/>
    <w:tmpl w:val="B3E606A0"/>
    <w:styleLink w:val="SectionBii2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8372E7"/>
    <w:multiLevelType w:val="hybridMultilevel"/>
    <w:tmpl w:val="B6F8D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9407FC"/>
    <w:multiLevelType w:val="hybridMultilevel"/>
    <w:tmpl w:val="A4167B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EC4EEB"/>
    <w:multiLevelType w:val="multilevel"/>
    <w:tmpl w:val="C97AD740"/>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D67A6"/>
    <w:multiLevelType w:val="hybridMultilevel"/>
    <w:tmpl w:val="FAB8EED8"/>
    <w:lvl w:ilvl="0" w:tplc="8708BECA">
      <w:start w:val="1"/>
      <w:numFmt w:val="bullet"/>
      <w:pStyle w:val="COMexecsumm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541D5"/>
    <w:multiLevelType w:val="multilevel"/>
    <w:tmpl w:val="C97AD740"/>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BE6778"/>
    <w:multiLevelType w:val="hybridMultilevel"/>
    <w:tmpl w:val="A4167B3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E77790"/>
    <w:multiLevelType w:val="multilevel"/>
    <w:tmpl w:val="C97AD740"/>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BE26CB"/>
    <w:multiLevelType w:val="multilevel"/>
    <w:tmpl w:val="C97AD740"/>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001598"/>
    <w:multiLevelType w:val="hybridMultilevel"/>
    <w:tmpl w:val="3B8864A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9BB17EB"/>
    <w:multiLevelType w:val="multilevel"/>
    <w:tmpl w:val="327E7C5E"/>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D721C7"/>
    <w:multiLevelType w:val="hybridMultilevel"/>
    <w:tmpl w:val="F5B0F7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5717911"/>
    <w:multiLevelType w:val="multilevel"/>
    <w:tmpl w:val="327E7C5E"/>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9E70E8"/>
    <w:multiLevelType w:val="multilevel"/>
    <w:tmpl w:val="327E7C5E"/>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D34A77"/>
    <w:multiLevelType w:val="hybridMultilevel"/>
    <w:tmpl w:val="0F929E00"/>
    <w:lvl w:ilvl="0" w:tplc="0C090001">
      <w:start w:val="1"/>
      <w:numFmt w:val="bullet"/>
      <w:lvlText w:val=""/>
      <w:lvlJc w:val="left"/>
      <w:pPr>
        <w:ind w:left="709" w:hanging="360"/>
      </w:pPr>
      <w:rPr>
        <w:rFonts w:ascii="Symbol" w:hAnsi="Symbo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31" w15:restartNumberingAfterBreak="0">
    <w:nsid w:val="68763651"/>
    <w:multiLevelType w:val="hybridMultilevel"/>
    <w:tmpl w:val="1BF4C0CE"/>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2" w15:restartNumberingAfterBreak="0">
    <w:nsid w:val="6AEB74DD"/>
    <w:multiLevelType w:val="hybridMultilevel"/>
    <w:tmpl w:val="B1188F8E"/>
    <w:lvl w:ilvl="0" w:tplc="FFFFFFFF">
      <w:start w:val="1"/>
      <w:numFmt w:val="lowerLetter"/>
      <w:lvlText w:val="(%1)"/>
      <w:lvlJc w:val="left"/>
      <w:pPr>
        <w:ind w:left="720" w:hanging="360"/>
      </w:pPr>
      <w:rPr>
        <w:rFonts w:ascii="Arial Narrow" w:eastAsia="Calibri"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1405B5"/>
    <w:multiLevelType w:val="multilevel"/>
    <w:tmpl w:val="327E7C5E"/>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3165A4"/>
    <w:multiLevelType w:val="multilevel"/>
    <w:tmpl w:val="327E7C5E"/>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4D033C"/>
    <w:multiLevelType w:val="multilevel"/>
    <w:tmpl w:val="3D9AA748"/>
    <w:lvl w:ilvl="0">
      <w:start w:val="1"/>
      <w:numFmt w:val="decimal"/>
      <w:pStyle w:val="COMH1-numbered"/>
      <w:lvlText w:val="%1"/>
      <w:lvlJc w:val="left"/>
      <w:pPr>
        <w:ind w:left="720" w:hanging="720"/>
      </w:pPr>
      <w:rPr>
        <w:rFonts w:hint="default"/>
        <w:b/>
      </w:rPr>
    </w:lvl>
    <w:lvl w:ilvl="1">
      <w:start w:val="1"/>
      <w:numFmt w:val="decimal"/>
      <w:pStyle w:val="COMexecsummnumbered"/>
      <w:lvlText w:val="%1.%2"/>
      <w:lvlJc w:val="left"/>
      <w:pPr>
        <w:ind w:left="862"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320C2B"/>
    <w:multiLevelType w:val="hybridMultilevel"/>
    <w:tmpl w:val="A4167B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6186631">
    <w:abstractNumId w:val="35"/>
  </w:num>
  <w:num w:numId="2" w16cid:durableId="917793048">
    <w:abstractNumId w:val="19"/>
  </w:num>
  <w:num w:numId="3" w16cid:durableId="1048839230">
    <w:abstractNumId w:val="35"/>
  </w:num>
  <w:num w:numId="4" w16cid:durableId="521091235">
    <w:abstractNumId w:val="0"/>
  </w:num>
  <w:num w:numId="5" w16cid:durableId="2123836775">
    <w:abstractNumId w:val="20"/>
  </w:num>
  <w:num w:numId="6" w16cid:durableId="690643893">
    <w:abstractNumId w:val="10"/>
  </w:num>
  <w:num w:numId="7" w16cid:durableId="1052464435">
    <w:abstractNumId w:val="16"/>
  </w:num>
  <w:num w:numId="8" w16cid:durableId="1762097708">
    <w:abstractNumId w:val="15"/>
  </w:num>
  <w:num w:numId="9" w16cid:durableId="736246909">
    <w:abstractNumId w:val="25"/>
  </w:num>
  <w:num w:numId="10" w16cid:durableId="772212157">
    <w:abstractNumId w:val="6"/>
  </w:num>
  <w:num w:numId="11" w16cid:durableId="1388841101">
    <w:abstractNumId w:val="9"/>
  </w:num>
  <w:num w:numId="12" w16cid:durableId="1714816249">
    <w:abstractNumId w:val="30"/>
  </w:num>
  <w:num w:numId="13" w16cid:durableId="488207436">
    <w:abstractNumId w:val="31"/>
  </w:num>
  <w:num w:numId="14" w16cid:durableId="1521578885">
    <w:abstractNumId w:val="28"/>
  </w:num>
  <w:num w:numId="15" w16cid:durableId="227427638">
    <w:abstractNumId w:val="29"/>
  </w:num>
  <w:num w:numId="16" w16cid:durableId="132723699">
    <w:abstractNumId w:val="14"/>
  </w:num>
  <w:num w:numId="17" w16cid:durableId="1245798272">
    <w:abstractNumId w:val="34"/>
  </w:num>
  <w:num w:numId="18" w16cid:durableId="905534676">
    <w:abstractNumId w:val="33"/>
  </w:num>
  <w:num w:numId="19" w16cid:durableId="590356705">
    <w:abstractNumId w:val="7"/>
  </w:num>
  <w:num w:numId="20" w16cid:durableId="1883981607">
    <w:abstractNumId w:val="26"/>
  </w:num>
  <w:num w:numId="21" w16cid:durableId="693580123">
    <w:abstractNumId w:val="12"/>
  </w:num>
  <w:num w:numId="22" w16cid:durableId="949777541">
    <w:abstractNumId w:val="35"/>
  </w:num>
  <w:num w:numId="23" w16cid:durableId="1008681907">
    <w:abstractNumId w:val="27"/>
  </w:num>
  <w:num w:numId="24" w16cid:durableId="343626899">
    <w:abstractNumId w:val="23"/>
  </w:num>
  <w:num w:numId="25" w16cid:durableId="1642347301">
    <w:abstractNumId w:val="21"/>
  </w:num>
  <w:num w:numId="26" w16cid:durableId="1514880669">
    <w:abstractNumId w:val="24"/>
  </w:num>
  <w:num w:numId="27" w16cid:durableId="833885136">
    <w:abstractNumId w:val="18"/>
  </w:num>
  <w:num w:numId="28" w16cid:durableId="423384109">
    <w:abstractNumId w:val="4"/>
  </w:num>
  <w:num w:numId="29" w16cid:durableId="806438568">
    <w:abstractNumId w:val="35"/>
  </w:num>
  <w:num w:numId="30" w16cid:durableId="1324510393">
    <w:abstractNumId w:val="35"/>
  </w:num>
  <w:num w:numId="31" w16cid:durableId="1987664351">
    <w:abstractNumId w:val="3"/>
  </w:num>
  <w:num w:numId="32" w16cid:durableId="2076076292">
    <w:abstractNumId w:val="13"/>
  </w:num>
  <w:num w:numId="33" w16cid:durableId="119543201">
    <w:abstractNumId w:val="11"/>
  </w:num>
  <w:num w:numId="34" w16cid:durableId="827592517">
    <w:abstractNumId w:val="8"/>
  </w:num>
  <w:num w:numId="35" w16cid:durableId="1200253">
    <w:abstractNumId w:val="1"/>
  </w:num>
  <w:num w:numId="36" w16cid:durableId="269122096">
    <w:abstractNumId w:val="22"/>
  </w:num>
  <w:num w:numId="37" w16cid:durableId="1905214561">
    <w:abstractNumId w:val="36"/>
  </w:num>
  <w:num w:numId="38" w16cid:durableId="2010909260">
    <w:abstractNumId w:val="17"/>
  </w:num>
  <w:num w:numId="39" w16cid:durableId="189610061">
    <w:abstractNumId w:val="32"/>
  </w:num>
  <w:num w:numId="40" w16cid:durableId="404767025">
    <w:abstractNumId w:val="5"/>
    <w:lvlOverride w:ilvl="0">
      <w:startOverride w:val="1"/>
    </w:lvlOverride>
  </w:num>
  <w:num w:numId="41" w16cid:durableId="1674527104">
    <w:abstractNumId w:val="2"/>
    <w:lvlOverride w:ilvl="0">
      <w:startOverride w:val="2"/>
    </w:lvlOverride>
  </w:num>
  <w:num w:numId="42" w16cid:durableId="670451106">
    <w:abstractNumId w:val="35"/>
  </w:num>
  <w:num w:numId="43" w16cid:durableId="1122456261">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48A"/>
    <w:rsid w:val="0000068C"/>
    <w:rsid w:val="00000790"/>
    <w:rsid w:val="00000C7E"/>
    <w:rsid w:val="00000CAF"/>
    <w:rsid w:val="00000D2B"/>
    <w:rsid w:val="0000110B"/>
    <w:rsid w:val="00001148"/>
    <w:rsid w:val="00001399"/>
    <w:rsid w:val="00001574"/>
    <w:rsid w:val="00001B2E"/>
    <w:rsid w:val="00001B95"/>
    <w:rsid w:val="00001F09"/>
    <w:rsid w:val="0000251F"/>
    <w:rsid w:val="00002903"/>
    <w:rsid w:val="000029E3"/>
    <w:rsid w:val="0000303C"/>
    <w:rsid w:val="0000341C"/>
    <w:rsid w:val="00003499"/>
    <w:rsid w:val="000039B7"/>
    <w:rsid w:val="00003BB4"/>
    <w:rsid w:val="00003F38"/>
    <w:rsid w:val="000041C4"/>
    <w:rsid w:val="00004785"/>
    <w:rsid w:val="00004D24"/>
    <w:rsid w:val="00005051"/>
    <w:rsid w:val="000056B9"/>
    <w:rsid w:val="000058CF"/>
    <w:rsid w:val="00005EA1"/>
    <w:rsid w:val="00006150"/>
    <w:rsid w:val="0000639A"/>
    <w:rsid w:val="0000673F"/>
    <w:rsid w:val="00006831"/>
    <w:rsid w:val="00006F9D"/>
    <w:rsid w:val="000073D7"/>
    <w:rsid w:val="00010B77"/>
    <w:rsid w:val="00010CB2"/>
    <w:rsid w:val="00011C93"/>
    <w:rsid w:val="000122F6"/>
    <w:rsid w:val="00013247"/>
    <w:rsid w:val="000133E8"/>
    <w:rsid w:val="00013FD3"/>
    <w:rsid w:val="00014624"/>
    <w:rsid w:val="00015886"/>
    <w:rsid w:val="000159C2"/>
    <w:rsid w:val="00015DD1"/>
    <w:rsid w:val="00015F3C"/>
    <w:rsid w:val="000162EF"/>
    <w:rsid w:val="000164BE"/>
    <w:rsid w:val="000169A3"/>
    <w:rsid w:val="00016E37"/>
    <w:rsid w:val="0001705A"/>
    <w:rsid w:val="0001726F"/>
    <w:rsid w:val="0002017F"/>
    <w:rsid w:val="000207C9"/>
    <w:rsid w:val="000209DB"/>
    <w:rsid w:val="00021065"/>
    <w:rsid w:val="0002109F"/>
    <w:rsid w:val="0002128A"/>
    <w:rsid w:val="000216FD"/>
    <w:rsid w:val="00021E90"/>
    <w:rsid w:val="0002225B"/>
    <w:rsid w:val="0002225F"/>
    <w:rsid w:val="0002238C"/>
    <w:rsid w:val="00022BBB"/>
    <w:rsid w:val="00022D3F"/>
    <w:rsid w:val="00023393"/>
    <w:rsid w:val="00023763"/>
    <w:rsid w:val="000237C6"/>
    <w:rsid w:val="00023891"/>
    <w:rsid w:val="00024EA2"/>
    <w:rsid w:val="00024EB5"/>
    <w:rsid w:val="00024F24"/>
    <w:rsid w:val="00024FD8"/>
    <w:rsid w:val="00025204"/>
    <w:rsid w:val="00026162"/>
    <w:rsid w:val="00026E26"/>
    <w:rsid w:val="000274B8"/>
    <w:rsid w:val="0002784B"/>
    <w:rsid w:val="00027A1B"/>
    <w:rsid w:val="00027A85"/>
    <w:rsid w:val="0003075F"/>
    <w:rsid w:val="00030807"/>
    <w:rsid w:val="00030FFF"/>
    <w:rsid w:val="00031284"/>
    <w:rsid w:val="000313BA"/>
    <w:rsid w:val="00031B09"/>
    <w:rsid w:val="000322D4"/>
    <w:rsid w:val="00032863"/>
    <w:rsid w:val="00032CFF"/>
    <w:rsid w:val="00032E4B"/>
    <w:rsid w:val="0003305E"/>
    <w:rsid w:val="000330A5"/>
    <w:rsid w:val="00033162"/>
    <w:rsid w:val="00033863"/>
    <w:rsid w:val="000339F6"/>
    <w:rsid w:val="00033B79"/>
    <w:rsid w:val="00034514"/>
    <w:rsid w:val="0003465B"/>
    <w:rsid w:val="000346D6"/>
    <w:rsid w:val="000347DE"/>
    <w:rsid w:val="000349FD"/>
    <w:rsid w:val="00034C61"/>
    <w:rsid w:val="0003537A"/>
    <w:rsid w:val="000353D7"/>
    <w:rsid w:val="000355CC"/>
    <w:rsid w:val="0003576F"/>
    <w:rsid w:val="00035A20"/>
    <w:rsid w:val="00035DC0"/>
    <w:rsid w:val="00035F9F"/>
    <w:rsid w:val="0003666C"/>
    <w:rsid w:val="0003671F"/>
    <w:rsid w:val="00036829"/>
    <w:rsid w:val="00036B74"/>
    <w:rsid w:val="0003712A"/>
    <w:rsid w:val="000376A8"/>
    <w:rsid w:val="00037820"/>
    <w:rsid w:val="00037BAC"/>
    <w:rsid w:val="00037D98"/>
    <w:rsid w:val="00040029"/>
    <w:rsid w:val="00040895"/>
    <w:rsid w:val="00040964"/>
    <w:rsid w:val="0004096A"/>
    <w:rsid w:val="00040C46"/>
    <w:rsid w:val="00040D65"/>
    <w:rsid w:val="000410A0"/>
    <w:rsid w:val="0004112B"/>
    <w:rsid w:val="000414AF"/>
    <w:rsid w:val="00041950"/>
    <w:rsid w:val="00041996"/>
    <w:rsid w:val="00041E28"/>
    <w:rsid w:val="0004250B"/>
    <w:rsid w:val="000425FF"/>
    <w:rsid w:val="000430E6"/>
    <w:rsid w:val="00043485"/>
    <w:rsid w:val="00043511"/>
    <w:rsid w:val="000435EE"/>
    <w:rsid w:val="000437D6"/>
    <w:rsid w:val="00043C37"/>
    <w:rsid w:val="000441EF"/>
    <w:rsid w:val="00044A0D"/>
    <w:rsid w:val="00044B34"/>
    <w:rsid w:val="00044E1C"/>
    <w:rsid w:val="00044F8D"/>
    <w:rsid w:val="00045017"/>
    <w:rsid w:val="00045A2B"/>
    <w:rsid w:val="00045D18"/>
    <w:rsid w:val="00045FD6"/>
    <w:rsid w:val="00046393"/>
    <w:rsid w:val="00046687"/>
    <w:rsid w:val="000468C4"/>
    <w:rsid w:val="0004698F"/>
    <w:rsid w:val="0004699D"/>
    <w:rsid w:val="00046CA0"/>
    <w:rsid w:val="00046D64"/>
    <w:rsid w:val="000472A2"/>
    <w:rsid w:val="00050398"/>
    <w:rsid w:val="000508C2"/>
    <w:rsid w:val="00050D53"/>
    <w:rsid w:val="0005256F"/>
    <w:rsid w:val="00052A96"/>
    <w:rsid w:val="00052C3E"/>
    <w:rsid w:val="00052EDC"/>
    <w:rsid w:val="000539D0"/>
    <w:rsid w:val="00053CE4"/>
    <w:rsid w:val="00054621"/>
    <w:rsid w:val="000546D7"/>
    <w:rsid w:val="00054A8D"/>
    <w:rsid w:val="00055064"/>
    <w:rsid w:val="00055446"/>
    <w:rsid w:val="0005547A"/>
    <w:rsid w:val="00055489"/>
    <w:rsid w:val="000557A4"/>
    <w:rsid w:val="00055D2C"/>
    <w:rsid w:val="00056D2A"/>
    <w:rsid w:val="00056ECF"/>
    <w:rsid w:val="00057547"/>
    <w:rsid w:val="00057A41"/>
    <w:rsid w:val="00057C20"/>
    <w:rsid w:val="00057E42"/>
    <w:rsid w:val="0006012E"/>
    <w:rsid w:val="000604DF"/>
    <w:rsid w:val="0006091B"/>
    <w:rsid w:val="00060C83"/>
    <w:rsid w:val="00061218"/>
    <w:rsid w:val="000612DC"/>
    <w:rsid w:val="00061AF4"/>
    <w:rsid w:val="00061C76"/>
    <w:rsid w:val="00062324"/>
    <w:rsid w:val="0006233E"/>
    <w:rsid w:val="00062FB6"/>
    <w:rsid w:val="00063665"/>
    <w:rsid w:val="0006378F"/>
    <w:rsid w:val="00064BBF"/>
    <w:rsid w:val="000653B5"/>
    <w:rsid w:val="000659D2"/>
    <w:rsid w:val="00065AE1"/>
    <w:rsid w:val="00065CEB"/>
    <w:rsid w:val="000662E6"/>
    <w:rsid w:val="00066360"/>
    <w:rsid w:val="00066626"/>
    <w:rsid w:val="00066648"/>
    <w:rsid w:val="00066AF8"/>
    <w:rsid w:val="00066B5F"/>
    <w:rsid w:val="00066B6A"/>
    <w:rsid w:val="00066CA4"/>
    <w:rsid w:val="00066EC8"/>
    <w:rsid w:val="00067468"/>
    <w:rsid w:val="00070381"/>
    <w:rsid w:val="00070E41"/>
    <w:rsid w:val="00071248"/>
    <w:rsid w:val="0007160B"/>
    <w:rsid w:val="00071EBE"/>
    <w:rsid w:val="00071F0B"/>
    <w:rsid w:val="00072014"/>
    <w:rsid w:val="000720B9"/>
    <w:rsid w:val="00072380"/>
    <w:rsid w:val="00072AE3"/>
    <w:rsid w:val="00073052"/>
    <w:rsid w:val="000730BB"/>
    <w:rsid w:val="00073671"/>
    <w:rsid w:val="000737F7"/>
    <w:rsid w:val="00073B62"/>
    <w:rsid w:val="00073E8B"/>
    <w:rsid w:val="00074307"/>
    <w:rsid w:val="00074443"/>
    <w:rsid w:val="0007481E"/>
    <w:rsid w:val="00074E71"/>
    <w:rsid w:val="0007519D"/>
    <w:rsid w:val="000755C2"/>
    <w:rsid w:val="00075E9A"/>
    <w:rsid w:val="00075F9D"/>
    <w:rsid w:val="0007672F"/>
    <w:rsid w:val="00076B54"/>
    <w:rsid w:val="00076B78"/>
    <w:rsid w:val="000774F0"/>
    <w:rsid w:val="00077937"/>
    <w:rsid w:val="00080909"/>
    <w:rsid w:val="0008097F"/>
    <w:rsid w:val="00080D97"/>
    <w:rsid w:val="00080F7D"/>
    <w:rsid w:val="000812CA"/>
    <w:rsid w:val="00081C07"/>
    <w:rsid w:val="00081E63"/>
    <w:rsid w:val="0008258D"/>
    <w:rsid w:val="000825A4"/>
    <w:rsid w:val="000827B8"/>
    <w:rsid w:val="000828C9"/>
    <w:rsid w:val="00082EF0"/>
    <w:rsid w:val="00083888"/>
    <w:rsid w:val="00083E99"/>
    <w:rsid w:val="00083EF5"/>
    <w:rsid w:val="0008453F"/>
    <w:rsid w:val="0008475E"/>
    <w:rsid w:val="00084B11"/>
    <w:rsid w:val="00084BF3"/>
    <w:rsid w:val="00084FA8"/>
    <w:rsid w:val="00084FC1"/>
    <w:rsid w:val="0008529E"/>
    <w:rsid w:val="000856C5"/>
    <w:rsid w:val="000857FE"/>
    <w:rsid w:val="00085C31"/>
    <w:rsid w:val="0008695A"/>
    <w:rsid w:val="00086AD2"/>
    <w:rsid w:val="00086C9C"/>
    <w:rsid w:val="000871E1"/>
    <w:rsid w:val="00087223"/>
    <w:rsid w:val="000875F6"/>
    <w:rsid w:val="00087679"/>
    <w:rsid w:val="00087BF7"/>
    <w:rsid w:val="00087D8F"/>
    <w:rsid w:val="000902D9"/>
    <w:rsid w:val="00090699"/>
    <w:rsid w:val="0009087F"/>
    <w:rsid w:val="00090B87"/>
    <w:rsid w:val="00090C7E"/>
    <w:rsid w:val="000911AC"/>
    <w:rsid w:val="000911BA"/>
    <w:rsid w:val="00091885"/>
    <w:rsid w:val="00091A12"/>
    <w:rsid w:val="0009214E"/>
    <w:rsid w:val="00092600"/>
    <w:rsid w:val="0009262B"/>
    <w:rsid w:val="00092672"/>
    <w:rsid w:val="00093310"/>
    <w:rsid w:val="00093636"/>
    <w:rsid w:val="000939F8"/>
    <w:rsid w:val="000940D8"/>
    <w:rsid w:val="0009445C"/>
    <w:rsid w:val="000947CA"/>
    <w:rsid w:val="00094D87"/>
    <w:rsid w:val="00094E06"/>
    <w:rsid w:val="00094E2F"/>
    <w:rsid w:val="00094EA6"/>
    <w:rsid w:val="00094EBC"/>
    <w:rsid w:val="00094F4F"/>
    <w:rsid w:val="00095200"/>
    <w:rsid w:val="00095EF4"/>
    <w:rsid w:val="00095FE5"/>
    <w:rsid w:val="00096284"/>
    <w:rsid w:val="00096884"/>
    <w:rsid w:val="00096B72"/>
    <w:rsid w:val="000971A1"/>
    <w:rsid w:val="00097653"/>
    <w:rsid w:val="000A073A"/>
    <w:rsid w:val="000A0B3C"/>
    <w:rsid w:val="000A0FD0"/>
    <w:rsid w:val="000A10EC"/>
    <w:rsid w:val="000A1354"/>
    <w:rsid w:val="000A1844"/>
    <w:rsid w:val="000A18A3"/>
    <w:rsid w:val="000A1BC0"/>
    <w:rsid w:val="000A20EE"/>
    <w:rsid w:val="000A20FE"/>
    <w:rsid w:val="000A215C"/>
    <w:rsid w:val="000A22EA"/>
    <w:rsid w:val="000A2919"/>
    <w:rsid w:val="000A2A45"/>
    <w:rsid w:val="000A2F9E"/>
    <w:rsid w:val="000A382D"/>
    <w:rsid w:val="000A3A46"/>
    <w:rsid w:val="000A3E47"/>
    <w:rsid w:val="000A43A7"/>
    <w:rsid w:val="000A441F"/>
    <w:rsid w:val="000A49A8"/>
    <w:rsid w:val="000A4A81"/>
    <w:rsid w:val="000A4A9A"/>
    <w:rsid w:val="000A4F64"/>
    <w:rsid w:val="000A4F93"/>
    <w:rsid w:val="000A522B"/>
    <w:rsid w:val="000A5F8E"/>
    <w:rsid w:val="000A6039"/>
    <w:rsid w:val="000A6313"/>
    <w:rsid w:val="000A6630"/>
    <w:rsid w:val="000A6670"/>
    <w:rsid w:val="000A66D4"/>
    <w:rsid w:val="000A6813"/>
    <w:rsid w:val="000A68CD"/>
    <w:rsid w:val="000A69AC"/>
    <w:rsid w:val="000A6DD6"/>
    <w:rsid w:val="000A7453"/>
    <w:rsid w:val="000A7B45"/>
    <w:rsid w:val="000A7D08"/>
    <w:rsid w:val="000B0121"/>
    <w:rsid w:val="000B0245"/>
    <w:rsid w:val="000B0289"/>
    <w:rsid w:val="000B03CD"/>
    <w:rsid w:val="000B03E3"/>
    <w:rsid w:val="000B0670"/>
    <w:rsid w:val="000B078F"/>
    <w:rsid w:val="000B0B91"/>
    <w:rsid w:val="000B0C4E"/>
    <w:rsid w:val="000B0D75"/>
    <w:rsid w:val="000B0E75"/>
    <w:rsid w:val="000B1044"/>
    <w:rsid w:val="000B1585"/>
    <w:rsid w:val="000B1625"/>
    <w:rsid w:val="000B1C9F"/>
    <w:rsid w:val="000B1CBE"/>
    <w:rsid w:val="000B205B"/>
    <w:rsid w:val="000B219A"/>
    <w:rsid w:val="000B2650"/>
    <w:rsid w:val="000B2658"/>
    <w:rsid w:val="000B2C4D"/>
    <w:rsid w:val="000B2DCB"/>
    <w:rsid w:val="000B2E95"/>
    <w:rsid w:val="000B2F9B"/>
    <w:rsid w:val="000B3034"/>
    <w:rsid w:val="000B31E5"/>
    <w:rsid w:val="000B323E"/>
    <w:rsid w:val="000B3A8A"/>
    <w:rsid w:val="000B3FAB"/>
    <w:rsid w:val="000B4518"/>
    <w:rsid w:val="000B5998"/>
    <w:rsid w:val="000B5CE0"/>
    <w:rsid w:val="000B60C0"/>
    <w:rsid w:val="000B61A2"/>
    <w:rsid w:val="000B61B8"/>
    <w:rsid w:val="000B6302"/>
    <w:rsid w:val="000B6552"/>
    <w:rsid w:val="000B66F3"/>
    <w:rsid w:val="000B68EF"/>
    <w:rsid w:val="000B6BC0"/>
    <w:rsid w:val="000B6CAC"/>
    <w:rsid w:val="000B70E4"/>
    <w:rsid w:val="000B7612"/>
    <w:rsid w:val="000B78AE"/>
    <w:rsid w:val="000B7C5A"/>
    <w:rsid w:val="000B7D32"/>
    <w:rsid w:val="000B7D67"/>
    <w:rsid w:val="000B7D6F"/>
    <w:rsid w:val="000B7D89"/>
    <w:rsid w:val="000C04D9"/>
    <w:rsid w:val="000C04E6"/>
    <w:rsid w:val="000C0682"/>
    <w:rsid w:val="000C0821"/>
    <w:rsid w:val="000C095B"/>
    <w:rsid w:val="000C1DA9"/>
    <w:rsid w:val="000C2632"/>
    <w:rsid w:val="000C27E9"/>
    <w:rsid w:val="000C2D9E"/>
    <w:rsid w:val="000C3833"/>
    <w:rsid w:val="000C38A8"/>
    <w:rsid w:val="000C3C07"/>
    <w:rsid w:val="000C3DF9"/>
    <w:rsid w:val="000C3E3E"/>
    <w:rsid w:val="000C42A6"/>
    <w:rsid w:val="000C439E"/>
    <w:rsid w:val="000C455A"/>
    <w:rsid w:val="000C470C"/>
    <w:rsid w:val="000C4A18"/>
    <w:rsid w:val="000C4A5E"/>
    <w:rsid w:val="000C4CF2"/>
    <w:rsid w:val="000C4DA0"/>
    <w:rsid w:val="000C4DC7"/>
    <w:rsid w:val="000C51AB"/>
    <w:rsid w:val="000C53AC"/>
    <w:rsid w:val="000C5473"/>
    <w:rsid w:val="000C5D09"/>
    <w:rsid w:val="000C5D1B"/>
    <w:rsid w:val="000C5F82"/>
    <w:rsid w:val="000C6073"/>
    <w:rsid w:val="000C62DF"/>
    <w:rsid w:val="000C6488"/>
    <w:rsid w:val="000C6713"/>
    <w:rsid w:val="000C68E6"/>
    <w:rsid w:val="000C6981"/>
    <w:rsid w:val="000C6D6D"/>
    <w:rsid w:val="000C6DEA"/>
    <w:rsid w:val="000C6EF5"/>
    <w:rsid w:val="000C7021"/>
    <w:rsid w:val="000C73EA"/>
    <w:rsid w:val="000C7517"/>
    <w:rsid w:val="000C7578"/>
    <w:rsid w:val="000C795D"/>
    <w:rsid w:val="000D00F2"/>
    <w:rsid w:val="000D0473"/>
    <w:rsid w:val="000D0920"/>
    <w:rsid w:val="000D094E"/>
    <w:rsid w:val="000D0B86"/>
    <w:rsid w:val="000D0D9B"/>
    <w:rsid w:val="000D1744"/>
    <w:rsid w:val="000D192E"/>
    <w:rsid w:val="000D1BFC"/>
    <w:rsid w:val="000D1D5D"/>
    <w:rsid w:val="000D281A"/>
    <w:rsid w:val="000D2848"/>
    <w:rsid w:val="000D28B9"/>
    <w:rsid w:val="000D307E"/>
    <w:rsid w:val="000D326A"/>
    <w:rsid w:val="000D376A"/>
    <w:rsid w:val="000D3B97"/>
    <w:rsid w:val="000D466E"/>
    <w:rsid w:val="000D508D"/>
    <w:rsid w:val="000D51FB"/>
    <w:rsid w:val="000D5345"/>
    <w:rsid w:val="000D592A"/>
    <w:rsid w:val="000D5BBF"/>
    <w:rsid w:val="000D5C58"/>
    <w:rsid w:val="000D60AB"/>
    <w:rsid w:val="000D62AF"/>
    <w:rsid w:val="000D6E91"/>
    <w:rsid w:val="000D6EA8"/>
    <w:rsid w:val="000D7026"/>
    <w:rsid w:val="000D7093"/>
    <w:rsid w:val="000D718C"/>
    <w:rsid w:val="000D731C"/>
    <w:rsid w:val="000D7A6A"/>
    <w:rsid w:val="000D7BA9"/>
    <w:rsid w:val="000D7D5F"/>
    <w:rsid w:val="000D7DCE"/>
    <w:rsid w:val="000D7E88"/>
    <w:rsid w:val="000E0249"/>
    <w:rsid w:val="000E034A"/>
    <w:rsid w:val="000E0640"/>
    <w:rsid w:val="000E0922"/>
    <w:rsid w:val="000E09F2"/>
    <w:rsid w:val="000E0BDB"/>
    <w:rsid w:val="000E1292"/>
    <w:rsid w:val="000E135D"/>
    <w:rsid w:val="000E189D"/>
    <w:rsid w:val="000E21A4"/>
    <w:rsid w:val="000E2AF1"/>
    <w:rsid w:val="000E2B90"/>
    <w:rsid w:val="000E3D0A"/>
    <w:rsid w:val="000E3DD9"/>
    <w:rsid w:val="000E4A64"/>
    <w:rsid w:val="000E4EB3"/>
    <w:rsid w:val="000E4EEB"/>
    <w:rsid w:val="000E5188"/>
    <w:rsid w:val="000E5905"/>
    <w:rsid w:val="000E5D56"/>
    <w:rsid w:val="000E61AA"/>
    <w:rsid w:val="000E68B7"/>
    <w:rsid w:val="000E6BB4"/>
    <w:rsid w:val="000E7AB2"/>
    <w:rsid w:val="000E7AC4"/>
    <w:rsid w:val="000E7D34"/>
    <w:rsid w:val="000E7ECD"/>
    <w:rsid w:val="000F00BA"/>
    <w:rsid w:val="000F162A"/>
    <w:rsid w:val="000F1863"/>
    <w:rsid w:val="000F1886"/>
    <w:rsid w:val="000F1990"/>
    <w:rsid w:val="000F21F6"/>
    <w:rsid w:val="000F316A"/>
    <w:rsid w:val="000F37F5"/>
    <w:rsid w:val="000F38D0"/>
    <w:rsid w:val="000F3BA0"/>
    <w:rsid w:val="000F3C6B"/>
    <w:rsid w:val="000F3C74"/>
    <w:rsid w:val="000F3F1D"/>
    <w:rsid w:val="000F4340"/>
    <w:rsid w:val="000F4694"/>
    <w:rsid w:val="000F4BB8"/>
    <w:rsid w:val="000F4FA9"/>
    <w:rsid w:val="000F53FB"/>
    <w:rsid w:val="000F561A"/>
    <w:rsid w:val="000F5B9C"/>
    <w:rsid w:val="000F63AD"/>
    <w:rsid w:val="000F648E"/>
    <w:rsid w:val="000F66C1"/>
    <w:rsid w:val="000F66E8"/>
    <w:rsid w:val="000F7127"/>
    <w:rsid w:val="000F7B54"/>
    <w:rsid w:val="00100030"/>
    <w:rsid w:val="001000B3"/>
    <w:rsid w:val="00100C36"/>
    <w:rsid w:val="00100CDB"/>
    <w:rsid w:val="00100F8A"/>
    <w:rsid w:val="00101688"/>
    <w:rsid w:val="001019AB"/>
    <w:rsid w:val="001019AF"/>
    <w:rsid w:val="0010277B"/>
    <w:rsid w:val="001028C7"/>
    <w:rsid w:val="00102A08"/>
    <w:rsid w:val="00102A57"/>
    <w:rsid w:val="00102C1A"/>
    <w:rsid w:val="00102FFE"/>
    <w:rsid w:val="00103344"/>
    <w:rsid w:val="0010350C"/>
    <w:rsid w:val="0010386D"/>
    <w:rsid w:val="00103B7E"/>
    <w:rsid w:val="00103F95"/>
    <w:rsid w:val="001040BC"/>
    <w:rsid w:val="001041BD"/>
    <w:rsid w:val="00104304"/>
    <w:rsid w:val="0010452E"/>
    <w:rsid w:val="001045AC"/>
    <w:rsid w:val="001048A7"/>
    <w:rsid w:val="00104C57"/>
    <w:rsid w:val="00104EF6"/>
    <w:rsid w:val="001055B9"/>
    <w:rsid w:val="00105970"/>
    <w:rsid w:val="00105AE2"/>
    <w:rsid w:val="00105DB2"/>
    <w:rsid w:val="00105F65"/>
    <w:rsid w:val="0010603C"/>
    <w:rsid w:val="001060C6"/>
    <w:rsid w:val="00106560"/>
    <w:rsid w:val="00106B80"/>
    <w:rsid w:val="00107049"/>
    <w:rsid w:val="0011032E"/>
    <w:rsid w:val="001109DE"/>
    <w:rsid w:val="00110EB2"/>
    <w:rsid w:val="00110F31"/>
    <w:rsid w:val="0011125B"/>
    <w:rsid w:val="00111B74"/>
    <w:rsid w:val="00111EFF"/>
    <w:rsid w:val="00112770"/>
    <w:rsid w:val="00112B87"/>
    <w:rsid w:val="00112DC9"/>
    <w:rsid w:val="00112F49"/>
    <w:rsid w:val="00112F84"/>
    <w:rsid w:val="00112F94"/>
    <w:rsid w:val="001132A3"/>
    <w:rsid w:val="001132E6"/>
    <w:rsid w:val="0011348B"/>
    <w:rsid w:val="00113E5A"/>
    <w:rsid w:val="0011400D"/>
    <w:rsid w:val="001142A7"/>
    <w:rsid w:val="00114346"/>
    <w:rsid w:val="00114653"/>
    <w:rsid w:val="00115982"/>
    <w:rsid w:val="00115B01"/>
    <w:rsid w:val="00115C0E"/>
    <w:rsid w:val="00115FE1"/>
    <w:rsid w:val="0011612B"/>
    <w:rsid w:val="00116602"/>
    <w:rsid w:val="00116794"/>
    <w:rsid w:val="00116C3C"/>
    <w:rsid w:val="00116C53"/>
    <w:rsid w:val="00116F9F"/>
    <w:rsid w:val="0011713C"/>
    <w:rsid w:val="00117292"/>
    <w:rsid w:val="001175AC"/>
    <w:rsid w:val="001175EE"/>
    <w:rsid w:val="00117DF3"/>
    <w:rsid w:val="00117E58"/>
    <w:rsid w:val="00117F11"/>
    <w:rsid w:val="00117F82"/>
    <w:rsid w:val="00120053"/>
    <w:rsid w:val="001208BE"/>
    <w:rsid w:val="001211B7"/>
    <w:rsid w:val="00121373"/>
    <w:rsid w:val="00121799"/>
    <w:rsid w:val="00121927"/>
    <w:rsid w:val="001222CA"/>
    <w:rsid w:val="001222FC"/>
    <w:rsid w:val="00122C9F"/>
    <w:rsid w:val="001232AF"/>
    <w:rsid w:val="00123902"/>
    <w:rsid w:val="00124835"/>
    <w:rsid w:val="00124A51"/>
    <w:rsid w:val="001252F8"/>
    <w:rsid w:val="0012530C"/>
    <w:rsid w:val="00125393"/>
    <w:rsid w:val="00125625"/>
    <w:rsid w:val="0012569C"/>
    <w:rsid w:val="001258F6"/>
    <w:rsid w:val="00125971"/>
    <w:rsid w:val="00125B60"/>
    <w:rsid w:val="00126127"/>
    <w:rsid w:val="00126416"/>
    <w:rsid w:val="00126621"/>
    <w:rsid w:val="00126B1D"/>
    <w:rsid w:val="00126BEC"/>
    <w:rsid w:val="0012773A"/>
    <w:rsid w:val="00127F52"/>
    <w:rsid w:val="00130021"/>
    <w:rsid w:val="001301E9"/>
    <w:rsid w:val="001307DA"/>
    <w:rsid w:val="00130908"/>
    <w:rsid w:val="00130F29"/>
    <w:rsid w:val="00131307"/>
    <w:rsid w:val="00131383"/>
    <w:rsid w:val="00131D82"/>
    <w:rsid w:val="001321F9"/>
    <w:rsid w:val="0013265A"/>
    <w:rsid w:val="00132B22"/>
    <w:rsid w:val="00133362"/>
    <w:rsid w:val="00133852"/>
    <w:rsid w:val="00133D36"/>
    <w:rsid w:val="001347B2"/>
    <w:rsid w:val="00134CF4"/>
    <w:rsid w:val="001351C6"/>
    <w:rsid w:val="001357D1"/>
    <w:rsid w:val="0013594B"/>
    <w:rsid w:val="00135B44"/>
    <w:rsid w:val="001369B5"/>
    <w:rsid w:val="00136B6B"/>
    <w:rsid w:val="00136DC0"/>
    <w:rsid w:val="00136E9F"/>
    <w:rsid w:val="0013720D"/>
    <w:rsid w:val="00137645"/>
    <w:rsid w:val="00137D05"/>
    <w:rsid w:val="00140041"/>
    <w:rsid w:val="0014015A"/>
    <w:rsid w:val="0014031D"/>
    <w:rsid w:val="001404C4"/>
    <w:rsid w:val="00140957"/>
    <w:rsid w:val="00140E4B"/>
    <w:rsid w:val="00140E99"/>
    <w:rsid w:val="00141D6B"/>
    <w:rsid w:val="001426C0"/>
    <w:rsid w:val="00142D11"/>
    <w:rsid w:val="00143F53"/>
    <w:rsid w:val="00143F67"/>
    <w:rsid w:val="001441C2"/>
    <w:rsid w:val="00144471"/>
    <w:rsid w:val="0014466E"/>
    <w:rsid w:val="00144FFD"/>
    <w:rsid w:val="00145234"/>
    <w:rsid w:val="001452FB"/>
    <w:rsid w:val="00145540"/>
    <w:rsid w:val="001456B0"/>
    <w:rsid w:val="00145905"/>
    <w:rsid w:val="00145C79"/>
    <w:rsid w:val="0014624F"/>
    <w:rsid w:val="00146462"/>
    <w:rsid w:val="001468BB"/>
    <w:rsid w:val="00146A3D"/>
    <w:rsid w:val="00146D35"/>
    <w:rsid w:val="00146D8F"/>
    <w:rsid w:val="001470E8"/>
    <w:rsid w:val="001472D1"/>
    <w:rsid w:val="0014740F"/>
    <w:rsid w:val="0014774B"/>
    <w:rsid w:val="00147D80"/>
    <w:rsid w:val="00147FFD"/>
    <w:rsid w:val="001500A3"/>
    <w:rsid w:val="0015039F"/>
    <w:rsid w:val="0015047C"/>
    <w:rsid w:val="00150EE8"/>
    <w:rsid w:val="001510E6"/>
    <w:rsid w:val="0015112E"/>
    <w:rsid w:val="001511AF"/>
    <w:rsid w:val="001515B0"/>
    <w:rsid w:val="00151DA3"/>
    <w:rsid w:val="00152322"/>
    <w:rsid w:val="00152426"/>
    <w:rsid w:val="001526F3"/>
    <w:rsid w:val="001533C1"/>
    <w:rsid w:val="001533FC"/>
    <w:rsid w:val="00153773"/>
    <w:rsid w:val="001547AB"/>
    <w:rsid w:val="001548C7"/>
    <w:rsid w:val="00154D2B"/>
    <w:rsid w:val="00154DF3"/>
    <w:rsid w:val="00154E4C"/>
    <w:rsid w:val="00154F17"/>
    <w:rsid w:val="00155618"/>
    <w:rsid w:val="00155656"/>
    <w:rsid w:val="001558CB"/>
    <w:rsid w:val="001558E7"/>
    <w:rsid w:val="00155CF2"/>
    <w:rsid w:val="00155DE3"/>
    <w:rsid w:val="00156A42"/>
    <w:rsid w:val="00156D32"/>
    <w:rsid w:val="00156F8F"/>
    <w:rsid w:val="00157130"/>
    <w:rsid w:val="00157145"/>
    <w:rsid w:val="001576B1"/>
    <w:rsid w:val="00157C0B"/>
    <w:rsid w:val="00157F32"/>
    <w:rsid w:val="0016047B"/>
    <w:rsid w:val="0016074D"/>
    <w:rsid w:val="00160A4C"/>
    <w:rsid w:val="00160B58"/>
    <w:rsid w:val="00160F88"/>
    <w:rsid w:val="001615CF"/>
    <w:rsid w:val="001618E6"/>
    <w:rsid w:val="00161E2B"/>
    <w:rsid w:val="00161FE5"/>
    <w:rsid w:val="001620FD"/>
    <w:rsid w:val="00162405"/>
    <w:rsid w:val="001626A9"/>
    <w:rsid w:val="00162745"/>
    <w:rsid w:val="00162913"/>
    <w:rsid w:val="00162F58"/>
    <w:rsid w:val="00163139"/>
    <w:rsid w:val="00163656"/>
    <w:rsid w:val="0016390D"/>
    <w:rsid w:val="00163AB0"/>
    <w:rsid w:val="00163B5A"/>
    <w:rsid w:val="00163EFF"/>
    <w:rsid w:val="00163F66"/>
    <w:rsid w:val="001644BA"/>
    <w:rsid w:val="0016471B"/>
    <w:rsid w:val="0016478E"/>
    <w:rsid w:val="00164F51"/>
    <w:rsid w:val="00165010"/>
    <w:rsid w:val="00165159"/>
    <w:rsid w:val="0016557C"/>
    <w:rsid w:val="00165C51"/>
    <w:rsid w:val="00165EC4"/>
    <w:rsid w:val="001661FB"/>
    <w:rsid w:val="00166534"/>
    <w:rsid w:val="00166565"/>
    <w:rsid w:val="0016671A"/>
    <w:rsid w:val="00166786"/>
    <w:rsid w:val="001669F4"/>
    <w:rsid w:val="00166EE9"/>
    <w:rsid w:val="00167189"/>
    <w:rsid w:val="001671A0"/>
    <w:rsid w:val="0016767F"/>
    <w:rsid w:val="001676E2"/>
    <w:rsid w:val="00167953"/>
    <w:rsid w:val="00167987"/>
    <w:rsid w:val="00167DFA"/>
    <w:rsid w:val="00167F50"/>
    <w:rsid w:val="00170DF7"/>
    <w:rsid w:val="001713F8"/>
    <w:rsid w:val="001719D2"/>
    <w:rsid w:val="00171B7E"/>
    <w:rsid w:val="0017216D"/>
    <w:rsid w:val="00172489"/>
    <w:rsid w:val="001728B5"/>
    <w:rsid w:val="00172959"/>
    <w:rsid w:val="001732C1"/>
    <w:rsid w:val="0017334F"/>
    <w:rsid w:val="00173565"/>
    <w:rsid w:val="001736E7"/>
    <w:rsid w:val="00173795"/>
    <w:rsid w:val="00173950"/>
    <w:rsid w:val="00173B07"/>
    <w:rsid w:val="00173B79"/>
    <w:rsid w:val="001743C3"/>
    <w:rsid w:val="00174B79"/>
    <w:rsid w:val="00174C65"/>
    <w:rsid w:val="001750AE"/>
    <w:rsid w:val="001750FC"/>
    <w:rsid w:val="001751FA"/>
    <w:rsid w:val="00175234"/>
    <w:rsid w:val="00175448"/>
    <w:rsid w:val="00175631"/>
    <w:rsid w:val="00175BFB"/>
    <w:rsid w:val="001760E1"/>
    <w:rsid w:val="00176451"/>
    <w:rsid w:val="0017687A"/>
    <w:rsid w:val="00176963"/>
    <w:rsid w:val="00176C4E"/>
    <w:rsid w:val="00176D14"/>
    <w:rsid w:val="00176DFC"/>
    <w:rsid w:val="00176E12"/>
    <w:rsid w:val="00177330"/>
    <w:rsid w:val="0017780B"/>
    <w:rsid w:val="0017784F"/>
    <w:rsid w:val="00177D34"/>
    <w:rsid w:val="00180464"/>
    <w:rsid w:val="00180943"/>
    <w:rsid w:val="00180FE1"/>
    <w:rsid w:val="00181893"/>
    <w:rsid w:val="00181946"/>
    <w:rsid w:val="00181BAE"/>
    <w:rsid w:val="00181C10"/>
    <w:rsid w:val="00181D9C"/>
    <w:rsid w:val="00181E2F"/>
    <w:rsid w:val="00182878"/>
    <w:rsid w:val="0018318E"/>
    <w:rsid w:val="001837FF"/>
    <w:rsid w:val="001847EB"/>
    <w:rsid w:val="00184AD2"/>
    <w:rsid w:val="00184B0E"/>
    <w:rsid w:val="00184F8F"/>
    <w:rsid w:val="00185237"/>
    <w:rsid w:val="001854EE"/>
    <w:rsid w:val="0018642C"/>
    <w:rsid w:val="00186BA2"/>
    <w:rsid w:val="001870C9"/>
    <w:rsid w:val="00187526"/>
    <w:rsid w:val="0018752F"/>
    <w:rsid w:val="0018770D"/>
    <w:rsid w:val="00187C62"/>
    <w:rsid w:val="00187CAC"/>
    <w:rsid w:val="001909D7"/>
    <w:rsid w:val="00191170"/>
    <w:rsid w:val="00191338"/>
    <w:rsid w:val="001917A7"/>
    <w:rsid w:val="00191A4E"/>
    <w:rsid w:val="0019206B"/>
    <w:rsid w:val="00192AAD"/>
    <w:rsid w:val="00192D57"/>
    <w:rsid w:val="001931BA"/>
    <w:rsid w:val="0019325A"/>
    <w:rsid w:val="00193838"/>
    <w:rsid w:val="00193F4C"/>
    <w:rsid w:val="00194A4A"/>
    <w:rsid w:val="00194A92"/>
    <w:rsid w:val="00194AD8"/>
    <w:rsid w:val="00195222"/>
    <w:rsid w:val="00195452"/>
    <w:rsid w:val="00195459"/>
    <w:rsid w:val="00195716"/>
    <w:rsid w:val="00195F09"/>
    <w:rsid w:val="00196161"/>
    <w:rsid w:val="0019633F"/>
    <w:rsid w:val="001963BB"/>
    <w:rsid w:val="00196A71"/>
    <w:rsid w:val="001975D8"/>
    <w:rsid w:val="00197625"/>
    <w:rsid w:val="00197E00"/>
    <w:rsid w:val="00197FDD"/>
    <w:rsid w:val="001A00DD"/>
    <w:rsid w:val="001A0385"/>
    <w:rsid w:val="001A06B3"/>
    <w:rsid w:val="001A0762"/>
    <w:rsid w:val="001A0CAC"/>
    <w:rsid w:val="001A12A6"/>
    <w:rsid w:val="001A135A"/>
    <w:rsid w:val="001A13D3"/>
    <w:rsid w:val="001A16E5"/>
    <w:rsid w:val="001A178E"/>
    <w:rsid w:val="001A1940"/>
    <w:rsid w:val="001A2948"/>
    <w:rsid w:val="001A3407"/>
    <w:rsid w:val="001A37E8"/>
    <w:rsid w:val="001A39E8"/>
    <w:rsid w:val="001A3C62"/>
    <w:rsid w:val="001A3CF7"/>
    <w:rsid w:val="001A43FA"/>
    <w:rsid w:val="001A44E0"/>
    <w:rsid w:val="001A4767"/>
    <w:rsid w:val="001A47C5"/>
    <w:rsid w:val="001A4AB9"/>
    <w:rsid w:val="001A4BFE"/>
    <w:rsid w:val="001A4DFC"/>
    <w:rsid w:val="001A516E"/>
    <w:rsid w:val="001A577C"/>
    <w:rsid w:val="001A57F5"/>
    <w:rsid w:val="001A596F"/>
    <w:rsid w:val="001A59FB"/>
    <w:rsid w:val="001A5E3D"/>
    <w:rsid w:val="001A5E9E"/>
    <w:rsid w:val="001A5F2F"/>
    <w:rsid w:val="001A632D"/>
    <w:rsid w:val="001A6354"/>
    <w:rsid w:val="001A6366"/>
    <w:rsid w:val="001A6469"/>
    <w:rsid w:val="001A6480"/>
    <w:rsid w:val="001A65C0"/>
    <w:rsid w:val="001A66E9"/>
    <w:rsid w:val="001A6B2E"/>
    <w:rsid w:val="001A6F7A"/>
    <w:rsid w:val="001A71AD"/>
    <w:rsid w:val="001A7344"/>
    <w:rsid w:val="001A76B7"/>
    <w:rsid w:val="001A7AE8"/>
    <w:rsid w:val="001B00F3"/>
    <w:rsid w:val="001B018E"/>
    <w:rsid w:val="001B0D71"/>
    <w:rsid w:val="001B0FE4"/>
    <w:rsid w:val="001B127B"/>
    <w:rsid w:val="001B1385"/>
    <w:rsid w:val="001B17EE"/>
    <w:rsid w:val="001B204E"/>
    <w:rsid w:val="001B2372"/>
    <w:rsid w:val="001B2419"/>
    <w:rsid w:val="001B264A"/>
    <w:rsid w:val="001B2685"/>
    <w:rsid w:val="001B3331"/>
    <w:rsid w:val="001B33F1"/>
    <w:rsid w:val="001B3443"/>
    <w:rsid w:val="001B3DB8"/>
    <w:rsid w:val="001B3DFA"/>
    <w:rsid w:val="001B440D"/>
    <w:rsid w:val="001B4804"/>
    <w:rsid w:val="001B48A2"/>
    <w:rsid w:val="001B48C4"/>
    <w:rsid w:val="001B48CB"/>
    <w:rsid w:val="001B4944"/>
    <w:rsid w:val="001B4987"/>
    <w:rsid w:val="001B4D20"/>
    <w:rsid w:val="001B56C2"/>
    <w:rsid w:val="001B5AB2"/>
    <w:rsid w:val="001B674C"/>
    <w:rsid w:val="001B71EC"/>
    <w:rsid w:val="001B75BD"/>
    <w:rsid w:val="001B7F84"/>
    <w:rsid w:val="001BBE45"/>
    <w:rsid w:val="001C002E"/>
    <w:rsid w:val="001C122E"/>
    <w:rsid w:val="001C1802"/>
    <w:rsid w:val="001C195A"/>
    <w:rsid w:val="001C1FFA"/>
    <w:rsid w:val="001C2580"/>
    <w:rsid w:val="001C2A9B"/>
    <w:rsid w:val="001C3276"/>
    <w:rsid w:val="001C3CA3"/>
    <w:rsid w:val="001C3DD6"/>
    <w:rsid w:val="001C3EBC"/>
    <w:rsid w:val="001C4299"/>
    <w:rsid w:val="001C44E8"/>
    <w:rsid w:val="001C4674"/>
    <w:rsid w:val="001C4754"/>
    <w:rsid w:val="001C4796"/>
    <w:rsid w:val="001C4874"/>
    <w:rsid w:val="001C4F5E"/>
    <w:rsid w:val="001C5A25"/>
    <w:rsid w:val="001C5F94"/>
    <w:rsid w:val="001C610E"/>
    <w:rsid w:val="001C632A"/>
    <w:rsid w:val="001C6430"/>
    <w:rsid w:val="001C6CD6"/>
    <w:rsid w:val="001C6E66"/>
    <w:rsid w:val="001C6EAE"/>
    <w:rsid w:val="001C7941"/>
    <w:rsid w:val="001C7C03"/>
    <w:rsid w:val="001D027F"/>
    <w:rsid w:val="001D0551"/>
    <w:rsid w:val="001D077D"/>
    <w:rsid w:val="001D1100"/>
    <w:rsid w:val="001D1391"/>
    <w:rsid w:val="001D1BFA"/>
    <w:rsid w:val="001D1FF1"/>
    <w:rsid w:val="001D25D7"/>
    <w:rsid w:val="001D2A3D"/>
    <w:rsid w:val="001D2D3A"/>
    <w:rsid w:val="001D3395"/>
    <w:rsid w:val="001D377B"/>
    <w:rsid w:val="001D4F15"/>
    <w:rsid w:val="001D50B2"/>
    <w:rsid w:val="001D5A4F"/>
    <w:rsid w:val="001D6653"/>
    <w:rsid w:val="001D7050"/>
    <w:rsid w:val="001D71F4"/>
    <w:rsid w:val="001D7645"/>
    <w:rsid w:val="001D7715"/>
    <w:rsid w:val="001D7A39"/>
    <w:rsid w:val="001D7A51"/>
    <w:rsid w:val="001D7A98"/>
    <w:rsid w:val="001D7C43"/>
    <w:rsid w:val="001D7E68"/>
    <w:rsid w:val="001E00F1"/>
    <w:rsid w:val="001E0423"/>
    <w:rsid w:val="001E1692"/>
    <w:rsid w:val="001E179B"/>
    <w:rsid w:val="001E1B16"/>
    <w:rsid w:val="001E1C10"/>
    <w:rsid w:val="001E1D51"/>
    <w:rsid w:val="001E1E86"/>
    <w:rsid w:val="001E22AB"/>
    <w:rsid w:val="001E238E"/>
    <w:rsid w:val="001E2483"/>
    <w:rsid w:val="001E2B1E"/>
    <w:rsid w:val="001E2B39"/>
    <w:rsid w:val="001E2CFF"/>
    <w:rsid w:val="001E2F24"/>
    <w:rsid w:val="001E30D4"/>
    <w:rsid w:val="001E32A5"/>
    <w:rsid w:val="001E3386"/>
    <w:rsid w:val="001E34DF"/>
    <w:rsid w:val="001E36F9"/>
    <w:rsid w:val="001E38DB"/>
    <w:rsid w:val="001E398D"/>
    <w:rsid w:val="001E3B40"/>
    <w:rsid w:val="001E3DC9"/>
    <w:rsid w:val="001E3DE4"/>
    <w:rsid w:val="001E4242"/>
    <w:rsid w:val="001E4758"/>
    <w:rsid w:val="001E4A93"/>
    <w:rsid w:val="001E4C9B"/>
    <w:rsid w:val="001E4DE2"/>
    <w:rsid w:val="001E4F71"/>
    <w:rsid w:val="001E52EB"/>
    <w:rsid w:val="001E61D2"/>
    <w:rsid w:val="001E63EC"/>
    <w:rsid w:val="001E6756"/>
    <w:rsid w:val="001E740C"/>
    <w:rsid w:val="001E7919"/>
    <w:rsid w:val="001E7AF1"/>
    <w:rsid w:val="001E7D44"/>
    <w:rsid w:val="001F0180"/>
    <w:rsid w:val="001F02B5"/>
    <w:rsid w:val="001F05F4"/>
    <w:rsid w:val="001F0C9B"/>
    <w:rsid w:val="001F0E07"/>
    <w:rsid w:val="001F0FAE"/>
    <w:rsid w:val="001F1235"/>
    <w:rsid w:val="001F1CB3"/>
    <w:rsid w:val="001F1FB3"/>
    <w:rsid w:val="001F2CAE"/>
    <w:rsid w:val="001F2DDD"/>
    <w:rsid w:val="001F38B5"/>
    <w:rsid w:val="001F3E77"/>
    <w:rsid w:val="001F4081"/>
    <w:rsid w:val="001F4106"/>
    <w:rsid w:val="001F425E"/>
    <w:rsid w:val="001F44D0"/>
    <w:rsid w:val="001F452E"/>
    <w:rsid w:val="001F49C3"/>
    <w:rsid w:val="001F4BAF"/>
    <w:rsid w:val="001F50B9"/>
    <w:rsid w:val="001F5BD1"/>
    <w:rsid w:val="001F5EE5"/>
    <w:rsid w:val="001F609E"/>
    <w:rsid w:val="001F61E1"/>
    <w:rsid w:val="001F68F5"/>
    <w:rsid w:val="001F68FA"/>
    <w:rsid w:val="001F6B72"/>
    <w:rsid w:val="001F718E"/>
    <w:rsid w:val="001F7361"/>
    <w:rsid w:val="001F7A91"/>
    <w:rsid w:val="001F7B4F"/>
    <w:rsid w:val="001F7D22"/>
    <w:rsid w:val="0020016F"/>
    <w:rsid w:val="00200516"/>
    <w:rsid w:val="00200F12"/>
    <w:rsid w:val="002010BE"/>
    <w:rsid w:val="002011B0"/>
    <w:rsid w:val="00201526"/>
    <w:rsid w:val="0020173F"/>
    <w:rsid w:val="00201749"/>
    <w:rsid w:val="00201B3A"/>
    <w:rsid w:val="00201BA9"/>
    <w:rsid w:val="0020241D"/>
    <w:rsid w:val="00203181"/>
    <w:rsid w:val="00203196"/>
    <w:rsid w:val="002034A3"/>
    <w:rsid w:val="00203783"/>
    <w:rsid w:val="0020385F"/>
    <w:rsid w:val="00203B35"/>
    <w:rsid w:val="00204585"/>
    <w:rsid w:val="0020539B"/>
    <w:rsid w:val="00205502"/>
    <w:rsid w:val="00205878"/>
    <w:rsid w:val="00205D93"/>
    <w:rsid w:val="002065FA"/>
    <w:rsid w:val="002068A0"/>
    <w:rsid w:val="002069CC"/>
    <w:rsid w:val="00206C2E"/>
    <w:rsid w:val="00206E80"/>
    <w:rsid w:val="00207021"/>
    <w:rsid w:val="00207154"/>
    <w:rsid w:val="0020732F"/>
    <w:rsid w:val="002076D0"/>
    <w:rsid w:val="002078B0"/>
    <w:rsid w:val="00207C84"/>
    <w:rsid w:val="00207D00"/>
    <w:rsid w:val="002102A9"/>
    <w:rsid w:val="00210547"/>
    <w:rsid w:val="002105C1"/>
    <w:rsid w:val="002116FD"/>
    <w:rsid w:val="00211703"/>
    <w:rsid w:val="00211B33"/>
    <w:rsid w:val="00212933"/>
    <w:rsid w:val="00212C23"/>
    <w:rsid w:val="00213167"/>
    <w:rsid w:val="00213399"/>
    <w:rsid w:val="0021342D"/>
    <w:rsid w:val="00213EF5"/>
    <w:rsid w:val="00214101"/>
    <w:rsid w:val="002145CD"/>
    <w:rsid w:val="00214896"/>
    <w:rsid w:val="00215511"/>
    <w:rsid w:val="002156F5"/>
    <w:rsid w:val="00215F6F"/>
    <w:rsid w:val="00216168"/>
    <w:rsid w:val="00216BCA"/>
    <w:rsid w:val="00216BF5"/>
    <w:rsid w:val="002170D9"/>
    <w:rsid w:val="002176F6"/>
    <w:rsid w:val="00217AB6"/>
    <w:rsid w:val="00217C52"/>
    <w:rsid w:val="00217D68"/>
    <w:rsid w:val="00217F57"/>
    <w:rsid w:val="00220265"/>
    <w:rsid w:val="002202FC"/>
    <w:rsid w:val="00220D51"/>
    <w:rsid w:val="00221240"/>
    <w:rsid w:val="00221723"/>
    <w:rsid w:val="00221752"/>
    <w:rsid w:val="00221ED1"/>
    <w:rsid w:val="002220C6"/>
    <w:rsid w:val="0022265D"/>
    <w:rsid w:val="002226CC"/>
    <w:rsid w:val="002227F8"/>
    <w:rsid w:val="00223322"/>
    <w:rsid w:val="00223446"/>
    <w:rsid w:val="002234D8"/>
    <w:rsid w:val="00223B49"/>
    <w:rsid w:val="00223BD1"/>
    <w:rsid w:val="00223D5A"/>
    <w:rsid w:val="0022401F"/>
    <w:rsid w:val="00224256"/>
    <w:rsid w:val="0022459C"/>
    <w:rsid w:val="00224723"/>
    <w:rsid w:val="00224DD4"/>
    <w:rsid w:val="00224E7B"/>
    <w:rsid w:val="00225382"/>
    <w:rsid w:val="00225518"/>
    <w:rsid w:val="00225C55"/>
    <w:rsid w:val="00226188"/>
    <w:rsid w:val="00226712"/>
    <w:rsid w:val="00226B71"/>
    <w:rsid w:val="002272D6"/>
    <w:rsid w:val="0022737F"/>
    <w:rsid w:val="0022766F"/>
    <w:rsid w:val="002278A0"/>
    <w:rsid w:val="00227B55"/>
    <w:rsid w:val="00227EE3"/>
    <w:rsid w:val="00227FF6"/>
    <w:rsid w:val="00230041"/>
    <w:rsid w:val="0023010C"/>
    <w:rsid w:val="002306D2"/>
    <w:rsid w:val="002309CC"/>
    <w:rsid w:val="00231546"/>
    <w:rsid w:val="0023170B"/>
    <w:rsid w:val="00231BA9"/>
    <w:rsid w:val="00231C49"/>
    <w:rsid w:val="0023209F"/>
    <w:rsid w:val="00232214"/>
    <w:rsid w:val="00232BC3"/>
    <w:rsid w:val="00232C78"/>
    <w:rsid w:val="00233655"/>
    <w:rsid w:val="002337E5"/>
    <w:rsid w:val="00233C01"/>
    <w:rsid w:val="0023413C"/>
    <w:rsid w:val="00234602"/>
    <w:rsid w:val="002346F0"/>
    <w:rsid w:val="0023472E"/>
    <w:rsid w:val="00235D27"/>
    <w:rsid w:val="00235E09"/>
    <w:rsid w:val="0023629D"/>
    <w:rsid w:val="00236558"/>
    <w:rsid w:val="002368DB"/>
    <w:rsid w:val="00236F05"/>
    <w:rsid w:val="00237255"/>
    <w:rsid w:val="00237812"/>
    <w:rsid w:val="00237C88"/>
    <w:rsid w:val="00237E9A"/>
    <w:rsid w:val="00237F91"/>
    <w:rsid w:val="002400C4"/>
    <w:rsid w:val="00240E1D"/>
    <w:rsid w:val="00241293"/>
    <w:rsid w:val="002413A3"/>
    <w:rsid w:val="00241AB5"/>
    <w:rsid w:val="00241DB6"/>
    <w:rsid w:val="002421A6"/>
    <w:rsid w:val="002424AF"/>
    <w:rsid w:val="002431F5"/>
    <w:rsid w:val="00243619"/>
    <w:rsid w:val="002439DC"/>
    <w:rsid w:val="00243C5E"/>
    <w:rsid w:val="002440B4"/>
    <w:rsid w:val="002441D2"/>
    <w:rsid w:val="00244302"/>
    <w:rsid w:val="00244337"/>
    <w:rsid w:val="00244371"/>
    <w:rsid w:val="00244C1E"/>
    <w:rsid w:val="00244C73"/>
    <w:rsid w:val="00244DC8"/>
    <w:rsid w:val="00244E84"/>
    <w:rsid w:val="00245060"/>
    <w:rsid w:val="002458BA"/>
    <w:rsid w:val="00245CE9"/>
    <w:rsid w:val="0024636C"/>
    <w:rsid w:val="0024667D"/>
    <w:rsid w:val="002466FF"/>
    <w:rsid w:val="002469E1"/>
    <w:rsid w:val="00247681"/>
    <w:rsid w:val="00247925"/>
    <w:rsid w:val="00247BA2"/>
    <w:rsid w:val="0025006E"/>
    <w:rsid w:val="00250285"/>
    <w:rsid w:val="002504FA"/>
    <w:rsid w:val="00251006"/>
    <w:rsid w:val="002512EE"/>
    <w:rsid w:val="0025142B"/>
    <w:rsid w:val="002515A2"/>
    <w:rsid w:val="00251E94"/>
    <w:rsid w:val="00252296"/>
    <w:rsid w:val="002524D5"/>
    <w:rsid w:val="0025298F"/>
    <w:rsid w:val="002530B5"/>
    <w:rsid w:val="002530DB"/>
    <w:rsid w:val="002532B1"/>
    <w:rsid w:val="002532E6"/>
    <w:rsid w:val="0025342F"/>
    <w:rsid w:val="0025366F"/>
    <w:rsid w:val="00253B1D"/>
    <w:rsid w:val="002541CB"/>
    <w:rsid w:val="002549F1"/>
    <w:rsid w:val="00254AE1"/>
    <w:rsid w:val="00254DCF"/>
    <w:rsid w:val="00254F52"/>
    <w:rsid w:val="00255139"/>
    <w:rsid w:val="00255177"/>
    <w:rsid w:val="0025534B"/>
    <w:rsid w:val="00255924"/>
    <w:rsid w:val="00255BB7"/>
    <w:rsid w:val="00255DCA"/>
    <w:rsid w:val="00256272"/>
    <w:rsid w:val="00256692"/>
    <w:rsid w:val="00256AAA"/>
    <w:rsid w:val="00256B9E"/>
    <w:rsid w:val="00256C80"/>
    <w:rsid w:val="00257541"/>
    <w:rsid w:val="00257A39"/>
    <w:rsid w:val="00257AC4"/>
    <w:rsid w:val="00257BBE"/>
    <w:rsid w:val="0026091A"/>
    <w:rsid w:val="0026153B"/>
    <w:rsid w:val="00261EEF"/>
    <w:rsid w:val="002623B8"/>
    <w:rsid w:val="002628B5"/>
    <w:rsid w:val="00262A1A"/>
    <w:rsid w:val="00262A87"/>
    <w:rsid w:val="00262BC9"/>
    <w:rsid w:val="00262CCB"/>
    <w:rsid w:val="00262DBB"/>
    <w:rsid w:val="00263D59"/>
    <w:rsid w:val="00264120"/>
    <w:rsid w:val="0026470B"/>
    <w:rsid w:val="00264953"/>
    <w:rsid w:val="00264AEF"/>
    <w:rsid w:val="00264D26"/>
    <w:rsid w:val="00264EC6"/>
    <w:rsid w:val="002651C4"/>
    <w:rsid w:val="002651CD"/>
    <w:rsid w:val="0026526B"/>
    <w:rsid w:val="00265301"/>
    <w:rsid w:val="002655B9"/>
    <w:rsid w:val="00265AB5"/>
    <w:rsid w:val="0026623B"/>
    <w:rsid w:val="00266424"/>
    <w:rsid w:val="00266858"/>
    <w:rsid w:val="00266DBB"/>
    <w:rsid w:val="00266F66"/>
    <w:rsid w:val="00266F6F"/>
    <w:rsid w:val="00267049"/>
    <w:rsid w:val="0026712D"/>
    <w:rsid w:val="00267427"/>
    <w:rsid w:val="00267642"/>
    <w:rsid w:val="00267697"/>
    <w:rsid w:val="00267AEA"/>
    <w:rsid w:val="00267C2C"/>
    <w:rsid w:val="00267EBE"/>
    <w:rsid w:val="00267F08"/>
    <w:rsid w:val="002700E6"/>
    <w:rsid w:val="002713AF"/>
    <w:rsid w:val="00272367"/>
    <w:rsid w:val="00272502"/>
    <w:rsid w:val="00272920"/>
    <w:rsid w:val="0027294B"/>
    <w:rsid w:val="00272F96"/>
    <w:rsid w:val="00273DB7"/>
    <w:rsid w:val="00273EB4"/>
    <w:rsid w:val="00274682"/>
    <w:rsid w:val="00275158"/>
    <w:rsid w:val="002751E7"/>
    <w:rsid w:val="0027544B"/>
    <w:rsid w:val="002759B2"/>
    <w:rsid w:val="00275ACD"/>
    <w:rsid w:val="00275C5A"/>
    <w:rsid w:val="00276E82"/>
    <w:rsid w:val="00276F8E"/>
    <w:rsid w:val="00277463"/>
    <w:rsid w:val="00277680"/>
    <w:rsid w:val="00280048"/>
    <w:rsid w:val="0028012A"/>
    <w:rsid w:val="0028014F"/>
    <w:rsid w:val="002802C1"/>
    <w:rsid w:val="0028088D"/>
    <w:rsid w:val="002809C2"/>
    <w:rsid w:val="00281014"/>
    <w:rsid w:val="002811BC"/>
    <w:rsid w:val="002812CE"/>
    <w:rsid w:val="002815A2"/>
    <w:rsid w:val="0028192C"/>
    <w:rsid w:val="00281A32"/>
    <w:rsid w:val="00281B24"/>
    <w:rsid w:val="0028210F"/>
    <w:rsid w:val="002822D6"/>
    <w:rsid w:val="002825F7"/>
    <w:rsid w:val="00282A9C"/>
    <w:rsid w:val="002832F8"/>
    <w:rsid w:val="002834D2"/>
    <w:rsid w:val="0028378D"/>
    <w:rsid w:val="002837B1"/>
    <w:rsid w:val="00283BEA"/>
    <w:rsid w:val="00283F78"/>
    <w:rsid w:val="00283FCC"/>
    <w:rsid w:val="0028496C"/>
    <w:rsid w:val="002849DA"/>
    <w:rsid w:val="00284CED"/>
    <w:rsid w:val="00285319"/>
    <w:rsid w:val="00285BCE"/>
    <w:rsid w:val="0028665D"/>
    <w:rsid w:val="0028681B"/>
    <w:rsid w:val="00286DDE"/>
    <w:rsid w:val="0028760A"/>
    <w:rsid w:val="002879CB"/>
    <w:rsid w:val="00287E77"/>
    <w:rsid w:val="002906E2"/>
    <w:rsid w:val="002907E3"/>
    <w:rsid w:val="002908EC"/>
    <w:rsid w:val="0029189A"/>
    <w:rsid w:val="002919A0"/>
    <w:rsid w:val="00292028"/>
    <w:rsid w:val="00292636"/>
    <w:rsid w:val="0029311A"/>
    <w:rsid w:val="002931E7"/>
    <w:rsid w:val="0029324D"/>
    <w:rsid w:val="0029348E"/>
    <w:rsid w:val="002939CF"/>
    <w:rsid w:val="00294092"/>
    <w:rsid w:val="00294287"/>
    <w:rsid w:val="00294455"/>
    <w:rsid w:val="002944F6"/>
    <w:rsid w:val="002945C8"/>
    <w:rsid w:val="002948BE"/>
    <w:rsid w:val="00294A5F"/>
    <w:rsid w:val="00294ACD"/>
    <w:rsid w:val="00294C23"/>
    <w:rsid w:val="00294D12"/>
    <w:rsid w:val="0029590F"/>
    <w:rsid w:val="00295A92"/>
    <w:rsid w:val="002960C1"/>
    <w:rsid w:val="00296D11"/>
    <w:rsid w:val="00297370"/>
    <w:rsid w:val="00297789"/>
    <w:rsid w:val="00297AB6"/>
    <w:rsid w:val="00297C9B"/>
    <w:rsid w:val="00297CE9"/>
    <w:rsid w:val="002A0A0D"/>
    <w:rsid w:val="002A0FA0"/>
    <w:rsid w:val="002A0FD7"/>
    <w:rsid w:val="002A13D2"/>
    <w:rsid w:val="002A14AB"/>
    <w:rsid w:val="002A1AD4"/>
    <w:rsid w:val="002A2087"/>
    <w:rsid w:val="002A224C"/>
    <w:rsid w:val="002A2ADE"/>
    <w:rsid w:val="002A2F50"/>
    <w:rsid w:val="002A3636"/>
    <w:rsid w:val="002A37D0"/>
    <w:rsid w:val="002A3C6A"/>
    <w:rsid w:val="002A4180"/>
    <w:rsid w:val="002A4239"/>
    <w:rsid w:val="002A425C"/>
    <w:rsid w:val="002A497D"/>
    <w:rsid w:val="002A51F5"/>
    <w:rsid w:val="002A6268"/>
    <w:rsid w:val="002A62B5"/>
    <w:rsid w:val="002A6995"/>
    <w:rsid w:val="002A6FBB"/>
    <w:rsid w:val="002A7112"/>
    <w:rsid w:val="002A753B"/>
    <w:rsid w:val="002A759C"/>
    <w:rsid w:val="002A7943"/>
    <w:rsid w:val="002B05A1"/>
    <w:rsid w:val="002B09A4"/>
    <w:rsid w:val="002B0C29"/>
    <w:rsid w:val="002B0C4E"/>
    <w:rsid w:val="002B10FB"/>
    <w:rsid w:val="002B13AE"/>
    <w:rsid w:val="002B1572"/>
    <w:rsid w:val="002B17D1"/>
    <w:rsid w:val="002B1A8A"/>
    <w:rsid w:val="002B1C1F"/>
    <w:rsid w:val="002B2241"/>
    <w:rsid w:val="002B285E"/>
    <w:rsid w:val="002B2B6C"/>
    <w:rsid w:val="002B3E45"/>
    <w:rsid w:val="002B42DF"/>
    <w:rsid w:val="002B432F"/>
    <w:rsid w:val="002B454F"/>
    <w:rsid w:val="002B462F"/>
    <w:rsid w:val="002B47D7"/>
    <w:rsid w:val="002B491D"/>
    <w:rsid w:val="002B4EBE"/>
    <w:rsid w:val="002B5DB1"/>
    <w:rsid w:val="002B5EC4"/>
    <w:rsid w:val="002B62B3"/>
    <w:rsid w:val="002B64A4"/>
    <w:rsid w:val="002B6699"/>
    <w:rsid w:val="002B6754"/>
    <w:rsid w:val="002B6B34"/>
    <w:rsid w:val="002B6CCE"/>
    <w:rsid w:val="002B788C"/>
    <w:rsid w:val="002B7A35"/>
    <w:rsid w:val="002C048F"/>
    <w:rsid w:val="002C0510"/>
    <w:rsid w:val="002C05BB"/>
    <w:rsid w:val="002C0906"/>
    <w:rsid w:val="002C0931"/>
    <w:rsid w:val="002C0B47"/>
    <w:rsid w:val="002C0EF4"/>
    <w:rsid w:val="002C11D1"/>
    <w:rsid w:val="002C121A"/>
    <w:rsid w:val="002C1390"/>
    <w:rsid w:val="002C16CC"/>
    <w:rsid w:val="002C1725"/>
    <w:rsid w:val="002C243D"/>
    <w:rsid w:val="002C2510"/>
    <w:rsid w:val="002C2775"/>
    <w:rsid w:val="002C27C1"/>
    <w:rsid w:val="002C2D90"/>
    <w:rsid w:val="002C3208"/>
    <w:rsid w:val="002C32C6"/>
    <w:rsid w:val="002C36E3"/>
    <w:rsid w:val="002C3741"/>
    <w:rsid w:val="002C3D0B"/>
    <w:rsid w:val="002C3DA3"/>
    <w:rsid w:val="002C4EE4"/>
    <w:rsid w:val="002C5099"/>
    <w:rsid w:val="002C52F0"/>
    <w:rsid w:val="002C54B0"/>
    <w:rsid w:val="002C5889"/>
    <w:rsid w:val="002C5929"/>
    <w:rsid w:val="002C5A77"/>
    <w:rsid w:val="002C5EDC"/>
    <w:rsid w:val="002C5F91"/>
    <w:rsid w:val="002C603D"/>
    <w:rsid w:val="002C607C"/>
    <w:rsid w:val="002C6097"/>
    <w:rsid w:val="002C64B0"/>
    <w:rsid w:val="002C681E"/>
    <w:rsid w:val="002C71CE"/>
    <w:rsid w:val="002C7246"/>
    <w:rsid w:val="002C7E98"/>
    <w:rsid w:val="002D03ED"/>
    <w:rsid w:val="002D0746"/>
    <w:rsid w:val="002D08F8"/>
    <w:rsid w:val="002D0929"/>
    <w:rsid w:val="002D0FD9"/>
    <w:rsid w:val="002D1339"/>
    <w:rsid w:val="002D16FC"/>
    <w:rsid w:val="002D1DC5"/>
    <w:rsid w:val="002D2044"/>
    <w:rsid w:val="002D2D8D"/>
    <w:rsid w:val="002D3118"/>
    <w:rsid w:val="002D3171"/>
    <w:rsid w:val="002D3440"/>
    <w:rsid w:val="002D34B6"/>
    <w:rsid w:val="002D401F"/>
    <w:rsid w:val="002D40A0"/>
    <w:rsid w:val="002D430D"/>
    <w:rsid w:val="002D474E"/>
    <w:rsid w:val="002D4ABE"/>
    <w:rsid w:val="002D4CF9"/>
    <w:rsid w:val="002D4F65"/>
    <w:rsid w:val="002D53BD"/>
    <w:rsid w:val="002D577C"/>
    <w:rsid w:val="002D5F2B"/>
    <w:rsid w:val="002D677E"/>
    <w:rsid w:val="002D6923"/>
    <w:rsid w:val="002D751D"/>
    <w:rsid w:val="002D75DC"/>
    <w:rsid w:val="002D7654"/>
    <w:rsid w:val="002D779A"/>
    <w:rsid w:val="002D7832"/>
    <w:rsid w:val="002E04DE"/>
    <w:rsid w:val="002E1071"/>
    <w:rsid w:val="002E12D3"/>
    <w:rsid w:val="002E15B9"/>
    <w:rsid w:val="002E18B6"/>
    <w:rsid w:val="002E1A9C"/>
    <w:rsid w:val="002E2158"/>
    <w:rsid w:val="002E2334"/>
    <w:rsid w:val="002E2F94"/>
    <w:rsid w:val="002E303D"/>
    <w:rsid w:val="002E3081"/>
    <w:rsid w:val="002E3187"/>
    <w:rsid w:val="002E3614"/>
    <w:rsid w:val="002E36DF"/>
    <w:rsid w:val="002E3899"/>
    <w:rsid w:val="002E3EE7"/>
    <w:rsid w:val="002E44ED"/>
    <w:rsid w:val="002E477C"/>
    <w:rsid w:val="002E4F02"/>
    <w:rsid w:val="002E5965"/>
    <w:rsid w:val="002E5CE3"/>
    <w:rsid w:val="002E5D78"/>
    <w:rsid w:val="002E600C"/>
    <w:rsid w:val="002E6A89"/>
    <w:rsid w:val="002E6F98"/>
    <w:rsid w:val="002E7722"/>
    <w:rsid w:val="002E78ED"/>
    <w:rsid w:val="002F0363"/>
    <w:rsid w:val="002F07BA"/>
    <w:rsid w:val="002F0B18"/>
    <w:rsid w:val="002F0B57"/>
    <w:rsid w:val="002F0D9A"/>
    <w:rsid w:val="002F0DA9"/>
    <w:rsid w:val="002F0ED9"/>
    <w:rsid w:val="002F1014"/>
    <w:rsid w:val="002F12D0"/>
    <w:rsid w:val="002F1E3B"/>
    <w:rsid w:val="002F2995"/>
    <w:rsid w:val="002F2C08"/>
    <w:rsid w:val="002F2CA4"/>
    <w:rsid w:val="002F2F22"/>
    <w:rsid w:val="002F2F7C"/>
    <w:rsid w:val="002F316F"/>
    <w:rsid w:val="002F3650"/>
    <w:rsid w:val="002F38CA"/>
    <w:rsid w:val="002F3C1F"/>
    <w:rsid w:val="002F3C89"/>
    <w:rsid w:val="002F3FCA"/>
    <w:rsid w:val="002F4D95"/>
    <w:rsid w:val="002F5140"/>
    <w:rsid w:val="002F523B"/>
    <w:rsid w:val="002F5EC6"/>
    <w:rsid w:val="002F5F0A"/>
    <w:rsid w:val="002F5F35"/>
    <w:rsid w:val="002F5FD9"/>
    <w:rsid w:val="002F643C"/>
    <w:rsid w:val="002F71C0"/>
    <w:rsid w:val="002F7220"/>
    <w:rsid w:val="002F74F1"/>
    <w:rsid w:val="002F762A"/>
    <w:rsid w:val="002F79A5"/>
    <w:rsid w:val="002F7ADE"/>
    <w:rsid w:val="002F7EC0"/>
    <w:rsid w:val="003003FA"/>
    <w:rsid w:val="00300443"/>
    <w:rsid w:val="00301017"/>
    <w:rsid w:val="00301165"/>
    <w:rsid w:val="003014EA"/>
    <w:rsid w:val="00301558"/>
    <w:rsid w:val="0030155F"/>
    <w:rsid w:val="00301942"/>
    <w:rsid w:val="003019C8"/>
    <w:rsid w:val="00301C44"/>
    <w:rsid w:val="00301FD8"/>
    <w:rsid w:val="00302046"/>
    <w:rsid w:val="00302084"/>
    <w:rsid w:val="003020C3"/>
    <w:rsid w:val="003025AC"/>
    <w:rsid w:val="003030D1"/>
    <w:rsid w:val="00303231"/>
    <w:rsid w:val="003033D4"/>
    <w:rsid w:val="00303836"/>
    <w:rsid w:val="00303E16"/>
    <w:rsid w:val="00303E7F"/>
    <w:rsid w:val="003041EF"/>
    <w:rsid w:val="003042F9"/>
    <w:rsid w:val="003046FF"/>
    <w:rsid w:val="0030476D"/>
    <w:rsid w:val="00304902"/>
    <w:rsid w:val="003049CA"/>
    <w:rsid w:val="00304FD3"/>
    <w:rsid w:val="003050EC"/>
    <w:rsid w:val="003051E0"/>
    <w:rsid w:val="0030523A"/>
    <w:rsid w:val="00305398"/>
    <w:rsid w:val="0030587B"/>
    <w:rsid w:val="003058DC"/>
    <w:rsid w:val="00305AA8"/>
    <w:rsid w:val="00305F40"/>
    <w:rsid w:val="00305FA1"/>
    <w:rsid w:val="0030626C"/>
    <w:rsid w:val="003064DC"/>
    <w:rsid w:val="00306C9A"/>
    <w:rsid w:val="00306D28"/>
    <w:rsid w:val="00306D98"/>
    <w:rsid w:val="0030786C"/>
    <w:rsid w:val="00307DA1"/>
    <w:rsid w:val="003101C9"/>
    <w:rsid w:val="0031031A"/>
    <w:rsid w:val="00310431"/>
    <w:rsid w:val="003107B4"/>
    <w:rsid w:val="003107B5"/>
    <w:rsid w:val="00310981"/>
    <w:rsid w:val="003109FA"/>
    <w:rsid w:val="00310CB5"/>
    <w:rsid w:val="00310D8F"/>
    <w:rsid w:val="0031124C"/>
    <w:rsid w:val="003115BB"/>
    <w:rsid w:val="00311952"/>
    <w:rsid w:val="00311D48"/>
    <w:rsid w:val="00311D9B"/>
    <w:rsid w:val="003124D9"/>
    <w:rsid w:val="0031254D"/>
    <w:rsid w:val="00312594"/>
    <w:rsid w:val="003125C8"/>
    <w:rsid w:val="00312644"/>
    <w:rsid w:val="00312918"/>
    <w:rsid w:val="00312AAB"/>
    <w:rsid w:val="00312B96"/>
    <w:rsid w:val="00313A4E"/>
    <w:rsid w:val="00313ABF"/>
    <w:rsid w:val="00313B17"/>
    <w:rsid w:val="003143FE"/>
    <w:rsid w:val="0031448E"/>
    <w:rsid w:val="003144A3"/>
    <w:rsid w:val="00314584"/>
    <w:rsid w:val="00314599"/>
    <w:rsid w:val="00314EE5"/>
    <w:rsid w:val="003153C4"/>
    <w:rsid w:val="00315498"/>
    <w:rsid w:val="00315807"/>
    <w:rsid w:val="003158CC"/>
    <w:rsid w:val="00315D0C"/>
    <w:rsid w:val="00316474"/>
    <w:rsid w:val="00317FE1"/>
    <w:rsid w:val="003205E9"/>
    <w:rsid w:val="003205F8"/>
    <w:rsid w:val="00320C97"/>
    <w:rsid w:val="00320CF6"/>
    <w:rsid w:val="00320D68"/>
    <w:rsid w:val="00320F03"/>
    <w:rsid w:val="00320F48"/>
    <w:rsid w:val="0032159A"/>
    <w:rsid w:val="003219C7"/>
    <w:rsid w:val="00322107"/>
    <w:rsid w:val="00322355"/>
    <w:rsid w:val="00322711"/>
    <w:rsid w:val="00322794"/>
    <w:rsid w:val="00322846"/>
    <w:rsid w:val="0032291D"/>
    <w:rsid w:val="00322F2B"/>
    <w:rsid w:val="00322F2D"/>
    <w:rsid w:val="00322FD1"/>
    <w:rsid w:val="003239C4"/>
    <w:rsid w:val="00323FA0"/>
    <w:rsid w:val="0032424F"/>
    <w:rsid w:val="00324B7F"/>
    <w:rsid w:val="00325214"/>
    <w:rsid w:val="003255EA"/>
    <w:rsid w:val="00325BF3"/>
    <w:rsid w:val="00325CC0"/>
    <w:rsid w:val="00326429"/>
    <w:rsid w:val="00326DA7"/>
    <w:rsid w:val="003270E4"/>
    <w:rsid w:val="00327208"/>
    <w:rsid w:val="0032733E"/>
    <w:rsid w:val="0032785B"/>
    <w:rsid w:val="00327D79"/>
    <w:rsid w:val="00327EB4"/>
    <w:rsid w:val="0033024B"/>
    <w:rsid w:val="00330460"/>
    <w:rsid w:val="003309AA"/>
    <w:rsid w:val="00330DAA"/>
    <w:rsid w:val="00330F5C"/>
    <w:rsid w:val="00331D1C"/>
    <w:rsid w:val="003325AF"/>
    <w:rsid w:val="0033281F"/>
    <w:rsid w:val="00332C7F"/>
    <w:rsid w:val="00332EA1"/>
    <w:rsid w:val="0033329F"/>
    <w:rsid w:val="003335E8"/>
    <w:rsid w:val="00333E93"/>
    <w:rsid w:val="00333FBF"/>
    <w:rsid w:val="00334AD3"/>
    <w:rsid w:val="00334B1C"/>
    <w:rsid w:val="003351AD"/>
    <w:rsid w:val="0033520D"/>
    <w:rsid w:val="003353CB"/>
    <w:rsid w:val="00335437"/>
    <w:rsid w:val="0033565A"/>
    <w:rsid w:val="00335DB0"/>
    <w:rsid w:val="00336290"/>
    <w:rsid w:val="003363F3"/>
    <w:rsid w:val="00336658"/>
    <w:rsid w:val="003366C9"/>
    <w:rsid w:val="003367E3"/>
    <w:rsid w:val="0033699D"/>
    <w:rsid w:val="00336C8C"/>
    <w:rsid w:val="00337115"/>
    <w:rsid w:val="003371B0"/>
    <w:rsid w:val="0033738E"/>
    <w:rsid w:val="003375C6"/>
    <w:rsid w:val="00337706"/>
    <w:rsid w:val="00337A28"/>
    <w:rsid w:val="00337C97"/>
    <w:rsid w:val="0034010F"/>
    <w:rsid w:val="00340AEF"/>
    <w:rsid w:val="00340B8F"/>
    <w:rsid w:val="00340B94"/>
    <w:rsid w:val="00340DF1"/>
    <w:rsid w:val="00341073"/>
    <w:rsid w:val="003410D7"/>
    <w:rsid w:val="0034113C"/>
    <w:rsid w:val="0034130A"/>
    <w:rsid w:val="003413C1"/>
    <w:rsid w:val="00341745"/>
    <w:rsid w:val="00341A05"/>
    <w:rsid w:val="00342268"/>
    <w:rsid w:val="0034288C"/>
    <w:rsid w:val="00343221"/>
    <w:rsid w:val="003432C2"/>
    <w:rsid w:val="0034390E"/>
    <w:rsid w:val="00344307"/>
    <w:rsid w:val="00344857"/>
    <w:rsid w:val="00344956"/>
    <w:rsid w:val="00344C80"/>
    <w:rsid w:val="003451C8"/>
    <w:rsid w:val="0034532A"/>
    <w:rsid w:val="00345490"/>
    <w:rsid w:val="00345514"/>
    <w:rsid w:val="003455DC"/>
    <w:rsid w:val="00345864"/>
    <w:rsid w:val="00345AC8"/>
    <w:rsid w:val="0034613E"/>
    <w:rsid w:val="003466D8"/>
    <w:rsid w:val="0034690C"/>
    <w:rsid w:val="00346AF4"/>
    <w:rsid w:val="00346D25"/>
    <w:rsid w:val="0034755F"/>
    <w:rsid w:val="00347780"/>
    <w:rsid w:val="00347958"/>
    <w:rsid w:val="00347F0E"/>
    <w:rsid w:val="003502C3"/>
    <w:rsid w:val="003503CF"/>
    <w:rsid w:val="00350570"/>
    <w:rsid w:val="00350B91"/>
    <w:rsid w:val="003517F9"/>
    <w:rsid w:val="003519BE"/>
    <w:rsid w:val="00351B44"/>
    <w:rsid w:val="00351BA9"/>
    <w:rsid w:val="003520A2"/>
    <w:rsid w:val="003529E8"/>
    <w:rsid w:val="00352D65"/>
    <w:rsid w:val="00352D7D"/>
    <w:rsid w:val="00352F23"/>
    <w:rsid w:val="003536AC"/>
    <w:rsid w:val="003540E1"/>
    <w:rsid w:val="00354714"/>
    <w:rsid w:val="003547E9"/>
    <w:rsid w:val="00354911"/>
    <w:rsid w:val="00354AA5"/>
    <w:rsid w:val="00354F64"/>
    <w:rsid w:val="0035516A"/>
    <w:rsid w:val="0035620E"/>
    <w:rsid w:val="003562EC"/>
    <w:rsid w:val="00356A60"/>
    <w:rsid w:val="00356DA3"/>
    <w:rsid w:val="00356E04"/>
    <w:rsid w:val="00357232"/>
    <w:rsid w:val="003575BE"/>
    <w:rsid w:val="0035766F"/>
    <w:rsid w:val="003576BA"/>
    <w:rsid w:val="00360058"/>
    <w:rsid w:val="00360345"/>
    <w:rsid w:val="00360522"/>
    <w:rsid w:val="00360F0E"/>
    <w:rsid w:val="003612C2"/>
    <w:rsid w:val="003614D9"/>
    <w:rsid w:val="00361A05"/>
    <w:rsid w:val="00361A25"/>
    <w:rsid w:val="00361FFA"/>
    <w:rsid w:val="00362122"/>
    <w:rsid w:val="003624C4"/>
    <w:rsid w:val="0036254A"/>
    <w:rsid w:val="003627CA"/>
    <w:rsid w:val="00362F3B"/>
    <w:rsid w:val="00363161"/>
    <w:rsid w:val="00363B00"/>
    <w:rsid w:val="00364266"/>
    <w:rsid w:val="003644C2"/>
    <w:rsid w:val="00364664"/>
    <w:rsid w:val="003646DB"/>
    <w:rsid w:val="003647C4"/>
    <w:rsid w:val="00364A9B"/>
    <w:rsid w:val="00364ED2"/>
    <w:rsid w:val="003654AC"/>
    <w:rsid w:val="00365800"/>
    <w:rsid w:val="00365BF6"/>
    <w:rsid w:val="00365BF7"/>
    <w:rsid w:val="00365C30"/>
    <w:rsid w:val="0036608C"/>
    <w:rsid w:val="003661F2"/>
    <w:rsid w:val="00366A79"/>
    <w:rsid w:val="00366E77"/>
    <w:rsid w:val="00366FAA"/>
    <w:rsid w:val="0036750B"/>
    <w:rsid w:val="00367689"/>
    <w:rsid w:val="00367CEE"/>
    <w:rsid w:val="00367D4C"/>
    <w:rsid w:val="00367DA3"/>
    <w:rsid w:val="00367F51"/>
    <w:rsid w:val="00370730"/>
    <w:rsid w:val="003710CF"/>
    <w:rsid w:val="00371BEC"/>
    <w:rsid w:val="0037217C"/>
    <w:rsid w:val="00372838"/>
    <w:rsid w:val="0037290C"/>
    <w:rsid w:val="00372AD3"/>
    <w:rsid w:val="00372B47"/>
    <w:rsid w:val="00372B6F"/>
    <w:rsid w:val="00372BAA"/>
    <w:rsid w:val="00372C90"/>
    <w:rsid w:val="00372CCF"/>
    <w:rsid w:val="00372E7C"/>
    <w:rsid w:val="00372EC2"/>
    <w:rsid w:val="00372FE5"/>
    <w:rsid w:val="003734D4"/>
    <w:rsid w:val="0037352D"/>
    <w:rsid w:val="0037358A"/>
    <w:rsid w:val="00373E4A"/>
    <w:rsid w:val="00374108"/>
    <w:rsid w:val="00374629"/>
    <w:rsid w:val="003749F6"/>
    <w:rsid w:val="00374E67"/>
    <w:rsid w:val="0037508E"/>
    <w:rsid w:val="003750F6"/>
    <w:rsid w:val="00375C68"/>
    <w:rsid w:val="003760FC"/>
    <w:rsid w:val="0037611F"/>
    <w:rsid w:val="00376341"/>
    <w:rsid w:val="003763C2"/>
    <w:rsid w:val="003766C0"/>
    <w:rsid w:val="0037698C"/>
    <w:rsid w:val="00376FB3"/>
    <w:rsid w:val="003772C8"/>
    <w:rsid w:val="00377DB6"/>
    <w:rsid w:val="003801E7"/>
    <w:rsid w:val="003804F8"/>
    <w:rsid w:val="00380934"/>
    <w:rsid w:val="00380CAF"/>
    <w:rsid w:val="003813B9"/>
    <w:rsid w:val="0038192B"/>
    <w:rsid w:val="003819AC"/>
    <w:rsid w:val="00381DDF"/>
    <w:rsid w:val="00382877"/>
    <w:rsid w:val="003828CA"/>
    <w:rsid w:val="00382FED"/>
    <w:rsid w:val="0038365C"/>
    <w:rsid w:val="0038369B"/>
    <w:rsid w:val="00383B78"/>
    <w:rsid w:val="00383D32"/>
    <w:rsid w:val="0038468E"/>
    <w:rsid w:val="00384923"/>
    <w:rsid w:val="003849C3"/>
    <w:rsid w:val="00384F2C"/>
    <w:rsid w:val="00385082"/>
    <w:rsid w:val="00385116"/>
    <w:rsid w:val="003858F1"/>
    <w:rsid w:val="00385A9D"/>
    <w:rsid w:val="00385D75"/>
    <w:rsid w:val="00385FAD"/>
    <w:rsid w:val="0038682E"/>
    <w:rsid w:val="00386B97"/>
    <w:rsid w:val="00386D92"/>
    <w:rsid w:val="00386EEF"/>
    <w:rsid w:val="00387121"/>
    <w:rsid w:val="0038735E"/>
    <w:rsid w:val="003879D1"/>
    <w:rsid w:val="003902B1"/>
    <w:rsid w:val="00390E42"/>
    <w:rsid w:val="00391117"/>
    <w:rsid w:val="003911BE"/>
    <w:rsid w:val="0039165B"/>
    <w:rsid w:val="0039179C"/>
    <w:rsid w:val="003918F8"/>
    <w:rsid w:val="00391A27"/>
    <w:rsid w:val="00391C38"/>
    <w:rsid w:val="00391D0F"/>
    <w:rsid w:val="00391F91"/>
    <w:rsid w:val="0039254A"/>
    <w:rsid w:val="00392AF8"/>
    <w:rsid w:val="00392F2B"/>
    <w:rsid w:val="003930A2"/>
    <w:rsid w:val="003931A6"/>
    <w:rsid w:val="003931FD"/>
    <w:rsid w:val="00393AC4"/>
    <w:rsid w:val="00393C04"/>
    <w:rsid w:val="00393C79"/>
    <w:rsid w:val="00393D83"/>
    <w:rsid w:val="00393E99"/>
    <w:rsid w:val="00393F36"/>
    <w:rsid w:val="00394167"/>
    <w:rsid w:val="003946BA"/>
    <w:rsid w:val="00394802"/>
    <w:rsid w:val="00394A5E"/>
    <w:rsid w:val="00394D8E"/>
    <w:rsid w:val="00395332"/>
    <w:rsid w:val="00395405"/>
    <w:rsid w:val="0039583C"/>
    <w:rsid w:val="00395983"/>
    <w:rsid w:val="00395C18"/>
    <w:rsid w:val="0039611C"/>
    <w:rsid w:val="00396268"/>
    <w:rsid w:val="003966E0"/>
    <w:rsid w:val="0039670D"/>
    <w:rsid w:val="00396896"/>
    <w:rsid w:val="00396A8E"/>
    <w:rsid w:val="00396FD0"/>
    <w:rsid w:val="0039702D"/>
    <w:rsid w:val="00397456"/>
    <w:rsid w:val="00397624"/>
    <w:rsid w:val="00397946"/>
    <w:rsid w:val="00397D2D"/>
    <w:rsid w:val="003A04F1"/>
    <w:rsid w:val="003A0747"/>
    <w:rsid w:val="003A07E5"/>
    <w:rsid w:val="003A09BA"/>
    <w:rsid w:val="003A108C"/>
    <w:rsid w:val="003A11A6"/>
    <w:rsid w:val="003A11CB"/>
    <w:rsid w:val="003A1863"/>
    <w:rsid w:val="003A1A7A"/>
    <w:rsid w:val="003A1C31"/>
    <w:rsid w:val="003A2392"/>
    <w:rsid w:val="003A2831"/>
    <w:rsid w:val="003A2C45"/>
    <w:rsid w:val="003A321C"/>
    <w:rsid w:val="003A33F5"/>
    <w:rsid w:val="003A357E"/>
    <w:rsid w:val="003A3726"/>
    <w:rsid w:val="003A39C6"/>
    <w:rsid w:val="003A3CB6"/>
    <w:rsid w:val="003A3E96"/>
    <w:rsid w:val="003A3ED1"/>
    <w:rsid w:val="003A3F0E"/>
    <w:rsid w:val="003A44DB"/>
    <w:rsid w:val="003A4C14"/>
    <w:rsid w:val="003A4C55"/>
    <w:rsid w:val="003A4C84"/>
    <w:rsid w:val="003A532F"/>
    <w:rsid w:val="003A539B"/>
    <w:rsid w:val="003A557E"/>
    <w:rsid w:val="003A5819"/>
    <w:rsid w:val="003A60CD"/>
    <w:rsid w:val="003A6410"/>
    <w:rsid w:val="003A6668"/>
    <w:rsid w:val="003A6AC7"/>
    <w:rsid w:val="003A7B08"/>
    <w:rsid w:val="003A7C4E"/>
    <w:rsid w:val="003B016E"/>
    <w:rsid w:val="003B0606"/>
    <w:rsid w:val="003B0DB1"/>
    <w:rsid w:val="003B11F3"/>
    <w:rsid w:val="003B1ADE"/>
    <w:rsid w:val="003B2224"/>
    <w:rsid w:val="003B2E38"/>
    <w:rsid w:val="003B354D"/>
    <w:rsid w:val="003B3906"/>
    <w:rsid w:val="003B394A"/>
    <w:rsid w:val="003B3971"/>
    <w:rsid w:val="003B3A2B"/>
    <w:rsid w:val="003B3CDD"/>
    <w:rsid w:val="003B3D14"/>
    <w:rsid w:val="003B4286"/>
    <w:rsid w:val="003B49CB"/>
    <w:rsid w:val="003B49E6"/>
    <w:rsid w:val="003B53D4"/>
    <w:rsid w:val="003B55D1"/>
    <w:rsid w:val="003B5B61"/>
    <w:rsid w:val="003B63E6"/>
    <w:rsid w:val="003B64A0"/>
    <w:rsid w:val="003B661B"/>
    <w:rsid w:val="003B6B02"/>
    <w:rsid w:val="003B728B"/>
    <w:rsid w:val="003B7305"/>
    <w:rsid w:val="003B78C4"/>
    <w:rsid w:val="003B798A"/>
    <w:rsid w:val="003B7CF1"/>
    <w:rsid w:val="003B7FDD"/>
    <w:rsid w:val="003C041C"/>
    <w:rsid w:val="003C07CA"/>
    <w:rsid w:val="003C08F1"/>
    <w:rsid w:val="003C1166"/>
    <w:rsid w:val="003C1654"/>
    <w:rsid w:val="003C21DF"/>
    <w:rsid w:val="003C2498"/>
    <w:rsid w:val="003C24DB"/>
    <w:rsid w:val="003C35B4"/>
    <w:rsid w:val="003C36D7"/>
    <w:rsid w:val="003C38C4"/>
    <w:rsid w:val="003C3AB5"/>
    <w:rsid w:val="003C3D48"/>
    <w:rsid w:val="003C3FE9"/>
    <w:rsid w:val="003C46E3"/>
    <w:rsid w:val="003C487E"/>
    <w:rsid w:val="003C48CA"/>
    <w:rsid w:val="003C518C"/>
    <w:rsid w:val="003C5308"/>
    <w:rsid w:val="003C5542"/>
    <w:rsid w:val="003C58F2"/>
    <w:rsid w:val="003C5DB5"/>
    <w:rsid w:val="003C60AE"/>
    <w:rsid w:val="003C6235"/>
    <w:rsid w:val="003C6592"/>
    <w:rsid w:val="003C6871"/>
    <w:rsid w:val="003C6CC5"/>
    <w:rsid w:val="003C6DC6"/>
    <w:rsid w:val="003C7308"/>
    <w:rsid w:val="003C78A5"/>
    <w:rsid w:val="003C79D4"/>
    <w:rsid w:val="003C7AAA"/>
    <w:rsid w:val="003C7AF3"/>
    <w:rsid w:val="003C7C15"/>
    <w:rsid w:val="003C7D19"/>
    <w:rsid w:val="003C7D2F"/>
    <w:rsid w:val="003D0184"/>
    <w:rsid w:val="003D01D4"/>
    <w:rsid w:val="003D0574"/>
    <w:rsid w:val="003D05AC"/>
    <w:rsid w:val="003D0C5A"/>
    <w:rsid w:val="003D1304"/>
    <w:rsid w:val="003D1485"/>
    <w:rsid w:val="003D1733"/>
    <w:rsid w:val="003D1828"/>
    <w:rsid w:val="003D1A6C"/>
    <w:rsid w:val="003D1C02"/>
    <w:rsid w:val="003D1DE4"/>
    <w:rsid w:val="003D1E9A"/>
    <w:rsid w:val="003D200D"/>
    <w:rsid w:val="003D2075"/>
    <w:rsid w:val="003D20F2"/>
    <w:rsid w:val="003D2422"/>
    <w:rsid w:val="003D272E"/>
    <w:rsid w:val="003D2925"/>
    <w:rsid w:val="003D2D3C"/>
    <w:rsid w:val="003D31CA"/>
    <w:rsid w:val="003D3303"/>
    <w:rsid w:val="003D39A1"/>
    <w:rsid w:val="003D3BEE"/>
    <w:rsid w:val="003D3FAC"/>
    <w:rsid w:val="003D3FBF"/>
    <w:rsid w:val="003D43C9"/>
    <w:rsid w:val="003D4A30"/>
    <w:rsid w:val="003D4B61"/>
    <w:rsid w:val="003D4C18"/>
    <w:rsid w:val="003D511C"/>
    <w:rsid w:val="003D59B2"/>
    <w:rsid w:val="003D5D40"/>
    <w:rsid w:val="003D5DE7"/>
    <w:rsid w:val="003D6040"/>
    <w:rsid w:val="003D6D5A"/>
    <w:rsid w:val="003D7088"/>
    <w:rsid w:val="003D72FA"/>
    <w:rsid w:val="003D7452"/>
    <w:rsid w:val="003D753B"/>
    <w:rsid w:val="003D79B7"/>
    <w:rsid w:val="003D79BB"/>
    <w:rsid w:val="003D7AB7"/>
    <w:rsid w:val="003D7C98"/>
    <w:rsid w:val="003D7D9D"/>
    <w:rsid w:val="003E0543"/>
    <w:rsid w:val="003E095B"/>
    <w:rsid w:val="003E0B08"/>
    <w:rsid w:val="003E104A"/>
    <w:rsid w:val="003E10CD"/>
    <w:rsid w:val="003E1449"/>
    <w:rsid w:val="003E1487"/>
    <w:rsid w:val="003E190B"/>
    <w:rsid w:val="003E1947"/>
    <w:rsid w:val="003E2037"/>
    <w:rsid w:val="003E26C4"/>
    <w:rsid w:val="003E27F2"/>
    <w:rsid w:val="003E2AAE"/>
    <w:rsid w:val="003E2CD3"/>
    <w:rsid w:val="003E31CB"/>
    <w:rsid w:val="003E3695"/>
    <w:rsid w:val="003E36D1"/>
    <w:rsid w:val="003E3790"/>
    <w:rsid w:val="003E3F94"/>
    <w:rsid w:val="003E492D"/>
    <w:rsid w:val="003E4A9C"/>
    <w:rsid w:val="003E4AE3"/>
    <w:rsid w:val="003E4B54"/>
    <w:rsid w:val="003E504F"/>
    <w:rsid w:val="003E51AA"/>
    <w:rsid w:val="003E5603"/>
    <w:rsid w:val="003E5B4A"/>
    <w:rsid w:val="003E5BA7"/>
    <w:rsid w:val="003E5D3B"/>
    <w:rsid w:val="003E5D80"/>
    <w:rsid w:val="003E600B"/>
    <w:rsid w:val="003E6055"/>
    <w:rsid w:val="003E68BD"/>
    <w:rsid w:val="003E6937"/>
    <w:rsid w:val="003E6AA2"/>
    <w:rsid w:val="003E6CEB"/>
    <w:rsid w:val="003E6DE6"/>
    <w:rsid w:val="003E7384"/>
    <w:rsid w:val="003E749E"/>
    <w:rsid w:val="003E772D"/>
    <w:rsid w:val="003E7AA1"/>
    <w:rsid w:val="003E7E12"/>
    <w:rsid w:val="003F03AF"/>
    <w:rsid w:val="003F0F03"/>
    <w:rsid w:val="003F1022"/>
    <w:rsid w:val="003F1118"/>
    <w:rsid w:val="003F1A4B"/>
    <w:rsid w:val="003F1AFB"/>
    <w:rsid w:val="003F1E32"/>
    <w:rsid w:val="003F3A31"/>
    <w:rsid w:val="003F4156"/>
    <w:rsid w:val="003F44CC"/>
    <w:rsid w:val="003F4998"/>
    <w:rsid w:val="003F4A3D"/>
    <w:rsid w:val="003F4E53"/>
    <w:rsid w:val="003F4EBF"/>
    <w:rsid w:val="003F5407"/>
    <w:rsid w:val="003F5632"/>
    <w:rsid w:val="003F5720"/>
    <w:rsid w:val="003F5ADF"/>
    <w:rsid w:val="003F5EA1"/>
    <w:rsid w:val="003F60E7"/>
    <w:rsid w:val="003F653C"/>
    <w:rsid w:val="003F685C"/>
    <w:rsid w:val="003F6A87"/>
    <w:rsid w:val="003F6FD6"/>
    <w:rsid w:val="003F70E4"/>
    <w:rsid w:val="003F7BE9"/>
    <w:rsid w:val="003F7C3E"/>
    <w:rsid w:val="003F7F9D"/>
    <w:rsid w:val="003F7FA6"/>
    <w:rsid w:val="0040004F"/>
    <w:rsid w:val="00400B29"/>
    <w:rsid w:val="00400DDC"/>
    <w:rsid w:val="00400DDF"/>
    <w:rsid w:val="00400E80"/>
    <w:rsid w:val="00401507"/>
    <w:rsid w:val="004016AF"/>
    <w:rsid w:val="00401DE8"/>
    <w:rsid w:val="004020BD"/>
    <w:rsid w:val="00402210"/>
    <w:rsid w:val="004026D5"/>
    <w:rsid w:val="00402812"/>
    <w:rsid w:val="00402C7A"/>
    <w:rsid w:val="00402CE6"/>
    <w:rsid w:val="00402FA3"/>
    <w:rsid w:val="004030DB"/>
    <w:rsid w:val="0040317F"/>
    <w:rsid w:val="00403365"/>
    <w:rsid w:val="0040362C"/>
    <w:rsid w:val="004038F6"/>
    <w:rsid w:val="00403A53"/>
    <w:rsid w:val="00403BF7"/>
    <w:rsid w:val="00403EAC"/>
    <w:rsid w:val="00403FFB"/>
    <w:rsid w:val="0040420B"/>
    <w:rsid w:val="004043AE"/>
    <w:rsid w:val="00404912"/>
    <w:rsid w:val="004049C8"/>
    <w:rsid w:val="00404DD3"/>
    <w:rsid w:val="00404E07"/>
    <w:rsid w:val="0040504B"/>
    <w:rsid w:val="00405066"/>
    <w:rsid w:val="00405438"/>
    <w:rsid w:val="00405985"/>
    <w:rsid w:val="004059F4"/>
    <w:rsid w:val="00405A65"/>
    <w:rsid w:val="00405C8E"/>
    <w:rsid w:val="00405F5C"/>
    <w:rsid w:val="0040600C"/>
    <w:rsid w:val="004060E8"/>
    <w:rsid w:val="00406510"/>
    <w:rsid w:val="00406A19"/>
    <w:rsid w:val="00407072"/>
    <w:rsid w:val="00407585"/>
    <w:rsid w:val="00407D8B"/>
    <w:rsid w:val="00407ED4"/>
    <w:rsid w:val="00407FE5"/>
    <w:rsid w:val="004101B0"/>
    <w:rsid w:val="00410326"/>
    <w:rsid w:val="00410708"/>
    <w:rsid w:val="00410B9D"/>
    <w:rsid w:val="00410EC7"/>
    <w:rsid w:val="00411206"/>
    <w:rsid w:val="004113BC"/>
    <w:rsid w:val="00411B39"/>
    <w:rsid w:val="00412077"/>
    <w:rsid w:val="00412097"/>
    <w:rsid w:val="0041259C"/>
    <w:rsid w:val="004126F7"/>
    <w:rsid w:val="00412716"/>
    <w:rsid w:val="004127A4"/>
    <w:rsid w:val="004127A7"/>
    <w:rsid w:val="00412CF2"/>
    <w:rsid w:val="004135D4"/>
    <w:rsid w:val="004135D6"/>
    <w:rsid w:val="00413725"/>
    <w:rsid w:val="00413A1E"/>
    <w:rsid w:val="0041406F"/>
    <w:rsid w:val="00414476"/>
    <w:rsid w:val="00414C2E"/>
    <w:rsid w:val="00414D6F"/>
    <w:rsid w:val="00414EC4"/>
    <w:rsid w:val="00414EFD"/>
    <w:rsid w:val="0041510E"/>
    <w:rsid w:val="00415126"/>
    <w:rsid w:val="004151CF"/>
    <w:rsid w:val="00415400"/>
    <w:rsid w:val="00415690"/>
    <w:rsid w:val="00415B06"/>
    <w:rsid w:val="00416051"/>
    <w:rsid w:val="00416364"/>
    <w:rsid w:val="00416568"/>
    <w:rsid w:val="00417918"/>
    <w:rsid w:val="00417A84"/>
    <w:rsid w:val="00417A88"/>
    <w:rsid w:val="00417B08"/>
    <w:rsid w:val="00417B69"/>
    <w:rsid w:val="00417DD4"/>
    <w:rsid w:val="00417E42"/>
    <w:rsid w:val="004202EF"/>
    <w:rsid w:val="0042047F"/>
    <w:rsid w:val="004206A1"/>
    <w:rsid w:val="00420AA6"/>
    <w:rsid w:val="00420B9F"/>
    <w:rsid w:val="00421396"/>
    <w:rsid w:val="0042174E"/>
    <w:rsid w:val="0042192C"/>
    <w:rsid w:val="00421979"/>
    <w:rsid w:val="004219F3"/>
    <w:rsid w:val="00421AB6"/>
    <w:rsid w:val="00421BB8"/>
    <w:rsid w:val="00421C43"/>
    <w:rsid w:val="00421DED"/>
    <w:rsid w:val="0042204C"/>
    <w:rsid w:val="00422260"/>
    <w:rsid w:val="004231BD"/>
    <w:rsid w:val="00423E7A"/>
    <w:rsid w:val="0042413F"/>
    <w:rsid w:val="0042488B"/>
    <w:rsid w:val="00424C56"/>
    <w:rsid w:val="004250B7"/>
    <w:rsid w:val="00425648"/>
    <w:rsid w:val="0042573E"/>
    <w:rsid w:val="004264E7"/>
    <w:rsid w:val="004265AF"/>
    <w:rsid w:val="0042677E"/>
    <w:rsid w:val="0042680A"/>
    <w:rsid w:val="00426D07"/>
    <w:rsid w:val="00427AA6"/>
    <w:rsid w:val="00427C8D"/>
    <w:rsid w:val="00430575"/>
    <w:rsid w:val="00430F06"/>
    <w:rsid w:val="00430F23"/>
    <w:rsid w:val="00431472"/>
    <w:rsid w:val="004319F8"/>
    <w:rsid w:val="00431E55"/>
    <w:rsid w:val="004321F6"/>
    <w:rsid w:val="00433044"/>
    <w:rsid w:val="00433220"/>
    <w:rsid w:val="004332D7"/>
    <w:rsid w:val="00433764"/>
    <w:rsid w:val="00433E6F"/>
    <w:rsid w:val="00434088"/>
    <w:rsid w:val="004344F4"/>
    <w:rsid w:val="00434869"/>
    <w:rsid w:val="0043489B"/>
    <w:rsid w:val="00434948"/>
    <w:rsid w:val="00435799"/>
    <w:rsid w:val="00435C4A"/>
    <w:rsid w:val="0043649F"/>
    <w:rsid w:val="004364EE"/>
    <w:rsid w:val="00436569"/>
    <w:rsid w:val="004370DA"/>
    <w:rsid w:val="00437201"/>
    <w:rsid w:val="004375B9"/>
    <w:rsid w:val="004377C8"/>
    <w:rsid w:val="00437BAF"/>
    <w:rsid w:val="00437FE6"/>
    <w:rsid w:val="0044009C"/>
    <w:rsid w:val="004406DF"/>
    <w:rsid w:val="004407D7"/>
    <w:rsid w:val="004407F8"/>
    <w:rsid w:val="00440C88"/>
    <w:rsid w:val="00440F99"/>
    <w:rsid w:val="00440FE2"/>
    <w:rsid w:val="00442347"/>
    <w:rsid w:val="0044286C"/>
    <w:rsid w:val="004428D0"/>
    <w:rsid w:val="00442CAD"/>
    <w:rsid w:val="004432DC"/>
    <w:rsid w:val="004434A3"/>
    <w:rsid w:val="00443508"/>
    <w:rsid w:val="004437A8"/>
    <w:rsid w:val="00443BCE"/>
    <w:rsid w:val="00443E64"/>
    <w:rsid w:val="004440EC"/>
    <w:rsid w:val="00444185"/>
    <w:rsid w:val="004443A7"/>
    <w:rsid w:val="0044442C"/>
    <w:rsid w:val="00444493"/>
    <w:rsid w:val="00444A00"/>
    <w:rsid w:val="00445669"/>
    <w:rsid w:val="004456BA"/>
    <w:rsid w:val="00445941"/>
    <w:rsid w:val="00445951"/>
    <w:rsid w:val="00445A6D"/>
    <w:rsid w:val="00445C0A"/>
    <w:rsid w:val="00445C0E"/>
    <w:rsid w:val="004464EB"/>
    <w:rsid w:val="00446578"/>
    <w:rsid w:val="00446A29"/>
    <w:rsid w:val="00446A30"/>
    <w:rsid w:val="00446B62"/>
    <w:rsid w:val="00447D26"/>
    <w:rsid w:val="00447DBE"/>
    <w:rsid w:val="00447DFC"/>
    <w:rsid w:val="004505E6"/>
    <w:rsid w:val="00450668"/>
    <w:rsid w:val="004507A0"/>
    <w:rsid w:val="00450930"/>
    <w:rsid w:val="00450940"/>
    <w:rsid w:val="00450CB0"/>
    <w:rsid w:val="00450F57"/>
    <w:rsid w:val="00451D9D"/>
    <w:rsid w:val="004522B0"/>
    <w:rsid w:val="004526E8"/>
    <w:rsid w:val="004529DF"/>
    <w:rsid w:val="00452AC5"/>
    <w:rsid w:val="00452C92"/>
    <w:rsid w:val="00452E4A"/>
    <w:rsid w:val="00452EF8"/>
    <w:rsid w:val="00453CC9"/>
    <w:rsid w:val="0045431D"/>
    <w:rsid w:val="0045460F"/>
    <w:rsid w:val="0045481A"/>
    <w:rsid w:val="0045483E"/>
    <w:rsid w:val="004548C2"/>
    <w:rsid w:val="00454E07"/>
    <w:rsid w:val="00454E7E"/>
    <w:rsid w:val="00454F82"/>
    <w:rsid w:val="00455060"/>
    <w:rsid w:val="004552E7"/>
    <w:rsid w:val="004552F9"/>
    <w:rsid w:val="00455D45"/>
    <w:rsid w:val="00456195"/>
    <w:rsid w:val="004561F7"/>
    <w:rsid w:val="00456A22"/>
    <w:rsid w:val="00457143"/>
    <w:rsid w:val="00457C49"/>
    <w:rsid w:val="0046046B"/>
    <w:rsid w:val="0046115D"/>
    <w:rsid w:val="00461650"/>
    <w:rsid w:val="004619CB"/>
    <w:rsid w:val="00461EBA"/>
    <w:rsid w:val="00462877"/>
    <w:rsid w:val="00463304"/>
    <w:rsid w:val="0046377A"/>
    <w:rsid w:val="00463FAF"/>
    <w:rsid w:val="00464595"/>
    <w:rsid w:val="004646FF"/>
    <w:rsid w:val="004648F4"/>
    <w:rsid w:val="00464A88"/>
    <w:rsid w:val="00464ACF"/>
    <w:rsid w:val="00464ED3"/>
    <w:rsid w:val="004658B5"/>
    <w:rsid w:val="00465C22"/>
    <w:rsid w:val="00465C90"/>
    <w:rsid w:val="004663A0"/>
    <w:rsid w:val="00466A92"/>
    <w:rsid w:val="00467139"/>
    <w:rsid w:val="00467355"/>
    <w:rsid w:val="00467616"/>
    <w:rsid w:val="0046792C"/>
    <w:rsid w:val="004700B3"/>
    <w:rsid w:val="00470491"/>
    <w:rsid w:val="00470A1B"/>
    <w:rsid w:val="00471213"/>
    <w:rsid w:val="00471E21"/>
    <w:rsid w:val="00471EA5"/>
    <w:rsid w:val="00472A79"/>
    <w:rsid w:val="00473301"/>
    <w:rsid w:val="004733E7"/>
    <w:rsid w:val="00473D90"/>
    <w:rsid w:val="00473F19"/>
    <w:rsid w:val="00474050"/>
    <w:rsid w:val="00474739"/>
    <w:rsid w:val="00475815"/>
    <w:rsid w:val="00475966"/>
    <w:rsid w:val="00475E20"/>
    <w:rsid w:val="00475E22"/>
    <w:rsid w:val="00475F50"/>
    <w:rsid w:val="00475F81"/>
    <w:rsid w:val="00476315"/>
    <w:rsid w:val="004766F1"/>
    <w:rsid w:val="00476D55"/>
    <w:rsid w:val="004771BD"/>
    <w:rsid w:val="00477C92"/>
    <w:rsid w:val="00480085"/>
    <w:rsid w:val="00480471"/>
    <w:rsid w:val="0048070F"/>
    <w:rsid w:val="0048088E"/>
    <w:rsid w:val="00480BD9"/>
    <w:rsid w:val="00480C66"/>
    <w:rsid w:val="00480F2B"/>
    <w:rsid w:val="0048169B"/>
    <w:rsid w:val="00482720"/>
    <w:rsid w:val="004827BB"/>
    <w:rsid w:val="00482E92"/>
    <w:rsid w:val="004835E7"/>
    <w:rsid w:val="004837A3"/>
    <w:rsid w:val="00483D37"/>
    <w:rsid w:val="00483F72"/>
    <w:rsid w:val="00484896"/>
    <w:rsid w:val="004849D3"/>
    <w:rsid w:val="00484A84"/>
    <w:rsid w:val="00484FB6"/>
    <w:rsid w:val="00485121"/>
    <w:rsid w:val="004859E1"/>
    <w:rsid w:val="00485CBD"/>
    <w:rsid w:val="00486177"/>
    <w:rsid w:val="0048649E"/>
    <w:rsid w:val="004867E2"/>
    <w:rsid w:val="00486A7C"/>
    <w:rsid w:val="00486B84"/>
    <w:rsid w:val="004873B7"/>
    <w:rsid w:val="004878AD"/>
    <w:rsid w:val="00487A17"/>
    <w:rsid w:val="00487E74"/>
    <w:rsid w:val="00487ED8"/>
    <w:rsid w:val="00487FCF"/>
    <w:rsid w:val="0049050D"/>
    <w:rsid w:val="004909F9"/>
    <w:rsid w:val="00490B17"/>
    <w:rsid w:val="004917AA"/>
    <w:rsid w:val="0049194F"/>
    <w:rsid w:val="00491B3A"/>
    <w:rsid w:val="00491F6C"/>
    <w:rsid w:val="0049222C"/>
    <w:rsid w:val="0049260D"/>
    <w:rsid w:val="004926AE"/>
    <w:rsid w:val="00492B87"/>
    <w:rsid w:val="00492CFD"/>
    <w:rsid w:val="00493056"/>
    <w:rsid w:val="004935B5"/>
    <w:rsid w:val="0049399C"/>
    <w:rsid w:val="00493DEE"/>
    <w:rsid w:val="00494207"/>
    <w:rsid w:val="004948E8"/>
    <w:rsid w:val="004949E6"/>
    <w:rsid w:val="00494DD5"/>
    <w:rsid w:val="004957EE"/>
    <w:rsid w:val="00495DCF"/>
    <w:rsid w:val="00495FDD"/>
    <w:rsid w:val="004962D2"/>
    <w:rsid w:val="00496C7E"/>
    <w:rsid w:val="00496E63"/>
    <w:rsid w:val="00497173"/>
    <w:rsid w:val="0049767A"/>
    <w:rsid w:val="0049767B"/>
    <w:rsid w:val="004A00F2"/>
    <w:rsid w:val="004A0764"/>
    <w:rsid w:val="004A0C63"/>
    <w:rsid w:val="004A0CAC"/>
    <w:rsid w:val="004A0DA1"/>
    <w:rsid w:val="004A131C"/>
    <w:rsid w:val="004A13D6"/>
    <w:rsid w:val="004A1661"/>
    <w:rsid w:val="004A17A9"/>
    <w:rsid w:val="004A1C3B"/>
    <w:rsid w:val="004A254C"/>
    <w:rsid w:val="004A2AF6"/>
    <w:rsid w:val="004A2EDF"/>
    <w:rsid w:val="004A2F08"/>
    <w:rsid w:val="004A2F48"/>
    <w:rsid w:val="004A2F82"/>
    <w:rsid w:val="004A312F"/>
    <w:rsid w:val="004A352A"/>
    <w:rsid w:val="004A380D"/>
    <w:rsid w:val="004A3831"/>
    <w:rsid w:val="004A3A7E"/>
    <w:rsid w:val="004A4271"/>
    <w:rsid w:val="004A42A6"/>
    <w:rsid w:val="004A4B3B"/>
    <w:rsid w:val="004A4F11"/>
    <w:rsid w:val="004A4F98"/>
    <w:rsid w:val="004A52E9"/>
    <w:rsid w:val="004A5A0D"/>
    <w:rsid w:val="004A5DAD"/>
    <w:rsid w:val="004A6040"/>
    <w:rsid w:val="004A6345"/>
    <w:rsid w:val="004A6597"/>
    <w:rsid w:val="004A7251"/>
    <w:rsid w:val="004A7848"/>
    <w:rsid w:val="004A793B"/>
    <w:rsid w:val="004A7D15"/>
    <w:rsid w:val="004B0125"/>
    <w:rsid w:val="004B03A7"/>
    <w:rsid w:val="004B04AF"/>
    <w:rsid w:val="004B0D36"/>
    <w:rsid w:val="004B1872"/>
    <w:rsid w:val="004B1B44"/>
    <w:rsid w:val="004B1BE9"/>
    <w:rsid w:val="004B1CB4"/>
    <w:rsid w:val="004B2424"/>
    <w:rsid w:val="004B2643"/>
    <w:rsid w:val="004B26E5"/>
    <w:rsid w:val="004B28A4"/>
    <w:rsid w:val="004B2BF0"/>
    <w:rsid w:val="004B2DB5"/>
    <w:rsid w:val="004B2F18"/>
    <w:rsid w:val="004B31EB"/>
    <w:rsid w:val="004B337B"/>
    <w:rsid w:val="004B3B29"/>
    <w:rsid w:val="004B3DDB"/>
    <w:rsid w:val="004B42D6"/>
    <w:rsid w:val="004B44FD"/>
    <w:rsid w:val="004B46D4"/>
    <w:rsid w:val="004B4C19"/>
    <w:rsid w:val="004B554E"/>
    <w:rsid w:val="004B573A"/>
    <w:rsid w:val="004B5CFC"/>
    <w:rsid w:val="004B613E"/>
    <w:rsid w:val="004B6748"/>
    <w:rsid w:val="004B6B24"/>
    <w:rsid w:val="004B6BE2"/>
    <w:rsid w:val="004B6CCD"/>
    <w:rsid w:val="004B6F79"/>
    <w:rsid w:val="004B774D"/>
    <w:rsid w:val="004B77AA"/>
    <w:rsid w:val="004B7818"/>
    <w:rsid w:val="004C04C2"/>
    <w:rsid w:val="004C07BF"/>
    <w:rsid w:val="004C08F6"/>
    <w:rsid w:val="004C09A2"/>
    <w:rsid w:val="004C1522"/>
    <w:rsid w:val="004C1681"/>
    <w:rsid w:val="004C183F"/>
    <w:rsid w:val="004C1B87"/>
    <w:rsid w:val="004C1E04"/>
    <w:rsid w:val="004C20CB"/>
    <w:rsid w:val="004C2497"/>
    <w:rsid w:val="004C271F"/>
    <w:rsid w:val="004C2AC2"/>
    <w:rsid w:val="004C2CA2"/>
    <w:rsid w:val="004C2FA7"/>
    <w:rsid w:val="004C3423"/>
    <w:rsid w:val="004C3B02"/>
    <w:rsid w:val="004C435C"/>
    <w:rsid w:val="004C4AED"/>
    <w:rsid w:val="004C4B59"/>
    <w:rsid w:val="004C5468"/>
    <w:rsid w:val="004C5675"/>
    <w:rsid w:val="004C5A6B"/>
    <w:rsid w:val="004C5EFF"/>
    <w:rsid w:val="004C64BF"/>
    <w:rsid w:val="004C6C02"/>
    <w:rsid w:val="004C6F95"/>
    <w:rsid w:val="004C736A"/>
    <w:rsid w:val="004D049B"/>
    <w:rsid w:val="004D0989"/>
    <w:rsid w:val="004D10FB"/>
    <w:rsid w:val="004D11AD"/>
    <w:rsid w:val="004D1405"/>
    <w:rsid w:val="004D1D89"/>
    <w:rsid w:val="004D2670"/>
    <w:rsid w:val="004D2A16"/>
    <w:rsid w:val="004D2C08"/>
    <w:rsid w:val="004D2C0B"/>
    <w:rsid w:val="004D2C2D"/>
    <w:rsid w:val="004D2D15"/>
    <w:rsid w:val="004D3016"/>
    <w:rsid w:val="004D3319"/>
    <w:rsid w:val="004D44AE"/>
    <w:rsid w:val="004D4F61"/>
    <w:rsid w:val="004D552E"/>
    <w:rsid w:val="004D55A6"/>
    <w:rsid w:val="004D63BC"/>
    <w:rsid w:val="004D68F4"/>
    <w:rsid w:val="004D69B5"/>
    <w:rsid w:val="004D7014"/>
    <w:rsid w:val="004D7031"/>
    <w:rsid w:val="004D7227"/>
    <w:rsid w:val="004D79B2"/>
    <w:rsid w:val="004D7A24"/>
    <w:rsid w:val="004D7B5E"/>
    <w:rsid w:val="004E02CF"/>
    <w:rsid w:val="004E035F"/>
    <w:rsid w:val="004E082E"/>
    <w:rsid w:val="004E0D13"/>
    <w:rsid w:val="004E0E7F"/>
    <w:rsid w:val="004E0EB8"/>
    <w:rsid w:val="004E10BA"/>
    <w:rsid w:val="004E1196"/>
    <w:rsid w:val="004E1296"/>
    <w:rsid w:val="004E1896"/>
    <w:rsid w:val="004E18E9"/>
    <w:rsid w:val="004E1DAB"/>
    <w:rsid w:val="004E1E73"/>
    <w:rsid w:val="004E20A2"/>
    <w:rsid w:val="004E2ADC"/>
    <w:rsid w:val="004E2D92"/>
    <w:rsid w:val="004E2EA4"/>
    <w:rsid w:val="004E2FCB"/>
    <w:rsid w:val="004E30F9"/>
    <w:rsid w:val="004E393B"/>
    <w:rsid w:val="004E43B2"/>
    <w:rsid w:val="004E47D7"/>
    <w:rsid w:val="004E4A48"/>
    <w:rsid w:val="004E5411"/>
    <w:rsid w:val="004E5D36"/>
    <w:rsid w:val="004E5E03"/>
    <w:rsid w:val="004E5F00"/>
    <w:rsid w:val="004E62BC"/>
    <w:rsid w:val="004E643E"/>
    <w:rsid w:val="004E67A7"/>
    <w:rsid w:val="004E68E4"/>
    <w:rsid w:val="004E7097"/>
    <w:rsid w:val="004E70C3"/>
    <w:rsid w:val="004E736B"/>
    <w:rsid w:val="004E74A1"/>
    <w:rsid w:val="004E7C49"/>
    <w:rsid w:val="004E7CE6"/>
    <w:rsid w:val="004E7FEF"/>
    <w:rsid w:val="004F09E4"/>
    <w:rsid w:val="004F0A55"/>
    <w:rsid w:val="004F0B15"/>
    <w:rsid w:val="004F0BF1"/>
    <w:rsid w:val="004F0D0B"/>
    <w:rsid w:val="004F1222"/>
    <w:rsid w:val="004F122E"/>
    <w:rsid w:val="004F1270"/>
    <w:rsid w:val="004F17ED"/>
    <w:rsid w:val="004F1D02"/>
    <w:rsid w:val="004F2584"/>
    <w:rsid w:val="004F2679"/>
    <w:rsid w:val="004F2DD3"/>
    <w:rsid w:val="004F2F21"/>
    <w:rsid w:val="004F3DE5"/>
    <w:rsid w:val="004F3F79"/>
    <w:rsid w:val="004F4504"/>
    <w:rsid w:val="004F4538"/>
    <w:rsid w:val="004F4846"/>
    <w:rsid w:val="004F4C25"/>
    <w:rsid w:val="004F4D09"/>
    <w:rsid w:val="004F4DE9"/>
    <w:rsid w:val="004F4FD7"/>
    <w:rsid w:val="004F5028"/>
    <w:rsid w:val="004F537E"/>
    <w:rsid w:val="004F54AA"/>
    <w:rsid w:val="004F55DC"/>
    <w:rsid w:val="004F5862"/>
    <w:rsid w:val="004F6049"/>
    <w:rsid w:val="004F656A"/>
    <w:rsid w:val="004F6913"/>
    <w:rsid w:val="004F6ED3"/>
    <w:rsid w:val="004F6F1D"/>
    <w:rsid w:val="004F7865"/>
    <w:rsid w:val="004F7E3D"/>
    <w:rsid w:val="00500440"/>
    <w:rsid w:val="005013EE"/>
    <w:rsid w:val="00501485"/>
    <w:rsid w:val="0050155D"/>
    <w:rsid w:val="0050174E"/>
    <w:rsid w:val="00501854"/>
    <w:rsid w:val="005019F0"/>
    <w:rsid w:val="0050201F"/>
    <w:rsid w:val="0050219B"/>
    <w:rsid w:val="00502E53"/>
    <w:rsid w:val="0050348D"/>
    <w:rsid w:val="00503A78"/>
    <w:rsid w:val="00503DDE"/>
    <w:rsid w:val="00503DF0"/>
    <w:rsid w:val="00503F17"/>
    <w:rsid w:val="00503F3A"/>
    <w:rsid w:val="00504160"/>
    <w:rsid w:val="00504BD8"/>
    <w:rsid w:val="005057E2"/>
    <w:rsid w:val="00505AEA"/>
    <w:rsid w:val="00506928"/>
    <w:rsid w:val="00506B02"/>
    <w:rsid w:val="00506EEF"/>
    <w:rsid w:val="005071AA"/>
    <w:rsid w:val="00507594"/>
    <w:rsid w:val="005077EF"/>
    <w:rsid w:val="00507914"/>
    <w:rsid w:val="00507ACF"/>
    <w:rsid w:val="0051044B"/>
    <w:rsid w:val="005107CB"/>
    <w:rsid w:val="00510DD5"/>
    <w:rsid w:val="00510E12"/>
    <w:rsid w:val="00511AD5"/>
    <w:rsid w:val="00511AEC"/>
    <w:rsid w:val="00511AF9"/>
    <w:rsid w:val="00511DC7"/>
    <w:rsid w:val="00511E7F"/>
    <w:rsid w:val="00512440"/>
    <w:rsid w:val="005125D9"/>
    <w:rsid w:val="00512B26"/>
    <w:rsid w:val="0051347C"/>
    <w:rsid w:val="0051378D"/>
    <w:rsid w:val="005142C5"/>
    <w:rsid w:val="00514691"/>
    <w:rsid w:val="005147DF"/>
    <w:rsid w:val="0051501B"/>
    <w:rsid w:val="005151F5"/>
    <w:rsid w:val="005152B5"/>
    <w:rsid w:val="00515377"/>
    <w:rsid w:val="00515605"/>
    <w:rsid w:val="00515810"/>
    <w:rsid w:val="00515851"/>
    <w:rsid w:val="00515886"/>
    <w:rsid w:val="00515AF9"/>
    <w:rsid w:val="00515B06"/>
    <w:rsid w:val="0051642F"/>
    <w:rsid w:val="00516766"/>
    <w:rsid w:val="005168F1"/>
    <w:rsid w:val="00516D53"/>
    <w:rsid w:val="00516D75"/>
    <w:rsid w:val="00516E39"/>
    <w:rsid w:val="00517583"/>
    <w:rsid w:val="00517633"/>
    <w:rsid w:val="00517843"/>
    <w:rsid w:val="0051790B"/>
    <w:rsid w:val="00517A49"/>
    <w:rsid w:val="00517B03"/>
    <w:rsid w:val="00517B4A"/>
    <w:rsid w:val="00520A2E"/>
    <w:rsid w:val="0052123C"/>
    <w:rsid w:val="00521319"/>
    <w:rsid w:val="00521976"/>
    <w:rsid w:val="00521A80"/>
    <w:rsid w:val="00522750"/>
    <w:rsid w:val="005229A8"/>
    <w:rsid w:val="00522BC8"/>
    <w:rsid w:val="00522D83"/>
    <w:rsid w:val="00523C28"/>
    <w:rsid w:val="00523FFE"/>
    <w:rsid w:val="005242E3"/>
    <w:rsid w:val="0052462E"/>
    <w:rsid w:val="00524693"/>
    <w:rsid w:val="005249A5"/>
    <w:rsid w:val="00524A04"/>
    <w:rsid w:val="00524CD8"/>
    <w:rsid w:val="00525133"/>
    <w:rsid w:val="005253B5"/>
    <w:rsid w:val="005254E6"/>
    <w:rsid w:val="005257D5"/>
    <w:rsid w:val="00525EAF"/>
    <w:rsid w:val="00526057"/>
    <w:rsid w:val="005267B4"/>
    <w:rsid w:val="00526BC4"/>
    <w:rsid w:val="00526D55"/>
    <w:rsid w:val="00527066"/>
    <w:rsid w:val="00527252"/>
    <w:rsid w:val="00527A00"/>
    <w:rsid w:val="00527BC2"/>
    <w:rsid w:val="00527F2A"/>
    <w:rsid w:val="005302B3"/>
    <w:rsid w:val="00530360"/>
    <w:rsid w:val="005303E7"/>
    <w:rsid w:val="00530824"/>
    <w:rsid w:val="00530F4E"/>
    <w:rsid w:val="005313F9"/>
    <w:rsid w:val="00531672"/>
    <w:rsid w:val="0053176B"/>
    <w:rsid w:val="00531979"/>
    <w:rsid w:val="00531D1A"/>
    <w:rsid w:val="00531F60"/>
    <w:rsid w:val="00532185"/>
    <w:rsid w:val="0053295A"/>
    <w:rsid w:val="00532CF6"/>
    <w:rsid w:val="00532F08"/>
    <w:rsid w:val="0053338E"/>
    <w:rsid w:val="00533686"/>
    <w:rsid w:val="00534073"/>
    <w:rsid w:val="005341AA"/>
    <w:rsid w:val="005341B3"/>
    <w:rsid w:val="005345C5"/>
    <w:rsid w:val="00534EC1"/>
    <w:rsid w:val="00534F2D"/>
    <w:rsid w:val="00535613"/>
    <w:rsid w:val="005363BD"/>
    <w:rsid w:val="00536773"/>
    <w:rsid w:val="005367DB"/>
    <w:rsid w:val="00536AB0"/>
    <w:rsid w:val="00536EB0"/>
    <w:rsid w:val="00536F42"/>
    <w:rsid w:val="00537182"/>
    <w:rsid w:val="005373FE"/>
    <w:rsid w:val="005377A1"/>
    <w:rsid w:val="00537CE2"/>
    <w:rsid w:val="00537DB1"/>
    <w:rsid w:val="00537EC9"/>
    <w:rsid w:val="0054037C"/>
    <w:rsid w:val="00540641"/>
    <w:rsid w:val="00540A46"/>
    <w:rsid w:val="00540B5E"/>
    <w:rsid w:val="00541322"/>
    <w:rsid w:val="0054134E"/>
    <w:rsid w:val="005417A3"/>
    <w:rsid w:val="00541831"/>
    <w:rsid w:val="005419C4"/>
    <w:rsid w:val="00541EDD"/>
    <w:rsid w:val="005420B6"/>
    <w:rsid w:val="0054244F"/>
    <w:rsid w:val="00542743"/>
    <w:rsid w:val="005427AE"/>
    <w:rsid w:val="00542C04"/>
    <w:rsid w:val="00542C2D"/>
    <w:rsid w:val="00542F64"/>
    <w:rsid w:val="00543351"/>
    <w:rsid w:val="0054368A"/>
    <w:rsid w:val="0054398E"/>
    <w:rsid w:val="00543BC2"/>
    <w:rsid w:val="00544994"/>
    <w:rsid w:val="00544BA1"/>
    <w:rsid w:val="00544BEF"/>
    <w:rsid w:val="00544C8B"/>
    <w:rsid w:val="00545164"/>
    <w:rsid w:val="005451AD"/>
    <w:rsid w:val="005455F1"/>
    <w:rsid w:val="00545AA7"/>
    <w:rsid w:val="00545E3D"/>
    <w:rsid w:val="00546F77"/>
    <w:rsid w:val="0054705F"/>
    <w:rsid w:val="00547072"/>
    <w:rsid w:val="005474CB"/>
    <w:rsid w:val="00547706"/>
    <w:rsid w:val="005478BD"/>
    <w:rsid w:val="005478CC"/>
    <w:rsid w:val="005479E3"/>
    <w:rsid w:val="00550989"/>
    <w:rsid w:val="00550B0E"/>
    <w:rsid w:val="00550DB8"/>
    <w:rsid w:val="0055102C"/>
    <w:rsid w:val="0055133C"/>
    <w:rsid w:val="005514D6"/>
    <w:rsid w:val="005518A4"/>
    <w:rsid w:val="00551985"/>
    <w:rsid w:val="00551A50"/>
    <w:rsid w:val="00552636"/>
    <w:rsid w:val="00552BD3"/>
    <w:rsid w:val="005532A0"/>
    <w:rsid w:val="005536DE"/>
    <w:rsid w:val="00553DA5"/>
    <w:rsid w:val="00554053"/>
    <w:rsid w:val="00554124"/>
    <w:rsid w:val="00554C6B"/>
    <w:rsid w:val="00555109"/>
    <w:rsid w:val="00555235"/>
    <w:rsid w:val="005552A2"/>
    <w:rsid w:val="00555711"/>
    <w:rsid w:val="00555816"/>
    <w:rsid w:val="00555925"/>
    <w:rsid w:val="00555E40"/>
    <w:rsid w:val="005562C3"/>
    <w:rsid w:val="005563D6"/>
    <w:rsid w:val="005566D2"/>
    <w:rsid w:val="00556B35"/>
    <w:rsid w:val="00557334"/>
    <w:rsid w:val="0055741A"/>
    <w:rsid w:val="00557ACD"/>
    <w:rsid w:val="00557D15"/>
    <w:rsid w:val="0056003F"/>
    <w:rsid w:val="0056064F"/>
    <w:rsid w:val="00560723"/>
    <w:rsid w:val="0056083E"/>
    <w:rsid w:val="0056097F"/>
    <w:rsid w:val="00560D3A"/>
    <w:rsid w:val="005611B7"/>
    <w:rsid w:val="0056126E"/>
    <w:rsid w:val="005616B8"/>
    <w:rsid w:val="005616FB"/>
    <w:rsid w:val="00561724"/>
    <w:rsid w:val="005618D4"/>
    <w:rsid w:val="00561ADD"/>
    <w:rsid w:val="00562246"/>
    <w:rsid w:val="005622F9"/>
    <w:rsid w:val="00562A52"/>
    <w:rsid w:val="00562CC7"/>
    <w:rsid w:val="00562D5E"/>
    <w:rsid w:val="00562EF6"/>
    <w:rsid w:val="0056340E"/>
    <w:rsid w:val="005636A8"/>
    <w:rsid w:val="005646EC"/>
    <w:rsid w:val="00564867"/>
    <w:rsid w:val="00564FBD"/>
    <w:rsid w:val="00565141"/>
    <w:rsid w:val="00565230"/>
    <w:rsid w:val="00565336"/>
    <w:rsid w:val="005654F8"/>
    <w:rsid w:val="0056589D"/>
    <w:rsid w:val="00565919"/>
    <w:rsid w:val="00565C1C"/>
    <w:rsid w:val="00565C61"/>
    <w:rsid w:val="00565C79"/>
    <w:rsid w:val="00565CAF"/>
    <w:rsid w:val="00565DF0"/>
    <w:rsid w:val="00566288"/>
    <w:rsid w:val="0056696F"/>
    <w:rsid w:val="005676AB"/>
    <w:rsid w:val="00567B96"/>
    <w:rsid w:val="00567EA0"/>
    <w:rsid w:val="0057029A"/>
    <w:rsid w:val="0057058D"/>
    <w:rsid w:val="00570A08"/>
    <w:rsid w:val="0057110B"/>
    <w:rsid w:val="0057160D"/>
    <w:rsid w:val="00571A41"/>
    <w:rsid w:val="00571A4B"/>
    <w:rsid w:val="00572245"/>
    <w:rsid w:val="00572269"/>
    <w:rsid w:val="0057244A"/>
    <w:rsid w:val="00572785"/>
    <w:rsid w:val="0057282E"/>
    <w:rsid w:val="00572E38"/>
    <w:rsid w:val="00572EEF"/>
    <w:rsid w:val="00572EF0"/>
    <w:rsid w:val="00572F26"/>
    <w:rsid w:val="00572F81"/>
    <w:rsid w:val="0057398E"/>
    <w:rsid w:val="005739AC"/>
    <w:rsid w:val="0057479F"/>
    <w:rsid w:val="00574DE9"/>
    <w:rsid w:val="00574ECE"/>
    <w:rsid w:val="0057501B"/>
    <w:rsid w:val="005750C5"/>
    <w:rsid w:val="005752DE"/>
    <w:rsid w:val="005752F4"/>
    <w:rsid w:val="00575386"/>
    <w:rsid w:val="00575656"/>
    <w:rsid w:val="005756D0"/>
    <w:rsid w:val="00575D60"/>
    <w:rsid w:val="00575D8D"/>
    <w:rsid w:val="00575F8D"/>
    <w:rsid w:val="005760B7"/>
    <w:rsid w:val="005763C7"/>
    <w:rsid w:val="00576972"/>
    <w:rsid w:val="00577238"/>
    <w:rsid w:val="00577248"/>
    <w:rsid w:val="0057741B"/>
    <w:rsid w:val="005774B6"/>
    <w:rsid w:val="005775BB"/>
    <w:rsid w:val="00577D2E"/>
    <w:rsid w:val="00581A01"/>
    <w:rsid w:val="005824F6"/>
    <w:rsid w:val="005825EC"/>
    <w:rsid w:val="00583699"/>
    <w:rsid w:val="00584445"/>
    <w:rsid w:val="0058446B"/>
    <w:rsid w:val="005845ED"/>
    <w:rsid w:val="0058481F"/>
    <w:rsid w:val="00584D85"/>
    <w:rsid w:val="00584D93"/>
    <w:rsid w:val="00584DB7"/>
    <w:rsid w:val="00584F81"/>
    <w:rsid w:val="0058504B"/>
    <w:rsid w:val="00585106"/>
    <w:rsid w:val="00585921"/>
    <w:rsid w:val="00585B4F"/>
    <w:rsid w:val="00585CDD"/>
    <w:rsid w:val="00585ED4"/>
    <w:rsid w:val="00585FD9"/>
    <w:rsid w:val="005860CC"/>
    <w:rsid w:val="005861CA"/>
    <w:rsid w:val="00586755"/>
    <w:rsid w:val="00587058"/>
    <w:rsid w:val="005873F0"/>
    <w:rsid w:val="00587416"/>
    <w:rsid w:val="00587D68"/>
    <w:rsid w:val="005900AA"/>
    <w:rsid w:val="00590408"/>
    <w:rsid w:val="0059075D"/>
    <w:rsid w:val="005907F0"/>
    <w:rsid w:val="00590AD5"/>
    <w:rsid w:val="00590B18"/>
    <w:rsid w:val="00591232"/>
    <w:rsid w:val="0059146B"/>
    <w:rsid w:val="00591955"/>
    <w:rsid w:val="00591957"/>
    <w:rsid w:val="00591D05"/>
    <w:rsid w:val="005924E9"/>
    <w:rsid w:val="005925D0"/>
    <w:rsid w:val="00592D97"/>
    <w:rsid w:val="00593095"/>
    <w:rsid w:val="00593778"/>
    <w:rsid w:val="00593A1C"/>
    <w:rsid w:val="005944C5"/>
    <w:rsid w:val="005945EA"/>
    <w:rsid w:val="00594891"/>
    <w:rsid w:val="00594988"/>
    <w:rsid w:val="00594D7E"/>
    <w:rsid w:val="0059542D"/>
    <w:rsid w:val="00595938"/>
    <w:rsid w:val="00595BA8"/>
    <w:rsid w:val="00595D21"/>
    <w:rsid w:val="005960A2"/>
    <w:rsid w:val="00596271"/>
    <w:rsid w:val="00597243"/>
    <w:rsid w:val="0059724C"/>
    <w:rsid w:val="005973C9"/>
    <w:rsid w:val="005973EB"/>
    <w:rsid w:val="0059758A"/>
    <w:rsid w:val="00597B28"/>
    <w:rsid w:val="00597BF9"/>
    <w:rsid w:val="00597F04"/>
    <w:rsid w:val="00597F7D"/>
    <w:rsid w:val="005A08BF"/>
    <w:rsid w:val="005A0C11"/>
    <w:rsid w:val="005A0E17"/>
    <w:rsid w:val="005A1043"/>
    <w:rsid w:val="005A10FF"/>
    <w:rsid w:val="005A1482"/>
    <w:rsid w:val="005A1C8B"/>
    <w:rsid w:val="005A2129"/>
    <w:rsid w:val="005A263D"/>
    <w:rsid w:val="005A309A"/>
    <w:rsid w:val="005A311F"/>
    <w:rsid w:val="005A33CF"/>
    <w:rsid w:val="005A373D"/>
    <w:rsid w:val="005A4240"/>
    <w:rsid w:val="005A4301"/>
    <w:rsid w:val="005A43F5"/>
    <w:rsid w:val="005A47A2"/>
    <w:rsid w:val="005A4D85"/>
    <w:rsid w:val="005A4E82"/>
    <w:rsid w:val="005A58FA"/>
    <w:rsid w:val="005A5C1C"/>
    <w:rsid w:val="005A5C45"/>
    <w:rsid w:val="005A7966"/>
    <w:rsid w:val="005A7B57"/>
    <w:rsid w:val="005B00E5"/>
    <w:rsid w:val="005B09DA"/>
    <w:rsid w:val="005B0B58"/>
    <w:rsid w:val="005B0B84"/>
    <w:rsid w:val="005B0DBD"/>
    <w:rsid w:val="005B103B"/>
    <w:rsid w:val="005B10FF"/>
    <w:rsid w:val="005B13E1"/>
    <w:rsid w:val="005B1B61"/>
    <w:rsid w:val="005B1F88"/>
    <w:rsid w:val="005B2044"/>
    <w:rsid w:val="005B27D0"/>
    <w:rsid w:val="005B28B0"/>
    <w:rsid w:val="005B2BF0"/>
    <w:rsid w:val="005B2BF8"/>
    <w:rsid w:val="005B31A3"/>
    <w:rsid w:val="005B3C70"/>
    <w:rsid w:val="005B3D23"/>
    <w:rsid w:val="005B3D48"/>
    <w:rsid w:val="005B476E"/>
    <w:rsid w:val="005B49C5"/>
    <w:rsid w:val="005B4BF1"/>
    <w:rsid w:val="005B4C73"/>
    <w:rsid w:val="005B4D50"/>
    <w:rsid w:val="005B4E40"/>
    <w:rsid w:val="005B4E53"/>
    <w:rsid w:val="005B4F74"/>
    <w:rsid w:val="005B4FCF"/>
    <w:rsid w:val="005B510A"/>
    <w:rsid w:val="005B5857"/>
    <w:rsid w:val="005B59B6"/>
    <w:rsid w:val="005B5F71"/>
    <w:rsid w:val="005B6BC1"/>
    <w:rsid w:val="005B7020"/>
    <w:rsid w:val="005B74CC"/>
    <w:rsid w:val="005B7E29"/>
    <w:rsid w:val="005B7E54"/>
    <w:rsid w:val="005C01D1"/>
    <w:rsid w:val="005C0671"/>
    <w:rsid w:val="005C0849"/>
    <w:rsid w:val="005C0AEA"/>
    <w:rsid w:val="005C0B56"/>
    <w:rsid w:val="005C0E09"/>
    <w:rsid w:val="005C10E4"/>
    <w:rsid w:val="005C1600"/>
    <w:rsid w:val="005C190D"/>
    <w:rsid w:val="005C19C4"/>
    <w:rsid w:val="005C1AD4"/>
    <w:rsid w:val="005C1B83"/>
    <w:rsid w:val="005C221E"/>
    <w:rsid w:val="005C25FF"/>
    <w:rsid w:val="005C2D55"/>
    <w:rsid w:val="005C2E11"/>
    <w:rsid w:val="005C2F15"/>
    <w:rsid w:val="005C3193"/>
    <w:rsid w:val="005C346B"/>
    <w:rsid w:val="005C350C"/>
    <w:rsid w:val="005C3874"/>
    <w:rsid w:val="005C3E3F"/>
    <w:rsid w:val="005C4B68"/>
    <w:rsid w:val="005C4E43"/>
    <w:rsid w:val="005C503F"/>
    <w:rsid w:val="005C5059"/>
    <w:rsid w:val="005C5547"/>
    <w:rsid w:val="005C5ABC"/>
    <w:rsid w:val="005C5D04"/>
    <w:rsid w:val="005C6012"/>
    <w:rsid w:val="005C64EB"/>
    <w:rsid w:val="005C65B5"/>
    <w:rsid w:val="005C6684"/>
    <w:rsid w:val="005C6753"/>
    <w:rsid w:val="005C6937"/>
    <w:rsid w:val="005C6A3F"/>
    <w:rsid w:val="005C6CB0"/>
    <w:rsid w:val="005C6EC0"/>
    <w:rsid w:val="005C6FF5"/>
    <w:rsid w:val="005C70E1"/>
    <w:rsid w:val="005C7431"/>
    <w:rsid w:val="005C76F4"/>
    <w:rsid w:val="005C7894"/>
    <w:rsid w:val="005C7EA4"/>
    <w:rsid w:val="005D00D8"/>
    <w:rsid w:val="005D03D6"/>
    <w:rsid w:val="005D044D"/>
    <w:rsid w:val="005D0688"/>
    <w:rsid w:val="005D0ABD"/>
    <w:rsid w:val="005D0B3E"/>
    <w:rsid w:val="005D0B9A"/>
    <w:rsid w:val="005D11D5"/>
    <w:rsid w:val="005D1492"/>
    <w:rsid w:val="005D1800"/>
    <w:rsid w:val="005D1894"/>
    <w:rsid w:val="005D18AD"/>
    <w:rsid w:val="005D1FDF"/>
    <w:rsid w:val="005D24D3"/>
    <w:rsid w:val="005D26B4"/>
    <w:rsid w:val="005D2A09"/>
    <w:rsid w:val="005D30FF"/>
    <w:rsid w:val="005D31EB"/>
    <w:rsid w:val="005D3238"/>
    <w:rsid w:val="005D344A"/>
    <w:rsid w:val="005D381E"/>
    <w:rsid w:val="005D437A"/>
    <w:rsid w:val="005D5190"/>
    <w:rsid w:val="005D590C"/>
    <w:rsid w:val="005D5DAD"/>
    <w:rsid w:val="005D70A3"/>
    <w:rsid w:val="005D7D17"/>
    <w:rsid w:val="005D7DEF"/>
    <w:rsid w:val="005E06F3"/>
    <w:rsid w:val="005E0A85"/>
    <w:rsid w:val="005E0EF8"/>
    <w:rsid w:val="005E1995"/>
    <w:rsid w:val="005E1C8E"/>
    <w:rsid w:val="005E1D82"/>
    <w:rsid w:val="005E1E80"/>
    <w:rsid w:val="005E2331"/>
    <w:rsid w:val="005E25CD"/>
    <w:rsid w:val="005E270A"/>
    <w:rsid w:val="005E2A42"/>
    <w:rsid w:val="005E2B83"/>
    <w:rsid w:val="005E30BA"/>
    <w:rsid w:val="005E3AFF"/>
    <w:rsid w:val="005E3E87"/>
    <w:rsid w:val="005E4171"/>
    <w:rsid w:val="005E45DD"/>
    <w:rsid w:val="005E4714"/>
    <w:rsid w:val="005E477A"/>
    <w:rsid w:val="005E51ED"/>
    <w:rsid w:val="005E56F3"/>
    <w:rsid w:val="005E5D8A"/>
    <w:rsid w:val="005E682F"/>
    <w:rsid w:val="005E6A0E"/>
    <w:rsid w:val="005E6CBC"/>
    <w:rsid w:val="005E6FB8"/>
    <w:rsid w:val="005E7262"/>
    <w:rsid w:val="005E72B8"/>
    <w:rsid w:val="005E72D8"/>
    <w:rsid w:val="005E72FF"/>
    <w:rsid w:val="005E7311"/>
    <w:rsid w:val="005E73C0"/>
    <w:rsid w:val="005E76A6"/>
    <w:rsid w:val="005E77CD"/>
    <w:rsid w:val="005E79BD"/>
    <w:rsid w:val="005E7A48"/>
    <w:rsid w:val="005E7BE4"/>
    <w:rsid w:val="005E7DB5"/>
    <w:rsid w:val="005F008D"/>
    <w:rsid w:val="005F039F"/>
    <w:rsid w:val="005F0750"/>
    <w:rsid w:val="005F07ED"/>
    <w:rsid w:val="005F0BEE"/>
    <w:rsid w:val="005F0D22"/>
    <w:rsid w:val="005F12F5"/>
    <w:rsid w:val="005F147C"/>
    <w:rsid w:val="005F1992"/>
    <w:rsid w:val="005F19CD"/>
    <w:rsid w:val="005F2046"/>
    <w:rsid w:val="005F237F"/>
    <w:rsid w:val="005F260C"/>
    <w:rsid w:val="005F26CA"/>
    <w:rsid w:val="005F2706"/>
    <w:rsid w:val="005F2987"/>
    <w:rsid w:val="005F3458"/>
    <w:rsid w:val="005F3551"/>
    <w:rsid w:val="005F3A4E"/>
    <w:rsid w:val="005F3E61"/>
    <w:rsid w:val="005F43D7"/>
    <w:rsid w:val="005F47A6"/>
    <w:rsid w:val="005F4816"/>
    <w:rsid w:val="005F49AC"/>
    <w:rsid w:val="005F4BF8"/>
    <w:rsid w:val="005F4CB3"/>
    <w:rsid w:val="005F5CE1"/>
    <w:rsid w:val="005F5D9A"/>
    <w:rsid w:val="005F5F77"/>
    <w:rsid w:val="005F6097"/>
    <w:rsid w:val="005F636D"/>
    <w:rsid w:val="005F6A8F"/>
    <w:rsid w:val="005F6BB7"/>
    <w:rsid w:val="005F7284"/>
    <w:rsid w:val="005F7392"/>
    <w:rsid w:val="005F7525"/>
    <w:rsid w:val="005F7588"/>
    <w:rsid w:val="00600173"/>
    <w:rsid w:val="0060090A"/>
    <w:rsid w:val="00600E8A"/>
    <w:rsid w:val="00600EB2"/>
    <w:rsid w:val="00600F3A"/>
    <w:rsid w:val="00601043"/>
    <w:rsid w:val="006011A7"/>
    <w:rsid w:val="00601B68"/>
    <w:rsid w:val="00601B81"/>
    <w:rsid w:val="00601F49"/>
    <w:rsid w:val="0060237E"/>
    <w:rsid w:val="006028D3"/>
    <w:rsid w:val="00602ED1"/>
    <w:rsid w:val="00603097"/>
    <w:rsid w:val="00603DB9"/>
    <w:rsid w:val="00603E1B"/>
    <w:rsid w:val="0060464C"/>
    <w:rsid w:val="006049DA"/>
    <w:rsid w:val="00604C1B"/>
    <w:rsid w:val="00604CF9"/>
    <w:rsid w:val="00604E08"/>
    <w:rsid w:val="006053B0"/>
    <w:rsid w:val="00606428"/>
    <w:rsid w:val="006069FB"/>
    <w:rsid w:val="00606FBA"/>
    <w:rsid w:val="0060752A"/>
    <w:rsid w:val="00607669"/>
    <w:rsid w:val="006076F4"/>
    <w:rsid w:val="006077B2"/>
    <w:rsid w:val="00607839"/>
    <w:rsid w:val="006078BA"/>
    <w:rsid w:val="00607AFD"/>
    <w:rsid w:val="00607B33"/>
    <w:rsid w:val="006109D0"/>
    <w:rsid w:val="00611B12"/>
    <w:rsid w:val="00611B22"/>
    <w:rsid w:val="0061281D"/>
    <w:rsid w:val="0061298C"/>
    <w:rsid w:val="00612DFF"/>
    <w:rsid w:val="00612F97"/>
    <w:rsid w:val="006133EA"/>
    <w:rsid w:val="0061345D"/>
    <w:rsid w:val="0061549B"/>
    <w:rsid w:val="0061561A"/>
    <w:rsid w:val="00615648"/>
    <w:rsid w:val="006157FA"/>
    <w:rsid w:val="00615FF3"/>
    <w:rsid w:val="00616802"/>
    <w:rsid w:val="00616915"/>
    <w:rsid w:val="006169D7"/>
    <w:rsid w:val="00616F4E"/>
    <w:rsid w:val="0061750E"/>
    <w:rsid w:val="006175DC"/>
    <w:rsid w:val="00617B70"/>
    <w:rsid w:val="00617E12"/>
    <w:rsid w:val="00617F8D"/>
    <w:rsid w:val="006200C8"/>
    <w:rsid w:val="00620115"/>
    <w:rsid w:val="006201DE"/>
    <w:rsid w:val="00620313"/>
    <w:rsid w:val="00620AEB"/>
    <w:rsid w:val="00620C25"/>
    <w:rsid w:val="00620C37"/>
    <w:rsid w:val="00620D59"/>
    <w:rsid w:val="00620D96"/>
    <w:rsid w:val="00621477"/>
    <w:rsid w:val="00621482"/>
    <w:rsid w:val="006218F0"/>
    <w:rsid w:val="00621ADA"/>
    <w:rsid w:val="00621CA3"/>
    <w:rsid w:val="00621E21"/>
    <w:rsid w:val="006225B1"/>
    <w:rsid w:val="00622859"/>
    <w:rsid w:val="00622CB2"/>
    <w:rsid w:val="00622CCC"/>
    <w:rsid w:val="00622D3E"/>
    <w:rsid w:val="006233E8"/>
    <w:rsid w:val="006233F7"/>
    <w:rsid w:val="00623707"/>
    <w:rsid w:val="00623B92"/>
    <w:rsid w:val="00623F7B"/>
    <w:rsid w:val="00623FA8"/>
    <w:rsid w:val="0062404C"/>
    <w:rsid w:val="006243A7"/>
    <w:rsid w:val="00624705"/>
    <w:rsid w:val="00624729"/>
    <w:rsid w:val="00624819"/>
    <w:rsid w:val="00624BD4"/>
    <w:rsid w:val="00624D4E"/>
    <w:rsid w:val="006257DA"/>
    <w:rsid w:val="0062699C"/>
    <w:rsid w:val="00626C07"/>
    <w:rsid w:val="00626E66"/>
    <w:rsid w:val="00626EEB"/>
    <w:rsid w:val="00626F5B"/>
    <w:rsid w:val="0062701A"/>
    <w:rsid w:val="006273DF"/>
    <w:rsid w:val="006273E8"/>
    <w:rsid w:val="00627585"/>
    <w:rsid w:val="00627654"/>
    <w:rsid w:val="00627673"/>
    <w:rsid w:val="0062776C"/>
    <w:rsid w:val="00627A57"/>
    <w:rsid w:val="00627F6C"/>
    <w:rsid w:val="006301CE"/>
    <w:rsid w:val="00630797"/>
    <w:rsid w:val="00630AB5"/>
    <w:rsid w:val="00630FE1"/>
    <w:rsid w:val="006314EC"/>
    <w:rsid w:val="0063158F"/>
    <w:rsid w:val="0063189D"/>
    <w:rsid w:val="00631D6B"/>
    <w:rsid w:val="00631DF9"/>
    <w:rsid w:val="00631E11"/>
    <w:rsid w:val="00631FB6"/>
    <w:rsid w:val="00632148"/>
    <w:rsid w:val="00632183"/>
    <w:rsid w:val="00632869"/>
    <w:rsid w:val="006328A1"/>
    <w:rsid w:val="00632ABB"/>
    <w:rsid w:val="00632BFB"/>
    <w:rsid w:val="00632C5D"/>
    <w:rsid w:val="00632FCF"/>
    <w:rsid w:val="006330A1"/>
    <w:rsid w:val="00633728"/>
    <w:rsid w:val="00633FA7"/>
    <w:rsid w:val="006340F4"/>
    <w:rsid w:val="006342E7"/>
    <w:rsid w:val="00634584"/>
    <w:rsid w:val="0063461E"/>
    <w:rsid w:val="0063479F"/>
    <w:rsid w:val="0063480D"/>
    <w:rsid w:val="00634E22"/>
    <w:rsid w:val="0063507E"/>
    <w:rsid w:val="00635095"/>
    <w:rsid w:val="00635188"/>
    <w:rsid w:val="006352F1"/>
    <w:rsid w:val="00635362"/>
    <w:rsid w:val="006353F0"/>
    <w:rsid w:val="00635782"/>
    <w:rsid w:val="006357B5"/>
    <w:rsid w:val="00635DB6"/>
    <w:rsid w:val="006364A1"/>
    <w:rsid w:val="0063678E"/>
    <w:rsid w:val="0063691F"/>
    <w:rsid w:val="00636E33"/>
    <w:rsid w:val="00637468"/>
    <w:rsid w:val="00637584"/>
    <w:rsid w:val="00637BFD"/>
    <w:rsid w:val="00637C5C"/>
    <w:rsid w:val="0064128F"/>
    <w:rsid w:val="006412CE"/>
    <w:rsid w:val="00641BB3"/>
    <w:rsid w:val="00641C4E"/>
    <w:rsid w:val="00641DB1"/>
    <w:rsid w:val="00641FB3"/>
    <w:rsid w:val="006427ED"/>
    <w:rsid w:val="00642874"/>
    <w:rsid w:val="00642BD7"/>
    <w:rsid w:val="00642C31"/>
    <w:rsid w:val="00642CEF"/>
    <w:rsid w:val="006433C2"/>
    <w:rsid w:val="006433C4"/>
    <w:rsid w:val="00643C00"/>
    <w:rsid w:val="00643ED9"/>
    <w:rsid w:val="00644036"/>
    <w:rsid w:val="0064434C"/>
    <w:rsid w:val="006444C9"/>
    <w:rsid w:val="00644691"/>
    <w:rsid w:val="006454EE"/>
    <w:rsid w:val="00645A09"/>
    <w:rsid w:val="00646092"/>
    <w:rsid w:val="006461FF"/>
    <w:rsid w:val="0064633A"/>
    <w:rsid w:val="00646EBB"/>
    <w:rsid w:val="006471CC"/>
    <w:rsid w:val="006472FE"/>
    <w:rsid w:val="00647A29"/>
    <w:rsid w:val="006502DE"/>
    <w:rsid w:val="0065079F"/>
    <w:rsid w:val="00650829"/>
    <w:rsid w:val="006508BB"/>
    <w:rsid w:val="00651004"/>
    <w:rsid w:val="00651015"/>
    <w:rsid w:val="006515D6"/>
    <w:rsid w:val="006517A0"/>
    <w:rsid w:val="006519A7"/>
    <w:rsid w:val="00651BC0"/>
    <w:rsid w:val="006520AA"/>
    <w:rsid w:val="00652A28"/>
    <w:rsid w:val="00652EC9"/>
    <w:rsid w:val="00653365"/>
    <w:rsid w:val="00653769"/>
    <w:rsid w:val="0065379F"/>
    <w:rsid w:val="00653A2A"/>
    <w:rsid w:val="00653E0C"/>
    <w:rsid w:val="00654375"/>
    <w:rsid w:val="0065457C"/>
    <w:rsid w:val="00654877"/>
    <w:rsid w:val="00654D34"/>
    <w:rsid w:val="00654F7B"/>
    <w:rsid w:val="00655497"/>
    <w:rsid w:val="00655EFA"/>
    <w:rsid w:val="00656188"/>
    <w:rsid w:val="006563DA"/>
    <w:rsid w:val="00656526"/>
    <w:rsid w:val="0065715A"/>
    <w:rsid w:val="006578AA"/>
    <w:rsid w:val="00657B57"/>
    <w:rsid w:val="00660320"/>
    <w:rsid w:val="006607FE"/>
    <w:rsid w:val="00660CBB"/>
    <w:rsid w:val="006610F1"/>
    <w:rsid w:val="006612EF"/>
    <w:rsid w:val="006615FB"/>
    <w:rsid w:val="006617F9"/>
    <w:rsid w:val="0066186B"/>
    <w:rsid w:val="00661C6B"/>
    <w:rsid w:val="00662D3E"/>
    <w:rsid w:val="00662EE2"/>
    <w:rsid w:val="00662F2D"/>
    <w:rsid w:val="00663A0C"/>
    <w:rsid w:val="00663B85"/>
    <w:rsid w:val="0066414D"/>
    <w:rsid w:val="00665EF6"/>
    <w:rsid w:val="0066628C"/>
    <w:rsid w:val="006662E2"/>
    <w:rsid w:val="00666527"/>
    <w:rsid w:val="006668FF"/>
    <w:rsid w:val="00666DB9"/>
    <w:rsid w:val="00666E81"/>
    <w:rsid w:val="0066714F"/>
    <w:rsid w:val="006671B8"/>
    <w:rsid w:val="00667578"/>
    <w:rsid w:val="00667BE3"/>
    <w:rsid w:val="00667C17"/>
    <w:rsid w:val="00667C78"/>
    <w:rsid w:val="00670417"/>
    <w:rsid w:val="00670C58"/>
    <w:rsid w:val="00671004"/>
    <w:rsid w:val="00671206"/>
    <w:rsid w:val="006716E6"/>
    <w:rsid w:val="006717FA"/>
    <w:rsid w:val="0067190E"/>
    <w:rsid w:val="00671B53"/>
    <w:rsid w:val="00672646"/>
    <w:rsid w:val="006738A2"/>
    <w:rsid w:val="00673C1B"/>
    <w:rsid w:val="006743A9"/>
    <w:rsid w:val="00674E42"/>
    <w:rsid w:val="00674F15"/>
    <w:rsid w:val="006753D0"/>
    <w:rsid w:val="006753E5"/>
    <w:rsid w:val="00675487"/>
    <w:rsid w:val="00675830"/>
    <w:rsid w:val="00675BEC"/>
    <w:rsid w:val="00676563"/>
    <w:rsid w:val="00676C20"/>
    <w:rsid w:val="006772EE"/>
    <w:rsid w:val="00677891"/>
    <w:rsid w:val="00677F6D"/>
    <w:rsid w:val="0068024E"/>
    <w:rsid w:val="0068032E"/>
    <w:rsid w:val="006805B8"/>
    <w:rsid w:val="00680C1D"/>
    <w:rsid w:val="006813F8"/>
    <w:rsid w:val="006814C3"/>
    <w:rsid w:val="006817B9"/>
    <w:rsid w:val="00681ABB"/>
    <w:rsid w:val="00682112"/>
    <w:rsid w:val="00682383"/>
    <w:rsid w:val="00682A2D"/>
    <w:rsid w:val="00682BA6"/>
    <w:rsid w:val="0068320E"/>
    <w:rsid w:val="006833B6"/>
    <w:rsid w:val="00683630"/>
    <w:rsid w:val="00683B22"/>
    <w:rsid w:val="00683FEA"/>
    <w:rsid w:val="006840EF"/>
    <w:rsid w:val="0068416C"/>
    <w:rsid w:val="00684503"/>
    <w:rsid w:val="0068453F"/>
    <w:rsid w:val="006847C1"/>
    <w:rsid w:val="00684E0B"/>
    <w:rsid w:val="006850B1"/>
    <w:rsid w:val="0068513B"/>
    <w:rsid w:val="006852EA"/>
    <w:rsid w:val="006852F8"/>
    <w:rsid w:val="0068534B"/>
    <w:rsid w:val="00685D68"/>
    <w:rsid w:val="00686225"/>
    <w:rsid w:val="006862EC"/>
    <w:rsid w:val="006863AC"/>
    <w:rsid w:val="006868FD"/>
    <w:rsid w:val="00686957"/>
    <w:rsid w:val="00686B54"/>
    <w:rsid w:val="006872BA"/>
    <w:rsid w:val="006875A2"/>
    <w:rsid w:val="00687854"/>
    <w:rsid w:val="00687A12"/>
    <w:rsid w:val="00687A52"/>
    <w:rsid w:val="0069025A"/>
    <w:rsid w:val="00690418"/>
    <w:rsid w:val="00690795"/>
    <w:rsid w:val="00690C49"/>
    <w:rsid w:val="00690F47"/>
    <w:rsid w:val="0069150F"/>
    <w:rsid w:val="00691648"/>
    <w:rsid w:val="006917D7"/>
    <w:rsid w:val="00691D14"/>
    <w:rsid w:val="00691D40"/>
    <w:rsid w:val="00691EF1"/>
    <w:rsid w:val="00692C0A"/>
    <w:rsid w:val="00692EA2"/>
    <w:rsid w:val="006933C0"/>
    <w:rsid w:val="0069395D"/>
    <w:rsid w:val="00693A87"/>
    <w:rsid w:val="00693BFE"/>
    <w:rsid w:val="006940A8"/>
    <w:rsid w:val="0069434C"/>
    <w:rsid w:val="00694451"/>
    <w:rsid w:val="00694493"/>
    <w:rsid w:val="006947E6"/>
    <w:rsid w:val="00694E59"/>
    <w:rsid w:val="00694F44"/>
    <w:rsid w:val="006950B6"/>
    <w:rsid w:val="006954BF"/>
    <w:rsid w:val="00695E94"/>
    <w:rsid w:val="00696826"/>
    <w:rsid w:val="006969F5"/>
    <w:rsid w:val="00696EF9"/>
    <w:rsid w:val="00696F51"/>
    <w:rsid w:val="00697240"/>
    <w:rsid w:val="0069799B"/>
    <w:rsid w:val="006979A5"/>
    <w:rsid w:val="00697CCF"/>
    <w:rsid w:val="00697D59"/>
    <w:rsid w:val="006A016F"/>
    <w:rsid w:val="006A028B"/>
    <w:rsid w:val="006A02BD"/>
    <w:rsid w:val="006A02E2"/>
    <w:rsid w:val="006A05A7"/>
    <w:rsid w:val="006A0D7A"/>
    <w:rsid w:val="006A0DF7"/>
    <w:rsid w:val="006A0F5C"/>
    <w:rsid w:val="006A1328"/>
    <w:rsid w:val="006A1A6A"/>
    <w:rsid w:val="006A29FC"/>
    <w:rsid w:val="006A2D4A"/>
    <w:rsid w:val="006A3125"/>
    <w:rsid w:val="006A338C"/>
    <w:rsid w:val="006A418B"/>
    <w:rsid w:val="006A4321"/>
    <w:rsid w:val="006A43D9"/>
    <w:rsid w:val="006A459E"/>
    <w:rsid w:val="006A4919"/>
    <w:rsid w:val="006A4940"/>
    <w:rsid w:val="006A5240"/>
    <w:rsid w:val="006A53AF"/>
    <w:rsid w:val="006A58E7"/>
    <w:rsid w:val="006A5F65"/>
    <w:rsid w:val="006A690C"/>
    <w:rsid w:val="006A6A10"/>
    <w:rsid w:val="006A6B99"/>
    <w:rsid w:val="006A7E5F"/>
    <w:rsid w:val="006B0414"/>
    <w:rsid w:val="006B07DA"/>
    <w:rsid w:val="006B0EEC"/>
    <w:rsid w:val="006B0FFF"/>
    <w:rsid w:val="006B11FC"/>
    <w:rsid w:val="006B1E7F"/>
    <w:rsid w:val="006B261B"/>
    <w:rsid w:val="006B29E3"/>
    <w:rsid w:val="006B2C90"/>
    <w:rsid w:val="006B2E5A"/>
    <w:rsid w:val="006B35E6"/>
    <w:rsid w:val="006B3EEB"/>
    <w:rsid w:val="006B4436"/>
    <w:rsid w:val="006B44EE"/>
    <w:rsid w:val="006B465A"/>
    <w:rsid w:val="006B47A8"/>
    <w:rsid w:val="006B51C9"/>
    <w:rsid w:val="006B51E9"/>
    <w:rsid w:val="006B5E60"/>
    <w:rsid w:val="006B638D"/>
    <w:rsid w:val="006B642A"/>
    <w:rsid w:val="006B6DD0"/>
    <w:rsid w:val="006B6FEB"/>
    <w:rsid w:val="006B7EBA"/>
    <w:rsid w:val="006C02D9"/>
    <w:rsid w:val="006C0367"/>
    <w:rsid w:val="006C0399"/>
    <w:rsid w:val="006C061E"/>
    <w:rsid w:val="006C0A7F"/>
    <w:rsid w:val="006C114A"/>
    <w:rsid w:val="006C13B5"/>
    <w:rsid w:val="006C16AA"/>
    <w:rsid w:val="006C1AF5"/>
    <w:rsid w:val="006C1B2E"/>
    <w:rsid w:val="006C1BEB"/>
    <w:rsid w:val="006C219D"/>
    <w:rsid w:val="006C25A0"/>
    <w:rsid w:val="006C2A8E"/>
    <w:rsid w:val="006C2B25"/>
    <w:rsid w:val="006C3223"/>
    <w:rsid w:val="006C3255"/>
    <w:rsid w:val="006C3398"/>
    <w:rsid w:val="006C345B"/>
    <w:rsid w:val="006C3F26"/>
    <w:rsid w:val="006C4379"/>
    <w:rsid w:val="006C445D"/>
    <w:rsid w:val="006C44D3"/>
    <w:rsid w:val="006C49AF"/>
    <w:rsid w:val="006C4DAF"/>
    <w:rsid w:val="006C5241"/>
    <w:rsid w:val="006C5305"/>
    <w:rsid w:val="006C619B"/>
    <w:rsid w:val="006C64D0"/>
    <w:rsid w:val="006C68CB"/>
    <w:rsid w:val="006C6A7D"/>
    <w:rsid w:val="006C6AEC"/>
    <w:rsid w:val="006C6BDB"/>
    <w:rsid w:val="006C6D9F"/>
    <w:rsid w:val="006C6FEE"/>
    <w:rsid w:val="006C70CF"/>
    <w:rsid w:val="006C7248"/>
    <w:rsid w:val="006C76C8"/>
    <w:rsid w:val="006D0907"/>
    <w:rsid w:val="006D0D17"/>
    <w:rsid w:val="006D10BC"/>
    <w:rsid w:val="006D13A6"/>
    <w:rsid w:val="006D1696"/>
    <w:rsid w:val="006D19BE"/>
    <w:rsid w:val="006D1AC1"/>
    <w:rsid w:val="006D1D04"/>
    <w:rsid w:val="006D2200"/>
    <w:rsid w:val="006D23AF"/>
    <w:rsid w:val="006D266F"/>
    <w:rsid w:val="006D2818"/>
    <w:rsid w:val="006D376C"/>
    <w:rsid w:val="006D3893"/>
    <w:rsid w:val="006D39A3"/>
    <w:rsid w:val="006D3A03"/>
    <w:rsid w:val="006D3C7D"/>
    <w:rsid w:val="006D3F3B"/>
    <w:rsid w:val="006D44BB"/>
    <w:rsid w:val="006D4582"/>
    <w:rsid w:val="006D461E"/>
    <w:rsid w:val="006D4659"/>
    <w:rsid w:val="006D48A4"/>
    <w:rsid w:val="006D4D37"/>
    <w:rsid w:val="006D57A8"/>
    <w:rsid w:val="006D5D5F"/>
    <w:rsid w:val="006D6839"/>
    <w:rsid w:val="006D68FB"/>
    <w:rsid w:val="006D6B1F"/>
    <w:rsid w:val="006D6FE1"/>
    <w:rsid w:val="006D714A"/>
    <w:rsid w:val="006D715C"/>
    <w:rsid w:val="006D75DF"/>
    <w:rsid w:val="006D79D9"/>
    <w:rsid w:val="006D7CC0"/>
    <w:rsid w:val="006E0066"/>
    <w:rsid w:val="006E0072"/>
    <w:rsid w:val="006E00DE"/>
    <w:rsid w:val="006E028E"/>
    <w:rsid w:val="006E0412"/>
    <w:rsid w:val="006E04A5"/>
    <w:rsid w:val="006E0513"/>
    <w:rsid w:val="006E0931"/>
    <w:rsid w:val="006E0BDB"/>
    <w:rsid w:val="006E0EE3"/>
    <w:rsid w:val="006E1963"/>
    <w:rsid w:val="006E2406"/>
    <w:rsid w:val="006E2432"/>
    <w:rsid w:val="006E2618"/>
    <w:rsid w:val="006E2868"/>
    <w:rsid w:val="006E30C9"/>
    <w:rsid w:val="006E33A5"/>
    <w:rsid w:val="006E3750"/>
    <w:rsid w:val="006E418D"/>
    <w:rsid w:val="006E42CD"/>
    <w:rsid w:val="006E457D"/>
    <w:rsid w:val="006E4B18"/>
    <w:rsid w:val="006E4D96"/>
    <w:rsid w:val="006E5294"/>
    <w:rsid w:val="006E5E13"/>
    <w:rsid w:val="006E5EC1"/>
    <w:rsid w:val="006E5FCE"/>
    <w:rsid w:val="006E63F5"/>
    <w:rsid w:val="006E6530"/>
    <w:rsid w:val="006E6FA6"/>
    <w:rsid w:val="006E7B89"/>
    <w:rsid w:val="006F0410"/>
    <w:rsid w:val="006F04AD"/>
    <w:rsid w:val="006F0E18"/>
    <w:rsid w:val="006F1D2D"/>
    <w:rsid w:val="006F1F04"/>
    <w:rsid w:val="006F239D"/>
    <w:rsid w:val="006F26A0"/>
    <w:rsid w:val="006F26E4"/>
    <w:rsid w:val="006F2D6F"/>
    <w:rsid w:val="006F2D9B"/>
    <w:rsid w:val="006F306C"/>
    <w:rsid w:val="006F38E3"/>
    <w:rsid w:val="006F4515"/>
    <w:rsid w:val="006F4999"/>
    <w:rsid w:val="006F4A23"/>
    <w:rsid w:val="006F52A7"/>
    <w:rsid w:val="006F59D1"/>
    <w:rsid w:val="006F59EF"/>
    <w:rsid w:val="006F63A5"/>
    <w:rsid w:val="006F66B5"/>
    <w:rsid w:val="006F6D7B"/>
    <w:rsid w:val="006F77F8"/>
    <w:rsid w:val="006F7D0D"/>
    <w:rsid w:val="006F7D1E"/>
    <w:rsid w:val="006F7FC5"/>
    <w:rsid w:val="007001C7"/>
    <w:rsid w:val="00700228"/>
    <w:rsid w:val="007004BE"/>
    <w:rsid w:val="0070059E"/>
    <w:rsid w:val="007005E4"/>
    <w:rsid w:val="00700677"/>
    <w:rsid w:val="00700B4C"/>
    <w:rsid w:val="0070142B"/>
    <w:rsid w:val="00701977"/>
    <w:rsid w:val="007020FC"/>
    <w:rsid w:val="0070226B"/>
    <w:rsid w:val="0070228C"/>
    <w:rsid w:val="007026BA"/>
    <w:rsid w:val="0070276E"/>
    <w:rsid w:val="00702941"/>
    <w:rsid w:val="007029CD"/>
    <w:rsid w:val="00702F8F"/>
    <w:rsid w:val="0070343A"/>
    <w:rsid w:val="0070371F"/>
    <w:rsid w:val="0070451D"/>
    <w:rsid w:val="00704854"/>
    <w:rsid w:val="00704917"/>
    <w:rsid w:val="00704D2A"/>
    <w:rsid w:val="00704DD9"/>
    <w:rsid w:val="007054B0"/>
    <w:rsid w:val="0070550A"/>
    <w:rsid w:val="00705EE0"/>
    <w:rsid w:val="00705FA5"/>
    <w:rsid w:val="0070633E"/>
    <w:rsid w:val="007069BE"/>
    <w:rsid w:val="00706B8E"/>
    <w:rsid w:val="00707060"/>
    <w:rsid w:val="00707733"/>
    <w:rsid w:val="007079FC"/>
    <w:rsid w:val="00710360"/>
    <w:rsid w:val="00711A36"/>
    <w:rsid w:val="00711B95"/>
    <w:rsid w:val="00711F4F"/>
    <w:rsid w:val="00712357"/>
    <w:rsid w:val="007125D3"/>
    <w:rsid w:val="0071288C"/>
    <w:rsid w:val="00712ECB"/>
    <w:rsid w:val="00713776"/>
    <w:rsid w:val="00713BFA"/>
    <w:rsid w:val="00713DEC"/>
    <w:rsid w:val="00714627"/>
    <w:rsid w:val="0071477B"/>
    <w:rsid w:val="00714907"/>
    <w:rsid w:val="00714BC3"/>
    <w:rsid w:val="00714C26"/>
    <w:rsid w:val="00714F17"/>
    <w:rsid w:val="00714F79"/>
    <w:rsid w:val="00714FE5"/>
    <w:rsid w:val="0071529C"/>
    <w:rsid w:val="00715722"/>
    <w:rsid w:val="007160D9"/>
    <w:rsid w:val="007167EC"/>
    <w:rsid w:val="007167EE"/>
    <w:rsid w:val="007168A4"/>
    <w:rsid w:val="00716C50"/>
    <w:rsid w:val="007170DA"/>
    <w:rsid w:val="007172AD"/>
    <w:rsid w:val="0071739F"/>
    <w:rsid w:val="00717546"/>
    <w:rsid w:val="007178CC"/>
    <w:rsid w:val="00720089"/>
    <w:rsid w:val="0072076C"/>
    <w:rsid w:val="00720801"/>
    <w:rsid w:val="00720A1E"/>
    <w:rsid w:val="00720EE6"/>
    <w:rsid w:val="0072119C"/>
    <w:rsid w:val="00721374"/>
    <w:rsid w:val="0072151F"/>
    <w:rsid w:val="00721AFB"/>
    <w:rsid w:val="007225A5"/>
    <w:rsid w:val="00722A44"/>
    <w:rsid w:val="00722B1B"/>
    <w:rsid w:val="00723268"/>
    <w:rsid w:val="007232FE"/>
    <w:rsid w:val="007236BE"/>
    <w:rsid w:val="007239BF"/>
    <w:rsid w:val="00723A33"/>
    <w:rsid w:val="0072416F"/>
    <w:rsid w:val="00724174"/>
    <w:rsid w:val="00724440"/>
    <w:rsid w:val="00724542"/>
    <w:rsid w:val="00724961"/>
    <w:rsid w:val="00724B50"/>
    <w:rsid w:val="00725587"/>
    <w:rsid w:val="007255FA"/>
    <w:rsid w:val="007259D0"/>
    <w:rsid w:val="00725F84"/>
    <w:rsid w:val="007260CC"/>
    <w:rsid w:val="00726F6F"/>
    <w:rsid w:val="00727083"/>
    <w:rsid w:val="00727C94"/>
    <w:rsid w:val="00730294"/>
    <w:rsid w:val="00731527"/>
    <w:rsid w:val="00731B0A"/>
    <w:rsid w:val="00731B74"/>
    <w:rsid w:val="00731EAE"/>
    <w:rsid w:val="00732005"/>
    <w:rsid w:val="00732082"/>
    <w:rsid w:val="00732344"/>
    <w:rsid w:val="007328AB"/>
    <w:rsid w:val="007329C0"/>
    <w:rsid w:val="00732ACF"/>
    <w:rsid w:val="00733073"/>
    <w:rsid w:val="007331CA"/>
    <w:rsid w:val="007333B5"/>
    <w:rsid w:val="00733658"/>
    <w:rsid w:val="007340B0"/>
    <w:rsid w:val="007343E3"/>
    <w:rsid w:val="00734624"/>
    <w:rsid w:val="00734C85"/>
    <w:rsid w:val="00734D82"/>
    <w:rsid w:val="00734EA2"/>
    <w:rsid w:val="00735033"/>
    <w:rsid w:val="0073521F"/>
    <w:rsid w:val="00735328"/>
    <w:rsid w:val="00735397"/>
    <w:rsid w:val="007353FC"/>
    <w:rsid w:val="007358F0"/>
    <w:rsid w:val="00735957"/>
    <w:rsid w:val="00735FA2"/>
    <w:rsid w:val="0073685B"/>
    <w:rsid w:val="00736AEE"/>
    <w:rsid w:val="00736ED4"/>
    <w:rsid w:val="007370A7"/>
    <w:rsid w:val="00737BCE"/>
    <w:rsid w:val="00737D34"/>
    <w:rsid w:val="00737E05"/>
    <w:rsid w:val="00740557"/>
    <w:rsid w:val="0074060B"/>
    <w:rsid w:val="00740E2C"/>
    <w:rsid w:val="00741064"/>
    <w:rsid w:val="0074207A"/>
    <w:rsid w:val="00742672"/>
    <w:rsid w:val="00742AF9"/>
    <w:rsid w:val="0074320A"/>
    <w:rsid w:val="007438D8"/>
    <w:rsid w:val="00743FB8"/>
    <w:rsid w:val="00744501"/>
    <w:rsid w:val="0074460E"/>
    <w:rsid w:val="007449BF"/>
    <w:rsid w:val="0074507F"/>
    <w:rsid w:val="007450CD"/>
    <w:rsid w:val="007451DE"/>
    <w:rsid w:val="00745AA1"/>
    <w:rsid w:val="00745B8C"/>
    <w:rsid w:val="00745C92"/>
    <w:rsid w:val="00745DB4"/>
    <w:rsid w:val="00745F1D"/>
    <w:rsid w:val="007463FE"/>
    <w:rsid w:val="0074653E"/>
    <w:rsid w:val="00746586"/>
    <w:rsid w:val="00746931"/>
    <w:rsid w:val="00746946"/>
    <w:rsid w:val="00746BC0"/>
    <w:rsid w:val="00746FD0"/>
    <w:rsid w:val="007470AB"/>
    <w:rsid w:val="007470EB"/>
    <w:rsid w:val="00747135"/>
    <w:rsid w:val="00747426"/>
    <w:rsid w:val="007479DC"/>
    <w:rsid w:val="00747E00"/>
    <w:rsid w:val="007506B3"/>
    <w:rsid w:val="00750711"/>
    <w:rsid w:val="007507DB"/>
    <w:rsid w:val="00750949"/>
    <w:rsid w:val="007510B4"/>
    <w:rsid w:val="007510E0"/>
    <w:rsid w:val="007510FA"/>
    <w:rsid w:val="0075134E"/>
    <w:rsid w:val="00751641"/>
    <w:rsid w:val="007519C7"/>
    <w:rsid w:val="00752142"/>
    <w:rsid w:val="007523F9"/>
    <w:rsid w:val="00752F90"/>
    <w:rsid w:val="0075312B"/>
    <w:rsid w:val="00753231"/>
    <w:rsid w:val="0075357E"/>
    <w:rsid w:val="00753A96"/>
    <w:rsid w:val="00753B29"/>
    <w:rsid w:val="00754638"/>
    <w:rsid w:val="00754856"/>
    <w:rsid w:val="00754970"/>
    <w:rsid w:val="00754CE0"/>
    <w:rsid w:val="0075552B"/>
    <w:rsid w:val="007557C1"/>
    <w:rsid w:val="007564B4"/>
    <w:rsid w:val="00756A5A"/>
    <w:rsid w:val="00756C3E"/>
    <w:rsid w:val="00756D1B"/>
    <w:rsid w:val="00756D8D"/>
    <w:rsid w:val="00757283"/>
    <w:rsid w:val="007572AF"/>
    <w:rsid w:val="00757316"/>
    <w:rsid w:val="007573E8"/>
    <w:rsid w:val="00757485"/>
    <w:rsid w:val="00757670"/>
    <w:rsid w:val="007576A6"/>
    <w:rsid w:val="00760086"/>
    <w:rsid w:val="0076032C"/>
    <w:rsid w:val="00760824"/>
    <w:rsid w:val="00760C4E"/>
    <w:rsid w:val="00760F9E"/>
    <w:rsid w:val="007610B6"/>
    <w:rsid w:val="00761283"/>
    <w:rsid w:val="007616DB"/>
    <w:rsid w:val="007616E6"/>
    <w:rsid w:val="00761F9E"/>
    <w:rsid w:val="007620E0"/>
    <w:rsid w:val="0076213B"/>
    <w:rsid w:val="0076233B"/>
    <w:rsid w:val="00762699"/>
    <w:rsid w:val="007627BE"/>
    <w:rsid w:val="00762859"/>
    <w:rsid w:val="00762937"/>
    <w:rsid w:val="007629C3"/>
    <w:rsid w:val="00762F76"/>
    <w:rsid w:val="00763038"/>
    <w:rsid w:val="007630F9"/>
    <w:rsid w:val="007636E4"/>
    <w:rsid w:val="007637A1"/>
    <w:rsid w:val="00763C93"/>
    <w:rsid w:val="00763D9B"/>
    <w:rsid w:val="0076434C"/>
    <w:rsid w:val="007643BC"/>
    <w:rsid w:val="0076458B"/>
    <w:rsid w:val="00764990"/>
    <w:rsid w:val="00764DC8"/>
    <w:rsid w:val="00764F03"/>
    <w:rsid w:val="00764FE1"/>
    <w:rsid w:val="007650F1"/>
    <w:rsid w:val="00765360"/>
    <w:rsid w:val="007659A5"/>
    <w:rsid w:val="00765A6F"/>
    <w:rsid w:val="00765B1A"/>
    <w:rsid w:val="00765DC1"/>
    <w:rsid w:val="0076619E"/>
    <w:rsid w:val="007666E2"/>
    <w:rsid w:val="00766B5B"/>
    <w:rsid w:val="00766D3A"/>
    <w:rsid w:val="007671FC"/>
    <w:rsid w:val="00767430"/>
    <w:rsid w:val="007678C6"/>
    <w:rsid w:val="00767E60"/>
    <w:rsid w:val="00770A20"/>
    <w:rsid w:val="00770C38"/>
    <w:rsid w:val="00770F02"/>
    <w:rsid w:val="00771D3B"/>
    <w:rsid w:val="00771F6C"/>
    <w:rsid w:val="007730A7"/>
    <w:rsid w:val="00773B82"/>
    <w:rsid w:val="00774567"/>
    <w:rsid w:val="007745BA"/>
    <w:rsid w:val="007749AA"/>
    <w:rsid w:val="00774E11"/>
    <w:rsid w:val="00774FA3"/>
    <w:rsid w:val="00775057"/>
    <w:rsid w:val="007753F8"/>
    <w:rsid w:val="0077558C"/>
    <w:rsid w:val="00776503"/>
    <w:rsid w:val="00776508"/>
    <w:rsid w:val="007766BF"/>
    <w:rsid w:val="00776787"/>
    <w:rsid w:val="007769C4"/>
    <w:rsid w:val="00776A29"/>
    <w:rsid w:val="00776A3C"/>
    <w:rsid w:val="00776B60"/>
    <w:rsid w:val="00776D24"/>
    <w:rsid w:val="00776E21"/>
    <w:rsid w:val="00777335"/>
    <w:rsid w:val="00777DF6"/>
    <w:rsid w:val="00777E38"/>
    <w:rsid w:val="0078060A"/>
    <w:rsid w:val="00780D44"/>
    <w:rsid w:val="007816DA"/>
    <w:rsid w:val="00781A90"/>
    <w:rsid w:val="007821EB"/>
    <w:rsid w:val="007823C8"/>
    <w:rsid w:val="007824F8"/>
    <w:rsid w:val="00782B9F"/>
    <w:rsid w:val="007832FA"/>
    <w:rsid w:val="007834D3"/>
    <w:rsid w:val="00783C7E"/>
    <w:rsid w:val="007843E7"/>
    <w:rsid w:val="007843F2"/>
    <w:rsid w:val="007846FA"/>
    <w:rsid w:val="00784974"/>
    <w:rsid w:val="00785515"/>
    <w:rsid w:val="00785713"/>
    <w:rsid w:val="00785A0D"/>
    <w:rsid w:val="00785A9F"/>
    <w:rsid w:val="00785F61"/>
    <w:rsid w:val="007863EE"/>
    <w:rsid w:val="00786515"/>
    <w:rsid w:val="00786D89"/>
    <w:rsid w:val="00787062"/>
    <w:rsid w:val="00787545"/>
    <w:rsid w:val="00787701"/>
    <w:rsid w:val="00790BFA"/>
    <w:rsid w:val="00790E79"/>
    <w:rsid w:val="007913FA"/>
    <w:rsid w:val="0079172B"/>
    <w:rsid w:val="00791849"/>
    <w:rsid w:val="00791D4D"/>
    <w:rsid w:val="007925DF"/>
    <w:rsid w:val="007926BD"/>
    <w:rsid w:val="007933A5"/>
    <w:rsid w:val="00793735"/>
    <w:rsid w:val="007938CD"/>
    <w:rsid w:val="00793FAA"/>
    <w:rsid w:val="0079467E"/>
    <w:rsid w:val="00794E1B"/>
    <w:rsid w:val="0079511E"/>
    <w:rsid w:val="00795644"/>
    <w:rsid w:val="00795A43"/>
    <w:rsid w:val="00795A48"/>
    <w:rsid w:val="00795E72"/>
    <w:rsid w:val="00796492"/>
    <w:rsid w:val="007964B2"/>
    <w:rsid w:val="0079669E"/>
    <w:rsid w:val="00796A83"/>
    <w:rsid w:val="00796BAB"/>
    <w:rsid w:val="00796E91"/>
    <w:rsid w:val="00797396"/>
    <w:rsid w:val="00797C62"/>
    <w:rsid w:val="00797CB7"/>
    <w:rsid w:val="007A006C"/>
    <w:rsid w:val="007A04C0"/>
    <w:rsid w:val="007A08AA"/>
    <w:rsid w:val="007A0A12"/>
    <w:rsid w:val="007A0AB8"/>
    <w:rsid w:val="007A132D"/>
    <w:rsid w:val="007A1345"/>
    <w:rsid w:val="007A1BEF"/>
    <w:rsid w:val="007A1CEE"/>
    <w:rsid w:val="007A1DB2"/>
    <w:rsid w:val="007A2480"/>
    <w:rsid w:val="007A280F"/>
    <w:rsid w:val="007A2DDB"/>
    <w:rsid w:val="007A301A"/>
    <w:rsid w:val="007A3248"/>
    <w:rsid w:val="007A32A1"/>
    <w:rsid w:val="007A3591"/>
    <w:rsid w:val="007A3779"/>
    <w:rsid w:val="007A3838"/>
    <w:rsid w:val="007A3933"/>
    <w:rsid w:val="007A3C4A"/>
    <w:rsid w:val="007A4146"/>
    <w:rsid w:val="007A4479"/>
    <w:rsid w:val="007A4C02"/>
    <w:rsid w:val="007A4F5C"/>
    <w:rsid w:val="007A5153"/>
    <w:rsid w:val="007A5625"/>
    <w:rsid w:val="007A562B"/>
    <w:rsid w:val="007A5BDA"/>
    <w:rsid w:val="007A5EC4"/>
    <w:rsid w:val="007A685C"/>
    <w:rsid w:val="007A6AFE"/>
    <w:rsid w:val="007A70BA"/>
    <w:rsid w:val="007A7141"/>
    <w:rsid w:val="007A73E4"/>
    <w:rsid w:val="007A7833"/>
    <w:rsid w:val="007B0159"/>
    <w:rsid w:val="007B01CB"/>
    <w:rsid w:val="007B0525"/>
    <w:rsid w:val="007B072D"/>
    <w:rsid w:val="007B0D68"/>
    <w:rsid w:val="007B0EB7"/>
    <w:rsid w:val="007B1851"/>
    <w:rsid w:val="007B1C9B"/>
    <w:rsid w:val="007B251D"/>
    <w:rsid w:val="007B298A"/>
    <w:rsid w:val="007B2BC4"/>
    <w:rsid w:val="007B2BFD"/>
    <w:rsid w:val="007B2D3A"/>
    <w:rsid w:val="007B322B"/>
    <w:rsid w:val="007B3252"/>
    <w:rsid w:val="007B3499"/>
    <w:rsid w:val="007B3533"/>
    <w:rsid w:val="007B385A"/>
    <w:rsid w:val="007B39C0"/>
    <w:rsid w:val="007B3B34"/>
    <w:rsid w:val="007B3E02"/>
    <w:rsid w:val="007B4007"/>
    <w:rsid w:val="007B42DF"/>
    <w:rsid w:val="007B444A"/>
    <w:rsid w:val="007B4A90"/>
    <w:rsid w:val="007B4CBE"/>
    <w:rsid w:val="007B4DDA"/>
    <w:rsid w:val="007B4F58"/>
    <w:rsid w:val="007B5119"/>
    <w:rsid w:val="007B528D"/>
    <w:rsid w:val="007B59D6"/>
    <w:rsid w:val="007B5CE4"/>
    <w:rsid w:val="007B5ED4"/>
    <w:rsid w:val="007B63CA"/>
    <w:rsid w:val="007B6B38"/>
    <w:rsid w:val="007B6C0B"/>
    <w:rsid w:val="007B7042"/>
    <w:rsid w:val="007B7768"/>
    <w:rsid w:val="007B77D1"/>
    <w:rsid w:val="007B791C"/>
    <w:rsid w:val="007B7C53"/>
    <w:rsid w:val="007B7F24"/>
    <w:rsid w:val="007B7F97"/>
    <w:rsid w:val="007C07C7"/>
    <w:rsid w:val="007C1215"/>
    <w:rsid w:val="007C1779"/>
    <w:rsid w:val="007C1A00"/>
    <w:rsid w:val="007C1CD9"/>
    <w:rsid w:val="007C24A4"/>
    <w:rsid w:val="007C2C93"/>
    <w:rsid w:val="007C2E8B"/>
    <w:rsid w:val="007C32EF"/>
    <w:rsid w:val="007C361D"/>
    <w:rsid w:val="007C3E40"/>
    <w:rsid w:val="007C4123"/>
    <w:rsid w:val="007C438B"/>
    <w:rsid w:val="007C44B2"/>
    <w:rsid w:val="007C48B3"/>
    <w:rsid w:val="007C4B84"/>
    <w:rsid w:val="007C4B98"/>
    <w:rsid w:val="007C52F0"/>
    <w:rsid w:val="007C548E"/>
    <w:rsid w:val="007C601F"/>
    <w:rsid w:val="007C6467"/>
    <w:rsid w:val="007C6502"/>
    <w:rsid w:val="007C674F"/>
    <w:rsid w:val="007C6A36"/>
    <w:rsid w:val="007C6BDE"/>
    <w:rsid w:val="007C6BFD"/>
    <w:rsid w:val="007C6F22"/>
    <w:rsid w:val="007C70FF"/>
    <w:rsid w:val="007C72B3"/>
    <w:rsid w:val="007C747B"/>
    <w:rsid w:val="007C776E"/>
    <w:rsid w:val="007C7A36"/>
    <w:rsid w:val="007C7C25"/>
    <w:rsid w:val="007C7FD4"/>
    <w:rsid w:val="007D004F"/>
    <w:rsid w:val="007D035F"/>
    <w:rsid w:val="007D04A3"/>
    <w:rsid w:val="007D06B2"/>
    <w:rsid w:val="007D084E"/>
    <w:rsid w:val="007D0B38"/>
    <w:rsid w:val="007D1269"/>
    <w:rsid w:val="007D1838"/>
    <w:rsid w:val="007D249C"/>
    <w:rsid w:val="007D264B"/>
    <w:rsid w:val="007D31C3"/>
    <w:rsid w:val="007D3513"/>
    <w:rsid w:val="007D3534"/>
    <w:rsid w:val="007D39B1"/>
    <w:rsid w:val="007D4034"/>
    <w:rsid w:val="007D4A51"/>
    <w:rsid w:val="007D5029"/>
    <w:rsid w:val="007D5440"/>
    <w:rsid w:val="007D5566"/>
    <w:rsid w:val="007D5827"/>
    <w:rsid w:val="007D5894"/>
    <w:rsid w:val="007D5B71"/>
    <w:rsid w:val="007D5DB5"/>
    <w:rsid w:val="007D649B"/>
    <w:rsid w:val="007D6582"/>
    <w:rsid w:val="007D6731"/>
    <w:rsid w:val="007D69EB"/>
    <w:rsid w:val="007D7377"/>
    <w:rsid w:val="007D7385"/>
    <w:rsid w:val="007D744A"/>
    <w:rsid w:val="007D74D7"/>
    <w:rsid w:val="007D79ED"/>
    <w:rsid w:val="007D7A26"/>
    <w:rsid w:val="007D7B2B"/>
    <w:rsid w:val="007D7D59"/>
    <w:rsid w:val="007D7F8C"/>
    <w:rsid w:val="007E0297"/>
    <w:rsid w:val="007E07F8"/>
    <w:rsid w:val="007E0814"/>
    <w:rsid w:val="007E093C"/>
    <w:rsid w:val="007E0945"/>
    <w:rsid w:val="007E0FD7"/>
    <w:rsid w:val="007E128F"/>
    <w:rsid w:val="007E132E"/>
    <w:rsid w:val="007E19AC"/>
    <w:rsid w:val="007E2635"/>
    <w:rsid w:val="007E2832"/>
    <w:rsid w:val="007E2926"/>
    <w:rsid w:val="007E45F5"/>
    <w:rsid w:val="007E4C9A"/>
    <w:rsid w:val="007E51D5"/>
    <w:rsid w:val="007E5AA4"/>
    <w:rsid w:val="007E62FE"/>
    <w:rsid w:val="007E651F"/>
    <w:rsid w:val="007E6CE2"/>
    <w:rsid w:val="007E6F60"/>
    <w:rsid w:val="007E7050"/>
    <w:rsid w:val="007E70AD"/>
    <w:rsid w:val="007E7178"/>
    <w:rsid w:val="007E73F3"/>
    <w:rsid w:val="007E7489"/>
    <w:rsid w:val="007E7BE0"/>
    <w:rsid w:val="007F0492"/>
    <w:rsid w:val="007F0E97"/>
    <w:rsid w:val="007F0EEF"/>
    <w:rsid w:val="007F1017"/>
    <w:rsid w:val="007F1134"/>
    <w:rsid w:val="007F11A6"/>
    <w:rsid w:val="007F1B78"/>
    <w:rsid w:val="007F1E0A"/>
    <w:rsid w:val="007F20C1"/>
    <w:rsid w:val="007F21D2"/>
    <w:rsid w:val="007F2228"/>
    <w:rsid w:val="007F230C"/>
    <w:rsid w:val="007F2EFB"/>
    <w:rsid w:val="007F35D1"/>
    <w:rsid w:val="007F3667"/>
    <w:rsid w:val="007F3711"/>
    <w:rsid w:val="007F39D6"/>
    <w:rsid w:val="007F3ADA"/>
    <w:rsid w:val="007F409C"/>
    <w:rsid w:val="007F4A3F"/>
    <w:rsid w:val="007F4A61"/>
    <w:rsid w:val="007F4DD7"/>
    <w:rsid w:val="007F5255"/>
    <w:rsid w:val="007F540F"/>
    <w:rsid w:val="007F56CC"/>
    <w:rsid w:val="007F5DD9"/>
    <w:rsid w:val="007F5E06"/>
    <w:rsid w:val="007F61C2"/>
    <w:rsid w:val="007F652E"/>
    <w:rsid w:val="007F698C"/>
    <w:rsid w:val="007F6DDA"/>
    <w:rsid w:val="007F6FE3"/>
    <w:rsid w:val="007F718E"/>
    <w:rsid w:val="007F74C1"/>
    <w:rsid w:val="007F77A7"/>
    <w:rsid w:val="007F7979"/>
    <w:rsid w:val="007F7FD7"/>
    <w:rsid w:val="00800207"/>
    <w:rsid w:val="008002FA"/>
    <w:rsid w:val="00800D40"/>
    <w:rsid w:val="00801018"/>
    <w:rsid w:val="00801888"/>
    <w:rsid w:val="00801897"/>
    <w:rsid w:val="008023F7"/>
    <w:rsid w:val="008027E3"/>
    <w:rsid w:val="00803093"/>
    <w:rsid w:val="00803498"/>
    <w:rsid w:val="0080355C"/>
    <w:rsid w:val="008035B0"/>
    <w:rsid w:val="00804A36"/>
    <w:rsid w:val="00804C35"/>
    <w:rsid w:val="00804F70"/>
    <w:rsid w:val="00805070"/>
    <w:rsid w:val="00805142"/>
    <w:rsid w:val="00805377"/>
    <w:rsid w:val="0080566B"/>
    <w:rsid w:val="00805CD8"/>
    <w:rsid w:val="00805FCE"/>
    <w:rsid w:val="00805FFB"/>
    <w:rsid w:val="0080678F"/>
    <w:rsid w:val="00806797"/>
    <w:rsid w:val="00806970"/>
    <w:rsid w:val="00806BA2"/>
    <w:rsid w:val="00806C65"/>
    <w:rsid w:val="00807A4D"/>
    <w:rsid w:val="00807A75"/>
    <w:rsid w:val="00807A8B"/>
    <w:rsid w:val="0081014A"/>
    <w:rsid w:val="0081021B"/>
    <w:rsid w:val="0081075C"/>
    <w:rsid w:val="00810CE3"/>
    <w:rsid w:val="008110EE"/>
    <w:rsid w:val="00811383"/>
    <w:rsid w:val="008117D0"/>
    <w:rsid w:val="008118AB"/>
    <w:rsid w:val="00811F62"/>
    <w:rsid w:val="00812149"/>
    <w:rsid w:val="008121E0"/>
    <w:rsid w:val="008126E4"/>
    <w:rsid w:val="0081293B"/>
    <w:rsid w:val="00812CAC"/>
    <w:rsid w:val="008132DF"/>
    <w:rsid w:val="0081343C"/>
    <w:rsid w:val="008134C6"/>
    <w:rsid w:val="0081372C"/>
    <w:rsid w:val="00813DC3"/>
    <w:rsid w:val="00814498"/>
    <w:rsid w:val="0081454C"/>
    <w:rsid w:val="00814FD0"/>
    <w:rsid w:val="00815414"/>
    <w:rsid w:val="008154D5"/>
    <w:rsid w:val="0081560A"/>
    <w:rsid w:val="00815909"/>
    <w:rsid w:val="00815B4F"/>
    <w:rsid w:val="00815CBD"/>
    <w:rsid w:val="00816009"/>
    <w:rsid w:val="008161FD"/>
    <w:rsid w:val="00816361"/>
    <w:rsid w:val="008164CA"/>
    <w:rsid w:val="008166EF"/>
    <w:rsid w:val="00816FEF"/>
    <w:rsid w:val="00817084"/>
    <w:rsid w:val="0081724C"/>
    <w:rsid w:val="00817C53"/>
    <w:rsid w:val="00820A8C"/>
    <w:rsid w:val="00820D7E"/>
    <w:rsid w:val="008215FB"/>
    <w:rsid w:val="008220CC"/>
    <w:rsid w:val="008229E7"/>
    <w:rsid w:val="00822EFF"/>
    <w:rsid w:val="00823174"/>
    <w:rsid w:val="00823751"/>
    <w:rsid w:val="00823928"/>
    <w:rsid w:val="00823DFA"/>
    <w:rsid w:val="0082456C"/>
    <w:rsid w:val="00824FF0"/>
    <w:rsid w:val="00825751"/>
    <w:rsid w:val="00825D9A"/>
    <w:rsid w:val="00825FB0"/>
    <w:rsid w:val="008264EB"/>
    <w:rsid w:val="008268CE"/>
    <w:rsid w:val="00827475"/>
    <w:rsid w:val="0082773D"/>
    <w:rsid w:val="00827B75"/>
    <w:rsid w:val="00827C23"/>
    <w:rsid w:val="008302BB"/>
    <w:rsid w:val="00830765"/>
    <w:rsid w:val="008308FA"/>
    <w:rsid w:val="00830B36"/>
    <w:rsid w:val="0083101D"/>
    <w:rsid w:val="0083111B"/>
    <w:rsid w:val="00831142"/>
    <w:rsid w:val="00831271"/>
    <w:rsid w:val="008318B8"/>
    <w:rsid w:val="00831911"/>
    <w:rsid w:val="00831D1E"/>
    <w:rsid w:val="00832149"/>
    <w:rsid w:val="008327D0"/>
    <w:rsid w:val="00832D4A"/>
    <w:rsid w:val="00833065"/>
    <w:rsid w:val="00833624"/>
    <w:rsid w:val="00833922"/>
    <w:rsid w:val="00833B05"/>
    <w:rsid w:val="008341B9"/>
    <w:rsid w:val="00834D02"/>
    <w:rsid w:val="00835FAA"/>
    <w:rsid w:val="008362B4"/>
    <w:rsid w:val="00836AA3"/>
    <w:rsid w:val="00836C92"/>
    <w:rsid w:val="00836D47"/>
    <w:rsid w:val="00836E33"/>
    <w:rsid w:val="0083716B"/>
    <w:rsid w:val="0083780D"/>
    <w:rsid w:val="00837F06"/>
    <w:rsid w:val="00840242"/>
    <w:rsid w:val="008402C9"/>
    <w:rsid w:val="0084062F"/>
    <w:rsid w:val="00840B6B"/>
    <w:rsid w:val="00840CA2"/>
    <w:rsid w:val="00840CE7"/>
    <w:rsid w:val="008410FF"/>
    <w:rsid w:val="00841656"/>
    <w:rsid w:val="00841AE8"/>
    <w:rsid w:val="00841EA7"/>
    <w:rsid w:val="008420B5"/>
    <w:rsid w:val="008423FF"/>
    <w:rsid w:val="008424F9"/>
    <w:rsid w:val="008429F9"/>
    <w:rsid w:val="00842BB2"/>
    <w:rsid w:val="008430E0"/>
    <w:rsid w:val="008430EB"/>
    <w:rsid w:val="00843696"/>
    <w:rsid w:val="008436BC"/>
    <w:rsid w:val="0084374F"/>
    <w:rsid w:val="00843BD3"/>
    <w:rsid w:val="0084409A"/>
    <w:rsid w:val="008440E3"/>
    <w:rsid w:val="00844429"/>
    <w:rsid w:val="008448F8"/>
    <w:rsid w:val="00844A22"/>
    <w:rsid w:val="00844CFC"/>
    <w:rsid w:val="00845057"/>
    <w:rsid w:val="00845411"/>
    <w:rsid w:val="008454D8"/>
    <w:rsid w:val="008454F5"/>
    <w:rsid w:val="008459D5"/>
    <w:rsid w:val="00845B20"/>
    <w:rsid w:val="00845EC3"/>
    <w:rsid w:val="0084600F"/>
    <w:rsid w:val="0084631B"/>
    <w:rsid w:val="00846DCA"/>
    <w:rsid w:val="00846F3C"/>
    <w:rsid w:val="008474D7"/>
    <w:rsid w:val="00847703"/>
    <w:rsid w:val="008479D4"/>
    <w:rsid w:val="00847A3B"/>
    <w:rsid w:val="00847B4F"/>
    <w:rsid w:val="00847BBB"/>
    <w:rsid w:val="00847DF5"/>
    <w:rsid w:val="008500EC"/>
    <w:rsid w:val="008502D3"/>
    <w:rsid w:val="008502F0"/>
    <w:rsid w:val="008505F3"/>
    <w:rsid w:val="00851623"/>
    <w:rsid w:val="00851A05"/>
    <w:rsid w:val="00852999"/>
    <w:rsid w:val="00852A24"/>
    <w:rsid w:val="00852C5B"/>
    <w:rsid w:val="0085309D"/>
    <w:rsid w:val="008530C5"/>
    <w:rsid w:val="0085339D"/>
    <w:rsid w:val="008536C1"/>
    <w:rsid w:val="008539B6"/>
    <w:rsid w:val="00853DCC"/>
    <w:rsid w:val="0085434C"/>
    <w:rsid w:val="0085490A"/>
    <w:rsid w:val="00854A51"/>
    <w:rsid w:val="00854B39"/>
    <w:rsid w:val="00855326"/>
    <w:rsid w:val="0085573B"/>
    <w:rsid w:val="00856030"/>
    <w:rsid w:val="00856897"/>
    <w:rsid w:val="00856E9A"/>
    <w:rsid w:val="00856F94"/>
    <w:rsid w:val="0085714F"/>
    <w:rsid w:val="008571EE"/>
    <w:rsid w:val="00857267"/>
    <w:rsid w:val="00857325"/>
    <w:rsid w:val="00857548"/>
    <w:rsid w:val="0085775B"/>
    <w:rsid w:val="0085796E"/>
    <w:rsid w:val="00857B23"/>
    <w:rsid w:val="00857D2E"/>
    <w:rsid w:val="0086030F"/>
    <w:rsid w:val="0086075D"/>
    <w:rsid w:val="0086139E"/>
    <w:rsid w:val="00861AF4"/>
    <w:rsid w:val="008621DA"/>
    <w:rsid w:val="00862502"/>
    <w:rsid w:val="00862CC1"/>
    <w:rsid w:val="00862F67"/>
    <w:rsid w:val="00862FF2"/>
    <w:rsid w:val="008631B1"/>
    <w:rsid w:val="0086325C"/>
    <w:rsid w:val="00863364"/>
    <w:rsid w:val="00863848"/>
    <w:rsid w:val="00863EC6"/>
    <w:rsid w:val="0086419D"/>
    <w:rsid w:val="008642A7"/>
    <w:rsid w:val="008647EE"/>
    <w:rsid w:val="00864A9A"/>
    <w:rsid w:val="00864CFA"/>
    <w:rsid w:val="008651D5"/>
    <w:rsid w:val="00865776"/>
    <w:rsid w:val="00865AC1"/>
    <w:rsid w:val="00865B84"/>
    <w:rsid w:val="008660D4"/>
    <w:rsid w:val="008662D5"/>
    <w:rsid w:val="008666D0"/>
    <w:rsid w:val="0086691E"/>
    <w:rsid w:val="00866A07"/>
    <w:rsid w:val="00866ACF"/>
    <w:rsid w:val="00866E60"/>
    <w:rsid w:val="00866FF4"/>
    <w:rsid w:val="008671F6"/>
    <w:rsid w:val="00867B2A"/>
    <w:rsid w:val="00870F08"/>
    <w:rsid w:val="00870FCE"/>
    <w:rsid w:val="00871574"/>
    <w:rsid w:val="00871698"/>
    <w:rsid w:val="008719E0"/>
    <w:rsid w:val="00871FA9"/>
    <w:rsid w:val="008721B2"/>
    <w:rsid w:val="008721E8"/>
    <w:rsid w:val="008722DF"/>
    <w:rsid w:val="008728E9"/>
    <w:rsid w:val="00872CE5"/>
    <w:rsid w:val="0087310B"/>
    <w:rsid w:val="008732C0"/>
    <w:rsid w:val="00873480"/>
    <w:rsid w:val="00873610"/>
    <w:rsid w:val="00873AF3"/>
    <w:rsid w:val="00873EA0"/>
    <w:rsid w:val="00874C00"/>
    <w:rsid w:val="00874E06"/>
    <w:rsid w:val="00875456"/>
    <w:rsid w:val="00876729"/>
    <w:rsid w:val="00876A40"/>
    <w:rsid w:val="00876E14"/>
    <w:rsid w:val="00877183"/>
    <w:rsid w:val="00877339"/>
    <w:rsid w:val="008779D4"/>
    <w:rsid w:val="00877A6D"/>
    <w:rsid w:val="00877D32"/>
    <w:rsid w:val="00877FD9"/>
    <w:rsid w:val="008800EC"/>
    <w:rsid w:val="0088068C"/>
    <w:rsid w:val="00880A77"/>
    <w:rsid w:val="00880DF2"/>
    <w:rsid w:val="00880F7E"/>
    <w:rsid w:val="008817AF"/>
    <w:rsid w:val="00881E27"/>
    <w:rsid w:val="00881E90"/>
    <w:rsid w:val="00881EA2"/>
    <w:rsid w:val="008822FE"/>
    <w:rsid w:val="00882644"/>
    <w:rsid w:val="00882874"/>
    <w:rsid w:val="00882E3C"/>
    <w:rsid w:val="0088308A"/>
    <w:rsid w:val="00883787"/>
    <w:rsid w:val="008839CC"/>
    <w:rsid w:val="008839FF"/>
    <w:rsid w:val="00883AA8"/>
    <w:rsid w:val="00883E76"/>
    <w:rsid w:val="00884181"/>
    <w:rsid w:val="00884CFB"/>
    <w:rsid w:val="00884E88"/>
    <w:rsid w:val="00884FA5"/>
    <w:rsid w:val="008855E4"/>
    <w:rsid w:val="008856C6"/>
    <w:rsid w:val="008856E8"/>
    <w:rsid w:val="008857E1"/>
    <w:rsid w:val="008858F2"/>
    <w:rsid w:val="00885A1A"/>
    <w:rsid w:val="00885FA8"/>
    <w:rsid w:val="008863CC"/>
    <w:rsid w:val="008867E7"/>
    <w:rsid w:val="00886C12"/>
    <w:rsid w:val="00886C1A"/>
    <w:rsid w:val="00886CD2"/>
    <w:rsid w:val="0088721B"/>
    <w:rsid w:val="008873E2"/>
    <w:rsid w:val="00887916"/>
    <w:rsid w:val="00887981"/>
    <w:rsid w:val="00887AE6"/>
    <w:rsid w:val="0089014E"/>
    <w:rsid w:val="00890A37"/>
    <w:rsid w:val="00890DE7"/>
    <w:rsid w:val="0089133E"/>
    <w:rsid w:val="00891651"/>
    <w:rsid w:val="008919E8"/>
    <w:rsid w:val="00891E6F"/>
    <w:rsid w:val="00892064"/>
    <w:rsid w:val="0089220E"/>
    <w:rsid w:val="00892629"/>
    <w:rsid w:val="0089275D"/>
    <w:rsid w:val="00892A36"/>
    <w:rsid w:val="00892B59"/>
    <w:rsid w:val="00892F2D"/>
    <w:rsid w:val="00893046"/>
    <w:rsid w:val="00893239"/>
    <w:rsid w:val="00893351"/>
    <w:rsid w:val="0089338D"/>
    <w:rsid w:val="0089339E"/>
    <w:rsid w:val="008938F6"/>
    <w:rsid w:val="00893CBE"/>
    <w:rsid w:val="00894148"/>
    <w:rsid w:val="0089420E"/>
    <w:rsid w:val="00894489"/>
    <w:rsid w:val="00894597"/>
    <w:rsid w:val="00894922"/>
    <w:rsid w:val="00894CD6"/>
    <w:rsid w:val="00895990"/>
    <w:rsid w:val="00895C67"/>
    <w:rsid w:val="00895CE3"/>
    <w:rsid w:val="00895DCB"/>
    <w:rsid w:val="008960BA"/>
    <w:rsid w:val="00896144"/>
    <w:rsid w:val="008963A5"/>
    <w:rsid w:val="00896508"/>
    <w:rsid w:val="00896ABB"/>
    <w:rsid w:val="00896D5D"/>
    <w:rsid w:val="008971AA"/>
    <w:rsid w:val="00897760"/>
    <w:rsid w:val="00897791"/>
    <w:rsid w:val="008977BC"/>
    <w:rsid w:val="00897835"/>
    <w:rsid w:val="008A0002"/>
    <w:rsid w:val="008A02A7"/>
    <w:rsid w:val="008A0A57"/>
    <w:rsid w:val="008A1389"/>
    <w:rsid w:val="008A13A0"/>
    <w:rsid w:val="008A1BBE"/>
    <w:rsid w:val="008A28B6"/>
    <w:rsid w:val="008A2CDC"/>
    <w:rsid w:val="008A2E98"/>
    <w:rsid w:val="008A3158"/>
    <w:rsid w:val="008A3363"/>
    <w:rsid w:val="008A3371"/>
    <w:rsid w:val="008A391F"/>
    <w:rsid w:val="008A3A14"/>
    <w:rsid w:val="008A3C3E"/>
    <w:rsid w:val="008A3D09"/>
    <w:rsid w:val="008A41F0"/>
    <w:rsid w:val="008A4281"/>
    <w:rsid w:val="008A4324"/>
    <w:rsid w:val="008A43C3"/>
    <w:rsid w:val="008A494F"/>
    <w:rsid w:val="008A4A8E"/>
    <w:rsid w:val="008A5275"/>
    <w:rsid w:val="008A52B8"/>
    <w:rsid w:val="008A5411"/>
    <w:rsid w:val="008A59F3"/>
    <w:rsid w:val="008A5A00"/>
    <w:rsid w:val="008A5FE0"/>
    <w:rsid w:val="008A646D"/>
    <w:rsid w:val="008A66F9"/>
    <w:rsid w:val="008A6954"/>
    <w:rsid w:val="008A6E9F"/>
    <w:rsid w:val="008A6F3F"/>
    <w:rsid w:val="008A763C"/>
    <w:rsid w:val="008A7859"/>
    <w:rsid w:val="008A79DE"/>
    <w:rsid w:val="008B016B"/>
    <w:rsid w:val="008B016C"/>
    <w:rsid w:val="008B0513"/>
    <w:rsid w:val="008B0698"/>
    <w:rsid w:val="008B0A0F"/>
    <w:rsid w:val="008B122B"/>
    <w:rsid w:val="008B173F"/>
    <w:rsid w:val="008B1757"/>
    <w:rsid w:val="008B1840"/>
    <w:rsid w:val="008B1C33"/>
    <w:rsid w:val="008B1DD9"/>
    <w:rsid w:val="008B1E3E"/>
    <w:rsid w:val="008B2442"/>
    <w:rsid w:val="008B296C"/>
    <w:rsid w:val="008B2C40"/>
    <w:rsid w:val="008B3391"/>
    <w:rsid w:val="008B3629"/>
    <w:rsid w:val="008B3883"/>
    <w:rsid w:val="008B3976"/>
    <w:rsid w:val="008B4136"/>
    <w:rsid w:val="008B4A24"/>
    <w:rsid w:val="008B4B6F"/>
    <w:rsid w:val="008B4F51"/>
    <w:rsid w:val="008B5443"/>
    <w:rsid w:val="008B61A3"/>
    <w:rsid w:val="008B62F3"/>
    <w:rsid w:val="008B6308"/>
    <w:rsid w:val="008B6B02"/>
    <w:rsid w:val="008B711E"/>
    <w:rsid w:val="008B7445"/>
    <w:rsid w:val="008B7659"/>
    <w:rsid w:val="008B7992"/>
    <w:rsid w:val="008B7D7E"/>
    <w:rsid w:val="008B7DB1"/>
    <w:rsid w:val="008C097B"/>
    <w:rsid w:val="008C1297"/>
    <w:rsid w:val="008C20FF"/>
    <w:rsid w:val="008C2594"/>
    <w:rsid w:val="008C2979"/>
    <w:rsid w:val="008C2B4E"/>
    <w:rsid w:val="008C2B55"/>
    <w:rsid w:val="008C300B"/>
    <w:rsid w:val="008C328A"/>
    <w:rsid w:val="008C3365"/>
    <w:rsid w:val="008C3AD1"/>
    <w:rsid w:val="008C3B5B"/>
    <w:rsid w:val="008C48C0"/>
    <w:rsid w:val="008C4FE1"/>
    <w:rsid w:val="008C5584"/>
    <w:rsid w:val="008C5610"/>
    <w:rsid w:val="008C5739"/>
    <w:rsid w:val="008C58F2"/>
    <w:rsid w:val="008C5912"/>
    <w:rsid w:val="008C622A"/>
    <w:rsid w:val="008C6503"/>
    <w:rsid w:val="008C6714"/>
    <w:rsid w:val="008C6B0D"/>
    <w:rsid w:val="008C7150"/>
    <w:rsid w:val="008C7282"/>
    <w:rsid w:val="008C76DD"/>
    <w:rsid w:val="008C7A57"/>
    <w:rsid w:val="008C7ECB"/>
    <w:rsid w:val="008D0593"/>
    <w:rsid w:val="008D0D4E"/>
    <w:rsid w:val="008D0E47"/>
    <w:rsid w:val="008D10F4"/>
    <w:rsid w:val="008D13E9"/>
    <w:rsid w:val="008D1449"/>
    <w:rsid w:val="008D146E"/>
    <w:rsid w:val="008D1D5A"/>
    <w:rsid w:val="008D1E15"/>
    <w:rsid w:val="008D2A44"/>
    <w:rsid w:val="008D2C3B"/>
    <w:rsid w:val="008D2E69"/>
    <w:rsid w:val="008D39C7"/>
    <w:rsid w:val="008D3B86"/>
    <w:rsid w:val="008D3FA5"/>
    <w:rsid w:val="008D402B"/>
    <w:rsid w:val="008D4183"/>
    <w:rsid w:val="008D43FD"/>
    <w:rsid w:val="008D471C"/>
    <w:rsid w:val="008D4755"/>
    <w:rsid w:val="008D4823"/>
    <w:rsid w:val="008D4B88"/>
    <w:rsid w:val="008D4C3D"/>
    <w:rsid w:val="008D4FE1"/>
    <w:rsid w:val="008D5058"/>
    <w:rsid w:val="008D5387"/>
    <w:rsid w:val="008D5CAE"/>
    <w:rsid w:val="008D5EF1"/>
    <w:rsid w:val="008D6506"/>
    <w:rsid w:val="008D6BC5"/>
    <w:rsid w:val="008D7111"/>
    <w:rsid w:val="008D73D7"/>
    <w:rsid w:val="008D743C"/>
    <w:rsid w:val="008D7B08"/>
    <w:rsid w:val="008D7B5D"/>
    <w:rsid w:val="008E0452"/>
    <w:rsid w:val="008E0669"/>
    <w:rsid w:val="008E0CF6"/>
    <w:rsid w:val="008E0D3C"/>
    <w:rsid w:val="008E1058"/>
    <w:rsid w:val="008E1431"/>
    <w:rsid w:val="008E18BD"/>
    <w:rsid w:val="008E1B9E"/>
    <w:rsid w:val="008E1CBC"/>
    <w:rsid w:val="008E1FEF"/>
    <w:rsid w:val="008E2022"/>
    <w:rsid w:val="008E2A74"/>
    <w:rsid w:val="008E2D42"/>
    <w:rsid w:val="008E2E7E"/>
    <w:rsid w:val="008E3BEE"/>
    <w:rsid w:val="008E433D"/>
    <w:rsid w:val="008E43C7"/>
    <w:rsid w:val="008E49EE"/>
    <w:rsid w:val="008E4B5A"/>
    <w:rsid w:val="008E5186"/>
    <w:rsid w:val="008E55AB"/>
    <w:rsid w:val="008E583E"/>
    <w:rsid w:val="008E5971"/>
    <w:rsid w:val="008E616B"/>
    <w:rsid w:val="008E636A"/>
    <w:rsid w:val="008E6B4F"/>
    <w:rsid w:val="008E6B95"/>
    <w:rsid w:val="008E6D7E"/>
    <w:rsid w:val="008E728A"/>
    <w:rsid w:val="008F00F0"/>
    <w:rsid w:val="008F0262"/>
    <w:rsid w:val="008F0E1C"/>
    <w:rsid w:val="008F120A"/>
    <w:rsid w:val="008F12DF"/>
    <w:rsid w:val="008F13D1"/>
    <w:rsid w:val="008F152E"/>
    <w:rsid w:val="008F1B5A"/>
    <w:rsid w:val="008F1C62"/>
    <w:rsid w:val="008F1D45"/>
    <w:rsid w:val="008F1ED8"/>
    <w:rsid w:val="008F1F67"/>
    <w:rsid w:val="008F1F96"/>
    <w:rsid w:val="008F21D5"/>
    <w:rsid w:val="008F27E0"/>
    <w:rsid w:val="008F29DC"/>
    <w:rsid w:val="008F2E37"/>
    <w:rsid w:val="008F2EB0"/>
    <w:rsid w:val="008F385C"/>
    <w:rsid w:val="008F3869"/>
    <w:rsid w:val="008F4295"/>
    <w:rsid w:val="008F43D0"/>
    <w:rsid w:val="008F4495"/>
    <w:rsid w:val="008F4796"/>
    <w:rsid w:val="008F48EB"/>
    <w:rsid w:val="008F4BC9"/>
    <w:rsid w:val="008F4F0B"/>
    <w:rsid w:val="008F5E9E"/>
    <w:rsid w:val="008F6075"/>
    <w:rsid w:val="008F60BB"/>
    <w:rsid w:val="008F67E6"/>
    <w:rsid w:val="008F6EB5"/>
    <w:rsid w:val="008F766A"/>
    <w:rsid w:val="008F7C1C"/>
    <w:rsid w:val="00900BAA"/>
    <w:rsid w:val="00900CA1"/>
    <w:rsid w:val="009011B1"/>
    <w:rsid w:val="0090182F"/>
    <w:rsid w:val="00901D1F"/>
    <w:rsid w:val="00901D4E"/>
    <w:rsid w:val="00902241"/>
    <w:rsid w:val="009023C1"/>
    <w:rsid w:val="009023D0"/>
    <w:rsid w:val="0090242C"/>
    <w:rsid w:val="009024EE"/>
    <w:rsid w:val="00902AFC"/>
    <w:rsid w:val="00902EA6"/>
    <w:rsid w:val="0090325D"/>
    <w:rsid w:val="0090328C"/>
    <w:rsid w:val="00903944"/>
    <w:rsid w:val="00903A9D"/>
    <w:rsid w:val="009046C4"/>
    <w:rsid w:val="0090483B"/>
    <w:rsid w:val="00904920"/>
    <w:rsid w:val="00905018"/>
    <w:rsid w:val="0090502D"/>
    <w:rsid w:val="00905404"/>
    <w:rsid w:val="00905451"/>
    <w:rsid w:val="00905B62"/>
    <w:rsid w:val="009062A5"/>
    <w:rsid w:val="0090686B"/>
    <w:rsid w:val="00906BCF"/>
    <w:rsid w:val="0090706B"/>
    <w:rsid w:val="00907699"/>
    <w:rsid w:val="00907960"/>
    <w:rsid w:val="00907A1B"/>
    <w:rsid w:val="00907B71"/>
    <w:rsid w:val="00907F29"/>
    <w:rsid w:val="00910051"/>
    <w:rsid w:val="00910FA7"/>
    <w:rsid w:val="0091111B"/>
    <w:rsid w:val="00911195"/>
    <w:rsid w:val="0091125A"/>
    <w:rsid w:val="00911272"/>
    <w:rsid w:val="00911339"/>
    <w:rsid w:val="00911510"/>
    <w:rsid w:val="00911920"/>
    <w:rsid w:val="00911C51"/>
    <w:rsid w:val="00911C53"/>
    <w:rsid w:val="0091235E"/>
    <w:rsid w:val="009129D3"/>
    <w:rsid w:val="00912EF7"/>
    <w:rsid w:val="00912F44"/>
    <w:rsid w:val="009135D6"/>
    <w:rsid w:val="00913672"/>
    <w:rsid w:val="00913953"/>
    <w:rsid w:val="00913B1C"/>
    <w:rsid w:val="00913C9B"/>
    <w:rsid w:val="00913EAB"/>
    <w:rsid w:val="00913F2B"/>
    <w:rsid w:val="009140FD"/>
    <w:rsid w:val="0091492B"/>
    <w:rsid w:val="009149E3"/>
    <w:rsid w:val="00914C77"/>
    <w:rsid w:val="00915194"/>
    <w:rsid w:val="0091577D"/>
    <w:rsid w:val="00915917"/>
    <w:rsid w:val="00915A9D"/>
    <w:rsid w:val="00916028"/>
    <w:rsid w:val="009163BE"/>
    <w:rsid w:val="009165A3"/>
    <w:rsid w:val="009165A5"/>
    <w:rsid w:val="00916775"/>
    <w:rsid w:val="009168B5"/>
    <w:rsid w:val="00916CFA"/>
    <w:rsid w:val="00916FFC"/>
    <w:rsid w:val="00917263"/>
    <w:rsid w:val="009177BE"/>
    <w:rsid w:val="00917A85"/>
    <w:rsid w:val="0092054A"/>
    <w:rsid w:val="009206DB"/>
    <w:rsid w:val="009208E8"/>
    <w:rsid w:val="00920BF8"/>
    <w:rsid w:val="00921026"/>
    <w:rsid w:val="009218EF"/>
    <w:rsid w:val="00921ACB"/>
    <w:rsid w:val="00922561"/>
    <w:rsid w:val="0092258C"/>
    <w:rsid w:val="0092274D"/>
    <w:rsid w:val="00922763"/>
    <w:rsid w:val="00923152"/>
    <w:rsid w:val="009233C8"/>
    <w:rsid w:val="009235E6"/>
    <w:rsid w:val="0092369B"/>
    <w:rsid w:val="00923744"/>
    <w:rsid w:val="00923963"/>
    <w:rsid w:val="009240DE"/>
    <w:rsid w:val="009243BF"/>
    <w:rsid w:val="00924420"/>
    <w:rsid w:val="009251AB"/>
    <w:rsid w:val="0092538C"/>
    <w:rsid w:val="00925ADB"/>
    <w:rsid w:val="00925D8E"/>
    <w:rsid w:val="00925FC5"/>
    <w:rsid w:val="009262D2"/>
    <w:rsid w:val="0092652A"/>
    <w:rsid w:val="00926677"/>
    <w:rsid w:val="0092667F"/>
    <w:rsid w:val="0092763C"/>
    <w:rsid w:val="0092785B"/>
    <w:rsid w:val="00927F69"/>
    <w:rsid w:val="00927FAE"/>
    <w:rsid w:val="009308E3"/>
    <w:rsid w:val="00930C07"/>
    <w:rsid w:val="00931162"/>
    <w:rsid w:val="00931A37"/>
    <w:rsid w:val="00931B84"/>
    <w:rsid w:val="00932794"/>
    <w:rsid w:val="00932947"/>
    <w:rsid w:val="00932CFE"/>
    <w:rsid w:val="00932FC5"/>
    <w:rsid w:val="00933140"/>
    <w:rsid w:val="00933552"/>
    <w:rsid w:val="00933936"/>
    <w:rsid w:val="009341E5"/>
    <w:rsid w:val="0093439C"/>
    <w:rsid w:val="009347B3"/>
    <w:rsid w:val="00934988"/>
    <w:rsid w:val="00934A85"/>
    <w:rsid w:val="00934DC9"/>
    <w:rsid w:val="009351AC"/>
    <w:rsid w:val="0093552C"/>
    <w:rsid w:val="009357AD"/>
    <w:rsid w:val="00935B7F"/>
    <w:rsid w:val="00935EA5"/>
    <w:rsid w:val="00935FFE"/>
    <w:rsid w:val="009364F7"/>
    <w:rsid w:val="00936514"/>
    <w:rsid w:val="0093652E"/>
    <w:rsid w:val="00936BAC"/>
    <w:rsid w:val="00936F76"/>
    <w:rsid w:val="00937089"/>
    <w:rsid w:val="009405BB"/>
    <w:rsid w:val="009408E3"/>
    <w:rsid w:val="00940A44"/>
    <w:rsid w:val="00940A77"/>
    <w:rsid w:val="00940BDA"/>
    <w:rsid w:val="00940DA5"/>
    <w:rsid w:val="00940FCC"/>
    <w:rsid w:val="0094106C"/>
    <w:rsid w:val="00941359"/>
    <w:rsid w:val="0094168F"/>
    <w:rsid w:val="00941B42"/>
    <w:rsid w:val="00941D86"/>
    <w:rsid w:val="0094205A"/>
    <w:rsid w:val="0094248A"/>
    <w:rsid w:val="00942559"/>
    <w:rsid w:val="00942718"/>
    <w:rsid w:val="0094285D"/>
    <w:rsid w:val="00942A5E"/>
    <w:rsid w:val="0094350C"/>
    <w:rsid w:val="00943EE2"/>
    <w:rsid w:val="00944280"/>
    <w:rsid w:val="00944F8A"/>
    <w:rsid w:val="009451CE"/>
    <w:rsid w:val="00945DA9"/>
    <w:rsid w:val="00945F45"/>
    <w:rsid w:val="00945FFC"/>
    <w:rsid w:val="009472DA"/>
    <w:rsid w:val="00947885"/>
    <w:rsid w:val="00950983"/>
    <w:rsid w:val="00950A2F"/>
    <w:rsid w:val="00950A92"/>
    <w:rsid w:val="009510A2"/>
    <w:rsid w:val="009512BF"/>
    <w:rsid w:val="009513E0"/>
    <w:rsid w:val="00951682"/>
    <w:rsid w:val="00951CEE"/>
    <w:rsid w:val="00951FCB"/>
    <w:rsid w:val="00952056"/>
    <w:rsid w:val="00952793"/>
    <w:rsid w:val="00952B8B"/>
    <w:rsid w:val="00952F77"/>
    <w:rsid w:val="00953257"/>
    <w:rsid w:val="00953A55"/>
    <w:rsid w:val="0095474C"/>
    <w:rsid w:val="00954C03"/>
    <w:rsid w:val="009550F5"/>
    <w:rsid w:val="00955407"/>
    <w:rsid w:val="0095547C"/>
    <w:rsid w:val="009554A6"/>
    <w:rsid w:val="009558DD"/>
    <w:rsid w:val="00955AA8"/>
    <w:rsid w:val="00955B3B"/>
    <w:rsid w:val="009566A3"/>
    <w:rsid w:val="009567F6"/>
    <w:rsid w:val="00956866"/>
    <w:rsid w:val="00956B0D"/>
    <w:rsid w:val="00956C75"/>
    <w:rsid w:val="00957512"/>
    <w:rsid w:val="00957894"/>
    <w:rsid w:val="00957D92"/>
    <w:rsid w:val="00957E41"/>
    <w:rsid w:val="00960786"/>
    <w:rsid w:val="00960FA5"/>
    <w:rsid w:val="00961C2E"/>
    <w:rsid w:val="009626B3"/>
    <w:rsid w:val="00962747"/>
    <w:rsid w:val="00962CB9"/>
    <w:rsid w:val="0096316B"/>
    <w:rsid w:val="009635B7"/>
    <w:rsid w:val="00963716"/>
    <w:rsid w:val="00963F43"/>
    <w:rsid w:val="0096427D"/>
    <w:rsid w:val="00964312"/>
    <w:rsid w:val="0096451C"/>
    <w:rsid w:val="00964933"/>
    <w:rsid w:val="0096494F"/>
    <w:rsid w:val="00964AE8"/>
    <w:rsid w:val="0096529E"/>
    <w:rsid w:val="009655D9"/>
    <w:rsid w:val="00965601"/>
    <w:rsid w:val="00965B8A"/>
    <w:rsid w:val="00965D5A"/>
    <w:rsid w:val="00965F0B"/>
    <w:rsid w:val="00965F15"/>
    <w:rsid w:val="00966333"/>
    <w:rsid w:val="00966758"/>
    <w:rsid w:val="00966892"/>
    <w:rsid w:val="0096704C"/>
    <w:rsid w:val="00967181"/>
    <w:rsid w:val="009677D1"/>
    <w:rsid w:val="009677DB"/>
    <w:rsid w:val="00967EE4"/>
    <w:rsid w:val="0097017A"/>
    <w:rsid w:val="0097071F"/>
    <w:rsid w:val="009717AC"/>
    <w:rsid w:val="00971CEE"/>
    <w:rsid w:val="00971CEF"/>
    <w:rsid w:val="00971ED6"/>
    <w:rsid w:val="00971FD9"/>
    <w:rsid w:val="009734F2"/>
    <w:rsid w:val="0097386C"/>
    <w:rsid w:val="0097432A"/>
    <w:rsid w:val="00974659"/>
    <w:rsid w:val="00974894"/>
    <w:rsid w:val="00974A59"/>
    <w:rsid w:val="00974DD1"/>
    <w:rsid w:val="00975124"/>
    <w:rsid w:val="0097515C"/>
    <w:rsid w:val="009751C1"/>
    <w:rsid w:val="009759D9"/>
    <w:rsid w:val="00975F7F"/>
    <w:rsid w:val="0097612A"/>
    <w:rsid w:val="00976672"/>
    <w:rsid w:val="009769CC"/>
    <w:rsid w:val="00976FC1"/>
    <w:rsid w:val="0098011B"/>
    <w:rsid w:val="009803CA"/>
    <w:rsid w:val="00980675"/>
    <w:rsid w:val="0098088B"/>
    <w:rsid w:val="0098096D"/>
    <w:rsid w:val="00980E65"/>
    <w:rsid w:val="009811F1"/>
    <w:rsid w:val="00981648"/>
    <w:rsid w:val="00981D00"/>
    <w:rsid w:val="00982168"/>
    <w:rsid w:val="0098252C"/>
    <w:rsid w:val="0098262F"/>
    <w:rsid w:val="00982756"/>
    <w:rsid w:val="009828D8"/>
    <w:rsid w:val="00982943"/>
    <w:rsid w:val="009831D2"/>
    <w:rsid w:val="0098339A"/>
    <w:rsid w:val="00983A59"/>
    <w:rsid w:val="00983E57"/>
    <w:rsid w:val="00984162"/>
    <w:rsid w:val="0098427C"/>
    <w:rsid w:val="009845D9"/>
    <w:rsid w:val="00984996"/>
    <w:rsid w:val="00984D61"/>
    <w:rsid w:val="0098511B"/>
    <w:rsid w:val="0098571D"/>
    <w:rsid w:val="00985A66"/>
    <w:rsid w:val="00985C64"/>
    <w:rsid w:val="00985D86"/>
    <w:rsid w:val="00985DE2"/>
    <w:rsid w:val="009862D3"/>
    <w:rsid w:val="0098675D"/>
    <w:rsid w:val="009869AE"/>
    <w:rsid w:val="00986B3A"/>
    <w:rsid w:val="00986DF5"/>
    <w:rsid w:val="00986FE8"/>
    <w:rsid w:val="0098751B"/>
    <w:rsid w:val="00987747"/>
    <w:rsid w:val="009878C8"/>
    <w:rsid w:val="00987BA4"/>
    <w:rsid w:val="009901FF"/>
    <w:rsid w:val="00990461"/>
    <w:rsid w:val="009908D6"/>
    <w:rsid w:val="00991234"/>
    <w:rsid w:val="00991354"/>
    <w:rsid w:val="009914D5"/>
    <w:rsid w:val="00991546"/>
    <w:rsid w:val="00991827"/>
    <w:rsid w:val="00991A49"/>
    <w:rsid w:val="00991B19"/>
    <w:rsid w:val="00991C1C"/>
    <w:rsid w:val="00991F55"/>
    <w:rsid w:val="0099202E"/>
    <w:rsid w:val="009921E5"/>
    <w:rsid w:val="0099250D"/>
    <w:rsid w:val="0099251D"/>
    <w:rsid w:val="0099253C"/>
    <w:rsid w:val="009926E0"/>
    <w:rsid w:val="00992BDE"/>
    <w:rsid w:val="00992D64"/>
    <w:rsid w:val="00994415"/>
    <w:rsid w:val="0099451E"/>
    <w:rsid w:val="0099484F"/>
    <w:rsid w:val="00994BA0"/>
    <w:rsid w:val="00994E2A"/>
    <w:rsid w:val="00995972"/>
    <w:rsid w:val="00995A46"/>
    <w:rsid w:val="00995BF5"/>
    <w:rsid w:val="00995CF0"/>
    <w:rsid w:val="00996712"/>
    <w:rsid w:val="009968AA"/>
    <w:rsid w:val="009968EC"/>
    <w:rsid w:val="00996B1A"/>
    <w:rsid w:val="00996CA6"/>
    <w:rsid w:val="00996EDC"/>
    <w:rsid w:val="009972F8"/>
    <w:rsid w:val="0099787C"/>
    <w:rsid w:val="009A00BA"/>
    <w:rsid w:val="009A09E8"/>
    <w:rsid w:val="009A110E"/>
    <w:rsid w:val="009A17CC"/>
    <w:rsid w:val="009A18F6"/>
    <w:rsid w:val="009A2292"/>
    <w:rsid w:val="009A26C2"/>
    <w:rsid w:val="009A2850"/>
    <w:rsid w:val="009A2DCC"/>
    <w:rsid w:val="009A3922"/>
    <w:rsid w:val="009A48B4"/>
    <w:rsid w:val="009A5594"/>
    <w:rsid w:val="009A5ABC"/>
    <w:rsid w:val="009A6115"/>
    <w:rsid w:val="009A650B"/>
    <w:rsid w:val="009A68B0"/>
    <w:rsid w:val="009A6A6F"/>
    <w:rsid w:val="009A6C20"/>
    <w:rsid w:val="009A6D1A"/>
    <w:rsid w:val="009A73EA"/>
    <w:rsid w:val="009A7B67"/>
    <w:rsid w:val="009A7F10"/>
    <w:rsid w:val="009B0A74"/>
    <w:rsid w:val="009B0B5C"/>
    <w:rsid w:val="009B0CC7"/>
    <w:rsid w:val="009B18AF"/>
    <w:rsid w:val="009B332E"/>
    <w:rsid w:val="009B3B8C"/>
    <w:rsid w:val="009B3DFC"/>
    <w:rsid w:val="009B3E26"/>
    <w:rsid w:val="009B470F"/>
    <w:rsid w:val="009B4FE2"/>
    <w:rsid w:val="009B5044"/>
    <w:rsid w:val="009B51A3"/>
    <w:rsid w:val="009B5A69"/>
    <w:rsid w:val="009B600E"/>
    <w:rsid w:val="009B629B"/>
    <w:rsid w:val="009B62C5"/>
    <w:rsid w:val="009B6C7B"/>
    <w:rsid w:val="009B6E5C"/>
    <w:rsid w:val="009B7742"/>
    <w:rsid w:val="009B7782"/>
    <w:rsid w:val="009C03FA"/>
    <w:rsid w:val="009C04EB"/>
    <w:rsid w:val="009C06ED"/>
    <w:rsid w:val="009C1271"/>
    <w:rsid w:val="009C1681"/>
    <w:rsid w:val="009C1C28"/>
    <w:rsid w:val="009C2266"/>
    <w:rsid w:val="009C2396"/>
    <w:rsid w:val="009C275F"/>
    <w:rsid w:val="009C2962"/>
    <w:rsid w:val="009C2A34"/>
    <w:rsid w:val="009C2B52"/>
    <w:rsid w:val="009C3335"/>
    <w:rsid w:val="009C3706"/>
    <w:rsid w:val="009C38E8"/>
    <w:rsid w:val="009C3A3A"/>
    <w:rsid w:val="009C3A9B"/>
    <w:rsid w:val="009C3C57"/>
    <w:rsid w:val="009C4067"/>
    <w:rsid w:val="009C426B"/>
    <w:rsid w:val="009C4445"/>
    <w:rsid w:val="009C49C1"/>
    <w:rsid w:val="009C4C5B"/>
    <w:rsid w:val="009C50BF"/>
    <w:rsid w:val="009C5676"/>
    <w:rsid w:val="009C5B8B"/>
    <w:rsid w:val="009C5BB8"/>
    <w:rsid w:val="009C633B"/>
    <w:rsid w:val="009C6564"/>
    <w:rsid w:val="009C6CEA"/>
    <w:rsid w:val="009C6DE7"/>
    <w:rsid w:val="009C76D1"/>
    <w:rsid w:val="009C7A0D"/>
    <w:rsid w:val="009C7B85"/>
    <w:rsid w:val="009C7D7B"/>
    <w:rsid w:val="009D0123"/>
    <w:rsid w:val="009D0254"/>
    <w:rsid w:val="009D02EC"/>
    <w:rsid w:val="009D0660"/>
    <w:rsid w:val="009D0B0F"/>
    <w:rsid w:val="009D0B4B"/>
    <w:rsid w:val="009D1A64"/>
    <w:rsid w:val="009D1BE6"/>
    <w:rsid w:val="009D2063"/>
    <w:rsid w:val="009D2620"/>
    <w:rsid w:val="009D2995"/>
    <w:rsid w:val="009D3353"/>
    <w:rsid w:val="009D3F0E"/>
    <w:rsid w:val="009D4403"/>
    <w:rsid w:val="009D46DE"/>
    <w:rsid w:val="009D4A48"/>
    <w:rsid w:val="009D5688"/>
    <w:rsid w:val="009D5859"/>
    <w:rsid w:val="009D5B91"/>
    <w:rsid w:val="009D5CE5"/>
    <w:rsid w:val="009D6DF1"/>
    <w:rsid w:val="009D6FA3"/>
    <w:rsid w:val="009D7858"/>
    <w:rsid w:val="009D792E"/>
    <w:rsid w:val="009D7EB5"/>
    <w:rsid w:val="009D7EFE"/>
    <w:rsid w:val="009D7F30"/>
    <w:rsid w:val="009E0315"/>
    <w:rsid w:val="009E0906"/>
    <w:rsid w:val="009E097E"/>
    <w:rsid w:val="009E0DFE"/>
    <w:rsid w:val="009E15A6"/>
    <w:rsid w:val="009E16A2"/>
    <w:rsid w:val="009E26B7"/>
    <w:rsid w:val="009E2E8B"/>
    <w:rsid w:val="009E3040"/>
    <w:rsid w:val="009E31F6"/>
    <w:rsid w:val="009E32BA"/>
    <w:rsid w:val="009E40C4"/>
    <w:rsid w:val="009E413B"/>
    <w:rsid w:val="009E46AF"/>
    <w:rsid w:val="009E49A0"/>
    <w:rsid w:val="009E4A08"/>
    <w:rsid w:val="009E4AB3"/>
    <w:rsid w:val="009E4B07"/>
    <w:rsid w:val="009E4B73"/>
    <w:rsid w:val="009E4C07"/>
    <w:rsid w:val="009E4C20"/>
    <w:rsid w:val="009E5168"/>
    <w:rsid w:val="009E52E1"/>
    <w:rsid w:val="009E586F"/>
    <w:rsid w:val="009E5C95"/>
    <w:rsid w:val="009E6070"/>
    <w:rsid w:val="009E6B8E"/>
    <w:rsid w:val="009E6F35"/>
    <w:rsid w:val="009E72F0"/>
    <w:rsid w:val="009E777F"/>
    <w:rsid w:val="009E7D36"/>
    <w:rsid w:val="009F0A45"/>
    <w:rsid w:val="009F0A77"/>
    <w:rsid w:val="009F0BBA"/>
    <w:rsid w:val="009F12EA"/>
    <w:rsid w:val="009F141C"/>
    <w:rsid w:val="009F1441"/>
    <w:rsid w:val="009F19CA"/>
    <w:rsid w:val="009F1ADA"/>
    <w:rsid w:val="009F1C5C"/>
    <w:rsid w:val="009F231F"/>
    <w:rsid w:val="009F25F9"/>
    <w:rsid w:val="009F27CB"/>
    <w:rsid w:val="009F2B6A"/>
    <w:rsid w:val="009F2E9F"/>
    <w:rsid w:val="009F372C"/>
    <w:rsid w:val="009F3F99"/>
    <w:rsid w:val="009F497A"/>
    <w:rsid w:val="009F49E3"/>
    <w:rsid w:val="009F4A7A"/>
    <w:rsid w:val="009F5BAC"/>
    <w:rsid w:val="009F5ED8"/>
    <w:rsid w:val="009F6120"/>
    <w:rsid w:val="009F64DC"/>
    <w:rsid w:val="009F690D"/>
    <w:rsid w:val="009F6EBA"/>
    <w:rsid w:val="009F7694"/>
    <w:rsid w:val="009F7958"/>
    <w:rsid w:val="00A00227"/>
    <w:rsid w:val="00A0029C"/>
    <w:rsid w:val="00A004B9"/>
    <w:rsid w:val="00A0071D"/>
    <w:rsid w:val="00A00D76"/>
    <w:rsid w:val="00A00E16"/>
    <w:rsid w:val="00A00F89"/>
    <w:rsid w:val="00A01184"/>
    <w:rsid w:val="00A01449"/>
    <w:rsid w:val="00A01C8D"/>
    <w:rsid w:val="00A020E8"/>
    <w:rsid w:val="00A0233D"/>
    <w:rsid w:val="00A0274F"/>
    <w:rsid w:val="00A029C6"/>
    <w:rsid w:val="00A02D9C"/>
    <w:rsid w:val="00A03532"/>
    <w:rsid w:val="00A03768"/>
    <w:rsid w:val="00A037C2"/>
    <w:rsid w:val="00A03D43"/>
    <w:rsid w:val="00A03DA4"/>
    <w:rsid w:val="00A04252"/>
    <w:rsid w:val="00A042A4"/>
    <w:rsid w:val="00A04380"/>
    <w:rsid w:val="00A04786"/>
    <w:rsid w:val="00A04C41"/>
    <w:rsid w:val="00A04FAB"/>
    <w:rsid w:val="00A051E5"/>
    <w:rsid w:val="00A05472"/>
    <w:rsid w:val="00A057F1"/>
    <w:rsid w:val="00A05C32"/>
    <w:rsid w:val="00A05D17"/>
    <w:rsid w:val="00A0639B"/>
    <w:rsid w:val="00A0653F"/>
    <w:rsid w:val="00A0667C"/>
    <w:rsid w:val="00A06862"/>
    <w:rsid w:val="00A070CA"/>
    <w:rsid w:val="00A07DCC"/>
    <w:rsid w:val="00A07E45"/>
    <w:rsid w:val="00A10433"/>
    <w:rsid w:val="00A10808"/>
    <w:rsid w:val="00A10C6C"/>
    <w:rsid w:val="00A1162C"/>
    <w:rsid w:val="00A11CD0"/>
    <w:rsid w:val="00A1216E"/>
    <w:rsid w:val="00A12B37"/>
    <w:rsid w:val="00A12DD3"/>
    <w:rsid w:val="00A1311D"/>
    <w:rsid w:val="00A13181"/>
    <w:rsid w:val="00A1356D"/>
    <w:rsid w:val="00A13574"/>
    <w:rsid w:val="00A137D7"/>
    <w:rsid w:val="00A13948"/>
    <w:rsid w:val="00A13B45"/>
    <w:rsid w:val="00A13BED"/>
    <w:rsid w:val="00A140B5"/>
    <w:rsid w:val="00A14EB3"/>
    <w:rsid w:val="00A1555B"/>
    <w:rsid w:val="00A155C5"/>
    <w:rsid w:val="00A15F97"/>
    <w:rsid w:val="00A162D1"/>
    <w:rsid w:val="00A16AD8"/>
    <w:rsid w:val="00A16B64"/>
    <w:rsid w:val="00A16D34"/>
    <w:rsid w:val="00A1756D"/>
    <w:rsid w:val="00A17795"/>
    <w:rsid w:val="00A2021E"/>
    <w:rsid w:val="00A20414"/>
    <w:rsid w:val="00A2085F"/>
    <w:rsid w:val="00A20C3B"/>
    <w:rsid w:val="00A215C0"/>
    <w:rsid w:val="00A217A5"/>
    <w:rsid w:val="00A21C13"/>
    <w:rsid w:val="00A21C95"/>
    <w:rsid w:val="00A21CF3"/>
    <w:rsid w:val="00A22371"/>
    <w:rsid w:val="00A22EA7"/>
    <w:rsid w:val="00A233A5"/>
    <w:rsid w:val="00A235D6"/>
    <w:rsid w:val="00A236B2"/>
    <w:rsid w:val="00A2382A"/>
    <w:rsid w:val="00A23DEA"/>
    <w:rsid w:val="00A24242"/>
    <w:rsid w:val="00A24648"/>
    <w:rsid w:val="00A24778"/>
    <w:rsid w:val="00A24781"/>
    <w:rsid w:val="00A24813"/>
    <w:rsid w:val="00A24CC0"/>
    <w:rsid w:val="00A24E70"/>
    <w:rsid w:val="00A24EF6"/>
    <w:rsid w:val="00A25435"/>
    <w:rsid w:val="00A2576A"/>
    <w:rsid w:val="00A25824"/>
    <w:rsid w:val="00A25B04"/>
    <w:rsid w:val="00A26128"/>
    <w:rsid w:val="00A26EF5"/>
    <w:rsid w:val="00A27AEC"/>
    <w:rsid w:val="00A30226"/>
    <w:rsid w:val="00A3025F"/>
    <w:rsid w:val="00A302B0"/>
    <w:rsid w:val="00A30366"/>
    <w:rsid w:val="00A30560"/>
    <w:rsid w:val="00A305D0"/>
    <w:rsid w:val="00A30AEA"/>
    <w:rsid w:val="00A30CB5"/>
    <w:rsid w:val="00A31A4B"/>
    <w:rsid w:val="00A31A60"/>
    <w:rsid w:val="00A31C42"/>
    <w:rsid w:val="00A320DB"/>
    <w:rsid w:val="00A3261F"/>
    <w:rsid w:val="00A329A0"/>
    <w:rsid w:val="00A32A77"/>
    <w:rsid w:val="00A32B3C"/>
    <w:rsid w:val="00A3394A"/>
    <w:rsid w:val="00A33B7E"/>
    <w:rsid w:val="00A343C4"/>
    <w:rsid w:val="00A34453"/>
    <w:rsid w:val="00A34FFF"/>
    <w:rsid w:val="00A35930"/>
    <w:rsid w:val="00A35AD1"/>
    <w:rsid w:val="00A35D16"/>
    <w:rsid w:val="00A360CF"/>
    <w:rsid w:val="00A36A0F"/>
    <w:rsid w:val="00A36BA2"/>
    <w:rsid w:val="00A37BCD"/>
    <w:rsid w:val="00A40DC9"/>
    <w:rsid w:val="00A41635"/>
    <w:rsid w:val="00A41689"/>
    <w:rsid w:val="00A416A1"/>
    <w:rsid w:val="00A41CA2"/>
    <w:rsid w:val="00A41D54"/>
    <w:rsid w:val="00A42592"/>
    <w:rsid w:val="00A4291D"/>
    <w:rsid w:val="00A429A8"/>
    <w:rsid w:val="00A42A66"/>
    <w:rsid w:val="00A42A78"/>
    <w:rsid w:val="00A42DBA"/>
    <w:rsid w:val="00A43675"/>
    <w:rsid w:val="00A43C59"/>
    <w:rsid w:val="00A43FAE"/>
    <w:rsid w:val="00A44215"/>
    <w:rsid w:val="00A446AD"/>
    <w:rsid w:val="00A44A77"/>
    <w:rsid w:val="00A44FEE"/>
    <w:rsid w:val="00A45116"/>
    <w:rsid w:val="00A4555B"/>
    <w:rsid w:val="00A4582F"/>
    <w:rsid w:val="00A45A8A"/>
    <w:rsid w:val="00A45D81"/>
    <w:rsid w:val="00A45F1C"/>
    <w:rsid w:val="00A46418"/>
    <w:rsid w:val="00A465A4"/>
    <w:rsid w:val="00A468CD"/>
    <w:rsid w:val="00A46EA9"/>
    <w:rsid w:val="00A47185"/>
    <w:rsid w:val="00A47529"/>
    <w:rsid w:val="00A47EC2"/>
    <w:rsid w:val="00A50497"/>
    <w:rsid w:val="00A506AB"/>
    <w:rsid w:val="00A50ECD"/>
    <w:rsid w:val="00A51628"/>
    <w:rsid w:val="00A518F3"/>
    <w:rsid w:val="00A51C91"/>
    <w:rsid w:val="00A51D44"/>
    <w:rsid w:val="00A520A0"/>
    <w:rsid w:val="00A52396"/>
    <w:rsid w:val="00A5246B"/>
    <w:rsid w:val="00A52729"/>
    <w:rsid w:val="00A52CBF"/>
    <w:rsid w:val="00A53303"/>
    <w:rsid w:val="00A53675"/>
    <w:rsid w:val="00A53778"/>
    <w:rsid w:val="00A53A42"/>
    <w:rsid w:val="00A53C77"/>
    <w:rsid w:val="00A54042"/>
    <w:rsid w:val="00A5410F"/>
    <w:rsid w:val="00A5433A"/>
    <w:rsid w:val="00A54665"/>
    <w:rsid w:val="00A54A0E"/>
    <w:rsid w:val="00A54AF8"/>
    <w:rsid w:val="00A54DEF"/>
    <w:rsid w:val="00A54E72"/>
    <w:rsid w:val="00A54EAF"/>
    <w:rsid w:val="00A54EB4"/>
    <w:rsid w:val="00A5529D"/>
    <w:rsid w:val="00A5560E"/>
    <w:rsid w:val="00A5578E"/>
    <w:rsid w:val="00A55C68"/>
    <w:rsid w:val="00A5605E"/>
    <w:rsid w:val="00A56269"/>
    <w:rsid w:val="00A56430"/>
    <w:rsid w:val="00A564D7"/>
    <w:rsid w:val="00A56934"/>
    <w:rsid w:val="00A56B6A"/>
    <w:rsid w:val="00A56F54"/>
    <w:rsid w:val="00A572AB"/>
    <w:rsid w:val="00A578DC"/>
    <w:rsid w:val="00A5794A"/>
    <w:rsid w:val="00A57A0D"/>
    <w:rsid w:val="00A57C1E"/>
    <w:rsid w:val="00A57ED3"/>
    <w:rsid w:val="00A60686"/>
    <w:rsid w:val="00A60DB3"/>
    <w:rsid w:val="00A619F6"/>
    <w:rsid w:val="00A61E82"/>
    <w:rsid w:val="00A62522"/>
    <w:rsid w:val="00A628F4"/>
    <w:rsid w:val="00A630A2"/>
    <w:rsid w:val="00A63842"/>
    <w:rsid w:val="00A6392F"/>
    <w:rsid w:val="00A63CF3"/>
    <w:rsid w:val="00A640E2"/>
    <w:rsid w:val="00A648D1"/>
    <w:rsid w:val="00A64D65"/>
    <w:rsid w:val="00A64DE1"/>
    <w:rsid w:val="00A64E24"/>
    <w:rsid w:val="00A65784"/>
    <w:rsid w:val="00A65A0B"/>
    <w:rsid w:val="00A65F27"/>
    <w:rsid w:val="00A660F8"/>
    <w:rsid w:val="00A66B8B"/>
    <w:rsid w:val="00A67037"/>
    <w:rsid w:val="00A6725B"/>
    <w:rsid w:val="00A675BC"/>
    <w:rsid w:val="00A6760A"/>
    <w:rsid w:val="00A67931"/>
    <w:rsid w:val="00A67C38"/>
    <w:rsid w:val="00A67F84"/>
    <w:rsid w:val="00A70519"/>
    <w:rsid w:val="00A70605"/>
    <w:rsid w:val="00A709EC"/>
    <w:rsid w:val="00A70EFD"/>
    <w:rsid w:val="00A71222"/>
    <w:rsid w:val="00A714FE"/>
    <w:rsid w:val="00A716DD"/>
    <w:rsid w:val="00A719D9"/>
    <w:rsid w:val="00A722E8"/>
    <w:rsid w:val="00A723B3"/>
    <w:rsid w:val="00A725F9"/>
    <w:rsid w:val="00A7263F"/>
    <w:rsid w:val="00A72BEE"/>
    <w:rsid w:val="00A73134"/>
    <w:rsid w:val="00A7342E"/>
    <w:rsid w:val="00A73437"/>
    <w:rsid w:val="00A734C7"/>
    <w:rsid w:val="00A7365A"/>
    <w:rsid w:val="00A74167"/>
    <w:rsid w:val="00A74538"/>
    <w:rsid w:val="00A74F97"/>
    <w:rsid w:val="00A74FE5"/>
    <w:rsid w:val="00A750D5"/>
    <w:rsid w:val="00A75D62"/>
    <w:rsid w:val="00A76001"/>
    <w:rsid w:val="00A76312"/>
    <w:rsid w:val="00A7650A"/>
    <w:rsid w:val="00A7690B"/>
    <w:rsid w:val="00A76B86"/>
    <w:rsid w:val="00A76B8C"/>
    <w:rsid w:val="00A76B90"/>
    <w:rsid w:val="00A76C46"/>
    <w:rsid w:val="00A76F2C"/>
    <w:rsid w:val="00A777B2"/>
    <w:rsid w:val="00A777E9"/>
    <w:rsid w:val="00A778B3"/>
    <w:rsid w:val="00A80549"/>
    <w:rsid w:val="00A80576"/>
    <w:rsid w:val="00A805CE"/>
    <w:rsid w:val="00A80651"/>
    <w:rsid w:val="00A80909"/>
    <w:rsid w:val="00A80AB0"/>
    <w:rsid w:val="00A81626"/>
    <w:rsid w:val="00A817F0"/>
    <w:rsid w:val="00A821E8"/>
    <w:rsid w:val="00A825D4"/>
    <w:rsid w:val="00A82808"/>
    <w:rsid w:val="00A828F6"/>
    <w:rsid w:val="00A82B73"/>
    <w:rsid w:val="00A82F52"/>
    <w:rsid w:val="00A8306F"/>
    <w:rsid w:val="00A83145"/>
    <w:rsid w:val="00A832C7"/>
    <w:rsid w:val="00A841E9"/>
    <w:rsid w:val="00A847AD"/>
    <w:rsid w:val="00A8486C"/>
    <w:rsid w:val="00A84E0C"/>
    <w:rsid w:val="00A84F96"/>
    <w:rsid w:val="00A85436"/>
    <w:rsid w:val="00A8560B"/>
    <w:rsid w:val="00A85A55"/>
    <w:rsid w:val="00A864E5"/>
    <w:rsid w:val="00A86CC3"/>
    <w:rsid w:val="00A86D08"/>
    <w:rsid w:val="00A86E8B"/>
    <w:rsid w:val="00A870F5"/>
    <w:rsid w:val="00A87164"/>
    <w:rsid w:val="00A871A9"/>
    <w:rsid w:val="00A87250"/>
    <w:rsid w:val="00A8751C"/>
    <w:rsid w:val="00A876D0"/>
    <w:rsid w:val="00A87E80"/>
    <w:rsid w:val="00A900A1"/>
    <w:rsid w:val="00A90C95"/>
    <w:rsid w:val="00A910BD"/>
    <w:rsid w:val="00A91274"/>
    <w:rsid w:val="00A915B3"/>
    <w:rsid w:val="00A91CFF"/>
    <w:rsid w:val="00A91DBA"/>
    <w:rsid w:val="00A91E2A"/>
    <w:rsid w:val="00A926CE"/>
    <w:rsid w:val="00A92AA1"/>
    <w:rsid w:val="00A92B52"/>
    <w:rsid w:val="00A93072"/>
    <w:rsid w:val="00A9321E"/>
    <w:rsid w:val="00A938BD"/>
    <w:rsid w:val="00A93953"/>
    <w:rsid w:val="00A939B2"/>
    <w:rsid w:val="00A93F08"/>
    <w:rsid w:val="00A943BE"/>
    <w:rsid w:val="00A94847"/>
    <w:rsid w:val="00A948DD"/>
    <w:rsid w:val="00A94D93"/>
    <w:rsid w:val="00A94DB1"/>
    <w:rsid w:val="00A94DEC"/>
    <w:rsid w:val="00A95189"/>
    <w:rsid w:val="00A95959"/>
    <w:rsid w:val="00A959D8"/>
    <w:rsid w:val="00A95E7C"/>
    <w:rsid w:val="00A96212"/>
    <w:rsid w:val="00A962B2"/>
    <w:rsid w:val="00A963AC"/>
    <w:rsid w:val="00A96552"/>
    <w:rsid w:val="00A96A76"/>
    <w:rsid w:val="00A97397"/>
    <w:rsid w:val="00A976C9"/>
    <w:rsid w:val="00A97AE5"/>
    <w:rsid w:val="00A97D74"/>
    <w:rsid w:val="00AA06E5"/>
    <w:rsid w:val="00AA084F"/>
    <w:rsid w:val="00AA0F9C"/>
    <w:rsid w:val="00AA113D"/>
    <w:rsid w:val="00AA1622"/>
    <w:rsid w:val="00AA19A2"/>
    <w:rsid w:val="00AA19E0"/>
    <w:rsid w:val="00AA1A36"/>
    <w:rsid w:val="00AA2317"/>
    <w:rsid w:val="00AA24CC"/>
    <w:rsid w:val="00AA252B"/>
    <w:rsid w:val="00AA2756"/>
    <w:rsid w:val="00AA2774"/>
    <w:rsid w:val="00AA2C6E"/>
    <w:rsid w:val="00AA3743"/>
    <w:rsid w:val="00AA39F1"/>
    <w:rsid w:val="00AA3F24"/>
    <w:rsid w:val="00AA4229"/>
    <w:rsid w:val="00AA4C91"/>
    <w:rsid w:val="00AA51FE"/>
    <w:rsid w:val="00AA583A"/>
    <w:rsid w:val="00AA58F2"/>
    <w:rsid w:val="00AA5A1A"/>
    <w:rsid w:val="00AA5F06"/>
    <w:rsid w:val="00AA66BD"/>
    <w:rsid w:val="00AA6AE0"/>
    <w:rsid w:val="00AA6BD5"/>
    <w:rsid w:val="00AA6BD8"/>
    <w:rsid w:val="00AA6C7D"/>
    <w:rsid w:val="00AA7909"/>
    <w:rsid w:val="00AA7FD6"/>
    <w:rsid w:val="00AB027E"/>
    <w:rsid w:val="00AB042A"/>
    <w:rsid w:val="00AB057B"/>
    <w:rsid w:val="00AB072C"/>
    <w:rsid w:val="00AB07F8"/>
    <w:rsid w:val="00AB1031"/>
    <w:rsid w:val="00AB11AD"/>
    <w:rsid w:val="00AB11E1"/>
    <w:rsid w:val="00AB1528"/>
    <w:rsid w:val="00AB19EF"/>
    <w:rsid w:val="00AB1AD9"/>
    <w:rsid w:val="00AB1DE4"/>
    <w:rsid w:val="00AB21FC"/>
    <w:rsid w:val="00AB2495"/>
    <w:rsid w:val="00AB2AB5"/>
    <w:rsid w:val="00AB2D34"/>
    <w:rsid w:val="00AB2F49"/>
    <w:rsid w:val="00AB3157"/>
    <w:rsid w:val="00AB3430"/>
    <w:rsid w:val="00AB365B"/>
    <w:rsid w:val="00AB37B9"/>
    <w:rsid w:val="00AB48CD"/>
    <w:rsid w:val="00AB4AD1"/>
    <w:rsid w:val="00AB4CB4"/>
    <w:rsid w:val="00AB51CE"/>
    <w:rsid w:val="00AB5410"/>
    <w:rsid w:val="00AB5871"/>
    <w:rsid w:val="00AB5CD5"/>
    <w:rsid w:val="00AB5E07"/>
    <w:rsid w:val="00AB685B"/>
    <w:rsid w:val="00AB72A0"/>
    <w:rsid w:val="00AB759C"/>
    <w:rsid w:val="00AB7CFA"/>
    <w:rsid w:val="00AC1AE3"/>
    <w:rsid w:val="00AC2041"/>
    <w:rsid w:val="00AC307D"/>
    <w:rsid w:val="00AC3172"/>
    <w:rsid w:val="00AC3AFD"/>
    <w:rsid w:val="00AC415F"/>
    <w:rsid w:val="00AC47DC"/>
    <w:rsid w:val="00AC4B3C"/>
    <w:rsid w:val="00AC5261"/>
    <w:rsid w:val="00AC58EC"/>
    <w:rsid w:val="00AC5B42"/>
    <w:rsid w:val="00AC5B48"/>
    <w:rsid w:val="00AC634F"/>
    <w:rsid w:val="00AC63A2"/>
    <w:rsid w:val="00AC6DF9"/>
    <w:rsid w:val="00AC6F77"/>
    <w:rsid w:val="00AC71EF"/>
    <w:rsid w:val="00AC7329"/>
    <w:rsid w:val="00AC73C8"/>
    <w:rsid w:val="00AD01E7"/>
    <w:rsid w:val="00AD0410"/>
    <w:rsid w:val="00AD04F8"/>
    <w:rsid w:val="00AD0754"/>
    <w:rsid w:val="00AD1450"/>
    <w:rsid w:val="00AD15E8"/>
    <w:rsid w:val="00AD1CF9"/>
    <w:rsid w:val="00AD1EE7"/>
    <w:rsid w:val="00AD1F2A"/>
    <w:rsid w:val="00AD2630"/>
    <w:rsid w:val="00AD31CC"/>
    <w:rsid w:val="00AD32A2"/>
    <w:rsid w:val="00AD32BD"/>
    <w:rsid w:val="00AD356D"/>
    <w:rsid w:val="00AD357C"/>
    <w:rsid w:val="00AD454B"/>
    <w:rsid w:val="00AD4C5E"/>
    <w:rsid w:val="00AD4DB7"/>
    <w:rsid w:val="00AD4DED"/>
    <w:rsid w:val="00AD4E73"/>
    <w:rsid w:val="00AD4EEC"/>
    <w:rsid w:val="00AD5523"/>
    <w:rsid w:val="00AD5595"/>
    <w:rsid w:val="00AD56B1"/>
    <w:rsid w:val="00AD56F9"/>
    <w:rsid w:val="00AD5D37"/>
    <w:rsid w:val="00AD5E94"/>
    <w:rsid w:val="00AD5F24"/>
    <w:rsid w:val="00AD6502"/>
    <w:rsid w:val="00AD69A7"/>
    <w:rsid w:val="00AD70DE"/>
    <w:rsid w:val="00AD711A"/>
    <w:rsid w:val="00AD7290"/>
    <w:rsid w:val="00AD7AEB"/>
    <w:rsid w:val="00AD7E2C"/>
    <w:rsid w:val="00AD7F6A"/>
    <w:rsid w:val="00AE0695"/>
    <w:rsid w:val="00AE0B21"/>
    <w:rsid w:val="00AE1850"/>
    <w:rsid w:val="00AE1D39"/>
    <w:rsid w:val="00AE1E87"/>
    <w:rsid w:val="00AE1F3A"/>
    <w:rsid w:val="00AE25C4"/>
    <w:rsid w:val="00AE2700"/>
    <w:rsid w:val="00AE27EC"/>
    <w:rsid w:val="00AE3086"/>
    <w:rsid w:val="00AE36EF"/>
    <w:rsid w:val="00AE3760"/>
    <w:rsid w:val="00AE3DD3"/>
    <w:rsid w:val="00AE3E7E"/>
    <w:rsid w:val="00AE4187"/>
    <w:rsid w:val="00AE4D2A"/>
    <w:rsid w:val="00AE557C"/>
    <w:rsid w:val="00AE586B"/>
    <w:rsid w:val="00AE5998"/>
    <w:rsid w:val="00AE5B66"/>
    <w:rsid w:val="00AE5D7D"/>
    <w:rsid w:val="00AE6FF6"/>
    <w:rsid w:val="00AE7066"/>
    <w:rsid w:val="00AE70F1"/>
    <w:rsid w:val="00AE7E53"/>
    <w:rsid w:val="00AF004C"/>
    <w:rsid w:val="00AF069A"/>
    <w:rsid w:val="00AF07F9"/>
    <w:rsid w:val="00AF0D46"/>
    <w:rsid w:val="00AF0DB1"/>
    <w:rsid w:val="00AF10A4"/>
    <w:rsid w:val="00AF12E8"/>
    <w:rsid w:val="00AF1315"/>
    <w:rsid w:val="00AF1343"/>
    <w:rsid w:val="00AF1973"/>
    <w:rsid w:val="00AF19BF"/>
    <w:rsid w:val="00AF2DC3"/>
    <w:rsid w:val="00AF3F2F"/>
    <w:rsid w:val="00AF453A"/>
    <w:rsid w:val="00AF4E56"/>
    <w:rsid w:val="00AF4E7D"/>
    <w:rsid w:val="00AF4FDD"/>
    <w:rsid w:val="00AF5068"/>
    <w:rsid w:val="00AF517F"/>
    <w:rsid w:val="00AF61B9"/>
    <w:rsid w:val="00AF648F"/>
    <w:rsid w:val="00AF727D"/>
    <w:rsid w:val="00AF7753"/>
    <w:rsid w:val="00AF7D3D"/>
    <w:rsid w:val="00AF7EF6"/>
    <w:rsid w:val="00B000B4"/>
    <w:rsid w:val="00B00584"/>
    <w:rsid w:val="00B006A3"/>
    <w:rsid w:val="00B010C4"/>
    <w:rsid w:val="00B01141"/>
    <w:rsid w:val="00B013FD"/>
    <w:rsid w:val="00B01C18"/>
    <w:rsid w:val="00B023CF"/>
    <w:rsid w:val="00B02C9F"/>
    <w:rsid w:val="00B033E5"/>
    <w:rsid w:val="00B036EB"/>
    <w:rsid w:val="00B03A63"/>
    <w:rsid w:val="00B03C70"/>
    <w:rsid w:val="00B04C12"/>
    <w:rsid w:val="00B04FE7"/>
    <w:rsid w:val="00B05110"/>
    <w:rsid w:val="00B053A0"/>
    <w:rsid w:val="00B05A47"/>
    <w:rsid w:val="00B05C5E"/>
    <w:rsid w:val="00B05F27"/>
    <w:rsid w:val="00B05F8E"/>
    <w:rsid w:val="00B06855"/>
    <w:rsid w:val="00B0699E"/>
    <w:rsid w:val="00B07010"/>
    <w:rsid w:val="00B07536"/>
    <w:rsid w:val="00B078D2"/>
    <w:rsid w:val="00B10012"/>
    <w:rsid w:val="00B100F9"/>
    <w:rsid w:val="00B10284"/>
    <w:rsid w:val="00B10A8F"/>
    <w:rsid w:val="00B10CC2"/>
    <w:rsid w:val="00B10CD5"/>
    <w:rsid w:val="00B10EDC"/>
    <w:rsid w:val="00B117AF"/>
    <w:rsid w:val="00B11F5C"/>
    <w:rsid w:val="00B12118"/>
    <w:rsid w:val="00B12182"/>
    <w:rsid w:val="00B1223D"/>
    <w:rsid w:val="00B123CD"/>
    <w:rsid w:val="00B12992"/>
    <w:rsid w:val="00B129A4"/>
    <w:rsid w:val="00B12B3E"/>
    <w:rsid w:val="00B1369B"/>
    <w:rsid w:val="00B136AF"/>
    <w:rsid w:val="00B1414B"/>
    <w:rsid w:val="00B141E6"/>
    <w:rsid w:val="00B141F2"/>
    <w:rsid w:val="00B1444C"/>
    <w:rsid w:val="00B148FC"/>
    <w:rsid w:val="00B14DF6"/>
    <w:rsid w:val="00B1500D"/>
    <w:rsid w:val="00B15185"/>
    <w:rsid w:val="00B151E6"/>
    <w:rsid w:val="00B15FFA"/>
    <w:rsid w:val="00B16351"/>
    <w:rsid w:val="00B166C9"/>
    <w:rsid w:val="00B166E1"/>
    <w:rsid w:val="00B167B3"/>
    <w:rsid w:val="00B1704B"/>
    <w:rsid w:val="00B171DC"/>
    <w:rsid w:val="00B17693"/>
    <w:rsid w:val="00B17CA6"/>
    <w:rsid w:val="00B17E61"/>
    <w:rsid w:val="00B17EFD"/>
    <w:rsid w:val="00B20127"/>
    <w:rsid w:val="00B201A4"/>
    <w:rsid w:val="00B201D1"/>
    <w:rsid w:val="00B20434"/>
    <w:rsid w:val="00B20460"/>
    <w:rsid w:val="00B213A6"/>
    <w:rsid w:val="00B214B3"/>
    <w:rsid w:val="00B2163F"/>
    <w:rsid w:val="00B218D4"/>
    <w:rsid w:val="00B21BAB"/>
    <w:rsid w:val="00B224A0"/>
    <w:rsid w:val="00B22C06"/>
    <w:rsid w:val="00B22CC1"/>
    <w:rsid w:val="00B23023"/>
    <w:rsid w:val="00B235B0"/>
    <w:rsid w:val="00B23AA3"/>
    <w:rsid w:val="00B23B65"/>
    <w:rsid w:val="00B23D9C"/>
    <w:rsid w:val="00B2420A"/>
    <w:rsid w:val="00B24318"/>
    <w:rsid w:val="00B24DF6"/>
    <w:rsid w:val="00B24E5B"/>
    <w:rsid w:val="00B24F37"/>
    <w:rsid w:val="00B24FB2"/>
    <w:rsid w:val="00B254D8"/>
    <w:rsid w:val="00B257DA"/>
    <w:rsid w:val="00B25A3D"/>
    <w:rsid w:val="00B26058"/>
    <w:rsid w:val="00B26155"/>
    <w:rsid w:val="00B2617D"/>
    <w:rsid w:val="00B2621C"/>
    <w:rsid w:val="00B264E0"/>
    <w:rsid w:val="00B26BAD"/>
    <w:rsid w:val="00B26E65"/>
    <w:rsid w:val="00B27073"/>
    <w:rsid w:val="00B274FA"/>
    <w:rsid w:val="00B275EE"/>
    <w:rsid w:val="00B2768E"/>
    <w:rsid w:val="00B27783"/>
    <w:rsid w:val="00B27804"/>
    <w:rsid w:val="00B27A61"/>
    <w:rsid w:val="00B27F90"/>
    <w:rsid w:val="00B30D21"/>
    <w:rsid w:val="00B314A6"/>
    <w:rsid w:val="00B315D6"/>
    <w:rsid w:val="00B31662"/>
    <w:rsid w:val="00B31A87"/>
    <w:rsid w:val="00B31C0D"/>
    <w:rsid w:val="00B322E7"/>
    <w:rsid w:val="00B32309"/>
    <w:rsid w:val="00B325C9"/>
    <w:rsid w:val="00B3278A"/>
    <w:rsid w:val="00B32AA8"/>
    <w:rsid w:val="00B32D81"/>
    <w:rsid w:val="00B3341B"/>
    <w:rsid w:val="00B33499"/>
    <w:rsid w:val="00B33D9D"/>
    <w:rsid w:val="00B34FE2"/>
    <w:rsid w:val="00B35166"/>
    <w:rsid w:val="00B351A6"/>
    <w:rsid w:val="00B35695"/>
    <w:rsid w:val="00B357D8"/>
    <w:rsid w:val="00B35BAF"/>
    <w:rsid w:val="00B35EF6"/>
    <w:rsid w:val="00B360F4"/>
    <w:rsid w:val="00B3654D"/>
    <w:rsid w:val="00B36724"/>
    <w:rsid w:val="00B3679C"/>
    <w:rsid w:val="00B3693E"/>
    <w:rsid w:val="00B36A00"/>
    <w:rsid w:val="00B36AB2"/>
    <w:rsid w:val="00B36E44"/>
    <w:rsid w:val="00B36F5F"/>
    <w:rsid w:val="00B375A8"/>
    <w:rsid w:val="00B3783F"/>
    <w:rsid w:val="00B3792B"/>
    <w:rsid w:val="00B37A42"/>
    <w:rsid w:val="00B37A62"/>
    <w:rsid w:val="00B37BFC"/>
    <w:rsid w:val="00B37F23"/>
    <w:rsid w:val="00B40095"/>
    <w:rsid w:val="00B40358"/>
    <w:rsid w:val="00B4084D"/>
    <w:rsid w:val="00B410C0"/>
    <w:rsid w:val="00B41614"/>
    <w:rsid w:val="00B41C7F"/>
    <w:rsid w:val="00B42186"/>
    <w:rsid w:val="00B422DB"/>
    <w:rsid w:val="00B42523"/>
    <w:rsid w:val="00B427C7"/>
    <w:rsid w:val="00B42851"/>
    <w:rsid w:val="00B429D6"/>
    <w:rsid w:val="00B42B50"/>
    <w:rsid w:val="00B42E52"/>
    <w:rsid w:val="00B42F80"/>
    <w:rsid w:val="00B435CB"/>
    <w:rsid w:val="00B43665"/>
    <w:rsid w:val="00B4371F"/>
    <w:rsid w:val="00B43B50"/>
    <w:rsid w:val="00B43B5C"/>
    <w:rsid w:val="00B43D21"/>
    <w:rsid w:val="00B43ECB"/>
    <w:rsid w:val="00B43F3B"/>
    <w:rsid w:val="00B43FE2"/>
    <w:rsid w:val="00B440EA"/>
    <w:rsid w:val="00B443A8"/>
    <w:rsid w:val="00B44778"/>
    <w:rsid w:val="00B44F14"/>
    <w:rsid w:val="00B45047"/>
    <w:rsid w:val="00B45397"/>
    <w:rsid w:val="00B455A2"/>
    <w:rsid w:val="00B455F2"/>
    <w:rsid w:val="00B4589E"/>
    <w:rsid w:val="00B459E9"/>
    <w:rsid w:val="00B45DD9"/>
    <w:rsid w:val="00B464CE"/>
    <w:rsid w:val="00B465EC"/>
    <w:rsid w:val="00B466EE"/>
    <w:rsid w:val="00B466F8"/>
    <w:rsid w:val="00B4673F"/>
    <w:rsid w:val="00B46BCD"/>
    <w:rsid w:val="00B47926"/>
    <w:rsid w:val="00B47A3A"/>
    <w:rsid w:val="00B503F5"/>
    <w:rsid w:val="00B505C8"/>
    <w:rsid w:val="00B50DB8"/>
    <w:rsid w:val="00B50F7F"/>
    <w:rsid w:val="00B51103"/>
    <w:rsid w:val="00B512C2"/>
    <w:rsid w:val="00B5147F"/>
    <w:rsid w:val="00B5156B"/>
    <w:rsid w:val="00B516B2"/>
    <w:rsid w:val="00B51F49"/>
    <w:rsid w:val="00B523A0"/>
    <w:rsid w:val="00B52C4D"/>
    <w:rsid w:val="00B530DE"/>
    <w:rsid w:val="00B53654"/>
    <w:rsid w:val="00B53905"/>
    <w:rsid w:val="00B53A63"/>
    <w:rsid w:val="00B53D9D"/>
    <w:rsid w:val="00B53F81"/>
    <w:rsid w:val="00B54007"/>
    <w:rsid w:val="00B546DB"/>
    <w:rsid w:val="00B54B5B"/>
    <w:rsid w:val="00B54DF3"/>
    <w:rsid w:val="00B54E2B"/>
    <w:rsid w:val="00B555CF"/>
    <w:rsid w:val="00B5562E"/>
    <w:rsid w:val="00B55862"/>
    <w:rsid w:val="00B55BB1"/>
    <w:rsid w:val="00B55D65"/>
    <w:rsid w:val="00B56156"/>
    <w:rsid w:val="00B56305"/>
    <w:rsid w:val="00B5647A"/>
    <w:rsid w:val="00B5669D"/>
    <w:rsid w:val="00B56A37"/>
    <w:rsid w:val="00B57000"/>
    <w:rsid w:val="00B5712F"/>
    <w:rsid w:val="00B5765E"/>
    <w:rsid w:val="00B579D1"/>
    <w:rsid w:val="00B6008A"/>
    <w:rsid w:val="00B602D3"/>
    <w:rsid w:val="00B60626"/>
    <w:rsid w:val="00B60714"/>
    <w:rsid w:val="00B60936"/>
    <w:rsid w:val="00B60939"/>
    <w:rsid w:val="00B60AFD"/>
    <w:rsid w:val="00B61065"/>
    <w:rsid w:val="00B6151F"/>
    <w:rsid w:val="00B619A2"/>
    <w:rsid w:val="00B62463"/>
    <w:rsid w:val="00B62576"/>
    <w:rsid w:val="00B62715"/>
    <w:rsid w:val="00B6348C"/>
    <w:rsid w:val="00B63B8B"/>
    <w:rsid w:val="00B63C97"/>
    <w:rsid w:val="00B63F66"/>
    <w:rsid w:val="00B64282"/>
    <w:rsid w:val="00B65611"/>
    <w:rsid w:val="00B65C8B"/>
    <w:rsid w:val="00B65FD6"/>
    <w:rsid w:val="00B66CBB"/>
    <w:rsid w:val="00B675A3"/>
    <w:rsid w:val="00B67660"/>
    <w:rsid w:val="00B67936"/>
    <w:rsid w:val="00B67FC7"/>
    <w:rsid w:val="00B7042F"/>
    <w:rsid w:val="00B705C2"/>
    <w:rsid w:val="00B70CCD"/>
    <w:rsid w:val="00B70E8E"/>
    <w:rsid w:val="00B7178F"/>
    <w:rsid w:val="00B7195E"/>
    <w:rsid w:val="00B7198F"/>
    <w:rsid w:val="00B71A45"/>
    <w:rsid w:val="00B71B28"/>
    <w:rsid w:val="00B71EE7"/>
    <w:rsid w:val="00B722DB"/>
    <w:rsid w:val="00B72455"/>
    <w:rsid w:val="00B726F8"/>
    <w:rsid w:val="00B72BEE"/>
    <w:rsid w:val="00B72DA8"/>
    <w:rsid w:val="00B730FF"/>
    <w:rsid w:val="00B73AB6"/>
    <w:rsid w:val="00B73E1F"/>
    <w:rsid w:val="00B73E55"/>
    <w:rsid w:val="00B740DA"/>
    <w:rsid w:val="00B742C5"/>
    <w:rsid w:val="00B74489"/>
    <w:rsid w:val="00B74AF3"/>
    <w:rsid w:val="00B75389"/>
    <w:rsid w:val="00B76C92"/>
    <w:rsid w:val="00B770F0"/>
    <w:rsid w:val="00B77339"/>
    <w:rsid w:val="00B8013C"/>
    <w:rsid w:val="00B80416"/>
    <w:rsid w:val="00B805DC"/>
    <w:rsid w:val="00B805DF"/>
    <w:rsid w:val="00B809E0"/>
    <w:rsid w:val="00B80E2A"/>
    <w:rsid w:val="00B80EF2"/>
    <w:rsid w:val="00B80EFD"/>
    <w:rsid w:val="00B8120B"/>
    <w:rsid w:val="00B818A4"/>
    <w:rsid w:val="00B8239F"/>
    <w:rsid w:val="00B823C0"/>
    <w:rsid w:val="00B82B27"/>
    <w:rsid w:val="00B8309D"/>
    <w:rsid w:val="00B8359C"/>
    <w:rsid w:val="00B83739"/>
    <w:rsid w:val="00B837AD"/>
    <w:rsid w:val="00B84117"/>
    <w:rsid w:val="00B84324"/>
    <w:rsid w:val="00B844E4"/>
    <w:rsid w:val="00B845ED"/>
    <w:rsid w:val="00B849A1"/>
    <w:rsid w:val="00B84FDF"/>
    <w:rsid w:val="00B85043"/>
    <w:rsid w:val="00B857E5"/>
    <w:rsid w:val="00B858F0"/>
    <w:rsid w:val="00B859AD"/>
    <w:rsid w:val="00B85AA2"/>
    <w:rsid w:val="00B862FF"/>
    <w:rsid w:val="00B8649C"/>
    <w:rsid w:val="00B86511"/>
    <w:rsid w:val="00B865F7"/>
    <w:rsid w:val="00B8695D"/>
    <w:rsid w:val="00B86F0A"/>
    <w:rsid w:val="00B8712D"/>
    <w:rsid w:val="00B872C6"/>
    <w:rsid w:val="00B874A7"/>
    <w:rsid w:val="00B8764E"/>
    <w:rsid w:val="00B876F7"/>
    <w:rsid w:val="00B87F0A"/>
    <w:rsid w:val="00B90DB2"/>
    <w:rsid w:val="00B916BF"/>
    <w:rsid w:val="00B91E45"/>
    <w:rsid w:val="00B91EC0"/>
    <w:rsid w:val="00B92354"/>
    <w:rsid w:val="00B92705"/>
    <w:rsid w:val="00B92AC1"/>
    <w:rsid w:val="00B92AF4"/>
    <w:rsid w:val="00B92D0B"/>
    <w:rsid w:val="00B92D51"/>
    <w:rsid w:val="00B93121"/>
    <w:rsid w:val="00B9317E"/>
    <w:rsid w:val="00B93439"/>
    <w:rsid w:val="00B9350B"/>
    <w:rsid w:val="00B93739"/>
    <w:rsid w:val="00B938D7"/>
    <w:rsid w:val="00B94305"/>
    <w:rsid w:val="00B947FD"/>
    <w:rsid w:val="00B9489D"/>
    <w:rsid w:val="00B948A5"/>
    <w:rsid w:val="00B94945"/>
    <w:rsid w:val="00B94DD6"/>
    <w:rsid w:val="00B94F19"/>
    <w:rsid w:val="00B94FF3"/>
    <w:rsid w:val="00B956AB"/>
    <w:rsid w:val="00B95D62"/>
    <w:rsid w:val="00B96245"/>
    <w:rsid w:val="00B96349"/>
    <w:rsid w:val="00B96BAC"/>
    <w:rsid w:val="00B96CA9"/>
    <w:rsid w:val="00B96D9C"/>
    <w:rsid w:val="00B971AF"/>
    <w:rsid w:val="00B972F5"/>
    <w:rsid w:val="00B973DF"/>
    <w:rsid w:val="00B977A2"/>
    <w:rsid w:val="00B97B90"/>
    <w:rsid w:val="00B97DD3"/>
    <w:rsid w:val="00B97E2A"/>
    <w:rsid w:val="00BA01BB"/>
    <w:rsid w:val="00BA0608"/>
    <w:rsid w:val="00BA0BB8"/>
    <w:rsid w:val="00BA1687"/>
    <w:rsid w:val="00BA16C7"/>
    <w:rsid w:val="00BA19E6"/>
    <w:rsid w:val="00BA26C0"/>
    <w:rsid w:val="00BA2B68"/>
    <w:rsid w:val="00BA2CD1"/>
    <w:rsid w:val="00BA322D"/>
    <w:rsid w:val="00BA32E7"/>
    <w:rsid w:val="00BA332D"/>
    <w:rsid w:val="00BA388D"/>
    <w:rsid w:val="00BA3916"/>
    <w:rsid w:val="00BA3F9A"/>
    <w:rsid w:val="00BA437D"/>
    <w:rsid w:val="00BA457E"/>
    <w:rsid w:val="00BA518C"/>
    <w:rsid w:val="00BA5B90"/>
    <w:rsid w:val="00BA5D5E"/>
    <w:rsid w:val="00BA63FA"/>
    <w:rsid w:val="00BA6B7E"/>
    <w:rsid w:val="00BA6CBF"/>
    <w:rsid w:val="00BA74C2"/>
    <w:rsid w:val="00BA768D"/>
    <w:rsid w:val="00BA7754"/>
    <w:rsid w:val="00BA7F71"/>
    <w:rsid w:val="00BB00B3"/>
    <w:rsid w:val="00BB0799"/>
    <w:rsid w:val="00BB0AA7"/>
    <w:rsid w:val="00BB0BDD"/>
    <w:rsid w:val="00BB0DFA"/>
    <w:rsid w:val="00BB1530"/>
    <w:rsid w:val="00BB176C"/>
    <w:rsid w:val="00BB19DF"/>
    <w:rsid w:val="00BB1B5F"/>
    <w:rsid w:val="00BB1D76"/>
    <w:rsid w:val="00BB1DAF"/>
    <w:rsid w:val="00BB26C0"/>
    <w:rsid w:val="00BB2A73"/>
    <w:rsid w:val="00BB2BC3"/>
    <w:rsid w:val="00BB2D9A"/>
    <w:rsid w:val="00BB2E03"/>
    <w:rsid w:val="00BB38A8"/>
    <w:rsid w:val="00BB3A45"/>
    <w:rsid w:val="00BB44F9"/>
    <w:rsid w:val="00BB4ACC"/>
    <w:rsid w:val="00BB4AED"/>
    <w:rsid w:val="00BB4E72"/>
    <w:rsid w:val="00BB4E8F"/>
    <w:rsid w:val="00BB4FA5"/>
    <w:rsid w:val="00BB56B6"/>
    <w:rsid w:val="00BB570E"/>
    <w:rsid w:val="00BB6E70"/>
    <w:rsid w:val="00BB703E"/>
    <w:rsid w:val="00BB732D"/>
    <w:rsid w:val="00BB7405"/>
    <w:rsid w:val="00BB7A7D"/>
    <w:rsid w:val="00BC0932"/>
    <w:rsid w:val="00BC109A"/>
    <w:rsid w:val="00BC111C"/>
    <w:rsid w:val="00BC1741"/>
    <w:rsid w:val="00BC225E"/>
    <w:rsid w:val="00BC25A5"/>
    <w:rsid w:val="00BC264B"/>
    <w:rsid w:val="00BC2770"/>
    <w:rsid w:val="00BC2A27"/>
    <w:rsid w:val="00BC2CA6"/>
    <w:rsid w:val="00BC3631"/>
    <w:rsid w:val="00BC3A2E"/>
    <w:rsid w:val="00BC3B50"/>
    <w:rsid w:val="00BC4913"/>
    <w:rsid w:val="00BC4AE9"/>
    <w:rsid w:val="00BC4C2C"/>
    <w:rsid w:val="00BC4FF1"/>
    <w:rsid w:val="00BC591F"/>
    <w:rsid w:val="00BC5A97"/>
    <w:rsid w:val="00BC5AB0"/>
    <w:rsid w:val="00BC5CD2"/>
    <w:rsid w:val="00BC5E66"/>
    <w:rsid w:val="00BC600B"/>
    <w:rsid w:val="00BC62F8"/>
    <w:rsid w:val="00BC65BC"/>
    <w:rsid w:val="00BC78E5"/>
    <w:rsid w:val="00BC7A34"/>
    <w:rsid w:val="00BC7D6D"/>
    <w:rsid w:val="00BD00D1"/>
    <w:rsid w:val="00BD0199"/>
    <w:rsid w:val="00BD065A"/>
    <w:rsid w:val="00BD095D"/>
    <w:rsid w:val="00BD0D34"/>
    <w:rsid w:val="00BD1181"/>
    <w:rsid w:val="00BD125F"/>
    <w:rsid w:val="00BD1B51"/>
    <w:rsid w:val="00BD1CC8"/>
    <w:rsid w:val="00BD1D6F"/>
    <w:rsid w:val="00BD20E3"/>
    <w:rsid w:val="00BD2108"/>
    <w:rsid w:val="00BD23CF"/>
    <w:rsid w:val="00BD3A52"/>
    <w:rsid w:val="00BD44BA"/>
    <w:rsid w:val="00BD4721"/>
    <w:rsid w:val="00BD487D"/>
    <w:rsid w:val="00BD510B"/>
    <w:rsid w:val="00BD54B3"/>
    <w:rsid w:val="00BD54D3"/>
    <w:rsid w:val="00BD55E0"/>
    <w:rsid w:val="00BD5B9C"/>
    <w:rsid w:val="00BD5BA9"/>
    <w:rsid w:val="00BD5BC7"/>
    <w:rsid w:val="00BD5BEC"/>
    <w:rsid w:val="00BD5C3B"/>
    <w:rsid w:val="00BD5FB3"/>
    <w:rsid w:val="00BD63B4"/>
    <w:rsid w:val="00BD68A3"/>
    <w:rsid w:val="00BD6938"/>
    <w:rsid w:val="00BD6CF3"/>
    <w:rsid w:val="00BD6D93"/>
    <w:rsid w:val="00BD7884"/>
    <w:rsid w:val="00BD7957"/>
    <w:rsid w:val="00BD7F72"/>
    <w:rsid w:val="00BE00F7"/>
    <w:rsid w:val="00BE08B6"/>
    <w:rsid w:val="00BE0DF8"/>
    <w:rsid w:val="00BE0ECA"/>
    <w:rsid w:val="00BE1173"/>
    <w:rsid w:val="00BE13E6"/>
    <w:rsid w:val="00BE16E7"/>
    <w:rsid w:val="00BE1BEE"/>
    <w:rsid w:val="00BE2180"/>
    <w:rsid w:val="00BE21F2"/>
    <w:rsid w:val="00BE2364"/>
    <w:rsid w:val="00BE25B6"/>
    <w:rsid w:val="00BE2C5D"/>
    <w:rsid w:val="00BE2E10"/>
    <w:rsid w:val="00BE2E43"/>
    <w:rsid w:val="00BE3311"/>
    <w:rsid w:val="00BE3792"/>
    <w:rsid w:val="00BE37B4"/>
    <w:rsid w:val="00BE3DCB"/>
    <w:rsid w:val="00BE3EAA"/>
    <w:rsid w:val="00BE4013"/>
    <w:rsid w:val="00BE4087"/>
    <w:rsid w:val="00BE4275"/>
    <w:rsid w:val="00BE489B"/>
    <w:rsid w:val="00BE526C"/>
    <w:rsid w:val="00BE53EC"/>
    <w:rsid w:val="00BE55D3"/>
    <w:rsid w:val="00BE56B0"/>
    <w:rsid w:val="00BE5943"/>
    <w:rsid w:val="00BE59FE"/>
    <w:rsid w:val="00BE640C"/>
    <w:rsid w:val="00BE764D"/>
    <w:rsid w:val="00BE7CA1"/>
    <w:rsid w:val="00BF06AE"/>
    <w:rsid w:val="00BF0CC7"/>
    <w:rsid w:val="00BF0F95"/>
    <w:rsid w:val="00BF1533"/>
    <w:rsid w:val="00BF1712"/>
    <w:rsid w:val="00BF1FA0"/>
    <w:rsid w:val="00BF2033"/>
    <w:rsid w:val="00BF22B6"/>
    <w:rsid w:val="00BF2433"/>
    <w:rsid w:val="00BF2B7F"/>
    <w:rsid w:val="00BF2E6E"/>
    <w:rsid w:val="00BF35ED"/>
    <w:rsid w:val="00BF3633"/>
    <w:rsid w:val="00BF3845"/>
    <w:rsid w:val="00BF3A78"/>
    <w:rsid w:val="00BF43BB"/>
    <w:rsid w:val="00BF4605"/>
    <w:rsid w:val="00BF5281"/>
    <w:rsid w:val="00BF5B4F"/>
    <w:rsid w:val="00BF5F43"/>
    <w:rsid w:val="00BF61C9"/>
    <w:rsid w:val="00BF667B"/>
    <w:rsid w:val="00BF6A0D"/>
    <w:rsid w:val="00BF6C3C"/>
    <w:rsid w:val="00BF6C94"/>
    <w:rsid w:val="00BF6D4C"/>
    <w:rsid w:val="00BF6F02"/>
    <w:rsid w:val="00C0012F"/>
    <w:rsid w:val="00C00424"/>
    <w:rsid w:val="00C00590"/>
    <w:rsid w:val="00C009B3"/>
    <w:rsid w:val="00C00BB0"/>
    <w:rsid w:val="00C010BA"/>
    <w:rsid w:val="00C01F5A"/>
    <w:rsid w:val="00C020D5"/>
    <w:rsid w:val="00C02222"/>
    <w:rsid w:val="00C02705"/>
    <w:rsid w:val="00C03252"/>
    <w:rsid w:val="00C036F9"/>
    <w:rsid w:val="00C0371C"/>
    <w:rsid w:val="00C03F81"/>
    <w:rsid w:val="00C04358"/>
    <w:rsid w:val="00C045E9"/>
    <w:rsid w:val="00C04D11"/>
    <w:rsid w:val="00C0524A"/>
    <w:rsid w:val="00C05252"/>
    <w:rsid w:val="00C059E8"/>
    <w:rsid w:val="00C05A50"/>
    <w:rsid w:val="00C05B13"/>
    <w:rsid w:val="00C062A5"/>
    <w:rsid w:val="00C06300"/>
    <w:rsid w:val="00C0663F"/>
    <w:rsid w:val="00C0710D"/>
    <w:rsid w:val="00C07BD2"/>
    <w:rsid w:val="00C07DD6"/>
    <w:rsid w:val="00C10235"/>
    <w:rsid w:val="00C10401"/>
    <w:rsid w:val="00C10AB2"/>
    <w:rsid w:val="00C10D06"/>
    <w:rsid w:val="00C110B7"/>
    <w:rsid w:val="00C1112C"/>
    <w:rsid w:val="00C1179F"/>
    <w:rsid w:val="00C126E7"/>
    <w:rsid w:val="00C127B9"/>
    <w:rsid w:val="00C128FA"/>
    <w:rsid w:val="00C12C14"/>
    <w:rsid w:val="00C13392"/>
    <w:rsid w:val="00C13584"/>
    <w:rsid w:val="00C1392B"/>
    <w:rsid w:val="00C13A1B"/>
    <w:rsid w:val="00C13AC6"/>
    <w:rsid w:val="00C13CB8"/>
    <w:rsid w:val="00C141D2"/>
    <w:rsid w:val="00C147F5"/>
    <w:rsid w:val="00C1480C"/>
    <w:rsid w:val="00C14BAE"/>
    <w:rsid w:val="00C14F17"/>
    <w:rsid w:val="00C155CB"/>
    <w:rsid w:val="00C15687"/>
    <w:rsid w:val="00C157F7"/>
    <w:rsid w:val="00C15DC9"/>
    <w:rsid w:val="00C15F04"/>
    <w:rsid w:val="00C15F6F"/>
    <w:rsid w:val="00C16063"/>
    <w:rsid w:val="00C160EB"/>
    <w:rsid w:val="00C16E9C"/>
    <w:rsid w:val="00C17604"/>
    <w:rsid w:val="00C17794"/>
    <w:rsid w:val="00C179B3"/>
    <w:rsid w:val="00C17DF2"/>
    <w:rsid w:val="00C17E3F"/>
    <w:rsid w:val="00C200AA"/>
    <w:rsid w:val="00C205C8"/>
    <w:rsid w:val="00C21300"/>
    <w:rsid w:val="00C217D7"/>
    <w:rsid w:val="00C21E41"/>
    <w:rsid w:val="00C21EFF"/>
    <w:rsid w:val="00C2253F"/>
    <w:rsid w:val="00C2259B"/>
    <w:rsid w:val="00C236FE"/>
    <w:rsid w:val="00C2379A"/>
    <w:rsid w:val="00C237ED"/>
    <w:rsid w:val="00C24113"/>
    <w:rsid w:val="00C243B7"/>
    <w:rsid w:val="00C24632"/>
    <w:rsid w:val="00C24772"/>
    <w:rsid w:val="00C248C0"/>
    <w:rsid w:val="00C24A50"/>
    <w:rsid w:val="00C24DCD"/>
    <w:rsid w:val="00C24DD3"/>
    <w:rsid w:val="00C251AA"/>
    <w:rsid w:val="00C25418"/>
    <w:rsid w:val="00C256C3"/>
    <w:rsid w:val="00C25CAF"/>
    <w:rsid w:val="00C25D9C"/>
    <w:rsid w:val="00C25E02"/>
    <w:rsid w:val="00C26EE0"/>
    <w:rsid w:val="00C2733F"/>
    <w:rsid w:val="00C2773C"/>
    <w:rsid w:val="00C27759"/>
    <w:rsid w:val="00C2778B"/>
    <w:rsid w:val="00C27DCC"/>
    <w:rsid w:val="00C27F29"/>
    <w:rsid w:val="00C291A7"/>
    <w:rsid w:val="00C30178"/>
    <w:rsid w:val="00C30946"/>
    <w:rsid w:val="00C309D5"/>
    <w:rsid w:val="00C31127"/>
    <w:rsid w:val="00C313CD"/>
    <w:rsid w:val="00C31649"/>
    <w:rsid w:val="00C324A8"/>
    <w:rsid w:val="00C3261C"/>
    <w:rsid w:val="00C32D83"/>
    <w:rsid w:val="00C331F3"/>
    <w:rsid w:val="00C3335D"/>
    <w:rsid w:val="00C3358E"/>
    <w:rsid w:val="00C33F4C"/>
    <w:rsid w:val="00C33F4E"/>
    <w:rsid w:val="00C3434A"/>
    <w:rsid w:val="00C3434C"/>
    <w:rsid w:val="00C34892"/>
    <w:rsid w:val="00C348EF"/>
    <w:rsid w:val="00C349D6"/>
    <w:rsid w:val="00C34B56"/>
    <w:rsid w:val="00C34DE8"/>
    <w:rsid w:val="00C350F8"/>
    <w:rsid w:val="00C35114"/>
    <w:rsid w:val="00C35123"/>
    <w:rsid w:val="00C35440"/>
    <w:rsid w:val="00C35A5D"/>
    <w:rsid w:val="00C35C03"/>
    <w:rsid w:val="00C35C6A"/>
    <w:rsid w:val="00C35E80"/>
    <w:rsid w:val="00C36294"/>
    <w:rsid w:val="00C365C0"/>
    <w:rsid w:val="00C366A4"/>
    <w:rsid w:val="00C36FB6"/>
    <w:rsid w:val="00C37742"/>
    <w:rsid w:val="00C37B02"/>
    <w:rsid w:val="00C37EF4"/>
    <w:rsid w:val="00C4002B"/>
    <w:rsid w:val="00C40297"/>
    <w:rsid w:val="00C40385"/>
    <w:rsid w:val="00C4124B"/>
    <w:rsid w:val="00C41661"/>
    <w:rsid w:val="00C41768"/>
    <w:rsid w:val="00C429B1"/>
    <w:rsid w:val="00C42BC0"/>
    <w:rsid w:val="00C42F88"/>
    <w:rsid w:val="00C432AA"/>
    <w:rsid w:val="00C436E6"/>
    <w:rsid w:val="00C436FA"/>
    <w:rsid w:val="00C43BD8"/>
    <w:rsid w:val="00C43DAE"/>
    <w:rsid w:val="00C43FAC"/>
    <w:rsid w:val="00C440A8"/>
    <w:rsid w:val="00C441F0"/>
    <w:rsid w:val="00C44728"/>
    <w:rsid w:val="00C44B4C"/>
    <w:rsid w:val="00C44DE2"/>
    <w:rsid w:val="00C4500B"/>
    <w:rsid w:val="00C45338"/>
    <w:rsid w:val="00C45BCF"/>
    <w:rsid w:val="00C45F2F"/>
    <w:rsid w:val="00C45FE8"/>
    <w:rsid w:val="00C46197"/>
    <w:rsid w:val="00C46A09"/>
    <w:rsid w:val="00C46BA9"/>
    <w:rsid w:val="00C46E57"/>
    <w:rsid w:val="00C46EF5"/>
    <w:rsid w:val="00C475AA"/>
    <w:rsid w:val="00C47A2F"/>
    <w:rsid w:val="00C47CCA"/>
    <w:rsid w:val="00C47DFA"/>
    <w:rsid w:val="00C5062D"/>
    <w:rsid w:val="00C507D7"/>
    <w:rsid w:val="00C5112F"/>
    <w:rsid w:val="00C517B7"/>
    <w:rsid w:val="00C517F4"/>
    <w:rsid w:val="00C518FD"/>
    <w:rsid w:val="00C51C20"/>
    <w:rsid w:val="00C51E33"/>
    <w:rsid w:val="00C52038"/>
    <w:rsid w:val="00C5222B"/>
    <w:rsid w:val="00C5242A"/>
    <w:rsid w:val="00C5250D"/>
    <w:rsid w:val="00C527C7"/>
    <w:rsid w:val="00C5280D"/>
    <w:rsid w:val="00C52D23"/>
    <w:rsid w:val="00C52E9E"/>
    <w:rsid w:val="00C5343F"/>
    <w:rsid w:val="00C5358B"/>
    <w:rsid w:val="00C538FA"/>
    <w:rsid w:val="00C53C98"/>
    <w:rsid w:val="00C541CB"/>
    <w:rsid w:val="00C54398"/>
    <w:rsid w:val="00C54411"/>
    <w:rsid w:val="00C549EE"/>
    <w:rsid w:val="00C54B6F"/>
    <w:rsid w:val="00C552E1"/>
    <w:rsid w:val="00C553B3"/>
    <w:rsid w:val="00C56049"/>
    <w:rsid w:val="00C56054"/>
    <w:rsid w:val="00C56204"/>
    <w:rsid w:val="00C563AE"/>
    <w:rsid w:val="00C568B9"/>
    <w:rsid w:val="00C56948"/>
    <w:rsid w:val="00C56ECC"/>
    <w:rsid w:val="00C56FCF"/>
    <w:rsid w:val="00C572F6"/>
    <w:rsid w:val="00C575FA"/>
    <w:rsid w:val="00C579D3"/>
    <w:rsid w:val="00C57B6C"/>
    <w:rsid w:val="00C57CDD"/>
    <w:rsid w:val="00C5B207"/>
    <w:rsid w:val="00C605E3"/>
    <w:rsid w:val="00C6073D"/>
    <w:rsid w:val="00C60AB8"/>
    <w:rsid w:val="00C61106"/>
    <w:rsid w:val="00C612DB"/>
    <w:rsid w:val="00C6141D"/>
    <w:rsid w:val="00C614DF"/>
    <w:rsid w:val="00C61500"/>
    <w:rsid w:val="00C6161E"/>
    <w:rsid w:val="00C6162B"/>
    <w:rsid w:val="00C617B9"/>
    <w:rsid w:val="00C6180E"/>
    <w:rsid w:val="00C61A59"/>
    <w:rsid w:val="00C61C3D"/>
    <w:rsid w:val="00C61C85"/>
    <w:rsid w:val="00C62010"/>
    <w:rsid w:val="00C62490"/>
    <w:rsid w:val="00C6285A"/>
    <w:rsid w:val="00C628A6"/>
    <w:rsid w:val="00C62B48"/>
    <w:rsid w:val="00C63D3A"/>
    <w:rsid w:val="00C641FE"/>
    <w:rsid w:val="00C64344"/>
    <w:rsid w:val="00C647CD"/>
    <w:rsid w:val="00C64EB1"/>
    <w:rsid w:val="00C65108"/>
    <w:rsid w:val="00C65341"/>
    <w:rsid w:val="00C65576"/>
    <w:rsid w:val="00C6612F"/>
    <w:rsid w:val="00C66165"/>
    <w:rsid w:val="00C669DF"/>
    <w:rsid w:val="00C66C41"/>
    <w:rsid w:val="00C67005"/>
    <w:rsid w:val="00C675A9"/>
    <w:rsid w:val="00C67653"/>
    <w:rsid w:val="00C67BEE"/>
    <w:rsid w:val="00C70029"/>
    <w:rsid w:val="00C70337"/>
    <w:rsid w:val="00C703CF"/>
    <w:rsid w:val="00C7060A"/>
    <w:rsid w:val="00C70677"/>
    <w:rsid w:val="00C7071D"/>
    <w:rsid w:val="00C70B25"/>
    <w:rsid w:val="00C71033"/>
    <w:rsid w:val="00C7151A"/>
    <w:rsid w:val="00C717E3"/>
    <w:rsid w:val="00C71F60"/>
    <w:rsid w:val="00C72241"/>
    <w:rsid w:val="00C72815"/>
    <w:rsid w:val="00C731F5"/>
    <w:rsid w:val="00C73389"/>
    <w:rsid w:val="00C7339A"/>
    <w:rsid w:val="00C73994"/>
    <w:rsid w:val="00C73D56"/>
    <w:rsid w:val="00C73F9F"/>
    <w:rsid w:val="00C747AB"/>
    <w:rsid w:val="00C74AEC"/>
    <w:rsid w:val="00C74C2C"/>
    <w:rsid w:val="00C74DEA"/>
    <w:rsid w:val="00C74F63"/>
    <w:rsid w:val="00C750C8"/>
    <w:rsid w:val="00C75570"/>
    <w:rsid w:val="00C7560F"/>
    <w:rsid w:val="00C7567A"/>
    <w:rsid w:val="00C76298"/>
    <w:rsid w:val="00C76533"/>
    <w:rsid w:val="00C771E3"/>
    <w:rsid w:val="00C77544"/>
    <w:rsid w:val="00C77A40"/>
    <w:rsid w:val="00C80A0E"/>
    <w:rsid w:val="00C8152E"/>
    <w:rsid w:val="00C81695"/>
    <w:rsid w:val="00C81D9C"/>
    <w:rsid w:val="00C81DEE"/>
    <w:rsid w:val="00C81F86"/>
    <w:rsid w:val="00C81FEA"/>
    <w:rsid w:val="00C8213F"/>
    <w:rsid w:val="00C82423"/>
    <w:rsid w:val="00C829B8"/>
    <w:rsid w:val="00C82FD2"/>
    <w:rsid w:val="00C8303F"/>
    <w:rsid w:val="00C83324"/>
    <w:rsid w:val="00C835E6"/>
    <w:rsid w:val="00C83A25"/>
    <w:rsid w:val="00C847BD"/>
    <w:rsid w:val="00C84882"/>
    <w:rsid w:val="00C85154"/>
    <w:rsid w:val="00C85539"/>
    <w:rsid w:val="00C85A70"/>
    <w:rsid w:val="00C85D30"/>
    <w:rsid w:val="00C864B4"/>
    <w:rsid w:val="00C867BE"/>
    <w:rsid w:val="00C8684E"/>
    <w:rsid w:val="00C86CD2"/>
    <w:rsid w:val="00C86F55"/>
    <w:rsid w:val="00C86FFF"/>
    <w:rsid w:val="00C87216"/>
    <w:rsid w:val="00C8797A"/>
    <w:rsid w:val="00C87AEE"/>
    <w:rsid w:val="00C87EB8"/>
    <w:rsid w:val="00C900B8"/>
    <w:rsid w:val="00C90197"/>
    <w:rsid w:val="00C90C03"/>
    <w:rsid w:val="00C90C71"/>
    <w:rsid w:val="00C90D25"/>
    <w:rsid w:val="00C91207"/>
    <w:rsid w:val="00C91885"/>
    <w:rsid w:val="00C91FD1"/>
    <w:rsid w:val="00C92693"/>
    <w:rsid w:val="00C926B4"/>
    <w:rsid w:val="00C92796"/>
    <w:rsid w:val="00C92DBF"/>
    <w:rsid w:val="00C931CF"/>
    <w:rsid w:val="00C93670"/>
    <w:rsid w:val="00C938CF"/>
    <w:rsid w:val="00C93C8E"/>
    <w:rsid w:val="00C94053"/>
    <w:rsid w:val="00C94141"/>
    <w:rsid w:val="00C94199"/>
    <w:rsid w:val="00C9499D"/>
    <w:rsid w:val="00C95032"/>
    <w:rsid w:val="00C9624D"/>
    <w:rsid w:val="00C963BE"/>
    <w:rsid w:val="00C96704"/>
    <w:rsid w:val="00C969DA"/>
    <w:rsid w:val="00C96DF8"/>
    <w:rsid w:val="00C96FE4"/>
    <w:rsid w:val="00C976A5"/>
    <w:rsid w:val="00C976E6"/>
    <w:rsid w:val="00C97970"/>
    <w:rsid w:val="00C979E9"/>
    <w:rsid w:val="00CA02BD"/>
    <w:rsid w:val="00CA065B"/>
    <w:rsid w:val="00CA0977"/>
    <w:rsid w:val="00CA0D42"/>
    <w:rsid w:val="00CA0EB1"/>
    <w:rsid w:val="00CA1116"/>
    <w:rsid w:val="00CA165E"/>
    <w:rsid w:val="00CA1B6F"/>
    <w:rsid w:val="00CA1C6A"/>
    <w:rsid w:val="00CA1EE7"/>
    <w:rsid w:val="00CA292C"/>
    <w:rsid w:val="00CA2C64"/>
    <w:rsid w:val="00CA2C77"/>
    <w:rsid w:val="00CA2D0F"/>
    <w:rsid w:val="00CA2D3A"/>
    <w:rsid w:val="00CA2FBB"/>
    <w:rsid w:val="00CA3057"/>
    <w:rsid w:val="00CA3340"/>
    <w:rsid w:val="00CA3DF3"/>
    <w:rsid w:val="00CA3F01"/>
    <w:rsid w:val="00CA3F7D"/>
    <w:rsid w:val="00CA4063"/>
    <w:rsid w:val="00CA42AD"/>
    <w:rsid w:val="00CA444F"/>
    <w:rsid w:val="00CA4687"/>
    <w:rsid w:val="00CA468E"/>
    <w:rsid w:val="00CA504B"/>
    <w:rsid w:val="00CA5245"/>
    <w:rsid w:val="00CA52D2"/>
    <w:rsid w:val="00CA5416"/>
    <w:rsid w:val="00CA54F9"/>
    <w:rsid w:val="00CA570E"/>
    <w:rsid w:val="00CA63F0"/>
    <w:rsid w:val="00CA6433"/>
    <w:rsid w:val="00CA6A32"/>
    <w:rsid w:val="00CA71F4"/>
    <w:rsid w:val="00CA7A3B"/>
    <w:rsid w:val="00CA7B09"/>
    <w:rsid w:val="00CA7BFC"/>
    <w:rsid w:val="00CB0E4E"/>
    <w:rsid w:val="00CB0EFC"/>
    <w:rsid w:val="00CB0F2E"/>
    <w:rsid w:val="00CB0F8D"/>
    <w:rsid w:val="00CB0FAD"/>
    <w:rsid w:val="00CB11B7"/>
    <w:rsid w:val="00CB11D9"/>
    <w:rsid w:val="00CB12A5"/>
    <w:rsid w:val="00CB15A4"/>
    <w:rsid w:val="00CB1B27"/>
    <w:rsid w:val="00CB1CAC"/>
    <w:rsid w:val="00CB20CF"/>
    <w:rsid w:val="00CB2838"/>
    <w:rsid w:val="00CB2F2A"/>
    <w:rsid w:val="00CB3310"/>
    <w:rsid w:val="00CB339E"/>
    <w:rsid w:val="00CB3543"/>
    <w:rsid w:val="00CB3871"/>
    <w:rsid w:val="00CB3923"/>
    <w:rsid w:val="00CB3D1B"/>
    <w:rsid w:val="00CB4491"/>
    <w:rsid w:val="00CB4A03"/>
    <w:rsid w:val="00CB4A9D"/>
    <w:rsid w:val="00CB4B57"/>
    <w:rsid w:val="00CB4F50"/>
    <w:rsid w:val="00CB509D"/>
    <w:rsid w:val="00CB5137"/>
    <w:rsid w:val="00CB5A5D"/>
    <w:rsid w:val="00CB5B1A"/>
    <w:rsid w:val="00CB5EEE"/>
    <w:rsid w:val="00CB60A4"/>
    <w:rsid w:val="00CB64B5"/>
    <w:rsid w:val="00CB6B22"/>
    <w:rsid w:val="00CB6E45"/>
    <w:rsid w:val="00CB74C4"/>
    <w:rsid w:val="00CB76E4"/>
    <w:rsid w:val="00CB78B5"/>
    <w:rsid w:val="00CB7CC3"/>
    <w:rsid w:val="00CB7EE6"/>
    <w:rsid w:val="00CB7F5F"/>
    <w:rsid w:val="00CC0087"/>
    <w:rsid w:val="00CC0464"/>
    <w:rsid w:val="00CC0547"/>
    <w:rsid w:val="00CC0661"/>
    <w:rsid w:val="00CC0EEF"/>
    <w:rsid w:val="00CC0F36"/>
    <w:rsid w:val="00CC0FE6"/>
    <w:rsid w:val="00CC105F"/>
    <w:rsid w:val="00CC112A"/>
    <w:rsid w:val="00CC1179"/>
    <w:rsid w:val="00CC12E4"/>
    <w:rsid w:val="00CC1B39"/>
    <w:rsid w:val="00CC1B87"/>
    <w:rsid w:val="00CC1BFA"/>
    <w:rsid w:val="00CC1E88"/>
    <w:rsid w:val="00CC2469"/>
    <w:rsid w:val="00CC2849"/>
    <w:rsid w:val="00CC2D38"/>
    <w:rsid w:val="00CC2E9F"/>
    <w:rsid w:val="00CC311C"/>
    <w:rsid w:val="00CC3160"/>
    <w:rsid w:val="00CC32B8"/>
    <w:rsid w:val="00CC3383"/>
    <w:rsid w:val="00CC35EA"/>
    <w:rsid w:val="00CC3848"/>
    <w:rsid w:val="00CC44E1"/>
    <w:rsid w:val="00CC458F"/>
    <w:rsid w:val="00CC462E"/>
    <w:rsid w:val="00CC48D5"/>
    <w:rsid w:val="00CC55AB"/>
    <w:rsid w:val="00CC5CBB"/>
    <w:rsid w:val="00CC623A"/>
    <w:rsid w:val="00CC68BF"/>
    <w:rsid w:val="00CC6B2B"/>
    <w:rsid w:val="00CC6D5E"/>
    <w:rsid w:val="00CC71D7"/>
    <w:rsid w:val="00CC7674"/>
    <w:rsid w:val="00CD0200"/>
    <w:rsid w:val="00CD0215"/>
    <w:rsid w:val="00CD0315"/>
    <w:rsid w:val="00CD066E"/>
    <w:rsid w:val="00CD0C19"/>
    <w:rsid w:val="00CD188A"/>
    <w:rsid w:val="00CD1B31"/>
    <w:rsid w:val="00CD1C68"/>
    <w:rsid w:val="00CD209A"/>
    <w:rsid w:val="00CD2689"/>
    <w:rsid w:val="00CD289D"/>
    <w:rsid w:val="00CD2F3D"/>
    <w:rsid w:val="00CD3F77"/>
    <w:rsid w:val="00CD41E8"/>
    <w:rsid w:val="00CD4336"/>
    <w:rsid w:val="00CD4B9A"/>
    <w:rsid w:val="00CD5238"/>
    <w:rsid w:val="00CD577B"/>
    <w:rsid w:val="00CD5C92"/>
    <w:rsid w:val="00CD66F9"/>
    <w:rsid w:val="00CD6778"/>
    <w:rsid w:val="00CD67CD"/>
    <w:rsid w:val="00CD6886"/>
    <w:rsid w:val="00CD68F1"/>
    <w:rsid w:val="00CD6ADC"/>
    <w:rsid w:val="00CD6B28"/>
    <w:rsid w:val="00CD6BBD"/>
    <w:rsid w:val="00CD6F53"/>
    <w:rsid w:val="00CD7193"/>
    <w:rsid w:val="00CD7812"/>
    <w:rsid w:val="00CD78A0"/>
    <w:rsid w:val="00CD799E"/>
    <w:rsid w:val="00CD7D9B"/>
    <w:rsid w:val="00CE00E3"/>
    <w:rsid w:val="00CE0EB1"/>
    <w:rsid w:val="00CE1259"/>
    <w:rsid w:val="00CE1549"/>
    <w:rsid w:val="00CE154F"/>
    <w:rsid w:val="00CE1B1C"/>
    <w:rsid w:val="00CE2116"/>
    <w:rsid w:val="00CE21AA"/>
    <w:rsid w:val="00CE25E2"/>
    <w:rsid w:val="00CE265A"/>
    <w:rsid w:val="00CE2FCE"/>
    <w:rsid w:val="00CE300F"/>
    <w:rsid w:val="00CE328C"/>
    <w:rsid w:val="00CE34C5"/>
    <w:rsid w:val="00CE3795"/>
    <w:rsid w:val="00CE38C8"/>
    <w:rsid w:val="00CE3F5B"/>
    <w:rsid w:val="00CE4188"/>
    <w:rsid w:val="00CE4276"/>
    <w:rsid w:val="00CE4285"/>
    <w:rsid w:val="00CE4B1D"/>
    <w:rsid w:val="00CE4FCE"/>
    <w:rsid w:val="00CE5165"/>
    <w:rsid w:val="00CE524F"/>
    <w:rsid w:val="00CE52ED"/>
    <w:rsid w:val="00CE57B9"/>
    <w:rsid w:val="00CE58CC"/>
    <w:rsid w:val="00CE5C13"/>
    <w:rsid w:val="00CE6274"/>
    <w:rsid w:val="00CE6475"/>
    <w:rsid w:val="00CE6D40"/>
    <w:rsid w:val="00CE6E70"/>
    <w:rsid w:val="00CE6FFA"/>
    <w:rsid w:val="00CE706B"/>
    <w:rsid w:val="00CE72F5"/>
    <w:rsid w:val="00CE76F0"/>
    <w:rsid w:val="00CE77B6"/>
    <w:rsid w:val="00CE7C19"/>
    <w:rsid w:val="00CF00E0"/>
    <w:rsid w:val="00CF0DA9"/>
    <w:rsid w:val="00CF114A"/>
    <w:rsid w:val="00CF16A0"/>
    <w:rsid w:val="00CF1984"/>
    <w:rsid w:val="00CF1CEB"/>
    <w:rsid w:val="00CF1F6D"/>
    <w:rsid w:val="00CF1FC0"/>
    <w:rsid w:val="00CF2219"/>
    <w:rsid w:val="00CF2789"/>
    <w:rsid w:val="00CF27BA"/>
    <w:rsid w:val="00CF280A"/>
    <w:rsid w:val="00CF2B8D"/>
    <w:rsid w:val="00CF2CB2"/>
    <w:rsid w:val="00CF305F"/>
    <w:rsid w:val="00CF311E"/>
    <w:rsid w:val="00CF348E"/>
    <w:rsid w:val="00CF3A1B"/>
    <w:rsid w:val="00CF3A36"/>
    <w:rsid w:val="00CF456B"/>
    <w:rsid w:val="00CF51F5"/>
    <w:rsid w:val="00CF53E2"/>
    <w:rsid w:val="00CF5660"/>
    <w:rsid w:val="00CF592A"/>
    <w:rsid w:val="00CF5A22"/>
    <w:rsid w:val="00CF5E16"/>
    <w:rsid w:val="00CF5FA7"/>
    <w:rsid w:val="00CF6072"/>
    <w:rsid w:val="00CF61F7"/>
    <w:rsid w:val="00CF6546"/>
    <w:rsid w:val="00CF6AD5"/>
    <w:rsid w:val="00CF727A"/>
    <w:rsid w:val="00CF742C"/>
    <w:rsid w:val="00CF7957"/>
    <w:rsid w:val="00CF7BD9"/>
    <w:rsid w:val="00D0046B"/>
    <w:rsid w:val="00D0110E"/>
    <w:rsid w:val="00D01A01"/>
    <w:rsid w:val="00D02150"/>
    <w:rsid w:val="00D022FC"/>
    <w:rsid w:val="00D02616"/>
    <w:rsid w:val="00D0262E"/>
    <w:rsid w:val="00D028C1"/>
    <w:rsid w:val="00D02F07"/>
    <w:rsid w:val="00D034DF"/>
    <w:rsid w:val="00D03679"/>
    <w:rsid w:val="00D03884"/>
    <w:rsid w:val="00D03CE3"/>
    <w:rsid w:val="00D0414E"/>
    <w:rsid w:val="00D041F1"/>
    <w:rsid w:val="00D043AF"/>
    <w:rsid w:val="00D04504"/>
    <w:rsid w:val="00D0507A"/>
    <w:rsid w:val="00D05113"/>
    <w:rsid w:val="00D05686"/>
    <w:rsid w:val="00D05E3D"/>
    <w:rsid w:val="00D060C0"/>
    <w:rsid w:val="00D06139"/>
    <w:rsid w:val="00D06181"/>
    <w:rsid w:val="00D06583"/>
    <w:rsid w:val="00D06BE5"/>
    <w:rsid w:val="00D06FF5"/>
    <w:rsid w:val="00D07A31"/>
    <w:rsid w:val="00D07AE2"/>
    <w:rsid w:val="00D10AAE"/>
    <w:rsid w:val="00D10D19"/>
    <w:rsid w:val="00D110BD"/>
    <w:rsid w:val="00D11968"/>
    <w:rsid w:val="00D11A2D"/>
    <w:rsid w:val="00D1229E"/>
    <w:rsid w:val="00D1243E"/>
    <w:rsid w:val="00D13675"/>
    <w:rsid w:val="00D141E1"/>
    <w:rsid w:val="00D14475"/>
    <w:rsid w:val="00D14706"/>
    <w:rsid w:val="00D14A6D"/>
    <w:rsid w:val="00D14C30"/>
    <w:rsid w:val="00D14E03"/>
    <w:rsid w:val="00D14F3B"/>
    <w:rsid w:val="00D1519C"/>
    <w:rsid w:val="00D15314"/>
    <w:rsid w:val="00D155A7"/>
    <w:rsid w:val="00D15B48"/>
    <w:rsid w:val="00D160AC"/>
    <w:rsid w:val="00D16368"/>
    <w:rsid w:val="00D16492"/>
    <w:rsid w:val="00D164F7"/>
    <w:rsid w:val="00D166B9"/>
    <w:rsid w:val="00D16719"/>
    <w:rsid w:val="00D179D2"/>
    <w:rsid w:val="00D17D6C"/>
    <w:rsid w:val="00D17FE8"/>
    <w:rsid w:val="00D20426"/>
    <w:rsid w:val="00D209B9"/>
    <w:rsid w:val="00D20FF7"/>
    <w:rsid w:val="00D2155B"/>
    <w:rsid w:val="00D21572"/>
    <w:rsid w:val="00D21913"/>
    <w:rsid w:val="00D21986"/>
    <w:rsid w:val="00D2221E"/>
    <w:rsid w:val="00D22BBC"/>
    <w:rsid w:val="00D23236"/>
    <w:rsid w:val="00D234C7"/>
    <w:rsid w:val="00D2355D"/>
    <w:rsid w:val="00D23582"/>
    <w:rsid w:val="00D236BC"/>
    <w:rsid w:val="00D23BFE"/>
    <w:rsid w:val="00D23D11"/>
    <w:rsid w:val="00D23D35"/>
    <w:rsid w:val="00D23E53"/>
    <w:rsid w:val="00D244B6"/>
    <w:rsid w:val="00D2488E"/>
    <w:rsid w:val="00D24DA5"/>
    <w:rsid w:val="00D2504D"/>
    <w:rsid w:val="00D2571D"/>
    <w:rsid w:val="00D25C1A"/>
    <w:rsid w:val="00D2607E"/>
    <w:rsid w:val="00D26F29"/>
    <w:rsid w:val="00D2717E"/>
    <w:rsid w:val="00D2743A"/>
    <w:rsid w:val="00D2754D"/>
    <w:rsid w:val="00D27661"/>
    <w:rsid w:val="00D27B27"/>
    <w:rsid w:val="00D30079"/>
    <w:rsid w:val="00D304F7"/>
    <w:rsid w:val="00D30523"/>
    <w:rsid w:val="00D30D5B"/>
    <w:rsid w:val="00D315FD"/>
    <w:rsid w:val="00D31EA5"/>
    <w:rsid w:val="00D3201C"/>
    <w:rsid w:val="00D32127"/>
    <w:rsid w:val="00D3274D"/>
    <w:rsid w:val="00D32784"/>
    <w:rsid w:val="00D32E02"/>
    <w:rsid w:val="00D32F5D"/>
    <w:rsid w:val="00D32FE7"/>
    <w:rsid w:val="00D333CF"/>
    <w:rsid w:val="00D33445"/>
    <w:rsid w:val="00D338D4"/>
    <w:rsid w:val="00D338EA"/>
    <w:rsid w:val="00D33955"/>
    <w:rsid w:val="00D339D0"/>
    <w:rsid w:val="00D33AF4"/>
    <w:rsid w:val="00D33BE9"/>
    <w:rsid w:val="00D33DBA"/>
    <w:rsid w:val="00D33F93"/>
    <w:rsid w:val="00D3447F"/>
    <w:rsid w:val="00D34AD6"/>
    <w:rsid w:val="00D357FF"/>
    <w:rsid w:val="00D35DB4"/>
    <w:rsid w:val="00D36035"/>
    <w:rsid w:val="00D36A3A"/>
    <w:rsid w:val="00D36CF6"/>
    <w:rsid w:val="00D36E52"/>
    <w:rsid w:val="00D376AC"/>
    <w:rsid w:val="00D37EBD"/>
    <w:rsid w:val="00D41198"/>
    <w:rsid w:val="00D41474"/>
    <w:rsid w:val="00D420FA"/>
    <w:rsid w:val="00D42245"/>
    <w:rsid w:val="00D424C7"/>
    <w:rsid w:val="00D42509"/>
    <w:rsid w:val="00D426A2"/>
    <w:rsid w:val="00D43941"/>
    <w:rsid w:val="00D43A90"/>
    <w:rsid w:val="00D43B2A"/>
    <w:rsid w:val="00D43BBA"/>
    <w:rsid w:val="00D43CF1"/>
    <w:rsid w:val="00D43D83"/>
    <w:rsid w:val="00D43F67"/>
    <w:rsid w:val="00D449F3"/>
    <w:rsid w:val="00D45633"/>
    <w:rsid w:val="00D456EF"/>
    <w:rsid w:val="00D4595D"/>
    <w:rsid w:val="00D45FB4"/>
    <w:rsid w:val="00D46083"/>
    <w:rsid w:val="00D463E8"/>
    <w:rsid w:val="00D46780"/>
    <w:rsid w:val="00D46CB9"/>
    <w:rsid w:val="00D47253"/>
    <w:rsid w:val="00D47575"/>
    <w:rsid w:val="00D47DC4"/>
    <w:rsid w:val="00D50206"/>
    <w:rsid w:val="00D508D5"/>
    <w:rsid w:val="00D514CA"/>
    <w:rsid w:val="00D515EF"/>
    <w:rsid w:val="00D51B89"/>
    <w:rsid w:val="00D52170"/>
    <w:rsid w:val="00D5243B"/>
    <w:rsid w:val="00D5247B"/>
    <w:rsid w:val="00D5273C"/>
    <w:rsid w:val="00D52743"/>
    <w:rsid w:val="00D533EC"/>
    <w:rsid w:val="00D53418"/>
    <w:rsid w:val="00D5346E"/>
    <w:rsid w:val="00D53473"/>
    <w:rsid w:val="00D53A97"/>
    <w:rsid w:val="00D53E0E"/>
    <w:rsid w:val="00D544D5"/>
    <w:rsid w:val="00D54659"/>
    <w:rsid w:val="00D54F71"/>
    <w:rsid w:val="00D56052"/>
    <w:rsid w:val="00D5610B"/>
    <w:rsid w:val="00D56A07"/>
    <w:rsid w:val="00D56A95"/>
    <w:rsid w:val="00D56CB6"/>
    <w:rsid w:val="00D57199"/>
    <w:rsid w:val="00D578FA"/>
    <w:rsid w:val="00D5796C"/>
    <w:rsid w:val="00D601E7"/>
    <w:rsid w:val="00D6076E"/>
    <w:rsid w:val="00D60A62"/>
    <w:rsid w:val="00D60F36"/>
    <w:rsid w:val="00D60FC9"/>
    <w:rsid w:val="00D61039"/>
    <w:rsid w:val="00D61134"/>
    <w:rsid w:val="00D61C37"/>
    <w:rsid w:val="00D6204A"/>
    <w:rsid w:val="00D620D3"/>
    <w:rsid w:val="00D62676"/>
    <w:rsid w:val="00D62C3B"/>
    <w:rsid w:val="00D62D75"/>
    <w:rsid w:val="00D63021"/>
    <w:rsid w:val="00D633BF"/>
    <w:rsid w:val="00D637E2"/>
    <w:rsid w:val="00D63D45"/>
    <w:rsid w:val="00D63E16"/>
    <w:rsid w:val="00D63FED"/>
    <w:rsid w:val="00D6419F"/>
    <w:rsid w:val="00D646F9"/>
    <w:rsid w:val="00D64937"/>
    <w:rsid w:val="00D651AB"/>
    <w:rsid w:val="00D6525B"/>
    <w:rsid w:val="00D6526F"/>
    <w:rsid w:val="00D655BA"/>
    <w:rsid w:val="00D65894"/>
    <w:rsid w:val="00D65A72"/>
    <w:rsid w:val="00D65AB3"/>
    <w:rsid w:val="00D664A0"/>
    <w:rsid w:val="00D6661A"/>
    <w:rsid w:val="00D666F6"/>
    <w:rsid w:val="00D6683D"/>
    <w:rsid w:val="00D67491"/>
    <w:rsid w:val="00D67824"/>
    <w:rsid w:val="00D67D2D"/>
    <w:rsid w:val="00D67D8F"/>
    <w:rsid w:val="00D701F2"/>
    <w:rsid w:val="00D70AFE"/>
    <w:rsid w:val="00D70F16"/>
    <w:rsid w:val="00D712B6"/>
    <w:rsid w:val="00D719C1"/>
    <w:rsid w:val="00D71C48"/>
    <w:rsid w:val="00D71D63"/>
    <w:rsid w:val="00D71F04"/>
    <w:rsid w:val="00D71FAF"/>
    <w:rsid w:val="00D7204F"/>
    <w:rsid w:val="00D721CA"/>
    <w:rsid w:val="00D72251"/>
    <w:rsid w:val="00D72305"/>
    <w:rsid w:val="00D72617"/>
    <w:rsid w:val="00D72655"/>
    <w:rsid w:val="00D72826"/>
    <w:rsid w:val="00D72CC3"/>
    <w:rsid w:val="00D72F57"/>
    <w:rsid w:val="00D72F74"/>
    <w:rsid w:val="00D72FA1"/>
    <w:rsid w:val="00D73148"/>
    <w:rsid w:val="00D73238"/>
    <w:rsid w:val="00D73530"/>
    <w:rsid w:val="00D7362B"/>
    <w:rsid w:val="00D7383C"/>
    <w:rsid w:val="00D746E0"/>
    <w:rsid w:val="00D74D66"/>
    <w:rsid w:val="00D7512E"/>
    <w:rsid w:val="00D75328"/>
    <w:rsid w:val="00D756E8"/>
    <w:rsid w:val="00D758B8"/>
    <w:rsid w:val="00D7616B"/>
    <w:rsid w:val="00D76409"/>
    <w:rsid w:val="00D766BC"/>
    <w:rsid w:val="00D76A44"/>
    <w:rsid w:val="00D77754"/>
    <w:rsid w:val="00D778F0"/>
    <w:rsid w:val="00D80EDF"/>
    <w:rsid w:val="00D80FDE"/>
    <w:rsid w:val="00D815EF"/>
    <w:rsid w:val="00D81630"/>
    <w:rsid w:val="00D81638"/>
    <w:rsid w:val="00D81699"/>
    <w:rsid w:val="00D81949"/>
    <w:rsid w:val="00D819E6"/>
    <w:rsid w:val="00D81F26"/>
    <w:rsid w:val="00D822E2"/>
    <w:rsid w:val="00D824D8"/>
    <w:rsid w:val="00D82D23"/>
    <w:rsid w:val="00D82FC9"/>
    <w:rsid w:val="00D8306F"/>
    <w:rsid w:val="00D84336"/>
    <w:rsid w:val="00D843F2"/>
    <w:rsid w:val="00D845CB"/>
    <w:rsid w:val="00D8485C"/>
    <w:rsid w:val="00D84869"/>
    <w:rsid w:val="00D84EE6"/>
    <w:rsid w:val="00D850A9"/>
    <w:rsid w:val="00D855DA"/>
    <w:rsid w:val="00D855E2"/>
    <w:rsid w:val="00D857CC"/>
    <w:rsid w:val="00D86231"/>
    <w:rsid w:val="00D865AB"/>
    <w:rsid w:val="00D867FC"/>
    <w:rsid w:val="00D87409"/>
    <w:rsid w:val="00D87D08"/>
    <w:rsid w:val="00D87FE9"/>
    <w:rsid w:val="00D90007"/>
    <w:rsid w:val="00D912AB"/>
    <w:rsid w:val="00D916B7"/>
    <w:rsid w:val="00D9177A"/>
    <w:rsid w:val="00D91923"/>
    <w:rsid w:val="00D91A32"/>
    <w:rsid w:val="00D91A98"/>
    <w:rsid w:val="00D925FE"/>
    <w:rsid w:val="00D928D2"/>
    <w:rsid w:val="00D92A9E"/>
    <w:rsid w:val="00D92D9D"/>
    <w:rsid w:val="00D92E43"/>
    <w:rsid w:val="00D93753"/>
    <w:rsid w:val="00D93F4F"/>
    <w:rsid w:val="00D94B30"/>
    <w:rsid w:val="00D94EB3"/>
    <w:rsid w:val="00D94F79"/>
    <w:rsid w:val="00D9604A"/>
    <w:rsid w:val="00D96775"/>
    <w:rsid w:val="00D96956"/>
    <w:rsid w:val="00D9713C"/>
    <w:rsid w:val="00D973BA"/>
    <w:rsid w:val="00D97A95"/>
    <w:rsid w:val="00D97C34"/>
    <w:rsid w:val="00DA0771"/>
    <w:rsid w:val="00DA0891"/>
    <w:rsid w:val="00DA15F4"/>
    <w:rsid w:val="00DA1E26"/>
    <w:rsid w:val="00DA21A9"/>
    <w:rsid w:val="00DA21D2"/>
    <w:rsid w:val="00DA2324"/>
    <w:rsid w:val="00DA2351"/>
    <w:rsid w:val="00DA2975"/>
    <w:rsid w:val="00DA2A5E"/>
    <w:rsid w:val="00DA2EC1"/>
    <w:rsid w:val="00DA3167"/>
    <w:rsid w:val="00DA3448"/>
    <w:rsid w:val="00DA37FB"/>
    <w:rsid w:val="00DA3B24"/>
    <w:rsid w:val="00DA3E9F"/>
    <w:rsid w:val="00DA42A5"/>
    <w:rsid w:val="00DA44FD"/>
    <w:rsid w:val="00DA4DC3"/>
    <w:rsid w:val="00DA4EF9"/>
    <w:rsid w:val="00DA532E"/>
    <w:rsid w:val="00DA5E24"/>
    <w:rsid w:val="00DA647A"/>
    <w:rsid w:val="00DA6551"/>
    <w:rsid w:val="00DA684D"/>
    <w:rsid w:val="00DA6AA5"/>
    <w:rsid w:val="00DA77A5"/>
    <w:rsid w:val="00DA7A19"/>
    <w:rsid w:val="00DA7D66"/>
    <w:rsid w:val="00DB0757"/>
    <w:rsid w:val="00DB0A08"/>
    <w:rsid w:val="00DB0E36"/>
    <w:rsid w:val="00DB1069"/>
    <w:rsid w:val="00DB10F8"/>
    <w:rsid w:val="00DB12B7"/>
    <w:rsid w:val="00DB14D0"/>
    <w:rsid w:val="00DB1DD1"/>
    <w:rsid w:val="00DB1F94"/>
    <w:rsid w:val="00DB2162"/>
    <w:rsid w:val="00DB260D"/>
    <w:rsid w:val="00DB2723"/>
    <w:rsid w:val="00DB2781"/>
    <w:rsid w:val="00DB298A"/>
    <w:rsid w:val="00DB3045"/>
    <w:rsid w:val="00DB32E7"/>
    <w:rsid w:val="00DB33E7"/>
    <w:rsid w:val="00DB34F0"/>
    <w:rsid w:val="00DB3B85"/>
    <w:rsid w:val="00DB3DBF"/>
    <w:rsid w:val="00DB3E77"/>
    <w:rsid w:val="00DB4029"/>
    <w:rsid w:val="00DB40E9"/>
    <w:rsid w:val="00DB42D8"/>
    <w:rsid w:val="00DB4338"/>
    <w:rsid w:val="00DB44B7"/>
    <w:rsid w:val="00DB460B"/>
    <w:rsid w:val="00DB47FE"/>
    <w:rsid w:val="00DB484F"/>
    <w:rsid w:val="00DB4F5A"/>
    <w:rsid w:val="00DB5835"/>
    <w:rsid w:val="00DB5A41"/>
    <w:rsid w:val="00DB6072"/>
    <w:rsid w:val="00DB660E"/>
    <w:rsid w:val="00DB686F"/>
    <w:rsid w:val="00DB6F16"/>
    <w:rsid w:val="00DB7A28"/>
    <w:rsid w:val="00DB7D8B"/>
    <w:rsid w:val="00DC04F6"/>
    <w:rsid w:val="00DC0690"/>
    <w:rsid w:val="00DC0CD2"/>
    <w:rsid w:val="00DC0E63"/>
    <w:rsid w:val="00DC107B"/>
    <w:rsid w:val="00DC15AA"/>
    <w:rsid w:val="00DC15FD"/>
    <w:rsid w:val="00DC1D65"/>
    <w:rsid w:val="00DC1EE2"/>
    <w:rsid w:val="00DC2967"/>
    <w:rsid w:val="00DC325E"/>
    <w:rsid w:val="00DC3602"/>
    <w:rsid w:val="00DC368A"/>
    <w:rsid w:val="00DC3C57"/>
    <w:rsid w:val="00DC45C8"/>
    <w:rsid w:val="00DC5333"/>
    <w:rsid w:val="00DC53C4"/>
    <w:rsid w:val="00DC5501"/>
    <w:rsid w:val="00DC5DE4"/>
    <w:rsid w:val="00DC5F67"/>
    <w:rsid w:val="00DC5F6E"/>
    <w:rsid w:val="00DC656D"/>
    <w:rsid w:val="00DC6A4C"/>
    <w:rsid w:val="00DC6F64"/>
    <w:rsid w:val="00DC7154"/>
    <w:rsid w:val="00DC78F6"/>
    <w:rsid w:val="00DC7CBA"/>
    <w:rsid w:val="00DC7DC0"/>
    <w:rsid w:val="00DC7E8A"/>
    <w:rsid w:val="00DD0005"/>
    <w:rsid w:val="00DD03B7"/>
    <w:rsid w:val="00DD0616"/>
    <w:rsid w:val="00DD0B6B"/>
    <w:rsid w:val="00DD0F78"/>
    <w:rsid w:val="00DD1181"/>
    <w:rsid w:val="00DD1590"/>
    <w:rsid w:val="00DD229C"/>
    <w:rsid w:val="00DD273C"/>
    <w:rsid w:val="00DD3068"/>
    <w:rsid w:val="00DD382E"/>
    <w:rsid w:val="00DD3965"/>
    <w:rsid w:val="00DD3CB9"/>
    <w:rsid w:val="00DD3F28"/>
    <w:rsid w:val="00DD4361"/>
    <w:rsid w:val="00DD4446"/>
    <w:rsid w:val="00DD4537"/>
    <w:rsid w:val="00DD4E15"/>
    <w:rsid w:val="00DD5198"/>
    <w:rsid w:val="00DD545A"/>
    <w:rsid w:val="00DD6384"/>
    <w:rsid w:val="00DD6723"/>
    <w:rsid w:val="00DD6B47"/>
    <w:rsid w:val="00DD6E0D"/>
    <w:rsid w:val="00DD722B"/>
    <w:rsid w:val="00DD755D"/>
    <w:rsid w:val="00DD766C"/>
    <w:rsid w:val="00DD78C6"/>
    <w:rsid w:val="00DD7AE3"/>
    <w:rsid w:val="00DD7C16"/>
    <w:rsid w:val="00DE03B5"/>
    <w:rsid w:val="00DE0EFC"/>
    <w:rsid w:val="00DE17C4"/>
    <w:rsid w:val="00DE1B22"/>
    <w:rsid w:val="00DE1DE6"/>
    <w:rsid w:val="00DE1EA3"/>
    <w:rsid w:val="00DE2304"/>
    <w:rsid w:val="00DE24C1"/>
    <w:rsid w:val="00DE2CE2"/>
    <w:rsid w:val="00DE305A"/>
    <w:rsid w:val="00DE30F1"/>
    <w:rsid w:val="00DE3138"/>
    <w:rsid w:val="00DE316D"/>
    <w:rsid w:val="00DE326B"/>
    <w:rsid w:val="00DE370A"/>
    <w:rsid w:val="00DE37F8"/>
    <w:rsid w:val="00DE3A96"/>
    <w:rsid w:val="00DE3C2B"/>
    <w:rsid w:val="00DE41B1"/>
    <w:rsid w:val="00DE4273"/>
    <w:rsid w:val="00DE4450"/>
    <w:rsid w:val="00DE44FB"/>
    <w:rsid w:val="00DE464B"/>
    <w:rsid w:val="00DE4CEA"/>
    <w:rsid w:val="00DE4FCB"/>
    <w:rsid w:val="00DE5652"/>
    <w:rsid w:val="00DE58B0"/>
    <w:rsid w:val="00DE59F0"/>
    <w:rsid w:val="00DE5A01"/>
    <w:rsid w:val="00DE5D07"/>
    <w:rsid w:val="00DE6407"/>
    <w:rsid w:val="00DE6A6E"/>
    <w:rsid w:val="00DE6AC6"/>
    <w:rsid w:val="00DE6BE4"/>
    <w:rsid w:val="00DE719E"/>
    <w:rsid w:val="00DE72A7"/>
    <w:rsid w:val="00DE7748"/>
    <w:rsid w:val="00DE7832"/>
    <w:rsid w:val="00DF01FB"/>
    <w:rsid w:val="00DF03C7"/>
    <w:rsid w:val="00DF0677"/>
    <w:rsid w:val="00DF08C6"/>
    <w:rsid w:val="00DF0D5F"/>
    <w:rsid w:val="00DF1363"/>
    <w:rsid w:val="00DF157A"/>
    <w:rsid w:val="00DF1683"/>
    <w:rsid w:val="00DF170C"/>
    <w:rsid w:val="00DF18FC"/>
    <w:rsid w:val="00DF1DAA"/>
    <w:rsid w:val="00DF2515"/>
    <w:rsid w:val="00DF2776"/>
    <w:rsid w:val="00DF2935"/>
    <w:rsid w:val="00DF2C26"/>
    <w:rsid w:val="00DF3733"/>
    <w:rsid w:val="00DF389E"/>
    <w:rsid w:val="00DF3FEE"/>
    <w:rsid w:val="00DF448C"/>
    <w:rsid w:val="00DF44A3"/>
    <w:rsid w:val="00DF544A"/>
    <w:rsid w:val="00DF59E4"/>
    <w:rsid w:val="00DF5AC3"/>
    <w:rsid w:val="00DF5D2B"/>
    <w:rsid w:val="00DF606C"/>
    <w:rsid w:val="00DF6341"/>
    <w:rsid w:val="00DF64A8"/>
    <w:rsid w:val="00DF6F6C"/>
    <w:rsid w:val="00DF7665"/>
    <w:rsid w:val="00DF76CA"/>
    <w:rsid w:val="00DF7B7A"/>
    <w:rsid w:val="00DF7BAF"/>
    <w:rsid w:val="00DF7F7F"/>
    <w:rsid w:val="00E00561"/>
    <w:rsid w:val="00E005FB"/>
    <w:rsid w:val="00E00973"/>
    <w:rsid w:val="00E00E8E"/>
    <w:rsid w:val="00E01038"/>
    <w:rsid w:val="00E019C5"/>
    <w:rsid w:val="00E02616"/>
    <w:rsid w:val="00E029D6"/>
    <w:rsid w:val="00E02F1B"/>
    <w:rsid w:val="00E03441"/>
    <w:rsid w:val="00E038EB"/>
    <w:rsid w:val="00E0391E"/>
    <w:rsid w:val="00E03D22"/>
    <w:rsid w:val="00E03DED"/>
    <w:rsid w:val="00E0436A"/>
    <w:rsid w:val="00E0446C"/>
    <w:rsid w:val="00E04D46"/>
    <w:rsid w:val="00E04E8A"/>
    <w:rsid w:val="00E05207"/>
    <w:rsid w:val="00E05290"/>
    <w:rsid w:val="00E05630"/>
    <w:rsid w:val="00E05706"/>
    <w:rsid w:val="00E05D60"/>
    <w:rsid w:val="00E05E51"/>
    <w:rsid w:val="00E06A44"/>
    <w:rsid w:val="00E06A4F"/>
    <w:rsid w:val="00E06D44"/>
    <w:rsid w:val="00E06DBB"/>
    <w:rsid w:val="00E07536"/>
    <w:rsid w:val="00E0766B"/>
    <w:rsid w:val="00E07B9F"/>
    <w:rsid w:val="00E07ED6"/>
    <w:rsid w:val="00E1003C"/>
    <w:rsid w:val="00E10149"/>
    <w:rsid w:val="00E10699"/>
    <w:rsid w:val="00E106BB"/>
    <w:rsid w:val="00E10A1B"/>
    <w:rsid w:val="00E10D9E"/>
    <w:rsid w:val="00E10FBB"/>
    <w:rsid w:val="00E11340"/>
    <w:rsid w:val="00E11A97"/>
    <w:rsid w:val="00E122A1"/>
    <w:rsid w:val="00E12300"/>
    <w:rsid w:val="00E12A85"/>
    <w:rsid w:val="00E12C00"/>
    <w:rsid w:val="00E12D6D"/>
    <w:rsid w:val="00E13344"/>
    <w:rsid w:val="00E13BE5"/>
    <w:rsid w:val="00E1484F"/>
    <w:rsid w:val="00E14887"/>
    <w:rsid w:val="00E149A4"/>
    <w:rsid w:val="00E14DAA"/>
    <w:rsid w:val="00E151C5"/>
    <w:rsid w:val="00E153C1"/>
    <w:rsid w:val="00E15AA5"/>
    <w:rsid w:val="00E15BAE"/>
    <w:rsid w:val="00E15BD7"/>
    <w:rsid w:val="00E15F61"/>
    <w:rsid w:val="00E16372"/>
    <w:rsid w:val="00E163C1"/>
    <w:rsid w:val="00E16472"/>
    <w:rsid w:val="00E16931"/>
    <w:rsid w:val="00E16AD8"/>
    <w:rsid w:val="00E16BD2"/>
    <w:rsid w:val="00E1737E"/>
    <w:rsid w:val="00E17FFA"/>
    <w:rsid w:val="00E204AD"/>
    <w:rsid w:val="00E20E4D"/>
    <w:rsid w:val="00E20ED6"/>
    <w:rsid w:val="00E210EC"/>
    <w:rsid w:val="00E21358"/>
    <w:rsid w:val="00E214BF"/>
    <w:rsid w:val="00E2249B"/>
    <w:rsid w:val="00E224FB"/>
    <w:rsid w:val="00E2254B"/>
    <w:rsid w:val="00E22A0D"/>
    <w:rsid w:val="00E2314B"/>
    <w:rsid w:val="00E23473"/>
    <w:rsid w:val="00E23BB2"/>
    <w:rsid w:val="00E244F6"/>
    <w:rsid w:val="00E24584"/>
    <w:rsid w:val="00E24A46"/>
    <w:rsid w:val="00E24A81"/>
    <w:rsid w:val="00E2510B"/>
    <w:rsid w:val="00E252B2"/>
    <w:rsid w:val="00E25345"/>
    <w:rsid w:val="00E2583B"/>
    <w:rsid w:val="00E258DB"/>
    <w:rsid w:val="00E25A11"/>
    <w:rsid w:val="00E25FEC"/>
    <w:rsid w:val="00E2648B"/>
    <w:rsid w:val="00E26BE2"/>
    <w:rsid w:val="00E26C01"/>
    <w:rsid w:val="00E26C68"/>
    <w:rsid w:val="00E27284"/>
    <w:rsid w:val="00E2771E"/>
    <w:rsid w:val="00E27B93"/>
    <w:rsid w:val="00E27BA2"/>
    <w:rsid w:val="00E27DF3"/>
    <w:rsid w:val="00E27DFB"/>
    <w:rsid w:val="00E27F5C"/>
    <w:rsid w:val="00E30497"/>
    <w:rsid w:val="00E311EF"/>
    <w:rsid w:val="00E317C4"/>
    <w:rsid w:val="00E317EE"/>
    <w:rsid w:val="00E32177"/>
    <w:rsid w:val="00E32180"/>
    <w:rsid w:val="00E3227D"/>
    <w:rsid w:val="00E32AB7"/>
    <w:rsid w:val="00E32D11"/>
    <w:rsid w:val="00E33672"/>
    <w:rsid w:val="00E337F4"/>
    <w:rsid w:val="00E33BCD"/>
    <w:rsid w:val="00E344CD"/>
    <w:rsid w:val="00E34948"/>
    <w:rsid w:val="00E34EBA"/>
    <w:rsid w:val="00E354B3"/>
    <w:rsid w:val="00E35612"/>
    <w:rsid w:val="00E3577B"/>
    <w:rsid w:val="00E35822"/>
    <w:rsid w:val="00E3636E"/>
    <w:rsid w:val="00E365FB"/>
    <w:rsid w:val="00E3678F"/>
    <w:rsid w:val="00E370AB"/>
    <w:rsid w:val="00E37441"/>
    <w:rsid w:val="00E37526"/>
    <w:rsid w:val="00E37569"/>
    <w:rsid w:val="00E401B2"/>
    <w:rsid w:val="00E40B79"/>
    <w:rsid w:val="00E40C50"/>
    <w:rsid w:val="00E40D54"/>
    <w:rsid w:val="00E40E01"/>
    <w:rsid w:val="00E41579"/>
    <w:rsid w:val="00E419C4"/>
    <w:rsid w:val="00E41B97"/>
    <w:rsid w:val="00E41E30"/>
    <w:rsid w:val="00E41ECA"/>
    <w:rsid w:val="00E42587"/>
    <w:rsid w:val="00E42624"/>
    <w:rsid w:val="00E428E5"/>
    <w:rsid w:val="00E42BF5"/>
    <w:rsid w:val="00E42F73"/>
    <w:rsid w:val="00E42FE5"/>
    <w:rsid w:val="00E43015"/>
    <w:rsid w:val="00E43064"/>
    <w:rsid w:val="00E4338D"/>
    <w:rsid w:val="00E43D70"/>
    <w:rsid w:val="00E43DC4"/>
    <w:rsid w:val="00E43ED5"/>
    <w:rsid w:val="00E44364"/>
    <w:rsid w:val="00E44636"/>
    <w:rsid w:val="00E44D34"/>
    <w:rsid w:val="00E453C5"/>
    <w:rsid w:val="00E458D2"/>
    <w:rsid w:val="00E463FF"/>
    <w:rsid w:val="00E4659F"/>
    <w:rsid w:val="00E465A0"/>
    <w:rsid w:val="00E466F3"/>
    <w:rsid w:val="00E4763D"/>
    <w:rsid w:val="00E47B2C"/>
    <w:rsid w:val="00E47CF3"/>
    <w:rsid w:val="00E5083D"/>
    <w:rsid w:val="00E50B95"/>
    <w:rsid w:val="00E50E65"/>
    <w:rsid w:val="00E51560"/>
    <w:rsid w:val="00E517B9"/>
    <w:rsid w:val="00E51821"/>
    <w:rsid w:val="00E51987"/>
    <w:rsid w:val="00E5231D"/>
    <w:rsid w:val="00E52370"/>
    <w:rsid w:val="00E52AB9"/>
    <w:rsid w:val="00E52C71"/>
    <w:rsid w:val="00E53117"/>
    <w:rsid w:val="00E53445"/>
    <w:rsid w:val="00E539C3"/>
    <w:rsid w:val="00E53FC8"/>
    <w:rsid w:val="00E5422D"/>
    <w:rsid w:val="00E54347"/>
    <w:rsid w:val="00E544FE"/>
    <w:rsid w:val="00E54A1D"/>
    <w:rsid w:val="00E55124"/>
    <w:rsid w:val="00E55313"/>
    <w:rsid w:val="00E55424"/>
    <w:rsid w:val="00E55478"/>
    <w:rsid w:val="00E555EC"/>
    <w:rsid w:val="00E55915"/>
    <w:rsid w:val="00E55BA5"/>
    <w:rsid w:val="00E55BB5"/>
    <w:rsid w:val="00E55D0A"/>
    <w:rsid w:val="00E57437"/>
    <w:rsid w:val="00E575B5"/>
    <w:rsid w:val="00E57D30"/>
    <w:rsid w:val="00E60444"/>
    <w:rsid w:val="00E60E30"/>
    <w:rsid w:val="00E611DF"/>
    <w:rsid w:val="00E614C1"/>
    <w:rsid w:val="00E621BF"/>
    <w:rsid w:val="00E62C8F"/>
    <w:rsid w:val="00E63148"/>
    <w:rsid w:val="00E63703"/>
    <w:rsid w:val="00E638DC"/>
    <w:rsid w:val="00E638F7"/>
    <w:rsid w:val="00E64287"/>
    <w:rsid w:val="00E644F1"/>
    <w:rsid w:val="00E64736"/>
    <w:rsid w:val="00E6492F"/>
    <w:rsid w:val="00E64EB6"/>
    <w:rsid w:val="00E6508F"/>
    <w:rsid w:val="00E65622"/>
    <w:rsid w:val="00E65E79"/>
    <w:rsid w:val="00E66148"/>
    <w:rsid w:val="00E6621C"/>
    <w:rsid w:val="00E66390"/>
    <w:rsid w:val="00E6664B"/>
    <w:rsid w:val="00E66781"/>
    <w:rsid w:val="00E6685E"/>
    <w:rsid w:val="00E66B8D"/>
    <w:rsid w:val="00E66BA2"/>
    <w:rsid w:val="00E672FF"/>
    <w:rsid w:val="00E67416"/>
    <w:rsid w:val="00E6771E"/>
    <w:rsid w:val="00E678E8"/>
    <w:rsid w:val="00E67FBC"/>
    <w:rsid w:val="00E70260"/>
    <w:rsid w:val="00E707AC"/>
    <w:rsid w:val="00E7090B"/>
    <w:rsid w:val="00E70E55"/>
    <w:rsid w:val="00E714F6"/>
    <w:rsid w:val="00E718B6"/>
    <w:rsid w:val="00E71B26"/>
    <w:rsid w:val="00E71F11"/>
    <w:rsid w:val="00E7210D"/>
    <w:rsid w:val="00E72259"/>
    <w:rsid w:val="00E723BA"/>
    <w:rsid w:val="00E72A7B"/>
    <w:rsid w:val="00E72AC1"/>
    <w:rsid w:val="00E72ECB"/>
    <w:rsid w:val="00E72EE8"/>
    <w:rsid w:val="00E73581"/>
    <w:rsid w:val="00E735AA"/>
    <w:rsid w:val="00E7396E"/>
    <w:rsid w:val="00E73AA9"/>
    <w:rsid w:val="00E74598"/>
    <w:rsid w:val="00E747AC"/>
    <w:rsid w:val="00E74946"/>
    <w:rsid w:val="00E74B2B"/>
    <w:rsid w:val="00E74C29"/>
    <w:rsid w:val="00E74DC1"/>
    <w:rsid w:val="00E75584"/>
    <w:rsid w:val="00E7566C"/>
    <w:rsid w:val="00E75700"/>
    <w:rsid w:val="00E762FF"/>
    <w:rsid w:val="00E77080"/>
    <w:rsid w:val="00E7737C"/>
    <w:rsid w:val="00E7750C"/>
    <w:rsid w:val="00E800BA"/>
    <w:rsid w:val="00E81A98"/>
    <w:rsid w:val="00E81B83"/>
    <w:rsid w:val="00E81C23"/>
    <w:rsid w:val="00E81DBB"/>
    <w:rsid w:val="00E821C4"/>
    <w:rsid w:val="00E824C5"/>
    <w:rsid w:val="00E82E89"/>
    <w:rsid w:val="00E831A0"/>
    <w:rsid w:val="00E833F7"/>
    <w:rsid w:val="00E8360E"/>
    <w:rsid w:val="00E83BDF"/>
    <w:rsid w:val="00E83D57"/>
    <w:rsid w:val="00E8432B"/>
    <w:rsid w:val="00E84832"/>
    <w:rsid w:val="00E84A5E"/>
    <w:rsid w:val="00E85821"/>
    <w:rsid w:val="00E85D37"/>
    <w:rsid w:val="00E85D39"/>
    <w:rsid w:val="00E86016"/>
    <w:rsid w:val="00E861CA"/>
    <w:rsid w:val="00E86203"/>
    <w:rsid w:val="00E8653B"/>
    <w:rsid w:val="00E8675A"/>
    <w:rsid w:val="00E86DCA"/>
    <w:rsid w:val="00E86FCC"/>
    <w:rsid w:val="00E87122"/>
    <w:rsid w:val="00E875CE"/>
    <w:rsid w:val="00E87718"/>
    <w:rsid w:val="00E878C3"/>
    <w:rsid w:val="00E87A1D"/>
    <w:rsid w:val="00E87D53"/>
    <w:rsid w:val="00E9014A"/>
    <w:rsid w:val="00E9076C"/>
    <w:rsid w:val="00E90839"/>
    <w:rsid w:val="00E9094A"/>
    <w:rsid w:val="00E9100A"/>
    <w:rsid w:val="00E9116D"/>
    <w:rsid w:val="00E9146C"/>
    <w:rsid w:val="00E914C0"/>
    <w:rsid w:val="00E9187B"/>
    <w:rsid w:val="00E91A33"/>
    <w:rsid w:val="00E91D35"/>
    <w:rsid w:val="00E924BE"/>
    <w:rsid w:val="00E924F8"/>
    <w:rsid w:val="00E926A5"/>
    <w:rsid w:val="00E9274F"/>
    <w:rsid w:val="00E92795"/>
    <w:rsid w:val="00E92819"/>
    <w:rsid w:val="00E93140"/>
    <w:rsid w:val="00E93F4E"/>
    <w:rsid w:val="00E944FC"/>
    <w:rsid w:val="00E94527"/>
    <w:rsid w:val="00E947EE"/>
    <w:rsid w:val="00E9516F"/>
    <w:rsid w:val="00E9534C"/>
    <w:rsid w:val="00E957DB"/>
    <w:rsid w:val="00E9591F"/>
    <w:rsid w:val="00E95E3E"/>
    <w:rsid w:val="00E962CC"/>
    <w:rsid w:val="00E9668D"/>
    <w:rsid w:val="00E96731"/>
    <w:rsid w:val="00E96839"/>
    <w:rsid w:val="00E96B4C"/>
    <w:rsid w:val="00E96BB9"/>
    <w:rsid w:val="00E96C95"/>
    <w:rsid w:val="00E97212"/>
    <w:rsid w:val="00E97A8C"/>
    <w:rsid w:val="00E97D7B"/>
    <w:rsid w:val="00EA00D6"/>
    <w:rsid w:val="00EA0318"/>
    <w:rsid w:val="00EA0B03"/>
    <w:rsid w:val="00EA0CFC"/>
    <w:rsid w:val="00EA17C3"/>
    <w:rsid w:val="00EA19EF"/>
    <w:rsid w:val="00EA1C5A"/>
    <w:rsid w:val="00EA20E9"/>
    <w:rsid w:val="00EA2583"/>
    <w:rsid w:val="00EA2A6C"/>
    <w:rsid w:val="00EA2CAA"/>
    <w:rsid w:val="00EA2E33"/>
    <w:rsid w:val="00EA2FD1"/>
    <w:rsid w:val="00EA31F7"/>
    <w:rsid w:val="00EA32F1"/>
    <w:rsid w:val="00EA3864"/>
    <w:rsid w:val="00EA38E0"/>
    <w:rsid w:val="00EA3B88"/>
    <w:rsid w:val="00EA3C61"/>
    <w:rsid w:val="00EA3D5B"/>
    <w:rsid w:val="00EA3EBF"/>
    <w:rsid w:val="00EA420C"/>
    <w:rsid w:val="00EA44BC"/>
    <w:rsid w:val="00EA45C6"/>
    <w:rsid w:val="00EA4A79"/>
    <w:rsid w:val="00EA4B3A"/>
    <w:rsid w:val="00EA5562"/>
    <w:rsid w:val="00EA592F"/>
    <w:rsid w:val="00EA5A31"/>
    <w:rsid w:val="00EA5A37"/>
    <w:rsid w:val="00EA61F5"/>
    <w:rsid w:val="00EA6241"/>
    <w:rsid w:val="00EA631D"/>
    <w:rsid w:val="00EA65DF"/>
    <w:rsid w:val="00EA6AB5"/>
    <w:rsid w:val="00EA6BEE"/>
    <w:rsid w:val="00EA6C5F"/>
    <w:rsid w:val="00EA7ACE"/>
    <w:rsid w:val="00EA7B35"/>
    <w:rsid w:val="00EA7F1C"/>
    <w:rsid w:val="00EB07EB"/>
    <w:rsid w:val="00EB0B0A"/>
    <w:rsid w:val="00EB0B1A"/>
    <w:rsid w:val="00EB0EED"/>
    <w:rsid w:val="00EB15B6"/>
    <w:rsid w:val="00EB181D"/>
    <w:rsid w:val="00EB1A17"/>
    <w:rsid w:val="00EB1E1C"/>
    <w:rsid w:val="00EB1FCB"/>
    <w:rsid w:val="00EB20A2"/>
    <w:rsid w:val="00EB281F"/>
    <w:rsid w:val="00EB37DE"/>
    <w:rsid w:val="00EB3BEC"/>
    <w:rsid w:val="00EB3D06"/>
    <w:rsid w:val="00EB441D"/>
    <w:rsid w:val="00EB4916"/>
    <w:rsid w:val="00EB4BAF"/>
    <w:rsid w:val="00EB4BBF"/>
    <w:rsid w:val="00EB4C5E"/>
    <w:rsid w:val="00EB5AE8"/>
    <w:rsid w:val="00EB5D6D"/>
    <w:rsid w:val="00EB623F"/>
    <w:rsid w:val="00EB6732"/>
    <w:rsid w:val="00EB68EE"/>
    <w:rsid w:val="00EB69FF"/>
    <w:rsid w:val="00EB6AD6"/>
    <w:rsid w:val="00EB6C51"/>
    <w:rsid w:val="00EB6DD6"/>
    <w:rsid w:val="00EB76DF"/>
    <w:rsid w:val="00EB7C1D"/>
    <w:rsid w:val="00EB7C5D"/>
    <w:rsid w:val="00EC00C9"/>
    <w:rsid w:val="00EC04D7"/>
    <w:rsid w:val="00EC0AFC"/>
    <w:rsid w:val="00EC0DD9"/>
    <w:rsid w:val="00EC1830"/>
    <w:rsid w:val="00EC21B8"/>
    <w:rsid w:val="00EC2649"/>
    <w:rsid w:val="00EC2E5B"/>
    <w:rsid w:val="00EC2F8C"/>
    <w:rsid w:val="00EC31ED"/>
    <w:rsid w:val="00EC3656"/>
    <w:rsid w:val="00EC46AE"/>
    <w:rsid w:val="00EC48F1"/>
    <w:rsid w:val="00EC4B84"/>
    <w:rsid w:val="00EC5743"/>
    <w:rsid w:val="00EC5836"/>
    <w:rsid w:val="00EC5854"/>
    <w:rsid w:val="00EC5885"/>
    <w:rsid w:val="00EC59D8"/>
    <w:rsid w:val="00EC5A35"/>
    <w:rsid w:val="00EC5D20"/>
    <w:rsid w:val="00EC5D8B"/>
    <w:rsid w:val="00EC5DA8"/>
    <w:rsid w:val="00EC5EB3"/>
    <w:rsid w:val="00EC688C"/>
    <w:rsid w:val="00EC69FB"/>
    <w:rsid w:val="00EC6A7C"/>
    <w:rsid w:val="00EC6E37"/>
    <w:rsid w:val="00EC70CE"/>
    <w:rsid w:val="00EC71C3"/>
    <w:rsid w:val="00EC77B2"/>
    <w:rsid w:val="00EC7C4C"/>
    <w:rsid w:val="00ED04F8"/>
    <w:rsid w:val="00ED063B"/>
    <w:rsid w:val="00ED0CBB"/>
    <w:rsid w:val="00ED12E3"/>
    <w:rsid w:val="00ED1C21"/>
    <w:rsid w:val="00ED1FD9"/>
    <w:rsid w:val="00ED222C"/>
    <w:rsid w:val="00ED26CB"/>
    <w:rsid w:val="00ED30B7"/>
    <w:rsid w:val="00ED30C9"/>
    <w:rsid w:val="00ED33F5"/>
    <w:rsid w:val="00ED3446"/>
    <w:rsid w:val="00ED3CEE"/>
    <w:rsid w:val="00ED3D54"/>
    <w:rsid w:val="00ED4900"/>
    <w:rsid w:val="00ED4B04"/>
    <w:rsid w:val="00ED4B33"/>
    <w:rsid w:val="00ED4D9C"/>
    <w:rsid w:val="00ED4DC1"/>
    <w:rsid w:val="00ED570C"/>
    <w:rsid w:val="00ED57EA"/>
    <w:rsid w:val="00ED5A9E"/>
    <w:rsid w:val="00ED5BD4"/>
    <w:rsid w:val="00ED5CFD"/>
    <w:rsid w:val="00ED5FE0"/>
    <w:rsid w:val="00ED66F5"/>
    <w:rsid w:val="00ED7974"/>
    <w:rsid w:val="00ED7F39"/>
    <w:rsid w:val="00EDC3D8"/>
    <w:rsid w:val="00EE038D"/>
    <w:rsid w:val="00EE051D"/>
    <w:rsid w:val="00EE0576"/>
    <w:rsid w:val="00EE07D3"/>
    <w:rsid w:val="00EE08C8"/>
    <w:rsid w:val="00EE1996"/>
    <w:rsid w:val="00EE1C01"/>
    <w:rsid w:val="00EE22AF"/>
    <w:rsid w:val="00EE22F6"/>
    <w:rsid w:val="00EE234D"/>
    <w:rsid w:val="00EE249B"/>
    <w:rsid w:val="00EE25E1"/>
    <w:rsid w:val="00EE2A87"/>
    <w:rsid w:val="00EE2B1D"/>
    <w:rsid w:val="00EE45BE"/>
    <w:rsid w:val="00EE59D3"/>
    <w:rsid w:val="00EE5B97"/>
    <w:rsid w:val="00EE5BCD"/>
    <w:rsid w:val="00EE5DDB"/>
    <w:rsid w:val="00EE692E"/>
    <w:rsid w:val="00EE6EE8"/>
    <w:rsid w:val="00EE71BF"/>
    <w:rsid w:val="00EE7533"/>
    <w:rsid w:val="00EE76FE"/>
    <w:rsid w:val="00EE788D"/>
    <w:rsid w:val="00EE7BFC"/>
    <w:rsid w:val="00EE7C04"/>
    <w:rsid w:val="00EE7EE9"/>
    <w:rsid w:val="00EF0171"/>
    <w:rsid w:val="00EF046C"/>
    <w:rsid w:val="00EF0D00"/>
    <w:rsid w:val="00EF1635"/>
    <w:rsid w:val="00EF17E1"/>
    <w:rsid w:val="00EF18CA"/>
    <w:rsid w:val="00EF1B25"/>
    <w:rsid w:val="00EF1DA0"/>
    <w:rsid w:val="00EF23E3"/>
    <w:rsid w:val="00EF24E3"/>
    <w:rsid w:val="00EF2A67"/>
    <w:rsid w:val="00EF2DBA"/>
    <w:rsid w:val="00EF3472"/>
    <w:rsid w:val="00EF382D"/>
    <w:rsid w:val="00EF4455"/>
    <w:rsid w:val="00EF4747"/>
    <w:rsid w:val="00EF4BF8"/>
    <w:rsid w:val="00EF6161"/>
    <w:rsid w:val="00EF61C8"/>
    <w:rsid w:val="00EF62D8"/>
    <w:rsid w:val="00EF6489"/>
    <w:rsid w:val="00EF64D5"/>
    <w:rsid w:val="00EF6C2C"/>
    <w:rsid w:val="00EF735B"/>
    <w:rsid w:val="00EF7411"/>
    <w:rsid w:val="00EF751D"/>
    <w:rsid w:val="00EF7BD1"/>
    <w:rsid w:val="00F005FB"/>
    <w:rsid w:val="00F00C0D"/>
    <w:rsid w:val="00F01074"/>
    <w:rsid w:val="00F013BE"/>
    <w:rsid w:val="00F01696"/>
    <w:rsid w:val="00F0192A"/>
    <w:rsid w:val="00F02253"/>
    <w:rsid w:val="00F02525"/>
    <w:rsid w:val="00F026BB"/>
    <w:rsid w:val="00F02B40"/>
    <w:rsid w:val="00F02B92"/>
    <w:rsid w:val="00F03181"/>
    <w:rsid w:val="00F0326B"/>
    <w:rsid w:val="00F033CA"/>
    <w:rsid w:val="00F03A29"/>
    <w:rsid w:val="00F03C2E"/>
    <w:rsid w:val="00F03DA7"/>
    <w:rsid w:val="00F03F3F"/>
    <w:rsid w:val="00F03FF4"/>
    <w:rsid w:val="00F045CE"/>
    <w:rsid w:val="00F04735"/>
    <w:rsid w:val="00F04A66"/>
    <w:rsid w:val="00F04B4B"/>
    <w:rsid w:val="00F0516C"/>
    <w:rsid w:val="00F052DF"/>
    <w:rsid w:val="00F05941"/>
    <w:rsid w:val="00F05A91"/>
    <w:rsid w:val="00F06109"/>
    <w:rsid w:val="00F063FE"/>
    <w:rsid w:val="00F06504"/>
    <w:rsid w:val="00F06595"/>
    <w:rsid w:val="00F065F9"/>
    <w:rsid w:val="00F067A2"/>
    <w:rsid w:val="00F06EDA"/>
    <w:rsid w:val="00F07802"/>
    <w:rsid w:val="00F07AEB"/>
    <w:rsid w:val="00F07B9E"/>
    <w:rsid w:val="00F07EBF"/>
    <w:rsid w:val="00F101F5"/>
    <w:rsid w:val="00F102E0"/>
    <w:rsid w:val="00F103EB"/>
    <w:rsid w:val="00F10A75"/>
    <w:rsid w:val="00F10AEE"/>
    <w:rsid w:val="00F10CAF"/>
    <w:rsid w:val="00F10D69"/>
    <w:rsid w:val="00F10DAD"/>
    <w:rsid w:val="00F10E94"/>
    <w:rsid w:val="00F11053"/>
    <w:rsid w:val="00F1116F"/>
    <w:rsid w:val="00F111A9"/>
    <w:rsid w:val="00F112F9"/>
    <w:rsid w:val="00F11B81"/>
    <w:rsid w:val="00F11C0D"/>
    <w:rsid w:val="00F11F6F"/>
    <w:rsid w:val="00F1216D"/>
    <w:rsid w:val="00F122B1"/>
    <w:rsid w:val="00F123B0"/>
    <w:rsid w:val="00F124D4"/>
    <w:rsid w:val="00F1263A"/>
    <w:rsid w:val="00F12B15"/>
    <w:rsid w:val="00F12BDA"/>
    <w:rsid w:val="00F12F61"/>
    <w:rsid w:val="00F1302B"/>
    <w:rsid w:val="00F134CF"/>
    <w:rsid w:val="00F1370E"/>
    <w:rsid w:val="00F139C5"/>
    <w:rsid w:val="00F13DC7"/>
    <w:rsid w:val="00F1402F"/>
    <w:rsid w:val="00F14C7A"/>
    <w:rsid w:val="00F14E3C"/>
    <w:rsid w:val="00F14EBF"/>
    <w:rsid w:val="00F15019"/>
    <w:rsid w:val="00F156AB"/>
    <w:rsid w:val="00F15880"/>
    <w:rsid w:val="00F15B77"/>
    <w:rsid w:val="00F15D53"/>
    <w:rsid w:val="00F15EFA"/>
    <w:rsid w:val="00F162E2"/>
    <w:rsid w:val="00F16C4D"/>
    <w:rsid w:val="00F16C84"/>
    <w:rsid w:val="00F17282"/>
    <w:rsid w:val="00F172F4"/>
    <w:rsid w:val="00F17306"/>
    <w:rsid w:val="00F173DD"/>
    <w:rsid w:val="00F20091"/>
    <w:rsid w:val="00F20747"/>
    <w:rsid w:val="00F20DC4"/>
    <w:rsid w:val="00F20F1A"/>
    <w:rsid w:val="00F20F92"/>
    <w:rsid w:val="00F21183"/>
    <w:rsid w:val="00F21236"/>
    <w:rsid w:val="00F21472"/>
    <w:rsid w:val="00F22797"/>
    <w:rsid w:val="00F227F1"/>
    <w:rsid w:val="00F22A68"/>
    <w:rsid w:val="00F22D9A"/>
    <w:rsid w:val="00F22E8F"/>
    <w:rsid w:val="00F23121"/>
    <w:rsid w:val="00F239DF"/>
    <w:rsid w:val="00F23A3B"/>
    <w:rsid w:val="00F23D76"/>
    <w:rsid w:val="00F23F93"/>
    <w:rsid w:val="00F24200"/>
    <w:rsid w:val="00F24465"/>
    <w:rsid w:val="00F24837"/>
    <w:rsid w:val="00F24DDF"/>
    <w:rsid w:val="00F24DEB"/>
    <w:rsid w:val="00F24E93"/>
    <w:rsid w:val="00F251E2"/>
    <w:rsid w:val="00F2575F"/>
    <w:rsid w:val="00F25F01"/>
    <w:rsid w:val="00F25F17"/>
    <w:rsid w:val="00F260F4"/>
    <w:rsid w:val="00F2641F"/>
    <w:rsid w:val="00F26580"/>
    <w:rsid w:val="00F26C92"/>
    <w:rsid w:val="00F27171"/>
    <w:rsid w:val="00F274E8"/>
    <w:rsid w:val="00F27565"/>
    <w:rsid w:val="00F27A4D"/>
    <w:rsid w:val="00F27E7B"/>
    <w:rsid w:val="00F2FC31"/>
    <w:rsid w:val="00F30779"/>
    <w:rsid w:val="00F3078B"/>
    <w:rsid w:val="00F30945"/>
    <w:rsid w:val="00F30E1D"/>
    <w:rsid w:val="00F310D4"/>
    <w:rsid w:val="00F31259"/>
    <w:rsid w:val="00F31395"/>
    <w:rsid w:val="00F31D5A"/>
    <w:rsid w:val="00F3221B"/>
    <w:rsid w:val="00F32D7C"/>
    <w:rsid w:val="00F32FA6"/>
    <w:rsid w:val="00F32FF1"/>
    <w:rsid w:val="00F3391A"/>
    <w:rsid w:val="00F33975"/>
    <w:rsid w:val="00F33B4B"/>
    <w:rsid w:val="00F33D08"/>
    <w:rsid w:val="00F33DE9"/>
    <w:rsid w:val="00F33F81"/>
    <w:rsid w:val="00F34BA4"/>
    <w:rsid w:val="00F3583D"/>
    <w:rsid w:val="00F35C43"/>
    <w:rsid w:val="00F35E4E"/>
    <w:rsid w:val="00F35E6D"/>
    <w:rsid w:val="00F3619A"/>
    <w:rsid w:val="00F364C1"/>
    <w:rsid w:val="00F3686E"/>
    <w:rsid w:val="00F36A39"/>
    <w:rsid w:val="00F36CC3"/>
    <w:rsid w:val="00F36CFE"/>
    <w:rsid w:val="00F3716E"/>
    <w:rsid w:val="00F373EB"/>
    <w:rsid w:val="00F3758D"/>
    <w:rsid w:val="00F3758E"/>
    <w:rsid w:val="00F375BA"/>
    <w:rsid w:val="00F3784B"/>
    <w:rsid w:val="00F37B8E"/>
    <w:rsid w:val="00F40013"/>
    <w:rsid w:val="00F40087"/>
    <w:rsid w:val="00F400D2"/>
    <w:rsid w:val="00F40652"/>
    <w:rsid w:val="00F40AAA"/>
    <w:rsid w:val="00F40BA7"/>
    <w:rsid w:val="00F40DAC"/>
    <w:rsid w:val="00F40F9D"/>
    <w:rsid w:val="00F41530"/>
    <w:rsid w:val="00F415A5"/>
    <w:rsid w:val="00F41794"/>
    <w:rsid w:val="00F41ACD"/>
    <w:rsid w:val="00F41CEC"/>
    <w:rsid w:val="00F423D9"/>
    <w:rsid w:val="00F42B88"/>
    <w:rsid w:val="00F42CCD"/>
    <w:rsid w:val="00F42FFD"/>
    <w:rsid w:val="00F4338B"/>
    <w:rsid w:val="00F434E8"/>
    <w:rsid w:val="00F4360F"/>
    <w:rsid w:val="00F43996"/>
    <w:rsid w:val="00F43AF3"/>
    <w:rsid w:val="00F43F7E"/>
    <w:rsid w:val="00F44856"/>
    <w:rsid w:val="00F44DE2"/>
    <w:rsid w:val="00F44FBC"/>
    <w:rsid w:val="00F45201"/>
    <w:rsid w:val="00F45271"/>
    <w:rsid w:val="00F46092"/>
    <w:rsid w:val="00F460BA"/>
    <w:rsid w:val="00F46568"/>
    <w:rsid w:val="00F46CB6"/>
    <w:rsid w:val="00F4702B"/>
    <w:rsid w:val="00F470B2"/>
    <w:rsid w:val="00F474B3"/>
    <w:rsid w:val="00F4756D"/>
    <w:rsid w:val="00F4783C"/>
    <w:rsid w:val="00F47A09"/>
    <w:rsid w:val="00F47DE8"/>
    <w:rsid w:val="00F4EE9F"/>
    <w:rsid w:val="00F50643"/>
    <w:rsid w:val="00F509AE"/>
    <w:rsid w:val="00F518F7"/>
    <w:rsid w:val="00F5198C"/>
    <w:rsid w:val="00F51BE6"/>
    <w:rsid w:val="00F5266B"/>
    <w:rsid w:val="00F52747"/>
    <w:rsid w:val="00F527FB"/>
    <w:rsid w:val="00F52B1D"/>
    <w:rsid w:val="00F52D6A"/>
    <w:rsid w:val="00F52E26"/>
    <w:rsid w:val="00F53176"/>
    <w:rsid w:val="00F53FAF"/>
    <w:rsid w:val="00F542C1"/>
    <w:rsid w:val="00F546CF"/>
    <w:rsid w:val="00F550E3"/>
    <w:rsid w:val="00F55239"/>
    <w:rsid w:val="00F5557C"/>
    <w:rsid w:val="00F555C7"/>
    <w:rsid w:val="00F55B36"/>
    <w:rsid w:val="00F55E73"/>
    <w:rsid w:val="00F55EDA"/>
    <w:rsid w:val="00F5615D"/>
    <w:rsid w:val="00F565CF"/>
    <w:rsid w:val="00F56B34"/>
    <w:rsid w:val="00F56C80"/>
    <w:rsid w:val="00F5729C"/>
    <w:rsid w:val="00F578BF"/>
    <w:rsid w:val="00F57A50"/>
    <w:rsid w:val="00F57D99"/>
    <w:rsid w:val="00F60092"/>
    <w:rsid w:val="00F60251"/>
    <w:rsid w:val="00F603D6"/>
    <w:rsid w:val="00F6061A"/>
    <w:rsid w:val="00F608DD"/>
    <w:rsid w:val="00F6095A"/>
    <w:rsid w:val="00F60F61"/>
    <w:rsid w:val="00F610BA"/>
    <w:rsid w:val="00F61148"/>
    <w:rsid w:val="00F61807"/>
    <w:rsid w:val="00F61C18"/>
    <w:rsid w:val="00F62DBF"/>
    <w:rsid w:val="00F63A30"/>
    <w:rsid w:val="00F64947"/>
    <w:rsid w:val="00F65267"/>
    <w:rsid w:val="00F6528A"/>
    <w:rsid w:val="00F65473"/>
    <w:rsid w:val="00F65961"/>
    <w:rsid w:val="00F65F4B"/>
    <w:rsid w:val="00F66363"/>
    <w:rsid w:val="00F66373"/>
    <w:rsid w:val="00F66871"/>
    <w:rsid w:val="00F66D73"/>
    <w:rsid w:val="00F67854"/>
    <w:rsid w:val="00F67A69"/>
    <w:rsid w:val="00F67D90"/>
    <w:rsid w:val="00F70347"/>
    <w:rsid w:val="00F7038C"/>
    <w:rsid w:val="00F704CC"/>
    <w:rsid w:val="00F7065A"/>
    <w:rsid w:val="00F709AE"/>
    <w:rsid w:val="00F70BFF"/>
    <w:rsid w:val="00F70C9D"/>
    <w:rsid w:val="00F71477"/>
    <w:rsid w:val="00F71A99"/>
    <w:rsid w:val="00F72740"/>
    <w:rsid w:val="00F72857"/>
    <w:rsid w:val="00F728FA"/>
    <w:rsid w:val="00F7292E"/>
    <w:rsid w:val="00F72A53"/>
    <w:rsid w:val="00F72EF6"/>
    <w:rsid w:val="00F7320B"/>
    <w:rsid w:val="00F73733"/>
    <w:rsid w:val="00F739D6"/>
    <w:rsid w:val="00F73E08"/>
    <w:rsid w:val="00F7421A"/>
    <w:rsid w:val="00F74573"/>
    <w:rsid w:val="00F748E7"/>
    <w:rsid w:val="00F74A67"/>
    <w:rsid w:val="00F74CD9"/>
    <w:rsid w:val="00F74D20"/>
    <w:rsid w:val="00F750AD"/>
    <w:rsid w:val="00F763B7"/>
    <w:rsid w:val="00F76C9F"/>
    <w:rsid w:val="00F8025B"/>
    <w:rsid w:val="00F80A7B"/>
    <w:rsid w:val="00F80DC0"/>
    <w:rsid w:val="00F80E5D"/>
    <w:rsid w:val="00F80EE6"/>
    <w:rsid w:val="00F80EF4"/>
    <w:rsid w:val="00F818ED"/>
    <w:rsid w:val="00F81AB8"/>
    <w:rsid w:val="00F81E78"/>
    <w:rsid w:val="00F81F19"/>
    <w:rsid w:val="00F82237"/>
    <w:rsid w:val="00F822AE"/>
    <w:rsid w:val="00F82EF3"/>
    <w:rsid w:val="00F8302F"/>
    <w:rsid w:val="00F835E1"/>
    <w:rsid w:val="00F83916"/>
    <w:rsid w:val="00F83BC3"/>
    <w:rsid w:val="00F841F6"/>
    <w:rsid w:val="00F84876"/>
    <w:rsid w:val="00F84983"/>
    <w:rsid w:val="00F84B8C"/>
    <w:rsid w:val="00F84C24"/>
    <w:rsid w:val="00F84DD0"/>
    <w:rsid w:val="00F850E2"/>
    <w:rsid w:val="00F851CE"/>
    <w:rsid w:val="00F852A2"/>
    <w:rsid w:val="00F85CC4"/>
    <w:rsid w:val="00F85D56"/>
    <w:rsid w:val="00F85E2E"/>
    <w:rsid w:val="00F85FC7"/>
    <w:rsid w:val="00F86266"/>
    <w:rsid w:val="00F868FC"/>
    <w:rsid w:val="00F872CF"/>
    <w:rsid w:val="00F873BC"/>
    <w:rsid w:val="00F878EB"/>
    <w:rsid w:val="00F879FE"/>
    <w:rsid w:val="00F87FD2"/>
    <w:rsid w:val="00F901D6"/>
    <w:rsid w:val="00F9042A"/>
    <w:rsid w:val="00F90467"/>
    <w:rsid w:val="00F908B0"/>
    <w:rsid w:val="00F90A15"/>
    <w:rsid w:val="00F91219"/>
    <w:rsid w:val="00F91D9C"/>
    <w:rsid w:val="00F91EB6"/>
    <w:rsid w:val="00F92444"/>
    <w:rsid w:val="00F92780"/>
    <w:rsid w:val="00F92B65"/>
    <w:rsid w:val="00F92DE5"/>
    <w:rsid w:val="00F936BA"/>
    <w:rsid w:val="00F938D6"/>
    <w:rsid w:val="00F9393E"/>
    <w:rsid w:val="00F93F5A"/>
    <w:rsid w:val="00F9401D"/>
    <w:rsid w:val="00F950E5"/>
    <w:rsid w:val="00F9581F"/>
    <w:rsid w:val="00F9582E"/>
    <w:rsid w:val="00F958C3"/>
    <w:rsid w:val="00F95ABE"/>
    <w:rsid w:val="00F95BBB"/>
    <w:rsid w:val="00F95CE5"/>
    <w:rsid w:val="00F95E5C"/>
    <w:rsid w:val="00F962A2"/>
    <w:rsid w:val="00F96974"/>
    <w:rsid w:val="00F96BBE"/>
    <w:rsid w:val="00F96F91"/>
    <w:rsid w:val="00F96FD0"/>
    <w:rsid w:val="00F977BE"/>
    <w:rsid w:val="00F978E6"/>
    <w:rsid w:val="00F97A78"/>
    <w:rsid w:val="00F97C06"/>
    <w:rsid w:val="00F97D95"/>
    <w:rsid w:val="00F97E9A"/>
    <w:rsid w:val="00FA033D"/>
    <w:rsid w:val="00FA035E"/>
    <w:rsid w:val="00FA054E"/>
    <w:rsid w:val="00FA073C"/>
    <w:rsid w:val="00FA09F9"/>
    <w:rsid w:val="00FA0B20"/>
    <w:rsid w:val="00FA0B7A"/>
    <w:rsid w:val="00FA1959"/>
    <w:rsid w:val="00FA19EB"/>
    <w:rsid w:val="00FA1D9D"/>
    <w:rsid w:val="00FA2324"/>
    <w:rsid w:val="00FA24E7"/>
    <w:rsid w:val="00FA273E"/>
    <w:rsid w:val="00FA296A"/>
    <w:rsid w:val="00FA31BE"/>
    <w:rsid w:val="00FA363E"/>
    <w:rsid w:val="00FA3930"/>
    <w:rsid w:val="00FA3CD0"/>
    <w:rsid w:val="00FA4054"/>
    <w:rsid w:val="00FA4267"/>
    <w:rsid w:val="00FA439B"/>
    <w:rsid w:val="00FA4448"/>
    <w:rsid w:val="00FA4F7A"/>
    <w:rsid w:val="00FA4FC0"/>
    <w:rsid w:val="00FA50BA"/>
    <w:rsid w:val="00FA59C5"/>
    <w:rsid w:val="00FA5C84"/>
    <w:rsid w:val="00FA5EE6"/>
    <w:rsid w:val="00FA5FB1"/>
    <w:rsid w:val="00FA7683"/>
    <w:rsid w:val="00FA7805"/>
    <w:rsid w:val="00FA7956"/>
    <w:rsid w:val="00FA7B27"/>
    <w:rsid w:val="00FA7E02"/>
    <w:rsid w:val="00FA7F19"/>
    <w:rsid w:val="00FA7F30"/>
    <w:rsid w:val="00FB0824"/>
    <w:rsid w:val="00FB0998"/>
    <w:rsid w:val="00FB0EEB"/>
    <w:rsid w:val="00FB0F05"/>
    <w:rsid w:val="00FB11D4"/>
    <w:rsid w:val="00FB1286"/>
    <w:rsid w:val="00FB17D8"/>
    <w:rsid w:val="00FB1BA2"/>
    <w:rsid w:val="00FB1CE1"/>
    <w:rsid w:val="00FB230C"/>
    <w:rsid w:val="00FB270F"/>
    <w:rsid w:val="00FB2895"/>
    <w:rsid w:val="00FB2FCB"/>
    <w:rsid w:val="00FB3961"/>
    <w:rsid w:val="00FB3F66"/>
    <w:rsid w:val="00FB4426"/>
    <w:rsid w:val="00FB4BA6"/>
    <w:rsid w:val="00FB4C59"/>
    <w:rsid w:val="00FB4C9C"/>
    <w:rsid w:val="00FB547C"/>
    <w:rsid w:val="00FB5B7B"/>
    <w:rsid w:val="00FB5D2D"/>
    <w:rsid w:val="00FB5E62"/>
    <w:rsid w:val="00FB5E6D"/>
    <w:rsid w:val="00FB703C"/>
    <w:rsid w:val="00FB78FE"/>
    <w:rsid w:val="00FB79EC"/>
    <w:rsid w:val="00FB7C55"/>
    <w:rsid w:val="00FC0B8A"/>
    <w:rsid w:val="00FC104C"/>
    <w:rsid w:val="00FC1074"/>
    <w:rsid w:val="00FC1449"/>
    <w:rsid w:val="00FC1884"/>
    <w:rsid w:val="00FC371D"/>
    <w:rsid w:val="00FC3A14"/>
    <w:rsid w:val="00FC3CFE"/>
    <w:rsid w:val="00FC4014"/>
    <w:rsid w:val="00FC42D4"/>
    <w:rsid w:val="00FC4570"/>
    <w:rsid w:val="00FC4981"/>
    <w:rsid w:val="00FC5F0B"/>
    <w:rsid w:val="00FC600A"/>
    <w:rsid w:val="00FC6035"/>
    <w:rsid w:val="00FC6372"/>
    <w:rsid w:val="00FC6682"/>
    <w:rsid w:val="00FC69E8"/>
    <w:rsid w:val="00FC6C6B"/>
    <w:rsid w:val="00FC7172"/>
    <w:rsid w:val="00FC7262"/>
    <w:rsid w:val="00FD0170"/>
    <w:rsid w:val="00FD046B"/>
    <w:rsid w:val="00FD1716"/>
    <w:rsid w:val="00FD1D7F"/>
    <w:rsid w:val="00FD2100"/>
    <w:rsid w:val="00FD2A6C"/>
    <w:rsid w:val="00FD2AFE"/>
    <w:rsid w:val="00FD2B52"/>
    <w:rsid w:val="00FD2E05"/>
    <w:rsid w:val="00FD2F09"/>
    <w:rsid w:val="00FD321C"/>
    <w:rsid w:val="00FD3B47"/>
    <w:rsid w:val="00FD3F20"/>
    <w:rsid w:val="00FD436C"/>
    <w:rsid w:val="00FD446D"/>
    <w:rsid w:val="00FD46C6"/>
    <w:rsid w:val="00FD491D"/>
    <w:rsid w:val="00FD4A13"/>
    <w:rsid w:val="00FD4DB1"/>
    <w:rsid w:val="00FD4F2C"/>
    <w:rsid w:val="00FD5856"/>
    <w:rsid w:val="00FD5A35"/>
    <w:rsid w:val="00FD6394"/>
    <w:rsid w:val="00FD6E51"/>
    <w:rsid w:val="00FD76B5"/>
    <w:rsid w:val="00FD78B4"/>
    <w:rsid w:val="00FE0320"/>
    <w:rsid w:val="00FE0E6C"/>
    <w:rsid w:val="00FE1286"/>
    <w:rsid w:val="00FE1CDC"/>
    <w:rsid w:val="00FE1CF2"/>
    <w:rsid w:val="00FE1D0C"/>
    <w:rsid w:val="00FE2C4C"/>
    <w:rsid w:val="00FE2D83"/>
    <w:rsid w:val="00FE322E"/>
    <w:rsid w:val="00FE3528"/>
    <w:rsid w:val="00FE36D1"/>
    <w:rsid w:val="00FE3CB3"/>
    <w:rsid w:val="00FE407A"/>
    <w:rsid w:val="00FE413A"/>
    <w:rsid w:val="00FE429C"/>
    <w:rsid w:val="00FE45F2"/>
    <w:rsid w:val="00FE4B52"/>
    <w:rsid w:val="00FE4D7E"/>
    <w:rsid w:val="00FE4DB9"/>
    <w:rsid w:val="00FE5047"/>
    <w:rsid w:val="00FE50C8"/>
    <w:rsid w:val="00FE52D6"/>
    <w:rsid w:val="00FE58AC"/>
    <w:rsid w:val="00FE594E"/>
    <w:rsid w:val="00FE6CF3"/>
    <w:rsid w:val="00FE6E95"/>
    <w:rsid w:val="00FE6FA9"/>
    <w:rsid w:val="00FE70C3"/>
    <w:rsid w:val="00FE735C"/>
    <w:rsid w:val="00FE783B"/>
    <w:rsid w:val="00FF00D2"/>
    <w:rsid w:val="00FF015D"/>
    <w:rsid w:val="00FF03E8"/>
    <w:rsid w:val="00FF0441"/>
    <w:rsid w:val="00FF070B"/>
    <w:rsid w:val="00FF0A1C"/>
    <w:rsid w:val="00FF1289"/>
    <w:rsid w:val="00FF13D4"/>
    <w:rsid w:val="00FF1893"/>
    <w:rsid w:val="00FF1A01"/>
    <w:rsid w:val="00FF1A8B"/>
    <w:rsid w:val="00FF1AD7"/>
    <w:rsid w:val="00FF20EF"/>
    <w:rsid w:val="00FF2136"/>
    <w:rsid w:val="00FF25F6"/>
    <w:rsid w:val="00FF26F0"/>
    <w:rsid w:val="00FF281F"/>
    <w:rsid w:val="00FF2A28"/>
    <w:rsid w:val="00FF2AD9"/>
    <w:rsid w:val="00FF2FB2"/>
    <w:rsid w:val="00FF3271"/>
    <w:rsid w:val="00FF359F"/>
    <w:rsid w:val="00FF389E"/>
    <w:rsid w:val="00FF3DCF"/>
    <w:rsid w:val="00FF3ECD"/>
    <w:rsid w:val="00FF3FB1"/>
    <w:rsid w:val="00FF405D"/>
    <w:rsid w:val="00FF4245"/>
    <w:rsid w:val="00FF44A8"/>
    <w:rsid w:val="00FF48BC"/>
    <w:rsid w:val="00FF492C"/>
    <w:rsid w:val="00FF495E"/>
    <w:rsid w:val="00FF4A21"/>
    <w:rsid w:val="00FF581E"/>
    <w:rsid w:val="00FF5A4E"/>
    <w:rsid w:val="00FF5AA3"/>
    <w:rsid w:val="00FF5AD8"/>
    <w:rsid w:val="00FF5B82"/>
    <w:rsid w:val="00FF5B97"/>
    <w:rsid w:val="00FF5BC8"/>
    <w:rsid w:val="00FF5DE6"/>
    <w:rsid w:val="00FF69E3"/>
    <w:rsid w:val="00FF789B"/>
    <w:rsid w:val="00FF7C77"/>
    <w:rsid w:val="0105D5C4"/>
    <w:rsid w:val="0106F9E0"/>
    <w:rsid w:val="011AA207"/>
    <w:rsid w:val="0130040B"/>
    <w:rsid w:val="01529F45"/>
    <w:rsid w:val="015C57EB"/>
    <w:rsid w:val="017BFD49"/>
    <w:rsid w:val="017E70A2"/>
    <w:rsid w:val="018B5482"/>
    <w:rsid w:val="019036C9"/>
    <w:rsid w:val="01D923FA"/>
    <w:rsid w:val="01DCD6C2"/>
    <w:rsid w:val="01FCD908"/>
    <w:rsid w:val="020A194E"/>
    <w:rsid w:val="021815AA"/>
    <w:rsid w:val="0264BD03"/>
    <w:rsid w:val="02B89459"/>
    <w:rsid w:val="02D884F0"/>
    <w:rsid w:val="0314365A"/>
    <w:rsid w:val="0326918C"/>
    <w:rsid w:val="03490723"/>
    <w:rsid w:val="035FEADC"/>
    <w:rsid w:val="03649D5B"/>
    <w:rsid w:val="0366BD4D"/>
    <w:rsid w:val="03736005"/>
    <w:rsid w:val="040196C5"/>
    <w:rsid w:val="041AA389"/>
    <w:rsid w:val="0457C8CA"/>
    <w:rsid w:val="04609C09"/>
    <w:rsid w:val="0468EC65"/>
    <w:rsid w:val="0488B01D"/>
    <w:rsid w:val="04A31993"/>
    <w:rsid w:val="04C5B138"/>
    <w:rsid w:val="04D1F969"/>
    <w:rsid w:val="04D49413"/>
    <w:rsid w:val="04DCE94B"/>
    <w:rsid w:val="0504A328"/>
    <w:rsid w:val="0532125A"/>
    <w:rsid w:val="053869E0"/>
    <w:rsid w:val="0539E1A5"/>
    <w:rsid w:val="0550754C"/>
    <w:rsid w:val="05510DD4"/>
    <w:rsid w:val="0551AA9D"/>
    <w:rsid w:val="057B8819"/>
    <w:rsid w:val="05C7B526"/>
    <w:rsid w:val="05EDE567"/>
    <w:rsid w:val="06058BDB"/>
    <w:rsid w:val="064C09A3"/>
    <w:rsid w:val="064EF3EB"/>
    <w:rsid w:val="06613D0F"/>
    <w:rsid w:val="06D15F49"/>
    <w:rsid w:val="06D512D0"/>
    <w:rsid w:val="0777CC9B"/>
    <w:rsid w:val="079778B8"/>
    <w:rsid w:val="07C2C944"/>
    <w:rsid w:val="08026DCD"/>
    <w:rsid w:val="080C895A"/>
    <w:rsid w:val="08169335"/>
    <w:rsid w:val="082754E6"/>
    <w:rsid w:val="082D2465"/>
    <w:rsid w:val="08399502"/>
    <w:rsid w:val="0852C1F6"/>
    <w:rsid w:val="086858C6"/>
    <w:rsid w:val="086CAD7F"/>
    <w:rsid w:val="087F94EA"/>
    <w:rsid w:val="088809EE"/>
    <w:rsid w:val="089A9CD4"/>
    <w:rsid w:val="0929BF2F"/>
    <w:rsid w:val="09312357"/>
    <w:rsid w:val="095F4767"/>
    <w:rsid w:val="09929DB9"/>
    <w:rsid w:val="09987C9B"/>
    <w:rsid w:val="09A33AFD"/>
    <w:rsid w:val="09ADFCEA"/>
    <w:rsid w:val="09DAB3B6"/>
    <w:rsid w:val="0A51A58A"/>
    <w:rsid w:val="0A8C4F97"/>
    <w:rsid w:val="0A90D28C"/>
    <w:rsid w:val="0AA135F9"/>
    <w:rsid w:val="0AB4BE3C"/>
    <w:rsid w:val="0AC51D29"/>
    <w:rsid w:val="0ACE8039"/>
    <w:rsid w:val="0ADDA141"/>
    <w:rsid w:val="0AED1EFE"/>
    <w:rsid w:val="0B09EC1C"/>
    <w:rsid w:val="0B3E8ACD"/>
    <w:rsid w:val="0B41EBAE"/>
    <w:rsid w:val="0B527918"/>
    <w:rsid w:val="0BA02092"/>
    <w:rsid w:val="0BB5ACA7"/>
    <w:rsid w:val="0BDCE62E"/>
    <w:rsid w:val="0C1CA9A5"/>
    <w:rsid w:val="0C649CA3"/>
    <w:rsid w:val="0C76C9C7"/>
    <w:rsid w:val="0C7AB154"/>
    <w:rsid w:val="0C93B14D"/>
    <w:rsid w:val="0C9D7406"/>
    <w:rsid w:val="0CAFD7F8"/>
    <w:rsid w:val="0D077FAE"/>
    <w:rsid w:val="0D07CDAF"/>
    <w:rsid w:val="0D1CCF21"/>
    <w:rsid w:val="0D23139D"/>
    <w:rsid w:val="0D55889B"/>
    <w:rsid w:val="0D5EEA81"/>
    <w:rsid w:val="0D83CB2C"/>
    <w:rsid w:val="0D86E505"/>
    <w:rsid w:val="0DB88CB8"/>
    <w:rsid w:val="0DD1CCDC"/>
    <w:rsid w:val="0DF3C0C0"/>
    <w:rsid w:val="0E0D94F7"/>
    <w:rsid w:val="0E32B2C2"/>
    <w:rsid w:val="0E360A0E"/>
    <w:rsid w:val="0E454DCB"/>
    <w:rsid w:val="0E60C809"/>
    <w:rsid w:val="0E623CCF"/>
    <w:rsid w:val="0E87CBCA"/>
    <w:rsid w:val="0E9A6674"/>
    <w:rsid w:val="0E9AC501"/>
    <w:rsid w:val="0EA5260E"/>
    <w:rsid w:val="0EC5AB7E"/>
    <w:rsid w:val="0EE5FB8A"/>
    <w:rsid w:val="0EEDE948"/>
    <w:rsid w:val="0F223323"/>
    <w:rsid w:val="0F2C2311"/>
    <w:rsid w:val="0F7A5AB7"/>
    <w:rsid w:val="0FBDF8DF"/>
    <w:rsid w:val="0FBF08F2"/>
    <w:rsid w:val="0FC4E390"/>
    <w:rsid w:val="0FCC0ABB"/>
    <w:rsid w:val="100F2E1B"/>
    <w:rsid w:val="10419720"/>
    <w:rsid w:val="1063F3D4"/>
    <w:rsid w:val="1064D0D2"/>
    <w:rsid w:val="109091A0"/>
    <w:rsid w:val="10C10385"/>
    <w:rsid w:val="10CA8262"/>
    <w:rsid w:val="10D6E03E"/>
    <w:rsid w:val="10FD5A67"/>
    <w:rsid w:val="11157B52"/>
    <w:rsid w:val="11223C56"/>
    <w:rsid w:val="113C91B0"/>
    <w:rsid w:val="116BDC8E"/>
    <w:rsid w:val="1188146E"/>
    <w:rsid w:val="11904B35"/>
    <w:rsid w:val="11989F0A"/>
    <w:rsid w:val="11993742"/>
    <w:rsid w:val="119E637E"/>
    <w:rsid w:val="11ACE629"/>
    <w:rsid w:val="11DAE5FF"/>
    <w:rsid w:val="1208935E"/>
    <w:rsid w:val="12236285"/>
    <w:rsid w:val="1233032B"/>
    <w:rsid w:val="12706E86"/>
    <w:rsid w:val="1276A4DD"/>
    <w:rsid w:val="128478FD"/>
    <w:rsid w:val="12F8D523"/>
    <w:rsid w:val="1349D54E"/>
    <w:rsid w:val="13C4DCEA"/>
    <w:rsid w:val="1403AC29"/>
    <w:rsid w:val="14292D72"/>
    <w:rsid w:val="1436CBE7"/>
    <w:rsid w:val="14486B66"/>
    <w:rsid w:val="144A0B56"/>
    <w:rsid w:val="144A1598"/>
    <w:rsid w:val="144C18A5"/>
    <w:rsid w:val="146BECD0"/>
    <w:rsid w:val="148F29F5"/>
    <w:rsid w:val="14B4008C"/>
    <w:rsid w:val="14DDA10F"/>
    <w:rsid w:val="153DB288"/>
    <w:rsid w:val="15588B46"/>
    <w:rsid w:val="15C1B594"/>
    <w:rsid w:val="15C1F8CA"/>
    <w:rsid w:val="15E7200E"/>
    <w:rsid w:val="1603371A"/>
    <w:rsid w:val="16388D36"/>
    <w:rsid w:val="163EF6E8"/>
    <w:rsid w:val="16474BED"/>
    <w:rsid w:val="1649BEB0"/>
    <w:rsid w:val="164CEB5E"/>
    <w:rsid w:val="165487D9"/>
    <w:rsid w:val="16645850"/>
    <w:rsid w:val="166B1DC2"/>
    <w:rsid w:val="1693C66D"/>
    <w:rsid w:val="16A112D6"/>
    <w:rsid w:val="16F34F80"/>
    <w:rsid w:val="18047180"/>
    <w:rsid w:val="18048408"/>
    <w:rsid w:val="18193399"/>
    <w:rsid w:val="181D92A6"/>
    <w:rsid w:val="18542AFA"/>
    <w:rsid w:val="1857CE33"/>
    <w:rsid w:val="1892E14B"/>
    <w:rsid w:val="18F208CA"/>
    <w:rsid w:val="191B3EAC"/>
    <w:rsid w:val="191C1CF8"/>
    <w:rsid w:val="19357929"/>
    <w:rsid w:val="1949228C"/>
    <w:rsid w:val="195C0C59"/>
    <w:rsid w:val="198AC940"/>
    <w:rsid w:val="1998FC67"/>
    <w:rsid w:val="19E14440"/>
    <w:rsid w:val="19E3E6FF"/>
    <w:rsid w:val="19F453E7"/>
    <w:rsid w:val="1A376901"/>
    <w:rsid w:val="1A392892"/>
    <w:rsid w:val="1A4718D6"/>
    <w:rsid w:val="1A856605"/>
    <w:rsid w:val="1AB26A07"/>
    <w:rsid w:val="1AC4CF53"/>
    <w:rsid w:val="1AD50C90"/>
    <w:rsid w:val="1AEC4E40"/>
    <w:rsid w:val="1AFA4A97"/>
    <w:rsid w:val="1B218AA7"/>
    <w:rsid w:val="1B3B8D86"/>
    <w:rsid w:val="1B42CE39"/>
    <w:rsid w:val="1B633417"/>
    <w:rsid w:val="1B6CB33E"/>
    <w:rsid w:val="1B8E3601"/>
    <w:rsid w:val="1BC08B38"/>
    <w:rsid w:val="1BEE85DB"/>
    <w:rsid w:val="1BF27188"/>
    <w:rsid w:val="1C16812D"/>
    <w:rsid w:val="1C371F3F"/>
    <w:rsid w:val="1C4EB8EC"/>
    <w:rsid w:val="1C88BAC4"/>
    <w:rsid w:val="1CA0B8B5"/>
    <w:rsid w:val="1D0E2FB0"/>
    <w:rsid w:val="1D71905A"/>
    <w:rsid w:val="1D86BF3D"/>
    <w:rsid w:val="1D89A841"/>
    <w:rsid w:val="1DB45CAE"/>
    <w:rsid w:val="1DD39D01"/>
    <w:rsid w:val="1E326E23"/>
    <w:rsid w:val="1E547B6F"/>
    <w:rsid w:val="1E64EC6C"/>
    <w:rsid w:val="1EC48B28"/>
    <w:rsid w:val="1ED48670"/>
    <w:rsid w:val="1EFAF375"/>
    <w:rsid w:val="1F14AA6F"/>
    <w:rsid w:val="1F26BAFE"/>
    <w:rsid w:val="1F3C4747"/>
    <w:rsid w:val="1F63BA55"/>
    <w:rsid w:val="1F851FED"/>
    <w:rsid w:val="1FA00E5F"/>
    <w:rsid w:val="1FA0E4BB"/>
    <w:rsid w:val="1FB9CDCC"/>
    <w:rsid w:val="1FDA7803"/>
    <w:rsid w:val="2052EC1B"/>
    <w:rsid w:val="20949BDD"/>
    <w:rsid w:val="20B25103"/>
    <w:rsid w:val="20B7D1FB"/>
    <w:rsid w:val="20C33813"/>
    <w:rsid w:val="20CA1919"/>
    <w:rsid w:val="21144649"/>
    <w:rsid w:val="2120357E"/>
    <w:rsid w:val="21420725"/>
    <w:rsid w:val="2169CAF0"/>
    <w:rsid w:val="2195ED4F"/>
    <w:rsid w:val="21A390D8"/>
    <w:rsid w:val="21E9118D"/>
    <w:rsid w:val="2240D620"/>
    <w:rsid w:val="227B32B2"/>
    <w:rsid w:val="22A9C1E7"/>
    <w:rsid w:val="22CAAD31"/>
    <w:rsid w:val="232C2B08"/>
    <w:rsid w:val="2340BC7F"/>
    <w:rsid w:val="236CB0D7"/>
    <w:rsid w:val="23825573"/>
    <w:rsid w:val="23C04194"/>
    <w:rsid w:val="23CD72B3"/>
    <w:rsid w:val="23DCF56F"/>
    <w:rsid w:val="23E00079"/>
    <w:rsid w:val="23EC8CDF"/>
    <w:rsid w:val="23EEFDE2"/>
    <w:rsid w:val="23F39FA7"/>
    <w:rsid w:val="240B0CE5"/>
    <w:rsid w:val="24205E55"/>
    <w:rsid w:val="243DE7E3"/>
    <w:rsid w:val="24441833"/>
    <w:rsid w:val="24720725"/>
    <w:rsid w:val="248C2293"/>
    <w:rsid w:val="249ECDF4"/>
    <w:rsid w:val="24C3FE77"/>
    <w:rsid w:val="24D3A5A2"/>
    <w:rsid w:val="25000263"/>
    <w:rsid w:val="25027547"/>
    <w:rsid w:val="25042852"/>
    <w:rsid w:val="250919A3"/>
    <w:rsid w:val="25138C69"/>
    <w:rsid w:val="251D37F5"/>
    <w:rsid w:val="25671298"/>
    <w:rsid w:val="2606A4B9"/>
    <w:rsid w:val="2613E5B8"/>
    <w:rsid w:val="26244F7B"/>
    <w:rsid w:val="2644AC72"/>
    <w:rsid w:val="26815BFA"/>
    <w:rsid w:val="26852F2D"/>
    <w:rsid w:val="269A63C6"/>
    <w:rsid w:val="26CE2174"/>
    <w:rsid w:val="26CEEDAE"/>
    <w:rsid w:val="26E3A95D"/>
    <w:rsid w:val="270E1359"/>
    <w:rsid w:val="2733396D"/>
    <w:rsid w:val="27403D73"/>
    <w:rsid w:val="275BEC38"/>
    <w:rsid w:val="27664954"/>
    <w:rsid w:val="277F9E42"/>
    <w:rsid w:val="2787ADF6"/>
    <w:rsid w:val="279A699C"/>
    <w:rsid w:val="27C3A747"/>
    <w:rsid w:val="27D8B2B9"/>
    <w:rsid w:val="27DC5E56"/>
    <w:rsid w:val="27FA8B75"/>
    <w:rsid w:val="286580C2"/>
    <w:rsid w:val="2881F184"/>
    <w:rsid w:val="28E3B2E8"/>
    <w:rsid w:val="28F289CC"/>
    <w:rsid w:val="2907EEC0"/>
    <w:rsid w:val="2948CA5C"/>
    <w:rsid w:val="2959C5A3"/>
    <w:rsid w:val="296296BC"/>
    <w:rsid w:val="2970A299"/>
    <w:rsid w:val="298A2BC5"/>
    <w:rsid w:val="29A0BBEE"/>
    <w:rsid w:val="29BEAB10"/>
    <w:rsid w:val="29D5B892"/>
    <w:rsid w:val="29D9B4D1"/>
    <w:rsid w:val="29D9DAAF"/>
    <w:rsid w:val="29DC58C9"/>
    <w:rsid w:val="2A2EAD51"/>
    <w:rsid w:val="2A6A0D3E"/>
    <w:rsid w:val="2AB2015E"/>
    <w:rsid w:val="2AB51FAC"/>
    <w:rsid w:val="2AE0F686"/>
    <w:rsid w:val="2AE2170A"/>
    <w:rsid w:val="2B1A43C3"/>
    <w:rsid w:val="2B1C726E"/>
    <w:rsid w:val="2B1E3794"/>
    <w:rsid w:val="2B1EAF4A"/>
    <w:rsid w:val="2B3461F2"/>
    <w:rsid w:val="2B396DFE"/>
    <w:rsid w:val="2BA43CA1"/>
    <w:rsid w:val="2BBB8A40"/>
    <w:rsid w:val="2BC57FFA"/>
    <w:rsid w:val="2BD22242"/>
    <w:rsid w:val="2BDE3E52"/>
    <w:rsid w:val="2BFE9F91"/>
    <w:rsid w:val="2C260B40"/>
    <w:rsid w:val="2C2F35A3"/>
    <w:rsid w:val="2C335F65"/>
    <w:rsid w:val="2C387211"/>
    <w:rsid w:val="2C4DC3D4"/>
    <w:rsid w:val="2C5BB577"/>
    <w:rsid w:val="2C90C6B6"/>
    <w:rsid w:val="2C9C2485"/>
    <w:rsid w:val="2CA751A0"/>
    <w:rsid w:val="2CBB9DC1"/>
    <w:rsid w:val="2CBF90E7"/>
    <w:rsid w:val="2CFA4CAA"/>
    <w:rsid w:val="2D0B538D"/>
    <w:rsid w:val="2D1D827A"/>
    <w:rsid w:val="2D22116C"/>
    <w:rsid w:val="2D74DA25"/>
    <w:rsid w:val="2D877C89"/>
    <w:rsid w:val="2D979C6E"/>
    <w:rsid w:val="2DB13A18"/>
    <w:rsid w:val="2DC1E887"/>
    <w:rsid w:val="2DD31BCD"/>
    <w:rsid w:val="2DEDBF19"/>
    <w:rsid w:val="2DFA0AC3"/>
    <w:rsid w:val="2E521D60"/>
    <w:rsid w:val="2E54D336"/>
    <w:rsid w:val="2EB6A04F"/>
    <w:rsid w:val="2EE53AA7"/>
    <w:rsid w:val="2EFEE88A"/>
    <w:rsid w:val="2F0AA98D"/>
    <w:rsid w:val="2F476309"/>
    <w:rsid w:val="2F6E66C4"/>
    <w:rsid w:val="2F7DFE2D"/>
    <w:rsid w:val="2FAA8A83"/>
    <w:rsid w:val="2FC29973"/>
    <w:rsid w:val="3082AF00"/>
    <w:rsid w:val="3085BD67"/>
    <w:rsid w:val="3087BBD8"/>
    <w:rsid w:val="3090F50C"/>
    <w:rsid w:val="30B06A3A"/>
    <w:rsid w:val="30F6BD21"/>
    <w:rsid w:val="3143FAC0"/>
    <w:rsid w:val="3171A27C"/>
    <w:rsid w:val="31750AD9"/>
    <w:rsid w:val="31BE1353"/>
    <w:rsid w:val="31D278E0"/>
    <w:rsid w:val="31F2BFFB"/>
    <w:rsid w:val="32362B8E"/>
    <w:rsid w:val="323657A3"/>
    <w:rsid w:val="32A23984"/>
    <w:rsid w:val="32F860F6"/>
    <w:rsid w:val="332A88E9"/>
    <w:rsid w:val="33353FA6"/>
    <w:rsid w:val="336553C4"/>
    <w:rsid w:val="3370A2F8"/>
    <w:rsid w:val="337CE729"/>
    <w:rsid w:val="33D5C18A"/>
    <w:rsid w:val="33D8FE0B"/>
    <w:rsid w:val="3420910A"/>
    <w:rsid w:val="342733A9"/>
    <w:rsid w:val="3431E28C"/>
    <w:rsid w:val="346E0B33"/>
    <w:rsid w:val="34972E78"/>
    <w:rsid w:val="34C89868"/>
    <w:rsid w:val="351B596B"/>
    <w:rsid w:val="35434306"/>
    <w:rsid w:val="354E6CC9"/>
    <w:rsid w:val="3559B407"/>
    <w:rsid w:val="35910F68"/>
    <w:rsid w:val="35A54A1D"/>
    <w:rsid w:val="35A6011C"/>
    <w:rsid w:val="35DFC215"/>
    <w:rsid w:val="36102D6E"/>
    <w:rsid w:val="3644BCC6"/>
    <w:rsid w:val="366A1FB0"/>
    <w:rsid w:val="36807856"/>
    <w:rsid w:val="3694F3BA"/>
    <w:rsid w:val="36C70965"/>
    <w:rsid w:val="36D686C7"/>
    <w:rsid w:val="36F0F961"/>
    <w:rsid w:val="376D08D0"/>
    <w:rsid w:val="3772E0D0"/>
    <w:rsid w:val="377CC252"/>
    <w:rsid w:val="3799979D"/>
    <w:rsid w:val="37A639CA"/>
    <w:rsid w:val="37B8C688"/>
    <w:rsid w:val="37CC2867"/>
    <w:rsid w:val="37D61D32"/>
    <w:rsid w:val="3814EE31"/>
    <w:rsid w:val="38252BB5"/>
    <w:rsid w:val="385D4BE2"/>
    <w:rsid w:val="3879FBCB"/>
    <w:rsid w:val="389FFE7F"/>
    <w:rsid w:val="38B511D7"/>
    <w:rsid w:val="38E4771B"/>
    <w:rsid w:val="39059B25"/>
    <w:rsid w:val="393FAC5B"/>
    <w:rsid w:val="39423663"/>
    <w:rsid w:val="394804BB"/>
    <w:rsid w:val="3956D43F"/>
    <w:rsid w:val="39794C24"/>
    <w:rsid w:val="399E57FC"/>
    <w:rsid w:val="39A384D8"/>
    <w:rsid w:val="39AE1713"/>
    <w:rsid w:val="39CF2819"/>
    <w:rsid w:val="3A16364E"/>
    <w:rsid w:val="3A2E17BB"/>
    <w:rsid w:val="3A6128D5"/>
    <w:rsid w:val="3A66D219"/>
    <w:rsid w:val="3A6947BF"/>
    <w:rsid w:val="3A8EF475"/>
    <w:rsid w:val="3AB029A0"/>
    <w:rsid w:val="3AC1DB23"/>
    <w:rsid w:val="3AC84B39"/>
    <w:rsid w:val="3AD08068"/>
    <w:rsid w:val="3ADB191A"/>
    <w:rsid w:val="3AE34F95"/>
    <w:rsid w:val="3AF10B90"/>
    <w:rsid w:val="3B2AC078"/>
    <w:rsid w:val="3B54A083"/>
    <w:rsid w:val="3BBCA1F2"/>
    <w:rsid w:val="3BD09458"/>
    <w:rsid w:val="3BD0984B"/>
    <w:rsid w:val="3C11EA00"/>
    <w:rsid w:val="3C1D7BCF"/>
    <w:rsid w:val="3C3615FE"/>
    <w:rsid w:val="3C3B8112"/>
    <w:rsid w:val="3C6FFDFA"/>
    <w:rsid w:val="3C88364D"/>
    <w:rsid w:val="3CAD4B70"/>
    <w:rsid w:val="3CC6207C"/>
    <w:rsid w:val="3CCEA5B3"/>
    <w:rsid w:val="3CD25F64"/>
    <w:rsid w:val="3CF13E49"/>
    <w:rsid w:val="3CF3B6B4"/>
    <w:rsid w:val="3CFE497D"/>
    <w:rsid w:val="3D0A9C51"/>
    <w:rsid w:val="3D157F6A"/>
    <w:rsid w:val="3D21F833"/>
    <w:rsid w:val="3D25A836"/>
    <w:rsid w:val="3D475738"/>
    <w:rsid w:val="3D7526A5"/>
    <w:rsid w:val="3D824BF8"/>
    <w:rsid w:val="3DF18289"/>
    <w:rsid w:val="3E358A26"/>
    <w:rsid w:val="3E5A28D1"/>
    <w:rsid w:val="3EA179F8"/>
    <w:rsid w:val="3EA3A8DD"/>
    <w:rsid w:val="3EAA6B09"/>
    <w:rsid w:val="3EB2AAC3"/>
    <w:rsid w:val="3EB3FC7A"/>
    <w:rsid w:val="3EF06F77"/>
    <w:rsid w:val="3EF49F0E"/>
    <w:rsid w:val="3EF4E774"/>
    <w:rsid w:val="3F0FB958"/>
    <w:rsid w:val="3F1BEB91"/>
    <w:rsid w:val="3F25F1C1"/>
    <w:rsid w:val="3F50C71B"/>
    <w:rsid w:val="3F6C6E71"/>
    <w:rsid w:val="3FC1A676"/>
    <w:rsid w:val="3FD4FBC0"/>
    <w:rsid w:val="3FF7192E"/>
    <w:rsid w:val="4000A2B0"/>
    <w:rsid w:val="4014D4E0"/>
    <w:rsid w:val="4080E3C6"/>
    <w:rsid w:val="409F73DA"/>
    <w:rsid w:val="40E4A220"/>
    <w:rsid w:val="40F5FF7A"/>
    <w:rsid w:val="40FAF878"/>
    <w:rsid w:val="410B19E8"/>
    <w:rsid w:val="410D75F5"/>
    <w:rsid w:val="4112CA25"/>
    <w:rsid w:val="41422442"/>
    <w:rsid w:val="415814E2"/>
    <w:rsid w:val="4171D694"/>
    <w:rsid w:val="41738262"/>
    <w:rsid w:val="41B25657"/>
    <w:rsid w:val="41BBA319"/>
    <w:rsid w:val="41C34B75"/>
    <w:rsid w:val="41D8105D"/>
    <w:rsid w:val="41F5A6C5"/>
    <w:rsid w:val="42639E13"/>
    <w:rsid w:val="42757E16"/>
    <w:rsid w:val="4283CC5B"/>
    <w:rsid w:val="42949016"/>
    <w:rsid w:val="42B80DB4"/>
    <w:rsid w:val="42C606A6"/>
    <w:rsid w:val="42F11B73"/>
    <w:rsid w:val="42F7AF54"/>
    <w:rsid w:val="430724FC"/>
    <w:rsid w:val="4339CD81"/>
    <w:rsid w:val="4365A95F"/>
    <w:rsid w:val="43A4A473"/>
    <w:rsid w:val="43A6CD2F"/>
    <w:rsid w:val="43A7B963"/>
    <w:rsid w:val="43B5BBE6"/>
    <w:rsid w:val="441FCB84"/>
    <w:rsid w:val="44444691"/>
    <w:rsid w:val="44A6C093"/>
    <w:rsid w:val="44B23C36"/>
    <w:rsid w:val="44C78142"/>
    <w:rsid w:val="44E9CDF0"/>
    <w:rsid w:val="44F208DD"/>
    <w:rsid w:val="44FEE825"/>
    <w:rsid w:val="45301F78"/>
    <w:rsid w:val="4567E5DE"/>
    <w:rsid w:val="45710C3A"/>
    <w:rsid w:val="457D84CF"/>
    <w:rsid w:val="45970BA5"/>
    <w:rsid w:val="45CB7437"/>
    <w:rsid w:val="45F8B88A"/>
    <w:rsid w:val="4616DA7B"/>
    <w:rsid w:val="4674D6A0"/>
    <w:rsid w:val="4698F143"/>
    <w:rsid w:val="46B6824B"/>
    <w:rsid w:val="46F149D9"/>
    <w:rsid w:val="46F6F228"/>
    <w:rsid w:val="47368A43"/>
    <w:rsid w:val="474B2C51"/>
    <w:rsid w:val="4775B272"/>
    <w:rsid w:val="47778F68"/>
    <w:rsid w:val="47AF098D"/>
    <w:rsid w:val="47E6EFC6"/>
    <w:rsid w:val="47EDABDF"/>
    <w:rsid w:val="47EEA10F"/>
    <w:rsid w:val="47FBD068"/>
    <w:rsid w:val="48185E2F"/>
    <w:rsid w:val="489EC278"/>
    <w:rsid w:val="48AC31C1"/>
    <w:rsid w:val="490ECFD7"/>
    <w:rsid w:val="4940C472"/>
    <w:rsid w:val="4963CEDB"/>
    <w:rsid w:val="498BC145"/>
    <w:rsid w:val="49CCF228"/>
    <w:rsid w:val="49E9D0C1"/>
    <w:rsid w:val="4A0D6F15"/>
    <w:rsid w:val="4A5C2B2A"/>
    <w:rsid w:val="4AB1E96A"/>
    <w:rsid w:val="4AF468A5"/>
    <w:rsid w:val="4B04B25B"/>
    <w:rsid w:val="4B3D549A"/>
    <w:rsid w:val="4B4E4D02"/>
    <w:rsid w:val="4B75FD3E"/>
    <w:rsid w:val="4BFDF6AE"/>
    <w:rsid w:val="4C08B092"/>
    <w:rsid w:val="4C140FC1"/>
    <w:rsid w:val="4C53176E"/>
    <w:rsid w:val="4C580C12"/>
    <w:rsid w:val="4C5AC3D2"/>
    <w:rsid w:val="4C73C396"/>
    <w:rsid w:val="4C87EA0F"/>
    <w:rsid w:val="4CB40037"/>
    <w:rsid w:val="4CBCC343"/>
    <w:rsid w:val="4CE2729A"/>
    <w:rsid w:val="4CEC0D4D"/>
    <w:rsid w:val="4CF97D8D"/>
    <w:rsid w:val="4D133683"/>
    <w:rsid w:val="4D166DAB"/>
    <w:rsid w:val="4D3515DC"/>
    <w:rsid w:val="4D56A965"/>
    <w:rsid w:val="4D7CFCD7"/>
    <w:rsid w:val="4D8F40B2"/>
    <w:rsid w:val="4DAB1967"/>
    <w:rsid w:val="4DC7BCA0"/>
    <w:rsid w:val="4DD08747"/>
    <w:rsid w:val="4DD66AD7"/>
    <w:rsid w:val="4E4C3466"/>
    <w:rsid w:val="4E522EFD"/>
    <w:rsid w:val="4E544205"/>
    <w:rsid w:val="4E67364D"/>
    <w:rsid w:val="4E67D208"/>
    <w:rsid w:val="4E7CD365"/>
    <w:rsid w:val="4EB24327"/>
    <w:rsid w:val="4F066A04"/>
    <w:rsid w:val="4F0BD765"/>
    <w:rsid w:val="4F236E60"/>
    <w:rsid w:val="4F39D637"/>
    <w:rsid w:val="4F65C060"/>
    <w:rsid w:val="4F6714D2"/>
    <w:rsid w:val="4F72B3DD"/>
    <w:rsid w:val="4F72D18F"/>
    <w:rsid w:val="4F9E4610"/>
    <w:rsid w:val="4FC503E9"/>
    <w:rsid w:val="5001D41D"/>
    <w:rsid w:val="50126662"/>
    <w:rsid w:val="5031D3B1"/>
    <w:rsid w:val="504A65A5"/>
    <w:rsid w:val="50B02174"/>
    <w:rsid w:val="50B3212E"/>
    <w:rsid w:val="50B7651B"/>
    <w:rsid w:val="50C0C584"/>
    <w:rsid w:val="50EFB8F8"/>
    <w:rsid w:val="510C3F04"/>
    <w:rsid w:val="512E3EBB"/>
    <w:rsid w:val="51408F45"/>
    <w:rsid w:val="5146F0D1"/>
    <w:rsid w:val="51873D24"/>
    <w:rsid w:val="51C51B28"/>
    <w:rsid w:val="51CA2FBE"/>
    <w:rsid w:val="51E611AA"/>
    <w:rsid w:val="51ED79C9"/>
    <w:rsid w:val="51F0D92A"/>
    <w:rsid w:val="51F8AA12"/>
    <w:rsid w:val="5225CAF3"/>
    <w:rsid w:val="525833CD"/>
    <w:rsid w:val="52B07867"/>
    <w:rsid w:val="52BA7F2A"/>
    <w:rsid w:val="534030B0"/>
    <w:rsid w:val="53689ED3"/>
    <w:rsid w:val="53907913"/>
    <w:rsid w:val="53A745B8"/>
    <w:rsid w:val="53ABF10E"/>
    <w:rsid w:val="53B22C07"/>
    <w:rsid w:val="53C23A4C"/>
    <w:rsid w:val="53C3B1B7"/>
    <w:rsid w:val="53CE76C7"/>
    <w:rsid w:val="53CFC008"/>
    <w:rsid w:val="53E0914B"/>
    <w:rsid w:val="53E4E02F"/>
    <w:rsid w:val="53E602C1"/>
    <w:rsid w:val="53EDD663"/>
    <w:rsid w:val="541C986A"/>
    <w:rsid w:val="542D8EDB"/>
    <w:rsid w:val="5437E79C"/>
    <w:rsid w:val="543AC4E7"/>
    <w:rsid w:val="5448C954"/>
    <w:rsid w:val="544B3BFC"/>
    <w:rsid w:val="544F49F3"/>
    <w:rsid w:val="5477C33E"/>
    <w:rsid w:val="5478350C"/>
    <w:rsid w:val="5483B7C6"/>
    <w:rsid w:val="548B8DA3"/>
    <w:rsid w:val="54A8DF0B"/>
    <w:rsid w:val="550BE4AB"/>
    <w:rsid w:val="5541E6BB"/>
    <w:rsid w:val="554F1D47"/>
    <w:rsid w:val="555E04B2"/>
    <w:rsid w:val="5586A370"/>
    <w:rsid w:val="55BC731F"/>
    <w:rsid w:val="55BD2E18"/>
    <w:rsid w:val="56296C67"/>
    <w:rsid w:val="5637650B"/>
    <w:rsid w:val="565ADE90"/>
    <w:rsid w:val="565E50AE"/>
    <w:rsid w:val="565F91CD"/>
    <w:rsid w:val="56635082"/>
    <w:rsid w:val="56690215"/>
    <w:rsid w:val="56A934BC"/>
    <w:rsid w:val="56BA039E"/>
    <w:rsid w:val="56BCA2DB"/>
    <w:rsid w:val="56BDF02A"/>
    <w:rsid w:val="56C214B8"/>
    <w:rsid w:val="56EB8DBA"/>
    <w:rsid w:val="571D6D5E"/>
    <w:rsid w:val="574FE713"/>
    <w:rsid w:val="57508883"/>
    <w:rsid w:val="577AA4F6"/>
    <w:rsid w:val="57855835"/>
    <w:rsid w:val="57D545E6"/>
    <w:rsid w:val="57F44DF5"/>
    <w:rsid w:val="580FAECC"/>
    <w:rsid w:val="582EA857"/>
    <w:rsid w:val="589AEE59"/>
    <w:rsid w:val="58A14E93"/>
    <w:rsid w:val="58A96B2B"/>
    <w:rsid w:val="590E79D8"/>
    <w:rsid w:val="5929B5A0"/>
    <w:rsid w:val="594135DD"/>
    <w:rsid w:val="59540E2B"/>
    <w:rsid w:val="5977A36B"/>
    <w:rsid w:val="59A9152B"/>
    <w:rsid w:val="59AB7878"/>
    <w:rsid w:val="59ABD13F"/>
    <w:rsid w:val="59AC1DD0"/>
    <w:rsid w:val="59D83561"/>
    <w:rsid w:val="59E849CD"/>
    <w:rsid w:val="5A0EE0E8"/>
    <w:rsid w:val="5A17A899"/>
    <w:rsid w:val="5A2C272A"/>
    <w:rsid w:val="5A300F47"/>
    <w:rsid w:val="5A3E7EAA"/>
    <w:rsid w:val="5A5FCF24"/>
    <w:rsid w:val="5A697E06"/>
    <w:rsid w:val="5AD7561F"/>
    <w:rsid w:val="5AE6D36E"/>
    <w:rsid w:val="5AE8078E"/>
    <w:rsid w:val="5B0BF683"/>
    <w:rsid w:val="5B196319"/>
    <w:rsid w:val="5B1D1570"/>
    <w:rsid w:val="5B61E299"/>
    <w:rsid w:val="5B67AAFC"/>
    <w:rsid w:val="5BBDE902"/>
    <w:rsid w:val="5BD84EE9"/>
    <w:rsid w:val="5BEB49BD"/>
    <w:rsid w:val="5BFB0583"/>
    <w:rsid w:val="5CDE2F31"/>
    <w:rsid w:val="5CF44FA8"/>
    <w:rsid w:val="5D466DF1"/>
    <w:rsid w:val="5D4877CB"/>
    <w:rsid w:val="5D9A6A4A"/>
    <w:rsid w:val="5D9E79D6"/>
    <w:rsid w:val="5DC7F877"/>
    <w:rsid w:val="5DE3A033"/>
    <w:rsid w:val="5EADCE7F"/>
    <w:rsid w:val="5EE791EF"/>
    <w:rsid w:val="5F11AEAD"/>
    <w:rsid w:val="5F1FC7E9"/>
    <w:rsid w:val="5F2FCC3D"/>
    <w:rsid w:val="5F6B89ED"/>
    <w:rsid w:val="5F6DE122"/>
    <w:rsid w:val="5F7767E8"/>
    <w:rsid w:val="5F8BCEEA"/>
    <w:rsid w:val="5FA77DAB"/>
    <w:rsid w:val="5FCA415E"/>
    <w:rsid w:val="600672AC"/>
    <w:rsid w:val="60307BDD"/>
    <w:rsid w:val="603B44DD"/>
    <w:rsid w:val="603F1720"/>
    <w:rsid w:val="60590BA3"/>
    <w:rsid w:val="60618A0B"/>
    <w:rsid w:val="607E49C4"/>
    <w:rsid w:val="60C8D01C"/>
    <w:rsid w:val="60E333BF"/>
    <w:rsid w:val="6106FF38"/>
    <w:rsid w:val="610CB365"/>
    <w:rsid w:val="6119CB71"/>
    <w:rsid w:val="612A45BE"/>
    <w:rsid w:val="61375804"/>
    <w:rsid w:val="613AE120"/>
    <w:rsid w:val="61C5FE34"/>
    <w:rsid w:val="61DB5863"/>
    <w:rsid w:val="62029B84"/>
    <w:rsid w:val="62174BED"/>
    <w:rsid w:val="62402B06"/>
    <w:rsid w:val="625B968D"/>
    <w:rsid w:val="62956CF7"/>
    <w:rsid w:val="629767CD"/>
    <w:rsid w:val="62B4E7B6"/>
    <w:rsid w:val="62B8C343"/>
    <w:rsid w:val="62CBD798"/>
    <w:rsid w:val="62DD2D13"/>
    <w:rsid w:val="633DE63A"/>
    <w:rsid w:val="637BC8DD"/>
    <w:rsid w:val="63914A8B"/>
    <w:rsid w:val="63C5B6DC"/>
    <w:rsid w:val="63C95432"/>
    <w:rsid w:val="63D8B75D"/>
    <w:rsid w:val="6416B4E1"/>
    <w:rsid w:val="643DE6B2"/>
    <w:rsid w:val="6451B912"/>
    <w:rsid w:val="64E6FB6B"/>
    <w:rsid w:val="650E5A87"/>
    <w:rsid w:val="65235663"/>
    <w:rsid w:val="654EA4EB"/>
    <w:rsid w:val="655D2C05"/>
    <w:rsid w:val="658D2320"/>
    <w:rsid w:val="65A8D242"/>
    <w:rsid w:val="65AE6D38"/>
    <w:rsid w:val="65D12AF0"/>
    <w:rsid w:val="65E251B2"/>
    <w:rsid w:val="65E5821A"/>
    <w:rsid w:val="65E9B0F8"/>
    <w:rsid w:val="65EF4F53"/>
    <w:rsid w:val="66278996"/>
    <w:rsid w:val="6629C7E7"/>
    <w:rsid w:val="663151D7"/>
    <w:rsid w:val="6635AC31"/>
    <w:rsid w:val="664123CF"/>
    <w:rsid w:val="6661C545"/>
    <w:rsid w:val="669EE9AB"/>
    <w:rsid w:val="66A2CD6B"/>
    <w:rsid w:val="66D92A5D"/>
    <w:rsid w:val="66F00C7F"/>
    <w:rsid w:val="67049A98"/>
    <w:rsid w:val="67255349"/>
    <w:rsid w:val="6725BCF1"/>
    <w:rsid w:val="6753340C"/>
    <w:rsid w:val="676FEB65"/>
    <w:rsid w:val="6783AAA1"/>
    <w:rsid w:val="6790E6C7"/>
    <w:rsid w:val="679A3701"/>
    <w:rsid w:val="67A186FB"/>
    <w:rsid w:val="67A2F8D9"/>
    <w:rsid w:val="67ADDC53"/>
    <w:rsid w:val="6820C6C1"/>
    <w:rsid w:val="68551AA4"/>
    <w:rsid w:val="6913614B"/>
    <w:rsid w:val="69596666"/>
    <w:rsid w:val="6975B5D7"/>
    <w:rsid w:val="69909700"/>
    <w:rsid w:val="699FF369"/>
    <w:rsid w:val="69B3E19E"/>
    <w:rsid w:val="69CBC4D6"/>
    <w:rsid w:val="6A03A1E4"/>
    <w:rsid w:val="6A3A8CDA"/>
    <w:rsid w:val="6A5D4E7E"/>
    <w:rsid w:val="6A919057"/>
    <w:rsid w:val="6AF88CA6"/>
    <w:rsid w:val="6B25991F"/>
    <w:rsid w:val="6B573F68"/>
    <w:rsid w:val="6B74BB8E"/>
    <w:rsid w:val="6BA68A8D"/>
    <w:rsid w:val="6C13AFC9"/>
    <w:rsid w:val="6C401453"/>
    <w:rsid w:val="6C478C84"/>
    <w:rsid w:val="6C48CE30"/>
    <w:rsid w:val="6C583CD0"/>
    <w:rsid w:val="6C6A0D70"/>
    <w:rsid w:val="6CAF7517"/>
    <w:rsid w:val="6CC7369C"/>
    <w:rsid w:val="6D02BF72"/>
    <w:rsid w:val="6D050187"/>
    <w:rsid w:val="6D3EBBD3"/>
    <w:rsid w:val="6D486A68"/>
    <w:rsid w:val="6DABFC84"/>
    <w:rsid w:val="6DAFD61E"/>
    <w:rsid w:val="6DD9540C"/>
    <w:rsid w:val="6DF80670"/>
    <w:rsid w:val="6E022D42"/>
    <w:rsid w:val="6E0891C7"/>
    <w:rsid w:val="6E573813"/>
    <w:rsid w:val="6E8C3D5E"/>
    <w:rsid w:val="6EDD88D7"/>
    <w:rsid w:val="6EE74EAE"/>
    <w:rsid w:val="6EFFDE88"/>
    <w:rsid w:val="6F063138"/>
    <w:rsid w:val="6F29B2BE"/>
    <w:rsid w:val="6F837A4E"/>
    <w:rsid w:val="6F945109"/>
    <w:rsid w:val="6FA38371"/>
    <w:rsid w:val="6FD6716D"/>
    <w:rsid w:val="6FDBCDD5"/>
    <w:rsid w:val="6FF603FE"/>
    <w:rsid w:val="6FFC9C19"/>
    <w:rsid w:val="700A09C7"/>
    <w:rsid w:val="702BE880"/>
    <w:rsid w:val="702BF278"/>
    <w:rsid w:val="70679CBA"/>
    <w:rsid w:val="70A0C34A"/>
    <w:rsid w:val="70C9B0A8"/>
    <w:rsid w:val="70CE72EA"/>
    <w:rsid w:val="70D45115"/>
    <w:rsid w:val="71135A66"/>
    <w:rsid w:val="711A0D8C"/>
    <w:rsid w:val="711B9A45"/>
    <w:rsid w:val="712F4959"/>
    <w:rsid w:val="7143EB1A"/>
    <w:rsid w:val="715C8E73"/>
    <w:rsid w:val="71A6F405"/>
    <w:rsid w:val="71B4CC55"/>
    <w:rsid w:val="71EB1905"/>
    <w:rsid w:val="71F5B829"/>
    <w:rsid w:val="7230712E"/>
    <w:rsid w:val="72372EF5"/>
    <w:rsid w:val="7244BAE9"/>
    <w:rsid w:val="7269B1FA"/>
    <w:rsid w:val="728DD5D8"/>
    <w:rsid w:val="729185EE"/>
    <w:rsid w:val="729E3571"/>
    <w:rsid w:val="72F7D1AD"/>
    <w:rsid w:val="7305FECD"/>
    <w:rsid w:val="735B875A"/>
    <w:rsid w:val="7383D4FC"/>
    <w:rsid w:val="739701C9"/>
    <w:rsid w:val="7399435D"/>
    <w:rsid w:val="740D2C9F"/>
    <w:rsid w:val="744A9F43"/>
    <w:rsid w:val="747EA63A"/>
    <w:rsid w:val="74BEED7F"/>
    <w:rsid w:val="74FE38F6"/>
    <w:rsid w:val="750C22AA"/>
    <w:rsid w:val="75320986"/>
    <w:rsid w:val="75344B47"/>
    <w:rsid w:val="753C1532"/>
    <w:rsid w:val="7543751C"/>
    <w:rsid w:val="7550675B"/>
    <w:rsid w:val="75528794"/>
    <w:rsid w:val="755C0F3F"/>
    <w:rsid w:val="755D23C5"/>
    <w:rsid w:val="756A3325"/>
    <w:rsid w:val="75AC05CD"/>
    <w:rsid w:val="75BA1ED1"/>
    <w:rsid w:val="75C4857A"/>
    <w:rsid w:val="75DEA170"/>
    <w:rsid w:val="75EB27CC"/>
    <w:rsid w:val="7604A54A"/>
    <w:rsid w:val="7621BE5D"/>
    <w:rsid w:val="764254F5"/>
    <w:rsid w:val="765067A6"/>
    <w:rsid w:val="76633859"/>
    <w:rsid w:val="76CB9FA8"/>
    <w:rsid w:val="76CE03C9"/>
    <w:rsid w:val="770F4EFC"/>
    <w:rsid w:val="7753B46F"/>
    <w:rsid w:val="77A021F7"/>
    <w:rsid w:val="77B23A39"/>
    <w:rsid w:val="783E1C78"/>
    <w:rsid w:val="7851E8B2"/>
    <w:rsid w:val="786155AF"/>
    <w:rsid w:val="787AA85D"/>
    <w:rsid w:val="787C74D2"/>
    <w:rsid w:val="78A8BD1A"/>
    <w:rsid w:val="78A9098A"/>
    <w:rsid w:val="78EDFA40"/>
    <w:rsid w:val="793D2354"/>
    <w:rsid w:val="796B9FC7"/>
    <w:rsid w:val="796CF83D"/>
    <w:rsid w:val="79821F79"/>
    <w:rsid w:val="79BE3449"/>
    <w:rsid w:val="7A17F3A8"/>
    <w:rsid w:val="7A67B395"/>
    <w:rsid w:val="7A9756CF"/>
    <w:rsid w:val="7AA9C8A3"/>
    <w:rsid w:val="7AF9095C"/>
    <w:rsid w:val="7B4B3A11"/>
    <w:rsid w:val="7B607D1F"/>
    <w:rsid w:val="7B7E5BD5"/>
    <w:rsid w:val="7B963C96"/>
    <w:rsid w:val="7B9F6933"/>
    <w:rsid w:val="7BB2787F"/>
    <w:rsid w:val="7BBFE373"/>
    <w:rsid w:val="7BCF444B"/>
    <w:rsid w:val="7BD36382"/>
    <w:rsid w:val="7C318B16"/>
    <w:rsid w:val="7C3DCCF3"/>
    <w:rsid w:val="7C3E8CA4"/>
    <w:rsid w:val="7C653064"/>
    <w:rsid w:val="7CB49F90"/>
    <w:rsid w:val="7CF3E5E2"/>
    <w:rsid w:val="7D0EA201"/>
    <w:rsid w:val="7D133712"/>
    <w:rsid w:val="7D174FDB"/>
    <w:rsid w:val="7D2DD7BF"/>
    <w:rsid w:val="7D38ED49"/>
    <w:rsid w:val="7D3A9910"/>
    <w:rsid w:val="7D4A6D56"/>
    <w:rsid w:val="7D6069FD"/>
    <w:rsid w:val="7DDAE91B"/>
    <w:rsid w:val="7DE7533A"/>
    <w:rsid w:val="7E0DBB7D"/>
    <w:rsid w:val="7E18BB2F"/>
    <w:rsid w:val="7E4864C4"/>
    <w:rsid w:val="7E55DDDA"/>
    <w:rsid w:val="7E6BED0E"/>
    <w:rsid w:val="7E9BE349"/>
    <w:rsid w:val="7EA78C81"/>
    <w:rsid w:val="7EC12A02"/>
    <w:rsid w:val="7EC37C31"/>
    <w:rsid w:val="7F8C09E3"/>
    <w:rsid w:val="7F8E54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9A6C20"/>
    <w:pPr>
      <w:keepNext/>
      <w:spacing w:after="120"/>
      <w:outlineLvl w:val="1"/>
    </w:pPr>
    <w:rPr>
      <w:b/>
      <w:i/>
      <w:sz w:val="28"/>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9A6C20"/>
    <w:rPr>
      <w:rFonts w:ascii="Calibri" w:hAnsi="Calibri" w:cs="Arial"/>
      <w:b/>
      <w:i/>
      <w:sz w:val="28"/>
      <w:szCs w:val="24"/>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customStyle="1" w:styleId="COMCICsubheading">
    <w:name w:val="COM CIC subheading"/>
    <w:basedOn w:val="Normal"/>
    <w:link w:val="COMCICsubheadingChar"/>
    <w:qFormat/>
    <w:rsid w:val="002C1390"/>
    <w:pPr>
      <w:keepNext/>
      <w:keepLines/>
      <w:spacing w:before="40"/>
      <w:jc w:val="center"/>
      <w:outlineLvl w:val="2"/>
    </w:pPr>
    <w:rPr>
      <w:rFonts w:asciiTheme="minorHAnsi" w:eastAsiaTheme="majorEastAsia" w:hAnsiTheme="minorHAnsi" w:cstheme="majorBidi"/>
      <w:b/>
      <w:color w:val="000000" w:themeColor="text1"/>
    </w:rPr>
  </w:style>
  <w:style w:type="character" w:customStyle="1" w:styleId="COMCICsubheadingChar">
    <w:name w:val="COM CIC subheading Char"/>
    <w:basedOn w:val="DefaultParagraphFont"/>
    <w:link w:val="COMCICsubheading"/>
    <w:rsid w:val="002C1390"/>
    <w:rPr>
      <w:rFonts w:asciiTheme="minorHAnsi" w:eastAsiaTheme="majorEastAsia" w:hAnsiTheme="minorHAnsi" w:cstheme="majorBidi"/>
      <w:b/>
      <w:color w:val="000000" w:themeColor="text1"/>
      <w:sz w:val="24"/>
      <w:szCs w:val="24"/>
    </w:rPr>
  </w:style>
  <w:style w:type="paragraph" w:styleId="Header">
    <w:name w:val="header"/>
    <w:basedOn w:val="Normal"/>
    <w:link w:val="HeaderChar"/>
    <w:uiPriority w:val="99"/>
    <w:qFormat/>
    <w:rsid w:val="00A51C91"/>
    <w:pPr>
      <w:keepNext/>
      <w:tabs>
        <w:tab w:val="center" w:pos="4513"/>
        <w:tab w:val="right" w:pos="9026"/>
      </w:tabs>
      <w:jc w:val="center"/>
    </w:pPr>
    <w:rPr>
      <w:i/>
      <w:iCs/>
    </w:rPr>
  </w:style>
  <w:style w:type="character" w:customStyle="1" w:styleId="HeaderChar">
    <w:name w:val="Header Char"/>
    <w:basedOn w:val="DefaultParagraphFont"/>
    <w:link w:val="Header"/>
    <w:uiPriority w:val="99"/>
    <w:rsid w:val="00A51C91"/>
    <w:rPr>
      <w:rFonts w:ascii="Calibri" w:hAnsi="Calibri" w:cs="Arial"/>
      <w:i/>
      <w:iCs/>
      <w:sz w:val="24"/>
      <w:szCs w:val="24"/>
    </w:rPr>
  </w:style>
  <w:style w:type="paragraph" w:customStyle="1" w:styleId="PageFooter">
    <w:name w:val="Page Footer"/>
    <w:basedOn w:val="Normal"/>
    <w:link w:val="PageFooterChar"/>
    <w:qFormat/>
    <w:rsid w:val="00AB5410"/>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AB5410"/>
    <w:rPr>
      <w:rFonts w:ascii="Calibri" w:hAnsi="Calibri" w:cs="Arial"/>
      <w:b/>
      <w:sz w:val="24"/>
      <w:szCs w:val="24"/>
    </w:rPr>
  </w:style>
  <w:style w:type="character" w:styleId="Hyperlink">
    <w:name w:val="Hyperlink"/>
    <w:basedOn w:val="DefaultParagraphFont"/>
    <w:uiPriority w:val="99"/>
    <w:unhideWhenUsed/>
    <w:rsid w:val="00B15185"/>
    <w:rPr>
      <w:color w:val="0000FF" w:themeColor="hyperlink"/>
      <w:u w:val="single"/>
    </w:rPr>
  </w:style>
  <w:style w:type="paragraph" w:customStyle="1" w:styleId="COMH2-numbered">
    <w:name w:val="COM H2 - numbered"/>
    <w:basedOn w:val="Heading2"/>
    <w:next w:val="COMBody"/>
    <w:link w:val="COMH2-numberedChar"/>
    <w:qFormat/>
    <w:rsid w:val="001C002E"/>
  </w:style>
  <w:style w:type="table" w:styleId="TableGrid">
    <w:name w:val="Table Grid"/>
    <w:aliases w:val="Summary box,Table Gridbeth,CMA Table Template,ASD Table,Tabellengitternetz 9pt,PBAC table,HTAtableplain,new style,Dossier table,Section 3- footnotes,Summary Table,MSD Table Grid,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FD585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07519D"/>
    <w:pPr>
      <w:numPr>
        <w:numId w:val="2"/>
      </w:numPr>
      <w:spacing w:after="120"/>
      <w:contextualSpacing/>
      <w:jc w:val="left"/>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
    <w:name w:val="Table Text"/>
    <w:link w:val="TableTextChar"/>
    <w:qFormat/>
    <w:rsid w:val="005C4B68"/>
    <w:pPr>
      <w:keepNext/>
      <w:keepLines/>
      <w:widowControl w:val="0"/>
    </w:pPr>
    <w:rPr>
      <w:rFonts w:ascii="Arial Narrow" w:eastAsiaTheme="majorEastAsia" w:hAnsi="Arial Narrow" w:cstheme="majorBidi"/>
      <w:bCs/>
      <w:szCs w:val="24"/>
    </w:rPr>
  </w:style>
  <w:style w:type="paragraph" w:customStyle="1" w:styleId="COMheadingnotforTOC">
    <w:name w:val="COM heading not for TOC"/>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COMH1-numbered">
    <w:name w:val="COM H1 - numbered"/>
    <w:next w:val="COMexecsummnumbered"/>
    <w:qFormat/>
    <w:rsid w:val="00292028"/>
    <w:pPr>
      <w:keepNext/>
      <w:numPr>
        <w:numId w:val="1"/>
      </w:numPr>
      <w:spacing w:before="240" w:after="120"/>
      <w:outlineLvl w:val="0"/>
    </w:pPr>
    <w:rPr>
      <w:rFonts w:asciiTheme="minorHAnsi" w:hAnsiTheme="minorHAnsi" w:cs="Arial"/>
      <w:b/>
      <w:snapToGrid w:val="0"/>
      <w:sz w:val="32"/>
      <w:szCs w:val="32"/>
    </w:rPr>
  </w:style>
  <w:style w:type="paragraph" w:customStyle="1" w:styleId="COMexecsummheadings">
    <w:name w:val="COM exec summ headings"/>
    <w:next w:val="COMH1-numbered"/>
    <w:link w:val="COMexecsummheadings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4C3B02"/>
    <w:rPr>
      <w:rFonts w:asciiTheme="minorHAnsi" w:eastAsiaTheme="majorEastAsia" w:hAnsiTheme="minorHAnsi" w:cstheme="majorBidi"/>
      <w:b/>
      <w:spacing w:val="5"/>
      <w:kern w:val="28"/>
      <w:sz w:val="36"/>
      <w:szCs w:val="36"/>
    </w:rPr>
  </w:style>
  <w:style w:type="paragraph" w:customStyle="1" w:styleId="COMexecsummnumbered">
    <w:name w:val="COM exec summ numbered"/>
    <w:link w:val="COMexecsummnumberedChar"/>
    <w:qFormat/>
    <w:rsid w:val="000825A4"/>
    <w:pPr>
      <w:numPr>
        <w:ilvl w:val="1"/>
        <w:numId w:val="1"/>
      </w:numPr>
      <w:spacing w:before="120" w:after="12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0825A4"/>
    <w:rPr>
      <w:rFonts w:asciiTheme="minorHAnsi" w:eastAsiaTheme="minorHAnsi" w:hAnsiTheme="minorHAnsi" w:cstheme="minorBidi"/>
      <w:sz w:val="24"/>
      <w:szCs w:val="22"/>
    </w:rPr>
  </w:style>
  <w:style w:type="character" w:customStyle="1" w:styleId="TableTextChar">
    <w:name w:val="Table Text Char"/>
    <w:basedOn w:val="DefaultParagraphFont"/>
    <w:link w:val="TableText"/>
    <w:rsid w:val="005C4B68"/>
    <w:rPr>
      <w:rFonts w:ascii="Arial Narrow" w:eastAsiaTheme="majorEastAsia" w:hAnsi="Arial Narrow" w:cstheme="majorBidi"/>
      <w:bCs/>
      <w:szCs w:val="24"/>
    </w:rPr>
  </w:style>
  <w:style w:type="paragraph" w:customStyle="1" w:styleId="COMBody">
    <w:name w:val="COM Body"/>
    <w:basedOn w:val="Normal"/>
    <w:link w:val="COMBodyChar"/>
    <w:qFormat/>
    <w:rsid w:val="0079172B"/>
  </w:style>
  <w:style w:type="character" w:customStyle="1" w:styleId="COMBodyChar">
    <w:name w:val="COM Body Char"/>
    <w:basedOn w:val="DefaultParagraphFont"/>
    <w:link w:val="COMBody"/>
    <w:rsid w:val="0079172B"/>
    <w:rPr>
      <w:rFonts w:ascii="Calibri" w:hAnsi="Calibri" w:cs="Arial"/>
      <w:sz w:val="24"/>
      <w:szCs w:val="24"/>
    </w:rPr>
  </w:style>
  <w:style w:type="paragraph" w:customStyle="1" w:styleId="COMbodybulletlist">
    <w:name w:val="COM body bullet list"/>
    <w:basedOn w:val="Normal"/>
    <w:link w:val="COMbodybulletlistChar"/>
    <w:qFormat/>
    <w:rsid w:val="001909D7"/>
    <w:pPr>
      <w:numPr>
        <w:numId w:val="4"/>
      </w:numPr>
      <w:contextualSpacing/>
    </w:pPr>
  </w:style>
  <w:style w:type="character" w:customStyle="1" w:styleId="COMbodybulletlistChar">
    <w:name w:val="COM body bullet list Char"/>
    <w:basedOn w:val="DefaultParagraphFont"/>
    <w:link w:val="COMbodybulletlist"/>
    <w:rsid w:val="0079172B"/>
    <w:rPr>
      <w:rFonts w:ascii="Calibri" w:hAnsi="Calibri" w:cs="Arial"/>
      <w:sz w:val="24"/>
      <w:szCs w:val="24"/>
    </w:rPr>
  </w:style>
  <w:style w:type="paragraph" w:customStyle="1" w:styleId="COMexecsummbulletlist">
    <w:name w:val="COM exec summ bullet list"/>
    <w:basedOn w:val="Normal"/>
    <w:link w:val="COMexecsummbulletlistChar"/>
    <w:qFormat/>
    <w:rsid w:val="0007519D"/>
    <w:pPr>
      <w:numPr>
        <w:numId w:val="5"/>
      </w:numPr>
      <w:spacing w:after="120"/>
    </w:pPr>
    <w:rPr>
      <w:rFonts w:asciiTheme="minorHAnsi" w:hAnsiTheme="minorHAnsi"/>
      <w:snapToGrid w:val="0"/>
    </w:rPr>
  </w:style>
  <w:style w:type="character" w:customStyle="1" w:styleId="COMexecsummbulletlistChar">
    <w:name w:val="COM exec summ bullet list Char"/>
    <w:basedOn w:val="DefaultParagraphFont"/>
    <w:link w:val="COMexecsummbulletlist"/>
    <w:rsid w:val="0007519D"/>
    <w:rPr>
      <w:rFonts w:asciiTheme="minorHAnsi" w:hAnsiTheme="minorHAnsi" w:cs="Arial"/>
      <w:snapToGrid w:val="0"/>
      <w:sz w:val="24"/>
      <w:szCs w:val="24"/>
    </w:rPr>
  </w:style>
  <w:style w:type="paragraph" w:customStyle="1" w:styleId="COMexecsummmainissuesbullets">
    <w:name w:val="COM exec summ main issues bullets"/>
    <w:basedOn w:val="Normal"/>
    <w:link w:val="COMexecsummmainissuesbulletsChar"/>
    <w:qFormat/>
    <w:rsid w:val="007C1A00"/>
    <w:pPr>
      <w:numPr>
        <w:numId w:val="6"/>
      </w:numPr>
      <w:spacing w:after="120"/>
    </w:pPr>
    <w:rPr>
      <w:rFonts w:asciiTheme="minorHAnsi" w:hAnsiTheme="minorHAnsi"/>
      <w:snapToGrid w:val="0"/>
    </w:rPr>
  </w:style>
  <w:style w:type="character" w:customStyle="1" w:styleId="COMexecsummmainissuesbulletsChar">
    <w:name w:val="COM exec summ main issues bullets Char"/>
    <w:basedOn w:val="DefaultParagraphFont"/>
    <w:link w:val="COMexecsummmainissuesbullets"/>
    <w:rsid w:val="007C1A00"/>
    <w:rPr>
      <w:rFonts w:asciiTheme="minorHAnsi" w:hAnsiTheme="minorHAnsi" w:cs="Arial"/>
      <w:snapToGrid w:val="0"/>
      <w:sz w:val="24"/>
      <w:szCs w:val="24"/>
    </w:rPr>
  </w:style>
  <w:style w:type="paragraph" w:customStyle="1" w:styleId="COMH1-non-numbered">
    <w:name w:val="COM H1 - non-numbered"/>
    <w:next w:val="Normal"/>
    <w:link w:val="COMH1-non-numberedChar"/>
    <w:qFormat/>
    <w:rsid w:val="0079172B"/>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79172B"/>
    <w:rPr>
      <w:rFonts w:asciiTheme="minorHAnsi" w:eastAsiaTheme="majorEastAsia" w:hAnsiTheme="minorHAnsi" w:cstheme="majorBidi"/>
      <w:b/>
      <w:spacing w:val="5"/>
      <w:kern w:val="28"/>
      <w:sz w:val="32"/>
      <w:szCs w:val="36"/>
    </w:rPr>
  </w:style>
  <w:style w:type="paragraph" w:customStyle="1" w:styleId="COMH2-non-numbered">
    <w:name w:val="COM H2 - non-numbered"/>
    <w:basedOn w:val="Heading2"/>
    <w:next w:val="Normal"/>
    <w:link w:val="COMH2-non-numberedChar"/>
    <w:qFormat/>
    <w:rsid w:val="0079172B"/>
    <w:pPr>
      <w:spacing w:before="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79172B"/>
    <w:rPr>
      <w:rFonts w:asciiTheme="minorHAnsi" w:eastAsiaTheme="majorEastAsia" w:hAnsiTheme="minorHAnsi" w:cstheme="majorBidi"/>
      <w:b/>
      <w:i/>
      <w:snapToGrid w:val="0"/>
      <w:spacing w:val="5"/>
      <w:kern w:val="28"/>
      <w:sz w:val="28"/>
      <w:szCs w:val="36"/>
    </w:rPr>
  </w:style>
  <w:style w:type="paragraph" w:customStyle="1" w:styleId="COMH3">
    <w:name w:val="COM H3"/>
    <w:basedOn w:val="Normal"/>
    <w:next w:val="Normal"/>
    <w:link w:val="COMH3Char"/>
    <w:qFormat/>
    <w:rsid w:val="000C095B"/>
    <w:pPr>
      <w:keepNext/>
      <w:spacing w:after="120"/>
      <w:outlineLvl w:val="2"/>
    </w:pPr>
    <w:rPr>
      <w:b/>
      <w:iCs/>
      <w:sz w:val="28"/>
    </w:rPr>
  </w:style>
  <w:style w:type="character" w:customStyle="1" w:styleId="COMH3Char">
    <w:name w:val="COM H3 Char"/>
    <w:basedOn w:val="DefaultParagraphFont"/>
    <w:link w:val="COMH3"/>
    <w:rsid w:val="000C095B"/>
    <w:rPr>
      <w:rFonts w:ascii="Calibri" w:hAnsi="Calibri" w:cs="Arial"/>
      <w:b/>
      <w:iCs/>
      <w:sz w:val="28"/>
      <w:szCs w:val="24"/>
    </w:rPr>
  </w:style>
  <w:style w:type="paragraph" w:customStyle="1" w:styleId="COMH4">
    <w:name w:val="COM H4"/>
    <w:basedOn w:val="Normal"/>
    <w:link w:val="COMH4Char"/>
    <w:qFormat/>
    <w:rsid w:val="00856F94"/>
    <w:pPr>
      <w:keepNext/>
      <w:spacing w:after="120"/>
      <w:outlineLvl w:val="3"/>
    </w:pPr>
    <w:rPr>
      <w:b/>
      <w:i/>
    </w:rPr>
  </w:style>
  <w:style w:type="character" w:customStyle="1" w:styleId="COMH4Char">
    <w:name w:val="COM H4 Char"/>
    <w:basedOn w:val="DefaultParagraphFont"/>
    <w:link w:val="COMH4"/>
    <w:rsid w:val="00856F94"/>
    <w:rPr>
      <w:rFonts w:ascii="Calibri" w:hAnsi="Calibri" w:cs="Arial"/>
      <w:b/>
      <w:i/>
      <w:sz w:val="24"/>
      <w:szCs w:val="24"/>
    </w:rPr>
  </w:style>
  <w:style w:type="paragraph" w:customStyle="1" w:styleId="COMTablefooter">
    <w:name w:val="COM Table footer"/>
    <w:basedOn w:val="Normal"/>
    <w:next w:val="Normal"/>
    <w:link w:val="COMTablefooterChar"/>
    <w:qFormat/>
    <w:rsid w:val="0079172B"/>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79172B"/>
    <w:rPr>
      <w:rFonts w:ascii="Arial Narrow" w:hAnsi="Arial Narrow" w:cs="Arial"/>
      <w:snapToGrid w:val="0"/>
      <w:sz w:val="18"/>
      <w:szCs w:val="22"/>
    </w:rPr>
  </w:style>
  <w:style w:type="paragraph" w:customStyle="1" w:styleId="COMTableheadingrow">
    <w:name w:val="COM Table heading row"/>
    <w:qFormat/>
    <w:rsid w:val="0079172B"/>
    <w:pPr>
      <w:keepNext/>
    </w:pPr>
    <w:rPr>
      <w:rFonts w:ascii="Arial Narrow" w:eastAsiaTheme="majorEastAsia" w:hAnsi="Arial Narrow"/>
      <w:b/>
      <w:szCs w:val="24"/>
      <w:lang w:val="en-US"/>
    </w:rPr>
  </w:style>
  <w:style w:type="paragraph" w:customStyle="1" w:styleId="COMTabletext">
    <w:name w:val="COM Table text"/>
    <w:link w:val="COMTabletextChar"/>
    <w:qFormat/>
    <w:rsid w:val="0079172B"/>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79172B"/>
    <w:rPr>
      <w:rFonts w:ascii="Arial Narrow" w:eastAsiaTheme="majorEastAsia" w:hAnsi="Arial Narrow" w:cstheme="majorBidi"/>
      <w:bCs/>
      <w:szCs w:val="24"/>
    </w:rPr>
  </w:style>
  <w:style w:type="paragraph" w:customStyle="1" w:styleId="COMtablefigcaption">
    <w:name w:val="COM table/fig caption"/>
    <w:next w:val="COMTableheadingrow"/>
    <w:link w:val="COMtablefigcaptionChar"/>
    <w:qFormat/>
    <w:rsid w:val="0079172B"/>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79172B"/>
    <w:rPr>
      <w:rFonts w:ascii="Arial Narrow" w:eastAsiaTheme="majorEastAsia" w:hAnsi="Arial Narrow" w:cstheme="majorBidi"/>
      <w:b/>
      <w:bCs/>
      <w:szCs w:val="24"/>
    </w:rPr>
  </w:style>
  <w:style w:type="paragraph" w:styleId="Footer">
    <w:name w:val="footer"/>
    <w:basedOn w:val="Normal"/>
    <w:link w:val="FooterChar"/>
    <w:uiPriority w:val="99"/>
    <w:unhideWhenUsed/>
    <w:rsid w:val="00E75584"/>
    <w:pPr>
      <w:tabs>
        <w:tab w:val="center" w:pos="4513"/>
        <w:tab w:val="right" w:pos="9026"/>
      </w:tabs>
    </w:pPr>
  </w:style>
  <w:style w:type="character" w:customStyle="1" w:styleId="FooterChar">
    <w:name w:val="Footer Char"/>
    <w:basedOn w:val="DefaultParagraphFont"/>
    <w:link w:val="Footer"/>
    <w:uiPriority w:val="99"/>
    <w:rsid w:val="00E75584"/>
    <w:rPr>
      <w:rFonts w:ascii="Calibri" w:hAnsi="Calibri" w:cs="Arial"/>
      <w:sz w:val="24"/>
      <w:szCs w:val="24"/>
    </w:rPr>
  </w:style>
  <w:style w:type="character" w:styleId="CommentReference">
    <w:name w:val="annotation reference"/>
    <w:aliases w:val="Table Title,References"/>
    <w:basedOn w:val="DefaultParagraphFont"/>
    <w:uiPriority w:val="99"/>
    <w:unhideWhenUsed/>
    <w:qFormat/>
    <w:rsid w:val="00015DD1"/>
    <w:rPr>
      <w:sz w:val="16"/>
      <w:szCs w:val="16"/>
    </w:rPr>
  </w:style>
  <w:style w:type="paragraph" w:styleId="CommentText">
    <w:name w:val="annotation text"/>
    <w:basedOn w:val="Normal"/>
    <w:link w:val="CommentTextChar"/>
    <w:uiPriority w:val="99"/>
    <w:unhideWhenUsed/>
    <w:rsid w:val="00015DD1"/>
    <w:rPr>
      <w:sz w:val="20"/>
      <w:szCs w:val="20"/>
    </w:rPr>
  </w:style>
  <w:style w:type="character" w:customStyle="1" w:styleId="CommentTextChar">
    <w:name w:val="Comment Text Char"/>
    <w:basedOn w:val="DefaultParagraphFont"/>
    <w:link w:val="CommentText"/>
    <w:uiPriority w:val="99"/>
    <w:rsid w:val="00015DD1"/>
    <w:rPr>
      <w:rFonts w:ascii="Calibri" w:hAnsi="Calibri" w:cs="Arial"/>
    </w:rPr>
  </w:style>
  <w:style w:type="paragraph" w:styleId="CommentSubject">
    <w:name w:val="annotation subject"/>
    <w:basedOn w:val="CommentText"/>
    <w:next w:val="CommentText"/>
    <w:link w:val="CommentSubjectChar"/>
    <w:uiPriority w:val="99"/>
    <w:semiHidden/>
    <w:unhideWhenUsed/>
    <w:rsid w:val="00015DD1"/>
    <w:rPr>
      <w:b/>
      <w:bCs/>
    </w:rPr>
  </w:style>
  <w:style w:type="character" w:customStyle="1" w:styleId="CommentSubjectChar">
    <w:name w:val="Comment Subject Char"/>
    <w:basedOn w:val="CommentTextChar"/>
    <w:link w:val="CommentSubject"/>
    <w:uiPriority w:val="99"/>
    <w:semiHidden/>
    <w:rsid w:val="00015DD1"/>
    <w:rPr>
      <w:rFonts w:ascii="Calibri" w:hAnsi="Calibri" w:cs="Arial"/>
      <w:b/>
      <w:bCs/>
    </w:rPr>
  </w:style>
  <w:style w:type="paragraph" w:styleId="ListParagraph">
    <w:name w:val="List Paragraph"/>
    <w:aliases w:val="Numbered para,BulletPoints,Styl moj,Akapit z listą1,Akapit z listą11,Bullets Points,List Paragraph1,Bullet1,Footnote,Bullet point,List Paragraph11,Recommendation,ES Paragraph,PBAC ES Paragraph,PBAC normal points,L,Bullet Point,FooterText"/>
    <w:basedOn w:val="Normal"/>
    <w:link w:val="ListParagraphChar"/>
    <w:uiPriority w:val="34"/>
    <w:qFormat/>
    <w:rsid w:val="00136E9F"/>
    <w:pPr>
      <w:ind w:left="720"/>
      <w:contextualSpacing/>
    </w:pPr>
  </w:style>
  <w:style w:type="paragraph" w:customStyle="1" w:styleId="Commentitalics">
    <w:name w:val="Comment (italics)"/>
    <w:basedOn w:val="Normal"/>
    <w:next w:val="Normal"/>
    <w:qFormat/>
    <w:rsid w:val="00902EA6"/>
    <w:rPr>
      <w:i/>
    </w:rPr>
  </w:style>
  <w:style w:type="paragraph" w:customStyle="1" w:styleId="TableFigureFooter">
    <w:name w:val="Table/Figure Footer"/>
    <w:basedOn w:val="Normal"/>
    <w:link w:val="TableFigureFooterChar"/>
    <w:qFormat/>
    <w:rsid w:val="009D5859"/>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9D5859"/>
    <w:rPr>
      <w:rFonts w:ascii="Arial Narrow" w:hAnsi="Arial Narrow" w:cs="Arial"/>
      <w:snapToGrid w:val="0"/>
      <w:sz w:val="18"/>
      <w:szCs w:val="22"/>
    </w:rPr>
  </w:style>
  <w:style w:type="paragraph" w:customStyle="1" w:styleId="TableHeading">
    <w:name w:val="Table Heading"/>
    <w:basedOn w:val="Normal"/>
    <w:link w:val="TableHeadingChar"/>
    <w:qFormat/>
    <w:rsid w:val="009D5859"/>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9D5859"/>
    <w:rPr>
      <w:rFonts w:ascii="Arial Narrow" w:eastAsiaTheme="minorHAnsi" w:hAnsi="Arial Narrow" w:cstheme="minorBidi"/>
      <w:b/>
      <w:szCs w:val="22"/>
      <w:lang w:eastAsia="en-US"/>
    </w:rPr>
  </w:style>
  <w:style w:type="character" w:customStyle="1" w:styleId="COMBodyChar0">
    <w:name w:val="COMBody Char"/>
    <w:basedOn w:val="DefaultParagraphFont"/>
    <w:link w:val="COMBody0"/>
    <w:locked/>
    <w:rsid w:val="00EE038D"/>
    <w:rPr>
      <w:rFonts w:ascii="Calibri" w:hAnsi="Calibri" w:cs="Arial"/>
      <w:sz w:val="24"/>
    </w:rPr>
  </w:style>
  <w:style w:type="paragraph" w:customStyle="1" w:styleId="COMBody0">
    <w:name w:val="COMBody"/>
    <w:basedOn w:val="Normal"/>
    <w:link w:val="COMBodyChar0"/>
    <w:qFormat/>
    <w:rsid w:val="00EE038D"/>
    <w:pPr>
      <w:widowControl w:val="0"/>
      <w:snapToGrid w:val="0"/>
    </w:pPr>
    <w:rPr>
      <w:szCs w:val="20"/>
    </w:rPr>
  </w:style>
  <w:style w:type="paragraph" w:customStyle="1" w:styleId="Tableheadingrow">
    <w:name w:val="Table heading row"/>
    <w:qFormat/>
    <w:rsid w:val="00116794"/>
    <w:pPr>
      <w:keepNext/>
    </w:pPr>
    <w:rPr>
      <w:rFonts w:ascii="Arial Narrow" w:eastAsiaTheme="majorEastAsia" w:hAnsi="Arial Narrow"/>
      <w:b/>
      <w:szCs w:val="24"/>
      <w:lang w:val="en-US"/>
    </w:rPr>
  </w:style>
  <w:style w:type="character" w:styleId="UnresolvedMention">
    <w:name w:val="Unresolved Mention"/>
    <w:basedOn w:val="DefaultParagraphFont"/>
    <w:uiPriority w:val="99"/>
    <w:unhideWhenUsed/>
    <w:rsid w:val="0088721B"/>
    <w:rPr>
      <w:color w:val="605E5C"/>
      <w:shd w:val="clear" w:color="auto" w:fill="E1DFDD"/>
    </w:rPr>
  </w:style>
  <w:style w:type="paragraph" w:styleId="TOC6">
    <w:name w:val="toc 6"/>
    <w:basedOn w:val="Normal"/>
    <w:next w:val="Normal"/>
    <w:autoRedefine/>
    <w:uiPriority w:val="39"/>
    <w:unhideWhenUsed/>
    <w:rsid w:val="003A357E"/>
    <w:pPr>
      <w:spacing w:after="100" w:line="259" w:lineRule="auto"/>
      <w:ind w:left="110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337E5"/>
    <w:pPr>
      <w:spacing w:after="100"/>
      <w:ind w:left="960"/>
    </w:pPr>
  </w:style>
  <w:style w:type="paragraph" w:styleId="ListBullet">
    <w:name w:val="List Bullet"/>
    <w:aliases w:val="zz List Bullet"/>
    <w:basedOn w:val="Normal"/>
    <w:link w:val="ListBulletChar"/>
    <w:unhideWhenUsed/>
    <w:rsid w:val="00AA1622"/>
    <w:pPr>
      <w:tabs>
        <w:tab w:val="num" w:pos="360"/>
      </w:tabs>
      <w:ind w:left="360" w:hanging="360"/>
      <w:contextualSpacing/>
    </w:pPr>
  </w:style>
  <w:style w:type="character" w:customStyle="1" w:styleId="ListParagraphChar">
    <w:name w:val="List Paragraph Char"/>
    <w:aliases w:val="Numbered para Char,BulletPoints Char,Styl moj Char,Akapit z listą1 Char,Akapit z listą11 Char,Bullets Points Char,List Paragraph1 Char,Bullet1 Char,Footnote Char,Bullet point Char,List Paragraph11 Char,Recommendation Char,L Char"/>
    <w:basedOn w:val="DefaultParagraphFont"/>
    <w:link w:val="ListParagraph"/>
    <w:uiPriority w:val="34"/>
    <w:qFormat/>
    <w:locked/>
    <w:rsid w:val="00AA1622"/>
    <w:rPr>
      <w:rFonts w:ascii="Calibri" w:hAnsi="Calibri" w:cs="Arial"/>
      <w:sz w:val="24"/>
      <w:szCs w:val="24"/>
    </w:rPr>
  </w:style>
  <w:style w:type="character" w:customStyle="1" w:styleId="ListBulletChar">
    <w:name w:val="List Bullet Char"/>
    <w:aliases w:val="zz List Bullet Char"/>
    <w:basedOn w:val="DefaultParagraphFont"/>
    <w:link w:val="ListBullet"/>
    <w:rsid w:val="00AA1622"/>
    <w:rPr>
      <w:rFonts w:ascii="Calibri" w:hAnsi="Calibri" w:cs="Arial"/>
      <w:sz w:val="24"/>
      <w:szCs w:val="24"/>
    </w:rPr>
  </w:style>
  <w:style w:type="character" w:customStyle="1" w:styleId="Heading1Char">
    <w:name w:val="Heading 1 Char"/>
    <w:basedOn w:val="DefaultParagraphFont"/>
    <w:link w:val="Heading1"/>
    <w:uiPriority w:val="1"/>
    <w:rsid w:val="00B2617D"/>
    <w:rPr>
      <w:rFonts w:ascii="Calibri" w:hAnsi="Calibri" w:cs="Arial"/>
      <w:b/>
      <w:caps/>
      <w:sz w:val="32"/>
      <w:szCs w:val="24"/>
    </w:rPr>
  </w:style>
  <w:style w:type="character" w:customStyle="1" w:styleId="Heading3Char">
    <w:name w:val="Heading 3 Char"/>
    <w:basedOn w:val="DefaultParagraphFont"/>
    <w:link w:val="Heading3"/>
    <w:uiPriority w:val="9"/>
    <w:rsid w:val="00B2617D"/>
    <w:rPr>
      <w:rFonts w:ascii="Calibri" w:hAnsi="Calibri" w:cs="Arial"/>
      <w:sz w:val="24"/>
      <w:szCs w:val="24"/>
      <w:u w:val="single"/>
    </w:rPr>
  </w:style>
  <w:style w:type="character" w:customStyle="1" w:styleId="Heading4Char">
    <w:name w:val="Heading 4 Char"/>
    <w:basedOn w:val="DefaultParagraphFont"/>
    <w:link w:val="Heading4"/>
    <w:uiPriority w:val="9"/>
    <w:rsid w:val="00B2617D"/>
    <w:rPr>
      <w:rFonts w:ascii="Calibri" w:hAnsi="Calibri" w:cs="Arial"/>
      <w:b/>
      <w:bCs/>
      <w:i/>
      <w:sz w:val="26"/>
      <w:szCs w:val="28"/>
    </w:rPr>
  </w:style>
  <w:style w:type="character" w:customStyle="1" w:styleId="Heading5Char">
    <w:name w:val="Heading 5 Char"/>
    <w:basedOn w:val="DefaultParagraphFont"/>
    <w:link w:val="Heading5"/>
    <w:uiPriority w:val="9"/>
    <w:rsid w:val="00B2617D"/>
    <w:rPr>
      <w:rFonts w:ascii="Calibri" w:hAnsi="Calibri" w:cs="Arial"/>
      <w:b/>
      <w:bCs/>
      <w:iCs/>
      <w:sz w:val="26"/>
      <w:szCs w:val="26"/>
    </w:rPr>
  </w:style>
  <w:style w:type="character" w:customStyle="1" w:styleId="Heading6Char">
    <w:name w:val="Heading 6 Char"/>
    <w:basedOn w:val="DefaultParagraphFont"/>
    <w:link w:val="Heading6"/>
    <w:uiPriority w:val="9"/>
    <w:rsid w:val="00B2617D"/>
    <w:rPr>
      <w:rFonts w:ascii="Calibri" w:hAnsi="Calibri" w:cs="Arial"/>
      <w:b/>
      <w:bCs/>
      <w:i/>
      <w:sz w:val="24"/>
      <w:szCs w:val="24"/>
    </w:rPr>
  </w:style>
  <w:style w:type="character" w:customStyle="1" w:styleId="COMH2-numberedChar">
    <w:name w:val="COM H2 - numbered Char"/>
    <w:basedOn w:val="Heading2Char"/>
    <w:link w:val="COMH2-numbered"/>
    <w:rsid w:val="00B2617D"/>
    <w:rPr>
      <w:rFonts w:ascii="Calibri" w:hAnsi="Calibri" w:cs="Arial"/>
      <w:b/>
      <w:i/>
      <w:sz w:val="28"/>
      <w:szCs w:val="24"/>
    </w:rPr>
  </w:style>
  <w:style w:type="paragraph" w:customStyle="1" w:styleId="zzBulletpoints">
    <w:name w:val="zz Bullet points"/>
    <w:basedOn w:val="ListParagraph"/>
    <w:rsid w:val="00B2617D"/>
    <w:pPr>
      <w:spacing w:after="120"/>
      <w:ind w:hanging="360"/>
    </w:pPr>
    <w:rPr>
      <w:rFonts w:asciiTheme="minorHAnsi" w:hAnsiTheme="minorHAnsi"/>
      <w:snapToGrid w:val="0"/>
    </w:rPr>
  </w:style>
  <w:style w:type="paragraph" w:customStyle="1" w:styleId="COMH1numbered">
    <w:name w:val="COM H1 numbered"/>
    <w:next w:val="Normal"/>
    <w:link w:val="COMH1numberedChar"/>
    <w:qFormat/>
    <w:rsid w:val="00B2617D"/>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link w:val="COMexecsumnumberedparaChar"/>
    <w:qFormat/>
    <w:rsid w:val="00B2617D"/>
    <w:pPr>
      <w:spacing w:after="120"/>
      <w:ind w:hanging="720"/>
      <w:contextualSpacing w:val="0"/>
    </w:pPr>
    <w:rPr>
      <w:rFonts w:asciiTheme="minorHAnsi" w:hAnsiTheme="minorHAnsi"/>
      <w:snapToGrid w:val="0"/>
    </w:rPr>
  </w:style>
  <w:style w:type="character" w:customStyle="1" w:styleId="COMexecsumnumberedparaChar">
    <w:name w:val="COM exec sum numbered para Char"/>
    <w:basedOn w:val="ListParagraphChar"/>
    <w:link w:val="COMexecsumnumberedpara"/>
    <w:rsid w:val="00B2617D"/>
    <w:rPr>
      <w:rFonts w:asciiTheme="minorHAnsi" w:hAnsiTheme="minorHAnsi" w:cs="Arial"/>
      <w:snapToGrid w:val="0"/>
      <w:sz w:val="24"/>
      <w:szCs w:val="24"/>
    </w:rPr>
  </w:style>
  <w:style w:type="character" w:customStyle="1" w:styleId="COMH1numberedChar">
    <w:name w:val="COM H1 numbered Char"/>
    <w:basedOn w:val="DefaultParagraphFont"/>
    <w:link w:val="COMH1numbered"/>
    <w:rsid w:val="00B2617D"/>
    <w:rPr>
      <w:rFonts w:asciiTheme="minorHAnsi" w:hAnsiTheme="minorHAnsi" w:cs="Arial"/>
      <w:b/>
      <w:snapToGrid w:val="0"/>
      <w:sz w:val="32"/>
      <w:szCs w:val="32"/>
    </w:rPr>
  </w:style>
  <w:style w:type="paragraph" w:styleId="TOC4">
    <w:name w:val="toc 4"/>
    <w:basedOn w:val="Normal"/>
    <w:next w:val="Normal"/>
    <w:autoRedefine/>
    <w:uiPriority w:val="39"/>
    <w:unhideWhenUsed/>
    <w:rsid w:val="00B2617D"/>
    <w:pPr>
      <w:spacing w:after="100" w:line="259" w:lineRule="auto"/>
      <w:ind w:left="66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2617D"/>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2617D"/>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2617D"/>
    <w:pPr>
      <w:spacing w:after="100" w:line="259" w:lineRule="auto"/>
      <w:ind w:left="1760"/>
      <w:jc w:val="left"/>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B2617D"/>
    <w:rPr>
      <w:color w:val="605E5C"/>
      <w:shd w:val="clear" w:color="auto" w:fill="E1DFDD"/>
    </w:rPr>
  </w:style>
  <w:style w:type="paragraph" w:customStyle="1" w:styleId="V50Instructions">
    <w:name w:val="V5.0 Instructions"/>
    <w:basedOn w:val="Normal"/>
    <w:link w:val="V50InstructionsChar"/>
    <w:qFormat/>
    <w:rsid w:val="00B2617D"/>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B2617D"/>
    <w:rPr>
      <w:rFonts w:asciiTheme="minorHAnsi" w:eastAsiaTheme="minorHAnsi" w:hAnsiTheme="minorHAnsi" w:cstheme="minorBidi"/>
      <w:color w:val="4BACC6" w:themeColor="accent5"/>
      <w:sz w:val="24"/>
      <w:szCs w:val="22"/>
      <w:lang w:eastAsia="en-US"/>
    </w:rPr>
  </w:style>
  <w:style w:type="paragraph" w:customStyle="1" w:styleId="5-SubSubSubHead">
    <w:name w:val="5-Sub Sub Sub Head"/>
    <w:basedOn w:val="Heading4"/>
    <w:qFormat/>
    <w:rsid w:val="00B2617D"/>
  </w:style>
  <w:style w:type="paragraph" w:customStyle="1" w:styleId="TableFooter">
    <w:name w:val="Table Footer"/>
    <w:basedOn w:val="Normal"/>
    <w:link w:val="TableFooterChar"/>
    <w:qFormat/>
    <w:rsid w:val="00B2617D"/>
    <w:pPr>
      <w:widowControl w:val="0"/>
    </w:pPr>
    <w:rPr>
      <w:rFonts w:ascii="Arial Narrow" w:hAnsi="Arial Narrow"/>
      <w:snapToGrid w:val="0"/>
      <w:sz w:val="18"/>
      <w:szCs w:val="22"/>
      <w:lang w:eastAsia="en-US"/>
    </w:rPr>
  </w:style>
  <w:style w:type="character" w:customStyle="1" w:styleId="TableFooterChar">
    <w:name w:val="Table Footer Char"/>
    <w:link w:val="TableFooter"/>
    <w:rsid w:val="00B2617D"/>
    <w:rPr>
      <w:rFonts w:ascii="Arial Narrow" w:hAnsi="Arial Narrow" w:cs="Arial"/>
      <w:snapToGrid w:val="0"/>
      <w:sz w:val="18"/>
      <w:szCs w:val="22"/>
      <w:lang w:eastAsia="en-US"/>
    </w:rPr>
  </w:style>
  <w:style w:type="paragraph" w:customStyle="1" w:styleId="Tabletext0">
    <w:name w:val="Table text"/>
    <w:basedOn w:val="Normal"/>
    <w:link w:val="TabletextChar0"/>
    <w:uiPriority w:val="2"/>
    <w:qFormat/>
    <w:rsid w:val="00B2617D"/>
    <w:pPr>
      <w:jc w:val="left"/>
    </w:pPr>
    <w:rPr>
      <w:rFonts w:ascii="Arial Narrow" w:hAnsi="Arial Narrow" w:cs="Times New Roman"/>
      <w:sz w:val="20"/>
      <w:szCs w:val="22"/>
      <w:lang w:eastAsia="en-US"/>
    </w:rPr>
  </w:style>
  <w:style w:type="character" w:customStyle="1" w:styleId="TabletextChar0">
    <w:name w:val="Table text Char"/>
    <w:link w:val="Tabletext0"/>
    <w:uiPriority w:val="2"/>
    <w:rsid w:val="00B2617D"/>
    <w:rPr>
      <w:rFonts w:ascii="Arial Narrow" w:hAnsi="Arial Narrow"/>
      <w:szCs w:val="22"/>
      <w:lang w:eastAsia="en-US"/>
    </w:rPr>
  </w:style>
  <w:style w:type="table" w:customStyle="1" w:styleId="Submissionstandard">
    <w:name w:val="Submission standard"/>
    <w:uiPriority w:val="99"/>
    <w:qFormat/>
    <w:rsid w:val="00B2617D"/>
    <w:rPr>
      <w:rFonts w:ascii="Arial Narrow" w:hAnsi="Arial Narrow"/>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Arial Black" w:hAnsi="Arial Black" w:cs="Times New Roman"/>
        <w:b/>
        <w:sz w:val="20"/>
      </w:rPr>
      <w:tblPr/>
      <w:tcPr>
        <w:shd w:val="clear" w:color="auto" w:fill="BFBFBF"/>
      </w:tcPr>
    </w:tblStylePr>
  </w:style>
  <w:style w:type="paragraph" w:customStyle="1" w:styleId="TableFigureCaption">
    <w:name w:val="Table/Figure Caption"/>
    <w:next w:val="Tableheadingrow"/>
    <w:link w:val="TableFigureCaptionChar"/>
    <w:qFormat/>
    <w:rsid w:val="00B2617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B2617D"/>
    <w:rPr>
      <w:rFonts w:ascii="Arial Narrow" w:eastAsiaTheme="majorEastAsia" w:hAnsi="Arial Narrow" w:cstheme="majorBidi"/>
      <w:b/>
      <w:bCs/>
      <w:szCs w:val="24"/>
    </w:rPr>
  </w:style>
  <w:style w:type="paragraph" w:styleId="Caption">
    <w:name w:val="caption"/>
    <w:aliases w:val="Caption Char1,Caption Char Char,Caption Char1 Char Char,Caption Char Char Char Char, Char Char Char Char Char,Caption Char Char1,Char Char Char Char Char,wcp_Caption,Légende_Legend,Alexion Caption,Bayer Caption,Table Caption,Caption-FUSA,c,c-,12"/>
    <w:basedOn w:val="COMtablefigcaption"/>
    <w:next w:val="Normal"/>
    <w:link w:val="CaptionChar"/>
    <w:unhideWhenUsed/>
    <w:qFormat/>
    <w:rsid w:val="00B2617D"/>
    <w:pPr>
      <w:keepNext w:val="0"/>
    </w:pPr>
  </w:style>
  <w:style w:type="character" w:customStyle="1" w:styleId="cf01">
    <w:name w:val="cf01"/>
    <w:basedOn w:val="DefaultParagraphFont"/>
    <w:rsid w:val="00B2617D"/>
    <w:rPr>
      <w:rFonts w:ascii="Segoe UI" w:hAnsi="Segoe UI" w:cs="Segoe UI" w:hint="default"/>
      <w:sz w:val="18"/>
      <w:szCs w:val="18"/>
    </w:rPr>
  </w:style>
  <w:style w:type="paragraph" w:customStyle="1" w:styleId="5-SubsectionSubheading">
    <w:name w:val="5-Subsection Subheading"/>
    <w:basedOn w:val="Heading3"/>
    <w:next w:val="Normal"/>
    <w:link w:val="5-SubsectionSubheadingChar"/>
    <w:qFormat/>
    <w:rsid w:val="00B2617D"/>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B2617D"/>
    <w:rPr>
      <w:rFonts w:asciiTheme="minorHAnsi" w:eastAsiaTheme="majorEastAsia" w:hAnsiTheme="minorHAnsi" w:cstheme="majorBidi"/>
      <w:b/>
      <w:color w:val="000000" w:themeColor="text1"/>
      <w:sz w:val="24"/>
      <w:szCs w:val="24"/>
    </w:rPr>
  </w:style>
  <w:style w:type="paragraph" w:customStyle="1" w:styleId="Default">
    <w:name w:val="Default"/>
    <w:rsid w:val="00B2617D"/>
    <w:pPr>
      <w:autoSpaceDE w:val="0"/>
      <w:autoSpaceDN w:val="0"/>
      <w:adjustRightInd w:val="0"/>
    </w:pPr>
    <w:rPr>
      <w:rFonts w:ascii="Cambria" w:hAnsi="Cambria" w:cs="Cambria"/>
      <w:color w:val="000000"/>
      <w:sz w:val="24"/>
      <w:szCs w:val="24"/>
    </w:rPr>
  </w:style>
  <w:style w:type="character" w:customStyle="1" w:styleId="UnresolvedMention2">
    <w:name w:val="Unresolved Mention2"/>
    <w:basedOn w:val="DefaultParagraphFont"/>
    <w:uiPriority w:val="99"/>
    <w:semiHidden/>
    <w:unhideWhenUsed/>
    <w:rsid w:val="00B2617D"/>
    <w:rPr>
      <w:color w:val="605E5C"/>
      <w:shd w:val="clear" w:color="auto" w:fill="E1DFDD"/>
    </w:rPr>
  </w:style>
  <w:style w:type="paragraph" w:styleId="FootnoteText">
    <w:name w:val="footnote text"/>
    <w:basedOn w:val="Normal"/>
    <w:link w:val="FootnoteTextChar"/>
    <w:unhideWhenUsed/>
    <w:rsid w:val="00B2617D"/>
    <w:rPr>
      <w:sz w:val="20"/>
      <w:szCs w:val="20"/>
    </w:rPr>
  </w:style>
  <w:style w:type="character" w:customStyle="1" w:styleId="FootnoteTextChar">
    <w:name w:val="Footnote Text Char"/>
    <w:basedOn w:val="DefaultParagraphFont"/>
    <w:link w:val="FootnoteText"/>
    <w:rsid w:val="00B2617D"/>
    <w:rPr>
      <w:rFonts w:ascii="Calibri" w:hAnsi="Calibri" w:cs="Arial"/>
    </w:rPr>
  </w:style>
  <w:style w:type="character" w:styleId="FootnoteReference">
    <w:name w:val="footnote reference"/>
    <w:basedOn w:val="DefaultParagraphFont"/>
    <w:semiHidden/>
    <w:unhideWhenUsed/>
    <w:rsid w:val="00B2617D"/>
    <w:rPr>
      <w:vertAlign w:val="superscript"/>
    </w:rPr>
  </w:style>
  <w:style w:type="paragraph" w:customStyle="1" w:styleId="TableParagraph">
    <w:name w:val="Table Paragraph"/>
    <w:basedOn w:val="Normal"/>
    <w:uiPriority w:val="1"/>
    <w:qFormat/>
    <w:rsid w:val="00046393"/>
    <w:pPr>
      <w:widowControl w:val="0"/>
      <w:autoSpaceDE w:val="0"/>
      <w:autoSpaceDN w:val="0"/>
      <w:spacing w:before="60"/>
      <w:ind w:left="14"/>
      <w:jc w:val="center"/>
    </w:pPr>
    <w:rPr>
      <w:rFonts w:ascii="Times New Roman" w:hAnsi="Times New Roman" w:cs="Times New Roman"/>
      <w:sz w:val="22"/>
      <w:szCs w:val="22"/>
      <w:lang w:val="en-US" w:eastAsia="en-US"/>
    </w:rPr>
  </w:style>
  <w:style w:type="paragraph" w:customStyle="1" w:styleId="Tablebold">
    <w:name w:val="Table bold"/>
    <w:basedOn w:val="Tabletext0"/>
    <w:qFormat/>
    <w:rsid w:val="00B92354"/>
    <w:pPr>
      <w:spacing w:line="276" w:lineRule="auto"/>
      <w:jc w:val="both"/>
    </w:pPr>
    <w:rPr>
      <w:rFonts w:asciiTheme="minorHAnsi" w:hAnsiTheme="minorHAnsi" w:cstheme="minorHAnsi"/>
      <w:b/>
      <w:bCs/>
      <w:szCs w:val="20"/>
    </w:rPr>
  </w:style>
  <w:style w:type="paragraph" w:customStyle="1" w:styleId="Tableheading0">
    <w:name w:val="Table heading"/>
    <w:basedOn w:val="Normal"/>
    <w:qFormat/>
    <w:rsid w:val="00B92354"/>
    <w:pPr>
      <w:widowControl w:val="0"/>
      <w:tabs>
        <w:tab w:val="left" w:pos="316"/>
        <w:tab w:val="left" w:pos="416"/>
        <w:tab w:val="left" w:pos="442"/>
        <w:tab w:val="left" w:pos="582"/>
      </w:tabs>
      <w:spacing w:line="276" w:lineRule="auto"/>
      <w:jc w:val="center"/>
    </w:pPr>
    <w:rPr>
      <w:rFonts w:eastAsia="Calibri"/>
      <w:b/>
      <w:sz w:val="20"/>
      <w:szCs w:val="20"/>
    </w:rPr>
  </w:style>
  <w:style w:type="paragraph" w:customStyle="1" w:styleId="Tablecentre">
    <w:name w:val="Table centre"/>
    <w:basedOn w:val="Tabletext0"/>
    <w:qFormat/>
    <w:rsid w:val="00B92354"/>
    <w:pPr>
      <w:tabs>
        <w:tab w:val="left" w:pos="416"/>
        <w:tab w:val="left" w:pos="582"/>
      </w:tabs>
      <w:spacing w:line="276" w:lineRule="auto"/>
      <w:jc w:val="center"/>
    </w:pPr>
    <w:rPr>
      <w:rFonts w:ascii="Calibri" w:eastAsia="Calibri" w:hAnsi="Calibri"/>
      <w:szCs w:val="20"/>
    </w:rPr>
  </w:style>
  <w:style w:type="table" w:customStyle="1" w:styleId="TableGrid2">
    <w:name w:val="Table Grid2"/>
    <w:basedOn w:val="TableNormal"/>
    <w:next w:val="TableGrid"/>
    <w:uiPriority w:val="39"/>
    <w:rsid w:val="00365BF6"/>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ctionBii1">
    <w:name w:val="Section Bii1"/>
    <w:uiPriority w:val="99"/>
    <w:rsid w:val="004135D4"/>
  </w:style>
  <w:style w:type="numbering" w:customStyle="1" w:styleId="SectionBii21">
    <w:name w:val="Section Bii21"/>
    <w:uiPriority w:val="99"/>
    <w:rsid w:val="004135D4"/>
    <w:pPr>
      <w:numPr>
        <w:numId w:val="8"/>
      </w:numPr>
    </w:pPr>
  </w:style>
  <w:style w:type="paragraph" w:customStyle="1" w:styleId="C-BodyText">
    <w:name w:val="C-Body Text"/>
    <w:link w:val="C-BodyTextChar"/>
    <w:rsid w:val="003C38C4"/>
    <w:pPr>
      <w:spacing w:before="120" w:after="120" w:line="280" w:lineRule="atLeast"/>
    </w:pPr>
    <w:rPr>
      <w:sz w:val="24"/>
      <w:lang w:val="en-US" w:eastAsia="en-US"/>
    </w:rPr>
  </w:style>
  <w:style w:type="character" w:customStyle="1" w:styleId="C-BodyTextChar">
    <w:name w:val="C-Body Text Char"/>
    <w:link w:val="C-BodyText"/>
    <w:rsid w:val="003C38C4"/>
    <w:rPr>
      <w:sz w:val="24"/>
      <w:lang w:val="en-US" w:eastAsia="en-US"/>
    </w:rPr>
  </w:style>
  <w:style w:type="character" w:customStyle="1" w:styleId="normaltextrun">
    <w:name w:val="normaltextrun"/>
    <w:basedOn w:val="DefaultParagraphFont"/>
    <w:rsid w:val="004F4504"/>
  </w:style>
  <w:style w:type="paragraph" w:customStyle="1" w:styleId="pf0">
    <w:name w:val="pf0"/>
    <w:basedOn w:val="Normal"/>
    <w:rsid w:val="005F49AC"/>
    <w:pPr>
      <w:spacing w:before="100" w:beforeAutospacing="1" w:after="100" w:afterAutospacing="1"/>
      <w:jc w:val="left"/>
    </w:pPr>
    <w:rPr>
      <w:rFonts w:ascii="Times New Roman" w:hAnsi="Times New Roman" w:cs="Times New Roman"/>
    </w:rPr>
  </w:style>
  <w:style w:type="numbering" w:customStyle="1" w:styleId="SectionBii11">
    <w:name w:val="Section Bii11"/>
    <w:uiPriority w:val="99"/>
    <w:rsid w:val="00F32FF1"/>
  </w:style>
  <w:style w:type="numbering" w:customStyle="1" w:styleId="SectionBii12">
    <w:name w:val="Section Bii12"/>
    <w:uiPriority w:val="99"/>
    <w:rsid w:val="00FF2136"/>
  </w:style>
  <w:style w:type="paragraph" w:customStyle="1" w:styleId="3-SubsectionHeading">
    <w:name w:val="3-Subsection Heading"/>
    <w:basedOn w:val="Heading2"/>
    <w:next w:val="Normal"/>
    <w:link w:val="3-SubsectionHeadingChar"/>
    <w:qFormat/>
    <w:rsid w:val="00C64EB1"/>
    <w:pPr>
      <w:spacing w:before="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C64EB1"/>
    <w:rPr>
      <w:rFonts w:asciiTheme="minorHAnsi" w:eastAsiaTheme="majorEastAsia" w:hAnsiTheme="minorHAnsi" w:cstheme="majorBidi"/>
      <w:b/>
      <w:i/>
      <w:color w:val="365F91" w:themeColor="accent1" w:themeShade="BF"/>
      <w:spacing w:val="5"/>
      <w:kern w:val="28"/>
      <w:sz w:val="28"/>
      <w:szCs w:val="36"/>
      <w:lang w:eastAsia="en-US"/>
    </w:rPr>
  </w:style>
  <w:style w:type="character" w:customStyle="1" w:styleId="CaptionChar">
    <w:name w:val="Caption Char"/>
    <w:aliases w:val="Caption Char1 Char,Caption Char Char Char,Caption Char1 Char Char Char,Caption Char Char Char Char Char, Char Char Char Char Char Char,Caption Char Char1 Char,Char Char Char Char Char Char,wcp_Caption Char,Légende_Legend Char,c Char,c- Char"/>
    <w:basedOn w:val="DefaultParagraphFont"/>
    <w:link w:val="Caption"/>
    <w:rsid w:val="0039611C"/>
    <w:rPr>
      <w:rFonts w:ascii="Arial Narrow" w:eastAsiaTheme="majorEastAsia" w:hAnsi="Arial Narrow" w:cstheme="majorBidi"/>
      <w:b/>
      <w:bCs/>
      <w:szCs w:val="24"/>
    </w:rPr>
  </w:style>
  <w:style w:type="character" w:styleId="Mention">
    <w:name w:val="Mention"/>
    <w:basedOn w:val="DefaultParagraphFont"/>
    <w:uiPriority w:val="99"/>
    <w:unhideWhenUsed/>
    <w:rsid w:val="00A236B2"/>
    <w:rPr>
      <w:color w:val="2B579A"/>
      <w:shd w:val="clear" w:color="auto" w:fill="E1DFDD"/>
    </w:rPr>
  </w:style>
  <w:style w:type="paragraph" w:customStyle="1" w:styleId="2-SectionHeading">
    <w:name w:val="2-Section Heading"/>
    <w:qFormat/>
    <w:rsid w:val="003020C3"/>
    <w:pPr>
      <w:keepNext/>
      <w:spacing w:before="240" w:after="120"/>
      <w:ind w:left="720" w:hanging="720"/>
      <w:outlineLvl w:val="0"/>
    </w:pPr>
    <w:rPr>
      <w:rFonts w:asciiTheme="minorHAnsi" w:hAnsiTheme="minorHAnsi" w:cs="Arial"/>
      <w:b/>
      <w:snapToGrid w:val="0"/>
      <w:sz w:val="32"/>
      <w:szCs w:val="32"/>
      <w:lang w:eastAsia="en-US"/>
    </w:rPr>
  </w:style>
  <w:style w:type="paragraph" w:customStyle="1" w:styleId="3-BodyText">
    <w:name w:val="3-Body Text"/>
    <w:link w:val="3-BodyTextChar"/>
    <w:qFormat/>
    <w:rsid w:val="003020C3"/>
    <w:pPr>
      <w:spacing w:after="120"/>
      <w:ind w:left="720" w:hanging="720"/>
      <w:jc w:val="both"/>
    </w:pPr>
    <w:rPr>
      <w:rFonts w:asciiTheme="minorHAnsi" w:eastAsiaTheme="minorHAnsi" w:hAnsiTheme="minorHAnsi" w:cstheme="minorBidi"/>
      <w:sz w:val="24"/>
      <w:szCs w:val="22"/>
      <w:lang w:eastAsia="en-US"/>
    </w:rPr>
  </w:style>
  <w:style w:type="character" w:customStyle="1" w:styleId="3-BodyTextChar">
    <w:name w:val="3-Body Text Char"/>
    <w:basedOn w:val="DefaultParagraphFont"/>
    <w:link w:val="3-BodyText"/>
    <w:rsid w:val="00DF3733"/>
    <w:rPr>
      <w:rFonts w:asciiTheme="minorHAnsi" w:eastAsiaTheme="minorHAnsi" w:hAnsiTheme="minorHAnsi" w:cstheme="minorBidi"/>
      <w:sz w:val="24"/>
      <w:szCs w:val="22"/>
      <w:lang w:eastAsia="en-US"/>
    </w:rPr>
  </w:style>
  <w:style w:type="numbering" w:customStyle="1" w:styleId="NoList1">
    <w:name w:val="No List1"/>
    <w:next w:val="NoList"/>
    <w:uiPriority w:val="99"/>
    <w:semiHidden/>
    <w:unhideWhenUsed/>
    <w:rsid w:val="008A494F"/>
  </w:style>
  <w:style w:type="paragraph" w:customStyle="1" w:styleId="Title1">
    <w:name w:val="Title1"/>
    <w:basedOn w:val="Normal"/>
    <w:next w:val="Normal"/>
    <w:uiPriority w:val="10"/>
    <w:qFormat/>
    <w:rsid w:val="008A494F"/>
    <w:pPr>
      <w:spacing w:after="80"/>
      <w:contextualSpacing/>
      <w:jc w:val="left"/>
    </w:pPr>
    <w:rPr>
      <w:rFonts w:ascii="Aptos Display" w:hAnsi="Aptos Display" w:cs="Times New Roman"/>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A494F"/>
    <w:rPr>
      <w:rFonts w:ascii="Aptos Display" w:hAnsi="Aptos Display"/>
      <w:spacing w:val="-10"/>
      <w:kern w:val="28"/>
      <w:sz w:val="56"/>
      <w:szCs w:val="56"/>
    </w:rPr>
  </w:style>
  <w:style w:type="paragraph" w:customStyle="1" w:styleId="Subtitle1">
    <w:name w:val="Subtitle1"/>
    <w:basedOn w:val="Normal"/>
    <w:next w:val="Normal"/>
    <w:uiPriority w:val="11"/>
    <w:qFormat/>
    <w:rsid w:val="008A494F"/>
    <w:pPr>
      <w:numPr>
        <w:ilvl w:val="1"/>
      </w:numPr>
      <w:spacing w:after="160" w:line="259" w:lineRule="auto"/>
      <w:jc w:val="left"/>
    </w:pPr>
    <w:rPr>
      <w:rFonts w:ascii="Aptos" w:hAnsi="Aptos" w:cs="Times New Roman"/>
      <w:color w:val="595959"/>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A494F"/>
    <w:rPr>
      <w:rFonts w:ascii="Aptos" w:hAnsi="Aptos"/>
      <w:color w:val="595959"/>
      <w:spacing w:val="15"/>
      <w:sz w:val="28"/>
      <w:szCs w:val="28"/>
    </w:rPr>
  </w:style>
  <w:style w:type="paragraph" w:customStyle="1" w:styleId="Quote1">
    <w:name w:val="Quote1"/>
    <w:basedOn w:val="Normal"/>
    <w:next w:val="Normal"/>
    <w:uiPriority w:val="29"/>
    <w:qFormat/>
    <w:rsid w:val="008A494F"/>
    <w:pPr>
      <w:spacing w:before="160" w:after="160" w:line="259" w:lineRule="auto"/>
      <w:jc w:val="center"/>
    </w:pPr>
    <w:rPr>
      <w:rFonts w:ascii="Times New Roman" w:eastAsia="Aptos" w:hAnsi="Times New Roman" w:cs="Times New Roman"/>
      <w:i/>
      <w:iCs/>
      <w:color w:val="404040"/>
      <w:kern w:val="2"/>
      <w:lang w:eastAsia="en-US"/>
      <w14:ligatures w14:val="standardContextual"/>
    </w:rPr>
  </w:style>
  <w:style w:type="character" w:customStyle="1" w:styleId="QuoteChar">
    <w:name w:val="Quote Char"/>
    <w:basedOn w:val="DefaultParagraphFont"/>
    <w:link w:val="Quote"/>
    <w:uiPriority w:val="29"/>
    <w:rsid w:val="008A494F"/>
    <w:rPr>
      <w:i/>
      <w:iCs/>
      <w:color w:val="404040"/>
    </w:rPr>
  </w:style>
  <w:style w:type="character" w:customStyle="1" w:styleId="IntenseEmphasis1">
    <w:name w:val="Intense Emphasis1"/>
    <w:basedOn w:val="DefaultParagraphFont"/>
    <w:uiPriority w:val="21"/>
    <w:qFormat/>
    <w:rsid w:val="008A494F"/>
    <w:rPr>
      <w:i/>
      <w:iCs/>
      <w:color w:val="0F4761"/>
    </w:rPr>
  </w:style>
  <w:style w:type="paragraph" w:customStyle="1" w:styleId="IntenseQuote1">
    <w:name w:val="Intense Quote1"/>
    <w:basedOn w:val="Normal"/>
    <w:next w:val="Normal"/>
    <w:uiPriority w:val="30"/>
    <w:qFormat/>
    <w:rsid w:val="008A494F"/>
    <w:pPr>
      <w:pBdr>
        <w:top w:val="single" w:sz="4" w:space="10" w:color="0F4761"/>
        <w:bottom w:val="single" w:sz="4" w:space="10" w:color="0F4761"/>
      </w:pBdr>
      <w:spacing w:before="360" w:after="360" w:line="259" w:lineRule="auto"/>
      <w:ind w:left="864" w:right="864"/>
      <w:jc w:val="center"/>
    </w:pPr>
    <w:rPr>
      <w:rFonts w:ascii="Times New Roman" w:eastAsia="Aptos" w:hAnsi="Times New Roman" w:cs="Times New Roman"/>
      <w:i/>
      <w:iCs/>
      <w:color w:val="0F4761"/>
      <w:kern w:val="2"/>
      <w:lang w:eastAsia="en-US"/>
      <w14:ligatures w14:val="standardContextual"/>
    </w:rPr>
  </w:style>
  <w:style w:type="character" w:customStyle="1" w:styleId="IntenseQuoteChar">
    <w:name w:val="Intense Quote Char"/>
    <w:basedOn w:val="DefaultParagraphFont"/>
    <w:link w:val="IntenseQuote"/>
    <w:uiPriority w:val="30"/>
    <w:rsid w:val="008A494F"/>
    <w:rPr>
      <w:i/>
      <w:iCs/>
      <w:color w:val="0F4761"/>
    </w:rPr>
  </w:style>
  <w:style w:type="character" w:customStyle="1" w:styleId="IntenseReference1">
    <w:name w:val="Intense Reference1"/>
    <w:basedOn w:val="DefaultParagraphFont"/>
    <w:uiPriority w:val="32"/>
    <w:qFormat/>
    <w:rsid w:val="008A494F"/>
    <w:rPr>
      <w:b/>
      <w:bCs/>
      <w:smallCaps/>
      <w:color w:val="0F4761"/>
      <w:spacing w:val="5"/>
    </w:rPr>
  </w:style>
  <w:style w:type="numbering" w:customStyle="1" w:styleId="NoList11">
    <w:name w:val="No List11"/>
    <w:next w:val="NoList"/>
    <w:uiPriority w:val="99"/>
    <w:semiHidden/>
    <w:unhideWhenUsed/>
    <w:rsid w:val="008A494F"/>
  </w:style>
  <w:style w:type="character" w:customStyle="1" w:styleId="Hyperlink1">
    <w:name w:val="Hyperlink1"/>
    <w:basedOn w:val="DefaultParagraphFont"/>
    <w:uiPriority w:val="99"/>
    <w:unhideWhenUsed/>
    <w:rsid w:val="008A494F"/>
    <w:rPr>
      <w:color w:val="0563C1"/>
      <w:u w:val="single"/>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A494F"/>
    <w:pPr>
      <w:spacing w:after="160" w:line="240" w:lineRule="exact"/>
      <w:jc w:val="left"/>
    </w:pPr>
    <w:rPr>
      <w:rFonts w:ascii="Verdana" w:eastAsia="MS Mincho" w:hAnsi="Verdana" w:cs="Verdana"/>
      <w:sz w:val="20"/>
      <w:szCs w:val="20"/>
      <w:lang w:val="en-US" w:eastAsia="en-US"/>
    </w:rPr>
  </w:style>
  <w:style w:type="character" w:customStyle="1" w:styleId="FollowedHyperlink1">
    <w:name w:val="FollowedHyperlink1"/>
    <w:basedOn w:val="DefaultParagraphFont"/>
    <w:uiPriority w:val="99"/>
    <w:semiHidden/>
    <w:unhideWhenUsed/>
    <w:rsid w:val="008A494F"/>
    <w:rPr>
      <w:color w:val="954F72"/>
      <w:u w:val="single"/>
    </w:rPr>
  </w:style>
  <w:style w:type="paragraph" w:styleId="NormalWeb">
    <w:name w:val="Normal (Web)"/>
    <w:basedOn w:val="Normal"/>
    <w:uiPriority w:val="99"/>
    <w:semiHidden/>
    <w:unhideWhenUsed/>
    <w:rsid w:val="008A494F"/>
    <w:pPr>
      <w:spacing w:before="100" w:beforeAutospacing="1" w:after="100" w:afterAutospacing="1"/>
      <w:jc w:val="left"/>
    </w:pPr>
    <w:rPr>
      <w:rFonts w:ascii="Times New Roman" w:hAnsi="Times New Roman" w:cs="Times New Roman"/>
    </w:rPr>
  </w:style>
  <w:style w:type="character" w:customStyle="1" w:styleId="text-widget">
    <w:name w:val="text-widget"/>
    <w:basedOn w:val="DefaultParagraphFont"/>
    <w:rsid w:val="008A494F"/>
  </w:style>
  <w:style w:type="table" w:customStyle="1" w:styleId="TableGrid1">
    <w:name w:val="Table Grid1"/>
    <w:basedOn w:val="TableNormal"/>
    <w:next w:val="TableGrid"/>
    <w:rsid w:val="008A494F"/>
    <w:tblPr/>
  </w:style>
  <w:style w:type="table" w:customStyle="1" w:styleId="TableGrid11">
    <w:name w:val="Table Grid11"/>
    <w:basedOn w:val="TableNormal"/>
    <w:next w:val="TableGrid"/>
    <w:uiPriority w:val="39"/>
    <w:rsid w:val="008A494F"/>
    <w:rPr>
      <w:rFonts w:eastAsia="Apto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A494F"/>
    <w:rPr>
      <w:rFonts w:eastAsia="Apto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Restrictiontemplate">
    <w:name w:val="PBAC Restriction template"/>
    <w:basedOn w:val="Normal"/>
    <w:qFormat/>
    <w:rsid w:val="008A494F"/>
    <w:pPr>
      <w:jc w:val="left"/>
    </w:pPr>
    <w:rPr>
      <w:rFonts w:ascii="Arial Narrow" w:hAnsi="Arial Narrow" w:cs="Times New Roman"/>
      <w:color w:val="333333"/>
      <w:sz w:val="18"/>
      <w:szCs w:val="18"/>
      <w:lang w:bidi="en-US"/>
      <w14:ligatures w14:val="standardContextual"/>
    </w:rPr>
  </w:style>
  <w:style w:type="character" w:customStyle="1" w:styleId="eop">
    <w:name w:val="eop"/>
    <w:basedOn w:val="DefaultParagraphFont"/>
    <w:rsid w:val="008A494F"/>
  </w:style>
  <w:style w:type="paragraph" w:customStyle="1" w:styleId="paragraph">
    <w:name w:val="paragraph"/>
    <w:basedOn w:val="Normal"/>
    <w:rsid w:val="008A494F"/>
    <w:pPr>
      <w:spacing w:before="100" w:beforeAutospacing="1" w:after="100" w:afterAutospacing="1"/>
      <w:jc w:val="left"/>
    </w:pPr>
    <w:rPr>
      <w:rFonts w:ascii="Times New Roman" w:hAnsi="Times New Roman" w:cs="Times New Roman"/>
    </w:rPr>
  </w:style>
  <w:style w:type="paragraph" w:styleId="Title">
    <w:name w:val="Title"/>
    <w:basedOn w:val="Normal"/>
    <w:next w:val="Normal"/>
    <w:link w:val="TitleChar"/>
    <w:uiPriority w:val="10"/>
    <w:rsid w:val="008A494F"/>
    <w:pPr>
      <w:contextualSpacing/>
    </w:pPr>
    <w:rPr>
      <w:rFonts w:ascii="Aptos Display" w:hAnsi="Aptos Display" w:cs="Times New Roman"/>
      <w:spacing w:val="-10"/>
      <w:kern w:val="28"/>
      <w:sz w:val="56"/>
      <w:szCs w:val="56"/>
    </w:rPr>
  </w:style>
  <w:style w:type="character" w:customStyle="1" w:styleId="TitleChar1">
    <w:name w:val="Title Char1"/>
    <w:basedOn w:val="DefaultParagraphFont"/>
    <w:rsid w:val="008A4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A494F"/>
    <w:pPr>
      <w:numPr>
        <w:ilvl w:val="1"/>
      </w:numPr>
      <w:spacing w:after="160"/>
    </w:pPr>
    <w:rPr>
      <w:rFonts w:ascii="Aptos" w:hAnsi="Aptos" w:cs="Times New Roman"/>
      <w:color w:val="595959"/>
      <w:spacing w:val="15"/>
      <w:sz w:val="28"/>
      <w:szCs w:val="28"/>
    </w:rPr>
  </w:style>
  <w:style w:type="character" w:customStyle="1" w:styleId="SubtitleChar1">
    <w:name w:val="Subtitle Char1"/>
    <w:basedOn w:val="DefaultParagraphFont"/>
    <w:rsid w:val="008A494F"/>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rsid w:val="008A494F"/>
    <w:pPr>
      <w:spacing w:before="200" w:after="160"/>
      <w:ind w:left="864" w:right="864"/>
      <w:jc w:val="center"/>
    </w:pPr>
    <w:rPr>
      <w:rFonts w:ascii="Times New Roman" w:hAnsi="Times New Roman" w:cs="Times New Roman"/>
      <w:i/>
      <w:iCs/>
      <w:color w:val="404040"/>
      <w:sz w:val="20"/>
      <w:szCs w:val="20"/>
    </w:rPr>
  </w:style>
  <w:style w:type="character" w:customStyle="1" w:styleId="QuoteChar1">
    <w:name w:val="Quote Char1"/>
    <w:basedOn w:val="DefaultParagraphFont"/>
    <w:uiPriority w:val="29"/>
    <w:rsid w:val="008A494F"/>
    <w:rPr>
      <w:rFonts w:ascii="Calibri" w:hAnsi="Calibri" w:cs="Arial"/>
      <w:i/>
      <w:iCs/>
      <w:color w:val="404040" w:themeColor="text1" w:themeTint="BF"/>
      <w:sz w:val="24"/>
      <w:szCs w:val="24"/>
    </w:rPr>
  </w:style>
  <w:style w:type="character" w:styleId="IntenseEmphasis">
    <w:name w:val="Intense Emphasis"/>
    <w:basedOn w:val="DefaultParagraphFont"/>
    <w:uiPriority w:val="21"/>
    <w:rsid w:val="008A494F"/>
    <w:rPr>
      <w:i/>
      <w:iCs/>
      <w:color w:val="4F81BD" w:themeColor="accent1"/>
    </w:rPr>
  </w:style>
  <w:style w:type="paragraph" w:styleId="IntenseQuote">
    <w:name w:val="Intense Quote"/>
    <w:basedOn w:val="Normal"/>
    <w:next w:val="Normal"/>
    <w:link w:val="IntenseQuoteChar"/>
    <w:uiPriority w:val="30"/>
    <w:rsid w:val="008A494F"/>
    <w:pPr>
      <w:pBdr>
        <w:top w:val="single" w:sz="4" w:space="10" w:color="4F81BD" w:themeColor="accent1"/>
        <w:bottom w:val="single" w:sz="4" w:space="10" w:color="4F81BD" w:themeColor="accent1"/>
      </w:pBdr>
      <w:spacing w:before="360" w:after="360"/>
      <w:ind w:left="864" w:right="864"/>
      <w:jc w:val="center"/>
    </w:pPr>
    <w:rPr>
      <w:rFonts w:ascii="Times New Roman" w:hAnsi="Times New Roman" w:cs="Times New Roman"/>
      <w:i/>
      <w:iCs/>
      <w:color w:val="0F4761"/>
      <w:sz w:val="20"/>
      <w:szCs w:val="20"/>
    </w:rPr>
  </w:style>
  <w:style w:type="character" w:customStyle="1" w:styleId="IntenseQuoteChar1">
    <w:name w:val="Intense Quote Char1"/>
    <w:basedOn w:val="DefaultParagraphFont"/>
    <w:uiPriority w:val="30"/>
    <w:rsid w:val="008A494F"/>
    <w:rPr>
      <w:rFonts w:ascii="Calibri" w:hAnsi="Calibri" w:cs="Arial"/>
      <w:i/>
      <w:iCs/>
      <w:color w:val="4F81BD" w:themeColor="accent1"/>
      <w:sz w:val="24"/>
      <w:szCs w:val="24"/>
    </w:rPr>
  </w:style>
  <w:style w:type="character" w:styleId="IntenseReference">
    <w:name w:val="Intense Reference"/>
    <w:basedOn w:val="DefaultParagraphFont"/>
    <w:uiPriority w:val="32"/>
    <w:rsid w:val="008A494F"/>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496">
      <w:bodyDiv w:val="1"/>
      <w:marLeft w:val="0"/>
      <w:marRight w:val="0"/>
      <w:marTop w:val="0"/>
      <w:marBottom w:val="0"/>
      <w:divBdr>
        <w:top w:val="none" w:sz="0" w:space="0" w:color="auto"/>
        <w:left w:val="none" w:sz="0" w:space="0" w:color="auto"/>
        <w:bottom w:val="none" w:sz="0" w:space="0" w:color="auto"/>
        <w:right w:val="none" w:sz="0" w:space="0" w:color="auto"/>
      </w:divBdr>
    </w:div>
    <w:div w:id="83307968">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40985891">
      <w:bodyDiv w:val="1"/>
      <w:marLeft w:val="0"/>
      <w:marRight w:val="0"/>
      <w:marTop w:val="0"/>
      <w:marBottom w:val="0"/>
      <w:divBdr>
        <w:top w:val="none" w:sz="0" w:space="0" w:color="auto"/>
        <w:left w:val="none" w:sz="0" w:space="0" w:color="auto"/>
        <w:bottom w:val="none" w:sz="0" w:space="0" w:color="auto"/>
        <w:right w:val="none" w:sz="0" w:space="0" w:color="auto"/>
      </w:divBdr>
    </w:div>
    <w:div w:id="270018282">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50367827">
      <w:bodyDiv w:val="1"/>
      <w:marLeft w:val="0"/>
      <w:marRight w:val="0"/>
      <w:marTop w:val="0"/>
      <w:marBottom w:val="0"/>
      <w:divBdr>
        <w:top w:val="none" w:sz="0" w:space="0" w:color="auto"/>
        <w:left w:val="none" w:sz="0" w:space="0" w:color="auto"/>
        <w:bottom w:val="none" w:sz="0" w:space="0" w:color="auto"/>
        <w:right w:val="none" w:sz="0" w:space="0" w:color="auto"/>
      </w:divBdr>
    </w:div>
    <w:div w:id="748236119">
      <w:bodyDiv w:val="1"/>
      <w:marLeft w:val="0"/>
      <w:marRight w:val="0"/>
      <w:marTop w:val="0"/>
      <w:marBottom w:val="0"/>
      <w:divBdr>
        <w:top w:val="none" w:sz="0" w:space="0" w:color="auto"/>
        <w:left w:val="none" w:sz="0" w:space="0" w:color="auto"/>
        <w:bottom w:val="none" w:sz="0" w:space="0" w:color="auto"/>
        <w:right w:val="none" w:sz="0" w:space="0" w:color="auto"/>
      </w:divBdr>
    </w:div>
    <w:div w:id="777068827">
      <w:bodyDiv w:val="1"/>
      <w:marLeft w:val="0"/>
      <w:marRight w:val="0"/>
      <w:marTop w:val="0"/>
      <w:marBottom w:val="0"/>
      <w:divBdr>
        <w:top w:val="none" w:sz="0" w:space="0" w:color="auto"/>
        <w:left w:val="none" w:sz="0" w:space="0" w:color="auto"/>
        <w:bottom w:val="none" w:sz="0" w:space="0" w:color="auto"/>
        <w:right w:val="none" w:sz="0" w:space="0" w:color="auto"/>
      </w:divBdr>
    </w:div>
    <w:div w:id="781806897">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51084639">
      <w:bodyDiv w:val="1"/>
      <w:marLeft w:val="0"/>
      <w:marRight w:val="0"/>
      <w:marTop w:val="0"/>
      <w:marBottom w:val="0"/>
      <w:divBdr>
        <w:top w:val="none" w:sz="0" w:space="0" w:color="auto"/>
        <w:left w:val="none" w:sz="0" w:space="0" w:color="auto"/>
        <w:bottom w:val="none" w:sz="0" w:space="0" w:color="auto"/>
        <w:right w:val="none" w:sz="0" w:space="0" w:color="auto"/>
      </w:divBdr>
      <w:divsChild>
        <w:div w:id="1189568250">
          <w:marLeft w:val="0"/>
          <w:marRight w:val="0"/>
          <w:marTop w:val="0"/>
          <w:marBottom w:val="0"/>
          <w:divBdr>
            <w:top w:val="none" w:sz="0" w:space="0" w:color="auto"/>
            <w:left w:val="none" w:sz="0" w:space="0" w:color="auto"/>
            <w:bottom w:val="none" w:sz="0" w:space="0" w:color="auto"/>
            <w:right w:val="none" w:sz="0" w:space="0" w:color="auto"/>
          </w:divBdr>
        </w:div>
      </w:divsChild>
    </w:div>
    <w:div w:id="962998125">
      <w:bodyDiv w:val="1"/>
      <w:marLeft w:val="0"/>
      <w:marRight w:val="0"/>
      <w:marTop w:val="0"/>
      <w:marBottom w:val="0"/>
      <w:divBdr>
        <w:top w:val="none" w:sz="0" w:space="0" w:color="auto"/>
        <w:left w:val="none" w:sz="0" w:space="0" w:color="auto"/>
        <w:bottom w:val="none" w:sz="0" w:space="0" w:color="auto"/>
        <w:right w:val="none" w:sz="0" w:space="0" w:color="auto"/>
      </w:divBdr>
    </w:div>
    <w:div w:id="1027412951">
      <w:bodyDiv w:val="1"/>
      <w:marLeft w:val="0"/>
      <w:marRight w:val="0"/>
      <w:marTop w:val="0"/>
      <w:marBottom w:val="0"/>
      <w:divBdr>
        <w:top w:val="none" w:sz="0" w:space="0" w:color="auto"/>
        <w:left w:val="none" w:sz="0" w:space="0" w:color="auto"/>
        <w:bottom w:val="none" w:sz="0" w:space="0" w:color="auto"/>
        <w:right w:val="none" w:sz="0" w:space="0" w:color="auto"/>
      </w:divBdr>
    </w:div>
    <w:div w:id="1077821189">
      <w:bodyDiv w:val="1"/>
      <w:marLeft w:val="0"/>
      <w:marRight w:val="0"/>
      <w:marTop w:val="0"/>
      <w:marBottom w:val="0"/>
      <w:divBdr>
        <w:top w:val="none" w:sz="0" w:space="0" w:color="auto"/>
        <w:left w:val="none" w:sz="0" w:space="0" w:color="auto"/>
        <w:bottom w:val="none" w:sz="0" w:space="0" w:color="auto"/>
        <w:right w:val="none" w:sz="0" w:space="0" w:color="auto"/>
      </w:divBdr>
    </w:div>
    <w:div w:id="1079444451">
      <w:bodyDiv w:val="1"/>
      <w:marLeft w:val="0"/>
      <w:marRight w:val="0"/>
      <w:marTop w:val="0"/>
      <w:marBottom w:val="0"/>
      <w:divBdr>
        <w:top w:val="none" w:sz="0" w:space="0" w:color="auto"/>
        <w:left w:val="none" w:sz="0" w:space="0" w:color="auto"/>
        <w:bottom w:val="none" w:sz="0" w:space="0" w:color="auto"/>
        <w:right w:val="none" w:sz="0" w:space="0" w:color="auto"/>
      </w:divBdr>
    </w:div>
    <w:div w:id="1144541246">
      <w:bodyDiv w:val="1"/>
      <w:marLeft w:val="0"/>
      <w:marRight w:val="0"/>
      <w:marTop w:val="0"/>
      <w:marBottom w:val="0"/>
      <w:divBdr>
        <w:top w:val="none" w:sz="0" w:space="0" w:color="auto"/>
        <w:left w:val="none" w:sz="0" w:space="0" w:color="auto"/>
        <w:bottom w:val="none" w:sz="0" w:space="0" w:color="auto"/>
        <w:right w:val="none" w:sz="0" w:space="0" w:color="auto"/>
      </w:divBdr>
      <w:divsChild>
        <w:div w:id="743844785">
          <w:marLeft w:val="0"/>
          <w:marRight w:val="0"/>
          <w:marTop w:val="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1431799">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480344205">
      <w:bodyDiv w:val="1"/>
      <w:marLeft w:val="0"/>
      <w:marRight w:val="0"/>
      <w:marTop w:val="0"/>
      <w:marBottom w:val="0"/>
      <w:divBdr>
        <w:top w:val="none" w:sz="0" w:space="0" w:color="auto"/>
        <w:left w:val="none" w:sz="0" w:space="0" w:color="auto"/>
        <w:bottom w:val="none" w:sz="0" w:space="0" w:color="auto"/>
        <w:right w:val="none" w:sz="0" w:space="0" w:color="auto"/>
      </w:divBdr>
    </w:div>
    <w:div w:id="1675372925">
      <w:bodyDiv w:val="1"/>
      <w:marLeft w:val="0"/>
      <w:marRight w:val="0"/>
      <w:marTop w:val="0"/>
      <w:marBottom w:val="0"/>
      <w:divBdr>
        <w:top w:val="none" w:sz="0" w:space="0" w:color="auto"/>
        <w:left w:val="none" w:sz="0" w:space="0" w:color="auto"/>
        <w:bottom w:val="none" w:sz="0" w:space="0" w:color="auto"/>
        <w:right w:val="none" w:sz="0" w:space="0" w:color="auto"/>
      </w:divBdr>
    </w:div>
    <w:div w:id="1922788682">
      <w:bodyDiv w:val="1"/>
      <w:marLeft w:val="0"/>
      <w:marRight w:val="0"/>
      <w:marTop w:val="0"/>
      <w:marBottom w:val="0"/>
      <w:divBdr>
        <w:top w:val="none" w:sz="0" w:space="0" w:color="auto"/>
        <w:left w:val="none" w:sz="0" w:space="0" w:color="auto"/>
        <w:bottom w:val="none" w:sz="0" w:space="0" w:color="auto"/>
        <w:right w:val="none" w:sz="0" w:space="0" w:color="auto"/>
      </w:divBdr>
      <w:divsChild>
        <w:div w:id="1453476525">
          <w:marLeft w:val="0"/>
          <w:marRight w:val="0"/>
          <w:marTop w:val="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13334638">
      <w:bodyDiv w:val="1"/>
      <w:marLeft w:val="0"/>
      <w:marRight w:val="0"/>
      <w:marTop w:val="0"/>
      <w:marBottom w:val="0"/>
      <w:divBdr>
        <w:top w:val="none" w:sz="0" w:space="0" w:color="auto"/>
        <w:left w:val="none" w:sz="0" w:space="0" w:color="auto"/>
        <w:bottom w:val="none" w:sz="0" w:space="0" w:color="auto"/>
        <w:right w:val="none" w:sz="0" w:space="0" w:color="auto"/>
      </w:divBdr>
      <w:divsChild>
        <w:div w:id="626156694">
          <w:marLeft w:val="0"/>
          <w:marRight w:val="0"/>
          <w:marTop w:val="0"/>
          <w:marBottom w:val="0"/>
          <w:divBdr>
            <w:top w:val="none" w:sz="0" w:space="0" w:color="auto"/>
            <w:left w:val="none" w:sz="0" w:space="0" w:color="auto"/>
            <w:bottom w:val="none" w:sz="0" w:space="0" w:color="auto"/>
            <w:right w:val="none" w:sz="0" w:space="0" w:color="auto"/>
          </w:divBdr>
        </w:div>
      </w:divsChild>
    </w:div>
    <w:div w:id="2019456621">
      <w:bodyDiv w:val="1"/>
      <w:marLeft w:val="0"/>
      <w:marRight w:val="0"/>
      <w:marTop w:val="0"/>
      <w:marBottom w:val="0"/>
      <w:divBdr>
        <w:top w:val="none" w:sz="0" w:space="0" w:color="auto"/>
        <w:left w:val="none" w:sz="0" w:space="0" w:color="auto"/>
        <w:bottom w:val="none" w:sz="0" w:space="0" w:color="auto"/>
        <w:right w:val="none" w:sz="0" w:space="0" w:color="auto"/>
      </w:divBdr>
    </w:div>
    <w:div w:id="2037731234">
      <w:bodyDiv w:val="1"/>
      <w:marLeft w:val="0"/>
      <w:marRight w:val="0"/>
      <w:marTop w:val="0"/>
      <w:marBottom w:val="0"/>
      <w:divBdr>
        <w:top w:val="none" w:sz="0" w:space="0" w:color="auto"/>
        <w:left w:val="none" w:sz="0" w:space="0" w:color="auto"/>
        <w:bottom w:val="none" w:sz="0" w:space="0" w:color="auto"/>
        <w:right w:val="none" w:sz="0" w:space="0" w:color="auto"/>
      </w:divBdr>
    </w:div>
    <w:div w:id="204998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asthenia.org/" TargetMode="External"/><Relationship Id="rId18" Type="http://schemas.openxmlformats.org/officeDocument/2006/relationships/hyperlink" Target="https://myasthenia.or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myasthenia.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riteria.blood.gov.au/NeurologicalScal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yasthenia.org/" TargetMode="External"/><Relationship Id="rId20" Type="http://schemas.openxmlformats.org/officeDocument/2006/relationships/hyperlink" Target="https://www.criteria.blood.gov.au/NeurologicalScal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yasthenia.or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yastheni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riteria.blood.gov.au/NeurologicalScales"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02/mus.2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Props1.xml><?xml version="1.0" encoding="utf-8"?>
<ds:datastoreItem xmlns:ds="http://schemas.openxmlformats.org/officeDocument/2006/customXml" ds:itemID="{CFCC7E77-5A65-4291-8E30-534B439D2A84}">
  <ds:schemaRefs>
    <ds:schemaRef ds:uri="http://schemas.microsoft.com/sharepoint/v3/contenttype/forms"/>
  </ds:schemaRefs>
</ds:datastoreItem>
</file>

<file path=customXml/itemProps2.xml><?xml version="1.0" encoding="utf-8"?>
<ds:datastoreItem xmlns:ds="http://schemas.openxmlformats.org/officeDocument/2006/customXml" ds:itemID="{610F37F4-D1EC-465F-B63C-491951A90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8C45E5-10BF-41B7-BD7B-7069CC1CECBC}">
  <ds:schemaRefs>
    <ds:schemaRef ds:uri="http://schemas.openxmlformats.org/officeDocument/2006/bibliography"/>
  </ds:schemaRefs>
</ds:datastoreItem>
</file>

<file path=customXml/itemProps4.xml><?xml version="1.0" encoding="utf-8"?>
<ds:datastoreItem xmlns:ds="http://schemas.openxmlformats.org/officeDocument/2006/customXml" ds:itemID="{4CF6DA6F-EC4B-4ED3-B79C-54E40F2EB7AF}">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http://www.w3.org/XML/1998/namespace"/>
    <ds:schemaRef ds:uri="72f95629-adac-4ec1-8738-e1cec852b92b"/>
    <ds:schemaRef ds:uri="7f856f8d-13b3-495a-9a4b-41f8182eda4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30701</Words>
  <Characters>168550</Characters>
  <Application>Microsoft Office Word</Application>
  <DocSecurity>0</DocSecurity>
  <Lines>4435</Lines>
  <Paragraphs>2587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196664</CharactersWithSpaces>
  <SharedDoc>false</SharedDoc>
  <HLinks>
    <vt:vector size="66" baseType="variant">
      <vt:variant>
        <vt:i4>7602280</vt:i4>
      </vt:variant>
      <vt:variant>
        <vt:i4>297</vt:i4>
      </vt:variant>
      <vt:variant>
        <vt:i4>0</vt:i4>
      </vt:variant>
      <vt:variant>
        <vt:i4>5</vt:i4>
      </vt:variant>
      <vt:variant>
        <vt:lpwstr>https://myasthenia.org/</vt:lpwstr>
      </vt:variant>
      <vt:variant>
        <vt:lpwstr/>
      </vt:variant>
      <vt:variant>
        <vt:i4>6488184</vt:i4>
      </vt:variant>
      <vt:variant>
        <vt:i4>294</vt:i4>
      </vt:variant>
      <vt:variant>
        <vt:i4>0</vt:i4>
      </vt:variant>
      <vt:variant>
        <vt:i4>5</vt:i4>
      </vt:variant>
      <vt:variant>
        <vt:lpwstr>https://www.criteria.blood.gov.au/NeurologicalScales</vt:lpwstr>
      </vt:variant>
      <vt:variant>
        <vt:lpwstr>MGC</vt:lpwstr>
      </vt:variant>
      <vt:variant>
        <vt:i4>7602280</vt:i4>
      </vt:variant>
      <vt:variant>
        <vt:i4>291</vt:i4>
      </vt:variant>
      <vt:variant>
        <vt:i4>0</vt:i4>
      </vt:variant>
      <vt:variant>
        <vt:i4>5</vt:i4>
      </vt:variant>
      <vt:variant>
        <vt:lpwstr>https://myasthenia.org/</vt:lpwstr>
      </vt:variant>
      <vt:variant>
        <vt:lpwstr/>
      </vt:variant>
      <vt:variant>
        <vt:i4>7602280</vt:i4>
      </vt:variant>
      <vt:variant>
        <vt:i4>276</vt:i4>
      </vt:variant>
      <vt:variant>
        <vt:i4>0</vt:i4>
      </vt:variant>
      <vt:variant>
        <vt:i4>5</vt:i4>
      </vt:variant>
      <vt:variant>
        <vt:lpwstr>https://myasthenia.org/</vt:lpwstr>
      </vt:variant>
      <vt:variant>
        <vt:lpwstr/>
      </vt:variant>
      <vt:variant>
        <vt:i4>6488184</vt:i4>
      </vt:variant>
      <vt:variant>
        <vt:i4>273</vt:i4>
      </vt:variant>
      <vt:variant>
        <vt:i4>0</vt:i4>
      </vt:variant>
      <vt:variant>
        <vt:i4>5</vt:i4>
      </vt:variant>
      <vt:variant>
        <vt:lpwstr>https://www.criteria.blood.gov.au/NeurologicalScales</vt:lpwstr>
      </vt:variant>
      <vt:variant>
        <vt:lpwstr>MGC</vt:lpwstr>
      </vt:variant>
      <vt:variant>
        <vt:i4>7602280</vt:i4>
      </vt:variant>
      <vt:variant>
        <vt:i4>270</vt:i4>
      </vt:variant>
      <vt:variant>
        <vt:i4>0</vt:i4>
      </vt:variant>
      <vt:variant>
        <vt:i4>5</vt:i4>
      </vt:variant>
      <vt:variant>
        <vt:lpwstr>https://myasthenia.org/</vt:lpwstr>
      </vt:variant>
      <vt:variant>
        <vt:lpwstr/>
      </vt:variant>
      <vt:variant>
        <vt:i4>7602280</vt:i4>
      </vt:variant>
      <vt:variant>
        <vt:i4>255</vt:i4>
      </vt:variant>
      <vt:variant>
        <vt:i4>0</vt:i4>
      </vt:variant>
      <vt:variant>
        <vt:i4>5</vt:i4>
      </vt:variant>
      <vt:variant>
        <vt:lpwstr>https://myasthenia.org/</vt:lpwstr>
      </vt:variant>
      <vt:variant>
        <vt:lpwstr/>
      </vt:variant>
      <vt:variant>
        <vt:i4>6488184</vt:i4>
      </vt:variant>
      <vt:variant>
        <vt:i4>252</vt:i4>
      </vt:variant>
      <vt:variant>
        <vt:i4>0</vt:i4>
      </vt:variant>
      <vt:variant>
        <vt:i4>5</vt:i4>
      </vt:variant>
      <vt:variant>
        <vt:lpwstr>https://www.criteria.blood.gov.au/NeurologicalScales</vt:lpwstr>
      </vt:variant>
      <vt:variant>
        <vt:lpwstr>MGC</vt:lpwstr>
      </vt:variant>
      <vt:variant>
        <vt:i4>7602280</vt:i4>
      </vt:variant>
      <vt:variant>
        <vt:i4>249</vt:i4>
      </vt:variant>
      <vt:variant>
        <vt:i4>0</vt:i4>
      </vt:variant>
      <vt:variant>
        <vt:i4>5</vt:i4>
      </vt:variant>
      <vt:variant>
        <vt:lpwstr>https://myasthenia.org/</vt:lpwstr>
      </vt:variant>
      <vt:variant>
        <vt:lpwstr/>
      </vt:variant>
      <vt:variant>
        <vt:i4>4259868</vt:i4>
      </vt:variant>
      <vt:variant>
        <vt:i4>186</vt:i4>
      </vt:variant>
      <vt:variant>
        <vt:i4>0</vt:i4>
      </vt:variant>
      <vt:variant>
        <vt:i4>5</vt:i4>
      </vt:variant>
      <vt:variant>
        <vt:lpwstr>https://www.blood.gov.au/report-issue-and-use-immunoglobulin</vt:lpwstr>
      </vt:variant>
      <vt:variant>
        <vt:lpwstr/>
      </vt:variant>
      <vt:variant>
        <vt:i4>5046338</vt:i4>
      </vt:variant>
      <vt:variant>
        <vt:i4>0</vt:i4>
      </vt:variant>
      <vt:variant>
        <vt:i4>0</vt:i4>
      </vt:variant>
      <vt:variant>
        <vt:i4>5</vt:i4>
      </vt:variant>
      <vt:variant>
        <vt:lpwstr>https://doi.org/10.1002/mus.21640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2026-02-02T05:49:00Z</dcterms:created>
  <dcterms:modified xsi:type="dcterms:W3CDTF">2026-03-19T22:37:00Z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y fmtid="{D5CDD505-2E9C-101B-9397-08002B2CF9AE}" pid="4" name="ClassificationContentMarkingHeaderShapeIds">
    <vt:lpwstr>a8572b3,5b7b5215,77afed39</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2ab811c0,44af9e67,144d7181</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2025-08-28T00:24:18Z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b143a2fb-fddf-4749-a7f6-668d2ea419a0</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8" name="docLang">
    <vt:lpwstr>en</vt:lpwstr>
  </property>
</Properties>
</file>