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58FF4" w14:textId="4D80FB60" w:rsidR="006A1AFC" w:rsidRPr="00885AB3" w:rsidRDefault="00F05FCF" w:rsidP="00120D61">
      <w:pPr>
        <w:pStyle w:val="1-MainHeading"/>
      </w:pPr>
      <w:bookmarkStart w:id="0" w:name="_Toc208998493"/>
      <w:bookmarkStart w:id="1" w:name="ES"/>
      <w:bookmarkStart w:id="2" w:name="_Toc341702043"/>
      <w:bookmarkStart w:id="3" w:name="_Toc380742621"/>
      <w:bookmarkStart w:id="4" w:name="_Toc380746188"/>
      <w:bookmarkStart w:id="5" w:name="_Toc380746314"/>
      <w:bookmarkStart w:id="6" w:name="_Toc380746595"/>
      <w:r w:rsidRPr="00885AB3">
        <w:rPr>
          <w:rFonts w:ascii="Calibri" w:hAnsi="Calibri" w:cs="Calibri"/>
        </w:rPr>
        <w:t>5</w:t>
      </w:r>
      <w:r w:rsidR="006A1AFC" w:rsidRPr="00885AB3">
        <w:rPr>
          <w:rFonts w:ascii="Calibri" w:hAnsi="Calibri" w:cs="Calibri"/>
        </w:rPr>
        <w:t>.</w:t>
      </w:r>
      <w:r w:rsidRPr="00885AB3">
        <w:rPr>
          <w:rFonts w:ascii="Calibri" w:hAnsi="Calibri" w:cs="Calibri"/>
        </w:rPr>
        <w:t>09</w:t>
      </w:r>
      <w:r w:rsidR="006A1AFC" w:rsidRPr="00885AB3">
        <w:rPr>
          <w:rFonts w:ascii="Calibri" w:hAnsi="Calibri" w:cs="Calibri"/>
        </w:rPr>
        <w:tab/>
        <w:t>RESPIRATORY SYNCYTIAL VIRUS VACCINE,</w:t>
      </w:r>
      <w:r w:rsidR="006A1AFC" w:rsidRPr="00885AB3">
        <w:rPr>
          <w:rFonts w:ascii="Calibri" w:hAnsi="Calibri" w:cs="Calibri"/>
        </w:rPr>
        <w:br/>
        <w:t>Solution for injection 50 µg in 0.5 mL pre</w:t>
      </w:r>
      <w:r w:rsidR="003D11BF" w:rsidRPr="00885AB3">
        <w:rPr>
          <w:rFonts w:ascii="Calibri" w:hAnsi="Calibri" w:cs="Calibri"/>
        </w:rPr>
        <w:noBreakHyphen/>
      </w:r>
      <w:r w:rsidR="006A1AFC" w:rsidRPr="00885AB3">
        <w:rPr>
          <w:rFonts w:ascii="Calibri" w:hAnsi="Calibri" w:cs="Calibri"/>
        </w:rPr>
        <w:t>filled syringe,</w:t>
      </w:r>
      <w:r w:rsidR="006A1AFC" w:rsidRPr="00885AB3">
        <w:rPr>
          <w:rFonts w:ascii="Calibri" w:hAnsi="Calibri" w:cs="Calibri"/>
        </w:rPr>
        <w:br/>
      </w:r>
      <w:proofErr w:type="spellStart"/>
      <w:r w:rsidR="006A1AFC" w:rsidRPr="00885AB3">
        <w:rPr>
          <w:rFonts w:ascii="Calibri" w:hAnsi="Calibri" w:cs="Calibri"/>
        </w:rPr>
        <w:t>mR</w:t>
      </w:r>
      <w:r w:rsidR="00FE74CD" w:rsidRPr="00885AB3">
        <w:rPr>
          <w:rFonts w:ascii="Calibri" w:hAnsi="Calibri" w:cs="Calibri"/>
        </w:rPr>
        <w:t>ESVIA</w:t>
      </w:r>
      <w:proofErr w:type="spellEnd"/>
      <w:r w:rsidR="006A1AFC" w:rsidRPr="00885AB3">
        <w:rPr>
          <w:rFonts w:ascii="Calibri" w:hAnsi="Calibri" w:cs="Calibri"/>
          <w:vertAlign w:val="superscript"/>
        </w:rPr>
        <w:t>®</w:t>
      </w:r>
      <w:r w:rsidR="006A1AFC" w:rsidRPr="00885AB3">
        <w:rPr>
          <w:rFonts w:ascii="Calibri" w:hAnsi="Calibri" w:cs="Calibri"/>
        </w:rPr>
        <w:t>,</w:t>
      </w:r>
      <w:r w:rsidR="006A1AFC" w:rsidRPr="00885AB3">
        <w:rPr>
          <w:rFonts w:ascii="Calibri" w:hAnsi="Calibri" w:cs="Calibri"/>
        </w:rPr>
        <w:br/>
        <w:t>MODERNA AUSTRALIA PTY LTD.</w:t>
      </w:r>
      <w:bookmarkEnd w:id="0"/>
      <w:r w:rsidR="006A1AFC" w:rsidRPr="00885AB3">
        <w:rPr>
          <w:rFonts w:ascii="Calibri" w:hAnsi="Calibri" w:cs="Calibri"/>
        </w:rPr>
        <w:t xml:space="preserve"> </w:t>
      </w:r>
    </w:p>
    <w:p w14:paraId="77704D9A" w14:textId="77777777" w:rsidR="006A1AFC" w:rsidRPr="00885AB3" w:rsidRDefault="006A1AFC" w:rsidP="00120D61">
      <w:pPr>
        <w:pStyle w:val="2-SectionHeading"/>
        <w:numPr>
          <w:ilvl w:val="0"/>
          <w:numId w:val="3"/>
        </w:numPr>
      </w:pPr>
      <w:bookmarkStart w:id="7" w:name="_Toc208998495"/>
      <w:r w:rsidRPr="00885AB3">
        <w:t>Purpose of submission</w:t>
      </w:r>
      <w:bookmarkEnd w:id="7"/>
    </w:p>
    <w:p w14:paraId="2A5DF612" w14:textId="0D2327F7" w:rsidR="006A1AFC" w:rsidRPr="00885AB3" w:rsidRDefault="006A1AFC" w:rsidP="00120D61">
      <w:pPr>
        <w:pStyle w:val="3-BodyText"/>
      </w:pPr>
      <w:bookmarkStart w:id="8" w:name="_Toc22897645"/>
      <w:r w:rsidRPr="00885AB3">
        <w:t xml:space="preserve">The Category </w:t>
      </w:r>
      <w:r w:rsidR="008F64BA" w:rsidRPr="00885AB3">
        <w:t xml:space="preserve">2 </w:t>
      </w:r>
      <w:r w:rsidRPr="00885AB3">
        <w:t xml:space="preserve">submission requested National Immunisation Program (NIP) listing of mRNA-1345 for the prevention of lower respiratory tract disease (LRTD) caused by respiratory syncytial virus (RSV) in individuals aged </w:t>
      </w:r>
      <w:r w:rsidR="00EF2FA4">
        <w:t xml:space="preserve">≥ </w:t>
      </w:r>
      <w:r w:rsidRPr="00885AB3">
        <w:t>75 years of age (YOA) and Aboriginal and Torres Strait Islander people aged 60-74 YOA.</w:t>
      </w:r>
    </w:p>
    <w:p w14:paraId="71B5E462" w14:textId="474201A9" w:rsidR="006A1AFC" w:rsidRPr="00885AB3" w:rsidRDefault="006A1AFC" w:rsidP="00120D61">
      <w:pPr>
        <w:pStyle w:val="3-BodyText"/>
      </w:pPr>
      <w:r w:rsidRPr="00885AB3">
        <w:t xml:space="preserve">Listing was requested </w:t>
      </w:r>
      <w:proofErr w:type="gramStart"/>
      <w:r w:rsidRPr="00885AB3">
        <w:t>on the basis of</w:t>
      </w:r>
      <w:proofErr w:type="gramEnd"/>
      <w:r w:rsidRPr="00885AB3">
        <w:t xml:space="preserve"> a cost-minimisation approach</w:t>
      </w:r>
      <w:r w:rsidR="000C65C8" w:rsidRPr="00885AB3">
        <w:t xml:space="preserve"> (CMA)</w:t>
      </w:r>
      <w:r w:rsidRPr="00885AB3">
        <w:t xml:space="preserve"> compared with </w:t>
      </w:r>
      <w:proofErr w:type="spellStart"/>
      <w:r w:rsidRPr="00885AB3">
        <w:t>RSVPreF</w:t>
      </w:r>
      <w:proofErr w:type="spellEnd"/>
      <w:r w:rsidR="008F64BA" w:rsidRPr="00885AB3">
        <w:t xml:space="preserve"> (</w:t>
      </w:r>
      <w:proofErr w:type="spellStart"/>
      <w:r w:rsidR="008F64BA" w:rsidRPr="00885AB3">
        <w:t>Abrysvo</w:t>
      </w:r>
      <w:proofErr w:type="spellEnd"/>
      <w:r w:rsidR="008F64BA" w:rsidRPr="00885AB3">
        <w:t>®)</w:t>
      </w:r>
      <w:r w:rsidR="002A346F" w:rsidRPr="00885AB3">
        <w:t xml:space="preserve"> (</w:t>
      </w:r>
      <w:r w:rsidR="002A346F" w:rsidRPr="00885AB3">
        <w:fldChar w:fldCharType="begin" w:fldLock="1"/>
      </w:r>
      <w:r w:rsidR="002A346F" w:rsidRPr="00885AB3">
        <w:instrText xml:space="preserve"> REF _Ref208933659 \h </w:instrText>
      </w:r>
      <w:r w:rsidR="005F5B2F" w:rsidRPr="00885AB3">
        <w:instrText xml:space="preserve"> \* MERGEFORMAT </w:instrText>
      </w:r>
      <w:r w:rsidR="002A346F" w:rsidRPr="00885AB3">
        <w:fldChar w:fldCharType="separate"/>
      </w:r>
      <w:r w:rsidR="005F109F" w:rsidRPr="00885AB3">
        <w:t>Table 1</w:t>
      </w:r>
      <w:r w:rsidR="002A346F" w:rsidRPr="00885AB3">
        <w:fldChar w:fldCharType="end"/>
      </w:r>
      <w:r w:rsidR="002A346F" w:rsidRPr="00885AB3">
        <w:t>)</w:t>
      </w:r>
      <w:r w:rsidRPr="00885AB3">
        <w:t xml:space="preserve">. </w:t>
      </w:r>
      <w:r w:rsidR="0009526A" w:rsidRPr="00885AB3">
        <w:t>The submission also presented a</w:t>
      </w:r>
      <w:r w:rsidR="006F52CA" w:rsidRPr="00885AB3">
        <w:t xml:space="preserve"> clinical</w:t>
      </w:r>
      <w:r w:rsidR="0009526A" w:rsidRPr="00885AB3">
        <w:t xml:space="preserve"> comparison with RSVPreF3 OA (</w:t>
      </w:r>
      <w:proofErr w:type="spellStart"/>
      <w:r w:rsidR="0009526A" w:rsidRPr="00885AB3">
        <w:t>Arexvy</w:t>
      </w:r>
      <w:proofErr w:type="spellEnd"/>
      <w:r w:rsidR="0009526A" w:rsidRPr="00885AB3">
        <w:t xml:space="preserve">®), which it described as a near market comparator. </w:t>
      </w:r>
      <w:r w:rsidR="00DE3F19" w:rsidRPr="00885AB3">
        <w:t xml:space="preserve">The </w:t>
      </w:r>
      <w:r w:rsidRPr="00885AB3">
        <w:t>submission presented a cost-utility analysis (CUA) comparing mRNA-1345 with no vaccine</w:t>
      </w:r>
      <w:r w:rsidR="00DE3F19" w:rsidRPr="00885AB3">
        <w:t xml:space="preserve">, noting that neither </w:t>
      </w:r>
      <w:proofErr w:type="spellStart"/>
      <w:r w:rsidR="00DE3F19" w:rsidRPr="00885AB3">
        <w:t>RSVPreF</w:t>
      </w:r>
      <w:proofErr w:type="spellEnd"/>
      <w:r w:rsidR="00DE3F19" w:rsidRPr="00885AB3">
        <w:t xml:space="preserve"> nor RSVPreF3 OA are currently listed on the NIP for the proposed indications</w:t>
      </w:r>
      <w:r w:rsidRPr="00885AB3">
        <w:t>.</w:t>
      </w:r>
    </w:p>
    <w:p w14:paraId="6A076741" w14:textId="12946B9B" w:rsidR="006A1AFC" w:rsidRPr="00885AB3" w:rsidRDefault="006A1AFC" w:rsidP="00120D61">
      <w:pPr>
        <w:pStyle w:val="TableFigureHeading"/>
        <w:keepLines/>
        <w:rPr>
          <w:rStyle w:val="CommentReference"/>
          <w:b/>
          <w:bCs w:val="0"/>
        </w:rPr>
      </w:pPr>
      <w:bookmarkStart w:id="9" w:name="_Ref208933659"/>
      <w:r w:rsidRPr="00885AB3">
        <w:lastRenderedPageBreak/>
        <w:t xml:space="preserve">Table </w:t>
      </w:r>
      <w:r w:rsidR="008A242D" w:rsidRPr="00885AB3">
        <w:fldChar w:fldCharType="begin" w:fldLock="1"/>
      </w:r>
      <w:r w:rsidR="008A242D" w:rsidRPr="00885AB3">
        <w:instrText xml:space="preserve"> SEQ Table \* ARABIC </w:instrText>
      </w:r>
      <w:r w:rsidR="008A242D" w:rsidRPr="00885AB3">
        <w:fldChar w:fldCharType="separate"/>
      </w:r>
      <w:r w:rsidR="00515933" w:rsidRPr="00885AB3">
        <w:t>1</w:t>
      </w:r>
      <w:r w:rsidR="008A242D" w:rsidRPr="00885AB3">
        <w:fldChar w:fldCharType="end"/>
      </w:r>
      <w:bookmarkEnd w:id="9"/>
      <w:r w:rsidRPr="00885AB3">
        <w:t>:</w:t>
      </w:r>
      <w:r w:rsidRPr="00885AB3">
        <w:rPr>
          <w:rStyle w:val="CommentReference"/>
        </w:rPr>
        <w:t xml:space="preserve"> </w:t>
      </w:r>
      <w:r w:rsidRPr="00885AB3">
        <w:rPr>
          <w:rStyle w:val="CommentReference"/>
          <w:b/>
          <w:bCs w:val="0"/>
        </w:rPr>
        <w:t>Key components of the clinical issue addressed by the submission (as stated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right w:w="115" w:type="dxa"/>
        </w:tblCellMar>
        <w:tblLook w:val="04A0" w:firstRow="1" w:lastRow="0" w:firstColumn="1" w:lastColumn="0" w:noHBand="0" w:noVBand="1"/>
        <w:tblCaption w:val="Table 1: Key components of the clinical issue addressed by the submission (as stated in the submission)"/>
      </w:tblPr>
      <w:tblGrid>
        <w:gridCol w:w="1389"/>
        <w:gridCol w:w="7628"/>
      </w:tblGrid>
      <w:tr w:rsidR="006A1AFC" w:rsidRPr="00885AB3" w14:paraId="060F3528" w14:textId="77777777" w:rsidTr="002A346F">
        <w:trPr>
          <w:trHeight w:val="300"/>
        </w:trPr>
        <w:tc>
          <w:tcPr>
            <w:tcW w:w="770" w:type="pct"/>
            <w:vAlign w:val="center"/>
            <w:hideMark/>
          </w:tcPr>
          <w:p w14:paraId="391118EE" w14:textId="77777777" w:rsidR="006A1AFC" w:rsidRPr="00885AB3" w:rsidRDefault="006A1AFC" w:rsidP="00120D61">
            <w:pPr>
              <w:pStyle w:val="In-tableHeading"/>
              <w:jc w:val="center"/>
              <w:rPr>
                <w:lang w:eastAsia="en-US"/>
              </w:rPr>
            </w:pPr>
            <w:r w:rsidRPr="00885AB3">
              <w:rPr>
                <w:lang w:eastAsia="en-US"/>
              </w:rPr>
              <w:t>Component</w:t>
            </w:r>
          </w:p>
        </w:tc>
        <w:tc>
          <w:tcPr>
            <w:tcW w:w="4230" w:type="pct"/>
            <w:vAlign w:val="center"/>
            <w:hideMark/>
          </w:tcPr>
          <w:p w14:paraId="5FF64703" w14:textId="77777777" w:rsidR="006A1AFC" w:rsidRPr="00885AB3" w:rsidRDefault="006A1AFC" w:rsidP="00120D61">
            <w:pPr>
              <w:pStyle w:val="In-tableHeading"/>
              <w:jc w:val="center"/>
              <w:rPr>
                <w:lang w:eastAsia="en-US"/>
              </w:rPr>
            </w:pPr>
            <w:r w:rsidRPr="00885AB3">
              <w:rPr>
                <w:lang w:eastAsia="en-US"/>
              </w:rPr>
              <w:t>Description</w:t>
            </w:r>
          </w:p>
        </w:tc>
      </w:tr>
      <w:tr w:rsidR="006A1AFC" w:rsidRPr="00885AB3" w14:paraId="030FB3EA" w14:textId="77777777" w:rsidTr="002A346F">
        <w:trPr>
          <w:trHeight w:val="380"/>
        </w:trPr>
        <w:tc>
          <w:tcPr>
            <w:tcW w:w="770" w:type="pct"/>
            <w:vAlign w:val="center"/>
            <w:hideMark/>
          </w:tcPr>
          <w:p w14:paraId="1076E4B3" w14:textId="77777777" w:rsidR="006A1AFC" w:rsidRPr="00885AB3" w:rsidRDefault="006A1AFC" w:rsidP="00120D61">
            <w:pPr>
              <w:pStyle w:val="TableText0"/>
              <w:keepNext/>
              <w:jc w:val="left"/>
              <w:rPr>
                <w:szCs w:val="20"/>
                <w:lang w:eastAsia="en-US"/>
              </w:rPr>
            </w:pPr>
            <w:r w:rsidRPr="00885AB3">
              <w:rPr>
                <w:szCs w:val="20"/>
                <w:lang w:eastAsia="en-US"/>
              </w:rPr>
              <w:t xml:space="preserve">Population </w:t>
            </w:r>
          </w:p>
        </w:tc>
        <w:tc>
          <w:tcPr>
            <w:tcW w:w="4230" w:type="pct"/>
            <w:vAlign w:val="center"/>
            <w:hideMark/>
          </w:tcPr>
          <w:p w14:paraId="3C305E1A" w14:textId="3C4B0A90" w:rsidR="006A1AFC" w:rsidRPr="00885AB3" w:rsidRDefault="006A1AFC" w:rsidP="00120D61">
            <w:pPr>
              <w:pStyle w:val="TableText0"/>
              <w:keepNext/>
              <w:jc w:val="left"/>
              <w:rPr>
                <w:szCs w:val="20"/>
              </w:rPr>
            </w:pPr>
            <w:r w:rsidRPr="00885AB3">
              <w:rPr>
                <w:szCs w:val="20"/>
              </w:rPr>
              <w:t xml:space="preserve">Adults aged </w:t>
            </w:r>
            <w:r w:rsidR="00EF2FA4">
              <w:rPr>
                <w:szCs w:val="20"/>
              </w:rPr>
              <w:t xml:space="preserve">≥ </w:t>
            </w:r>
            <w:r w:rsidRPr="00885AB3">
              <w:rPr>
                <w:szCs w:val="20"/>
              </w:rPr>
              <w:t xml:space="preserve">75 years; and </w:t>
            </w:r>
          </w:p>
          <w:p w14:paraId="2696D254" w14:textId="77777777" w:rsidR="006A1AFC" w:rsidRPr="00885AB3" w:rsidRDefault="006A1AFC" w:rsidP="00120D61">
            <w:pPr>
              <w:pStyle w:val="TableText0"/>
              <w:keepNext/>
              <w:jc w:val="left"/>
              <w:rPr>
                <w:szCs w:val="20"/>
              </w:rPr>
            </w:pPr>
            <w:r w:rsidRPr="00885AB3">
              <w:rPr>
                <w:szCs w:val="20"/>
              </w:rPr>
              <w:t>Aboriginal and Torres Strait Islander people aged 60-74 years</w:t>
            </w:r>
          </w:p>
        </w:tc>
      </w:tr>
      <w:tr w:rsidR="006A1AFC" w:rsidRPr="00885AB3" w14:paraId="70711CEE" w14:textId="77777777" w:rsidTr="002A346F">
        <w:trPr>
          <w:trHeight w:val="297"/>
        </w:trPr>
        <w:tc>
          <w:tcPr>
            <w:tcW w:w="770" w:type="pct"/>
            <w:vAlign w:val="center"/>
            <w:hideMark/>
          </w:tcPr>
          <w:p w14:paraId="0C75D1DB" w14:textId="77777777" w:rsidR="006A1AFC" w:rsidRPr="00885AB3" w:rsidRDefault="006A1AFC" w:rsidP="00120D61">
            <w:pPr>
              <w:pStyle w:val="TableText0"/>
              <w:keepNext/>
              <w:jc w:val="left"/>
              <w:rPr>
                <w:szCs w:val="20"/>
                <w:lang w:eastAsia="en-US"/>
              </w:rPr>
            </w:pPr>
            <w:r w:rsidRPr="00885AB3">
              <w:rPr>
                <w:szCs w:val="20"/>
                <w:lang w:eastAsia="en-US"/>
              </w:rPr>
              <w:t xml:space="preserve">Intervention </w:t>
            </w:r>
          </w:p>
        </w:tc>
        <w:tc>
          <w:tcPr>
            <w:tcW w:w="4230" w:type="pct"/>
            <w:vAlign w:val="center"/>
            <w:hideMark/>
          </w:tcPr>
          <w:p w14:paraId="1F007ABB" w14:textId="081D3236" w:rsidR="006A1AFC" w:rsidRPr="00885AB3" w:rsidRDefault="006A1AFC" w:rsidP="00120D61">
            <w:pPr>
              <w:pStyle w:val="TableText0"/>
              <w:keepNext/>
              <w:jc w:val="left"/>
              <w:rPr>
                <w:szCs w:val="20"/>
              </w:rPr>
            </w:pPr>
            <w:r w:rsidRPr="00885AB3">
              <w:rPr>
                <w:szCs w:val="20"/>
              </w:rPr>
              <w:t xml:space="preserve">mRNA-1345 </w:t>
            </w:r>
            <w:r w:rsidR="008F64BA" w:rsidRPr="00885AB3">
              <w:rPr>
                <w:szCs w:val="20"/>
              </w:rPr>
              <w:t>(</w:t>
            </w:r>
            <w:proofErr w:type="spellStart"/>
            <w:r w:rsidR="008F64BA" w:rsidRPr="00885AB3">
              <w:rPr>
                <w:szCs w:val="20"/>
              </w:rPr>
              <w:t>mRESVIA</w:t>
            </w:r>
            <w:proofErr w:type="spellEnd"/>
            <w:r w:rsidR="008F64BA" w:rsidRPr="00885AB3">
              <w:rPr>
                <w:szCs w:val="20"/>
              </w:rPr>
              <w:t xml:space="preserve">) </w:t>
            </w:r>
          </w:p>
        </w:tc>
      </w:tr>
      <w:tr w:rsidR="006A1AFC" w:rsidRPr="00885AB3" w14:paraId="0EF59442" w14:textId="77777777" w:rsidTr="002A346F">
        <w:trPr>
          <w:trHeight w:val="398"/>
        </w:trPr>
        <w:tc>
          <w:tcPr>
            <w:tcW w:w="770" w:type="pct"/>
            <w:vAlign w:val="center"/>
            <w:hideMark/>
          </w:tcPr>
          <w:p w14:paraId="3E6FD295" w14:textId="77777777" w:rsidR="006A1AFC" w:rsidRPr="00885AB3" w:rsidRDefault="006A1AFC" w:rsidP="00120D61">
            <w:pPr>
              <w:pStyle w:val="TableText0"/>
              <w:keepNext/>
              <w:jc w:val="left"/>
              <w:rPr>
                <w:szCs w:val="20"/>
                <w:lang w:eastAsia="en-US"/>
              </w:rPr>
            </w:pPr>
            <w:r w:rsidRPr="00885AB3">
              <w:rPr>
                <w:szCs w:val="20"/>
                <w:lang w:eastAsia="en-US"/>
              </w:rPr>
              <w:t xml:space="preserve">Comparators </w:t>
            </w:r>
          </w:p>
        </w:tc>
        <w:tc>
          <w:tcPr>
            <w:tcW w:w="4230" w:type="pct"/>
            <w:vAlign w:val="center"/>
            <w:hideMark/>
          </w:tcPr>
          <w:p w14:paraId="62EE6097" w14:textId="369959EF" w:rsidR="006A1AFC" w:rsidRPr="00885AB3" w:rsidRDefault="006A1AFC" w:rsidP="00120D61">
            <w:pPr>
              <w:pStyle w:val="TableText0"/>
              <w:keepNext/>
              <w:jc w:val="left"/>
              <w:rPr>
                <w:szCs w:val="20"/>
              </w:rPr>
            </w:pPr>
            <w:r w:rsidRPr="00885AB3">
              <w:rPr>
                <w:szCs w:val="20"/>
              </w:rPr>
              <w:t xml:space="preserve">Main comparator: </w:t>
            </w:r>
            <w:proofErr w:type="spellStart"/>
            <w:r w:rsidRPr="00885AB3">
              <w:rPr>
                <w:szCs w:val="20"/>
              </w:rPr>
              <w:t>RSVPreF</w:t>
            </w:r>
            <w:proofErr w:type="spellEnd"/>
            <w:r w:rsidR="008F64BA" w:rsidRPr="00885AB3">
              <w:rPr>
                <w:szCs w:val="20"/>
              </w:rPr>
              <w:t xml:space="preserve"> (</w:t>
            </w:r>
            <w:proofErr w:type="spellStart"/>
            <w:r w:rsidR="008F64BA" w:rsidRPr="00885AB3">
              <w:rPr>
                <w:szCs w:val="20"/>
              </w:rPr>
              <w:t>Abrysvo</w:t>
            </w:r>
            <w:proofErr w:type="spellEnd"/>
            <w:r w:rsidR="008F64BA" w:rsidRPr="00885AB3">
              <w:rPr>
                <w:szCs w:val="20"/>
              </w:rPr>
              <w:t>)</w:t>
            </w:r>
          </w:p>
          <w:p w14:paraId="6DFC5F1D" w14:textId="5E5048A8" w:rsidR="006A1AFC" w:rsidRPr="00885AB3" w:rsidRDefault="006A1AFC" w:rsidP="00120D61">
            <w:pPr>
              <w:pStyle w:val="TableText0"/>
              <w:keepNext/>
              <w:jc w:val="left"/>
              <w:rPr>
                <w:szCs w:val="20"/>
              </w:rPr>
            </w:pPr>
            <w:r w:rsidRPr="00885AB3">
              <w:rPr>
                <w:szCs w:val="20"/>
              </w:rPr>
              <w:t>Near market comparator: RSVPreF3 OA</w:t>
            </w:r>
            <w:r w:rsidR="008F64BA" w:rsidRPr="00885AB3">
              <w:rPr>
                <w:szCs w:val="20"/>
              </w:rPr>
              <w:t xml:space="preserve"> (</w:t>
            </w:r>
            <w:proofErr w:type="spellStart"/>
            <w:r w:rsidR="008F64BA" w:rsidRPr="00885AB3">
              <w:rPr>
                <w:szCs w:val="20"/>
              </w:rPr>
              <w:t>Arexvy</w:t>
            </w:r>
            <w:proofErr w:type="spellEnd"/>
            <w:r w:rsidR="008F64BA" w:rsidRPr="00885AB3">
              <w:rPr>
                <w:szCs w:val="20"/>
              </w:rPr>
              <w:t>)</w:t>
            </w:r>
          </w:p>
          <w:p w14:paraId="05D9C8B6" w14:textId="77777777" w:rsidR="006A1AFC" w:rsidRPr="00885AB3" w:rsidRDefault="006A1AFC" w:rsidP="00120D61">
            <w:pPr>
              <w:pStyle w:val="TableText0"/>
              <w:keepNext/>
              <w:jc w:val="left"/>
              <w:rPr>
                <w:szCs w:val="20"/>
              </w:rPr>
            </w:pPr>
            <w:r w:rsidRPr="00885AB3">
              <w:rPr>
                <w:szCs w:val="20"/>
              </w:rPr>
              <w:t>Supplementary comparator: No vaccination</w:t>
            </w:r>
          </w:p>
        </w:tc>
      </w:tr>
      <w:tr w:rsidR="006A1AFC" w:rsidRPr="00885AB3" w14:paraId="7F19E7A8" w14:textId="77777777" w:rsidTr="002A346F">
        <w:trPr>
          <w:trHeight w:val="663"/>
        </w:trPr>
        <w:tc>
          <w:tcPr>
            <w:tcW w:w="770" w:type="pct"/>
            <w:vAlign w:val="center"/>
            <w:hideMark/>
          </w:tcPr>
          <w:p w14:paraId="7E456CE8" w14:textId="77777777" w:rsidR="006A1AFC" w:rsidRPr="00885AB3" w:rsidRDefault="006A1AFC" w:rsidP="00120D61">
            <w:pPr>
              <w:pStyle w:val="TableText0"/>
              <w:keepNext/>
              <w:jc w:val="left"/>
              <w:rPr>
                <w:szCs w:val="20"/>
                <w:lang w:eastAsia="en-US"/>
              </w:rPr>
            </w:pPr>
            <w:r w:rsidRPr="00885AB3">
              <w:rPr>
                <w:szCs w:val="20"/>
                <w:lang w:eastAsia="en-US"/>
              </w:rPr>
              <w:t xml:space="preserve">Outcomes </w:t>
            </w:r>
          </w:p>
        </w:tc>
        <w:tc>
          <w:tcPr>
            <w:tcW w:w="4230" w:type="pct"/>
            <w:vAlign w:val="center"/>
          </w:tcPr>
          <w:p w14:paraId="487004AE" w14:textId="77777777" w:rsidR="006A1AFC" w:rsidRPr="00885AB3" w:rsidRDefault="006A1AFC" w:rsidP="00120D61">
            <w:pPr>
              <w:pStyle w:val="TableText0"/>
              <w:keepNext/>
              <w:jc w:val="left"/>
              <w:rPr>
                <w:szCs w:val="20"/>
              </w:rPr>
            </w:pPr>
            <w:r w:rsidRPr="00885AB3">
              <w:rPr>
                <w:szCs w:val="20"/>
              </w:rPr>
              <w:t>Efficacy:</w:t>
            </w:r>
          </w:p>
          <w:p w14:paraId="0C705F8E" w14:textId="61EDB784" w:rsidR="006A1AFC" w:rsidRPr="00885AB3" w:rsidRDefault="006A1AFC" w:rsidP="00120D61">
            <w:pPr>
              <w:pStyle w:val="TableText0"/>
              <w:keepNext/>
              <w:numPr>
                <w:ilvl w:val="0"/>
                <w:numId w:val="14"/>
              </w:numPr>
              <w:ind w:left="343"/>
              <w:jc w:val="left"/>
              <w:rPr>
                <w:szCs w:val="20"/>
              </w:rPr>
            </w:pPr>
            <w:r w:rsidRPr="00885AB3">
              <w:rPr>
                <w:szCs w:val="20"/>
              </w:rPr>
              <w:t xml:space="preserve">Primary endpoints: VE to prevent the first episode of RSV-LRTD with </w:t>
            </w:r>
            <w:r w:rsidR="00EF2FA4">
              <w:rPr>
                <w:szCs w:val="20"/>
              </w:rPr>
              <w:t xml:space="preserve">≥ </w:t>
            </w:r>
            <w:r w:rsidRPr="00885AB3">
              <w:rPr>
                <w:szCs w:val="20"/>
              </w:rPr>
              <w:t xml:space="preserve">2 or </w:t>
            </w:r>
            <w:r w:rsidR="00EF2FA4">
              <w:rPr>
                <w:szCs w:val="20"/>
              </w:rPr>
              <w:t xml:space="preserve">≥ </w:t>
            </w:r>
            <w:r w:rsidRPr="00885AB3">
              <w:rPr>
                <w:szCs w:val="20"/>
              </w:rPr>
              <w:t>3 symptoms (</w:t>
            </w:r>
            <w:r w:rsidR="00EF2FA4">
              <w:rPr>
                <w:szCs w:val="20"/>
              </w:rPr>
              <w:t xml:space="preserve">≥ </w:t>
            </w:r>
            <w:r w:rsidRPr="00885AB3">
              <w:rPr>
                <w:szCs w:val="20"/>
              </w:rPr>
              <w:t xml:space="preserve">14 days postinjection to </w:t>
            </w:r>
            <w:r w:rsidR="001C78D7">
              <w:rPr>
                <w:szCs w:val="20"/>
              </w:rPr>
              <w:t xml:space="preserve">&lt; </w:t>
            </w:r>
            <w:r w:rsidRPr="00885AB3">
              <w:rPr>
                <w:szCs w:val="20"/>
              </w:rPr>
              <w:t>12 months postinjection)</w:t>
            </w:r>
          </w:p>
          <w:p w14:paraId="4E0E83FB" w14:textId="4DB8DC15" w:rsidR="006A1AFC" w:rsidRPr="00885AB3" w:rsidRDefault="006A1AFC" w:rsidP="00120D61">
            <w:pPr>
              <w:pStyle w:val="TableText0"/>
              <w:keepNext/>
              <w:numPr>
                <w:ilvl w:val="0"/>
                <w:numId w:val="14"/>
              </w:numPr>
              <w:ind w:left="343"/>
              <w:jc w:val="left"/>
              <w:rPr>
                <w:szCs w:val="20"/>
              </w:rPr>
            </w:pPr>
            <w:r w:rsidRPr="00885AB3">
              <w:rPr>
                <w:szCs w:val="20"/>
              </w:rPr>
              <w:t>Secondary endpoints: VE to prevent the first episode of RSV-ARD (</w:t>
            </w:r>
            <w:r w:rsidR="00EF2FA4">
              <w:rPr>
                <w:szCs w:val="20"/>
              </w:rPr>
              <w:t xml:space="preserve">≥ </w:t>
            </w:r>
            <w:r w:rsidRPr="00885AB3">
              <w:rPr>
                <w:szCs w:val="20"/>
              </w:rPr>
              <w:t xml:space="preserve">14 days postinjection to </w:t>
            </w:r>
            <w:r w:rsidR="001C78D7">
              <w:rPr>
                <w:szCs w:val="20"/>
              </w:rPr>
              <w:t xml:space="preserve">&lt; </w:t>
            </w:r>
            <w:r w:rsidRPr="00885AB3">
              <w:rPr>
                <w:szCs w:val="20"/>
              </w:rPr>
              <w:t>12 months postinjection); VE to prevent first hospitalisation associated with RSV-ARD or RSV-LRTD (</w:t>
            </w:r>
            <w:r w:rsidR="00EF2FA4">
              <w:rPr>
                <w:szCs w:val="20"/>
              </w:rPr>
              <w:t xml:space="preserve">≥ </w:t>
            </w:r>
            <w:r w:rsidRPr="00885AB3">
              <w:rPr>
                <w:szCs w:val="20"/>
              </w:rPr>
              <w:t xml:space="preserve">14 days postinjection to </w:t>
            </w:r>
            <w:r w:rsidR="001C78D7">
              <w:rPr>
                <w:szCs w:val="20"/>
              </w:rPr>
              <w:t xml:space="preserve">&lt; </w:t>
            </w:r>
            <w:r w:rsidRPr="00885AB3">
              <w:rPr>
                <w:szCs w:val="20"/>
              </w:rPr>
              <w:t>12 months post</w:t>
            </w:r>
            <w:r w:rsidR="008604D0" w:rsidRPr="00885AB3">
              <w:rPr>
                <w:szCs w:val="20"/>
              </w:rPr>
              <w:t>-</w:t>
            </w:r>
            <w:r w:rsidRPr="00885AB3">
              <w:rPr>
                <w:szCs w:val="20"/>
              </w:rPr>
              <w:t>injection)</w:t>
            </w:r>
          </w:p>
          <w:p w14:paraId="1DEA1345" w14:textId="79DD49F6" w:rsidR="006A1AFC" w:rsidRPr="00885AB3" w:rsidRDefault="006A1AFC" w:rsidP="00120D61">
            <w:pPr>
              <w:pStyle w:val="TableText0"/>
              <w:keepNext/>
              <w:numPr>
                <w:ilvl w:val="0"/>
                <w:numId w:val="14"/>
              </w:numPr>
              <w:ind w:left="343"/>
              <w:jc w:val="left"/>
              <w:rPr>
                <w:szCs w:val="20"/>
              </w:rPr>
            </w:pPr>
            <w:r w:rsidRPr="00885AB3">
              <w:rPr>
                <w:szCs w:val="20"/>
              </w:rPr>
              <w:t>Other secondary endpoints: VE to prevent all-cause hospitalisation (</w:t>
            </w:r>
            <w:r w:rsidR="00EF2FA4">
              <w:rPr>
                <w:szCs w:val="20"/>
              </w:rPr>
              <w:t xml:space="preserve">≥ </w:t>
            </w:r>
            <w:r w:rsidRPr="00885AB3">
              <w:rPr>
                <w:szCs w:val="20"/>
              </w:rPr>
              <w:t xml:space="preserve">14 days postinjection to </w:t>
            </w:r>
            <w:r w:rsidR="001C78D7">
              <w:rPr>
                <w:szCs w:val="20"/>
              </w:rPr>
              <w:t xml:space="preserve">&lt; </w:t>
            </w:r>
            <w:r w:rsidRPr="00885AB3">
              <w:rPr>
                <w:szCs w:val="20"/>
              </w:rPr>
              <w:t>12 months postinjection); VE to prevent all-cause RSV-LRTD (</w:t>
            </w:r>
            <w:r w:rsidR="00EF2FA4">
              <w:rPr>
                <w:szCs w:val="20"/>
              </w:rPr>
              <w:t xml:space="preserve">≥ </w:t>
            </w:r>
            <w:r w:rsidRPr="00885AB3">
              <w:rPr>
                <w:szCs w:val="20"/>
              </w:rPr>
              <w:t xml:space="preserve">14 days postinjection to </w:t>
            </w:r>
            <w:r w:rsidR="001C78D7">
              <w:rPr>
                <w:szCs w:val="20"/>
              </w:rPr>
              <w:t xml:space="preserve">&lt; </w:t>
            </w:r>
            <w:r w:rsidRPr="00885AB3">
              <w:rPr>
                <w:szCs w:val="20"/>
              </w:rPr>
              <w:t xml:space="preserve">12 months postinjection); VE to prevent first episode of RSV-LRTD </w:t>
            </w:r>
            <w:r w:rsidR="00EF2FA4">
              <w:rPr>
                <w:szCs w:val="20"/>
              </w:rPr>
              <w:t xml:space="preserve">≥ </w:t>
            </w:r>
            <w:r w:rsidRPr="00885AB3">
              <w:rPr>
                <w:szCs w:val="20"/>
              </w:rPr>
              <w:t xml:space="preserve">2 or </w:t>
            </w:r>
            <w:r w:rsidR="00EF2FA4">
              <w:rPr>
                <w:szCs w:val="20"/>
              </w:rPr>
              <w:t xml:space="preserve">≥ </w:t>
            </w:r>
            <w:r w:rsidRPr="00885AB3">
              <w:rPr>
                <w:szCs w:val="20"/>
              </w:rPr>
              <w:t>3 symptoms (</w:t>
            </w:r>
            <w:r w:rsidR="00EF2FA4">
              <w:rPr>
                <w:szCs w:val="20"/>
              </w:rPr>
              <w:t xml:space="preserve">≥ </w:t>
            </w:r>
            <w:r w:rsidRPr="00885AB3">
              <w:rPr>
                <w:szCs w:val="20"/>
              </w:rPr>
              <w:t xml:space="preserve">14 days postinjection to </w:t>
            </w:r>
            <w:r w:rsidR="001C78D7">
              <w:rPr>
                <w:szCs w:val="20"/>
              </w:rPr>
              <w:t xml:space="preserve">&lt; </w:t>
            </w:r>
            <w:r w:rsidRPr="00885AB3">
              <w:rPr>
                <w:szCs w:val="20"/>
              </w:rPr>
              <w:t>24 months postinjection); VE to prevent the first episode of RSV-LRTD by RSV subtype A and RSV subtype B; VE to prevent first hospitalisation</w:t>
            </w:r>
            <w:r w:rsidR="006C5F1A" w:rsidRPr="00885AB3">
              <w:rPr>
                <w:szCs w:val="20"/>
              </w:rPr>
              <w:t xml:space="preserve"> associated with</w:t>
            </w:r>
            <w:r w:rsidRPr="00885AB3">
              <w:rPr>
                <w:szCs w:val="20"/>
              </w:rPr>
              <w:t xml:space="preserve"> RSV-ARD</w:t>
            </w:r>
            <w:r w:rsidR="006C5F1A" w:rsidRPr="00885AB3">
              <w:rPr>
                <w:szCs w:val="20"/>
              </w:rPr>
              <w:t xml:space="preserve"> or RSV-</w:t>
            </w:r>
            <w:proofErr w:type="spellStart"/>
            <w:r w:rsidR="006C5F1A" w:rsidRPr="00885AB3">
              <w:rPr>
                <w:szCs w:val="20"/>
              </w:rPr>
              <w:t>LRTD</w:t>
            </w:r>
            <w:r w:rsidR="006C5F1A" w:rsidRPr="00885AB3">
              <w:rPr>
                <w:szCs w:val="20"/>
                <w:vertAlign w:val="superscript"/>
              </w:rPr>
              <w:t>a</w:t>
            </w:r>
            <w:proofErr w:type="spellEnd"/>
            <w:r w:rsidRPr="00885AB3">
              <w:rPr>
                <w:szCs w:val="20"/>
              </w:rPr>
              <w:t xml:space="preserve"> (</w:t>
            </w:r>
            <w:r w:rsidR="00EF2FA4">
              <w:rPr>
                <w:szCs w:val="20"/>
              </w:rPr>
              <w:t xml:space="preserve">≥ </w:t>
            </w:r>
            <w:r w:rsidRPr="00885AB3">
              <w:rPr>
                <w:szCs w:val="20"/>
              </w:rPr>
              <w:t xml:space="preserve">14 days postinjection to </w:t>
            </w:r>
            <w:r w:rsidR="001C78D7">
              <w:rPr>
                <w:szCs w:val="20"/>
              </w:rPr>
              <w:t xml:space="preserve">&lt; </w:t>
            </w:r>
            <w:r w:rsidRPr="00885AB3">
              <w:rPr>
                <w:szCs w:val="20"/>
              </w:rPr>
              <w:t>24 months postinjection); Change in total frailty score (</w:t>
            </w:r>
            <w:r w:rsidR="00EF2FA4">
              <w:rPr>
                <w:szCs w:val="20"/>
              </w:rPr>
              <w:t xml:space="preserve">≥ </w:t>
            </w:r>
            <w:r w:rsidRPr="00885AB3">
              <w:rPr>
                <w:szCs w:val="20"/>
              </w:rPr>
              <w:t xml:space="preserve">14 days postinjection to </w:t>
            </w:r>
            <w:r w:rsidR="001C78D7">
              <w:rPr>
                <w:szCs w:val="20"/>
              </w:rPr>
              <w:t xml:space="preserve">&lt; </w:t>
            </w:r>
            <w:r w:rsidRPr="00885AB3">
              <w:rPr>
                <w:szCs w:val="20"/>
              </w:rPr>
              <w:t>24 months postinjection)</w:t>
            </w:r>
          </w:p>
          <w:p w14:paraId="37F204CD" w14:textId="77777777" w:rsidR="006A1AFC" w:rsidRPr="00885AB3" w:rsidRDefault="006A1AFC" w:rsidP="00120D61">
            <w:pPr>
              <w:pStyle w:val="TableText0"/>
              <w:keepNext/>
              <w:jc w:val="left"/>
              <w:rPr>
                <w:szCs w:val="20"/>
              </w:rPr>
            </w:pPr>
            <w:r w:rsidRPr="00885AB3">
              <w:rPr>
                <w:szCs w:val="20"/>
              </w:rPr>
              <w:t>Immunogenicity:</w:t>
            </w:r>
          </w:p>
          <w:p w14:paraId="5AAEF1EE" w14:textId="77777777" w:rsidR="006A1AFC" w:rsidRPr="00885AB3" w:rsidRDefault="006A1AFC" w:rsidP="00120D61">
            <w:pPr>
              <w:pStyle w:val="TableText0"/>
              <w:keepNext/>
              <w:numPr>
                <w:ilvl w:val="0"/>
                <w:numId w:val="14"/>
              </w:numPr>
              <w:ind w:left="343"/>
              <w:jc w:val="left"/>
              <w:rPr>
                <w:szCs w:val="20"/>
              </w:rPr>
            </w:pPr>
            <w:r w:rsidRPr="00885AB3">
              <w:rPr>
                <w:szCs w:val="20"/>
              </w:rPr>
              <w:t>Geometric mean titre (vaccine strain type)</w:t>
            </w:r>
          </w:p>
          <w:p w14:paraId="04841FEA" w14:textId="77777777" w:rsidR="006A1AFC" w:rsidRPr="00885AB3" w:rsidRDefault="006A1AFC" w:rsidP="00120D61">
            <w:pPr>
              <w:pStyle w:val="TableText0"/>
              <w:keepNext/>
              <w:numPr>
                <w:ilvl w:val="0"/>
                <w:numId w:val="14"/>
              </w:numPr>
              <w:ind w:left="343"/>
              <w:jc w:val="left"/>
              <w:rPr>
                <w:szCs w:val="20"/>
              </w:rPr>
            </w:pPr>
            <w:r w:rsidRPr="00885AB3">
              <w:rPr>
                <w:szCs w:val="20"/>
              </w:rPr>
              <w:t>Geometric mean concentration</w:t>
            </w:r>
          </w:p>
          <w:p w14:paraId="5BC90F6D" w14:textId="77777777" w:rsidR="006A1AFC" w:rsidRPr="00885AB3" w:rsidRDefault="006A1AFC" w:rsidP="00120D61">
            <w:pPr>
              <w:pStyle w:val="TableText0"/>
              <w:keepNext/>
              <w:numPr>
                <w:ilvl w:val="0"/>
                <w:numId w:val="14"/>
              </w:numPr>
              <w:ind w:left="343"/>
              <w:jc w:val="left"/>
              <w:rPr>
                <w:szCs w:val="20"/>
              </w:rPr>
            </w:pPr>
            <w:r w:rsidRPr="00885AB3">
              <w:rPr>
                <w:szCs w:val="20"/>
              </w:rPr>
              <w:t>Geometric mean fold-rise of postbaseline/baseline ab titres</w:t>
            </w:r>
          </w:p>
          <w:p w14:paraId="4B61A403" w14:textId="069BB4D1" w:rsidR="006A1AFC" w:rsidRPr="00885AB3" w:rsidRDefault="006A1AFC" w:rsidP="00120D61">
            <w:pPr>
              <w:pStyle w:val="TableText0"/>
              <w:keepNext/>
              <w:numPr>
                <w:ilvl w:val="0"/>
                <w:numId w:val="14"/>
              </w:numPr>
              <w:ind w:left="343"/>
              <w:jc w:val="left"/>
              <w:rPr>
                <w:szCs w:val="20"/>
              </w:rPr>
            </w:pPr>
            <w:r w:rsidRPr="00885AB3">
              <w:rPr>
                <w:szCs w:val="20"/>
              </w:rPr>
              <w:t xml:space="preserve">Proportion of participants with </w:t>
            </w:r>
            <w:r w:rsidR="00EF2FA4">
              <w:rPr>
                <w:szCs w:val="20"/>
              </w:rPr>
              <w:t xml:space="preserve">≥ </w:t>
            </w:r>
            <w:r w:rsidRPr="00885AB3">
              <w:rPr>
                <w:szCs w:val="20"/>
              </w:rPr>
              <w:t>4-fold Increases in ab titres from baseline</w:t>
            </w:r>
          </w:p>
          <w:p w14:paraId="7BDDD1A4" w14:textId="77777777" w:rsidR="006A1AFC" w:rsidRPr="00885AB3" w:rsidRDefault="006A1AFC" w:rsidP="00120D61">
            <w:pPr>
              <w:pStyle w:val="TableText0"/>
              <w:keepNext/>
              <w:jc w:val="left"/>
              <w:rPr>
                <w:szCs w:val="20"/>
              </w:rPr>
            </w:pPr>
            <w:r w:rsidRPr="00885AB3">
              <w:rPr>
                <w:szCs w:val="20"/>
              </w:rPr>
              <w:t>Safety:</w:t>
            </w:r>
          </w:p>
          <w:p w14:paraId="07C07685" w14:textId="77777777" w:rsidR="006A1AFC" w:rsidRPr="00885AB3" w:rsidRDefault="006A1AFC" w:rsidP="00120D61">
            <w:pPr>
              <w:pStyle w:val="TableText0"/>
              <w:keepNext/>
              <w:numPr>
                <w:ilvl w:val="0"/>
                <w:numId w:val="14"/>
              </w:numPr>
              <w:ind w:left="343"/>
              <w:jc w:val="left"/>
              <w:rPr>
                <w:szCs w:val="20"/>
              </w:rPr>
            </w:pPr>
            <w:r w:rsidRPr="00885AB3">
              <w:rPr>
                <w:szCs w:val="20"/>
              </w:rPr>
              <w:t>Solicited local and systemic adverse reactions</w:t>
            </w:r>
          </w:p>
          <w:p w14:paraId="7D8F7C31" w14:textId="77777777" w:rsidR="006A1AFC" w:rsidRPr="00885AB3" w:rsidRDefault="006A1AFC" w:rsidP="00120D61">
            <w:pPr>
              <w:pStyle w:val="TableText0"/>
              <w:keepNext/>
              <w:numPr>
                <w:ilvl w:val="0"/>
                <w:numId w:val="14"/>
              </w:numPr>
              <w:ind w:left="343"/>
              <w:jc w:val="left"/>
              <w:rPr>
                <w:szCs w:val="20"/>
              </w:rPr>
            </w:pPr>
            <w:r w:rsidRPr="00885AB3">
              <w:rPr>
                <w:szCs w:val="20"/>
              </w:rPr>
              <w:t>Unsolicited AEs: MAAEs; AESI; SAE and AEs leading to withdrawal</w:t>
            </w:r>
          </w:p>
          <w:p w14:paraId="049C66A1" w14:textId="77777777" w:rsidR="006A1AFC" w:rsidRPr="00885AB3" w:rsidRDefault="006A1AFC" w:rsidP="00120D61">
            <w:pPr>
              <w:pStyle w:val="TableText0"/>
              <w:keepNext/>
              <w:numPr>
                <w:ilvl w:val="0"/>
                <w:numId w:val="14"/>
              </w:numPr>
              <w:ind w:left="343"/>
              <w:jc w:val="left"/>
              <w:rPr>
                <w:szCs w:val="20"/>
              </w:rPr>
            </w:pPr>
            <w:r w:rsidRPr="00885AB3">
              <w:rPr>
                <w:szCs w:val="20"/>
              </w:rPr>
              <w:t>Deaths</w:t>
            </w:r>
          </w:p>
        </w:tc>
      </w:tr>
      <w:tr w:rsidR="006A1AFC" w:rsidRPr="00885AB3" w14:paraId="5D9701DB" w14:textId="77777777" w:rsidTr="002A346F">
        <w:trPr>
          <w:trHeight w:val="698"/>
        </w:trPr>
        <w:tc>
          <w:tcPr>
            <w:tcW w:w="770" w:type="pct"/>
            <w:vAlign w:val="center"/>
            <w:hideMark/>
          </w:tcPr>
          <w:p w14:paraId="1FD90893" w14:textId="77777777" w:rsidR="006A1AFC" w:rsidRPr="00885AB3" w:rsidRDefault="006A1AFC" w:rsidP="00120D61">
            <w:pPr>
              <w:pStyle w:val="TableText0"/>
              <w:keepNext/>
              <w:jc w:val="left"/>
              <w:rPr>
                <w:szCs w:val="20"/>
                <w:lang w:eastAsia="en-US"/>
              </w:rPr>
            </w:pPr>
            <w:r w:rsidRPr="00885AB3">
              <w:rPr>
                <w:szCs w:val="20"/>
                <w:lang w:eastAsia="en-US"/>
              </w:rPr>
              <w:t xml:space="preserve">Clinical claim </w:t>
            </w:r>
          </w:p>
        </w:tc>
        <w:tc>
          <w:tcPr>
            <w:tcW w:w="4230" w:type="pct"/>
            <w:vAlign w:val="center"/>
          </w:tcPr>
          <w:p w14:paraId="642AC2A5" w14:textId="580E8CDD" w:rsidR="006A1AFC" w:rsidRPr="00885AB3" w:rsidRDefault="006A1AFC" w:rsidP="00120D61">
            <w:pPr>
              <w:pStyle w:val="TableText0"/>
              <w:keepNext/>
              <w:jc w:val="left"/>
              <w:rPr>
                <w:szCs w:val="20"/>
              </w:rPr>
            </w:pPr>
            <w:r w:rsidRPr="00885AB3">
              <w:rPr>
                <w:szCs w:val="20"/>
              </w:rPr>
              <w:t xml:space="preserve">Primary: For adults aged </w:t>
            </w:r>
            <w:r w:rsidR="00EF2FA4">
              <w:rPr>
                <w:szCs w:val="20"/>
              </w:rPr>
              <w:t xml:space="preserve">≥ </w:t>
            </w:r>
            <w:r w:rsidRPr="00885AB3">
              <w:rPr>
                <w:szCs w:val="20"/>
              </w:rPr>
              <w:t xml:space="preserve">75 years and Aboriginal and Torres Strait Islander people aged 60-74 years, compared to active vaccination with </w:t>
            </w:r>
            <w:proofErr w:type="spellStart"/>
            <w:r w:rsidRPr="00885AB3">
              <w:rPr>
                <w:szCs w:val="20"/>
              </w:rPr>
              <w:t>RSVPreF</w:t>
            </w:r>
            <w:proofErr w:type="spellEnd"/>
            <w:r w:rsidRPr="00885AB3">
              <w:rPr>
                <w:szCs w:val="20"/>
              </w:rPr>
              <w:t xml:space="preserve"> or RSVPreF3 OA, mRNA-1345 is associated with:</w:t>
            </w:r>
          </w:p>
          <w:p w14:paraId="577A2C93" w14:textId="77777777" w:rsidR="006A1AFC" w:rsidRPr="00885AB3" w:rsidRDefault="006A1AFC" w:rsidP="00120D61">
            <w:pPr>
              <w:pStyle w:val="TableText0"/>
              <w:keepNext/>
              <w:numPr>
                <w:ilvl w:val="0"/>
                <w:numId w:val="14"/>
              </w:numPr>
              <w:ind w:left="343"/>
              <w:jc w:val="left"/>
              <w:rPr>
                <w:szCs w:val="20"/>
              </w:rPr>
            </w:pPr>
            <w:r w:rsidRPr="00885AB3">
              <w:rPr>
                <w:szCs w:val="20"/>
              </w:rPr>
              <w:t>Non-inferior efficacy based on prevention of RSV-LRTD symptoms; and</w:t>
            </w:r>
          </w:p>
          <w:p w14:paraId="050CEE2E" w14:textId="77777777" w:rsidR="006A1AFC" w:rsidRPr="00885AB3" w:rsidRDefault="006A1AFC" w:rsidP="00120D61">
            <w:pPr>
              <w:pStyle w:val="TableText0"/>
              <w:keepNext/>
              <w:numPr>
                <w:ilvl w:val="0"/>
                <w:numId w:val="14"/>
              </w:numPr>
              <w:ind w:left="343"/>
              <w:jc w:val="left"/>
              <w:rPr>
                <w:szCs w:val="20"/>
              </w:rPr>
            </w:pPr>
            <w:r w:rsidRPr="00885AB3">
              <w:rPr>
                <w:szCs w:val="20"/>
              </w:rPr>
              <w:t>Non-inferior safety, with a well-tolerated but different safety profile.</w:t>
            </w:r>
          </w:p>
          <w:p w14:paraId="5C1A07F7" w14:textId="21376E7E" w:rsidR="006A1AFC" w:rsidRPr="00885AB3" w:rsidRDefault="006A1AFC" w:rsidP="00120D61">
            <w:pPr>
              <w:pStyle w:val="TableText0"/>
              <w:keepNext/>
              <w:jc w:val="left"/>
              <w:rPr>
                <w:szCs w:val="20"/>
              </w:rPr>
            </w:pPr>
            <w:r w:rsidRPr="00885AB3">
              <w:rPr>
                <w:szCs w:val="20"/>
              </w:rPr>
              <w:t xml:space="preserve">Supplementary: For adults aged </w:t>
            </w:r>
            <w:r w:rsidR="00EF2FA4">
              <w:rPr>
                <w:szCs w:val="20"/>
              </w:rPr>
              <w:t xml:space="preserve">≥ </w:t>
            </w:r>
            <w:r w:rsidRPr="00885AB3">
              <w:rPr>
                <w:szCs w:val="20"/>
              </w:rPr>
              <w:t>75 years and Aboriginal and Torres Strait Islander people aged 60-74 years, compared to no RSV vaccination, mRNA-1345 is associated with:</w:t>
            </w:r>
          </w:p>
          <w:p w14:paraId="6DB083D7" w14:textId="77777777" w:rsidR="006A1AFC" w:rsidRPr="00885AB3" w:rsidRDefault="006A1AFC" w:rsidP="00120D61">
            <w:pPr>
              <w:pStyle w:val="TableText0"/>
              <w:keepNext/>
              <w:numPr>
                <w:ilvl w:val="0"/>
                <w:numId w:val="14"/>
              </w:numPr>
              <w:ind w:left="343"/>
              <w:jc w:val="left"/>
              <w:rPr>
                <w:szCs w:val="20"/>
              </w:rPr>
            </w:pPr>
            <w:r w:rsidRPr="00885AB3">
              <w:rPr>
                <w:szCs w:val="20"/>
              </w:rPr>
              <w:t>Superior efficacy based on prevention of RSV-LRTD symptoms; and</w:t>
            </w:r>
          </w:p>
          <w:p w14:paraId="27BECBA3" w14:textId="77777777" w:rsidR="006A1AFC" w:rsidRPr="00885AB3" w:rsidRDefault="006A1AFC" w:rsidP="00120D61">
            <w:pPr>
              <w:pStyle w:val="TableText0"/>
              <w:keepNext/>
              <w:numPr>
                <w:ilvl w:val="0"/>
                <w:numId w:val="14"/>
              </w:numPr>
              <w:ind w:left="343"/>
              <w:jc w:val="left"/>
              <w:rPr>
                <w:szCs w:val="20"/>
              </w:rPr>
            </w:pPr>
            <w:r w:rsidRPr="00885AB3">
              <w:rPr>
                <w:szCs w:val="20"/>
              </w:rPr>
              <w:t>Inferior safety.</w:t>
            </w:r>
          </w:p>
        </w:tc>
      </w:tr>
    </w:tbl>
    <w:p w14:paraId="052F2001" w14:textId="77777777" w:rsidR="006A1AFC" w:rsidRPr="00885AB3" w:rsidRDefault="006A1AFC" w:rsidP="00120D61">
      <w:pPr>
        <w:pStyle w:val="FooterTableFigure"/>
        <w:keepNext/>
        <w:keepLines/>
      </w:pPr>
      <w:r w:rsidRPr="00885AB3">
        <w:t>Source: Table 1-1, p23 of the submission.</w:t>
      </w:r>
    </w:p>
    <w:p w14:paraId="7BEB79FC" w14:textId="257B5B93" w:rsidR="006A1AFC" w:rsidRPr="00885AB3" w:rsidRDefault="00913546" w:rsidP="00120D61">
      <w:pPr>
        <w:pStyle w:val="FooterTableFigure"/>
      </w:pPr>
      <w:r w:rsidRPr="00885AB3">
        <w:t xml:space="preserve">ab = antibody; </w:t>
      </w:r>
      <w:r w:rsidR="006A1AFC" w:rsidRPr="00885AB3">
        <w:t xml:space="preserve">AE = adverse event; AESI = adverse event of special interest; MAAE = medically attended adverse event; RSV = respiratory syncytial virus; RSV-ARD = respiratory syncytial virus related acute respiratory disease; RSV-LRTD = respiratory syncytial virus related lower respiratory tract disease; SAE = serious adverse event; VE = vaccine efficacy. </w:t>
      </w:r>
    </w:p>
    <w:p w14:paraId="17BF9F6D" w14:textId="64C64A92" w:rsidR="002A346F" w:rsidRPr="00885AB3" w:rsidRDefault="006A1AFC" w:rsidP="00120D61">
      <w:pPr>
        <w:pStyle w:val="FooterTableFigure"/>
      </w:pPr>
      <w:r w:rsidRPr="00885AB3">
        <w:rPr>
          <w:vertAlign w:val="superscript"/>
        </w:rPr>
        <w:t xml:space="preserve">a </w:t>
      </w:r>
      <w:r w:rsidR="006C5F1A" w:rsidRPr="00885AB3">
        <w:t xml:space="preserve">Description corrected during evaluation from </w:t>
      </w:r>
      <w:r w:rsidRPr="00885AB3">
        <w:t xml:space="preserve">‘first episode’ in the submission </w:t>
      </w:r>
      <w:r w:rsidR="006C5F1A" w:rsidRPr="00885AB3">
        <w:t>to</w:t>
      </w:r>
      <w:r w:rsidRPr="00885AB3">
        <w:t xml:space="preserve"> ‘</w:t>
      </w:r>
      <w:r w:rsidR="006C5F1A" w:rsidRPr="00885AB3">
        <w:t xml:space="preserve">first </w:t>
      </w:r>
      <w:r w:rsidRPr="00885AB3">
        <w:t>hospitali</w:t>
      </w:r>
      <w:r w:rsidR="000D4989" w:rsidRPr="00885AB3">
        <w:t>s</w:t>
      </w:r>
      <w:r w:rsidRPr="00885AB3">
        <w:t xml:space="preserve">ation’ </w:t>
      </w:r>
      <w:r w:rsidR="006C5F1A" w:rsidRPr="00885AB3">
        <w:t>reflecting the source document (</w:t>
      </w:r>
      <w:r w:rsidRPr="00885AB3">
        <w:t>p4, Attachment 2 (CSR) mRNA-1345</w:t>
      </w:r>
      <w:r w:rsidR="00E86EAC" w:rsidRPr="00885AB3">
        <w:t xml:space="preserve"> in the submission</w:t>
      </w:r>
      <w:r w:rsidR="006C5F1A" w:rsidRPr="00885AB3">
        <w:t>)</w:t>
      </w:r>
      <w:r w:rsidRPr="00885AB3">
        <w:t>.</w:t>
      </w:r>
    </w:p>
    <w:p w14:paraId="13B3BE86" w14:textId="1C282666" w:rsidR="006A1AFC" w:rsidRPr="00885AB3" w:rsidRDefault="006A1AFC" w:rsidP="00120D61"/>
    <w:p w14:paraId="71A0C576" w14:textId="77777777" w:rsidR="006A1AFC" w:rsidRPr="00885AB3" w:rsidRDefault="006A1AFC" w:rsidP="00120D61">
      <w:pPr>
        <w:pStyle w:val="2-SectionHeading"/>
        <w:keepLines/>
      </w:pPr>
      <w:bookmarkStart w:id="10" w:name="_Toc202884167"/>
      <w:bookmarkStart w:id="11" w:name="_Toc205822145"/>
      <w:bookmarkStart w:id="12" w:name="_Toc208998496"/>
      <w:r w:rsidRPr="00885AB3">
        <w:lastRenderedPageBreak/>
        <w:t>Background</w:t>
      </w:r>
      <w:bookmarkEnd w:id="10"/>
      <w:bookmarkEnd w:id="11"/>
      <w:bookmarkEnd w:id="12"/>
    </w:p>
    <w:p w14:paraId="3FC43535" w14:textId="77777777" w:rsidR="006A1AFC" w:rsidRPr="00885AB3" w:rsidRDefault="006A1AFC" w:rsidP="00120D61">
      <w:pPr>
        <w:pStyle w:val="4-SubsectionHeading"/>
        <w:keepLines/>
      </w:pPr>
      <w:bookmarkStart w:id="13" w:name="_Toc22897638"/>
      <w:bookmarkStart w:id="14" w:name="_Toc202884168"/>
      <w:bookmarkStart w:id="15" w:name="_Toc205822146"/>
      <w:bookmarkStart w:id="16" w:name="_Toc208998497"/>
      <w:r w:rsidRPr="00885AB3">
        <w:t>Registration status</w:t>
      </w:r>
      <w:bookmarkEnd w:id="13"/>
      <w:bookmarkEnd w:id="14"/>
      <w:bookmarkEnd w:id="15"/>
      <w:bookmarkEnd w:id="16"/>
    </w:p>
    <w:p w14:paraId="6539F71C" w14:textId="1962752F" w:rsidR="006A1AFC" w:rsidRPr="00885AB3" w:rsidRDefault="006A1AFC" w:rsidP="00120D61">
      <w:pPr>
        <w:pStyle w:val="3-BodyText"/>
        <w:keepNext/>
        <w:keepLines/>
      </w:pPr>
      <w:r w:rsidRPr="00885AB3">
        <w:t xml:space="preserve">mRNA-1345 was approved on 28 March 2025 by the Therapeutic Goods Administration (TGA) for active immunisation for the prevention of LRTD caused by RSV in adults 60 years of age and older. </w:t>
      </w:r>
      <w:r w:rsidR="003376C1" w:rsidRPr="00885AB3">
        <w:t xml:space="preserve">The TGA dossier was accepted on 31 July 2023, </w:t>
      </w:r>
      <w:r w:rsidR="008101FA" w:rsidRPr="00885AB3">
        <w:t xml:space="preserve">however the TGA declined to </w:t>
      </w:r>
      <w:r w:rsidR="003376C1" w:rsidRPr="00885AB3">
        <w:t xml:space="preserve">approve the vaccine on 12 June 2024. </w:t>
      </w:r>
      <w:r w:rsidR="008F1133" w:rsidRPr="00885AB3">
        <w:t>The TGA Delegate was not satisfied that the evidence submitted by the sponsor had satisfactorily established the efficacy of the vaccine for the proposed indication.</w:t>
      </w:r>
      <w:r w:rsidR="003376C1" w:rsidRPr="00885AB3">
        <w:t xml:space="preserve"> The sponsor </w:t>
      </w:r>
      <w:r w:rsidR="008F1133" w:rsidRPr="00885AB3">
        <w:t xml:space="preserve">subsequently </w:t>
      </w:r>
      <w:r w:rsidR="003376C1" w:rsidRPr="00885AB3">
        <w:t>applied to the TGA for reconsideration of the initial decision</w:t>
      </w:r>
      <w:r w:rsidR="008F1133" w:rsidRPr="00885AB3">
        <w:t>, and t</w:t>
      </w:r>
      <w:r w:rsidR="003376C1" w:rsidRPr="00885AB3">
        <w:t>he final registration decision</w:t>
      </w:r>
      <w:r w:rsidR="005C05CE" w:rsidRPr="00885AB3">
        <w:t xml:space="preserve"> for approval</w:t>
      </w:r>
      <w:r w:rsidR="003376C1" w:rsidRPr="00885AB3">
        <w:t xml:space="preserve"> was made on 28 March 2025</w:t>
      </w:r>
      <w:r w:rsidR="008F1133" w:rsidRPr="00885AB3">
        <w:t>. The TGA Delegate was satisfied that the additional evidence submitted by the sponsor satisfactorily established the efficacy of the vaccine (</w:t>
      </w:r>
      <w:proofErr w:type="spellStart"/>
      <w:r w:rsidR="008F1133" w:rsidRPr="00885AB3">
        <w:t>mRESVIA</w:t>
      </w:r>
      <w:proofErr w:type="spellEnd"/>
      <w:r w:rsidR="008F1133" w:rsidRPr="00885AB3">
        <w:t xml:space="preserve"> AusPAR, pp76-79).</w:t>
      </w:r>
      <w:r w:rsidR="00332A14" w:rsidRPr="00885AB3">
        <w:t xml:space="preserve"> </w:t>
      </w:r>
    </w:p>
    <w:p w14:paraId="7BC9EA99" w14:textId="77777777" w:rsidR="006A1AFC" w:rsidRPr="00885AB3" w:rsidRDefault="006A1AFC" w:rsidP="00120D61">
      <w:pPr>
        <w:pStyle w:val="3-BodyText"/>
      </w:pPr>
      <w:r w:rsidRPr="00885AB3">
        <w:t xml:space="preserve">mRNA-1345 received approval from the U.S. Food and Drug Administration (FDA) on 31 May 2024, the European Medicines Agency (EMA) in the European Union on 22 August 2024, and Health Canada on 6 November 2024. The approved TGA indication for mRNA-1345 is consistent with the approved FDA, EMA and Canada indications. Additionally, as of 12 June 2025, the FDA have approved mRNA-1345 for use in adults aged 18 to 59 years who are at increased risk of RSV-related LRTD, in addition to adults aged 60 years and older. </w:t>
      </w:r>
    </w:p>
    <w:p w14:paraId="4C88A35D" w14:textId="772D5F55" w:rsidR="00B35B01" w:rsidRPr="00885AB3" w:rsidRDefault="00B35B01" w:rsidP="00120D61">
      <w:pPr>
        <w:pStyle w:val="3-BodyText"/>
      </w:pPr>
      <w:bookmarkStart w:id="17" w:name="_Ref207731459"/>
      <w:bookmarkStart w:id="18" w:name="_Ref210834109"/>
      <w:r w:rsidRPr="00885AB3">
        <w:t xml:space="preserve">The submission requested NIP listing for a single dose of mRNA-1345 consistent with the TGA approved </w:t>
      </w:r>
      <w:r w:rsidR="00A12974" w:rsidRPr="00885AB3">
        <w:t>P</w:t>
      </w:r>
      <w:r w:rsidRPr="00885AB3">
        <w:t xml:space="preserve">roduct </w:t>
      </w:r>
      <w:r w:rsidR="00A12974" w:rsidRPr="00885AB3">
        <w:t>I</w:t>
      </w:r>
      <w:r w:rsidRPr="00885AB3">
        <w:t>nformation. Revaccination is being assessed in clinical trials at 12 months and 24 months from initial vaccination.</w:t>
      </w:r>
      <w:r w:rsidR="00BF48A4" w:rsidRPr="00885AB3">
        <w:t xml:space="preserve"> It is a condition of TGA approval that the sponsor provides data from mRNA-1345 revaccination studies 301 and 302 when </w:t>
      </w:r>
      <w:r w:rsidR="009935C8" w:rsidRPr="00885AB3">
        <w:t>they</w:t>
      </w:r>
      <w:r w:rsidR="00BF48A4" w:rsidRPr="00885AB3">
        <w:t xml:space="preserve"> become available (see paragraph </w:t>
      </w:r>
      <w:r w:rsidR="00BF48A4" w:rsidRPr="00885AB3">
        <w:fldChar w:fldCharType="begin" w:fldLock="1"/>
      </w:r>
      <w:r w:rsidR="00BF48A4" w:rsidRPr="00885AB3">
        <w:instrText xml:space="preserve"> REF _Ref215063982 \r \h  \* MERGEFORMAT </w:instrText>
      </w:r>
      <w:r w:rsidR="00BF48A4" w:rsidRPr="00885AB3">
        <w:fldChar w:fldCharType="separate"/>
      </w:r>
      <w:r w:rsidR="00515933" w:rsidRPr="00885AB3">
        <w:t>3.8</w:t>
      </w:r>
      <w:r w:rsidR="00BF48A4" w:rsidRPr="00885AB3">
        <w:fldChar w:fldCharType="end"/>
      </w:r>
      <w:r w:rsidR="00BF48A4" w:rsidRPr="00885AB3">
        <w:t xml:space="preserve"> below).</w:t>
      </w:r>
      <w:r w:rsidRPr="00885AB3">
        <w:t xml:space="preserve"> </w:t>
      </w:r>
      <w:r w:rsidR="004767BC" w:rsidRPr="00885AB3">
        <w:t>T</w:t>
      </w:r>
      <w:r w:rsidR="007C304C" w:rsidRPr="00885AB3">
        <w:t>he</w:t>
      </w:r>
      <w:r w:rsidR="00C17BA5" w:rsidRPr="00885AB3">
        <w:t xml:space="preserve"> Pre-Sub-Committee Response</w:t>
      </w:r>
      <w:r w:rsidR="007C304C" w:rsidRPr="00885AB3">
        <w:t xml:space="preserve"> </w:t>
      </w:r>
      <w:r w:rsidR="00C17BA5" w:rsidRPr="00885AB3">
        <w:t>(</w:t>
      </w:r>
      <w:r w:rsidR="007C304C" w:rsidRPr="00885AB3">
        <w:t>PSCR</w:t>
      </w:r>
      <w:r w:rsidR="00C17BA5" w:rsidRPr="00885AB3">
        <w:t>)</w:t>
      </w:r>
      <w:r w:rsidR="007C304C" w:rsidRPr="00885AB3">
        <w:t xml:space="preserve"> stated that there is</w:t>
      </w:r>
      <w:r w:rsidR="006A5EC7" w:rsidRPr="00885AB3">
        <w:t xml:space="preserve"> currently no</w:t>
      </w:r>
      <w:r w:rsidR="007C304C" w:rsidRPr="00885AB3">
        <w:t xml:space="preserve"> timeline </w:t>
      </w:r>
      <w:r w:rsidR="007805BC" w:rsidRPr="00885AB3">
        <w:t xml:space="preserve">for </w:t>
      </w:r>
      <w:r w:rsidR="004767BC" w:rsidRPr="00885AB3">
        <w:t>TGA registration</w:t>
      </w:r>
      <w:r w:rsidR="007805BC" w:rsidRPr="00885AB3">
        <w:t xml:space="preserve"> for revaccination</w:t>
      </w:r>
      <w:r w:rsidRPr="00885AB3">
        <w:t>.</w:t>
      </w:r>
      <w:bookmarkEnd w:id="17"/>
      <w:bookmarkEnd w:id="18"/>
    </w:p>
    <w:p w14:paraId="0C39F256" w14:textId="77777777" w:rsidR="006A1AFC" w:rsidRPr="00885AB3" w:rsidRDefault="006A1AFC" w:rsidP="00120D61">
      <w:pPr>
        <w:pStyle w:val="4-SubsectionHeading"/>
      </w:pPr>
      <w:bookmarkStart w:id="19" w:name="_Toc22897639"/>
      <w:bookmarkStart w:id="20" w:name="_Toc198731693"/>
      <w:bookmarkStart w:id="21" w:name="_Toc208998498"/>
      <w:r w:rsidRPr="00885AB3">
        <w:t>Previous PBAC consideration</w:t>
      </w:r>
      <w:bookmarkEnd w:id="19"/>
      <w:bookmarkEnd w:id="20"/>
      <w:bookmarkEnd w:id="21"/>
    </w:p>
    <w:p w14:paraId="26127F5F" w14:textId="38186B8B" w:rsidR="006A1AFC" w:rsidRPr="00885AB3" w:rsidRDefault="006A1AFC" w:rsidP="00120D61">
      <w:pPr>
        <w:pStyle w:val="3-BodyText"/>
      </w:pPr>
      <w:r w:rsidRPr="00885AB3">
        <w:t xml:space="preserve">Two alternative vaccines, </w:t>
      </w:r>
      <w:proofErr w:type="spellStart"/>
      <w:r w:rsidRPr="00885AB3">
        <w:t>RSVPreF</w:t>
      </w:r>
      <w:proofErr w:type="spellEnd"/>
      <w:r w:rsidRPr="00885AB3">
        <w:t xml:space="preserve"> and RSVPreF3 OA, have been considered by the Pharmaceutical Benefits Advisory Committee (PBAC) for the prevention of RSV-LRTD in adults </w:t>
      </w:r>
      <w:r w:rsidR="00EF2FA4">
        <w:t xml:space="preserve">≥ </w:t>
      </w:r>
      <w:r w:rsidRPr="00885AB3">
        <w:t>75 YOA and Aboriginal and Torres Strait Islander people aged 60 to 74 years.</w:t>
      </w:r>
      <w:r w:rsidR="00EC69D8" w:rsidRPr="00885AB3">
        <w:t xml:space="preserve"> </w:t>
      </w:r>
      <w:proofErr w:type="spellStart"/>
      <w:r w:rsidRPr="00885AB3">
        <w:t>RSVPreF</w:t>
      </w:r>
      <w:proofErr w:type="spellEnd"/>
      <w:r w:rsidRPr="00885AB3">
        <w:t xml:space="preserve"> was recommended by the PBAC in November 2024</w:t>
      </w:r>
      <w:r w:rsidR="00CF5790" w:rsidRPr="00885AB3">
        <w:t>, and again in July 2025</w:t>
      </w:r>
      <w:r w:rsidR="00CF5790" w:rsidRPr="00885AB3">
        <w:rPr>
          <w:rStyle w:val="FootnoteReference"/>
        </w:rPr>
        <w:footnoteReference w:id="2"/>
      </w:r>
      <w:r w:rsidRPr="00885AB3">
        <w:t>. RSVPreF3 OA was not recommended at the July 2024 PBAC meeting</w:t>
      </w:r>
      <w:r w:rsidR="00CF5790" w:rsidRPr="00885AB3">
        <w:t xml:space="preserve"> but was </w:t>
      </w:r>
      <w:r w:rsidR="004846B6" w:rsidRPr="00885AB3">
        <w:t xml:space="preserve">subsequently </w:t>
      </w:r>
      <w:r w:rsidR="00CF5790" w:rsidRPr="00885AB3">
        <w:t>recommended at the July 2025 meeting</w:t>
      </w:r>
      <w:r w:rsidR="00CF5790" w:rsidRPr="00885AB3">
        <w:rPr>
          <w:vertAlign w:val="superscript"/>
        </w:rPr>
        <w:t>1</w:t>
      </w:r>
      <w:r w:rsidRPr="00885AB3">
        <w:t xml:space="preserve">. A comparison of the </w:t>
      </w:r>
      <w:proofErr w:type="spellStart"/>
      <w:r w:rsidRPr="00885AB3">
        <w:t>RSVPreF</w:t>
      </w:r>
      <w:proofErr w:type="spellEnd"/>
      <w:r w:rsidRPr="00885AB3">
        <w:t xml:space="preserve">, RSVPreF3 OA and current submissions is provided in the Committee-In-Confidence (CIC) section. </w:t>
      </w:r>
    </w:p>
    <w:p w14:paraId="2EAD26D8" w14:textId="77777777" w:rsidR="006A1AFC" w:rsidRPr="00885AB3" w:rsidRDefault="006A1AFC" w:rsidP="00120D61">
      <w:pPr>
        <w:pStyle w:val="4-SubsectionHeading"/>
      </w:pPr>
      <w:bookmarkStart w:id="22" w:name="_Toc177558733"/>
      <w:bookmarkStart w:id="23" w:name="_Toc208998499"/>
      <w:bookmarkStart w:id="24" w:name="_Hlk206055225"/>
      <w:r w:rsidRPr="00885AB3">
        <w:lastRenderedPageBreak/>
        <w:t xml:space="preserve">ATAGI </w:t>
      </w:r>
      <w:bookmarkEnd w:id="22"/>
      <w:r w:rsidRPr="00885AB3">
        <w:t>Advice</w:t>
      </w:r>
      <w:bookmarkEnd w:id="23"/>
      <w:r w:rsidRPr="00885AB3">
        <w:t xml:space="preserve"> </w:t>
      </w:r>
    </w:p>
    <w:bookmarkEnd w:id="24"/>
    <w:p w14:paraId="078E66DC" w14:textId="060114D2" w:rsidR="002F31C7" w:rsidRPr="00885AB3" w:rsidRDefault="00DF0913" w:rsidP="00120D61">
      <w:pPr>
        <w:pStyle w:val="3-BodyText"/>
      </w:pPr>
      <w:r w:rsidRPr="00885AB3">
        <w:t xml:space="preserve">The first request for </w:t>
      </w:r>
      <w:r w:rsidR="0045234F" w:rsidRPr="00885AB3">
        <w:t>Australian Technical Advisory Group on Immunisation (</w:t>
      </w:r>
      <w:r w:rsidRPr="00885AB3">
        <w:t>ATAGI</w:t>
      </w:r>
      <w:r w:rsidR="0045234F" w:rsidRPr="00885AB3">
        <w:t>)</w:t>
      </w:r>
      <w:r w:rsidRPr="00885AB3">
        <w:t xml:space="preserve"> advice was submitted by the sponsor in March 2024, and ATAGI responded with pre</w:t>
      </w:r>
      <w:r w:rsidRPr="00885AB3">
        <w:noBreakHyphen/>
        <w:t>submission advice to the PBAC in September 2024.</w:t>
      </w:r>
      <w:r w:rsidR="00D23047" w:rsidRPr="00885AB3">
        <w:t xml:space="preserve"> The</w:t>
      </w:r>
      <w:r w:rsidR="00274500" w:rsidRPr="00885AB3">
        <w:t xml:space="preserve"> second set of ATAGI</w:t>
      </w:r>
      <w:r w:rsidR="00D6389B" w:rsidRPr="00885AB3">
        <w:t xml:space="preserve"> pre</w:t>
      </w:r>
      <w:r w:rsidR="00D6389B" w:rsidRPr="00885AB3">
        <w:noBreakHyphen/>
        <w:t>submission</w:t>
      </w:r>
      <w:r w:rsidR="00274500" w:rsidRPr="00885AB3">
        <w:t xml:space="preserve"> advice </w:t>
      </w:r>
      <w:r w:rsidR="00D23047" w:rsidRPr="00885AB3">
        <w:t xml:space="preserve">for the PBAC to consider </w:t>
      </w:r>
      <w:r w:rsidR="00274500" w:rsidRPr="00885AB3">
        <w:t>was</w:t>
      </w:r>
      <w:r w:rsidR="00D23047" w:rsidRPr="00885AB3">
        <w:t xml:space="preserve"> dated 26 June 2025.</w:t>
      </w:r>
      <w:r w:rsidR="000A3EC1" w:rsidRPr="00885AB3">
        <w:t xml:space="preserve"> </w:t>
      </w:r>
      <w:r w:rsidR="00D30D7A" w:rsidRPr="00885AB3">
        <w:t>The evaluation noted that</w:t>
      </w:r>
      <w:r w:rsidR="00D30D7A" w:rsidRPr="00885AB3">
        <w:rPr>
          <w:i/>
          <w:iCs/>
        </w:rPr>
        <w:t xml:space="preserve"> </w:t>
      </w:r>
      <w:r w:rsidR="00D30D7A" w:rsidRPr="00885AB3">
        <w:t>this submission</w:t>
      </w:r>
      <w:r w:rsidR="00B15823" w:rsidRPr="00885AB3">
        <w:t xml:space="preserve"> to the PBAC</w:t>
      </w:r>
      <w:r w:rsidR="002B4C87" w:rsidRPr="00885AB3">
        <w:t xml:space="preserve"> (at the July 2025 cut-off for the November 2025 consideration)</w:t>
      </w:r>
      <w:r w:rsidR="00D30D7A" w:rsidRPr="00885AB3">
        <w:t xml:space="preserve"> </w:t>
      </w:r>
      <w:r w:rsidR="002F31C7" w:rsidRPr="00885AB3">
        <w:t>was</w:t>
      </w:r>
      <w:r w:rsidR="00D30D7A" w:rsidRPr="00885AB3">
        <w:t xml:space="preserve"> partially in accordance with the ATAGI pre-submission advice to PBAC dated 26 June 2025.</w:t>
      </w:r>
      <w:r w:rsidR="001C78D7">
        <w:t xml:space="preserve"> </w:t>
      </w:r>
    </w:p>
    <w:p w14:paraId="57D70A31" w14:textId="5CA7165F" w:rsidR="003747FB" w:rsidRPr="00885AB3" w:rsidRDefault="000A3EC1" w:rsidP="00120D61">
      <w:pPr>
        <w:pStyle w:val="3-BodyText"/>
      </w:pPr>
      <w:bookmarkStart w:id="25" w:name="_Ref211847210"/>
      <w:r w:rsidRPr="00885AB3">
        <w:rPr>
          <w:bCs/>
        </w:rPr>
        <w:t>The ATAGI provided post-submission advice to the PBAC dated 17 September 2025.</w:t>
      </w:r>
      <w:r w:rsidR="001C78D7">
        <w:rPr>
          <w:bCs/>
        </w:rPr>
        <w:t xml:space="preserve"> </w:t>
      </w:r>
      <w:r w:rsidR="003747FB" w:rsidRPr="00885AB3">
        <w:rPr>
          <w:bCs/>
        </w:rPr>
        <w:t xml:space="preserve">The ESC noted </w:t>
      </w:r>
      <w:r w:rsidR="003747FB" w:rsidRPr="00885AB3">
        <w:t xml:space="preserve">that in its latest advice, the ATAGI maintained that there is insufficient evidence to support a </w:t>
      </w:r>
      <w:r w:rsidR="001674FD" w:rsidRPr="00885AB3">
        <w:t>non-inferiority</w:t>
      </w:r>
      <w:r w:rsidR="003747FB" w:rsidRPr="00885AB3">
        <w:t xml:space="preserve"> claim of vaccine effectiveness between mRNA</w:t>
      </w:r>
      <w:r w:rsidR="003747FB" w:rsidRPr="00885AB3">
        <w:noBreakHyphen/>
        <w:t xml:space="preserve">1345 and </w:t>
      </w:r>
      <w:proofErr w:type="spellStart"/>
      <w:r w:rsidR="003747FB" w:rsidRPr="00885AB3">
        <w:t>RSV</w:t>
      </w:r>
      <w:r w:rsidR="009F4D7F" w:rsidRPr="00885AB3">
        <w:t>P</w:t>
      </w:r>
      <w:r w:rsidR="003747FB" w:rsidRPr="00885AB3">
        <w:t>reF</w:t>
      </w:r>
      <w:proofErr w:type="spellEnd"/>
      <w:r w:rsidR="003747FB" w:rsidRPr="00885AB3">
        <w:t xml:space="preserve"> and</w:t>
      </w:r>
      <w:r w:rsidR="00C26EEE" w:rsidRPr="00885AB3">
        <w:t>/or</w:t>
      </w:r>
      <w:r w:rsidR="003747FB" w:rsidRPr="00885AB3">
        <w:t xml:space="preserve"> RSVPreF3 OA. ATAGI noted that longer term data are required to establish whether ongoing protection is</w:t>
      </w:r>
      <w:r w:rsidR="005D4C4A" w:rsidRPr="00885AB3">
        <w:t xml:space="preserve"> </w:t>
      </w:r>
      <w:r w:rsidR="003747FB" w:rsidRPr="00885AB3">
        <w:t>comparable across the vaccine alternatives. The June 2025 ATAGI advice requested estimates of vaccine efficacy generated for interval periods (i.e., 12-18 months and 18-24 months).</w:t>
      </w:r>
      <w:r w:rsidR="001C78D7">
        <w:t xml:space="preserve"> </w:t>
      </w:r>
      <w:r w:rsidR="003747FB" w:rsidRPr="00885AB3">
        <w:t>ATAGI advised that</w:t>
      </w:r>
      <w:r w:rsidR="005164E9" w:rsidRPr="00885AB3">
        <w:t xml:space="preserve"> if </w:t>
      </w:r>
      <w:r w:rsidR="001D177D" w:rsidRPr="00885AB3">
        <w:t>alterna</w:t>
      </w:r>
      <w:r w:rsidR="00C34AA5" w:rsidRPr="00885AB3">
        <w:t>tive RSV vaccines</w:t>
      </w:r>
      <w:r w:rsidR="005164E9" w:rsidRPr="00885AB3">
        <w:t xml:space="preserve"> become</w:t>
      </w:r>
      <w:r w:rsidR="003747FB" w:rsidRPr="00885AB3">
        <w:t xml:space="preserve"> availab</w:t>
      </w:r>
      <w:r w:rsidR="005164E9" w:rsidRPr="00885AB3">
        <w:t>le</w:t>
      </w:r>
      <w:r w:rsidR="003747FB" w:rsidRPr="00885AB3">
        <w:t xml:space="preserve"> on the NIP, </w:t>
      </w:r>
      <w:r w:rsidR="001A47A1" w:rsidRPr="00885AB3">
        <w:t xml:space="preserve">and </w:t>
      </w:r>
      <w:r w:rsidR="001F415E" w:rsidRPr="00885AB3">
        <w:t xml:space="preserve">if </w:t>
      </w:r>
      <w:r w:rsidR="001674FD" w:rsidRPr="00885AB3">
        <w:t>non-inferiority</w:t>
      </w:r>
      <w:r w:rsidR="003747FB" w:rsidRPr="00885AB3">
        <w:t xml:space="preserve"> of </w:t>
      </w:r>
      <w:r w:rsidR="002933B1" w:rsidRPr="00885AB3">
        <w:t>mRNA</w:t>
      </w:r>
      <w:r w:rsidR="002933B1" w:rsidRPr="00885AB3">
        <w:noBreakHyphen/>
        <w:t xml:space="preserve">1345 </w:t>
      </w:r>
      <w:r w:rsidR="003747FB" w:rsidRPr="00885AB3">
        <w:t xml:space="preserve">to alternative vaccines cannot be established, there </w:t>
      </w:r>
      <w:r w:rsidR="007E1829" w:rsidRPr="00885AB3">
        <w:t>will be</w:t>
      </w:r>
      <w:r w:rsidR="003747FB" w:rsidRPr="00885AB3">
        <w:t xml:space="preserve"> no clear role for </w:t>
      </w:r>
      <w:r w:rsidR="002933B1" w:rsidRPr="00885AB3">
        <w:t>mRNA</w:t>
      </w:r>
      <w:r w:rsidR="002933B1" w:rsidRPr="00885AB3">
        <w:noBreakHyphen/>
        <w:t xml:space="preserve">1345 </w:t>
      </w:r>
      <w:r w:rsidR="003747FB" w:rsidRPr="00885AB3">
        <w:t>on the NIP.</w:t>
      </w:r>
      <w:bookmarkEnd w:id="25"/>
      <w:r w:rsidR="001C78D7">
        <w:t xml:space="preserve"> </w:t>
      </w:r>
    </w:p>
    <w:p w14:paraId="2DB96EBB" w14:textId="015547D3" w:rsidR="00FC5154" w:rsidRPr="00885AB3" w:rsidRDefault="00FC5154" w:rsidP="00120D61">
      <w:pPr>
        <w:pStyle w:val="3-BodyText"/>
      </w:pPr>
      <w:bookmarkStart w:id="26" w:name="_Ref211850226"/>
      <w:r w:rsidRPr="00885AB3">
        <w:t xml:space="preserve">Analyses </w:t>
      </w:r>
      <w:r w:rsidR="00171515" w:rsidRPr="00885AB3">
        <w:t>r</w:t>
      </w:r>
      <w:r w:rsidRPr="00885AB3">
        <w:t xml:space="preserve">eported in </w:t>
      </w:r>
      <w:r w:rsidR="00171515" w:rsidRPr="00885AB3">
        <w:t>ATAGI’s p</w:t>
      </w:r>
      <w:r w:rsidRPr="00885AB3">
        <w:t xml:space="preserve">ost-submission advice to the PBAC, showed that </w:t>
      </w:r>
      <w:r w:rsidR="003B2C7F" w:rsidRPr="00885AB3">
        <w:t xml:space="preserve">mRNA-1345 </w:t>
      </w:r>
      <w:r w:rsidRPr="00885AB3">
        <w:t xml:space="preserve">vaccine efficacy drops off in the 12-18 month period and further in the 18-24 month period. ATAGI stated this may suggest that more frequent revaccination is required for mRNA-1345 than its comparators, </w:t>
      </w:r>
      <w:proofErr w:type="spellStart"/>
      <w:r w:rsidRPr="00885AB3">
        <w:t>RSVPreF</w:t>
      </w:r>
      <w:proofErr w:type="spellEnd"/>
      <w:r w:rsidRPr="00885AB3">
        <w:t xml:space="preserve"> and RSVPreF3 OA.</w:t>
      </w:r>
      <w:r w:rsidR="001C78D7">
        <w:t xml:space="preserve"> </w:t>
      </w:r>
      <w:r w:rsidRPr="00885AB3">
        <w:t xml:space="preserve">The ESC noted that ATAGI’s analysis suggests a faster waning of protection than provided by the submission. The ESC noted ATAGI’s </w:t>
      </w:r>
      <w:r w:rsidR="00ED7258" w:rsidRPr="00885AB3">
        <w:t>advice</w:t>
      </w:r>
      <w:r w:rsidRPr="00885AB3">
        <w:t xml:space="preserve"> </w:t>
      </w:r>
      <w:r w:rsidR="00E67B30" w:rsidRPr="00885AB3">
        <w:t>that</w:t>
      </w:r>
      <w:r w:rsidRPr="00885AB3">
        <w:t xml:space="preserve"> </w:t>
      </w:r>
      <w:r w:rsidR="00647F19" w:rsidRPr="00885AB3">
        <w:t>mRNA-1345</w:t>
      </w:r>
      <w:r w:rsidR="00E945B4">
        <w:t xml:space="preserve"> </w:t>
      </w:r>
      <w:r w:rsidRPr="00885AB3">
        <w:t xml:space="preserve">may require more-frequent revaccination than </w:t>
      </w:r>
      <w:proofErr w:type="spellStart"/>
      <w:r w:rsidR="00943918" w:rsidRPr="00885AB3">
        <w:t>RSVPreF</w:t>
      </w:r>
      <w:proofErr w:type="spellEnd"/>
      <w:r w:rsidR="00943918" w:rsidRPr="00885AB3">
        <w:t xml:space="preserve"> </w:t>
      </w:r>
      <w:r w:rsidRPr="00885AB3">
        <w:t xml:space="preserve">and </w:t>
      </w:r>
      <w:r w:rsidR="00943918" w:rsidRPr="00885AB3">
        <w:t>RSVPreF3 OA</w:t>
      </w:r>
      <w:r w:rsidRPr="00885AB3">
        <w:t>.</w:t>
      </w:r>
      <w:bookmarkEnd w:id="26"/>
    </w:p>
    <w:p w14:paraId="75B52565" w14:textId="416883DC" w:rsidR="00156801" w:rsidRPr="00885AB3" w:rsidRDefault="00156801" w:rsidP="00120D61">
      <w:pPr>
        <w:pStyle w:val="3-BodyText"/>
        <w:numPr>
          <w:ilvl w:val="0"/>
          <w:numId w:val="0"/>
        </w:numPr>
        <w:ind w:left="720"/>
      </w:pPr>
      <w:r w:rsidRPr="00885AB3">
        <w:rPr>
          <w:i/>
        </w:rPr>
        <w:t>For more detail on PBAC’s view, see section 7 PBAC outcome.</w:t>
      </w:r>
    </w:p>
    <w:p w14:paraId="0563DB8C" w14:textId="77777777" w:rsidR="006A1AFC" w:rsidRPr="00885AB3" w:rsidRDefault="006A1AFC" w:rsidP="00120D61">
      <w:pPr>
        <w:pStyle w:val="2-SectionHeading"/>
      </w:pPr>
      <w:bookmarkStart w:id="27" w:name="_Toc208390648"/>
      <w:bookmarkStart w:id="28" w:name="_Toc208392177"/>
      <w:bookmarkStart w:id="29" w:name="_Toc107902078"/>
      <w:bookmarkStart w:id="30" w:name="_Toc202884170"/>
      <w:bookmarkStart w:id="31" w:name="_Toc205822147"/>
      <w:bookmarkStart w:id="32" w:name="_Toc208998500"/>
      <w:bookmarkEnd w:id="27"/>
      <w:bookmarkEnd w:id="28"/>
      <w:bookmarkEnd w:id="29"/>
      <w:r w:rsidRPr="00885AB3">
        <w:t>Requested listing</w:t>
      </w:r>
      <w:bookmarkEnd w:id="30"/>
      <w:bookmarkEnd w:id="31"/>
      <w:bookmarkEnd w:id="32"/>
    </w:p>
    <w:tbl>
      <w:tblPr>
        <w:tblW w:w="512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Requested listing"/>
      </w:tblPr>
      <w:tblGrid>
        <w:gridCol w:w="3119"/>
        <w:gridCol w:w="1984"/>
        <w:gridCol w:w="2552"/>
        <w:gridCol w:w="1580"/>
      </w:tblGrid>
      <w:tr w:rsidR="00D25B0C" w:rsidRPr="00885AB3" w14:paraId="00055E3D" w14:textId="77777777" w:rsidTr="00795F27">
        <w:trPr>
          <w:cantSplit/>
          <w:trHeight w:val="20"/>
        </w:trPr>
        <w:tc>
          <w:tcPr>
            <w:tcW w:w="3119" w:type="dxa"/>
            <w:vAlign w:val="center"/>
          </w:tcPr>
          <w:p w14:paraId="62EA4846" w14:textId="77777777" w:rsidR="00D25B0C" w:rsidRPr="00885AB3" w:rsidRDefault="00D25B0C" w:rsidP="00120D61">
            <w:pPr>
              <w:pStyle w:val="TableFigureHeading"/>
              <w:rPr>
                <w:szCs w:val="20"/>
              </w:rPr>
            </w:pPr>
            <w:r w:rsidRPr="00885AB3">
              <w:rPr>
                <w:szCs w:val="20"/>
              </w:rPr>
              <w:t>MEDICINAL PRODUCT</w:t>
            </w:r>
          </w:p>
        </w:tc>
        <w:tc>
          <w:tcPr>
            <w:tcW w:w="1984" w:type="dxa"/>
            <w:vAlign w:val="center"/>
          </w:tcPr>
          <w:p w14:paraId="50E38B08" w14:textId="35471C1C" w:rsidR="00D25B0C" w:rsidRPr="00885AB3" w:rsidRDefault="00D25B0C" w:rsidP="00120D61">
            <w:pPr>
              <w:pStyle w:val="TableFigureHeading"/>
              <w:rPr>
                <w:szCs w:val="20"/>
              </w:rPr>
            </w:pPr>
            <w:r w:rsidRPr="00885AB3">
              <w:t>Ex-Manufacturer Price</w:t>
            </w:r>
          </w:p>
        </w:tc>
        <w:tc>
          <w:tcPr>
            <w:tcW w:w="2552" w:type="dxa"/>
            <w:vAlign w:val="center"/>
          </w:tcPr>
          <w:p w14:paraId="46080DF6" w14:textId="6EBF97E0" w:rsidR="00D25B0C" w:rsidRPr="00885AB3" w:rsidRDefault="00D25B0C" w:rsidP="00120D61">
            <w:pPr>
              <w:pStyle w:val="TableFigureHeading"/>
              <w:jc w:val="center"/>
              <w:rPr>
                <w:szCs w:val="20"/>
              </w:rPr>
            </w:pPr>
            <w:r w:rsidRPr="00885AB3">
              <w:rPr>
                <w:rFonts w:eastAsiaTheme="minorEastAsia"/>
                <w:szCs w:val="20"/>
              </w:rPr>
              <w:t>Number and timing of doses</w:t>
            </w:r>
          </w:p>
        </w:tc>
        <w:tc>
          <w:tcPr>
            <w:tcW w:w="1580" w:type="dxa"/>
            <w:vAlign w:val="center"/>
          </w:tcPr>
          <w:p w14:paraId="3E0C7C32" w14:textId="77777777" w:rsidR="00D25B0C" w:rsidRPr="00885AB3" w:rsidRDefault="00D25B0C" w:rsidP="00120D61">
            <w:pPr>
              <w:pStyle w:val="TableFigureHeading"/>
              <w:jc w:val="center"/>
              <w:rPr>
                <w:szCs w:val="20"/>
              </w:rPr>
            </w:pPr>
            <w:r w:rsidRPr="00885AB3">
              <w:rPr>
                <w:szCs w:val="20"/>
              </w:rPr>
              <w:t>Available brands</w:t>
            </w:r>
          </w:p>
        </w:tc>
      </w:tr>
      <w:tr w:rsidR="00D25B0C" w:rsidRPr="00885AB3" w14:paraId="6448107D" w14:textId="77777777" w:rsidTr="00795F27">
        <w:trPr>
          <w:cantSplit/>
          <w:trHeight w:val="20"/>
        </w:trPr>
        <w:tc>
          <w:tcPr>
            <w:tcW w:w="3119" w:type="dxa"/>
            <w:vAlign w:val="center"/>
          </w:tcPr>
          <w:p w14:paraId="68FCF5FE" w14:textId="290049DD" w:rsidR="00D25B0C" w:rsidRPr="00885AB3" w:rsidRDefault="00D25B0C" w:rsidP="00120D61">
            <w:pPr>
              <w:pStyle w:val="TableText0"/>
              <w:keepNext/>
              <w:jc w:val="left"/>
              <w:rPr>
                <w:szCs w:val="20"/>
              </w:rPr>
            </w:pPr>
            <w:r w:rsidRPr="00885AB3">
              <w:rPr>
                <w:szCs w:val="20"/>
              </w:rPr>
              <w:t>mRNA-1345, single-dose 50 µg /0.5mL, IM injection, prefilled syringe</w:t>
            </w:r>
          </w:p>
        </w:tc>
        <w:tc>
          <w:tcPr>
            <w:tcW w:w="1984" w:type="dxa"/>
            <w:vAlign w:val="center"/>
          </w:tcPr>
          <w:p w14:paraId="4B75F514" w14:textId="6D6BF5FE" w:rsidR="00D25B0C" w:rsidRPr="00885AB3" w:rsidRDefault="00D25B0C" w:rsidP="00120D61">
            <w:pPr>
              <w:pStyle w:val="TableText0"/>
              <w:keepNext/>
              <w:rPr>
                <w:szCs w:val="20"/>
              </w:rPr>
            </w:pPr>
            <w:r w:rsidRPr="00885AB3">
              <w:rPr>
                <w:szCs w:val="20"/>
              </w:rPr>
              <w:t>$</w:t>
            </w:r>
            <w:r w:rsidR="004B5AFE" w:rsidRPr="004B5AFE">
              <w:rPr>
                <w:szCs w:val="20"/>
                <w:highlight w:val="black"/>
              </w:rPr>
              <w:t xml:space="preserve"> &amp;&amp;&amp;&amp;</w:t>
            </w:r>
          </w:p>
        </w:tc>
        <w:tc>
          <w:tcPr>
            <w:tcW w:w="2552" w:type="dxa"/>
            <w:vAlign w:val="center"/>
          </w:tcPr>
          <w:p w14:paraId="7B98ABE7" w14:textId="4EE9D49A" w:rsidR="00D25B0C" w:rsidRPr="00885AB3" w:rsidRDefault="00D25B0C" w:rsidP="00120D61">
            <w:pPr>
              <w:pStyle w:val="TableText0"/>
              <w:keepNext/>
              <w:rPr>
                <w:szCs w:val="20"/>
              </w:rPr>
            </w:pPr>
            <w:r w:rsidRPr="00885AB3">
              <w:rPr>
                <w:szCs w:val="20"/>
              </w:rPr>
              <w:t>1 dose</w:t>
            </w:r>
            <w:r w:rsidR="00EC69D8" w:rsidRPr="00885AB3">
              <w:rPr>
                <w:szCs w:val="20"/>
              </w:rPr>
              <w:t xml:space="preserve"> </w:t>
            </w:r>
            <w:r w:rsidRPr="00885AB3">
              <w:rPr>
                <w:szCs w:val="20"/>
                <w:vertAlign w:val="superscript"/>
              </w:rPr>
              <w:t>a</w:t>
            </w:r>
          </w:p>
        </w:tc>
        <w:tc>
          <w:tcPr>
            <w:tcW w:w="1580" w:type="dxa"/>
            <w:vAlign w:val="center"/>
          </w:tcPr>
          <w:p w14:paraId="2B07C61D" w14:textId="5827A003" w:rsidR="00D25B0C" w:rsidRPr="00885AB3" w:rsidRDefault="00D25B0C" w:rsidP="00120D61">
            <w:pPr>
              <w:pStyle w:val="TableText0"/>
              <w:keepNext/>
              <w:rPr>
                <w:szCs w:val="20"/>
              </w:rPr>
            </w:pPr>
            <w:proofErr w:type="spellStart"/>
            <w:r w:rsidRPr="00885AB3">
              <w:rPr>
                <w:szCs w:val="20"/>
              </w:rPr>
              <w:t>mRESVIA</w:t>
            </w:r>
            <w:proofErr w:type="spellEnd"/>
          </w:p>
        </w:tc>
      </w:tr>
      <w:tr w:rsidR="00FD294A" w:rsidRPr="00885AB3" w14:paraId="187905B8" w14:textId="77777777">
        <w:trPr>
          <w:cantSplit/>
          <w:trHeight w:val="20"/>
        </w:trPr>
        <w:tc>
          <w:tcPr>
            <w:tcW w:w="9235" w:type="dxa"/>
            <w:gridSpan w:val="4"/>
            <w:vAlign w:val="center"/>
          </w:tcPr>
          <w:p w14:paraId="3BAD6FF7" w14:textId="77777777" w:rsidR="006A1AFC" w:rsidRPr="00885AB3" w:rsidRDefault="006A1AFC" w:rsidP="00120D61">
            <w:pPr>
              <w:pStyle w:val="TableText0"/>
              <w:keepNext/>
              <w:jc w:val="left"/>
              <w:rPr>
                <w:szCs w:val="20"/>
              </w:rPr>
            </w:pPr>
            <w:r w:rsidRPr="00885AB3">
              <w:rPr>
                <w:szCs w:val="20"/>
              </w:rPr>
              <w:t>National immunisation program</w:t>
            </w:r>
          </w:p>
          <w:p w14:paraId="07AD276F" w14:textId="5D4F2E2C" w:rsidR="006A1AFC" w:rsidRPr="00885AB3" w:rsidRDefault="006A1AFC" w:rsidP="00120D61">
            <w:pPr>
              <w:pStyle w:val="TableText0"/>
              <w:keepNext/>
              <w:jc w:val="left"/>
              <w:rPr>
                <w:szCs w:val="20"/>
              </w:rPr>
            </w:pPr>
            <w:r w:rsidRPr="00885AB3">
              <w:rPr>
                <w:szCs w:val="20"/>
              </w:rPr>
              <w:t>•</w:t>
            </w:r>
            <w:r w:rsidRPr="00885AB3">
              <w:rPr>
                <w:szCs w:val="20"/>
              </w:rPr>
              <w:tab/>
            </w:r>
            <w:r w:rsidR="00EF2FA4">
              <w:rPr>
                <w:szCs w:val="20"/>
              </w:rPr>
              <w:t xml:space="preserve">≥ </w:t>
            </w:r>
            <w:r w:rsidRPr="00885AB3">
              <w:rPr>
                <w:szCs w:val="20"/>
              </w:rPr>
              <w:t>75 years of age</w:t>
            </w:r>
          </w:p>
          <w:p w14:paraId="18CE727E" w14:textId="77777777" w:rsidR="006A1AFC" w:rsidRPr="00885AB3" w:rsidRDefault="006A1AFC" w:rsidP="00120D61">
            <w:pPr>
              <w:pStyle w:val="TableText0"/>
              <w:keepNext/>
              <w:jc w:val="left"/>
              <w:rPr>
                <w:szCs w:val="20"/>
              </w:rPr>
            </w:pPr>
            <w:r w:rsidRPr="00885AB3">
              <w:rPr>
                <w:szCs w:val="20"/>
              </w:rPr>
              <w:t>•</w:t>
            </w:r>
            <w:r w:rsidRPr="00885AB3">
              <w:rPr>
                <w:szCs w:val="20"/>
              </w:rPr>
              <w:tab/>
              <w:t xml:space="preserve">Aboriginal and Torres Strait Islander people aged 60-74 </w:t>
            </w:r>
          </w:p>
          <w:p w14:paraId="430B02D9" w14:textId="77777777" w:rsidR="006A1AFC" w:rsidRPr="00885AB3" w:rsidRDefault="006A1AFC" w:rsidP="00120D61">
            <w:pPr>
              <w:pStyle w:val="TableText0"/>
              <w:keepNext/>
              <w:jc w:val="left"/>
              <w:rPr>
                <w:szCs w:val="20"/>
              </w:rPr>
            </w:pPr>
            <w:r w:rsidRPr="00885AB3">
              <w:rPr>
                <w:szCs w:val="20"/>
              </w:rPr>
              <w:t>Duration of listing: ongoing NIP cohort</w:t>
            </w:r>
          </w:p>
        </w:tc>
      </w:tr>
    </w:tbl>
    <w:p w14:paraId="176F2CD6" w14:textId="77777777" w:rsidR="00A21B21" w:rsidRPr="00885AB3" w:rsidRDefault="00A21B21" w:rsidP="00120D61">
      <w:pPr>
        <w:pStyle w:val="TableFooter"/>
        <w:keepNext/>
        <w:keepLines/>
      </w:pPr>
      <w:r w:rsidRPr="00885AB3">
        <w:t>Source: Table 1-5, p40 of the submission.</w:t>
      </w:r>
    </w:p>
    <w:p w14:paraId="646E9B46" w14:textId="77777777" w:rsidR="00885AB3" w:rsidRDefault="00A21B21" w:rsidP="00120D61">
      <w:pPr>
        <w:pStyle w:val="TableFooter"/>
        <w:keepNext/>
        <w:keepLines/>
        <w:rPr>
          <w:vertAlign w:val="superscript"/>
        </w:rPr>
      </w:pPr>
      <w:r w:rsidRPr="00885AB3">
        <w:t>IM = intramuscular; NIP = National Immunization Program</w:t>
      </w:r>
      <w:r w:rsidRPr="00885AB3">
        <w:rPr>
          <w:vertAlign w:val="superscript"/>
        </w:rPr>
        <w:t xml:space="preserve"> </w:t>
      </w:r>
    </w:p>
    <w:p w14:paraId="3CDD4195" w14:textId="3B631D7A" w:rsidR="006A1AFC" w:rsidRDefault="00DB4804" w:rsidP="00120D61">
      <w:pPr>
        <w:pStyle w:val="TableFooter"/>
        <w:keepNext/>
        <w:keepLines/>
      </w:pPr>
      <w:proofErr w:type="spellStart"/>
      <w:r w:rsidRPr="00885AB3">
        <w:rPr>
          <w:vertAlign w:val="superscript"/>
        </w:rPr>
        <w:t>a</w:t>
      </w:r>
      <w:proofErr w:type="spellEnd"/>
      <w:r w:rsidRPr="00885AB3">
        <w:t xml:space="preserve"> The submission stated that booster frequency was “to be determined”, however the submission requested </w:t>
      </w:r>
      <w:r w:rsidR="00E21C69" w:rsidRPr="00885AB3">
        <w:t>NIP listing of a single injection for vaccination against RSV-disease caused by RSV in adults aged 75 years and older, or Aboriginal and Torres Strait Islander people aged 60-74 years (p40 of submission).</w:t>
      </w:r>
    </w:p>
    <w:p w14:paraId="37214B58" w14:textId="77777777" w:rsidR="00E1248C" w:rsidRPr="00E1248C" w:rsidRDefault="00E1248C" w:rsidP="00120D61"/>
    <w:p w14:paraId="52A9CEC3" w14:textId="77D8DC46" w:rsidR="006A1AFC" w:rsidRPr="00885AB3" w:rsidRDefault="006A1AFC" w:rsidP="00120D61">
      <w:pPr>
        <w:pStyle w:val="3-BodyText"/>
      </w:pPr>
      <w:r w:rsidRPr="00885AB3">
        <w:t>The price proposed in the submission</w:t>
      </w:r>
      <w:r w:rsidR="00BE0BF7" w:rsidRPr="00885AB3">
        <w:t xml:space="preserve"> for mRNA-1345</w:t>
      </w:r>
      <w:r w:rsidRPr="00885AB3">
        <w:t xml:space="preserve"> was $</w:t>
      </w:r>
      <w:r w:rsidR="004B5AFE" w:rsidRPr="004B5AFE">
        <w:rPr>
          <w:highlight w:val="black"/>
        </w:rPr>
        <w:t xml:space="preserve"> &amp;&amp;&amp;&amp;</w:t>
      </w:r>
      <w:r w:rsidRPr="00885AB3">
        <w:t xml:space="preserve"> per dose.</w:t>
      </w:r>
      <w:r w:rsidRPr="00885AB3">
        <w:rPr>
          <w:i/>
        </w:rPr>
        <w:t xml:space="preserve"> </w:t>
      </w:r>
    </w:p>
    <w:p w14:paraId="576DFCE9" w14:textId="7698BBCC" w:rsidR="006A1AFC" w:rsidRPr="00885AB3" w:rsidRDefault="006A1AFC" w:rsidP="00120D61">
      <w:pPr>
        <w:pStyle w:val="3-BodyText"/>
        <w:rPr>
          <w:i/>
        </w:rPr>
      </w:pPr>
      <w:r w:rsidRPr="00885AB3">
        <w:lastRenderedPageBreak/>
        <w:t xml:space="preserve">The </w:t>
      </w:r>
      <w:r w:rsidR="00DB4804" w:rsidRPr="00885AB3">
        <w:t xml:space="preserve">submission </w:t>
      </w:r>
      <w:r w:rsidRPr="00885AB3">
        <w:t xml:space="preserve">proposed </w:t>
      </w:r>
      <w:r w:rsidR="00DB4804" w:rsidRPr="00885AB3">
        <w:t>that</w:t>
      </w:r>
      <w:r w:rsidRPr="00885AB3">
        <w:t xml:space="preserve"> mRNA-1345 </w:t>
      </w:r>
      <w:r w:rsidR="00DB4804" w:rsidRPr="00885AB3">
        <w:t xml:space="preserve">could </w:t>
      </w:r>
      <w:r w:rsidRPr="00885AB3">
        <w:t xml:space="preserve">be given at any time of the year but, where possible, </w:t>
      </w:r>
      <w:r w:rsidR="00DB4804" w:rsidRPr="00885AB3">
        <w:t xml:space="preserve">it </w:t>
      </w:r>
      <w:r w:rsidRPr="00885AB3">
        <w:t>should be offered from March onwards (before the start of the RSV season)</w:t>
      </w:r>
      <w:r w:rsidR="009B601D" w:rsidRPr="00885AB3">
        <w:t>,</w:t>
      </w:r>
      <w:r w:rsidRPr="00885AB3">
        <w:t xml:space="preserve"> where seasonality exists. </w:t>
      </w:r>
    </w:p>
    <w:p w14:paraId="07037F17" w14:textId="42FE2188" w:rsidR="005C7CED" w:rsidRPr="00885AB3" w:rsidRDefault="006A1AFC" w:rsidP="00120D61">
      <w:pPr>
        <w:pStyle w:val="3-BodyText"/>
      </w:pPr>
      <w:r w:rsidRPr="00885AB3">
        <w:t xml:space="preserve">The submission stated that it is expected that mRNA-1345 will be able to be </w:t>
      </w:r>
      <w:proofErr w:type="spellStart"/>
      <w:r w:rsidRPr="00885AB3">
        <w:t>coadministered</w:t>
      </w:r>
      <w:proofErr w:type="spellEnd"/>
      <w:r w:rsidRPr="00885AB3">
        <w:t xml:space="preserve"> with COVID-19 vaccines and influenza vaccines. </w:t>
      </w:r>
      <w:r w:rsidR="00A2319B" w:rsidRPr="00885AB3">
        <w:t xml:space="preserve">In general, </w:t>
      </w:r>
      <w:r w:rsidRPr="00885AB3">
        <w:t>ATAGI supports the coadministration of adult vaccines unless there is evidence to recommend separation (ATAGI Advice, June 2025)</w:t>
      </w:r>
      <w:r w:rsidR="00A2319B" w:rsidRPr="00885AB3">
        <w:t>, which may be the case for mRNA-1345</w:t>
      </w:r>
      <w:r w:rsidRPr="00885AB3">
        <w:t xml:space="preserve">. </w:t>
      </w:r>
      <w:r w:rsidR="007F12F3" w:rsidRPr="00885AB3">
        <w:t>The evaluation noted that a</w:t>
      </w:r>
      <w:r w:rsidRPr="00885AB3">
        <w:t xml:space="preserve">lthough coadministration may improve vaccine uptake, neutralising antibodies and the rate of seroconversion may be lower for mRNA-1345 when </w:t>
      </w:r>
      <w:proofErr w:type="spellStart"/>
      <w:r w:rsidRPr="00885AB3">
        <w:t>coadministered</w:t>
      </w:r>
      <w:proofErr w:type="spellEnd"/>
      <w:r w:rsidRPr="00885AB3">
        <w:t xml:space="preserve"> with an influenza vaccine than when administered alone. While the clinical significance of this on vaccine efficacy is unknown (ATAGI Advice, June 2025), ATAGI ha</w:t>
      </w:r>
      <w:r w:rsidR="00C32B93" w:rsidRPr="00885AB3">
        <w:t>s</w:t>
      </w:r>
      <w:r w:rsidRPr="00885AB3">
        <w:t xml:space="preserve"> suggested that mRNA-1345 should be delivered alone (ATAGI Advice, June 2025).</w:t>
      </w:r>
      <w:r w:rsidR="005C7CED" w:rsidRPr="00885AB3">
        <w:t xml:space="preserve"> The submission</w:t>
      </w:r>
      <w:r w:rsidR="005C7CED" w:rsidRPr="00885AB3" w:rsidDel="006A2D01">
        <w:t xml:space="preserve"> </w:t>
      </w:r>
      <w:r w:rsidR="005C7CED" w:rsidRPr="00885AB3">
        <w:t>referred to 2 ongoing studies that are evaluating coadministration of mRNA-1345:</w:t>
      </w:r>
    </w:p>
    <w:p w14:paraId="3F9D357B" w14:textId="77777777" w:rsidR="005C7CED" w:rsidRPr="00885AB3" w:rsidRDefault="005C7CED" w:rsidP="00120D61">
      <w:pPr>
        <w:pStyle w:val="3-BodyText"/>
        <w:numPr>
          <w:ilvl w:val="0"/>
          <w:numId w:val="41"/>
        </w:numPr>
      </w:pPr>
      <w:proofErr w:type="spellStart"/>
      <w:r w:rsidRPr="00885AB3">
        <w:t>RSVictory</w:t>
      </w:r>
      <w:proofErr w:type="spellEnd"/>
      <w:r w:rsidRPr="00885AB3">
        <w:t xml:space="preserve"> for coadministration with influenza [Afluria® Quadrivalent; SIIV4] and COVID-19 [mRNA-1273.222] vaccines;</w:t>
      </w:r>
    </w:p>
    <w:p w14:paraId="434AACDC" w14:textId="0FD62392" w:rsidR="007B2334" w:rsidRPr="00885AB3" w:rsidRDefault="005C7CED" w:rsidP="00120D61">
      <w:pPr>
        <w:pStyle w:val="3-BodyText"/>
        <w:numPr>
          <w:ilvl w:val="0"/>
          <w:numId w:val="41"/>
        </w:numPr>
      </w:pPr>
      <w:proofErr w:type="spellStart"/>
      <w:r w:rsidRPr="00885AB3">
        <w:t>RSVibrant</w:t>
      </w:r>
      <w:proofErr w:type="spellEnd"/>
      <w:r w:rsidRPr="00885AB3">
        <w:t xml:space="preserve"> for coadministration with influenza vaccine [Fluzone HD]).</w:t>
      </w:r>
    </w:p>
    <w:p w14:paraId="74106C87" w14:textId="6803F59D" w:rsidR="006A1AFC" w:rsidRPr="00885AB3" w:rsidRDefault="006A1AFC" w:rsidP="00120D61">
      <w:pPr>
        <w:pStyle w:val="3-BodyText"/>
        <w:rPr>
          <w:rFonts w:cstheme="minorHAnsi"/>
          <w:iCs/>
        </w:rPr>
      </w:pPr>
      <w:r w:rsidRPr="00885AB3">
        <w:rPr>
          <w:iCs/>
        </w:rPr>
        <w:t>The</w:t>
      </w:r>
      <w:r w:rsidR="006010E8" w:rsidRPr="00885AB3">
        <w:rPr>
          <w:iCs/>
        </w:rPr>
        <w:t xml:space="preserve"> evaluation noted that the</w:t>
      </w:r>
      <w:r w:rsidRPr="00885AB3">
        <w:rPr>
          <w:iCs/>
        </w:rPr>
        <w:t xml:space="preserve"> requested </w:t>
      </w:r>
      <w:r w:rsidR="00BA40B3" w:rsidRPr="00885AB3">
        <w:rPr>
          <w:iCs/>
        </w:rPr>
        <w:t>NIP listing</w:t>
      </w:r>
      <w:r w:rsidR="006E69AB" w:rsidRPr="00885AB3">
        <w:rPr>
          <w:iCs/>
        </w:rPr>
        <w:t xml:space="preserve"> for </w:t>
      </w:r>
      <w:r w:rsidR="00A02A62" w:rsidRPr="00885AB3">
        <w:rPr>
          <w:rFonts w:cstheme="minorHAnsi"/>
          <w:iCs/>
        </w:rPr>
        <w:t>a</w:t>
      </w:r>
      <w:r w:rsidR="0093216A" w:rsidRPr="00885AB3">
        <w:rPr>
          <w:rFonts w:cstheme="minorHAnsi"/>
          <w:iCs/>
        </w:rPr>
        <w:t xml:space="preserve">dults aged </w:t>
      </w:r>
      <w:r w:rsidR="00EF2FA4">
        <w:rPr>
          <w:rFonts w:cstheme="minorHAnsi"/>
          <w:iCs/>
        </w:rPr>
        <w:t xml:space="preserve">≥ </w:t>
      </w:r>
      <w:r w:rsidR="0093216A" w:rsidRPr="00885AB3">
        <w:rPr>
          <w:rFonts w:cstheme="minorHAnsi"/>
          <w:iCs/>
        </w:rPr>
        <w:t xml:space="preserve">75 </w:t>
      </w:r>
      <w:r w:rsidR="007C4215" w:rsidRPr="00885AB3">
        <w:rPr>
          <w:rFonts w:cstheme="minorHAnsi"/>
          <w:iCs/>
        </w:rPr>
        <w:t>YOA</w:t>
      </w:r>
      <w:r w:rsidR="0093216A" w:rsidRPr="00885AB3">
        <w:rPr>
          <w:rFonts w:cstheme="minorHAnsi"/>
          <w:iCs/>
        </w:rPr>
        <w:t xml:space="preserve"> and Aboriginal and Torres Strait Islander people aged 60-74 </w:t>
      </w:r>
      <w:r w:rsidR="007C4215" w:rsidRPr="00885AB3">
        <w:rPr>
          <w:rFonts w:cstheme="minorHAnsi"/>
          <w:iCs/>
        </w:rPr>
        <w:t>YOA</w:t>
      </w:r>
      <w:r w:rsidR="00BA40B3" w:rsidRPr="00885AB3">
        <w:rPr>
          <w:rFonts w:cstheme="minorHAnsi"/>
          <w:iCs/>
        </w:rPr>
        <w:t xml:space="preserve"> </w:t>
      </w:r>
      <w:r w:rsidRPr="00885AB3">
        <w:rPr>
          <w:rFonts w:cstheme="minorHAnsi"/>
          <w:iCs/>
        </w:rPr>
        <w:t xml:space="preserve">is </w:t>
      </w:r>
      <w:r w:rsidR="00BA40B3" w:rsidRPr="00885AB3">
        <w:rPr>
          <w:rFonts w:cstheme="minorHAnsi"/>
          <w:iCs/>
        </w:rPr>
        <w:t xml:space="preserve">narrower than </w:t>
      </w:r>
      <w:r w:rsidRPr="00885AB3">
        <w:rPr>
          <w:rFonts w:cstheme="minorHAnsi"/>
          <w:iCs/>
        </w:rPr>
        <w:t>the approved TGA indication</w:t>
      </w:r>
      <w:r w:rsidR="00BA40B3" w:rsidRPr="00885AB3">
        <w:rPr>
          <w:rFonts w:cstheme="minorHAnsi"/>
          <w:iCs/>
        </w:rPr>
        <w:t xml:space="preserve">, which refers to adults 60 </w:t>
      </w:r>
      <w:r w:rsidR="00B10783" w:rsidRPr="00885AB3">
        <w:rPr>
          <w:rFonts w:cstheme="minorHAnsi"/>
          <w:iCs/>
        </w:rPr>
        <w:t>YOA</w:t>
      </w:r>
      <w:r w:rsidR="00BA40B3" w:rsidRPr="00885AB3">
        <w:rPr>
          <w:rFonts w:cstheme="minorHAnsi"/>
          <w:iCs/>
        </w:rPr>
        <w:t xml:space="preserve"> and older. T</w:t>
      </w:r>
      <w:r w:rsidRPr="00885AB3">
        <w:rPr>
          <w:rFonts w:cstheme="minorHAnsi"/>
          <w:iCs/>
        </w:rPr>
        <w:t>he analyses conducted in</w:t>
      </w:r>
      <w:r w:rsidR="00DA3C3F" w:rsidRPr="00885AB3">
        <w:rPr>
          <w:rFonts w:cstheme="minorHAnsi"/>
          <w:iCs/>
        </w:rPr>
        <w:t xml:space="preserve"> the</w:t>
      </w:r>
      <w:r w:rsidR="00717D16" w:rsidRPr="00885AB3">
        <w:rPr>
          <w:rFonts w:cstheme="minorHAnsi"/>
          <w:iCs/>
        </w:rPr>
        <w:t xml:space="preserve"> econo</w:t>
      </w:r>
      <w:r w:rsidR="00D76B7A" w:rsidRPr="00885AB3">
        <w:rPr>
          <w:rFonts w:cstheme="minorHAnsi"/>
          <w:iCs/>
        </w:rPr>
        <w:t>mic and financial sections of the</w:t>
      </w:r>
      <w:r w:rsidR="00DA3C3F" w:rsidRPr="00885AB3">
        <w:rPr>
          <w:rFonts w:cstheme="minorHAnsi"/>
          <w:iCs/>
        </w:rPr>
        <w:t xml:space="preserve"> submission</w:t>
      </w:r>
      <w:r w:rsidR="00BA40B3" w:rsidRPr="00885AB3">
        <w:rPr>
          <w:rFonts w:cstheme="minorHAnsi"/>
          <w:iCs/>
        </w:rPr>
        <w:t xml:space="preserve"> </w:t>
      </w:r>
      <w:r w:rsidR="0081466B" w:rsidRPr="00885AB3">
        <w:rPr>
          <w:rFonts w:cstheme="minorHAnsi"/>
          <w:iCs/>
        </w:rPr>
        <w:t xml:space="preserve">encompass </w:t>
      </w:r>
      <w:r w:rsidR="00BA40B3" w:rsidRPr="00885AB3">
        <w:rPr>
          <w:rFonts w:cstheme="minorHAnsi"/>
          <w:iCs/>
        </w:rPr>
        <w:t xml:space="preserve">the two populations </w:t>
      </w:r>
      <w:r w:rsidR="00550102" w:rsidRPr="00885AB3">
        <w:rPr>
          <w:rFonts w:cstheme="minorHAnsi"/>
          <w:iCs/>
        </w:rPr>
        <w:t>for which listing is being sought</w:t>
      </w:r>
      <w:r w:rsidR="00C62F51" w:rsidRPr="00885AB3">
        <w:rPr>
          <w:rFonts w:cstheme="minorHAnsi"/>
          <w:iCs/>
        </w:rPr>
        <w:t>;</w:t>
      </w:r>
      <w:r w:rsidRPr="00885AB3">
        <w:rPr>
          <w:rFonts w:cstheme="minorHAnsi"/>
          <w:iCs/>
        </w:rPr>
        <w:t xml:space="preserve"> </w:t>
      </w:r>
      <w:r w:rsidR="00C62F51" w:rsidRPr="00885AB3">
        <w:rPr>
          <w:rFonts w:cstheme="minorHAnsi"/>
          <w:iCs/>
        </w:rPr>
        <w:t xml:space="preserve">however, </w:t>
      </w:r>
      <w:r w:rsidRPr="00885AB3">
        <w:rPr>
          <w:rFonts w:cstheme="minorHAnsi"/>
          <w:iCs/>
        </w:rPr>
        <w:t xml:space="preserve">the submission used VE from the entire trial population (adults aged </w:t>
      </w:r>
      <w:r w:rsidR="00EF2FA4">
        <w:rPr>
          <w:rFonts w:cstheme="minorHAnsi"/>
          <w:iCs/>
        </w:rPr>
        <w:t xml:space="preserve">≥ </w:t>
      </w:r>
      <w:r w:rsidRPr="00885AB3">
        <w:rPr>
          <w:rFonts w:cstheme="minorHAnsi"/>
          <w:iCs/>
        </w:rPr>
        <w:t xml:space="preserve">60 YOA) in the </w:t>
      </w:r>
      <w:r w:rsidR="00CC2A9D" w:rsidRPr="00885AB3">
        <w:rPr>
          <w:rFonts w:cstheme="minorHAnsi"/>
          <w:iCs/>
        </w:rPr>
        <w:t>CUA</w:t>
      </w:r>
      <w:r w:rsidR="008A369C" w:rsidRPr="00885AB3">
        <w:rPr>
          <w:rFonts w:cstheme="minorHAnsi"/>
          <w:iCs/>
        </w:rPr>
        <w:t xml:space="preserve"> to determine</w:t>
      </w:r>
      <w:r w:rsidR="00AC5042" w:rsidRPr="00885AB3">
        <w:rPr>
          <w:rFonts w:cstheme="minorHAnsi"/>
          <w:iCs/>
        </w:rPr>
        <w:t xml:space="preserve"> cost effectiveness</w:t>
      </w:r>
      <w:r w:rsidR="00DF6609" w:rsidRPr="00885AB3">
        <w:rPr>
          <w:rFonts w:cstheme="minorHAnsi"/>
          <w:iCs/>
        </w:rPr>
        <w:t xml:space="preserve"> for</w:t>
      </w:r>
      <w:r w:rsidRPr="00885AB3">
        <w:rPr>
          <w:rFonts w:cstheme="minorHAnsi"/>
          <w:iCs/>
        </w:rPr>
        <w:t xml:space="preserve"> adults aged </w:t>
      </w:r>
      <w:r w:rsidR="00EF2FA4">
        <w:rPr>
          <w:rFonts w:cstheme="minorHAnsi"/>
          <w:iCs/>
        </w:rPr>
        <w:t xml:space="preserve">≥ </w:t>
      </w:r>
      <w:r w:rsidRPr="00885AB3">
        <w:rPr>
          <w:rFonts w:cstheme="minorHAnsi"/>
          <w:iCs/>
        </w:rPr>
        <w:t>75 YOA and Aboriginal and Torres Strait Islander people aged 60-74 years</w:t>
      </w:r>
      <w:r w:rsidR="00717EB9" w:rsidRPr="00885AB3">
        <w:rPr>
          <w:rFonts w:cstheme="minorHAnsi"/>
          <w:iCs/>
        </w:rPr>
        <w:t xml:space="preserve"> (see paragraph </w:t>
      </w:r>
      <w:r w:rsidR="008D26F2" w:rsidRPr="00885AB3">
        <w:rPr>
          <w:rFonts w:cstheme="minorHAnsi"/>
          <w:iCs/>
        </w:rPr>
        <w:fldChar w:fldCharType="begin" w:fldLock="1"/>
      </w:r>
      <w:r w:rsidR="008D26F2" w:rsidRPr="00885AB3">
        <w:rPr>
          <w:rFonts w:cstheme="minorHAnsi"/>
          <w:iCs/>
        </w:rPr>
        <w:instrText xml:space="preserve"> REF _Ref211808301 \r \h </w:instrText>
      </w:r>
      <w:r w:rsidR="005F5B2F" w:rsidRPr="00885AB3">
        <w:rPr>
          <w:rFonts w:cstheme="minorHAnsi"/>
          <w:iCs/>
        </w:rPr>
        <w:instrText xml:space="preserve"> \* MERGEFORMAT </w:instrText>
      </w:r>
      <w:r w:rsidR="008D26F2" w:rsidRPr="00885AB3">
        <w:rPr>
          <w:rFonts w:cstheme="minorHAnsi"/>
          <w:iCs/>
        </w:rPr>
      </w:r>
      <w:r w:rsidR="008D26F2" w:rsidRPr="00885AB3">
        <w:rPr>
          <w:rFonts w:cstheme="minorHAnsi"/>
          <w:iCs/>
        </w:rPr>
        <w:fldChar w:fldCharType="separate"/>
      </w:r>
      <w:r w:rsidR="00515933" w:rsidRPr="00885AB3">
        <w:rPr>
          <w:rFonts w:cstheme="minorHAnsi"/>
          <w:iCs/>
        </w:rPr>
        <w:t>6.77</w:t>
      </w:r>
      <w:r w:rsidR="008D26F2" w:rsidRPr="00885AB3">
        <w:rPr>
          <w:rFonts w:cstheme="minorHAnsi"/>
          <w:iCs/>
        </w:rPr>
        <w:fldChar w:fldCharType="end"/>
      </w:r>
      <w:r w:rsidR="008D26F2" w:rsidRPr="00885AB3">
        <w:rPr>
          <w:rFonts w:cstheme="minorHAnsi"/>
          <w:iCs/>
        </w:rPr>
        <w:t xml:space="preserve"> </w:t>
      </w:r>
      <w:r w:rsidR="008D26F2" w:rsidRPr="00885AB3">
        <w:rPr>
          <w:rFonts w:cstheme="minorHAnsi"/>
          <w:iCs/>
        </w:rPr>
        <w:fldChar w:fldCharType="begin" w:fldLock="1"/>
      </w:r>
      <w:r w:rsidR="008D26F2" w:rsidRPr="00885AB3">
        <w:rPr>
          <w:rFonts w:cstheme="minorHAnsi"/>
          <w:iCs/>
        </w:rPr>
        <w:instrText xml:space="preserve"> REF _Ref211808301 \p \h </w:instrText>
      </w:r>
      <w:r w:rsidR="005F5B2F" w:rsidRPr="00885AB3">
        <w:rPr>
          <w:rFonts w:cstheme="minorHAnsi"/>
          <w:iCs/>
        </w:rPr>
        <w:instrText xml:space="preserve"> \* MERGEFORMAT </w:instrText>
      </w:r>
      <w:r w:rsidR="008D26F2" w:rsidRPr="00885AB3">
        <w:rPr>
          <w:rFonts w:cstheme="minorHAnsi"/>
          <w:iCs/>
        </w:rPr>
      </w:r>
      <w:r w:rsidR="008D26F2" w:rsidRPr="00885AB3">
        <w:rPr>
          <w:rFonts w:cstheme="minorHAnsi"/>
          <w:iCs/>
        </w:rPr>
        <w:fldChar w:fldCharType="separate"/>
      </w:r>
      <w:r w:rsidR="00515933" w:rsidRPr="00885AB3">
        <w:rPr>
          <w:rFonts w:cstheme="minorHAnsi"/>
          <w:iCs/>
        </w:rPr>
        <w:t>below</w:t>
      </w:r>
      <w:r w:rsidR="008D26F2" w:rsidRPr="00885AB3">
        <w:rPr>
          <w:rFonts w:cstheme="minorHAnsi"/>
          <w:iCs/>
        </w:rPr>
        <w:fldChar w:fldCharType="end"/>
      </w:r>
      <w:r w:rsidR="00717EB9" w:rsidRPr="00885AB3">
        <w:rPr>
          <w:rFonts w:cstheme="minorHAnsi"/>
          <w:iCs/>
        </w:rPr>
        <w:t>)</w:t>
      </w:r>
      <w:r w:rsidRPr="00885AB3">
        <w:rPr>
          <w:rFonts w:cstheme="minorHAnsi"/>
          <w:iCs/>
        </w:rPr>
        <w:t xml:space="preserve">. Subgroup analyses according to age were presented in </w:t>
      </w:r>
      <w:r w:rsidR="00BA40B3" w:rsidRPr="00885AB3">
        <w:rPr>
          <w:rFonts w:cstheme="minorHAnsi"/>
          <w:iCs/>
        </w:rPr>
        <w:t>the submission</w:t>
      </w:r>
      <w:r w:rsidRPr="00885AB3">
        <w:rPr>
          <w:rFonts w:cstheme="minorHAnsi"/>
          <w:iCs/>
        </w:rPr>
        <w:t xml:space="preserve">. </w:t>
      </w:r>
    </w:p>
    <w:p w14:paraId="40342A62" w14:textId="0590804C" w:rsidR="00CE1EB1" w:rsidRPr="00885AB3" w:rsidRDefault="00CE1EB1" w:rsidP="00120D61">
      <w:pPr>
        <w:pStyle w:val="3-BodyText"/>
        <w:rPr>
          <w:rFonts w:cstheme="minorHAnsi"/>
          <w:iCs/>
        </w:rPr>
      </w:pPr>
      <w:r w:rsidRPr="00885AB3">
        <w:rPr>
          <w:iCs/>
        </w:rPr>
        <w:t xml:space="preserve">The 2024 ATAGI advice advised that ATAGI’s preferred target population is for 1) otherwise healthy adults aged 75 years and older; 2) Aboriginal and Torres Strait Islander people aged </w:t>
      </w:r>
      <w:r w:rsidR="00EF2FA4">
        <w:rPr>
          <w:rFonts w:cs="Calibri"/>
          <w:iCs/>
        </w:rPr>
        <w:t xml:space="preserve">≥ </w:t>
      </w:r>
      <w:r w:rsidRPr="00885AB3">
        <w:rPr>
          <w:iCs/>
        </w:rPr>
        <w:t>60 years; and 3) high-risk</w:t>
      </w:r>
      <w:r w:rsidR="00101BFB" w:rsidRPr="00885AB3">
        <w:rPr>
          <w:iCs/>
        </w:rPr>
        <w:t xml:space="preserve"> adults</w:t>
      </w:r>
      <w:r w:rsidRPr="00885AB3">
        <w:rPr>
          <w:iCs/>
        </w:rPr>
        <w:t xml:space="preserve"> aged</w:t>
      </w:r>
      <w:r w:rsidR="00E3705E" w:rsidRPr="00885AB3">
        <w:rPr>
          <w:iCs/>
        </w:rPr>
        <w:t xml:space="preserve"> </w:t>
      </w:r>
      <w:r w:rsidR="00EF2FA4">
        <w:rPr>
          <w:rFonts w:cs="Calibri"/>
          <w:iCs/>
        </w:rPr>
        <w:t xml:space="preserve">≥ </w:t>
      </w:r>
      <w:r w:rsidRPr="00885AB3">
        <w:rPr>
          <w:iCs/>
        </w:rPr>
        <w:t>60 years. The current submission did not request</w:t>
      </w:r>
      <w:r w:rsidR="00211E37" w:rsidRPr="00885AB3">
        <w:rPr>
          <w:iCs/>
        </w:rPr>
        <w:t xml:space="preserve"> a</w:t>
      </w:r>
      <w:r w:rsidRPr="00885AB3">
        <w:rPr>
          <w:iCs/>
        </w:rPr>
        <w:t xml:space="preserve"> listing for the third group.</w:t>
      </w:r>
    </w:p>
    <w:p w14:paraId="152F0BDC" w14:textId="77777777" w:rsidR="003C2733" w:rsidRPr="00885AB3" w:rsidRDefault="003C2733" w:rsidP="00120D61">
      <w:pPr>
        <w:pStyle w:val="3-BodyText"/>
        <w:keepNext/>
        <w:numPr>
          <w:ilvl w:val="0"/>
          <w:numId w:val="0"/>
        </w:numPr>
        <w:ind w:left="720"/>
        <w:rPr>
          <w:rFonts w:cstheme="minorHAnsi"/>
          <w:b/>
          <w:bCs/>
          <w:i/>
        </w:rPr>
      </w:pPr>
      <w:r w:rsidRPr="00885AB3">
        <w:rPr>
          <w:rFonts w:cstheme="minorHAnsi"/>
          <w:b/>
          <w:bCs/>
          <w:i/>
        </w:rPr>
        <w:t>Revaccination</w:t>
      </w:r>
    </w:p>
    <w:p w14:paraId="519238F1" w14:textId="433FE17D" w:rsidR="003C2733" w:rsidRPr="00885AB3" w:rsidRDefault="003C2733" w:rsidP="00120D61">
      <w:pPr>
        <w:pStyle w:val="3-BodyText"/>
        <w:rPr>
          <w:iCs/>
        </w:rPr>
      </w:pPr>
      <w:r w:rsidRPr="00885AB3">
        <w:t>The submission stated that the need for revaccination with mRNA-1345 has not been established. The submission did not specify when data to support revaccination with mRNA-1345 will become available</w:t>
      </w:r>
      <w:r w:rsidR="00842B51" w:rsidRPr="00885AB3">
        <w:t xml:space="preserve"> and the PSCR confirmed there i</w:t>
      </w:r>
      <w:r w:rsidR="004E7A34" w:rsidRPr="00885AB3">
        <w:t xml:space="preserve">s no timeline available for a regulatory application (paragraph </w:t>
      </w:r>
      <w:r w:rsidR="0086417A" w:rsidRPr="00885AB3">
        <w:fldChar w:fldCharType="begin" w:fldLock="1"/>
      </w:r>
      <w:r w:rsidR="0086417A" w:rsidRPr="00885AB3">
        <w:instrText xml:space="preserve"> REF _Ref210834109 \r \h  \* MERGEFORMAT </w:instrText>
      </w:r>
      <w:r w:rsidR="0086417A" w:rsidRPr="00885AB3">
        <w:fldChar w:fldCharType="separate"/>
      </w:r>
      <w:r w:rsidR="00515933" w:rsidRPr="00885AB3">
        <w:t>2.3</w:t>
      </w:r>
      <w:r w:rsidR="0086417A" w:rsidRPr="00885AB3">
        <w:fldChar w:fldCharType="end"/>
      </w:r>
      <w:r w:rsidR="004E7A34" w:rsidRPr="00885AB3">
        <w:t>)</w:t>
      </w:r>
      <w:r w:rsidRPr="00885AB3">
        <w:t>. The June</w:t>
      </w:r>
      <w:r w:rsidRPr="00885AB3">
        <w:rPr>
          <w:iCs/>
        </w:rPr>
        <w:t xml:space="preserve"> 2025 ATAGI advice noted that the sponsor’s request for ATAGI advice did not discuss the need for a booster dose. This </w:t>
      </w:r>
      <w:proofErr w:type="gramStart"/>
      <w:r w:rsidRPr="00885AB3">
        <w:rPr>
          <w:iCs/>
        </w:rPr>
        <w:t>was in contrast to</w:t>
      </w:r>
      <w:proofErr w:type="gramEnd"/>
      <w:r w:rsidRPr="00885AB3">
        <w:rPr>
          <w:iCs/>
        </w:rPr>
        <w:t xml:space="preserve"> the sponsor’s March 2024 request for ATAGI advice</w:t>
      </w:r>
      <w:r w:rsidR="00674CE4" w:rsidRPr="00885AB3">
        <w:rPr>
          <w:iCs/>
        </w:rPr>
        <w:t>,</w:t>
      </w:r>
      <w:r w:rsidRPr="00885AB3">
        <w:rPr>
          <w:iCs/>
        </w:rPr>
        <w:t xml:space="preserve"> which stated that the dosing schedule was “Likely to be every other year”, noting the vaccination schedule was yet to be confirmed</w:t>
      </w:r>
      <w:r w:rsidR="00BB35AC" w:rsidRPr="00885AB3">
        <w:rPr>
          <w:iCs/>
        </w:rPr>
        <w:t>,</w:t>
      </w:r>
      <w:r w:rsidRPr="00885AB3">
        <w:rPr>
          <w:iCs/>
        </w:rPr>
        <w:t xml:space="preserve"> and was dependent on </w:t>
      </w:r>
      <w:r w:rsidRPr="00885AB3">
        <w:rPr>
          <w:iCs/>
        </w:rPr>
        <w:lastRenderedPageBreak/>
        <w:t>ATAGI advice and continuing collection of mRNA</w:t>
      </w:r>
      <w:r w:rsidRPr="00885AB3">
        <w:rPr>
          <w:iCs/>
        </w:rPr>
        <w:noBreakHyphen/>
        <w:t xml:space="preserve">1345-P301 study data (ATAGI advice, </w:t>
      </w:r>
      <w:r w:rsidR="00B833D1" w:rsidRPr="00885AB3">
        <w:rPr>
          <w:iCs/>
        </w:rPr>
        <w:t>September</w:t>
      </w:r>
      <w:r w:rsidR="00517544" w:rsidRPr="00885AB3">
        <w:rPr>
          <w:iCs/>
        </w:rPr>
        <w:t xml:space="preserve"> 2024</w:t>
      </w:r>
      <w:r w:rsidRPr="00885AB3">
        <w:rPr>
          <w:iCs/>
        </w:rPr>
        <w:t>).</w:t>
      </w:r>
    </w:p>
    <w:p w14:paraId="48E6AA9F" w14:textId="06AF0413" w:rsidR="003C2733" w:rsidRPr="00885AB3" w:rsidRDefault="00E52791" w:rsidP="00120D61">
      <w:pPr>
        <w:pStyle w:val="3-BodyText"/>
        <w:rPr>
          <w:i/>
        </w:rPr>
      </w:pPr>
      <w:r w:rsidRPr="00885AB3">
        <w:rPr>
          <w:iCs/>
        </w:rPr>
        <w:t xml:space="preserve">The evaluation </w:t>
      </w:r>
      <w:r w:rsidR="00EF2EB0" w:rsidRPr="00885AB3">
        <w:rPr>
          <w:iCs/>
        </w:rPr>
        <w:t>considered</w:t>
      </w:r>
      <w:r w:rsidRPr="00885AB3">
        <w:rPr>
          <w:iCs/>
        </w:rPr>
        <w:t xml:space="preserve"> that g</w:t>
      </w:r>
      <w:r w:rsidR="003C2733" w:rsidRPr="00885AB3">
        <w:rPr>
          <w:iCs/>
        </w:rPr>
        <w:t>iven the observed waning of VE observed after administration with mRNA-1345 (</w:t>
      </w:r>
      <w:r w:rsidR="002B6BB4" w:rsidRPr="00885AB3">
        <w:rPr>
          <w:iCs/>
        </w:rPr>
        <w:t xml:space="preserve">see </w:t>
      </w:r>
      <w:r w:rsidR="003C2733" w:rsidRPr="00885AB3">
        <w:rPr>
          <w:iCs/>
        </w:rPr>
        <w:t xml:space="preserve">paragraph </w:t>
      </w:r>
      <w:r w:rsidR="003C2733" w:rsidRPr="00885AB3">
        <w:rPr>
          <w:iCs/>
        </w:rPr>
        <w:fldChar w:fldCharType="begin" w:fldLock="1"/>
      </w:r>
      <w:r w:rsidR="003C2733" w:rsidRPr="00885AB3">
        <w:rPr>
          <w:iCs/>
        </w:rPr>
        <w:instrText xml:space="preserve"> REF _Ref206142965 \r \h  \* MERGEFORMAT </w:instrText>
      </w:r>
      <w:r w:rsidR="003C2733" w:rsidRPr="00885AB3">
        <w:rPr>
          <w:iCs/>
        </w:rPr>
      </w:r>
      <w:r w:rsidR="003C2733" w:rsidRPr="00885AB3">
        <w:rPr>
          <w:iCs/>
        </w:rPr>
        <w:fldChar w:fldCharType="separate"/>
      </w:r>
      <w:r w:rsidR="00515933" w:rsidRPr="00885AB3">
        <w:rPr>
          <w:iCs/>
        </w:rPr>
        <w:t>6.21</w:t>
      </w:r>
      <w:r w:rsidR="003C2733" w:rsidRPr="00885AB3">
        <w:rPr>
          <w:iCs/>
        </w:rPr>
        <w:fldChar w:fldCharType="end"/>
      </w:r>
      <w:r w:rsidR="002B6BB4" w:rsidRPr="00885AB3">
        <w:rPr>
          <w:iCs/>
        </w:rPr>
        <w:t xml:space="preserve"> below</w:t>
      </w:r>
      <w:r w:rsidR="003C2733" w:rsidRPr="00885AB3">
        <w:rPr>
          <w:iCs/>
        </w:rPr>
        <w:t>), the need for revaccination is likely. Revaccination will affect the long-term efficacy, cost-effectiveness, financial impact and safety profile of mRNA-1345</w:t>
      </w:r>
      <w:r w:rsidR="003448A2" w:rsidRPr="00885AB3">
        <w:rPr>
          <w:iCs/>
        </w:rPr>
        <w:t>.</w:t>
      </w:r>
      <w:r w:rsidR="001C78D7">
        <w:rPr>
          <w:iCs/>
        </w:rPr>
        <w:t xml:space="preserve"> </w:t>
      </w:r>
      <w:r w:rsidR="003448A2" w:rsidRPr="00885AB3">
        <w:rPr>
          <w:iCs/>
        </w:rPr>
        <w:t>The submission did not consider</w:t>
      </w:r>
      <w:r w:rsidR="003C2733" w:rsidRPr="00885AB3">
        <w:rPr>
          <w:iCs/>
        </w:rPr>
        <w:t xml:space="preserve"> revaccination in </w:t>
      </w:r>
      <w:r w:rsidR="003448A2" w:rsidRPr="00885AB3">
        <w:rPr>
          <w:iCs/>
        </w:rPr>
        <w:t>the economic evaluation or financial estimates</w:t>
      </w:r>
      <w:r w:rsidR="003C2733" w:rsidRPr="00885AB3" w:rsidDel="009627EF">
        <w:rPr>
          <w:iCs/>
        </w:rPr>
        <w:t>.</w:t>
      </w:r>
      <w:r w:rsidR="003C2733" w:rsidRPr="00885AB3">
        <w:rPr>
          <w:i/>
        </w:rPr>
        <w:t xml:space="preserve"> </w:t>
      </w:r>
      <w:r w:rsidR="003C2733" w:rsidRPr="00885AB3">
        <w:t xml:space="preserve">The PBAC has previously noted that if revaccination is requested in the future, this would require further PBAC consideration (paragraph 7.9, </w:t>
      </w:r>
      <w:proofErr w:type="spellStart"/>
      <w:r w:rsidR="003C2733" w:rsidRPr="00885AB3">
        <w:t>RSVPreF</w:t>
      </w:r>
      <w:proofErr w:type="spellEnd"/>
      <w:r w:rsidR="003C2733" w:rsidRPr="00885AB3">
        <w:t xml:space="preserve"> </w:t>
      </w:r>
      <w:r w:rsidR="00160004" w:rsidRPr="00885AB3">
        <w:t xml:space="preserve">Public Summary Document </w:t>
      </w:r>
      <w:r w:rsidR="006D39F0">
        <w:t>[</w:t>
      </w:r>
      <w:r w:rsidR="003C2733" w:rsidRPr="00885AB3">
        <w:t>PSD</w:t>
      </w:r>
      <w:r w:rsidR="006D39F0">
        <w:t>]</w:t>
      </w:r>
      <w:r w:rsidR="003C2733" w:rsidRPr="00885AB3">
        <w:t>, November 2024).</w:t>
      </w:r>
    </w:p>
    <w:p w14:paraId="3C5688D5" w14:textId="21167DCB" w:rsidR="003C2733" w:rsidRPr="00885AB3" w:rsidRDefault="003C2733" w:rsidP="00120D61">
      <w:pPr>
        <w:pStyle w:val="3-BodyText"/>
      </w:pPr>
      <w:bookmarkStart w:id="33" w:name="_Ref215063982"/>
      <w:r w:rsidRPr="00885AB3">
        <w:t>The submission provided limited data from</w:t>
      </w:r>
      <w:r w:rsidR="005543B5" w:rsidRPr="00885AB3">
        <w:t xml:space="preserve"> mRNA-1345 studies</w:t>
      </w:r>
      <w:r w:rsidRPr="00885AB3">
        <w:t xml:space="preserve"> 302</w:t>
      </w:r>
      <w:r w:rsidR="002E55C4" w:rsidRPr="00885AB3">
        <w:t xml:space="preserve"> Part </w:t>
      </w:r>
      <w:r w:rsidRPr="00885AB3">
        <w:t>C and 301</w:t>
      </w:r>
      <w:r w:rsidR="002E55C4" w:rsidRPr="00885AB3">
        <w:t xml:space="preserve"> Part </w:t>
      </w:r>
      <w:r w:rsidRPr="00885AB3">
        <w:t>B</w:t>
      </w:r>
      <w:r w:rsidR="00684877" w:rsidRPr="00885AB3">
        <w:t>,</w:t>
      </w:r>
      <w:r w:rsidRPr="00885AB3">
        <w:t xml:space="preserve"> describing the effect of revaccination on RSV neutrali</w:t>
      </w:r>
      <w:r w:rsidR="00B141E0" w:rsidRPr="00885AB3">
        <w:t>s</w:t>
      </w:r>
      <w:r w:rsidRPr="00885AB3">
        <w:t>ing antibody titres. The</w:t>
      </w:r>
      <w:r w:rsidR="00B652A7" w:rsidRPr="00885AB3">
        <w:t xml:space="preserve">se studies </w:t>
      </w:r>
      <w:r w:rsidRPr="00885AB3">
        <w:t>assess</w:t>
      </w:r>
      <w:r w:rsidR="004A652D" w:rsidRPr="00885AB3">
        <w:t>ed</w:t>
      </w:r>
      <w:r w:rsidRPr="00885AB3">
        <w:t xml:space="preserve"> revaccination at 12 months and 24 months, respectively. </w:t>
      </w:r>
      <w:r w:rsidR="009A3092" w:rsidRPr="00885AB3">
        <w:t>The PSCR indicated</w:t>
      </w:r>
      <w:r w:rsidR="00DF0AAD" w:rsidRPr="00885AB3">
        <w:t xml:space="preserve"> </w:t>
      </w:r>
      <w:r w:rsidR="009A3092" w:rsidRPr="00885AB3">
        <w:t>that</w:t>
      </w:r>
      <w:r w:rsidR="00680855" w:rsidRPr="00885AB3">
        <w:t xml:space="preserve"> while these studies are still </w:t>
      </w:r>
      <w:r w:rsidR="00B6445A" w:rsidRPr="00885AB3">
        <w:t>on</w:t>
      </w:r>
      <w:r w:rsidR="00680855" w:rsidRPr="00885AB3">
        <w:t>going,</w:t>
      </w:r>
      <w:r w:rsidRPr="00885AB3">
        <w:t xml:space="preserve"> </w:t>
      </w:r>
      <w:r w:rsidR="00E261CF" w:rsidRPr="00885AB3">
        <w:t xml:space="preserve">the </w:t>
      </w:r>
      <w:r w:rsidRPr="00885AB3">
        <w:t>results</w:t>
      </w:r>
      <w:r w:rsidR="00127C70" w:rsidRPr="00885AB3">
        <w:t xml:space="preserve"> of current assessments</w:t>
      </w:r>
      <w:r w:rsidRPr="00885AB3">
        <w:t xml:space="preserve"> will be</w:t>
      </w:r>
      <w:r w:rsidR="00127C70" w:rsidRPr="00885AB3">
        <w:t xml:space="preserve"> submitted</w:t>
      </w:r>
      <w:r w:rsidR="00F05FDC" w:rsidRPr="00885AB3">
        <w:t xml:space="preserve"> to the TGA at the end of October 2025 for</w:t>
      </w:r>
      <w:r w:rsidR="00127C70" w:rsidRPr="00885AB3">
        <w:t xml:space="preserve"> P302 Part </w:t>
      </w:r>
      <w:r w:rsidR="00B374FA" w:rsidRPr="00885AB3">
        <w:t>C</w:t>
      </w:r>
      <w:r w:rsidR="00127C70" w:rsidRPr="00885AB3">
        <w:t xml:space="preserve"> (with Parts A and B which assess coadministration)</w:t>
      </w:r>
      <w:r w:rsidR="00CA37CB" w:rsidRPr="00885AB3">
        <w:t>,</w:t>
      </w:r>
      <w:r w:rsidR="00127C70" w:rsidRPr="00885AB3">
        <w:t xml:space="preserve"> and</w:t>
      </w:r>
      <w:r w:rsidR="00CA37CB" w:rsidRPr="00885AB3">
        <w:t xml:space="preserve"> in March 2026</w:t>
      </w:r>
      <w:r w:rsidR="00EC5DC4" w:rsidRPr="00885AB3">
        <w:t xml:space="preserve"> for</w:t>
      </w:r>
      <w:r w:rsidR="00127C70" w:rsidRPr="00885AB3">
        <w:t xml:space="preserve"> P301 </w:t>
      </w:r>
      <w:r w:rsidR="00AC5D15" w:rsidRPr="00885AB3">
        <w:t xml:space="preserve">Part </w:t>
      </w:r>
      <w:r w:rsidR="00127C70" w:rsidRPr="00885AB3">
        <w:t xml:space="preserve">B </w:t>
      </w:r>
      <w:r w:rsidR="00716170" w:rsidRPr="00885AB3">
        <w:t>(</w:t>
      </w:r>
      <w:r w:rsidR="00127C70" w:rsidRPr="00885AB3">
        <w:t xml:space="preserve">24 </w:t>
      </w:r>
      <w:r w:rsidR="00EC5DC4" w:rsidRPr="00885AB3">
        <w:t>month</w:t>
      </w:r>
      <w:r w:rsidR="00127C70" w:rsidRPr="00885AB3">
        <w:t xml:space="preserve"> </w:t>
      </w:r>
      <w:r w:rsidR="00EC5DC4" w:rsidRPr="00885AB3">
        <w:t>f</w:t>
      </w:r>
      <w:r w:rsidR="00127C70" w:rsidRPr="00885AB3">
        <w:t>ollow-up</w:t>
      </w:r>
      <w:r w:rsidR="00716170" w:rsidRPr="00885AB3">
        <w:t>)</w:t>
      </w:r>
      <w:r w:rsidR="00352CB8" w:rsidRPr="00885AB3">
        <w:t>,</w:t>
      </w:r>
      <w:r w:rsidR="00127C70" w:rsidRPr="00885AB3">
        <w:t xml:space="preserve"> as part of the end of study CSR</w:t>
      </w:r>
      <w:r w:rsidR="00EC5DC4" w:rsidRPr="00885AB3">
        <w:t>.</w:t>
      </w:r>
      <w:r w:rsidRPr="00885AB3">
        <w:t xml:space="preserve"> </w:t>
      </w:r>
      <w:r w:rsidR="006372DA" w:rsidRPr="00885AB3">
        <w:t xml:space="preserve">The evaluator </w:t>
      </w:r>
      <w:r w:rsidRPr="00885AB3">
        <w:t>not</w:t>
      </w:r>
      <w:r w:rsidR="006372DA" w:rsidRPr="00885AB3">
        <w:t>ed</w:t>
      </w:r>
      <w:r w:rsidRPr="00885AB3">
        <w:t xml:space="preserve"> that it is a condition of TGA approval that the sponsor provide</w:t>
      </w:r>
      <w:r w:rsidR="003F5B26" w:rsidRPr="00885AB3">
        <w:t xml:space="preserve"> these data.</w:t>
      </w:r>
      <w:bookmarkEnd w:id="33"/>
      <w:r w:rsidRPr="00885AB3">
        <w:t xml:space="preserve"> </w:t>
      </w:r>
    </w:p>
    <w:p w14:paraId="492672DA" w14:textId="12CD3D10" w:rsidR="00F1357D" w:rsidRPr="00885AB3" w:rsidRDefault="003C2733" w:rsidP="00120D61">
      <w:pPr>
        <w:pStyle w:val="3-BodyText"/>
      </w:pPr>
      <w:r w:rsidRPr="00885AB3">
        <w:t xml:space="preserve">Immunogenicity results following </w:t>
      </w:r>
      <w:r w:rsidR="00493E20" w:rsidRPr="00885AB3">
        <w:t>r</w:t>
      </w:r>
      <w:r w:rsidRPr="00885AB3">
        <w:t xml:space="preserve">evaccination at 12 </w:t>
      </w:r>
      <w:r w:rsidR="0096237C" w:rsidRPr="00885AB3">
        <w:t>m</w:t>
      </w:r>
      <w:r w:rsidRPr="00885AB3">
        <w:t xml:space="preserve">onths with mRNA-1345 </w:t>
      </w:r>
      <w:r w:rsidR="00493E20" w:rsidRPr="00885AB3">
        <w:t xml:space="preserve">post initial vaccination </w:t>
      </w:r>
      <w:r w:rsidRPr="00885AB3">
        <w:t>in Study 302</w:t>
      </w:r>
      <w:r w:rsidR="00493E20" w:rsidRPr="00885AB3">
        <w:t xml:space="preserve"> Part </w:t>
      </w:r>
      <w:r w:rsidRPr="00885AB3">
        <w:t>C (</w:t>
      </w:r>
      <w:r w:rsidR="00493E20" w:rsidRPr="00885AB3">
        <w:t>a</w:t>
      </w:r>
      <w:r w:rsidRPr="00885AB3">
        <w:t xml:space="preserve">dults </w:t>
      </w:r>
      <w:r w:rsidR="00EF2FA4">
        <w:t xml:space="preserve">≥ </w:t>
      </w:r>
      <w:r w:rsidRPr="00885AB3">
        <w:t xml:space="preserve">50 Years) </w:t>
      </w:r>
      <w:r w:rsidR="00493E20" w:rsidRPr="00885AB3">
        <w:t>showed that</w:t>
      </w:r>
      <w:r w:rsidRPr="00885AB3">
        <w:t xml:space="preserve"> mRNA-1345 elicit</w:t>
      </w:r>
      <w:r w:rsidR="00E96829" w:rsidRPr="00885AB3">
        <w:t>ed</w:t>
      </w:r>
      <w:r w:rsidRPr="00885AB3">
        <w:t xml:space="preserve"> </w:t>
      </w:r>
      <w:r w:rsidR="00E96829" w:rsidRPr="00885AB3">
        <w:t>immunogenic</w:t>
      </w:r>
      <w:r w:rsidRPr="00885AB3">
        <w:t xml:space="preserve"> responses </w:t>
      </w:r>
      <w:proofErr w:type="gramStart"/>
      <w:r w:rsidRPr="00885AB3">
        <w:t>similar to</w:t>
      </w:r>
      <w:proofErr w:type="gramEnd"/>
      <w:r w:rsidRPr="00885AB3">
        <w:t xml:space="preserve"> that following </w:t>
      </w:r>
      <w:r w:rsidR="00E96829" w:rsidRPr="00885AB3">
        <w:t>init</w:t>
      </w:r>
      <w:r w:rsidR="00B30279" w:rsidRPr="00885AB3">
        <w:t>i</w:t>
      </w:r>
      <w:r w:rsidR="00E96829" w:rsidRPr="00885AB3">
        <w:t>al</w:t>
      </w:r>
      <w:r w:rsidRPr="00885AB3">
        <w:t xml:space="preserve"> vaccination, and that revaccination met pre-specified non-inferiority success criteria, </w:t>
      </w:r>
      <w:r w:rsidR="00FB3C62" w:rsidRPr="00885AB3">
        <w:t xml:space="preserve">was </w:t>
      </w:r>
      <w:r w:rsidRPr="00885AB3">
        <w:t>well tolerated</w:t>
      </w:r>
      <w:r w:rsidR="00E7311F" w:rsidRPr="00885AB3">
        <w:t xml:space="preserve"> with</w:t>
      </w:r>
      <w:r w:rsidRPr="00885AB3">
        <w:t xml:space="preserve"> no safety concerns</w:t>
      </w:r>
      <w:r w:rsidRPr="00885AB3">
        <w:rPr>
          <w:rStyle w:val="FootnoteReference"/>
        </w:rPr>
        <w:footnoteReference w:id="3"/>
      </w:r>
      <w:r w:rsidRPr="00885AB3">
        <w:t>).</w:t>
      </w:r>
      <w:r w:rsidR="00B71296" w:rsidRPr="00885AB3">
        <w:t xml:space="preserve"> </w:t>
      </w:r>
      <w:r w:rsidR="0096237C" w:rsidRPr="00885AB3">
        <w:t>Immunogenicity results from Study</w:t>
      </w:r>
      <w:r w:rsidR="0028487B" w:rsidRPr="00885AB3">
        <w:t xml:space="preserve"> </w:t>
      </w:r>
      <w:r w:rsidR="0096237C" w:rsidRPr="00885AB3">
        <w:t>301 Part B show</w:t>
      </w:r>
      <w:r w:rsidR="00804A41" w:rsidRPr="00885AB3">
        <w:t>ed</w:t>
      </w:r>
      <w:r w:rsidR="0096237C" w:rsidRPr="00885AB3">
        <w:t xml:space="preserve"> that at 1 month post revaccination </w:t>
      </w:r>
      <w:r w:rsidR="0028487B" w:rsidRPr="00885AB3">
        <w:t xml:space="preserve">(24 months after the initial vaccination) </w:t>
      </w:r>
      <w:r w:rsidR="0096237C" w:rsidRPr="00885AB3">
        <w:t>the level of antibody titres increase</w:t>
      </w:r>
      <w:r w:rsidR="00583F86" w:rsidRPr="00885AB3">
        <w:t>d</w:t>
      </w:r>
      <w:r w:rsidR="0096237C" w:rsidRPr="00885AB3">
        <w:t>, although not to the levels seen after the initial vaccination</w:t>
      </w:r>
      <w:r w:rsidR="0028487B" w:rsidRPr="00885AB3">
        <w:t>.</w:t>
      </w:r>
    </w:p>
    <w:p w14:paraId="64B1ABC3" w14:textId="5E3AC21C" w:rsidR="00156801" w:rsidRPr="00885AB3" w:rsidRDefault="00156801" w:rsidP="00120D61">
      <w:pPr>
        <w:pStyle w:val="3-BodyText"/>
        <w:numPr>
          <w:ilvl w:val="0"/>
          <w:numId w:val="0"/>
        </w:numPr>
        <w:ind w:left="720"/>
      </w:pPr>
      <w:r w:rsidRPr="00885AB3">
        <w:rPr>
          <w:i/>
        </w:rPr>
        <w:t>For more detail on PBAC’s view, see section 7 PBAC outcome.</w:t>
      </w:r>
    </w:p>
    <w:p w14:paraId="35207692" w14:textId="77777777" w:rsidR="006A1AFC" w:rsidRPr="00885AB3" w:rsidDel="00195452" w:rsidRDefault="006A1AFC" w:rsidP="00120D61">
      <w:pPr>
        <w:pStyle w:val="2-SectionHeading"/>
      </w:pPr>
      <w:bookmarkStart w:id="34" w:name="_Toc202884171"/>
      <w:bookmarkStart w:id="35" w:name="_Toc205822148"/>
      <w:bookmarkStart w:id="36" w:name="_Toc208998501"/>
      <w:r w:rsidRPr="00885AB3" w:rsidDel="00195452">
        <w:t>Population and disease</w:t>
      </w:r>
      <w:bookmarkEnd w:id="34"/>
      <w:bookmarkEnd w:id="35"/>
      <w:bookmarkEnd w:id="36"/>
    </w:p>
    <w:p w14:paraId="39719EE0" w14:textId="0618CF22" w:rsidR="006A1AFC" w:rsidRPr="00885AB3" w:rsidRDefault="006A1AFC" w:rsidP="00120D61">
      <w:pPr>
        <w:pStyle w:val="3-BodyText"/>
      </w:pPr>
      <w:r w:rsidRPr="00885AB3">
        <w:t>The disease pathophysiology, clinical presentation in older adults, diagnosis and seasonality of RSV is known to the PBAC. In Australia, RSV became a notifiable disease in July 2021 and cases are monitored through the National Notifiable Diseases Surveillance System (NNDSS). RSV diagnosis is usually by reverse transcription polymerase chain reaction (RT-PCR) on nasal and/or throat swabs. RSV spreads via droplets and fomites</w:t>
      </w:r>
      <w:r w:rsidR="006F3727" w:rsidRPr="00885AB3">
        <w:t>,</w:t>
      </w:r>
      <w:r w:rsidRPr="00885AB3">
        <w:t xml:space="preserve"> and can cause respiratory illness in individuals of all age groups, but poses a significant risk of severe respiratory illness for infants, older adults and individuals with specific underlying health conditions. </w:t>
      </w:r>
    </w:p>
    <w:p w14:paraId="56E8B710" w14:textId="562A652C" w:rsidR="006A1AFC" w:rsidRPr="00885AB3" w:rsidRDefault="006A1AFC" w:rsidP="00120D61">
      <w:pPr>
        <w:pStyle w:val="3-BodyText"/>
      </w:pPr>
      <w:r w:rsidRPr="00885AB3">
        <w:lastRenderedPageBreak/>
        <w:t>In Australia, RSV peaks in winter, though tropical regions experience</w:t>
      </w:r>
      <w:r w:rsidR="00A248BC">
        <w:t xml:space="preserve"> greater</w:t>
      </w:r>
      <w:r w:rsidRPr="00885AB3">
        <w:t xml:space="preserve"> year-round activity. The COVID-19 pandemic disrupted RSV </w:t>
      </w:r>
      <w:r w:rsidR="001623D1" w:rsidRPr="00885AB3">
        <w:t>patterns,</w:t>
      </w:r>
      <w:r w:rsidRPr="00885AB3">
        <w:t xml:space="preserve"> but these returned to historic trends by 2023. </w:t>
      </w:r>
    </w:p>
    <w:p w14:paraId="38C3C9CA" w14:textId="7D26B822" w:rsidR="006A1AFC" w:rsidRPr="00885AB3" w:rsidRDefault="006A1AFC" w:rsidP="00120D61">
      <w:pPr>
        <w:pStyle w:val="3-BodyText"/>
      </w:pPr>
      <w:r w:rsidRPr="00885AB3">
        <w:t xml:space="preserve">The </w:t>
      </w:r>
      <w:r w:rsidR="00FF6C6D" w:rsidRPr="00885AB3">
        <w:t>requested</w:t>
      </w:r>
      <w:r w:rsidR="00FF6C6D" w:rsidRPr="00885AB3" w:rsidDel="00BA3B46">
        <w:t xml:space="preserve"> </w:t>
      </w:r>
      <w:r w:rsidR="00FF6C6D" w:rsidRPr="00885AB3">
        <w:t xml:space="preserve">NIP </w:t>
      </w:r>
      <w:r w:rsidRPr="00885AB3">
        <w:t>population</w:t>
      </w:r>
      <w:r w:rsidR="00FF6C6D" w:rsidRPr="00885AB3">
        <w:t>s</w:t>
      </w:r>
      <w:r w:rsidRPr="00885AB3">
        <w:t xml:space="preserve"> </w:t>
      </w:r>
      <w:r w:rsidR="00FF6C6D" w:rsidRPr="00885AB3">
        <w:t xml:space="preserve">are </w:t>
      </w:r>
      <w:r w:rsidRPr="00885AB3">
        <w:t xml:space="preserve">consistent with the ATAGI </w:t>
      </w:r>
      <w:r w:rsidRPr="00885AB3">
        <w:rPr>
          <w:rFonts w:cs="Calibri"/>
        </w:rPr>
        <w:t>Advice</w:t>
      </w:r>
      <w:r w:rsidRPr="00885AB3">
        <w:t xml:space="preserve"> to the PBAC and </w:t>
      </w:r>
      <w:r w:rsidR="00FF6C6D" w:rsidRPr="00885AB3">
        <w:t xml:space="preserve">are </w:t>
      </w:r>
      <w:r w:rsidRPr="00885AB3">
        <w:t>aligned with the recommendation</w:t>
      </w:r>
      <w:r w:rsidR="00FF6C6D" w:rsidRPr="00885AB3">
        <w:t>s</w:t>
      </w:r>
      <w:r w:rsidRPr="00885AB3">
        <w:t xml:space="preserve"> provided in the Australian Immunisation Handbook</w:t>
      </w:r>
      <w:r w:rsidR="00FF6C6D" w:rsidRPr="00885AB3">
        <w:t xml:space="preserve"> for older adults</w:t>
      </w:r>
      <w:r w:rsidRPr="00885AB3">
        <w:t xml:space="preserve">, except the </w:t>
      </w:r>
      <w:r w:rsidR="00FF6C6D" w:rsidRPr="00885AB3">
        <w:t>submission</w:t>
      </w:r>
      <w:r w:rsidRPr="00885AB3">
        <w:t xml:space="preserve"> </w:t>
      </w:r>
      <w:r w:rsidR="00FF6C6D" w:rsidRPr="00885AB3">
        <w:t xml:space="preserve">did </w:t>
      </w:r>
      <w:r w:rsidRPr="00885AB3">
        <w:t xml:space="preserve">not consider adults </w:t>
      </w:r>
      <w:r w:rsidR="00EF2FA4">
        <w:t xml:space="preserve">≥ </w:t>
      </w:r>
      <w:r w:rsidRPr="00885AB3">
        <w:t>60 YOA who are at a higher risk of developing severe RSV disease.</w:t>
      </w:r>
    </w:p>
    <w:p w14:paraId="4A211037" w14:textId="0CC53D4F" w:rsidR="006A1AFC" w:rsidRPr="00885AB3" w:rsidRDefault="006A1AFC" w:rsidP="00120D61">
      <w:pPr>
        <w:pStyle w:val="3-BodyText"/>
        <w:rPr>
          <w:iCs/>
        </w:rPr>
      </w:pPr>
      <w:r w:rsidRPr="00885AB3">
        <w:t xml:space="preserve">mRNA-1345 is supplied as a single-dose plastic pre-filled syringe containing 50 </w:t>
      </w:r>
      <w:proofErr w:type="spellStart"/>
      <w:r w:rsidRPr="00885AB3">
        <w:t>μg</w:t>
      </w:r>
      <w:proofErr w:type="spellEnd"/>
      <w:r w:rsidRPr="00885AB3">
        <w:t xml:space="preserve"> of RSV F protein mRNA. The mRNA sequence is encapsulated in lipid nanoparticles that encode the RSV fusion (F) glycoprotein stabilised in the prefusion conformation. The F glycoprotein is on the surface of the virus and is required for infection by helping the virus to enter host cells. It exists in two states, pre-fusion and post-fusion. The mRNA</w:t>
      </w:r>
      <w:r w:rsidR="00FF6C6D" w:rsidRPr="00885AB3">
        <w:noBreakHyphen/>
      </w:r>
      <w:r w:rsidRPr="00885AB3">
        <w:t xml:space="preserve">1345 vaccine encodes for the RSV-A subtype, however, the submission stated that mRNA-1345 confers cross protection against both A and B strains of RSV. </w:t>
      </w:r>
      <w:r w:rsidRPr="00885AB3">
        <w:rPr>
          <w:iCs/>
        </w:rPr>
        <w:t xml:space="preserve">The impact of the selection of the encoding protein subtype A on the efficacy of mRNA-1345 against RSV subtype B is discussed further in paragraph </w:t>
      </w:r>
      <w:r w:rsidRPr="00885AB3">
        <w:rPr>
          <w:rFonts w:cs="Calibri"/>
          <w:iCs/>
        </w:rPr>
        <w:fldChar w:fldCharType="begin" w:fldLock="1"/>
      </w:r>
      <w:r w:rsidRPr="00885AB3">
        <w:rPr>
          <w:rFonts w:cs="Calibri"/>
          <w:iCs/>
        </w:rPr>
        <w:instrText xml:space="preserve"> REF _Ref206650898 \r \h </w:instrText>
      </w:r>
      <w:r w:rsidR="00E3786B" w:rsidRPr="00885AB3">
        <w:rPr>
          <w:rFonts w:cs="Calibri"/>
          <w:iCs/>
        </w:rPr>
        <w:instrText xml:space="preserve"> \* MERGEFORMAT </w:instrText>
      </w:r>
      <w:r w:rsidRPr="00885AB3">
        <w:rPr>
          <w:rFonts w:cs="Calibri"/>
          <w:iCs/>
        </w:rPr>
      </w:r>
      <w:r w:rsidRPr="00885AB3">
        <w:rPr>
          <w:rFonts w:cs="Calibri"/>
          <w:iCs/>
        </w:rPr>
        <w:fldChar w:fldCharType="separate"/>
      </w:r>
      <w:r w:rsidR="00515933" w:rsidRPr="00885AB3">
        <w:rPr>
          <w:rFonts w:cs="Calibri"/>
          <w:iCs/>
        </w:rPr>
        <w:t>6.23</w:t>
      </w:r>
      <w:r w:rsidRPr="00885AB3">
        <w:rPr>
          <w:rFonts w:cs="Calibri"/>
          <w:iCs/>
        </w:rPr>
        <w:fldChar w:fldCharType="end"/>
      </w:r>
      <w:r w:rsidR="008F0D51" w:rsidRPr="00885AB3">
        <w:rPr>
          <w:rFonts w:cs="Calibri"/>
          <w:iCs/>
        </w:rPr>
        <w:t xml:space="preserve"> below</w:t>
      </w:r>
      <w:r w:rsidRPr="00885AB3">
        <w:rPr>
          <w:rFonts w:cs="Calibri"/>
          <w:iCs/>
        </w:rPr>
        <w:t>.</w:t>
      </w:r>
    </w:p>
    <w:p w14:paraId="7177F2E8" w14:textId="05B26225" w:rsidR="006A1AFC" w:rsidRPr="00885AB3" w:rsidRDefault="006A1AFC" w:rsidP="00120D61">
      <w:pPr>
        <w:pStyle w:val="3-BodyText"/>
        <w:rPr>
          <w:iCs/>
        </w:rPr>
      </w:pPr>
      <w:bookmarkStart w:id="37" w:name="_Ref215736518"/>
      <w:r w:rsidRPr="00885AB3">
        <w:t>The</w:t>
      </w:r>
      <w:r w:rsidR="002E7B1F" w:rsidRPr="00885AB3">
        <w:t xml:space="preserve"> ESC noted</w:t>
      </w:r>
      <w:r w:rsidRPr="00885AB3">
        <w:t xml:space="preserve"> that mRNA-1345 must be kept at temperatures between minus 40 and minus 15 degrees Celsius, while RSVPreF3 OA and </w:t>
      </w:r>
      <w:proofErr w:type="spellStart"/>
      <w:r w:rsidRPr="00885AB3">
        <w:t>RSVPreF</w:t>
      </w:r>
      <w:proofErr w:type="spellEnd"/>
      <w:r w:rsidRPr="00885AB3">
        <w:t xml:space="preserve"> should be stored in standard refrigerat</w:t>
      </w:r>
      <w:r w:rsidR="009D3DD4" w:rsidRPr="00885AB3">
        <w:t>ed</w:t>
      </w:r>
      <w:r w:rsidRPr="00885AB3">
        <w:t xml:space="preserve"> conditions (2 to 8 degrees Celsius). This difference in cold chain requirements is important for rural and remote communities, particularly Aboriginal and Torres Strait Islander communities, where transport and reliable access to sufficient cold storage can be particularly challenging. </w:t>
      </w:r>
      <w:r w:rsidRPr="00885AB3">
        <w:rPr>
          <w:iCs/>
        </w:rPr>
        <w:t xml:space="preserve">In this regard, ATAGI stated that </w:t>
      </w:r>
      <w:r w:rsidR="00EC73E7" w:rsidRPr="00885AB3">
        <w:rPr>
          <w:iCs/>
        </w:rPr>
        <w:t>“</w:t>
      </w:r>
      <w:r w:rsidRPr="00885AB3">
        <w:rPr>
          <w:iCs/>
        </w:rPr>
        <w:t xml:space="preserve">cold chain management systems were introduced with COVID-19 vaccines. For facilities that do not have adequately cold storage and store </w:t>
      </w:r>
      <w:proofErr w:type="spellStart"/>
      <w:r w:rsidRPr="00885AB3">
        <w:rPr>
          <w:iCs/>
        </w:rPr>
        <w:t>mRESVIA</w:t>
      </w:r>
      <w:proofErr w:type="spellEnd"/>
      <w:r w:rsidRPr="00885AB3">
        <w:rPr>
          <w:iCs/>
        </w:rPr>
        <w:t xml:space="preserve"> between 2 degrees and 8 degrees, the shelf-life of </w:t>
      </w:r>
      <w:proofErr w:type="spellStart"/>
      <w:r w:rsidRPr="00885AB3">
        <w:rPr>
          <w:iCs/>
        </w:rPr>
        <w:t>mRESVIA</w:t>
      </w:r>
      <w:proofErr w:type="spellEnd"/>
      <w:r w:rsidRPr="00885AB3">
        <w:rPr>
          <w:iCs/>
        </w:rPr>
        <w:t xml:space="preserve"> is reduced to 30 days. This shorter shelf-life may result in expired stock</w:t>
      </w:r>
      <w:r w:rsidR="00EC73E7" w:rsidRPr="00885AB3">
        <w:rPr>
          <w:iCs/>
        </w:rPr>
        <w:t>”</w:t>
      </w:r>
      <w:r w:rsidRPr="00885AB3">
        <w:rPr>
          <w:iCs/>
        </w:rPr>
        <w:t xml:space="preserve"> (ATAGI </w:t>
      </w:r>
      <w:r w:rsidRPr="00885AB3">
        <w:rPr>
          <w:rFonts w:cs="Calibri"/>
          <w:iCs/>
        </w:rPr>
        <w:t>Advice</w:t>
      </w:r>
      <w:r w:rsidRPr="00885AB3">
        <w:rPr>
          <w:iCs/>
        </w:rPr>
        <w:t>, June 2025).</w:t>
      </w:r>
      <w:bookmarkEnd w:id="37"/>
    </w:p>
    <w:p w14:paraId="6D37FF58" w14:textId="6FCADC49" w:rsidR="00156801" w:rsidRPr="00885AB3" w:rsidDel="00195452" w:rsidRDefault="00156801" w:rsidP="00120D61">
      <w:pPr>
        <w:pStyle w:val="3-BodyText"/>
        <w:numPr>
          <w:ilvl w:val="0"/>
          <w:numId w:val="0"/>
        </w:numPr>
        <w:ind w:left="720"/>
        <w:rPr>
          <w:iCs/>
        </w:rPr>
      </w:pPr>
      <w:r w:rsidRPr="00885AB3">
        <w:rPr>
          <w:i/>
        </w:rPr>
        <w:t>For more detail on PBAC’s view, see section 7 PBAC outcome.</w:t>
      </w:r>
    </w:p>
    <w:p w14:paraId="21AEA1D3" w14:textId="77777777" w:rsidR="006A1AFC" w:rsidRPr="00885AB3" w:rsidRDefault="006A1AFC" w:rsidP="00120D61">
      <w:pPr>
        <w:pStyle w:val="2-SectionHeading"/>
        <w:rPr>
          <w:rFonts w:ascii="Calibri" w:hAnsi="Calibri" w:cs="Calibri"/>
        </w:rPr>
      </w:pPr>
      <w:bookmarkStart w:id="38" w:name="_Toc202884172"/>
      <w:bookmarkStart w:id="39" w:name="_Toc205822149"/>
      <w:bookmarkStart w:id="40" w:name="_Toc208998502"/>
      <w:r w:rsidRPr="00885AB3">
        <w:rPr>
          <w:rFonts w:ascii="Calibri" w:hAnsi="Calibri" w:cs="Calibri"/>
        </w:rPr>
        <w:t>Comparator</w:t>
      </w:r>
      <w:bookmarkEnd w:id="38"/>
      <w:bookmarkEnd w:id="39"/>
      <w:bookmarkEnd w:id="40"/>
    </w:p>
    <w:p w14:paraId="31D42F43" w14:textId="401919A1" w:rsidR="00893484" w:rsidRPr="00885AB3" w:rsidRDefault="006A1AFC" w:rsidP="00120D61">
      <w:pPr>
        <w:pStyle w:val="3-BodyText"/>
      </w:pPr>
      <w:r w:rsidRPr="00885AB3">
        <w:t xml:space="preserve">The submission nominated </w:t>
      </w:r>
      <w:proofErr w:type="spellStart"/>
      <w:r w:rsidRPr="00885AB3">
        <w:t>RSVPreF</w:t>
      </w:r>
      <w:proofErr w:type="spellEnd"/>
      <w:r w:rsidR="00EB4B03" w:rsidRPr="00885AB3">
        <w:t xml:space="preserve"> (</w:t>
      </w:r>
      <w:proofErr w:type="spellStart"/>
      <w:r w:rsidR="00EB4B03" w:rsidRPr="00885AB3">
        <w:t>Abrysvo</w:t>
      </w:r>
      <w:proofErr w:type="spellEnd"/>
      <w:r w:rsidR="00EB4B03" w:rsidRPr="00885AB3">
        <w:t>)</w:t>
      </w:r>
      <w:r w:rsidRPr="00885AB3">
        <w:t xml:space="preserve"> as the main comparator</w:t>
      </w:r>
      <w:r w:rsidR="00AB3DFB" w:rsidRPr="00885AB3">
        <w:t>, which the evaluation considered to be appropriate</w:t>
      </w:r>
      <w:r w:rsidRPr="00885AB3">
        <w:t>. The main argument provided in support of this nomination w</w:t>
      </w:r>
      <w:r w:rsidR="003A575F" w:rsidRPr="00885AB3">
        <w:t>as</w:t>
      </w:r>
      <w:r w:rsidRPr="00885AB3">
        <w:t xml:space="preserve"> that at the November 2024 </w:t>
      </w:r>
      <w:r w:rsidR="00DA6A6E" w:rsidRPr="00885AB3">
        <w:t xml:space="preserve">and July 2025 </w:t>
      </w:r>
      <w:r w:rsidRPr="00885AB3">
        <w:t>PBAC meeting</w:t>
      </w:r>
      <w:r w:rsidR="00DA6A6E" w:rsidRPr="00885AB3">
        <w:t>s</w:t>
      </w:r>
      <w:r w:rsidRPr="00885AB3">
        <w:t xml:space="preserve">, </w:t>
      </w:r>
      <w:proofErr w:type="spellStart"/>
      <w:r w:rsidRPr="00885AB3">
        <w:t>RSVPreF</w:t>
      </w:r>
      <w:proofErr w:type="spellEnd"/>
      <w:r w:rsidRPr="00885AB3">
        <w:t xml:space="preserve"> was recommended for NIP listing in the same populations requested in this submission (adults </w:t>
      </w:r>
      <w:r w:rsidR="00EF2FA4">
        <w:t xml:space="preserve">≥ </w:t>
      </w:r>
      <w:r w:rsidRPr="00885AB3">
        <w:t xml:space="preserve">75 YOA </w:t>
      </w:r>
      <w:r w:rsidRPr="00885AB3" w:rsidDel="0094546B">
        <w:t xml:space="preserve">and </w:t>
      </w:r>
      <w:r w:rsidRPr="00885AB3">
        <w:t xml:space="preserve">for Aboriginal and Torres Strait Islander people aged 60-74 YOA; </w:t>
      </w:r>
      <w:bookmarkStart w:id="41" w:name="_Hlk205300246"/>
      <w:r w:rsidRPr="00885AB3">
        <w:t xml:space="preserve">paragraph 7.1, </w:t>
      </w:r>
      <w:proofErr w:type="spellStart"/>
      <w:r w:rsidRPr="00885AB3">
        <w:t>RSVPreF</w:t>
      </w:r>
      <w:proofErr w:type="spellEnd"/>
      <w:r w:rsidRPr="00885AB3">
        <w:t xml:space="preserve"> PSD, November 2024)</w:t>
      </w:r>
      <w:bookmarkEnd w:id="41"/>
      <w:r w:rsidRPr="00885AB3">
        <w:t>.</w:t>
      </w:r>
      <w:r w:rsidR="00F871C6" w:rsidRPr="00885AB3">
        <w:t xml:space="preserve"> </w:t>
      </w:r>
    </w:p>
    <w:p w14:paraId="57683010" w14:textId="3F23B13B" w:rsidR="0012705E" w:rsidRPr="00885AB3" w:rsidRDefault="006A1AFC" w:rsidP="00120D61">
      <w:pPr>
        <w:pStyle w:val="3-BodyText"/>
        <w:rPr>
          <w:iCs/>
        </w:rPr>
      </w:pPr>
      <w:r w:rsidRPr="00885AB3">
        <w:t>The submission nominated RSVPreF3 OA</w:t>
      </w:r>
      <w:r w:rsidR="00EB4B03" w:rsidRPr="00885AB3">
        <w:t xml:space="preserve"> (</w:t>
      </w:r>
      <w:proofErr w:type="spellStart"/>
      <w:r w:rsidR="00EB4B03" w:rsidRPr="00885AB3">
        <w:t>Arexvy</w:t>
      </w:r>
      <w:proofErr w:type="spellEnd"/>
      <w:r w:rsidR="00EB4B03" w:rsidRPr="00885AB3">
        <w:t>)</w:t>
      </w:r>
      <w:r w:rsidRPr="00885AB3">
        <w:t xml:space="preserve"> as a near market comparator. </w:t>
      </w:r>
      <w:r w:rsidRPr="00885AB3">
        <w:rPr>
          <w:iCs/>
        </w:rPr>
        <w:t xml:space="preserve">At the time </w:t>
      </w:r>
      <w:r w:rsidR="00391554" w:rsidRPr="00885AB3">
        <w:rPr>
          <w:iCs/>
        </w:rPr>
        <w:t>the mRNA-1345</w:t>
      </w:r>
      <w:r w:rsidRPr="00885AB3">
        <w:rPr>
          <w:iCs/>
        </w:rPr>
        <w:t xml:space="preserve"> submission</w:t>
      </w:r>
      <w:r w:rsidR="00391554" w:rsidRPr="00885AB3">
        <w:rPr>
          <w:iCs/>
        </w:rPr>
        <w:t xml:space="preserve"> was prepared</w:t>
      </w:r>
      <w:r w:rsidR="00EA5AFB" w:rsidRPr="00885AB3">
        <w:rPr>
          <w:iCs/>
        </w:rPr>
        <w:t>,</w:t>
      </w:r>
      <w:r w:rsidRPr="00885AB3">
        <w:rPr>
          <w:iCs/>
        </w:rPr>
        <w:t xml:space="preserve"> RSVPreF3 OA </w:t>
      </w:r>
      <w:r w:rsidR="00391554" w:rsidRPr="00885AB3">
        <w:rPr>
          <w:iCs/>
        </w:rPr>
        <w:t xml:space="preserve">had </w:t>
      </w:r>
      <w:r w:rsidRPr="00885AB3">
        <w:rPr>
          <w:iCs/>
        </w:rPr>
        <w:t xml:space="preserve">not </w:t>
      </w:r>
      <w:r w:rsidR="00391554" w:rsidRPr="00885AB3">
        <w:rPr>
          <w:iCs/>
        </w:rPr>
        <w:t xml:space="preserve">been </w:t>
      </w:r>
      <w:r w:rsidRPr="00885AB3">
        <w:rPr>
          <w:iCs/>
        </w:rPr>
        <w:t>recommended for NIP listing by the PBAC</w:t>
      </w:r>
      <w:r w:rsidR="006141F2" w:rsidRPr="00885AB3">
        <w:rPr>
          <w:iCs/>
        </w:rPr>
        <w:t xml:space="preserve"> </w:t>
      </w:r>
      <w:r w:rsidR="00391554" w:rsidRPr="00885AB3">
        <w:rPr>
          <w:iCs/>
        </w:rPr>
        <w:t xml:space="preserve">from </w:t>
      </w:r>
      <w:r w:rsidR="006141F2" w:rsidRPr="00885AB3">
        <w:rPr>
          <w:iCs/>
        </w:rPr>
        <w:t>it</w:t>
      </w:r>
      <w:r w:rsidR="00391554" w:rsidRPr="00885AB3">
        <w:rPr>
          <w:iCs/>
        </w:rPr>
        <w:t>s</w:t>
      </w:r>
      <w:r w:rsidR="006141F2" w:rsidRPr="00885AB3">
        <w:rPr>
          <w:iCs/>
        </w:rPr>
        <w:t xml:space="preserve"> consider</w:t>
      </w:r>
      <w:r w:rsidR="00BE57A1" w:rsidRPr="00885AB3">
        <w:rPr>
          <w:iCs/>
        </w:rPr>
        <w:t>ation</w:t>
      </w:r>
      <w:r w:rsidRPr="00885AB3">
        <w:rPr>
          <w:iCs/>
        </w:rPr>
        <w:t xml:space="preserve"> at the July 2024 meeting. RSVPreF3 OA was</w:t>
      </w:r>
      <w:r w:rsidR="003A382F" w:rsidRPr="00885AB3">
        <w:rPr>
          <w:iCs/>
        </w:rPr>
        <w:t xml:space="preserve"> subsequently</w:t>
      </w:r>
      <w:r w:rsidRPr="00885AB3">
        <w:rPr>
          <w:iCs/>
        </w:rPr>
        <w:t xml:space="preserve"> recommended for listing at the July 2025 PBAC meeting. </w:t>
      </w:r>
      <w:r w:rsidR="008D1AC4" w:rsidRPr="00885AB3">
        <w:rPr>
          <w:iCs/>
        </w:rPr>
        <w:t xml:space="preserve">The evaluation considered that </w:t>
      </w:r>
      <w:r w:rsidRPr="00885AB3">
        <w:rPr>
          <w:iCs/>
        </w:rPr>
        <w:t>RSVPreF3 OA is an appropriate alternative comparator.</w:t>
      </w:r>
      <w:r w:rsidR="00DB1869" w:rsidRPr="00885AB3">
        <w:rPr>
          <w:iCs/>
        </w:rPr>
        <w:t xml:space="preserve"> </w:t>
      </w:r>
    </w:p>
    <w:p w14:paraId="0CDAF075" w14:textId="2E5AACC2" w:rsidR="006A1AFC" w:rsidRPr="00885AB3" w:rsidRDefault="005A5493" w:rsidP="00120D61">
      <w:pPr>
        <w:pStyle w:val="3-BodyText"/>
        <w:rPr>
          <w:iCs/>
        </w:rPr>
      </w:pPr>
      <w:r w:rsidRPr="00885AB3">
        <w:rPr>
          <w:iCs/>
        </w:rPr>
        <w:lastRenderedPageBreak/>
        <w:t>Given that n</w:t>
      </w:r>
      <w:r w:rsidR="006A1AFC" w:rsidRPr="00885AB3">
        <w:rPr>
          <w:iCs/>
        </w:rPr>
        <w:t xml:space="preserve">either </w:t>
      </w:r>
      <w:proofErr w:type="spellStart"/>
      <w:r w:rsidR="006A1AFC" w:rsidRPr="00885AB3">
        <w:rPr>
          <w:iCs/>
        </w:rPr>
        <w:t>RSVPreF</w:t>
      </w:r>
      <w:proofErr w:type="spellEnd"/>
      <w:r w:rsidR="006A1AFC" w:rsidRPr="00885AB3">
        <w:rPr>
          <w:iCs/>
        </w:rPr>
        <w:t xml:space="preserve"> nor RSVPreF3 OA were</w:t>
      </w:r>
      <w:r w:rsidR="006A1AFC" w:rsidRPr="00885AB3" w:rsidDel="007413CA">
        <w:rPr>
          <w:iCs/>
        </w:rPr>
        <w:t xml:space="preserve"> </w:t>
      </w:r>
      <w:r w:rsidR="006A1AFC" w:rsidRPr="00885AB3">
        <w:rPr>
          <w:iCs/>
        </w:rPr>
        <w:t xml:space="preserve">listed on the NIP at the time of preparing </w:t>
      </w:r>
      <w:r w:rsidR="00033B38" w:rsidRPr="00885AB3">
        <w:rPr>
          <w:iCs/>
        </w:rPr>
        <w:t>t</w:t>
      </w:r>
      <w:r w:rsidR="006A1AFC" w:rsidRPr="00885AB3">
        <w:rPr>
          <w:iCs/>
        </w:rPr>
        <w:t>he submission</w:t>
      </w:r>
      <w:r w:rsidR="00D13D78" w:rsidRPr="00885AB3">
        <w:rPr>
          <w:iCs/>
        </w:rPr>
        <w:t>,</w:t>
      </w:r>
      <w:r w:rsidR="006A1AFC" w:rsidRPr="00885AB3">
        <w:rPr>
          <w:iCs/>
        </w:rPr>
        <w:t xml:space="preserve"> no RSV vaccination</w:t>
      </w:r>
      <w:r w:rsidR="00D13D78" w:rsidRPr="00885AB3">
        <w:rPr>
          <w:iCs/>
        </w:rPr>
        <w:t xml:space="preserve"> was nominated</w:t>
      </w:r>
      <w:r w:rsidR="006A1AFC" w:rsidRPr="00885AB3">
        <w:rPr>
          <w:iCs/>
        </w:rPr>
        <w:t xml:space="preserve"> as a supplementary comparator. </w:t>
      </w:r>
      <w:r w:rsidR="007063C8" w:rsidRPr="00885AB3">
        <w:rPr>
          <w:iCs/>
        </w:rPr>
        <w:t>The evaluation considered that n</w:t>
      </w:r>
      <w:r w:rsidR="006A1AFC" w:rsidRPr="00885AB3">
        <w:rPr>
          <w:iCs/>
        </w:rPr>
        <w:t>o RSV vaccination is a relevant alternative comparator.</w:t>
      </w:r>
      <w:r w:rsidR="001C78D7">
        <w:rPr>
          <w:iCs/>
        </w:rPr>
        <w:t xml:space="preserve"> </w:t>
      </w:r>
    </w:p>
    <w:p w14:paraId="47117452" w14:textId="5912BD7E" w:rsidR="007E5CA0" w:rsidRPr="00885AB3" w:rsidRDefault="001F2AB4" w:rsidP="00120D61">
      <w:pPr>
        <w:pStyle w:val="3-BodyText"/>
      </w:pPr>
      <w:r w:rsidRPr="00885AB3">
        <w:t>For the nominated</w:t>
      </w:r>
      <w:r w:rsidR="00910651" w:rsidRPr="00885AB3">
        <w:t xml:space="preserve"> comparators</w:t>
      </w:r>
      <w:r w:rsidR="007E5CA0" w:rsidRPr="00885AB3">
        <w:t>,</w:t>
      </w:r>
      <w:r w:rsidRPr="00885AB3">
        <w:t xml:space="preserve"> </w:t>
      </w:r>
      <w:r w:rsidR="007E5CA0" w:rsidRPr="00885AB3">
        <w:t>t</w:t>
      </w:r>
      <w:r w:rsidR="00EA2722" w:rsidRPr="00885AB3">
        <w:t xml:space="preserve">he following </w:t>
      </w:r>
      <w:r w:rsidRPr="00885AB3">
        <w:t xml:space="preserve">analyses were presented in the submission: </w:t>
      </w:r>
    </w:p>
    <w:p w14:paraId="2C03EA9C" w14:textId="34DEA215" w:rsidR="007E5CA0" w:rsidRPr="00885AB3" w:rsidRDefault="00076B88" w:rsidP="00120D61">
      <w:pPr>
        <w:pStyle w:val="3-BodyText"/>
        <w:numPr>
          <w:ilvl w:val="0"/>
          <w:numId w:val="28"/>
        </w:numPr>
      </w:pPr>
      <w:r w:rsidRPr="00885AB3">
        <w:t xml:space="preserve">With respect to </w:t>
      </w:r>
      <w:r w:rsidR="00226127" w:rsidRPr="00885AB3">
        <w:t xml:space="preserve">the </w:t>
      </w:r>
      <w:r w:rsidRPr="00885AB3">
        <w:t>clinical evidence, t</w:t>
      </w:r>
      <w:r w:rsidR="006A1AFC" w:rsidRPr="00885AB3">
        <w:t xml:space="preserve">he submission provided an indirect treatment comparison (ITC) with </w:t>
      </w:r>
      <w:proofErr w:type="spellStart"/>
      <w:r w:rsidR="006A1AFC" w:rsidRPr="00885AB3">
        <w:t>RSVPreF</w:t>
      </w:r>
      <w:proofErr w:type="spellEnd"/>
      <w:r w:rsidR="006A1AFC" w:rsidRPr="00885AB3">
        <w:t xml:space="preserve"> and RSVPreF3 OA</w:t>
      </w:r>
      <w:r w:rsidR="00EA5BE2" w:rsidRPr="00885AB3">
        <w:t>,</w:t>
      </w:r>
      <w:r w:rsidR="006A1AFC" w:rsidRPr="00885AB3">
        <w:t xml:space="preserve"> and a direct comparison with placebo (no vaccine). </w:t>
      </w:r>
    </w:p>
    <w:p w14:paraId="06F6907F" w14:textId="3D58C311" w:rsidR="00071AE6" w:rsidRPr="00885AB3" w:rsidRDefault="00226127" w:rsidP="00120D61">
      <w:pPr>
        <w:pStyle w:val="3-BodyText"/>
        <w:numPr>
          <w:ilvl w:val="0"/>
          <w:numId w:val="28"/>
        </w:numPr>
      </w:pPr>
      <w:r w:rsidRPr="00885AB3">
        <w:t>With respect to the economic evaluation, t</w:t>
      </w:r>
      <w:r w:rsidR="006A1AFC" w:rsidRPr="00885AB3">
        <w:t xml:space="preserve">he comparator ‘no vaccine’ was considered in a </w:t>
      </w:r>
      <w:r w:rsidR="00A34F57" w:rsidRPr="00885AB3">
        <w:t>CUA</w:t>
      </w:r>
      <w:r w:rsidR="006A1AFC" w:rsidRPr="00885AB3">
        <w:t xml:space="preserve"> and the comparator </w:t>
      </w:r>
      <w:proofErr w:type="spellStart"/>
      <w:r w:rsidR="006A1AFC" w:rsidRPr="00885AB3">
        <w:t>RSVPreF</w:t>
      </w:r>
      <w:proofErr w:type="spellEnd"/>
      <w:r w:rsidR="006A1AFC" w:rsidRPr="00885AB3">
        <w:t xml:space="preserve"> in a </w:t>
      </w:r>
      <w:r w:rsidR="001F0433" w:rsidRPr="00885AB3">
        <w:t>CMA</w:t>
      </w:r>
      <w:r w:rsidR="006A1AFC" w:rsidRPr="00885AB3">
        <w:t xml:space="preserve">. No </w:t>
      </w:r>
      <w:r w:rsidR="000A5845" w:rsidRPr="00885AB3">
        <w:t>CMA</w:t>
      </w:r>
      <w:r w:rsidR="006A1AFC" w:rsidRPr="00885AB3">
        <w:t xml:space="preserve"> was presented for</w:t>
      </w:r>
      <w:r w:rsidR="00F173D2" w:rsidRPr="00885AB3">
        <w:t xml:space="preserve"> the comparator</w:t>
      </w:r>
      <w:r w:rsidR="006A1AFC" w:rsidRPr="00885AB3">
        <w:t xml:space="preserve"> RSVPreF3 OA.</w:t>
      </w:r>
      <w:r w:rsidR="00EA2722" w:rsidRPr="00885AB3">
        <w:t xml:space="preserve"> </w:t>
      </w:r>
    </w:p>
    <w:p w14:paraId="2AD62911" w14:textId="06691E48" w:rsidR="00071AE6" w:rsidRPr="00885AB3" w:rsidRDefault="00B27B3D" w:rsidP="00120D61">
      <w:pPr>
        <w:pStyle w:val="3-BodyText"/>
        <w:numPr>
          <w:ilvl w:val="0"/>
          <w:numId w:val="28"/>
        </w:numPr>
      </w:pPr>
      <w:r w:rsidRPr="00885AB3">
        <w:t>With respect to t</w:t>
      </w:r>
      <w:r w:rsidR="00EA2722" w:rsidRPr="00885AB3">
        <w:t>he financial estimates</w:t>
      </w:r>
      <w:r w:rsidR="00496DBE" w:rsidRPr="00885AB3">
        <w:t>,</w:t>
      </w:r>
      <w:r w:rsidR="00EA2722" w:rsidRPr="00885AB3">
        <w:t xml:space="preserve"> equal market share of mRNA-1345 and </w:t>
      </w:r>
      <w:proofErr w:type="spellStart"/>
      <w:r w:rsidR="00EA2722" w:rsidRPr="00885AB3">
        <w:t>RSVPreF</w:t>
      </w:r>
      <w:proofErr w:type="spellEnd"/>
      <w:r w:rsidR="00496DBE" w:rsidRPr="00885AB3">
        <w:t xml:space="preserve"> was assumed</w:t>
      </w:r>
      <w:r w:rsidR="00EA2722" w:rsidRPr="00885AB3">
        <w:t>; the</w:t>
      </w:r>
      <w:r w:rsidR="00007368" w:rsidRPr="00885AB3">
        <w:t xml:space="preserve"> potential</w:t>
      </w:r>
      <w:r w:rsidR="00EA2722" w:rsidRPr="00885AB3">
        <w:t xml:space="preserve"> utilisation of RSVPreF3 OA was not considered.</w:t>
      </w:r>
      <w:r w:rsidR="006A1AFC" w:rsidRPr="00885AB3">
        <w:t xml:space="preserve"> </w:t>
      </w:r>
    </w:p>
    <w:p w14:paraId="46476589" w14:textId="0912C93E" w:rsidR="006A1AFC" w:rsidRPr="00885AB3" w:rsidRDefault="00DB0E23" w:rsidP="00120D61">
      <w:pPr>
        <w:pStyle w:val="3-BodyText"/>
        <w:numPr>
          <w:ilvl w:val="0"/>
          <w:numId w:val="0"/>
        </w:numPr>
        <w:ind w:left="720" w:hanging="11"/>
      </w:pPr>
      <w:r w:rsidRPr="00885AB3">
        <w:t xml:space="preserve">At the time of the </w:t>
      </w:r>
      <w:r w:rsidR="00B7752C" w:rsidRPr="00885AB3">
        <w:t xml:space="preserve">November </w:t>
      </w:r>
      <w:r w:rsidRPr="00885AB3">
        <w:t xml:space="preserve">2025 </w:t>
      </w:r>
      <w:r w:rsidR="00B7752C" w:rsidRPr="00885AB3">
        <w:t xml:space="preserve">PBAC </w:t>
      </w:r>
      <w:r w:rsidRPr="00885AB3">
        <w:t xml:space="preserve">meeting, </w:t>
      </w:r>
      <w:r w:rsidR="00402F69" w:rsidRPr="00885AB3">
        <w:t xml:space="preserve">neither </w:t>
      </w:r>
      <w:proofErr w:type="spellStart"/>
      <w:r w:rsidR="00402F69" w:rsidRPr="00885AB3">
        <w:t>RSVPreF</w:t>
      </w:r>
      <w:proofErr w:type="spellEnd"/>
      <w:r w:rsidR="00402F69" w:rsidRPr="00885AB3">
        <w:t xml:space="preserve"> nor </w:t>
      </w:r>
      <w:r w:rsidRPr="00885AB3">
        <w:t>RSVPreF3</w:t>
      </w:r>
      <w:r w:rsidR="00292320" w:rsidRPr="00885AB3">
        <w:t> </w:t>
      </w:r>
      <w:r w:rsidRPr="00885AB3">
        <w:t>OA w</w:t>
      </w:r>
      <w:r w:rsidR="00402F69" w:rsidRPr="00885AB3">
        <w:t>ere</w:t>
      </w:r>
      <w:r w:rsidRPr="00885AB3">
        <w:t xml:space="preserve"> listed on the NIP.</w:t>
      </w:r>
    </w:p>
    <w:p w14:paraId="24F8666E" w14:textId="2FCDD522" w:rsidR="00156801" w:rsidRPr="00885AB3" w:rsidRDefault="00156801" w:rsidP="00120D61">
      <w:pPr>
        <w:pStyle w:val="3-BodyText"/>
        <w:numPr>
          <w:ilvl w:val="0"/>
          <w:numId w:val="0"/>
        </w:numPr>
        <w:ind w:left="720"/>
        <w:rPr>
          <w:iCs/>
        </w:rPr>
      </w:pPr>
      <w:r w:rsidRPr="00885AB3">
        <w:rPr>
          <w:i/>
        </w:rPr>
        <w:t>For more detail on PBAC’s view, see section 7 PBAC outcome.</w:t>
      </w:r>
    </w:p>
    <w:p w14:paraId="2A3E115A" w14:textId="77777777" w:rsidR="006A1AFC" w:rsidRPr="00885AB3" w:rsidRDefault="006A1AFC" w:rsidP="00120D61">
      <w:pPr>
        <w:pStyle w:val="2-SectionHeading"/>
      </w:pPr>
      <w:bookmarkStart w:id="42" w:name="_Toc205822150"/>
      <w:bookmarkStart w:id="43" w:name="_Toc208998503"/>
      <w:r w:rsidRPr="00885AB3">
        <w:t>Consideration of the evidence</w:t>
      </w:r>
      <w:bookmarkEnd w:id="42"/>
      <w:bookmarkEnd w:id="43"/>
    </w:p>
    <w:p w14:paraId="716F6788" w14:textId="77777777" w:rsidR="004416AF" w:rsidRPr="00885AB3" w:rsidRDefault="004416AF" w:rsidP="00120D61">
      <w:pPr>
        <w:pStyle w:val="4-SubsectionHeading"/>
      </w:pPr>
      <w:bookmarkStart w:id="44" w:name="_Hlk76375935"/>
      <w:r w:rsidRPr="00885AB3">
        <w:t>Sponsor hearing</w:t>
      </w:r>
    </w:p>
    <w:p w14:paraId="10E5C89A" w14:textId="4E194190" w:rsidR="004416AF" w:rsidRPr="00885AB3" w:rsidRDefault="002D57EC" w:rsidP="00120D61">
      <w:pPr>
        <w:numPr>
          <w:ilvl w:val="1"/>
          <w:numId w:val="6"/>
        </w:numPr>
        <w:spacing w:after="120"/>
        <w:rPr>
          <w:rFonts w:cs="Calibri"/>
          <w:bCs/>
          <w:snapToGrid w:val="0"/>
        </w:rPr>
      </w:pPr>
      <w:r w:rsidRPr="00885AB3">
        <w:rPr>
          <w:rFonts w:cs="Calibri"/>
          <w:bCs/>
          <w:snapToGrid w:val="0"/>
        </w:rPr>
        <w:t>There was no hearing for this item.</w:t>
      </w:r>
    </w:p>
    <w:p w14:paraId="668A817C" w14:textId="77777777" w:rsidR="004416AF" w:rsidRPr="00885AB3" w:rsidRDefault="004416AF" w:rsidP="00120D61">
      <w:pPr>
        <w:pStyle w:val="4-SubsectionHeading"/>
      </w:pPr>
      <w:r w:rsidRPr="00885AB3">
        <w:t>Consumer inputs</w:t>
      </w:r>
    </w:p>
    <w:p w14:paraId="06D8F65F" w14:textId="379D9E10" w:rsidR="005D1613" w:rsidRPr="00885AB3" w:rsidRDefault="002D57EC" w:rsidP="00120D61">
      <w:pPr>
        <w:numPr>
          <w:ilvl w:val="1"/>
          <w:numId w:val="6"/>
        </w:numPr>
        <w:spacing w:after="120"/>
        <w:rPr>
          <w:rFonts w:asciiTheme="minorHAnsi" w:hAnsiTheme="minorHAnsi"/>
          <w:bCs/>
          <w:snapToGrid w:val="0"/>
        </w:rPr>
      </w:pPr>
      <w:bookmarkStart w:id="45" w:name="_Hlk76382618"/>
      <w:r w:rsidRPr="00885AB3">
        <w:rPr>
          <w:rFonts w:asciiTheme="minorHAnsi" w:hAnsiTheme="minorHAnsi"/>
          <w:bCs/>
          <w:snapToGrid w:val="0"/>
        </w:rPr>
        <w:t xml:space="preserve">The PBAC noted and welcomed the input from </w:t>
      </w:r>
      <w:r w:rsidR="00D67650" w:rsidRPr="00885AB3">
        <w:rPr>
          <w:rFonts w:asciiTheme="minorHAnsi" w:hAnsiTheme="minorHAnsi"/>
          <w:bCs/>
          <w:snapToGrid w:val="0"/>
        </w:rPr>
        <w:t xml:space="preserve">three </w:t>
      </w:r>
      <w:r w:rsidRPr="00885AB3">
        <w:rPr>
          <w:rFonts w:asciiTheme="minorHAnsi" w:hAnsiTheme="minorHAnsi"/>
          <w:bCs/>
          <w:snapToGrid w:val="0"/>
        </w:rPr>
        <w:t>organisations via the Office of Health Technology Assessment Consultation Hub. The inputs</w:t>
      </w:r>
      <w:r w:rsidR="00DF384E" w:rsidRPr="00885AB3">
        <w:rPr>
          <w:rFonts w:asciiTheme="minorHAnsi" w:hAnsiTheme="minorHAnsi"/>
          <w:bCs/>
          <w:snapToGrid w:val="0"/>
        </w:rPr>
        <w:t xml:space="preserve"> were</w:t>
      </w:r>
      <w:r w:rsidRPr="00885AB3">
        <w:rPr>
          <w:rFonts w:asciiTheme="minorHAnsi" w:hAnsiTheme="minorHAnsi"/>
          <w:bCs/>
          <w:snapToGrid w:val="0"/>
        </w:rPr>
        <w:t xml:space="preserve"> </w:t>
      </w:r>
      <w:r w:rsidR="00DF384E" w:rsidRPr="00885AB3">
        <w:rPr>
          <w:rFonts w:asciiTheme="minorHAnsi" w:hAnsiTheme="minorHAnsi"/>
          <w:bCs/>
          <w:snapToGrid w:val="0"/>
        </w:rPr>
        <w:t>broadly supportive of RSV pro</w:t>
      </w:r>
      <w:r w:rsidR="00A24300" w:rsidRPr="00885AB3">
        <w:rPr>
          <w:rFonts w:asciiTheme="minorHAnsi" w:hAnsiTheme="minorHAnsi"/>
          <w:bCs/>
          <w:snapToGrid w:val="0"/>
        </w:rPr>
        <w:t>t</w:t>
      </w:r>
      <w:r w:rsidR="00DF384E" w:rsidRPr="00885AB3">
        <w:rPr>
          <w:rFonts w:asciiTheme="minorHAnsi" w:hAnsiTheme="minorHAnsi"/>
          <w:bCs/>
          <w:snapToGrid w:val="0"/>
        </w:rPr>
        <w:t>ection measures</w:t>
      </w:r>
      <w:r w:rsidR="00310022" w:rsidRPr="00885AB3">
        <w:rPr>
          <w:rFonts w:asciiTheme="minorHAnsi" w:hAnsiTheme="minorHAnsi"/>
          <w:bCs/>
          <w:snapToGrid w:val="0"/>
        </w:rPr>
        <w:t>,</w:t>
      </w:r>
      <w:r w:rsidR="00DF384E" w:rsidRPr="00885AB3">
        <w:rPr>
          <w:rFonts w:asciiTheme="minorHAnsi" w:hAnsiTheme="minorHAnsi"/>
          <w:bCs/>
          <w:snapToGrid w:val="0"/>
        </w:rPr>
        <w:t xml:space="preserve"> including vaccination</w:t>
      </w:r>
      <w:r w:rsidR="00A24300" w:rsidRPr="00885AB3">
        <w:rPr>
          <w:rFonts w:asciiTheme="minorHAnsi" w:hAnsiTheme="minorHAnsi"/>
          <w:bCs/>
          <w:snapToGrid w:val="0"/>
        </w:rPr>
        <w:t>.</w:t>
      </w:r>
    </w:p>
    <w:p w14:paraId="0DDF8D04" w14:textId="2B734C20" w:rsidR="00621CD2" w:rsidRPr="00885AB3" w:rsidRDefault="00621CD2" w:rsidP="00120D61">
      <w:pPr>
        <w:pStyle w:val="3-BodyText"/>
        <w:rPr>
          <w:rFonts w:eastAsia="Times New Roman" w:cs="Arial"/>
          <w:bCs/>
          <w:snapToGrid w:val="0"/>
          <w:szCs w:val="24"/>
        </w:rPr>
      </w:pPr>
      <w:r w:rsidRPr="00885AB3">
        <w:rPr>
          <w:snapToGrid w:val="0"/>
        </w:rPr>
        <w:t>One medical organisation,</w:t>
      </w:r>
      <w:r w:rsidR="00032762" w:rsidRPr="00885AB3">
        <w:rPr>
          <w:snapToGrid w:val="0"/>
        </w:rPr>
        <w:t xml:space="preserve"> </w:t>
      </w:r>
      <w:r w:rsidR="006E248B" w:rsidRPr="00885AB3">
        <w:rPr>
          <w:snapToGrid w:val="0"/>
        </w:rPr>
        <w:t>t</w:t>
      </w:r>
      <w:r w:rsidR="00032762" w:rsidRPr="00885AB3">
        <w:rPr>
          <w:snapToGrid w:val="0"/>
        </w:rPr>
        <w:t xml:space="preserve">he Australian College of Nurse Practitioners, </w:t>
      </w:r>
      <w:r w:rsidR="00E07A72" w:rsidRPr="00885AB3">
        <w:rPr>
          <w:snapToGrid w:val="0"/>
        </w:rPr>
        <w:t xml:space="preserve">discussed the importance of </w:t>
      </w:r>
      <w:r w:rsidR="006D0C91" w:rsidRPr="00885AB3">
        <w:rPr>
          <w:rFonts w:eastAsia="Times New Roman" w:cs="Arial"/>
          <w:bCs/>
          <w:snapToGrid w:val="0"/>
          <w:szCs w:val="24"/>
        </w:rPr>
        <w:t>including</w:t>
      </w:r>
      <w:r w:rsidR="00E07A72" w:rsidRPr="00885AB3">
        <w:rPr>
          <w:rFonts w:eastAsia="Times New Roman" w:cs="Arial"/>
          <w:bCs/>
          <w:snapToGrid w:val="0"/>
          <w:szCs w:val="24"/>
        </w:rPr>
        <w:t xml:space="preserve"> RSV vaccines on the </w:t>
      </w:r>
      <w:r w:rsidR="006D0C91" w:rsidRPr="00885AB3">
        <w:rPr>
          <w:rFonts w:eastAsia="Times New Roman" w:cs="Arial"/>
          <w:bCs/>
          <w:snapToGrid w:val="0"/>
          <w:szCs w:val="24"/>
        </w:rPr>
        <w:t>NIP</w:t>
      </w:r>
      <w:r w:rsidR="00E07A72" w:rsidRPr="00885AB3">
        <w:rPr>
          <w:rFonts w:eastAsia="Times New Roman" w:cs="Arial"/>
          <w:bCs/>
          <w:snapToGrid w:val="0"/>
          <w:szCs w:val="24"/>
        </w:rPr>
        <w:t>, particularly for people aged 75 years and older.</w:t>
      </w:r>
      <w:r w:rsidR="00CF0E6A" w:rsidRPr="00885AB3">
        <w:rPr>
          <w:rFonts w:eastAsia="Times New Roman" w:cs="Arial"/>
          <w:bCs/>
          <w:snapToGrid w:val="0"/>
          <w:szCs w:val="24"/>
        </w:rPr>
        <w:t xml:space="preserve"> It </w:t>
      </w:r>
      <w:r w:rsidR="00EC6A62" w:rsidRPr="00885AB3">
        <w:rPr>
          <w:rFonts w:eastAsia="Times New Roman" w:cs="Arial"/>
          <w:bCs/>
          <w:snapToGrid w:val="0"/>
          <w:szCs w:val="24"/>
        </w:rPr>
        <w:t>noted</w:t>
      </w:r>
      <w:r w:rsidR="006E248B" w:rsidRPr="00885AB3">
        <w:rPr>
          <w:rFonts w:eastAsia="Times New Roman" w:cs="Arial"/>
          <w:bCs/>
          <w:snapToGrid w:val="0"/>
          <w:szCs w:val="24"/>
        </w:rPr>
        <w:t xml:space="preserve"> that a</w:t>
      </w:r>
      <w:r w:rsidR="00E876C5" w:rsidRPr="00885AB3">
        <w:rPr>
          <w:rFonts w:eastAsia="Times New Roman" w:cs="Arial"/>
          <w:bCs/>
          <w:snapToGrid w:val="0"/>
          <w:szCs w:val="24"/>
        </w:rPr>
        <w:t>dults over 60 years are frequently hospitalised with RSV and those aged</w:t>
      </w:r>
      <w:r w:rsidR="00970095" w:rsidRPr="00885AB3">
        <w:rPr>
          <w:rFonts w:eastAsia="Times New Roman" w:cs="Arial"/>
          <w:bCs/>
          <w:snapToGrid w:val="0"/>
          <w:szCs w:val="24"/>
        </w:rPr>
        <w:t xml:space="preserve"> over</w:t>
      </w:r>
      <w:r w:rsidR="00E876C5" w:rsidRPr="00885AB3">
        <w:rPr>
          <w:rFonts w:eastAsia="Times New Roman" w:cs="Arial"/>
          <w:bCs/>
          <w:snapToGrid w:val="0"/>
          <w:szCs w:val="24"/>
        </w:rPr>
        <w:t xml:space="preserve"> 75 year</w:t>
      </w:r>
      <w:r w:rsidR="00970095" w:rsidRPr="00885AB3">
        <w:rPr>
          <w:rFonts w:eastAsia="Times New Roman" w:cs="Arial"/>
          <w:bCs/>
          <w:snapToGrid w:val="0"/>
          <w:szCs w:val="24"/>
        </w:rPr>
        <w:t>s</w:t>
      </w:r>
      <w:r w:rsidR="007F66F1" w:rsidRPr="00885AB3">
        <w:rPr>
          <w:rFonts w:eastAsia="Times New Roman" w:cs="Arial"/>
          <w:bCs/>
          <w:snapToGrid w:val="0"/>
          <w:szCs w:val="24"/>
        </w:rPr>
        <w:t xml:space="preserve"> </w:t>
      </w:r>
      <w:r w:rsidR="00E876C5" w:rsidRPr="00885AB3">
        <w:rPr>
          <w:rFonts w:eastAsia="Times New Roman" w:cs="Arial"/>
          <w:bCs/>
          <w:snapToGrid w:val="0"/>
          <w:szCs w:val="24"/>
        </w:rPr>
        <w:t>face the highest risk.</w:t>
      </w:r>
      <w:r w:rsidR="007F66F1" w:rsidRPr="00885AB3">
        <w:rPr>
          <w:rFonts w:eastAsia="Times New Roman" w:cs="Arial"/>
          <w:bCs/>
          <w:snapToGrid w:val="0"/>
          <w:szCs w:val="24"/>
        </w:rPr>
        <w:t xml:space="preserve"> </w:t>
      </w:r>
      <w:r w:rsidR="00C05ED0" w:rsidRPr="00885AB3">
        <w:rPr>
          <w:rFonts w:eastAsia="Times New Roman" w:cs="Arial"/>
          <w:bCs/>
          <w:snapToGrid w:val="0"/>
          <w:szCs w:val="24"/>
        </w:rPr>
        <w:t xml:space="preserve">It stated that </w:t>
      </w:r>
      <w:r w:rsidR="00E876C5" w:rsidRPr="00885AB3">
        <w:rPr>
          <w:rFonts w:eastAsia="Times New Roman" w:cs="Arial"/>
          <w:bCs/>
          <w:snapToGrid w:val="0"/>
          <w:szCs w:val="24"/>
        </w:rPr>
        <w:t>Aboriginal and Torres Strait Islander people are also</w:t>
      </w:r>
      <w:r w:rsidR="007F66F1" w:rsidRPr="00885AB3">
        <w:rPr>
          <w:rFonts w:eastAsia="Times New Roman" w:cs="Arial"/>
          <w:bCs/>
          <w:snapToGrid w:val="0"/>
          <w:szCs w:val="24"/>
        </w:rPr>
        <w:t xml:space="preserve"> </w:t>
      </w:r>
      <w:r w:rsidR="00E876C5" w:rsidRPr="00885AB3">
        <w:rPr>
          <w:rFonts w:eastAsia="Times New Roman" w:cs="Arial"/>
          <w:bCs/>
          <w:snapToGrid w:val="0"/>
          <w:szCs w:val="24"/>
        </w:rPr>
        <w:t>disproportionately affected, underscoring health inequities within vulnerable populations.</w:t>
      </w:r>
    </w:p>
    <w:p w14:paraId="0CE86421" w14:textId="589B2119" w:rsidR="004416AF" w:rsidRPr="00885AB3" w:rsidRDefault="009B31CB" w:rsidP="00120D61">
      <w:pPr>
        <w:pStyle w:val="3-BodyText"/>
        <w:rPr>
          <w:rFonts w:eastAsia="Times New Roman" w:cs="Arial"/>
          <w:bCs/>
          <w:snapToGrid w:val="0"/>
          <w:szCs w:val="24"/>
        </w:rPr>
      </w:pPr>
      <w:r w:rsidRPr="00885AB3">
        <w:rPr>
          <w:snapToGrid w:val="0"/>
        </w:rPr>
        <w:t xml:space="preserve">Two consumer organisations, Asthma Australia and Lung Foundation Australia, </w:t>
      </w:r>
      <w:r w:rsidR="003B26DF" w:rsidRPr="00885AB3">
        <w:rPr>
          <w:snapToGrid w:val="0"/>
        </w:rPr>
        <w:t>described</w:t>
      </w:r>
      <w:r w:rsidRPr="00885AB3">
        <w:rPr>
          <w:snapToGrid w:val="0"/>
        </w:rPr>
        <w:t xml:space="preserve"> </w:t>
      </w:r>
      <w:r w:rsidR="00F23459" w:rsidRPr="00885AB3">
        <w:rPr>
          <w:snapToGrid w:val="0"/>
        </w:rPr>
        <w:t xml:space="preserve">the advantages </w:t>
      </w:r>
      <w:r w:rsidR="00CB56C3" w:rsidRPr="00885AB3">
        <w:rPr>
          <w:snapToGrid w:val="0"/>
        </w:rPr>
        <w:t>of</w:t>
      </w:r>
      <w:r w:rsidR="00F23459" w:rsidRPr="00885AB3">
        <w:rPr>
          <w:snapToGrid w:val="0"/>
        </w:rPr>
        <w:t xml:space="preserve"> </w:t>
      </w:r>
      <w:r w:rsidR="00E048B0" w:rsidRPr="00885AB3">
        <w:rPr>
          <w:snapToGrid w:val="0"/>
        </w:rPr>
        <w:t>vaccin</w:t>
      </w:r>
      <w:r w:rsidR="00CB56C3" w:rsidRPr="00885AB3">
        <w:rPr>
          <w:snapToGrid w:val="0"/>
        </w:rPr>
        <w:t>ation against RSV</w:t>
      </w:r>
      <w:r w:rsidR="00E048B0" w:rsidRPr="00885AB3">
        <w:rPr>
          <w:snapToGrid w:val="0"/>
        </w:rPr>
        <w:t xml:space="preserve">. Asthma Australia stated that </w:t>
      </w:r>
      <w:r w:rsidR="00C500D6" w:rsidRPr="00885AB3">
        <w:rPr>
          <w:rFonts w:eastAsia="Times New Roman" w:cs="Arial"/>
          <w:bCs/>
          <w:snapToGrid w:val="0"/>
          <w:szCs w:val="24"/>
        </w:rPr>
        <w:t xml:space="preserve">minimising asthma exacerbations is a key objective of asthma management and treatment, as </w:t>
      </w:r>
      <w:r w:rsidR="008041BC" w:rsidRPr="00885AB3">
        <w:rPr>
          <w:rFonts w:eastAsia="Times New Roman" w:cs="Arial"/>
          <w:bCs/>
          <w:snapToGrid w:val="0"/>
          <w:szCs w:val="24"/>
        </w:rPr>
        <w:t xml:space="preserve">exacerbations </w:t>
      </w:r>
      <w:r w:rsidR="00C500D6" w:rsidRPr="00885AB3">
        <w:rPr>
          <w:rFonts w:eastAsia="Times New Roman" w:cs="Arial"/>
          <w:bCs/>
          <w:snapToGrid w:val="0"/>
          <w:szCs w:val="24"/>
        </w:rPr>
        <w:t xml:space="preserve">have a significant impact on quality of life </w:t>
      </w:r>
      <w:r w:rsidR="00F63C43" w:rsidRPr="00885AB3">
        <w:rPr>
          <w:rFonts w:eastAsia="Times New Roman" w:cs="Arial"/>
          <w:bCs/>
          <w:snapToGrid w:val="0"/>
          <w:szCs w:val="24"/>
        </w:rPr>
        <w:t xml:space="preserve">and can </w:t>
      </w:r>
      <w:r w:rsidR="00C500D6" w:rsidRPr="00885AB3">
        <w:rPr>
          <w:rFonts w:eastAsia="Times New Roman" w:cs="Arial"/>
          <w:bCs/>
          <w:snapToGrid w:val="0"/>
          <w:szCs w:val="24"/>
        </w:rPr>
        <w:t xml:space="preserve">extend beyond 4 weeks </w:t>
      </w:r>
      <w:r w:rsidR="008311DC" w:rsidRPr="00885AB3">
        <w:rPr>
          <w:rFonts w:eastAsia="Times New Roman" w:cs="Arial"/>
          <w:bCs/>
          <w:snapToGrid w:val="0"/>
          <w:szCs w:val="24"/>
        </w:rPr>
        <w:t>following</w:t>
      </w:r>
      <w:r w:rsidR="00C500D6" w:rsidRPr="00885AB3">
        <w:rPr>
          <w:rFonts w:eastAsia="Times New Roman" w:cs="Arial"/>
          <w:bCs/>
          <w:snapToGrid w:val="0"/>
          <w:szCs w:val="24"/>
        </w:rPr>
        <w:t xml:space="preserve"> RSV illness. </w:t>
      </w:r>
      <w:r w:rsidR="00110355" w:rsidRPr="00885AB3">
        <w:rPr>
          <w:rFonts w:eastAsia="Times New Roman" w:cs="Arial"/>
          <w:bCs/>
          <w:snapToGrid w:val="0"/>
          <w:szCs w:val="24"/>
        </w:rPr>
        <w:t xml:space="preserve">It stated that current treatment </w:t>
      </w:r>
      <w:r w:rsidR="00C500D6" w:rsidRPr="00885AB3">
        <w:rPr>
          <w:rFonts w:eastAsia="Times New Roman" w:cs="Arial"/>
          <w:bCs/>
          <w:snapToGrid w:val="0"/>
          <w:szCs w:val="24"/>
        </w:rPr>
        <w:t xml:space="preserve">with systemic corticosteroids </w:t>
      </w:r>
      <w:r w:rsidR="00872B99" w:rsidRPr="00885AB3">
        <w:rPr>
          <w:rFonts w:eastAsia="Times New Roman" w:cs="Arial"/>
          <w:bCs/>
          <w:snapToGrid w:val="0"/>
          <w:szCs w:val="24"/>
        </w:rPr>
        <w:t>is</w:t>
      </w:r>
      <w:r w:rsidR="00C500D6" w:rsidRPr="00885AB3">
        <w:rPr>
          <w:rFonts w:eastAsia="Times New Roman" w:cs="Arial"/>
          <w:bCs/>
          <w:snapToGrid w:val="0"/>
          <w:szCs w:val="24"/>
        </w:rPr>
        <w:t xml:space="preserve"> associated with substantial short-term and long-term side effects</w:t>
      </w:r>
      <w:r w:rsidR="009A5D0F" w:rsidRPr="00885AB3">
        <w:rPr>
          <w:rFonts w:eastAsia="Times New Roman" w:cs="Arial"/>
          <w:bCs/>
          <w:snapToGrid w:val="0"/>
          <w:szCs w:val="24"/>
        </w:rPr>
        <w:t xml:space="preserve"> </w:t>
      </w:r>
      <w:r w:rsidR="009A5D0F" w:rsidRPr="00885AB3">
        <w:rPr>
          <w:rFonts w:eastAsia="Times New Roman" w:cs="Arial"/>
          <w:bCs/>
          <w:snapToGrid w:val="0"/>
          <w:szCs w:val="24"/>
        </w:rPr>
        <w:lastRenderedPageBreak/>
        <w:t>and</w:t>
      </w:r>
      <w:r w:rsidR="00C500D6" w:rsidRPr="00885AB3">
        <w:rPr>
          <w:rFonts w:eastAsia="Times New Roman" w:cs="Arial"/>
          <w:bCs/>
          <w:snapToGrid w:val="0"/>
          <w:szCs w:val="24"/>
        </w:rPr>
        <w:t xml:space="preserve"> </w:t>
      </w:r>
      <w:r w:rsidR="009A5D0F" w:rsidRPr="00885AB3">
        <w:rPr>
          <w:rFonts w:eastAsia="Times New Roman" w:cs="Arial"/>
          <w:bCs/>
          <w:snapToGrid w:val="0"/>
          <w:szCs w:val="24"/>
        </w:rPr>
        <w:t>r</w:t>
      </w:r>
      <w:r w:rsidR="00C500D6" w:rsidRPr="00885AB3">
        <w:rPr>
          <w:rFonts w:eastAsia="Times New Roman" w:cs="Arial"/>
          <w:bCs/>
          <w:snapToGrid w:val="0"/>
          <w:szCs w:val="24"/>
        </w:rPr>
        <w:t>educing the risk of LRTD and asthma exacerbations is likely to have a positive impact on the health and quality of life of people living with asthma.</w:t>
      </w:r>
      <w:r w:rsidR="00872B99" w:rsidRPr="00885AB3">
        <w:rPr>
          <w:rFonts w:eastAsia="Times New Roman" w:cs="Arial"/>
          <w:bCs/>
          <w:snapToGrid w:val="0"/>
          <w:szCs w:val="24"/>
        </w:rPr>
        <w:t xml:space="preserve"> Lung Foundation Australia</w:t>
      </w:r>
      <w:r w:rsidR="00204A7A" w:rsidRPr="00885AB3">
        <w:rPr>
          <w:rFonts w:eastAsia="Times New Roman" w:cs="Arial"/>
          <w:bCs/>
          <w:snapToGrid w:val="0"/>
          <w:szCs w:val="24"/>
        </w:rPr>
        <w:t xml:space="preserve"> described</w:t>
      </w:r>
      <w:r w:rsidR="002F14BA" w:rsidRPr="00885AB3">
        <w:rPr>
          <w:rFonts w:eastAsia="Times New Roman" w:cs="Arial"/>
          <w:bCs/>
          <w:snapToGrid w:val="0"/>
          <w:szCs w:val="24"/>
        </w:rPr>
        <w:t xml:space="preserve"> how</w:t>
      </w:r>
      <w:r w:rsidR="007F05CB" w:rsidRPr="00885AB3">
        <w:rPr>
          <w:rFonts w:eastAsia="Times New Roman" w:cs="Arial"/>
          <w:bCs/>
          <w:snapToGrid w:val="0"/>
          <w:szCs w:val="24"/>
        </w:rPr>
        <w:t xml:space="preserve"> vaccination </w:t>
      </w:r>
      <w:r w:rsidR="00803E47" w:rsidRPr="00885AB3">
        <w:rPr>
          <w:rFonts w:eastAsia="Times New Roman" w:cs="Arial"/>
          <w:bCs/>
          <w:snapToGrid w:val="0"/>
          <w:szCs w:val="24"/>
        </w:rPr>
        <w:t>may</w:t>
      </w:r>
      <w:r w:rsidR="002F14BA" w:rsidRPr="00885AB3">
        <w:rPr>
          <w:rFonts w:eastAsia="Times New Roman" w:cs="Arial"/>
          <w:bCs/>
          <w:snapToGrid w:val="0"/>
          <w:szCs w:val="24"/>
        </w:rPr>
        <w:t xml:space="preserve"> </w:t>
      </w:r>
      <w:r w:rsidR="007F05CB" w:rsidRPr="00885AB3">
        <w:rPr>
          <w:rFonts w:eastAsia="Times New Roman" w:cs="Arial"/>
          <w:bCs/>
          <w:snapToGrid w:val="0"/>
          <w:szCs w:val="24"/>
        </w:rPr>
        <w:t>avoid</w:t>
      </w:r>
      <w:r w:rsidR="00803E47" w:rsidRPr="00885AB3">
        <w:rPr>
          <w:rFonts w:eastAsia="Times New Roman" w:cs="Arial"/>
          <w:bCs/>
          <w:snapToGrid w:val="0"/>
          <w:szCs w:val="24"/>
        </w:rPr>
        <w:t xml:space="preserve"> RSV infection that could</w:t>
      </w:r>
      <w:r w:rsidR="00232012" w:rsidRPr="00885AB3">
        <w:rPr>
          <w:rFonts w:eastAsia="Times New Roman" w:cs="Arial"/>
          <w:bCs/>
          <w:snapToGrid w:val="0"/>
          <w:szCs w:val="24"/>
        </w:rPr>
        <w:t xml:space="preserve"> lead to</w:t>
      </w:r>
      <w:r w:rsidR="0000450C" w:rsidRPr="00885AB3">
        <w:rPr>
          <w:rFonts w:eastAsia="Times New Roman" w:cs="Arial"/>
          <w:bCs/>
          <w:snapToGrid w:val="0"/>
          <w:szCs w:val="24"/>
        </w:rPr>
        <w:t xml:space="preserve"> bronchiolitis, pneumonia and bronchitis</w:t>
      </w:r>
      <w:r w:rsidR="00232012" w:rsidRPr="00885AB3">
        <w:rPr>
          <w:rFonts w:eastAsia="Times New Roman" w:cs="Arial"/>
          <w:bCs/>
          <w:snapToGrid w:val="0"/>
          <w:szCs w:val="24"/>
        </w:rPr>
        <w:t>.</w:t>
      </w:r>
      <w:r w:rsidR="00A97179" w:rsidRPr="00885AB3">
        <w:rPr>
          <w:rFonts w:eastAsia="Times New Roman" w:cs="Arial"/>
          <w:bCs/>
          <w:snapToGrid w:val="0"/>
          <w:szCs w:val="24"/>
        </w:rPr>
        <w:t xml:space="preserve"> It highlighted the </w:t>
      </w:r>
      <w:r w:rsidR="00157AA8" w:rsidRPr="00885AB3">
        <w:rPr>
          <w:rFonts w:eastAsia="Times New Roman" w:cs="Arial"/>
          <w:bCs/>
          <w:snapToGrid w:val="0"/>
          <w:szCs w:val="24"/>
        </w:rPr>
        <w:t xml:space="preserve">vulnerability of </w:t>
      </w:r>
      <w:r w:rsidR="004819D0" w:rsidRPr="00885AB3">
        <w:rPr>
          <w:rFonts w:eastAsia="Times New Roman" w:cs="Arial"/>
          <w:bCs/>
          <w:snapToGrid w:val="0"/>
          <w:szCs w:val="24"/>
        </w:rPr>
        <w:t>patients</w:t>
      </w:r>
      <w:r w:rsidR="00157AA8" w:rsidRPr="00885AB3">
        <w:rPr>
          <w:rFonts w:eastAsia="Times New Roman" w:cs="Arial"/>
          <w:bCs/>
          <w:snapToGrid w:val="0"/>
          <w:szCs w:val="24"/>
        </w:rPr>
        <w:t xml:space="preserve"> with lung cancer or lung disease</w:t>
      </w:r>
      <w:r w:rsidR="004819D0" w:rsidRPr="00885AB3">
        <w:rPr>
          <w:rFonts w:eastAsia="Times New Roman" w:cs="Arial"/>
          <w:bCs/>
          <w:snapToGrid w:val="0"/>
          <w:szCs w:val="24"/>
        </w:rPr>
        <w:t xml:space="preserve"> who may require urgent medication attention if infected with RSV.</w:t>
      </w:r>
      <w:r w:rsidR="0000450C" w:rsidRPr="00885AB3">
        <w:rPr>
          <w:rFonts w:eastAsia="Times New Roman" w:cs="Arial"/>
          <w:bCs/>
          <w:snapToGrid w:val="0"/>
          <w:szCs w:val="24"/>
        </w:rPr>
        <w:t xml:space="preserve"> </w:t>
      </w:r>
      <w:r w:rsidR="00232012" w:rsidRPr="00885AB3">
        <w:rPr>
          <w:rFonts w:eastAsia="Times New Roman" w:cs="Arial"/>
          <w:bCs/>
          <w:snapToGrid w:val="0"/>
          <w:szCs w:val="24"/>
        </w:rPr>
        <w:t>It</w:t>
      </w:r>
      <w:r w:rsidR="00204A7A" w:rsidRPr="00885AB3">
        <w:rPr>
          <w:rFonts w:eastAsia="Times New Roman" w:cs="Arial"/>
          <w:bCs/>
          <w:snapToGrid w:val="0"/>
          <w:szCs w:val="24"/>
        </w:rPr>
        <w:t xml:space="preserve"> emphasised </w:t>
      </w:r>
      <w:r w:rsidR="0085641F" w:rsidRPr="00885AB3">
        <w:rPr>
          <w:rFonts w:eastAsia="Times New Roman" w:cs="Arial"/>
          <w:bCs/>
          <w:snapToGrid w:val="0"/>
          <w:szCs w:val="24"/>
        </w:rPr>
        <w:t xml:space="preserve">the prohibitive cost of vaccination to older Australians </w:t>
      </w:r>
      <w:r w:rsidR="004C4743" w:rsidRPr="00885AB3">
        <w:rPr>
          <w:rFonts w:eastAsia="Times New Roman" w:cs="Arial"/>
          <w:bCs/>
          <w:snapToGrid w:val="0"/>
          <w:szCs w:val="24"/>
        </w:rPr>
        <w:t>without listing on the NIP.</w:t>
      </w:r>
      <w:r w:rsidR="00204A7A" w:rsidRPr="00885AB3">
        <w:rPr>
          <w:rFonts w:eastAsia="Times New Roman" w:cs="Arial"/>
          <w:bCs/>
          <w:snapToGrid w:val="0"/>
          <w:szCs w:val="24"/>
        </w:rPr>
        <w:t xml:space="preserve"> </w:t>
      </w:r>
    </w:p>
    <w:p w14:paraId="2A2C7E11" w14:textId="52838A55" w:rsidR="006A1AFC" w:rsidRPr="00885AB3" w:rsidRDefault="006A1AFC" w:rsidP="00120D61">
      <w:pPr>
        <w:pStyle w:val="4-SubsectionHeading"/>
      </w:pPr>
      <w:bookmarkStart w:id="46" w:name="_Toc205822151"/>
      <w:bookmarkStart w:id="47" w:name="_Toc208998504"/>
      <w:bookmarkEnd w:id="44"/>
      <w:bookmarkEnd w:id="45"/>
      <w:r w:rsidRPr="00885AB3">
        <w:t>Clinical trial</w:t>
      </w:r>
      <w:bookmarkEnd w:id="46"/>
      <w:bookmarkEnd w:id="47"/>
      <w:r w:rsidR="00B57679" w:rsidRPr="00885AB3">
        <w:t>s</w:t>
      </w:r>
    </w:p>
    <w:p w14:paraId="6329720F" w14:textId="1A0D596F" w:rsidR="00B57679" w:rsidRPr="00885AB3" w:rsidRDefault="00B57679" w:rsidP="00120D61">
      <w:pPr>
        <w:pStyle w:val="3-BodyText"/>
      </w:pPr>
      <w:r w:rsidRPr="00885AB3">
        <w:t xml:space="preserve">Details of the studies presented in the submission are provided in </w:t>
      </w:r>
      <w:r w:rsidRPr="00885AB3">
        <w:fldChar w:fldCharType="begin" w:fldLock="1"/>
      </w:r>
      <w:r w:rsidRPr="00885AB3">
        <w:instrText xml:space="preserve"> REF _Ref104803956 \h </w:instrText>
      </w:r>
      <w:r w:rsidR="005F5B2F" w:rsidRPr="00885AB3">
        <w:instrText xml:space="preserve"> \* MERGEFORMAT </w:instrText>
      </w:r>
      <w:r w:rsidRPr="00885AB3">
        <w:fldChar w:fldCharType="separate"/>
      </w:r>
      <w:r w:rsidR="00515933" w:rsidRPr="00885AB3">
        <w:t>Table 2</w:t>
      </w:r>
      <w:r w:rsidRPr="00885AB3">
        <w:fldChar w:fldCharType="end"/>
      </w:r>
      <w:r w:rsidRPr="00885AB3">
        <w:t xml:space="preserve">. </w:t>
      </w:r>
    </w:p>
    <w:p w14:paraId="48098AB5" w14:textId="0D120D95" w:rsidR="00B57679" w:rsidRPr="00885AB3" w:rsidRDefault="00B57679" w:rsidP="00120D61">
      <w:pPr>
        <w:pStyle w:val="TableFigureHeading"/>
        <w:rPr>
          <w:rStyle w:val="CommentReference"/>
          <w:b/>
        </w:rPr>
      </w:pPr>
      <w:bookmarkStart w:id="48" w:name="_Ref104803956"/>
      <w:r w:rsidRPr="00885AB3">
        <w:t xml:space="preserve">Table </w:t>
      </w:r>
      <w:r w:rsidR="008A242D" w:rsidRPr="00885AB3">
        <w:fldChar w:fldCharType="begin" w:fldLock="1"/>
      </w:r>
      <w:r w:rsidR="008A242D" w:rsidRPr="00885AB3">
        <w:instrText xml:space="preserve"> SEQ Table \* ARABIC </w:instrText>
      </w:r>
      <w:r w:rsidR="008A242D" w:rsidRPr="00885AB3">
        <w:fldChar w:fldCharType="separate"/>
      </w:r>
      <w:r w:rsidR="009E2E03">
        <w:rPr>
          <w:noProof/>
        </w:rPr>
        <w:t>2</w:t>
      </w:r>
      <w:r w:rsidR="008A242D" w:rsidRPr="00885AB3">
        <w:fldChar w:fldCharType="end"/>
      </w:r>
      <w:bookmarkEnd w:id="48"/>
      <w:r w:rsidRPr="00885AB3">
        <w:t>:</w:t>
      </w:r>
      <w:r w:rsidRPr="00885AB3">
        <w:rPr>
          <w:rStyle w:val="CommentReference"/>
        </w:rPr>
        <w:t xml:space="preserve"> </w:t>
      </w:r>
      <w:r w:rsidRPr="00885AB3">
        <w:rPr>
          <w:rStyle w:val="CommentReference"/>
          <w:b/>
          <w:bCs w:val="0"/>
        </w:rPr>
        <w:t>Trials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2: Trials and associated reports presented in the submission"/>
      </w:tblPr>
      <w:tblGrid>
        <w:gridCol w:w="1321"/>
        <w:gridCol w:w="4747"/>
        <w:gridCol w:w="2949"/>
      </w:tblGrid>
      <w:tr w:rsidR="00B57679" w:rsidRPr="00885AB3" w14:paraId="525E8DB7" w14:textId="77777777" w:rsidTr="00B6422C">
        <w:trPr>
          <w:tblHeader/>
        </w:trPr>
        <w:tc>
          <w:tcPr>
            <w:tcW w:w="733" w:type="pct"/>
            <w:vAlign w:val="center"/>
          </w:tcPr>
          <w:p w14:paraId="311B12C1" w14:textId="77777777" w:rsidR="00B57679" w:rsidRPr="00885AB3" w:rsidRDefault="00B57679" w:rsidP="00120D61">
            <w:pPr>
              <w:pStyle w:val="In-tableHeading"/>
            </w:pPr>
            <w:r w:rsidRPr="00885AB3">
              <w:t>Trial ID</w:t>
            </w:r>
          </w:p>
        </w:tc>
        <w:tc>
          <w:tcPr>
            <w:tcW w:w="2632" w:type="pct"/>
            <w:vAlign w:val="center"/>
          </w:tcPr>
          <w:p w14:paraId="76AB3726" w14:textId="77777777" w:rsidR="00B57679" w:rsidRPr="00885AB3" w:rsidRDefault="00B57679" w:rsidP="00120D61">
            <w:pPr>
              <w:pStyle w:val="In-tableHeading"/>
            </w:pPr>
            <w:r w:rsidRPr="00885AB3">
              <w:t>Protocol title/ Publication title</w:t>
            </w:r>
          </w:p>
        </w:tc>
        <w:tc>
          <w:tcPr>
            <w:tcW w:w="1635" w:type="pct"/>
            <w:vAlign w:val="center"/>
          </w:tcPr>
          <w:p w14:paraId="216FA01F" w14:textId="77777777" w:rsidR="00B57679" w:rsidRPr="00885AB3" w:rsidRDefault="00B57679" w:rsidP="00120D61">
            <w:pPr>
              <w:pStyle w:val="In-tableHeading"/>
            </w:pPr>
            <w:r w:rsidRPr="00885AB3">
              <w:t>Publication citation</w:t>
            </w:r>
          </w:p>
        </w:tc>
      </w:tr>
      <w:tr w:rsidR="00B57679" w:rsidRPr="00885AB3" w14:paraId="6E098DF3" w14:textId="77777777" w:rsidTr="00B6422C">
        <w:tc>
          <w:tcPr>
            <w:tcW w:w="733" w:type="pct"/>
            <w:tcBorders>
              <w:bottom w:val="nil"/>
            </w:tcBorders>
            <w:vAlign w:val="center"/>
          </w:tcPr>
          <w:p w14:paraId="106F9820" w14:textId="3A0885E2" w:rsidR="00B57679" w:rsidRPr="00885AB3" w:rsidRDefault="00B57679" w:rsidP="00120D61">
            <w:pPr>
              <w:pStyle w:val="Tabletext"/>
              <w:rPr>
                <w:szCs w:val="20"/>
              </w:rPr>
            </w:pPr>
            <w:proofErr w:type="spellStart"/>
            <w:r w:rsidRPr="00885AB3">
              <w:rPr>
                <w:szCs w:val="20"/>
              </w:rPr>
              <w:t>ConquerRSV</w:t>
            </w:r>
            <w:proofErr w:type="spellEnd"/>
            <w:r w:rsidRPr="00885AB3">
              <w:rPr>
                <w:szCs w:val="20"/>
              </w:rPr>
              <w:t xml:space="preserve"> (NCT05127434</w:t>
            </w:r>
            <w:r w:rsidR="006D5590" w:rsidRPr="00885AB3">
              <w:rPr>
                <w:szCs w:val="20"/>
              </w:rPr>
              <w:t>)</w:t>
            </w:r>
          </w:p>
        </w:tc>
        <w:tc>
          <w:tcPr>
            <w:tcW w:w="2632" w:type="pct"/>
            <w:tcBorders>
              <w:bottom w:val="nil"/>
            </w:tcBorders>
            <w:vAlign w:val="center"/>
          </w:tcPr>
          <w:p w14:paraId="242BB3A8" w14:textId="77777777" w:rsidR="00B57679" w:rsidRPr="00885AB3" w:rsidRDefault="00B57679" w:rsidP="00120D61">
            <w:pPr>
              <w:pStyle w:val="Tabletext"/>
              <w:rPr>
                <w:szCs w:val="20"/>
              </w:rPr>
            </w:pPr>
            <w:r w:rsidRPr="00885AB3">
              <w:rPr>
                <w:szCs w:val="20"/>
              </w:rPr>
              <w:t>A Phase 2/3, Randomized, Observer-Blind, Placebo-Controlled Study to Evaluate the Safety and Efficacy of mRNA-1345, an mRNA Vaccine Targeting Respiratory Syncytial Virus (RSV), in</w:t>
            </w:r>
          </w:p>
          <w:p w14:paraId="3B97F811" w14:textId="751BCEB6" w:rsidR="00B57679" w:rsidRPr="00885AB3" w:rsidRDefault="00B57679" w:rsidP="00120D61">
            <w:pPr>
              <w:pStyle w:val="Tabletext"/>
              <w:rPr>
                <w:szCs w:val="20"/>
              </w:rPr>
            </w:pPr>
            <w:r w:rsidRPr="00885AB3">
              <w:rPr>
                <w:szCs w:val="20"/>
              </w:rPr>
              <w:t xml:space="preserve">Adults </w:t>
            </w:r>
            <w:r w:rsidR="00EF2FA4">
              <w:rPr>
                <w:szCs w:val="20"/>
              </w:rPr>
              <w:t xml:space="preserve">≥ </w:t>
            </w:r>
            <w:r w:rsidRPr="00885AB3">
              <w:rPr>
                <w:szCs w:val="20"/>
              </w:rPr>
              <w:t xml:space="preserve">60 Years of Age. </w:t>
            </w:r>
          </w:p>
        </w:tc>
        <w:tc>
          <w:tcPr>
            <w:tcW w:w="1635" w:type="pct"/>
            <w:tcBorders>
              <w:bottom w:val="nil"/>
            </w:tcBorders>
            <w:vAlign w:val="center"/>
          </w:tcPr>
          <w:p w14:paraId="3CCBB5C8" w14:textId="480F914B" w:rsidR="00B57679" w:rsidRPr="00885AB3" w:rsidRDefault="00B57679" w:rsidP="00120D61">
            <w:pPr>
              <w:pStyle w:val="Tabletext"/>
              <w:rPr>
                <w:szCs w:val="20"/>
              </w:rPr>
            </w:pPr>
            <w:r w:rsidRPr="00885AB3">
              <w:rPr>
                <w:szCs w:val="20"/>
              </w:rPr>
              <w:t>Clinical Study Report. Primary data analysis period – data cut off 30 Nov 2022</w:t>
            </w:r>
          </w:p>
        </w:tc>
      </w:tr>
      <w:tr w:rsidR="00B57679" w:rsidRPr="00885AB3" w14:paraId="4496B843" w14:textId="77777777" w:rsidTr="00B6422C">
        <w:tc>
          <w:tcPr>
            <w:tcW w:w="733" w:type="pct"/>
            <w:tcBorders>
              <w:top w:val="nil"/>
              <w:bottom w:val="nil"/>
            </w:tcBorders>
            <w:vAlign w:val="center"/>
          </w:tcPr>
          <w:p w14:paraId="7F978A60" w14:textId="77777777" w:rsidR="00B57679" w:rsidRPr="00885AB3" w:rsidRDefault="00B57679" w:rsidP="00120D61">
            <w:pPr>
              <w:pStyle w:val="Tabletext"/>
              <w:rPr>
                <w:szCs w:val="20"/>
              </w:rPr>
            </w:pPr>
          </w:p>
        </w:tc>
        <w:tc>
          <w:tcPr>
            <w:tcW w:w="2632" w:type="pct"/>
            <w:tcBorders>
              <w:top w:val="nil"/>
              <w:bottom w:val="nil"/>
            </w:tcBorders>
            <w:vAlign w:val="center"/>
          </w:tcPr>
          <w:p w14:paraId="73A482AD" w14:textId="77777777" w:rsidR="00B57679" w:rsidRPr="00885AB3" w:rsidRDefault="00B57679" w:rsidP="00120D61">
            <w:pPr>
              <w:pStyle w:val="Tabletext"/>
              <w:rPr>
                <w:szCs w:val="20"/>
              </w:rPr>
            </w:pPr>
            <w:r w:rsidRPr="00885AB3">
              <w:rPr>
                <w:szCs w:val="20"/>
              </w:rPr>
              <w:t>A Phase 2/3, Randomized, Observer-Blind, Placebo-Controlled Study to Evaluate the Safety and Efficacy of mRNA-1345, an mRNA Vaccine Targeting Respiratory Syncytial Virus (RSV), in</w:t>
            </w:r>
          </w:p>
          <w:p w14:paraId="09362628" w14:textId="203CD9C6" w:rsidR="00B57679" w:rsidRPr="00885AB3" w:rsidRDefault="00B57679" w:rsidP="00120D61">
            <w:pPr>
              <w:pStyle w:val="Tabletext"/>
              <w:rPr>
                <w:szCs w:val="20"/>
              </w:rPr>
            </w:pPr>
            <w:r w:rsidRPr="00885AB3">
              <w:rPr>
                <w:szCs w:val="20"/>
              </w:rPr>
              <w:t xml:space="preserve">Adults </w:t>
            </w:r>
            <w:r w:rsidR="00EF2FA4">
              <w:rPr>
                <w:szCs w:val="20"/>
              </w:rPr>
              <w:t xml:space="preserve">≥ </w:t>
            </w:r>
            <w:r w:rsidRPr="00885AB3">
              <w:rPr>
                <w:szCs w:val="20"/>
              </w:rPr>
              <w:t xml:space="preserve">60 Years of Age. </w:t>
            </w:r>
          </w:p>
        </w:tc>
        <w:tc>
          <w:tcPr>
            <w:tcW w:w="1635" w:type="pct"/>
            <w:tcBorders>
              <w:top w:val="nil"/>
              <w:bottom w:val="nil"/>
            </w:tcBorders>
            <w:vAlign w:val="center"/>
          </w:tcPr>
          <w:p w14:paraId="7D627105" w14:textId="77777777" w:rsidR="00B57679" w:rsidRPr="00885AB3" w:rsidRDefault="00B57679" w:rsidP="00120D61">
            <w:pPr>
              <w:pStyle w:val="Tabletext"/>
              <w:rPr>
                <w:i/>
                <w:szCs w:val="20"/>
              </w:rPr>
            </w:pPr>
            <w:r w:rsidRPr="00885AB3">
              <w:rPr>
                <w:i/>
                <w:szCs w:val="20"/>
              </w:rPr>
              <w:t xml:space="preserve">Clinical Study Report. </w:t>
            </w:r>
            <w:r w:rsidRPr="00885AB3">
              <w:rPr>
                <w:szCs w:val="20"/>
              </w:rPr>
              <w:t>Additional data analysis period – data cut off 30 Apr 2023</w:t>
            </w:r>
          </w:p>
        </w:tc>
      </w:tr>
      <w:tr w:rsidR="00B57679" w:rsidRPr="00885AB3" w14:paraId="7088B849" w14:textId="77777777" w:rsidTr="00B6422C">
        <w:tc>
          <w:tcPr>
            <w:tcW w:w="733" w:type="pct"/>
            <w:tcBorders>
              <w:top w:val="nil"/>
              <w:bottom w:val="nil"/>
            </w:tcBorders>
            <w:vAlign w:val="center"/>
          </w:tcPr>
          <w:p w14:paraId="6527CE76" w14:textId="77777777" w:rsidR="00B57679" w:rsidRPr="00885AB3" w:rsidRDefault="00B57679" w:rsidP="00120D61">
            <w:pPr>
              <w:pStyle w:val="Tabletext"/>
              <w:rPr>
                <w:szCs w:val="20"/>
              </w:rPr>
            </w:pPr>
          </w:p>
        </w:tc>
        <w:tc>
          <w:tcPr>
            <w:tcW w:w="2632" w:type="pct"/>
            <w:tcBorders>
              <w:top w:val="nil"/>
              <w:bottom w:val="nil"/>
            </w:tcBorders>
            <w:vAlign w:val="center"/>
          </w:tcPr>
          <w:p w14:paraId="432862D4" w14:textId="77777777" w:rsidR="00B57679" w:rsidRPr="00885AB3" w:rsidRDefault="00B57679" w:rsidP="00120D61">
            <w:pPr>
              <w:pStyle w:val="Tabletext"/>
              <w:rPr>
                <w:szCs w:val="20"/>
              </w:rPr>
            </w:pPr>
            <w:r w:rsidRPr="00885AB3">
              <w:rPr>
                <w:szCs w:val="20"/>
              </w:rPr>
              <w:t>A Phase 2/3, Randomized, Observer-Blind, Placebo-Controlled Study to Evaluate the Safety and Efficacy of mRNA-1345, an mRNA Vaccine Targeting Respiratory Syncytial Virus (RSV), in</w:t>
            </w:r>
          </w:p>
          <w:p w14:paraId="7F64304F" w14:textId="6B8432AD" w:rsidR="00B57679" w:rsidRPr="00885AB3" w:rsidRDefault="00B57679" w:rsidP="00120D61">
            <w:pPr>
              <w:pStyle w:val="Tabletext"/>
              <w:rPr>
                <w:szCs w:val="20"/>
              </w:rPr>
            </w:pPr>
            <w:r w:rsidRPr="00885AB3">
              <w:rPr>
                <w:szCs w:val="20"/>
              </w:rPr>
              <w:t xml:space="preserve">Adults </w:t>
            </w:r>
            <w:r w:rsidR="00EF2FA4">
              <w:rPr>
                <w:szCs w:val="20"/>
              </w:rPr>
              <w:t xml:space="preserve">≥ </w:t>
            </w:r>
            <w:r w:rsidRPr="00885AB3">
              <w:rPr>
                <w:szCs w:val="20"/>
              </w:rPr>
              <w:t xml:space="preserve">60 Years of Age. </w:t>
            </w:r>
          </w:p>
        </w:tc>
        <w:tc>
          <w:tcPr>
            <w:tcW w:w="1635" w:type="pct"/>
            <w:tcBorders>
              <w:top w:val="nil"/>
              <w:bottom w:val="nil"/>
            </w:tcBorders>
            <w:vAlign w:val="center"/>
          </w:tcPr>
          <w:p w14:paraId="419E49F9" w14:textId="77777777" w:rsidR="00B57679" w:rsidRPr="00885AB3" w:rsidRDefault="00B57679" w:rsidP="00120D61">
            <w:pPr>
              <w:pStyle w:val="Tabletext"/>
              <w:rPr>
                <w:szCs w:val="20"/>
              </w:rPr>
            </w:pPr>
            <w:r w:rsidRPr="00885AB3">
              <w:rPr>
                <w:szCs w:val="20"/>
              </w:rPr>
              <w:t>Clinical Study Report. Data memo-18.8 month analysis data cut off 30 Mar 2024</w:t>
            </w:r>
          </w:p>
        </w:tc>
      </w:tr>
      <w:tr w:rsidR="00B57679" w:rsidRPr="00885AB3" w14:paraId="55649739" w14:textId="77777777" w:rsidTr="00B6422C">
        <w:tc>
          <w:tcPr>
            <w:tcW w:w="733" w:type="pct"/>
            <w:tcBorders>
              <w:top w:val="nil"/>
              <w:bottom w:val="nil"/>
            </w:tcBorders>
            <w:vAlign w:val="center"/>
          </w:tcPr>
          <w:p w14:paraId="4812B8C3" w14:textId="77777777" w:rsidR="00B57679" w:rsidRPr="00885AB3" w:rsidRDefault="00B57679" w:rsidP="00120D61">
            <w:pPr>
              <w:pStyle w:val="Tabletext"/>
              <w:rPr>
                <w:szCs w:val="20"/>
              </w:rPr>
            </w:pPr>
          </w:p>
        </w:tc>
        <w:tc>
          <w:tcPr>
            <w:tcW w:w="2632" w:type="pct"/>
            <w:tcBorders>
              <w:top w:val="nil"/>
              <w:bottom w:val="nil"/>
            </w:tcBorders>
            <w:vAlign w:val="center"/>
          </w:tcPr>
          <w:p w14:paraId="1146EE94" w14:textId="77777777" w:rsidR="00B57679" w:rsidRPr="00885AB3" w:rsidRDefault="00B57679" w:rsidP="00120D61">
            <w:pPr>
              <w:pStyle w:val="Tabletext"/>
              <w:rPr>
                <w:szCs w:val="20"/>
              </w:rPr>
            </w:pPr>
            <w:r w:rsidRPr="00885AB3">
              <w:rPr>
                <w:szCs w:val="20"/>
              </w:rPr>
              <w:t>A Phase 2/3, Randomized, Observer-Blind, Placebo-Controlled</w:t>
            </w:r>
          </w:p>
          <w:p w14:paraId="693B6028" w14:textId="77777777" w:rsidR="00B57679" w:rsidRPr="00885AB3" w:rsidRDefault="00B57679" w:rsidP="00120D61">
            <w:pPr>
              <w:pStyle w:val="Tabletext"/>
              <w:rPr>
                <w:szCs w:val="20"/>
              </w:rPr>
            </w:pPr>
            <w:r w:rsidRPr="00885AB3">
              <w:rPr>
                <w:szCs w:val="20"/>
              </w:rPr>
              <w:t>Study to Evaluate the Safety and Efficacy of mRNA-1345, an</w:t>
            </w:r>
          </w:p>
          <w:p w14:paraId="25E4C7CF" w14:textId="77777777" w:rsidR="00B57679" w:rsidRPr="00885AB3" w:rsidRDefault="00B57679" w:rsidP="00120D61">
            <w:pPr>
              <w:pStyle w:val="Tabletext"/>
              <w:rPr>
                <w:szCs w:val="20"/>
              </w:rPr>
            </w:pPr>
            <w:r w:rsidRPr="00885AB3">
              <w:rPr>
                <w:szCs w:val="20"/>
              </w:rPr>
              <w:t>mRNA Vaccine Targeting Respiratory Syncytial Virus (RSV), in</w:t>
            </w:r>
          </w:p>
          <w:p w14:paraId="54D20B8B" w14:textId="3397F128" w:rsidR="00B57679" w:rsidRPr="00885AB3" w:rsidRDefault="00B57679" w:rsidP="00120D61">
            <w:pPr>
              <w:pStyle w:val="Tabletext"/>
              <w:rPr>
                <w:szCs w:val="20"/>
              </w:rPr>
            </w:pPr>
            <w:r w:rsidRPr="00885AB3">
              <w:rPr>
                <w:szCs w:val="20"/>
              </w:rPr>
              <w:t xml:space="preserve">Adults </w:t>
            </w:r>
            <w:r w:rsidR="00EF2FA4">
              <w:rPr>
                <w:szCs w:val="20"/>
              </w:rPr>
              <w:t xml:space="preserve">≥ </w:t>
            </w:r>
            <w:r w:rsidRPr="00885AB3">
              <w:rPr>
                <w:szCs w:val="20"/>
              </w:rPr>
              <w:t>60 Years of Age</w:t>
            </w:r>
          </w:p>
        </w:tc>
        <w:tc>
          <w:tcPr>
            <w:tcW w:w="1635" w:type="pct"/>
            <w:tcBorders>
              <w:top w:val="nil"/>
              <w:bottom w:val="nil"/>
            </w:tcBorders>
            <w:vAlign w:val="center"/>
          </w:tcPr>
          <w:p w14:paraId="1911A7F1" w14:textId="77777777" w:rsidR="00B57679" w:rsidRPr="00885AB3" w:rsidRDefault="00B57679" w:rsidP="00120D61">
            <w:pPr>
              <w:pStyle w:val="Tabletext"/>
              <w:rPr>
                <w:szCs w:val="20"/>
              </w:rPr>
            </w:pPr>
            <w:r w:rsidRPr="00885AB3">
              <w:rPr>
                <w:szCs w:val="20"/>
              </w:rPr>
              <w:t>Clinical Study Protocol: Version 07 Oct 2021</w:t>
            </w:r>
          </w:p>
        </w:tc>
      </w:tr>
      <w:tr w:rsidR="00B57679" w:rsidRPr="00885AB3" w14:paraId="57B5C45B" w14:textId="77777777" w:rsidTr="00B6422C">
        <w:tc>
          <w:tcPr>
            <w:tcW w:w="733" w:type="pct"/>
            <w:tcBorders>
              <w:top w:val="nil"/>
              <w:bottom w:val="nil"/>
            </w:tcBorders>
            <w:vAlign w:val="center"/>
          </w:tcPr>
          <w:p w14:paraId="0F0A5B46" w14:textId="77777777" w:rsidR="00B57679" w:rsidRPr="00885AB3" w:rsidRDefault="00B57679" w:rsidP="00120D61">
            <w:pPr>
              <w:pStyle w:val="Tabletext"/>
              <w:rPr>
                <w:szCs w:val="20"/>
              </w:rPr>
            </w:pPr>
          </w:p>
        </w:tc>
        <w:tc>
          <w:tcPr>
            <w:tcW w:w="2632" w:type="pct"/>
            <w:tcBorders>
              <w:top w:val="nil"/>
              <w:bottom w:val="nil"/>
            </w:tcBorders>
            <w:vAlign w:val="center"/>
          </w:tcPr>
          <w:p w14:paraId="1B5C3FAF" w14:textId="670B5B2E" w:rsidR="00B57679" w:rsidRPr="00885AB3" w:rsidRDefault="00B57679" w:rsidP="00120D61">
            <w:pPr>
              <w:pStyle w:val="Tabletext"/>
              <w:rPr>
                <w:szCs w:val="20"/>
              </w:rPr>
            </w:pPr>
            <w:r w:rsidRPr="00885AB3">
              <w:rPr>
                <w:szCs w:val="20"/>
              </w:rPr>
              <w:t xml:space="preserve">A Phase 2/3, Randomized, Observer-Blind, Placebo-Controlled Study to Evaluate the Safety and Efficacy of mRNA-1345, an mRNA Vaccine Targeting Respiratory Syncytial Virus (RSV), in Adults </w:t>
            </w:r>
            <w:r w:rsidR="00EF2FA4">
              <w:rPr>
                <w:szCs w:val="20"/>
              </w:rPr>
              <w:t>≥</w:t>
            </w:r>
            <w:r w:rsidRPr="00885AB3">
              <w:rPr>
                <w:szCs w:val="20"/>
              </w:rPr>
              <w:t xml:space="preserve"> 60 Years of Age</w:t>
            </w:r>
          </w:p>
        </w:tc>
        <w:tc>
          <w:tcPr>
            <w:tcW w:w="1635" w:type="pct"/>
            <w:tcBorders>
              <w:top w:val="nil"/>
              <w:bottom w:val="nil"/>
            </w:tcBorders>
            <w:vAlign w:val="center"/>
          </w:tcPr>
          <w:p w14:paraId="3D03D957" w14:textId="77777777" w:rsidR="00B57679" w:rsidRPr="00885AB3" w:rsidRDefault="00B57679" w:rsidP="00120D61">
            <w:pPr>
              <w:pStyle w:val="Tabletext"/>
              <w:rPr>
                <w:szCs w:val="20"/>
              </w:rPr>
            </w:pPr>
            <w:r w:rsidRPr="00885AB3">
              <w:rPr>
                <w:szCs w:val="20"/>
              </w:rPr>
              <w:t xml:space="preserve">Statistical Analysis Plan: Version 1.0. 29 Nov 2022 </w:t>
            </w:r>
          </w:p>
        </w:tc>
      </w:tr>
      <w:tr w:rsidR="00B57679" w:rsidRPr="00885AB3" w14:paraId="6E0B8570" w14:textId="77777777" w:rsidTr="00B6422C">
        <w:tc>
          <w:tcPr>
            <w:tcW w:w="733" w:type="pct"/>
            <w:tcBorders>
              <w:top w:val="nil"/>
              <w:bottom w:val="single" w:sz="4" w:space="0" w:color="auto"/>
            </w:tcBorders>
            <w:vAlign w:val="center"/>
          </w:tcPr>
          <w:p w14:paraId="733ACA85" w14:textId="77777777" w:rsidR="00B57679" w:rsidRPr="00885AB3" w:rsidRDefault="00B57679" w:rsidP="00120D61">
            <w:pPr>
              <w:pStyle w:val="Tabletext"/>
              <w:rPr>
                <w:szCs w:val="20"/>
              </w:rPr>
            </w:pPr>
          </w:p>
        </w:tc>
        <w:tc>
          <w:tcPr>
            <w:tcW w:w="2632" w:type="pct"/>
            <w:tcBorders>
              <w:top w:val="nil"/>
              <w:bottom w:val="single" w:sz="4" w:space="0" w:color="auto"/>
            </w:tcBorders>
            <w:vAlign w:val="center"/>
          </w:tcPr>
          <w:p w14:paraId="31784D00" w14:textId="77777777" w:rsidR="00B57679" w:rsidRPr="00885AB3" w:rsidRDefault="00B57679" w:rsidP="00120D61">
            <w:pPr>
              <w:pStyle w:val="Tabletext"/>
              <w:rPr>
                <w:szCs w:val="20"/>
              </w:rPr>
            </w:pPr>
            <w:r w:rsidRPr="00885AB3">
              <w:rPr>
                <w:szCs w:val="20"/>
              </w:rPr>
              <w:t xml:space="preserve">J. Goswami, A. H. Baqui, P. A. Doreski, G. Perez Marc, G. Jimenez, S. Ahmed, et al. Humoral Immunogenicity of mRNA-1345 RSV Vaccine in Older Adults. </w:t>
            </w:r>
          </w:p>
        </w:tc>
        <w:tc>
          <w:tcPr>
            <w:tcW w:w="1635" w:type="pct"/>
            <w:tcBorders>
              <w:top w:val="nil"/>
              <w:bottom w:val="single" w:sz="4" w:space="0" w:color="auto"/>
            </w:tcBorders>
            <w:vAlign w:val="center"/>
          </w:tcPr>
          <w:p w14:paraId="6F2EB610" w14:textId="77777777" w:rsidR="00B57679" w:rsidRPr="00885AB3" w:rsidRDefault="00B57679" w:rsidP="00120D61">
            <w:pPr>
              <w:pStyle w:val="Tabletext"/>
              <w:rPr>
                <w:szCs w:val="20"/>
              </w:rPr>
            </w:pPr>
            <w:r w:rsidRPr="00885AB3">
              <w:rPr>
                <w:szCs w:val="20"/>
              </w:rPr>
              <w:t>J Infect Dis 2024 Vol. 230 Issue 5 Pages e996-e1006. Accession Number: 38889247 PMCID: PMC11566230 DOI: 10.1093/</w:t>
            </w:r>
            <w:proofErr w:type="spellStart"/>
            <w:r w:rsidRPr="00885AB3">
              <w:rPr>
                <w:szCs w:val="20"/>
              </w:rPr>
              <w:t>infdis</w:t>
            </w:r>
            <w:proofErr w:type="spellEnd"/>
            <w:r w:rsidRPr="00885AB3">
              <w:rPr>
                <w:szCs w:val="20"/>
              </w:rPr>
              <w:t>/jiae316.</w:t>
            </w:r>
          </w:p>
        </w:tc>
      </w:tr>
      <w:tr w:rsidR="00B57679" w:rsidRPr="00885AB3" w14:paraId="6F27B86B" w14:textId="77777777" w:rsidTr="00B6422C">
        <w:tc>
          <w:tcPr>
            <w:tcW w:w="733" w:type="pct"/>
            <w:tcBorders>
              <w:top w:val="single" w:sz="4" w:space="0" w:color="auto"/>
              <w:bottom w:val="single" w:sz="4" w:space="0" w:color="auto"/>
            </w:tcBorders>
            <w:vAlign w:val="center"/>
          </w:tcPr>
          <w:p w14:paraId="4B0AFCD1" w14:textId="77777777" w:rsidR="00B57679" w:rsidRPr="00885AB3" w:rsidRDefault="00B57679" w:rsidP="00120D61">
            <w:pPr>
              <w:pStyle w:val="Tabletext"/>
              <w:rPr>
                <w:szCs w:val="20"/>
              </w:rPr>
            </w:pPr>
          </w:p>
        </w:tc>
        <w:tc>
          <w:tcPr>
            <w:tcW w:w="2632" w:type="pct"/>
            <w:tcBorders>
              <w:top w:val="single" w:sz="4" w:space="0" w:color="auto"/>
              <w:bottom w:val="single" w:sz="4" w:space="0" w:color="auto"/>
            </w:tcBorders>
            <w:vAlign w:val="center"/>
          </w:tcPr>
          <w:p w14:paraId="7F91C3C0" w14:textId="77777777" w:rsidR="00B57679" w:rsidRPr="00885AB3" w:rsidRDefault="00B57679" w:rsidP="00120D61">
            <w:pPr>
              <w:pStyle w:val="Tabletext"/>
              <w:rPr>
                <w:szCs w:val="20"/>
              </w:rPr>
            </w:pPr>
            <w:r w:rsidRPr="00885AB3">
              <w:rPr>
                <w:szCs w:val="20"/>
              </w:rPr>
              <w:t xml:space="preserve">E. Wilson, J. Goswami, A. H. Baqui, P. A. Doreski, G. Perez-Marc, K. Zaman, et al. Efficacy and Safety of an mRNA-Based RSV </w:t>
            </w:r>
            <w:proofErr w:type="spellStart"/>
            <w:r w:rsidRPr="00885AB3">
              <w:rPr>
                <w:szCs w:val="20"/>
              </w:rPr>
              <w:t>PreF</w:t>
            </w:r>
            <w:proofErr w:type="spellEnd"/>
            <w:r w:rsidRPr="00885AB3">
              <w:rPr>
                <w:szCs w:val="20"/>
              </w:rPr>
              <w:t xml:space="preserve"> Vaccine in Older Adults. </w:t>
            </w:r>
          </w:p>
        </w:tc>
        <w:tc>
          <w:tcPr>
            <w:tcW w:w="1635" w:type="pct"/>
            <w:tcBorders>
              <w:top w:val="single" w:sz="4" w:space="0" w:color="auto"/>
              <w:bottom w:val="single" w:sz="4" w:space="0" w:color="auto"/>
            </w:tcBorders>
            <w:vAlign w:val="center"/>
          </w:tcPr>
          <w:p w14:paraId="160F9730" w14:textId="77777777" w:rsidR="00B57679" w:rsidRPr="00885AB3" w:rsidRDefault="00B57679" w:rsidP="00120D61">
            <w:pPr>
              <w:pStyle w:val="Tabletext"/>
              <w:rPr>
                <w:szCs w:val="20"/>
              </w:rPr>
            </w:pPr>
            <w:r w:rsidRPr="00885AB3">
              <w:rPr>
                <w:szCs w:val="20"/>
              </w:rPr>
              <w:t>NEJM 2023 Vol. 389 Issue 24 Pages 2233-2244. DOI: 10.1056/NEJMoa2307079.</w:t>
            </w:r>
          </w:p>
        </w:tc>
      </w:tr>
      <w:tr w:rsidR="00B57679" w:rsidRPr="00885AB3" w14:paraId="22CEA0B0" w14:textId="77777777" w:rsidTr="00B6422C">
        <w:tc>
          <w:tcPr>
            <w:tcW w:w="5000" w:type="pct"/>
            <w:gridSpan w:val="3"/>
            <w:tcBorders>
              <w:top w:val="single" w:sz="4" w:space="0" w:color="auto"/>
              <w:bottom w:val="single" w:sz="4" w:space="0" w:color="auto"/>
            </w:tcBorders>
            <w:vAlign w:val="center"/>
          </w:tcPr>
          <w:p w14:paraId="61DAD29C" w14:textId="77777777" w:rsidR="00B57679" w:rsidRPr="00885AB3" w:rsidRDefault="00B57679" w:rsidP="00120D61">
            <w:pPr>
              <w:pStyle w:val="Tabletext"/>
              <w:rPr>
                <w:b/>
                <w:bCs/>
                <w:szCs w:val="20"/>
              </w:rPr>
            </w:pPr>
            <w:proofErr w:type="spellStart"/>
            <w:r w:rsidRPr="00885AB3">
              <w:rPr>
                <w:b/>
                <w:szCs w:val="20"/>
              </w:rPr>
              <w:t>RSVPreF</w:t>
            </w:r>
            <w:proofErr w:type="spellEnd"/>
            <w:r w:rsidRPr="00885AB3">
              <w:rPr>
                <w:b/>
                <w:szCs w:val="20"/>
              </w:rPr>
              <w:t xml:space="preserve"> (ABRYSVO)</w:t>
            </w:r>
          </w:p>
        </w:tc>
      </w:tr>
      <w:tr w:rsidR="00B57679" w:rsidRPr="00885AB3" w14:paraId="585F84FE" w14:textId="77777777" w:rsidTr="00B6422C">
        <w:tc>
          <w:tcPr>
            <w:tcW w:w="733" w:type="pct"/>
            <w:tcBorders>
              <w:top w:val="single" w:sz="4" w:space="0" w:color="auto"/>
              <w:bottom w:val="nil"/>
            </w:tcBorders>
            <w:vAlign w:val="center"/>
          </w:tcPr>
          <w:p w14:paraId="6BF736A2" w14:textId="202FCC9F" w:rsidR="00B57679" w:rsidRPr="00885AB3" w:rsidRDefault="00B57679" w:rsidP="00120D61">
            <w:pPr>
              <w:pStyle w:val="Tabletext"/>
              <w:rPr>
                <w:szCs w:val="20"/>
              </w:rPr>
            </w:pPr>
            <w:r w:rsidRPr="00885AB3">
              <w:rPr>
                <w:szCs w:val="20"/>
              </w:rPr>
              <w:t>RENOIR</w:t>
            </w:r>
            <w:r w:rsidRPr="00885AB3">
              <w:rPr>
                <w:szCs w:val="20"/>
              </w:rPr>
              <w:br/>
            </w:r>
            <w:r w:rsidR="006D5590" w:rsidRPr="00885AB3">
              <w:rPr>
                <w:szCs w:val="20"/>
              </w:rPr>
              <w:t>(</w:t>
            </w:r>
            <w:r w:rsidRPr="00885AB3">
              <w:rPr>
                <w:szCs w:val="20"/>
              </w:rPr>
              <w:t>NCT05035212</w:t>
            </w:r>
            <w:r w:rsidR="006D5590" w:rsidRPr="00885AB3">
              <w:rPr>
                <w:szCs w:val="20"/>
              </w:rPr>
              <w:t>)</w:t>
            </w:r>
          </w:p>
          <w:p w14:paraId="05F7D59F" w14:textId="77777777" w:rsidR="00B57679" w:rsidRPr="00885AB3" w:rsidRDefault="00B57679" w:rsidP="00120D61">
            <w:pPr>
              <w:pStyle w:val="Tabletext"/>
              <w:rPr>
                <w:szCs w:val="20"/>
              </w:rPr>
            </w:pPr>
          </w:p>
        </w:tc>
        <w:tc>
          <w:tcPr>
            <w:tcW w:w="2632" w:type="pct"/>
            <w:tcBorders>
              <w:top w:val="single" w:sz="4" w:space="0" w:color="auto"/>
              <w:bottom w:val="nil"/>
            </w:tcBorders>
            <w:vAlign w:val="center"/>
          </w:tcPr>
          <w:p w14:paraId="0FCAF67A" w14:textId="77777777" w:rsidR="00B57679" w:rsidRPr="00885AB3" w:rsidRDefault="00B57679" w:rsidP="00120D61">
            <w:pPr>
              <w:pStyle w:val="Tabletext"/>
              <w:rPr>
                <w:szCs w:val="20"/>
              </w:rPr>
            </w:pPr>
            <w:r w:rsidRPr="00885AB3">
              <w:rPr>
                <w:szCs w:val="20"/>
              </w:rPr>
              <w:t xml:space="preserve">E. E. Walsh, G. Pérez Marc, A. M. Zareba, A. R. Falsey, Q. Jiang, M. Patton, et al. Efficacy and safety of a bivalent RSV prefusion F vaccine in older adults. </w:t>
            </w:r>
          </w:p>
        </w:tc>
        <w:tc>
          <w:tcPr>
            <w:tcW w:w="1635" w:type="pct"/>
            <w:tcBorders>
              <w:top w:val="single" w:sz="4" w:space="0" w:color="auto"/>
              <w:bottom w:val="nil"/>
            </w:tcBorders>
            <w:vAlign w:val="center"/>
          </w:tcPr>
          <w:p w14:paraId="785E6542" w14:textId="77777777" w:rsidR="00B57679" w:rsidRPr="00885AB3" w:rsidRDefault="00B57679" w:rsidP="00120D61">
            <w:pPr>
              <w:pStyle w:val="Tabletext"/>
              <w:rPr>
                <w:szCs w:val="20"/>
              </w:rPr>
            </w:pPr>
            <w:r w:rsidRPr="00885AB3">
              <w:rPr>
                <w:szCs w:val="20"/>
              </w:rPr>
              <w:t>NEJM 2023 Vol. 388 Issue 16 Pages 1465-1477</w:t>
            </w:r>
          </w:p>
        </w:tc>
      </w:tr>
      <w:tr w:rsidR="00B57679" w:rsidRPr="00885AB3" w14:paraId="33B933D4" w14:textId="77777777" w:rsidTr="00B6422C">
        <w:tc>
          <w:tcPr>
            <w:tcW w:w="733" w:type="pct"/>
            <w:tcBorders>
              <w:top w:val="nil"/>
              <w:bottom w:val="nil"/>
            </w:tcBorders>
            <w:vAlign w:val="center"/>
          </w:tcPr>
          <w:p w14:paraId="637DF364" w14:textId="77777777" w:rsidR="00B57679" w:rsidRPr="00885AB3" w:rsidRDefault="00B57679" w:rsidP="00120D61">
            <w:pPr>
              <w:pStyle w:val="Tabletext"/>
              <w:rPr>
                <w:i/>
                <w:iCs/>
                <w:szCs w:val="20"/>
              </w:rPr>
            </w:pPr>
          </w:p>
        </w:tc>
        <w:tc>
          <w:tcPr>
            <w:tcW w:w="2632" w:type="pct"/>
            <w:tcBorders>
              <w:top w:val="nil"/>
              <w:bottom w:val="nil"/>
            </w:tcBorders>
            <w:vAlign w:val="center"/>
          </w:tcPr>
          <w:p w14:paraId="71EF2B7A" w14:textId="77777777" w:rsidR="00B57679" w:rsidRPr="00885AB3" w:rsidRDefault="00B57679" w:rsidP="00120D61">
            <w:pPr>
              <w:pStyle w:val="Tabletext"/>
              <w:rPr>
                <w:szCs w:val="20"/>
              </w:rPr>
            </w:pPr>
            <w:r w:rsidRPr="00885AB3">
              <w:rPr>
                <w:szCs w:val="20"/>
              </w:rPr>
              <w:t xml:space="preserve">A Phase 3 study to evaluate the efficacy, immunogenicity and Safety of Respiratory Syncytial Virus (RSV) Prefusion F Subunit Vaccine in Adults. </w:t>
            </w:r>
          </w:p>
        </w:tc>
        <w:tc>
          <w:tcPr>
            <w:tcW w:w="1635" w:type="pct"/>
            <w:tcBorders>
              <w:top w:val="nil"/>
              <w:bottom w:val="nil"/>
            </w:tcBorders>
            <w:vAlign w:val="center"/>
          </w:tcPr>
          <w:p w14:paraId="7F63D397" w14:textId="77777777" w:rsidR="00B57679" w:rsidRPr="00885AB3" w:rsidRDefault="00B57679" w:rsidP="00120D61">
            <w:pPr>
              <w:pStyle w:val="Tabletext"/>
              <w:rPr>
                <w:szCs w:val="20"/>
              </w:rPr>
            </w:pPr>
            <w:r w:rsidRPr="00885AB3">
              <w:rPr>
                <w:szCs w:val="20"/>
              </w:rPr>
              <w:t>Clinical Study Protocol. Original protocol 07 Jul 2021</w:t>
            </w:r>
          </w:p>
        </w:tc>
      </w:tr>
      <w:tr w:rsidR="00B57679" w:rsidRPr="00885AB3" w14:paraId="5D9F5697" w14:textId="77777777" w:rsidTr="00B6422C">
        <w:tc>
          <w:tcPr>
            <w:tcW w:w="733" w:type="pct"/>
            <w:tcBorders>
              <w:top w:val="nil"/>
              <w:bottom w:val="nil"/>
            </w:tcBorders>
            <w:vAlign w:val="center"/>
          </w:tcPr>
          <w:p w14:paraId="63061C1D" w14:textId="77777777" w:rsidR="00B57679" w:rsidRPr="00885AB3" w:rsidRDefault="00B57679" w:rsidP="00120D61">
            <w:pPr>
              <w:pStyle w:val="Tabletext"/>
              <w:rPr>
                <w:i/>
                <w:iCs/>
                <w:szCs w:val="20"/>
              </w:rPr>
            </w:pPr>
          </w:p>
        </w:tc>
        <w:tc>
          <w:tcPr>
            <w:tcW w:w="2632" w:type="pct"/>
            <w:tcBorders>
              <w:top w:val="nil"/>
              <w:bottom w:val="nil"/>
            </w:tcBorders>
            <w:vAlign w:val="center"/>
          </w:tcPr>
          <w:p w14:paraId="7C71650A" w14:textId="77777777" w:rsidR="00B57679" w:rsidRPr="00885AB3" w:rsidRDefault="00B57679" w:rsidP="00120D61">
            <w:pPr>
              <w:pStyle w:val="Tabletext"/>
              <w:rPr>
                <w:szCs w:val="20"/>
              </w:rPr>
            </w:pPr>
            <w:r w:rsidRPr="00885AB3">
              <w:rPr>
                <w:szCs w:val="20"/>
              </w:rPr>
              <w:t>E. E. Walsh, G. Pérez Marc, A. M. Zareba, A. R. Falsey, Q. Jiang, M. Patton, et al. Efficacy and safety of a bivalent RSV prefusion F vaccine in older adults.</w:t>
            </w:r>
          </w:p>
        </w:tc>
        <w:tc>
          <w:tcPr>
            <w:tcW w:w="1635" w:type="pct"/>
            <w:tcBorders>
              <w:top w:val="nil"/>
              <w:bottom w:val="nil"/>
            </w:tcBorders>
            <w:vAlign w:val="center"/>
          </w:tcPr>
          <w:p w14:paraId="253E2F0A" w14:textId="77777777" w:rsidR="00B57679" w:rsidRPr="00885AB3" w:rsidRDefault="00B57679" w:rsidP="00120D61">
            <w:pPr>
              <w:pStyle w:val="Tabletext"/>
              <w:rPr>
                <w:szCs w:val="20"/>
              </w:rPr>
            </w:pPr>
            <w:r w:rsidRPr="00885AB3">
              <w:rPr>
                <w:szCs w:val="20"/>
              </w:rPr>
              <w:t>Supplementary Appendix. NEJM 2023;388:1465-77. DOI: 10.1056/NEJMoa2213836</w:t>
            </w:r>
          </w:p>
        </w:tc>
      </w:tr>
      <w:tr w:rsidR="00B57679" w:rsidRPr="00885AB3" w14:paraId="484AE4BC" w14:textId="77777777" w:rsidTr="00B6422C">
        <w:tc>
          <w:tcPr>
            <w:tcW w:w="733" w:type="pct"/>
            <w:tcBorders>
              <w:top w:val="nil"/>
              <w:bottom w:val="nil"/>
            </w:tcBorders>
            <w:vAlign w:val="center"/>
          </w:tcPr>
          <w:p w14:paraId="44C9D564" w14:textId="77777777" w:rsidR="00B57679" w:rsidRPr="00885AB3" w:rsidRDefault="00B57679" w:rsidP="00120D61">
            <w:pPr>
              <w:pStyle w:val="Tabletext"/>
              <w:rPr>
                <w:i/>
                <w:iCs/>
                <w:szCs w:val="20"/>
              </w:rPr>
            </w:pPr>
          </w:p>
        </w:tc>
        <w:tc>
          <w:tcPr>
            <w:tcW w:w="2632" w:type="pct"/>
            <w:tcBorders>
              <w:top w:val="nil"/>
              <w:bottom w:val="nil"/>
            </w:tcBorders>
            <w:vAlign w:val="center"/>
          </w:tcPr>
          <w:p w14:paraId="0E0C44CF" w14:textId="77777777" w:rsidR="00B57679" w:rsidRPr="00885AB3" w:rsidRDefault="00B57679" w:rsidP="00120D61">
            <w:pPr>
              <w:pStyle w:val="Tabletext"/>
              <w:rPr>
                <w:szCs w:val="20"/>
              </w:rPr>
            </w:pPr>
            <w:r w:rsidRPr="00885AB3">
              <w:rPr>
                <w:szCs w:val="20"/>
              </w:rPr>
              <w:t xml:space="preserve">E. Walsh, G. P. Marc, A. R. Falsey, J. Qin, D. Eiras, M. Patton, et al. 2024; RENOIR Trial - </w:t>
            </w:r>
            <w:proofErr w:type="spellStart"/>
            <w:r w:rsidRPr="00885AB3">
              <w:rPr>
                <w:szCs w:val="20"/>
              </w:rPr>
              <w:t>RSVpreF</w:t>
            </w:r>
            <w:proofErr w:type="spellEnd"/>
            <w:r w:rsidRPr="00885AB3">
              <w:rPr>
                <w:szCs w:val="20"/>
              </w:rPr>
              <w:t xml:space="preserve"> Vaccine Efficacy over Two Seasons. </w:t>
            </w:r>
          </w:p>
        </w:tc>
        <w:tc>
          <w:tcPr>
            <w:tcW w:w="1635" w:type="pct"/>
            <w:tcBorders>
              <w:top w:val="nil"/>
              <w:bottom w:val="nil"/>
            </w:tcBorders>
            <w:vAlign w:val="center"/>
          </w:tcPr>
          <w:p w14:paraId="07B866C2" w14:textId="77777777" w:rsidR="00B57679" w:rsidRPr="00885AB3" w:rsidRDefault="00B57679" w:rsidP="00120D61">
            <w:pPr>
              <w:pStyle w:val="Tabletext"/>
              <w:rPr>
                <w:szCs w:val="20"/>
              </w:rPr>
            </w:pPr>
            <w:r w:rsidRPr="00885AB3">
              <w:rPr>
                <w:szCs w:val="20"/>
              </w:rPr>
              <w:t>NEJM Vol. 391 Issue 15 Pages 1459-1461. DOI: 10.1086/421524.</w:t>
            </w:r>
          </w:p>
        </w:tc>
      </w:tr>
      <w:tr w:rsidR="00B57679" w:rsidRPr="00885AB3" w14:paraId="65F1D76D" w14:textId="77777777" w:rsidTr="00B6422C">
        <w:tc>
          <w:tcPr>
            <w:tcW w:w="733" w:type="pct"/>
            <w:tcBorders>
              <w:top w:val="nil"/>
              <w:bottom w:val="single" w:sz="4" w:space="0" w:color="auto"/>
            </w:tcBorders>
            <w:vAlign w:val="center"/>
          </w:tcPr>
          <w:p w14:paraId="7C35EC57" w14:textId="77777777" w:rsidR="00B57679" w:rsidRPr="00885AB3" w:rsidRDefault="00B57679" w:rsidP="00120D61">
            <w:pPr>
              <w:pStyle w:val="Tabletext"/>
              <w:rPr>
                <w:i/>
                <w:iCs/>
                <w:szCs w:val="20"/>
              </w:rPr>
            </w:pPr>
          </w:p>
        </w:tc>
        <w:tc>
          <w:tcPr>
            <w:tcW w:w="2632" w:type="pct"/>
            <w:tcBorders>
              <w:top w:val="nil"/>
              <w:bottom w:val="single" w:sz="4" w:space="0" w:color="auto"/>
            </w:tcBorders>
            <w:vAlign w:val="center"/>
          </w:tcPr>
          <w:p w14:paraId="3BB8C2F6" w14:textId="77777777" w:rsidR="00B57679" w:rsidRPr="00885AB3" w:rsidRDefault="00B57679" w:rsidP="00120D61">
            <w:pPr>
              <w:pStyle w:val="Tabletext"/>
              <w:rPr>
                <w:szCs w:val="20"/>
              </w:rPr>
            </w:pPr>
            <w:r w:rsidRPr="00885AB3">
              <w:rPr>
                <w:szCs w:val="20"/>
              </w:rPr>
              <w:t xml:space="preserve">J. F. M. Cardona, Tarek; Fukushima, Yasushi; Jiang, Q; Eiras, Daniel P; Anderson, Anneliesa P; </w:t>
            </w:r>
            <w:proofErr w:type="spellStart"/>
            <w:r w:rsidRPr="00885AB3">
              <w:rPr>
                <w:szCs w:val="20"/>
              </w:rPr>
              <w:t>Gurtman</w:t>
            </w:r>
            <w:proofErr w:type="spellEnd"/>
            <w:r w:rsidRPr="00885AB3">
              <w:rPr>
                <w:szCs w:val="20"/>
              </w:rPr>
              <w:t xml:space="preserve">, A C. 2024. P-605. Bivalent RSV Prefusion F-Based Subunit Vaccine Generates High and Durable Neutralizing </w:t>
            </w:r>
            <w:proofErr w:type="spellStart"/>
            <w:r w:rsidRPr="00885AB3">
              <w:rPr>
                <w:szCs w:val="20"/>
              </w:rPr>
              <w:t>Titers</w:t>
            </w:r>
            <w:proofErr w:type="spellEnd"/>
            <w:r w:rsidRPr="00885AB3">
              <w:rPr>
                <w:szCs w:val="20"/>
              </w:rPr>
              <w:t xml:space="preserve"> Across an Entire RSV Season among Older Adults. </w:t>
            </w:r>
          </w:p>
        </w:tc>
        <w:tc>
          <w:tcPr>
            <w:tcW w:w="1635" w:type="pct"/>
            <w:tcBorders>
              <w:top w:val="nil"/>
              <w:bottom w:val="single" w:sz="4" w:space="0" w:color="auto"/>
            </w:tcBorders>
            <w:vAlign w:val="center"/>
          </w:tcPr>
          <w:p w14:paraId="3A1C2CDC" w14:textId="77777777" w:rsidR="00B57679" w:rsidRPr="00885AB3" w:rsidRDefault="00B57679" w:rsidP="00120D61">
            <w:pPr>
              <w:pStyle w:val="Tabletext"/>
              <w:rPr>
                <w:szCs w:val="20"/>
              </w:rPr>
            </w:pPr>
            <w:r w:rsidRPr="00885AB3">
              <w:rPr>
                <w:szCs w:val="20"/>
              </w:rPr>
              <w:t>Paper No. S469 OFID 2024</w:t>
            </w:r>
          </w:p>
        </w:tc>
      </w:tr>
      <w:tr w:rsidR="00B57679" w:rsidRPr="00885AB3" w14:paraId="4A906DE0" w14:textId="77777777" w:rsidTr="00B6422C">
        <w:tc>
          <w:tcPr>
            <w:tcW w:w="5000" w:type="pct"/>
            <w:gridSpan w:val="3"/>
            <w:tcBorders>
              <w:top w:val="single" w:sz="4" w:space="0" w:color="auto"/>
              <w:bottom w:val="single" w:sz="4" w:space="0" w:color="auto"/>
            </w:tcBorders>
            <w:vAlign w:val="center"/>
          </w:tcPr>
          <w:p w14:paraId="09E252D5" w14:textId="77777777" w:rsidR="00B57679" w:rsidRPr="00885AB3" w:rsidRDefault="00B57679" w:rsidP="00120D61">
            <w:pPr>
              <w:pStyle w:val="Tabletext"/>
              <w:rPr>
                <w:szCs w:val="20"/>
              </w:rPr>
            </w:pPr>
            <w:r w:rsidRPr="00885AB3">
              <w:rPr>
                <w:b/>
                <w:szCs w:val="20"/>
              </w:rPr>
              <w:t>RSVPreF3 OA (AREXVY)</w:t>
            </w:r>
          </w:p>
        </w:tc>
      </w:tr>
      <w:tr w:rsidR="00B57679" w:rsidRPr="00885AB3" w14:paraId="67626436" w14:textId="77777777" w:rsidTr="00B6422C">
        <w:tc>
          <w:tcPr>
            <w:tcW w:w="733" w:type="pct"/>
            <w:tcBorders>
              <w:top w:val="single" w:sz="4" w:space="0" w:color="auto"/>
              <w:bottom w:val="nil"/>
            </w:tcBorders>
            <w:vAlign w:val="center"/>
          </w:tcPr>
          <w:p w14:paraId="21D40291" w14:textId="77777777" w:rsidR="00B57679" w:rsidRPr="00885AB3" w:rsidRDefault="00B57679" w:rsidP="00120D61">
            <w:pPr>
              <w:pStyle w:val="Tabletext"/>
              <w:rPr>
                <w:szCs w:val="20"/>
              </w:rPr>
            </w:pPr>
            <w:r w:rsidRPr="00885AB3">
              <w:rPr>
                <w:rFonts w:eastAsiaTheme="majorEastAsia" w:cstheme="majorBidi"/>
                <w:bCs/>
                <w:szCs w:val="20"/>
              </w:rPr>
              <w:t>AReSVi-006 (NCT04886596</w:t>
            </w:r>
            <w:r w:rsidRPr="00885AB3">
              <w:rPr>
                <w:szCs w:val="20"/>
              </w:rPr>
              <w:t>)</w:t>
            </w:r>
          </w:p>
        </w:tc>
        <w:tc>
          <w:tcPr>
            <w:tcW w:w="2632" w:type="pct"/>
            <w:tcBorders>
              <w:top w:val="single" w:sz="4" w:space="0" w:color="auto"/>
              <w:bottom w:val="nil"/>
            </w:tcBorders>
            <w:vAlign w:val="center"/>
          </w:tcPr>
          <w:p w14:paraId="5D73467F" w14:textId="77777777" w:rsidR="00B57679" w:rsidRPr="00885AB3" w:rsidRDefault="00B57679" w:rsidP="00120D61">
            <w:pPr>
              <w:pStyle w:val="Tabletext"/>
              <w:rPr>
                <w:szCs w:val="20"/>
              </w:rPr>
            </w:pPr>
            <w:r w:rsidRPr="00885AB3">
              <w:rPr>
                <w:szCs w:val="20"/>
              </w:rPr>
              <w:t>Papi, A.; Ison, M.G., Langley, D.G. et al (for the AReSVi-006 Study Group). Respiratory Syncytial Virus Prefusion F Protein Vaccine in Older Adults.</w:t>
            </w:r>
          </w:p>
        </w:tc>
        <w:tc>
          <w:tcPr>
            <w:tcW w:w="1635" w:type="pct"/>
            <w:tcBorders>
              <w:top w:val="single" w:sz="4" w:space="0" w:color="auto"/>
              <w:bottom w:val="nil"/>
            </w:tcBorders>
            <w:vAlign w:val="center"/>
          </w:tcPr>
          <w:p w14:paraId="2A645D77" w14:textId="77777777" w:rsidR="00B57679" w:rsidRPr="00885AB3" w:rsidRDefault="00B57679" w:rsidP="00120D61">
            <w:pPr>
              <w:pStyle w:val="Tabletext"/>
              <w:rPr>
                <w:szCs w:val="20"/>
              </w:rPr>
            </w:pPr>
            <w:r w:rsidRPr="00885AB3">
              <w:rPr>
                <w:szCs w:val="20"/>
              </w:rPr>
              <w:t>NEJM 2023;388:595-608 DOI: 10.1056/NEJMoa2209604</w:t>
            </w:r>
          </w:p>
        </w:tc>
      </w:tr>
      <w:tr w:rsidR="00B57679" w:rsidRPr="00885AB3" w14:paraId="04C8A2B0" w14:textId="77777777" w:rsidTr="00B6422C">
        <w:tc>
          <w:tcPr>
            <w:tcW w:w="733" w:type="pct"/>
            <w:tcBorders>
              <w:top w:val="nil"/>
              <w:bottom w:val="nil"/>
            </w:tcBorders>
            <w:vAlign w:val="center"/>
          </w:tcPr>
          <w:p w14:paraId="44AB5E7B" w14:textId="77777777" w:rsidR="00B57679" w:rsidRPr="00885AB3" w:rsidRDefault="00B57679" w:rsidP="00120D61">
            <w:pPr>
              <w:pStyle w:val="Tabletext"/>
              <w:rPr>
                <w:szCs w:val="20"/>
              </w:rPr>
            </w:pPr>
          </w:p>
        </w:tc>
        <w:tc>
          <w:tcPr>
            <w:tcW w:w="2632" w:type="pct"/>
            <w:tcBorders>
              <w:top w:val="nil"/>
              <w:bottom w:val="nil"/>
            </w:tcBorders>
            <w:vAlign w:val="center"/>
          </w:tcPr>
          <w:p w14:paraId="7D547FFA" w14:textId="5B74E084" w:rsidR="00B57679" w:rsidRPr="00885AB3" w:rsidRDefault="00B57679" w:rsidP="00120D61">
            <w:pPr>
              <w:pStyle w:val="Tabletext"/>
              <w:rPr>
                <w:szCs w:val="20"/>
              </w:rPr>
            </w:pPr>
            <w:r w:rsidRPr="00885AB3">
              <w:rPr>
                <w:szCs w:val="20"/>
              </w:rPr>
              <w:t>A Phase 3, randomized, placebo-controlled, observer-blind, multi-country study to demonstrate the efficacy of a single dose and annual revaccination doses of GSK’s RSVPreF3 OA investigational vaccine in adults aged 60 years and above.</w:t>
            </w:r>
            <w:r w:rsidR="001C78D7">
              <w:rPr>
                <w:szCs w:val="20"/>
              </w:rPr>
              <w:t xml:space="preserve"> </w:t>
            </w:r>
          </w:p>
        </w:tc>
        <w:tc>
          <w:tcPr>
            <w:tcW w:w="1635" w:type="pct"/>
            <w:tcBorders>
              <w:top w:val="nil"/>
              <w:bottom w:val="nil"/>
            </w:tcBorders>
            <w:vAlign w:val="center"/>
          </w:tcPr>
          <w:p w14:paraId="2DBE9E38" w14:textId="77777777" w:rsidR="00B57679" w:rsidRPr="00885AB3" w:rsidRDefault="00B57679" w:rsidP="00120D61">
            <w:pPr>
              <w:pStyle w:val="Tabletext"/>
              <w:rPr>
                <w:szCs w:val="20"/>
              </w:rPr>
            </w:pPr>
            <w:r w:rsidRPr="00885AB3">
              <w:rPr>
                <w:szCs w:val="20"/>
              </w:rPr>
              <w:t>Clinical Study Protocol. Final amendment 24 Jan 2022</w:t>
            </w:r>
          </w:p>
        </w:tc>
      </w:tr>
      <w:tr w:rsidR="00B57679" w:rsidRPr="00885AB3" w14:paraId="43006EB0" w14:textId="77777777" w:rsidTr="00B6422C">
        <w:tc>
          <w:tcPr>
            <w:tcW w:w="733" w:type="pct"/>
            <w:tcBorders>
              <w:top w:val="nil"/>
              <w:bottom w:val="nil"/>
            </w:tcBorders>
            <w:vAlign w:val="center"/>
          </w:tcPr>
          <w:p w14:paraId="2015F356" w14:textId="77777777" w:rsidR="00B57679" w:rsidRPr="00885AB3" w:rsidRDefault="00B57679" w:rsidP="00120D61">
            <w:pPr>
              <w:pStyle w:val="Tabletext"/>
              <w:rPr>
                <w:szCs w:val="20"/>
              </w:rPr>
            </w:pPr>
          </w:p>
        </w:tc>
        <w:tc>
          <w:tcPr>
            <w:tcW w:w="2632" w:type="pct"/>
            <w:tcBorders>
              <w:top w:val="nil"/>
              <w:bottom w:val="nil"/>
            </w:tcBorders>
            <w:vAlign w:val="center"/>
          </w:tcPr>
          <w:p w14:paraId="0524E2F8" w14:textId="066E7627" w:rsidR="00B57679" w:rsidRPr="00885AB3" w:rsidRDefault="00B57679" w:rsidP="00120D61">
            <w:pPr>
              <w:pStyle w:val="Tabletext"/>
              <w:rPr>
                <w:szCs w:val="20"/>
              </w:rPr>
            </w:pPr>
            <w:r w:rsidRPr="00885AB3">
              <w:rPr>
                <w:szCs w:val="20"/>
              </w:rPr>
              <w:t>A Phase 3, randomized, placebo-controlled, observer-blind, multi-country study to demonstrate the efficacy of a single dose and annual revaccination doses of GSK’s RSVPreF3 OA investigational vaccine in adults aged 60 years and above.</w:t>
            </w:r>
            <w:r w:rsidR="001C78D7">
              <w:rPr>
                <w:szCs w:val="20"/>
              </w:rPr>
              <w:t xml:space="preserve"> </w:t>
            </w:r>
          </w:p>
        </w:tc>
        <w:tc>
          <w:tcPr>
            <w:tcW w:w="1635" w:type="pct"/>
            <w:tcBorders>
              <w:top w:val="nil"/>
              <w:bottom w:val="nil"/>
            </w:tcBorders>
            <w:vAlign w:val="center"/>
          </w:tcPr>
          <w:p w14:paraId="7323E476" w14:textId="77777777" w:rsidR="00B57679" w:rsidRPr="00885AB3" w:rsidRDefault="00B57679" w:rsidP="00120D61">
            <w:pPr>
              <w:pStyle w:val="Tabletext"/>
              <w:rPr>
                <w:szCs w:val="20"/>
              </w:rPr>
            </w:pPr>
            <w:r w:rsidRPr="00885AB3">
              <w:rPr>
                <w:szCs w:val="20"/>
              </w:rPr>
              <w:t>Statistical Analysis Plan: 20 Dec 2022</w:t>
            </w:r>
          </w:p>
        </w:tc>
      </w:tr>
      <w:tr w:rsidR="00B57679" w:rsidRPr="00885AB3" w14:paraId="1C23213C" w14:textId="77777777" w:rsidTr="00B6422C">
        <w:tc>
          <w:tcPr>
            <w:tcW w:w="733" w:type="pct"/>
            <w:tcBorders>
              <w:top w:val="nil"/>
              <w:bottom w:val="single" w:sz="4" w:space="0" w:color="auto"/>
            </w:tcBorders>
            <w:vAlign w:val="center"/>
          </w:tcPr>
          <w:p w14:paraId="02A33E77" w14:textId="77777777" w:rsidR="00B57679" w:rsidRPr="00885AB3" w:rsidRDefault="00B57679" w:rsidP="00120D61">
            <w:pPr>
              <w:pStyle w:val="Tabletext"/>
              <w:rPr>
                <w:szCs w:val="20"/>
              </w:rPr>
            </w:pPr>
          </w:p>
        </w:tc>
        <w:tc>
          <w:tcPr>
            <w:tcW w:w="2632" w:type="pct"/>
            <w:tcBorders>
              <w:top w:val="nil"/>
              <w:bottom w:val="single" w:sz="4" w:space="0" w:color="auto"/>
            </w:tcBorders>
            <w:vAlign w:val="center"/>
          </w:tcPr>
          <w:p w14:paraId="4BA01D9E" w14:textId="77777777" w:rsidR="00B57679" w:rsidRPr="00885AB3" w:rsidRDefault="00B57679" w:rsidP="00120D61">
            <w:pPr>
              <w:pStyle w:val="Tabletext"/>
              <w:rPr>
                <w:szCs w:val="20"/>
              </w:rPr>
            </w:pPr>
            <w:r w:rsidRPr="00885AB3">
              <w:rPr>
                <w:szCs w:val="20"/>
              </w:rPr>
              <w:t xml:space="preserve">Ison, M., Papi, A., Athan, E., et al. 2024a. Efficacy, safety, and immunogenicity of the AS01E-adjuvanted respiratory syncytial virus prefusion F protein vaccine (RSVPreF3 OA) in older adults over three respiratory syncytial virus seasons (AReSVi-006): a multicentre, randomised, observer-blinded, placebo-controlled, phase 3 trial. </w:t>
            </w:r>
          </w:p>
        </w:tc>
        <w:tc>
          <w:tcPr>
            <w:tcW w:w="1635" w:type="pct"/>
            <w:tcBorders>
              <w:top w:val="nil"/>
              <w:bottom w:val="single" w:sz="4" w:space="0" w:color="auto"/>
            </w:tcBorders>
            <w:vAlign w:val="center"/>
          </w:tcPr>
          <w:p w14:paraId="589D0DB1" w14:textId="77777777" w:rsidR="00B57679" w:rsidRPr="00885AB3" w:rsidRDefault="00B57679" w:rsidP="00120D61">
            <w:pPr>
              <w:pStyle w:val="Tabletext"/>
              <w:rPr>
                <w:szCs w:val="20"/>
              </w:rPr>
            </w:pPr>
            <w:r w:rsidRPr="00885AB3">
              <w:rPr>
                <w:szCs w:val="20"/>
              </w:rPr>
              <w:t>Lancet Respir Med. 2025 Jun;13(6):517-529. DOI: 10.1016/S2213-2600(25)00048-7.</w:t>
            </w:r>
          </w:p>
        </w:tc>
      </w:tr>
    </w:tbl>
    <w:p w14:paraId="0ABEBDC9" w14:textId="77777777" w:rsidR="00B57679" w:rsidRPr="00885AB3" w:rsidRDefault="00B57679" w:rsidP="00120D61">
      <w:pPr>
        <w:pStyle w:val="TableFigureFooter"/>
        <w:rPr>
          <w:rStyle w:val="CommentReference"/>
          <w:b w:val="0"/>
        </w:rPr>
      </w:pPr>
      <w:r w:rsidRPr="00885AB3">
        <w:t>Source: Table 2-3 and Table 2-4, p48-49 of the submission.</w:t>
      </w:r>
    </w:p>
    <w:p w14:paraId="1A1AF8B4" w14:textId="6C447A48" w:rsidR="002A4280" w:rsidRPr="00885AB3" w:rsidRDefault="006A1AFC" w:rsidP="00120D61">
      <w:pPr>
        <w:pStyle w:val="3-BodyText"/>
        <w:rPr>
          <w:iCs/>
        </w:rPr>
      </w:pPr>
      <w:r w:rsidRPr="00885AB3">
        <w:t>The submission was based on one head-to-head trial (</w:t>
      </w:r>
      <w:proofErr w:type="spellStart"/>
      <w:r w:rsidRPr="00885AB3">
        <w:t>ConquerRSV</w:t>
      </w:r>
      <w:proofErr w:type="spellEnd"/>
      <w:r w:rsidRPr="00885AB3">
        <w:t>) comparing mRNA</w:t>
      </w:r>
      <w:r w:rsidR="00070F26" w:rsidRPr="00885AB3">
        <w:noBreakHyphen/>
      </w:r>
      <w:r w:rsidRPr="00885AB3">
        <w:t>1345 (N = 18,427) to placebo (N = 18,387) with a median time to follow-up of 18.8 months (</w:t>
      </w:r>
      <w:r w:rsidR="00FC2797" w:rsidRPr="00885AB3">
        <w:t>data cut-off;</w:t>
      </w:r>
      <w:r w:rsidRPr="00885AB3">
        <w:t xml:space="preserve"> 8 March 2024).</w:t>
      </w:r>
      <w:r w:rsidRPr="00885AB3" w:rsidDel="00575952">
        <w:t xml:space="preserve"> </w:t>
      </w:r>
      <w:r w:rsidR="00452F94" w:rsidRPr="00885AB3">
        <w:t xml:space="preserve">The </w:t>
      </w:r>
      <w:proofErr w:type="spellStart"/>
      <w:r w:rsidR="001E654A" w:rsidRPr="00885AB3">
        <w:rPr>
          <w:iCs/>
        </w:rPr>
        <w:t>ConquerRSV</w:t>
      </w:r>
      <w:proofErr w:type="spellEnd"/>
      <w:r w:rsidR="00452F94" w:rsidRPr="00885AB3">
        <w:rPr>
          <w:iCs/>
        </w:rPr>
        <w:t xml:space="preserve"> trial</w:t>
      </w:r>
      <w:r w:rsidR="001E654A" w:rsidRPr="00885AB3">
        <w:rPr>
          <w:iCs/>
        </w:rPr>
        <w:t xml:space="preserve"> </w:t>
      </w:r>
      <w:r w:rsidR="00216D53" w:rsidRPr="00885AB3">
        <w:rPr>
          <w:iCs/>
        </w:rPr>
        <w:t xml:space="preserve">was ongoing at the time of submission but </w:t>
      </w:r>
      <w:r w:rsidR="001E654A" w:rsidRPr="00885AB3">
        <w:rPr>
          <w:iCs/>
        </w:rPr>
        <w:t xml:space="preserve">has </w:t>
      </w:r>
      <w:r w:rsidR="00445192" w:rsidRPr="00885AB3">
        <w:rPr>
          <w:iCs/>
        </w:rPr>
        <w:t xml:space="preserve">since </w:t>
      </w:r>
      <w:r w:rsidR="001E654A" w:rsidRPr="00885AB3">
        <w:rPr>
          <w:iCs/>
        </w:rPr>
        <w:t>been completed</w:t>
      </w:r>
      <w:r w:rsidR="00CB461E" w:rsidRPr="00885AB3">
        <w:rPr>
          <w:rStyle w:val="FootnoteReference"/>
          <w:iCs/>
        </w:rPr>
        <w:footnoteReference w:id="4"/>
      </w:r>
      <w:r w:rsidR="00CB461E" w:rsidRPr="00885AB3">
        <w:rPr>
          <w:iCs/>
        </w:rPr>
        <w:t>.</w:t>
      </w:r>
      <w:r w:rsidR="001A551A" w:rsidRPr="00885AB3">
        <w:rPr>
          <w:iCs/>
        </w:rPr>
        <w:t xml:space="preserve"> The patient population in the trial was</w:t>
      </w:r>
      <w:r w:rsidR="003B5711" w:rsidRPr="00885AB3">
        <w:rPr>
          <w:iCs/>
        </w:rPr>
        <w:t xml:space="preserve"> adults </w:t>
      </w:r>
      <w:r w:rsidR="00EF2FA4">
        <w:rPr>
          <w:iCs/>
          <w:szCs w:val="20"/>
        </w:rPr>
        <w:t xml:space="preserve">≥ </w:t>
      </w:r>
      <w:r w:rsidR="003B5711" w:rsidRPr="00885AB3">
        <w:rPr>
          <w:iCs/>
          <w:szCs w:val="20"/>
        </w:rPr>
        <w:t>60 YOA.</w:t>
      </w:r>
      <w:r w:rsidR="001C78D7">
        <w:rPr>
          <w:iCs/>
        </w:rPr>
        <w:t xml:space="preserve"> </w:t>
      </w:r>
    </w:p>
    <w:p w14:paraId="54F6F679" w14:textId="3AC8502A" w:rsidR="006A1AFC" w:rsidRPr="00885AB3" w:rsidRDefault="001C5C5B" w:rsidP="00120D61">
      <w:pPr>
        <w:pStyle w:val="3-BodyText"/>
        <w:rPr>
          <w:iCs/>
        </w:rPr>
      </w:pPr>
      <w:r w:rsidRPr="00885AB3">
        <w:rPr>
          <w:iCs/>
        </w:rPr>
        <w:t xml:space="preserve">For the </w:t>
      </w:r>
      <w:proofErr w:type="spellStart"/>
      <w:r w:rsidRPr="00885AB3">
        <w:rPr>
          <w:iCs/>
        </w:rPr>
        <w:t>ConquerRSV</w:t>
      </w:r>
      <w:proofErr w:type="spellEnd"/>
      <w:r w:rsidRPr="00885AB3">
        <w:rPr>
          <w:iCs/>
        </w:rPr>
        <w:t xml:space="preserve"> trial, </w:t>
      </w:r>
      <w:r w:rsidR="00B57679" w:rsidRPr="00885AB3">
        <w:rPr>
          <w:iCs/>
        </w:rPr>
        <w:t>t</w:t>
      </w:r>
      <w:r w:rsidR="006A1AFC" w:rsidRPr="00885AB3">
        <w:rPr>
          <w:iCs/>
        </w:rPr>
        <w:t>h</w:t>
      </w:r>
      <w:r w:rsidR="002A4280" w:rsidRPr="00885AB3">
        <w:rPr>
          <w:iCs/>
        </w:rPr>
        <w:t>e</w:t>
      </w:r>
      <w:r w:rsidR="006A1AFC" w:rsidRPr="00885AB3">
        <w:rPr>
          <w:iCs/>
        </w:rPr>
        <w:t xml:space="preserve"> data cut-off (DCO)</w:t>
      </w:r>
      <w:r w:rsidR="00E97817" w:rsidRPr="00885AB3">
        <w:rPr>
          <w:iCs/>
        </w:rPr>
        <w:t xml:space="preserve"> at 8 March 2024</w:t>
      </w:r>
      <w:r w:rsidR="006A1AFC" w:rsidRPr="00885AB3">
        <w:rPr>
          <w:iCs/>
        </w:rPr>
        <w:t xml:space="preserve"> reported VE </w:t>
      </w:r>
      <w:r w:rsidR="00CB461E" w:rsidRPr="00885AB3">
        <w:rPr>
          <w:iCs/>
        </w:rPr>
        <w:t xml:space="preserve">analysis for the period </w:t>
      </w:r>
      <w:r w:rsidR="006A1AFC" w:rsidRPr="00885AB3">
        <w:rPr>
          <w:iCs/>
        </w:rPr>
        <w:t>up to 12, 18 and 24 months post vaccination</w:t>
      </w:r>
      <w:r w:rsidR="00CB461E" w:rsidRPr="00885AB3">
        <w:rPr>
          <w:iCs/>
        </w:rPr>
        <w:t xml:space="preserve">, however few participants </w:t>
      </w:r>
      <w:r w:rsidR="00ED427B" w:rsidRPr="00885AB3">
        <w:rPr>
          <w:iCs/>
        </w:rPr>
        <w:t xml:space="preserve">(9.6%) completed </w:t>
      </w:r>
      <w:r w:rsidR="00617107" w:rsidRPr="00885AB3">
        <w:rPr>
          <w:iCs/>
        </w:rPr>
        <w:t>the final visit at 24 months</w:t>
      </w:r>
      <w:r w:rsidR="001A41DC" w:rsidRPr="00885AB3">
        <w:rPr>
          <w:iCs/>
        </w:rPr>
        <w:t xml:space="preserve"> after initial vaccination</w:t>
      </w:r>
      <w:r w:rsidR="006A1AFC" w:rsidRPr="00885AB3">
        <w:rPr>
          <w:iCs/>
        </w:rPr>
        <w:t xml:space="preserve">. The submission also presented results from two earlier DCOs, the first at 3.7 months (primary DCO) and the second at 8.6 months median time to follow-up. These DCOs reported VE </w:t>
      </w:r>
      <w:r w:rsidR="00CB461E" w:rsidRPr="00885AB3">
        <w:rPr>
          <w:iCs/>
        </w:rPr>
        <w:t xml:space="preserve">analysis for the period </w:t>
      </w:r>
      <w:r w:rsidR="006A1AFC" w:rsidRPr="00885AB3">
        <w:rPr>
          <w:iCs/>
        </w:rPr>
        <w:t>up to 12 months. The</w:t>
      </w:r>
      <w:r w:rsidR="005A03AF" w:rsidRPr="00885AB3">
        <w:rPr>
          <w:iCs/>
        </w:rPr>
        <w:t xml:space="preserve"> evaluation considered that the</w:t>
      </w:r>
      <w:r w:rsidR="006A1AFC" w:rsidRPr="00885AB3">
        <w:rPr>
          <w:iCs/>
        </w:rPr>
        <w:t xml:space="preserve"> primary DCO results were highly uncertain due to immaturity; this is further discussed in paragraph </w:t>
      </w:r>
      <w:r w:rsidR="006A1AFC" w:rsidRPr="00885AB3">
        <w:rPr>
          <w:iCs/>
        </w:rPr>
        <w:fldChar w:fldCharType="begin" w:fldLock="1"/>
      </w:r>
      <w:r w:rsidR="006A1AFC" w:rsidRPr="00885AB3">
        <w:rPr>
          <w:iCs/>
        </w:rPr>
        <w:instrText xml:space="preserve"> REF _Ref206525192 \r \h </w:instrText>
      </w:r>
      <w:r w:rsidR="00E3786B" w:rsidRPr="00885AB3">
        <w:rPr>
          <w:iCs/>
        </w:rPr>
        <w:instrText xml:space="preserve"> \* MERGEFORMAT </w:instrText>
      </w:r>
      <w:r w:rsidR="006A1AFC" w:rsidRPr="00885AB3">
        <w:rPr>
          <w:iCs/>
        </w:rPr>
      </w:r>
      <w:r w:rsidR="006A1AFC" w:rsidRPr="00885AB3">
        <w:rPr>
          <w:iCs/>
        </w:rPr>
        <w:fldChar w:fldCharType="separate"/>
      </w:r>
      <w:r w:rsidR="00515933" w:rsidRPr="00885AB3">
        <w:rPr>
          <w:iCs/>
        </w:rPr>
        <w:t>6.17</w:t>
      </w:r>
      <w:r w:rsidR="006A1AFC" w:rsidRPr="00885AB3">
        <w:rPr>
          <w:iCs/>
        </w:rPr>
        <w:fldChar w:fldCharType="end"/>
      </w:r>
      <w:r w:rsidR="006A1AFC" w:rsidRPr="00885AB3">
        <w:rPr>
          <w:iCs/>
        </w:rPr>
        <w:t xml:space="preserve">. </w:t>
      </w:r>
      <w:r w:rsidR="00FB6B80" w:rsidRPr="00885AB3">
        <w:rPr>
          <w:iCs/>
        </w:rPr>
        <w:t xml:space="preserve">A summary of </w:t>
      </w:r>
      <w:r w:rsidR="00DE0DA4" w:rsidRPr="00885AB3">
        <w:rPr>
          <w:iCs/>
        </w:rPr>
        <w:t xml:space="preserve">the </w:t>
      </w:r>
      <w:r w:rsidR="006F46C8" w:rsidRPr="00885AB3">
        <w:rPr>
          <w:iCs/>
        </w:rPr>
        <w:t>cumulative</w:t>
      </w:r>
      <w:r w:rsidR="00DE0DA4" w:rsidRPr="00885AB3">
        <w:rPr>
          <w:iCs/>
        </w:rPr>
        <w:t xml:space="preserve"> VE analyses conducted in </w:t>
      </w:r>
      <w:proofErr w:type="spellStart"/>
      <w:r w:rsidR="00DE0DA4" w:rsidRPr="00885AB3">
        <w:rPr>
          <w:iCs/>
        </w:rPr>
        <w:t>ConquerRSV</w:t>
      </w:r>
      <w:proofErr w:type="spellEnd"/>
      <w:r w:rsidR="00DE0DA4" w:rsidRPr="00885AB3">
        <w:rPr>
          <w:iCs/>
        </w:rPr>
        <w:t xml:space="preserve"> is presented in </w:t>
      </w:r>
      <w:r w:rsidR="00DE0DA4" w:rsidRPr="00885AB3">
        <w:rPr>
          <w:iCs/>
        </w:rPr>
        <w:fldChar w:fldCharType="begin" w:fldLock="1"/>
      </w:r>
      <w:r w:rsidR="00DE0DA4" w:rsidRPr="00885AB3">
        <w:rPr>
          <w:iCs/>
        </w:rPr>
        <w:instrText xml:space="preserve"> REF _Ref208220555 \h </w:instrText>
      </w:r>
      <w:r w:rsidR="000F1C89" w:rsidRPr="00885AB3">
        <w:rPr>
          <w:iCs/>
        </w:rPr>
        <w:instrText xml:space="preserve"> \* MERGEFORMAT </w:instrText>
      </w:r>
      <w:r w:rsidR="00DE0DA4" w:rsidRPr="00885AB3">
        <w:rPr>
          <w:iCs/>
        </w:rPr>
      </w:r>
      <w:r w:rsidR="00DE0DA4" w:rsidRPr="00885AB3">
        <w:rPr>
          <w:iCs/>
        </w:rPr>
        <w:fldChar w:fldCharType="separate"/>
      </w:r>
      <w:r w:rsidR="00515933" w:rsidRPr="00885AB3">
        <w:rPr>
          <w:iCs/>
        </w:rPr>
        <w:t>Table 3</w:t>
      </w:r>
      <w:r w:rsidR="00DE0DA4" w:rsidRPr="00885AB3">
        <w:rPr>
          <w:iCs/>
        </w:rPr>
        <w:fldChar w:fldCharType="end"/>
      </w:r>
      <w:r w:rsidR="000F1C89" w:rsidRPr="00885AB3">
        <w:rPr>
          <w:iCs/>
        </w:rPr>
        <w:t>.</w:t>
      </w:r>
      <w:r w:rsidR="00536596" w:rsidRPr="00885AB3">
        <w:rPr>
          <w:iCs/>
        </w:rPr>
        <w:t xml:space="preserve"> The submission also presented subgroup analyses per age group to inform the target population for which NIP listing is being sought</w:t>
      </w:r>
      <w:r w:rsidR="00F10912" w:rsidRPr="00885AB3">
        <w:rPr>
          <w:iCs/>
        </w:rPr>
        <w:t xml:space="preserve"> (see paragraph </w:t>
      </w:r>
      <w:r w:rsidR="00F10912" w:rsidRPr="00885AB3">
        <w:rPr>
          <w:iCs/>
        </w:rPr>
        <w:fldChar w:fldCharType="begin" w:fldLock="1"/>
      </w:r>
      <w:r w:rsidR="00F10912" w:rsidRPr="00885AB3">
        <w:rPr>
          <w:iCs/>
        </w:rPr>
        <w:instrText xml:space="preserve"> REF _Ref210918666 \r \h  \* MERGEFORMAT </w:instrText>
      </w:r>
      <w:r w:rsidR="00F10912" w:rsidRPr="00885AB3">
        <w:rPr>
          <w:iCs/>
        </w:rPr>
      </w:r>
      <w:r w:rsidR="00F10912" w:rsidRPr="00885AB3">
        <w:rPr>
          <w:iCs/>
        </w:rPr>
        <w:fldChar w:fldCharType="separate"/>
      </w:r>
      <w:r w:rsidR="00515933" w:rsidRPr="00885AB3">
        <w:rPr>
          <w:iCs/>
        </w:rPr>
        <w:t>6.24</w:t>
      </w:r>
      <w:r w:rsidR="00F10912" w:rsidRPr="00885AB3">
        <w:rPr>
          <w:iCs/>
        </w:rPr>
        <w:fldChar w:fldCharType="end"/>
      </w:r>
      <w:r w:rsidR="00F10912" w:rsidRPr="00885AB3">
        <w:rPr>
          <w:iCs/>
        </w:rPr>
        <w:t xml:space="preserve"> below)</w:t>
      </w:r>
      <w:r w:rsidR="00536596" w:rsidRPr="00885AB3">
        <w:rPr>
          <w:iCs/>
        </w:rPr>
        <w:t xml:space="preserve">. Individuals in the subgroup of adults </w:t>
      </w:r>
      <w:r w:rsidR="00EF2FA4">
        <w:rPr>
          <w:iCs/>
        </w:rPr>
        <w:t xml:space="preserve">≥ </w:t>
      </w:r>
      <w:r w:rsidR="00536596" w:rsidRPr="00885AB3">
        <w:rPr>
          <w:iCs/>
        </w:rPr>
        <w:t>75 YOA represented a small proportion of the study population (18%).</w:t>
      </w:r>
    </w:p>
    <w:p w14:paraId="38093453" w14:textId="42DA5AE4" w:rsidR="005549D3" w:rsidRPr="00885AB3" w:rsidRDefault="005549D3" w:rsidP="00120D61">
      <w:pPr>
        <w:pStyle w:val="Caption"/>
      </w:pPr>
      <w:bookmarkStart w:id="49" w:name="_Ref208220555"/>
      <w:r w:rsidRPr="00885AB3">
        <w:lastRenderedPageBreak/>
        <w:t xml:space="preserve">Table </w:t>
      </w:r>
      <w:r w:rsidR="008A242D" w:rsidRPr="00885AB3">
        <w:fldChar w:fldCharType="begin" w:fldLock="1"/>
      </w:r>
      <w:r w:rsidR="008A242D" w:rsidRPr="00885AB3">
        <w:instrText xml:space="preserve"> SEQ Table \* ARABIC </w:instrText>
      </w:r>
      <w:r w:rsidR="008A242D" w:rsidRPr="00885AB3">
        <w:fldChar w:fldCharType="separate"/>
      </w:r>
      <w:r w:rsidR="00515933" w:rsidRPr="00885AB3">
        <w:t>3</w:t>
      </w:r>
      <w:r w:rsidR="008A242D" w:rsidRPr="00885AB3">
        <w:fldChar w:fldCharType="end"/>
      </w:r>
      <w:bookmarkEnd w:id="49"/>
      <w:r w:rsidRPr="00885AB3">
        <w:t xml:space="preserve">: Summary of cumulative VE analysis time points </w:t>
      </w:r>
      <w:r w:rsidRPr="00885AB3" w:rsidDel="004A599E">
        <w:t xml:space="preserve">of </w:t>
      </w:r>
      <w:proofErr w:type="spellStart"/>
      <w:r w:rsidRPr="00885AB3">
        <w:t>ConquerRSV</w:t>
      </w:r>
      <w:proofErr w:type="spellEnd"/>
      <w:r w:rsidRPr="00885AB3">
        <w:t xml:space="preserve"> </w:t>
      </w:r>
    </w:p>
    <w:tbl>
      <w:tblPr>
        <w:tblStyle w:val="TableGrid"/>
        <w:tblW w:w="5000" w:type="pct"/>
        <w:tblLook w:val="04A0" w:firstRow="1" w:lastRow="0" w:firstColumn="1" w:lastColumn="0" w:noHBand="0" w:noVBand="1"/>
        <w:tblCaption w:val="Table 3: Summary of cumulative VE analysis time points of ConquerRSV "/>
      </w:tblPr>
      <w:tblGrid>
        <w:gridCol w:w="1855"/>
        <w:gridCol w:w="1432"/>
        <w:gridCol w:w="1670"/>
        <w:gridCol w:w="1701"/>
        <w:gridCol w:w="952"/>
        <w:gridCol w:w="1407"/>
      </w:tblGrid>
      <w:tr w:rsidR="0044669E" w:rsidRPr="00885AB3" w14:paraId="0D8C2050" w14:textId="77777777" w:rsidTr="00B2643D">
        <w:trPr>
          <w:trHeight w:val="86"/>
        </w:trPr>
        <w:tc>
          <w:tcPr>
            <w:tcW w:w="1029" w:type="pct"/>
            <w:vAlign w:val="center"/>
          </w:tcPr>
          <w:p w14:paraId="54291590" w14:textId="77777777" w:rsidR="005549D3" w:rsidRPr="00885AB3" w:rsidRDefault="005549D3" w:rsidP="00120D61">
            <w:pPr>
              <w:pStyle w:val="In-tableHeading"/>
            </w:pPr>
            <w:r w:rsidRPr="00885AB3">
              <w:t>Data analysis</w:t>
            </w:r>
          </w:p>
          <w:p w14:paraId="472D251B" w14:textId="77777777" w:rsidR="005549D3" w:rsidRPr="00885AB3" w:rsidRDefault="005549D3" w:rsidP="00120D61">
            <w:pPr>
              <w:pStyle w:val="In-tableHeading"/>
            </w:pPr>
            <w:r w:rsidRPr="00885AB3">
              <w:t>DCO date</w:t>
            </w:r>
          </w:p>
        </w:tc>
        <w:tc>
          <w:tcPr>
            <w:tcW w:w="794" w:type="pct"/>
            <w:vAlign w:val="center"/>
          </w:tcPr>
          <w:p w14:paraId="29F556F3" w14:textId="77777777" w:rsidR="005549D3" w:rsidRPr="00885AB3" w:rsidRDefault="005549D3" w:rsidP="00120D61">
            <w:pPr>
              <w:pStyle w:val="In-tableHeading"/>
              <w:jc w:val="center"/>
            </w:pPr>
            <w:r w:rsidRPr="00885AB3">
              <w:t>Number of participants randomised</w:t>
            </w:r>
          </w:p>
        </w:tc>
        <w:tc>
          <w:tcPr>
            <w:tcW w:w="926" w:type="pct"/>
            <w:vAlign w:val="center"/>
          </w:tcPr>
          <w:p w14:paraId="44156F76" w14:textId="653FCC5F" w:rsidR="005549D3" w:rsidRPr="00885AB3" w:rsidRDefault="00F84DA4" w:rsidP="00120D61">
            <w:pPr>
              <w:pStyle w:val="In-tableHeading"/>
              <w:jc w:val="center"/>
            </w:pPr>
            <w:r w:rsidRPr="00885AB3">
              <w:t>Outcome</w:t>
            </w:r>
          </w:p>
        </w:tc>
        <w:tc>
          <w:tcPr>
            <w:tcW w:w="943" w:type="pct"/>
            <w:vAlign w:val="center"/>
          </w:tcPr>
          <w:p w14:paraId="0561CAC7" w14:textId="77777777" w:rsidR="005549D3" w:rsidRPr="00885AB3" w:rsidRDefault="005549D3" w:rsidP="00120D61">
            <w:pPr>
              <w:pStyle w:val="In-tableHeading"/>
              <w:jc w:val="center"/>
            </w:pPr>
            <w:r w:rsidRPr="00885AB3">
              <w:t>RSV season coverage</w:t>
            </w:r>
          </w:p>
        </w:tc>
        <w:tc>
          <w:tcPr>
            <w:tcW w:w="528" w:type="pct"/>
            <w:vAlign w:val="center"/>
          </w:tcPr>
          <w:p w14:paraId="13ACDDA8" w14:textId="77777777" w:rsidR="005549D3" w:rsidRPr="00885AB3" w:rsidRDefault="005549D3" w:rsidP="00120D61">
            <w:pPr>
              <w:pStyle w:val="In-tableHeading"/>
              <w:jc w:val="center"/>
            </w:pPr>
            <w:r w:rsidRPr="00885AB3">
              <w:t>Median follow-up (months)</w:t>
            </w:r>
          </w:p>
        </w:tc>
        <w:tc>
          <w:tcPr>
            <w:tcW w:w="780" w:type="pct"/>
            <w:vAlign w:val="center"/>
          </w:tcPr>
          <w:p w14:paraId="69C033B2" w14:textId="77777777" w:rsidR="005549D3" w:rsidRPr="00885AB3" w:rsidRDefault="005549D3" w:rsidP="00120D61">
            <w:pPr>
              <w:pStyle w:val="In-tableHeading"/>
              <w:jc w:val="center"/>
            </w:pPr>
            <w:r w:rsidRPr="00885AB3">
              <w:t>Used in the economic evaluation?</w:t>
            </w:r>
          </w:p>
        </w:tc>
      </w:tr>
      <w:tr w:rsidR="0044669E" w:rsidRPr="00885AB3" w14:paraId="590B0A36" w14:textId="77777777" w:rsidTr="00B2643D">
        <w:trPr>
          <w:trHeight w:val="261"/>
        </w:trPr>
        <w:tc>
          <w:tcPr>
            <w:tcW w:w="1029" w:type="pct"/>
            <w:vAlign w:val="center"/>
          </w:tcPr>
          <w:p w14:paraId="53C05F13" w14:textId="77777777" w:rsidR="005549D3" w:rsidRPr="00885AB3" w:rsidRDefault="005549D3" w:rsidP="00120D61">
            <w:pPr>
              <w:pStyle w:val="TableText0"/>
              <w:jc w:val="left"/>
              <w:rPr>
                <w:szCs w:val="20"/>
              </w:rPr>
            </w:pPr>
            <w:r w:rsidRPr="00885AB3">
              <w:rPr>
                <w:szCs w:val="20"/>
              </w:rPr>
              <w:t>Primary data analysis</w:t>
            </w:r>
          </w:p>
          <w:p w14:paraId="160C36B8" w14:textId="77777777" w:rsidR="005549D3" w:rsidRPr="00885AB3" w:rsidRDefault="005549D3" w:rsidP="00120D61">
            <w:pPr>
              <w:pStyle w:val="TableText0"/>
              <w:jc w:val="left"/>
              <w:rPr>
                <w:szCs w:val="20"/>
              </w:rPr>
            </w:pPr>
            <w:r w:rsidRPr="00885AB3">
              <w:rPr>
                <w:szCs w:val="20"/>
              </w:rPr>
              <w:t>DCO: 30 Nov 2022</w:t>
            </w:r>
          </w:p>
        </w:tc>
        <w:tc>
          <w:tcPr>
            <w:tcW w:w="794" w:type="pct"/>
            <w:vAlign w:val="center"/>
          </w:tcPr>
          <w:p w14:paraId="6D9BEA03" w14:textId="77777777" w:rsidR="005549D3" w:rsidRPr="00885AB3" w:rsidRDefault="005549D3" w:rsidP="00120D61">
            <w:pPr>
              <w:pStyle w:val="TableText0"/>
              <w:rPr>
                <w:szCs w:val="20"/>
              </w:rPr>
            </w:pPr>
            <w:r w:rsidRPr="00885AB3">
              <w:rPr>
                <w:szCs w:val="20"/>
              </w:rPr>
              <w:t>35,541</w:t>
            </w:r>
          </w:p>
        </w:tc>
        <w:tc>
          <w:tcPr>
            <w:tcW w:w="926" w:type="pct"/>
            <w:vAlign w:val="center"/>
          </w:tcPr>
          <w:p w14:paraId="116D65A3" w14:textId="1C175E82" w:rsidR="005549D3" w:rsidRPr="00885AB3" w:rsidRDefault="005549D3" w:rsidP="00120D61">
            <w:pPr>
              <w:pStyle w:val="TableText0"/>
              <w:rPr>
                <w:szCs w:val="20"/>
              </w:rPr>
            </w:pPr>
            <w:r w:rsidRPr="00885AB3">
              <w:rPr>
                <w:szCs w:val="20"/>
              </w:rPr>
              <w:t>VE at 12 months</w:t>
            </w:r>
          </w:p>
        </w:tc>
        <w:tc>
          <w:tcPr>
            <w:tcW w:w="943" w:type="pct"/>
            <w:vAlign w:val="center"/>
          </w:tcPr>
          <w:p w14:paraId="2CE0CB19" w14:textId="0DF551DB" w:rsidR="005549D3" w:rsidRPr="00885AB3" w:rsidRDefault="001C78D7" w:rsidP="00120D61">
            <w:pPr>
              <w:pStyle w:val="TableText0"/>
              <w:rPr>
                <w:szCs w:val="20"/>
                <w:vertAlign w:val="superscript"/>
              </w:rPr>
            </w:pPr>
            <w:r>
              <w:rPr>
                <w:szCs w:val="20"/>
              </w:rPr>
              <w:t xml:space="preserve">&lt; </w:t>
            </w:r>
            <w:r w:rsidR="005549D3" w:rsidRPr="00885AB3">
              <w:rPr>
                <w:szCs w:val="20"/>
              </w:rPr>
              <w:t xml:space="preserve">50% had been followed up by 1 </w:t>
            </w:r>
            <w:r w:rsidR="009D0899" w:rsidRPr="00885AB3">
              <w:rPr>
                <w:szCs w:val="20"/>
              </w:rPr>
              <w:t>RSV</w:t>
            </w:r>
            <w:r w:rsidR="005549D3" w:rsidRPr="00885AB3">
              <w:rPr>
                <w:szCs w:val="20"/>
              </w:rPr>
              <w:t xml:space="preserve"> </w:t>
            </w:r>
            <w:proofErr w:type="spellStart"/>
            <w:r w:rsidR="008C7530" w:rsidRPr="00885AB3">
              <w:rPr>
                <w:szCs w:val="20"/>
              </w:rPr>
              <w:t>s</w:t>
            </w:r>
            <w:r w:rsidR="005549D3" w:rsidRPr="00885AB3">
              <w:rPr>
                <w:szCs w:val="20"/>
              </w:rPr>
              <w:t>eason</w:t>
            </w:r>
            <w:r w:rsidR="005549D3" w:rsidRPr="00885AB3">
              <w:rPr>
                <w:szCs w:val="20"/>
                <w:vertAlign w:val="superscript"/>
              </w:rPr>
              <w:t>a</w:t>
            </w:r>
            <w:proofErr w:type="spellEnd"/>
          </w:p>
        </w:tc>
        <w:tc>
          <w:tcPr>
            <w:tcW w:w="528" w:type="pct"/>
            <w:vAlign w:val="center"/>
          </w:tcPr>
          <w:p w14:paraId="46DC505A" w14:textId="77777777" w:rsidR="005549D3" w:rsidRPr="00885AB3" w:rsidRDefault="005549D3" w:rsidP="00120D61">
            <w:pPr>
              <w:pStyle w:val="TableText0"/>
              <w:rPr>
                <w:szCs w:val="20"/>
              </w:rPr>
            </w:pPr>
            <w:r w:rsidRPr="00885AB3">
              <w:rPr>
                <w:szCs w:val="20"/>
              </w:rPr>
              <w:t>3.7</w:t>
            </w:r>
          </w:p>
        </w:tc>
        <w:tc>
          <w:tcPr>
            <w:tcW w:w="780" w:type="pct"/>
            <w:vAlign w:val="center"/>
          </w:tcPr>
          <w:p w14:paraId="0D037779" w14:textId="77777777" w:rsidR="005549D3" w:rsidRPr="00885AB3" w:rsidRDefault="005549D3" w:rsidP="00120D61">
            <w:pPr>
              <w:pStyle w:val="TableText0"/>
              <w:rPr>
                <w:szCs w:val="20"/>
              </w:rPr>
            </w:pPr>
            <w:r w:rsidRPr="00885AB3">
              <w:rPr>
                <w:szCs w:val="20"/>
              </w:rPr>
              <w:t>No</w:t>
            </w:r>
          </w:p>
        </w:tc>
      </w:tr>
      <w:tr w:rsidR="0044669E" w:rsidRPr="00885AB3" w14:paraId="590BD749" w14:textId="77777777" w:rsidTr="00B2643D">
        <w:trPr>
          <w:trHeight w:val="273"/>
        </w:trPr>
        <w:tc>
          <w:tcPr>
            <w:tcW w:w="1029" w:type="pct"/>
            <w:vAlign w:val="center"/>
          </w:tcPr>
          <w:p w14:paraId="1793AEBC" w14:textId="77777777" w:rsidR="005549D3" w:rsidRPr="00885AB3" w:rsidRDefault="005549D3" w:rsidP="00120D61">
            <w:pPr>
              <w:pStyle w:val="TableText0"/>
              <w:jc w:val="left"/>
              <w:rPr>
                <w:szCs w:val="20"/>
              </w:rPr>
            </w:pPr>
            <w:r w:rsidRPr="00885AB3">
              <w:rPr>
                <w:szCs w:val="20"/>
              </w:rPr>
              <w:t>Additional data analysis</w:t>
            </w:r>
          </w:p>
          <w:p w14:paraId="17A3121B" w14:textId="77777777" w:rsidR="005549D3" w:rsidRPr="00885AB3" w:rsidRDefault="005549D3" w:rsidP="00120D61">
            <w:pPr>
              <w:pStyle w:val="TableText0"/>
              <w:jc w:val="left"/>
              <w:rPr>
                <w:szCs w:val="20"/>
              </w:rPr>
            </w:pPr>
            <w:r w:rsidRPr="00885AB3">
              <w:rPr>
                <w:szCs w:val="20"/>
              </w:rPr>
              <w:t>DCO: 30 Apr 2023</w:t>
            </w:r>
          </w:p>
        </w:tc>
        <w:tc>
          <w:tcPr>
            <w:tcW w:w="794" w:type="pct"/>
            <w:vAlign w:val="center"/>
          </w:tcPr>
          <w:p w14:paraId="65FA44F0" w14:textId="77777777" w:rsidR="005549D3" w:rsidRPr="00885AB3" w:rsidRDefault="005549D3" w:rsidP="00120D61">
            <w:pPr>
              <w:pStyle w:val="TableText0"/>
              <w:rPr>
                <w:szCs w:val="20"/>
              </w:rPr>
            </w:pPr>
            <w:r w:rsidRPr="00885AB3">
              <w:rPr>
                <w:szCs w:val="20"/>
              </w:rPr>
              <w:t>36,557</w:t>
            </w:r>
          </w:p>
        </w:tc>
        <w:tc>
          <w:tcPr>
            <w:tcW w:w="926" w:type="pct"/>
            <w:vAlign w:val="center"/>
          </w:tcPr>
          <w:p w14:paraId="4D338EB1" w14:textId="77777777" w:rsidR="005549D3" w:rsidRPr="00885AB3" w:rsidRDefault="005549D3" w:rsidP="00120D61">
            <w:pPr>
              <w:pStyle w:val="TableText0"/>
              <w:rPr>
                <w:szCs w:val="20"/>
              </w:rPr>
            </w:pPr>
            <w:r w:rsidRPr="00885AB3">
              <w:rPr>
                <w:szCs w:val="20"/>
              </w:rPr>
              <w:t>VE at 12 months</w:t>
            </w:r>
          </w:p>
        </w:tc>
        <w:tc>
          <w:tcPr>
            <w:tcW w:w="943" w:type="pct"/>
            <w:vAlign w:val="center"/>
          </w:tcPr>
          <w:p w14:paraId="4DF5FE88" w14:textId="0EE59266" w:rsidR="005549D3" w:rsidRPr="00885AB3" w:rsidRDefault="00A923F8" w:rsidP="00120D61">
            <w:pPr>
              <w:pStyle w:val="TableText0"/>
              <w:rPr>
                <w:szCs w:val="20"/>
              </w:rPr>
            </w:pPr>
            <w:r w:rsidRPr="00885AB3">
              <w:rPr>
                <w:szCs w:val="20"/>
              </w:rPr>
              <w:t>One</w:t>
            </w:r>
            <w:r w:rsidR="005549D3" w:rsidRPr="00885AB3">
              <w:rPr>
                <w:szCs w:val="20"/>
              </w:rPr>
              <w:t>: 71.9%</w:t>
            </w:r>
            <w:r w:rsidR="002E64E0" w:rsidRPr="00885AB3">
              <w:rPr>
                <w:szCs w:val="20"/>
                <w:vertAlign w:val="superscript"/>
              </w:rPr>
              <w:t xml:space="preserve"> b</w:t>
            </w:r>
          </w:p>
          <w:p w14:paraId="71328643" w14:textId="550F7732" w:rsidR="005549D3" w:rsidRPr="00885AB3" w:rsidRDefault="00A923F8" w:rsidP="00120D61">
            <w:pPr>
              <w:pStyle w:val="TableText0"/>
              <w:rPr>
                <w:szCs w:val="20"/>
              </w:rPr>
            </w:pPr>
            <w:r w:rsidRPr="00885AB3">
              <w:rPr>
                <w:szCs w:val="20"/>
              </w:rPr>
              <w:t>Two</w:t>
            </w:r>
            <w:r w:rsidR="005549D3" w:rsidRPr="00885AB3">
              <w:rPr>
                <w:szCs w:val="20"/>
              </w:rPr>
              <w:t>: 28.1%</w:t>
            </w:r>
            <w:r w:rsidR="002E64E0" w:rsidRPr="00885AB3">
              <w:rPr>
                <w:szCs w:val="20"/>
                <w:vertAlign w:val="superscript"/>
              </w:rPr>
              <w:t xml:space="preserve"> b</w:t>
            </w:r>
          </w:p>
        </w:tc>
        <w:tc>
          <w:tcPr>
            <w:tcW w:w="528" w:type="pct"/>
            <w:vAlign w:val="center"/>
          </w:tcPr>
          <w:p w14:paraId="3A55B6E5" w14:textId="77777777" w:rsidR="005549D3" w:rsidRPr="00885AB3" w:rsidRDefault="005549D3" w:rsidP="00120D61">
            <w:pPr>
              <w:pStyle w:val="TableText0"/>
              <w:rPr>
                <w:szCs w:val="20"/>
              </w:rPr>
            </w:pPr>
            <w:r w:rsidRPr="00885AB3">
              <w:rPr>
                <w:szCs w:val="20"/>
              </w:rPr>
              <w:t>8.6</w:t>
            </w:r>
          </w:p>
        </w:tc>
        <w:tc>
          <w:tcPr>
            <w:tcW w:w="780" w:type="pct"/>
            <w:vAlign w:val="center"/>
          </w:tcPr>
          <w:p w14:paraId="05564118" w14:textId="77777777" w:rsidR="005549D3" w:rsidRPr="00885AB3" w:rsidRDefault="005549D3" w:rsidP="00120D61">
            <w:pPr>
              <w:pStyle w:val="TableText0"/>
              <w:rPr>
                <w:szCs w:val="20"/>
              </w:rPr>
            </w:pPr>
            <w:r w:rsidRPr="00885AB3">
              <w:rPr>
                <w:szCs w:val="20"/>
              </w:rPr>
              <w:t>No</w:t>
            </w:r>
          </w:p>
        </w:tc>
      </w:tr>
      <w:tr w:rsidR="0044669E" w:rsidRPr="00885AB3" w14:paraId="5CF21330" w14:textId="77777777" w:rsidTr="00B2643D">
        <w:trPr>
          <w:trHeight w:val="261"/>
        </w:trPr>
        <w:tc>
          <w:tcPr>
            <w:tcW w:w="1029" w:type="pct"/>
            <w:vMerge w:val="restart"/>
            <w:vAlign w:val="center"/>
          </w:tcPr>
          <w:p w14:paraId="364EF3BF" w14:textId="77777777" w:rsidR="005549D3" w:rsidRPr="00885AB3" w:rsidRDefault="005549D3" w:rsidP="00120D61">
            <w:pPr>
              <w:pStyle w:val="TableText0"/>
              <w:jc w:val="left"/>
              <w:rPr>
                <w:szCs w:val="20"/>
              </w:rPr>
            </w:pPr>
            <w:r w:rsidRPr="00885AB3">
              <w:rPr>
                <w:szCs w:val="20"/>
              </w:rPr>
              <w:t>Extended data analysis</w:t>
            </w:r>
          </w:p>
          <w:p w14:paraId="0DE9B344" w14:textId="379D10E0" w:rsidR="005549D3" w:rsidRPr="00885AB3" w:rsidRDefault="005549D3" w:rsidP="00120D61">
            <w:pPr>
              <w:pStyle w:val="TableText0"/>
              <w:jc w:val="left"/>
              <w:rPr>
                <w:szCs w:val="20"/>
                <w:vertAlign w:val="superscript"/>
              </w:rPr>
            </w:pPr>
            <w:r w:rsidRPr="00885AB3">
              <w:rPr>
                <w:szCs w:val="20"/>
              </w:rPr>
              <w:t>DCO: 08 Mar 2024</w:t>
            </w:r>
            <w:r w:rsidR="00EF495C" w:rsidRPr="00885AB3">
              <w:rPr>
                <w:szCs w:val="20"/>
                <w:vertAlign w:val="superscript"/>
              </w:rPr>
              <w:t>c</w:t>
            </w:r>
          </w:p>
        </w:tc>
        <w:tc>
          <w:tcPr>
            <w:tcW w:w="794" w:type="pct"/>
            <w:vMerge w:val="restart"/>
            <w:vAlign w:val="center"/>
          </w:tcPr>
          <w:p w14:paraId="598EF91D" w14:textId="77777777" w:rsidR="005549D3" w:rsidRPr="00885AB3" w:rsidRDefault="005549D3" w:rsidP="00120D61">
            <w:pPr>
              <w:pStyle w:val="TableText0"/>
              <w:rPr>
                <w:szCs w:val="20"/>
              </w:rPr>
            </w:pPr>
            <w:r w:rsidRPr="00885AB3">
              <w:rPr>
                <w:szCs w:val="20"/>
              </w:rPr>
              <w:t>36,814</w:t>
            </w:r>
          </w:p>
        </w:tc>
        <w:tc>
          <w:tcPr>
            <w:tcW w:w="926" w:type="pct"/>
            <w:vAlign w:val="center"/>
          </w:tcPr>
          <w:p w14:paraId="5CF7BD54" w14:textId="77777777" w:rsidR="005549D3" w:rsidRPr="00885AB3" w:rsidRDefault="005549D3" w:rsidP="00120D61">
            <w:pPr>
              <w:pStyle w:val="TableText0"/>
              <w:rPr>
                <w:szCs w:val="20"/>
              </w:rPr>
            </w:pPr>
            <w:r w:rsidRPr="00885AB3">
              <w:rPr>
                <w:szCs w:val="20"/>
              </w:rPr>
              <w:t>VE at 12 months</w:t>
            </w:r>
          </w:p>
        </w:tc>
        <w:tc>
          <w:tcPr>
            <w:tcW w:w="943" w:type="pct"/>
            <w:vMerge w:val="restart"/>
            <w:vAlign w:val="center"/>
          </w:tcPr>
          <w:p w14:paraId="272719A8" w14:textId="77777777" w:rsidR="005549D3" w:rsidRPr="00885AB3" w:rsidRDefault="005549D3" w:rsidP="00120D61">
            <w:pPr>
              <w:pStyle w:val="TableText0"/>
              <w:rPr>
                <w:szCs w:val="20"/>
              </w:rPr>
            </w:pPr>
            <w:r w:rsidRPr="00885AB3">
              <w:rPr>
                <w:szCs w:val="20"/>
              </w:rPr>
              <w:t>NR</w:t>
            </w:r>
          </w:p>
        </w:tc>
        <w:tc>
          <w:tcPr>
            <w:tcW w:w="528" w:type="pct"/>
            <w:vMerge w:val="restart"/>
            <w:vAlign w:val="center"/>
          </w:tcPr>
          <w:p w14:paraId="22100937" w14:textId="77777777" w:rsidR="005549D3" w:rsidRPr="00885AB3" w:rsidRDefault="005549D3" w:rsidP="00120D61">
            <w:pPr>
              <w:pStyle w:val="TableText0"/>
              <w:rPr>
                <w:szCs w:val="20"/>
              </w:rPr>
            </w:pPr>
            <w:r w:rsidRPr="00885AB3">
              <w:rPr>
                <w:szCs w:val="20"/>
              </w:rPr>
              <w:t>18.8</w:t>
            </w:r>
          </w:p>
        </w:tc>
        <w:tc>
          <w:tcPr>
            <w:tcW w:w="780" w:type="pct"/>
            <w:vMerge w:val="restart"/>
            <w:vAlign w:val="center"/>
          </w:tcPr>
          <w:p w14:paraId="5C3E4BE2" w14:textId="77777777" w:rsidR="005549D3" w:rsidRPr="00885AB3" w:rsidRDefault="005549D3" w:rsidP="00120D61">
            <w:pPr>
              <w:pStyle w:val="TableText0"/>
              <w:rPr>
                <w:szCs w:val="20"/>
              </w:rPr>
            </w:pPr>
            <w:r w:rsidRPr="00885AB3">
              <w:rPr>
                <w:szCs w:val="20"/>
              </w:rPr>
              <w:t>Yes</w:t>
            </w:r>
          </w:p>
        </w:tc>
      </w:tr>
      <w:tr w:rsidR="0044669E" w:rsidRPr="00885AB3" w14:paraId="40937630" w14:textId="77777777" w:rsidTr="00B2643D">
        <w:trPr>
          <w:trHeight w:val="261"/>
        </w:trPr>
        <w:tc>
          <w:tcPr>
            <w:tcW w:w="1029" w:type="pct"/>
            <w:vMerge/>
          </w:tcPr>
          <w:p w14:paraId="4DD6FC77" w14:textId="77777777" w:rsidR="005549D3" w:rsidRPr="00885AB3" w:rsidRDefault="005549D3" w:rsidP="00120D61">
            <w:pPr>
              <w:pStyle w:val="TableText0"/>
              <w:rPr>
                <w:szCs w:val="20"/>
              </w:rPr>
            </w:pPr>
          </w:p>
        </w:tc>
        <w:tc>
          <w:tcPr>
            <w:tcW w:w="794" w:type="pct"/>
            <w:vMerge/>
          </w:tcPr>
          <w:p w14:paraId="4BA04DE0" w14:textId="77777777" w:rsidR="005549D3" w:rsidRPr="00885AB3" w:rsidRDefault="005549D3" w:rsidP="00120D61">
            <w:pPr>
              <w:pStyle w:val="TableText0"/>
              <w:rPr>
                <w:szCs w:val="20"/>
              </w:rPr>
            </w:pPr>
          </w:p>
        </w:tc>
        <w:tc>
          <w:tcPr>
            <w:tcW w:w="926" w:type="pct"/>
            <w:vAlign w:val="center"/>
          </w:tcPr>
          <w:p w14:paraId="5FD872C0" w14:textId="77777777" w:rsidR="005549D3" w:rsidRPr="00885AB3" w:rsidRDefault="005549D3" w:rsidP="00120D61">
            <w:pPr>
              <w:pStyle w:val="TableText0"/>
              <w:rPr>
                <w:szCs w:val="20"/>
              </w:rPr>
            </w:pPr>
            <w:r w:rsidRPr="00885AB3">
              <w:rPr>
                <w:szCs w:val="20"/>
              </w:rPr>
              <w:t>VE at 18 months</w:t>
            </w:r>
          </w:p>
        </w:tc>
        <w:tc>
          <w:tcPr>
            <w:tcW w:w="943" w:type="pct"/>
            <w:vMerge/>
            <w:vAlign w:val="center"/>
          </w:tcPr>
          <w:p w14:paraId="0DB70A91" w14:textId="77777777" w:rsidR="005549D3" w:rsidRPr="00885AB3" w:rsidRDefault="005549D3" w:rsidP="00120D61">
            <w:pPr>
              <w:pStyle w:val="TableText0"/>
              <w:rPr>
                <w:szCs w:val="20"/>
              </w:rPr>
            </w:pPr>
          </w:p>
        </w:tc>
        <w:tc>
          <w:tcPr>
            <w:tcW w:w="528" w:type="pct"/>
            <w:vMerge/>
            <w:vAlign w:val="center"/>
          </w:tcPr>
          <w:p w14:paraId="421D15D9" w14:textId="77777777" w:rsidR="005549D3" w:rsidRPr="00885AB3" w:rsidRDefault="005549D3" w:rsidP="00120D61">
            <w:pPr>
              <w:pStyle w:val="TableText0"/>
              <w:rPr>
                <w:szCs w:val="20"/>
              </w:rPr>
            </w:pPr>
          </w:p>
        </w:tc>
        <w:tc>
          <w:tcPr>
            <w:tcW w:w="780" w:type="pct"/>
            <w:vMerge/>
            <w:vAlign w:val="center"/>
          </w:tcPr>
          <w:p w14:paraId="70DBF002" w14:textId="77777777" w:rsidR="005549D3" w:rsidRPr="00885AB3" w:rsidRDefault="005549D3" w:rsidP="00120D61">
            <w:pPr>
              <w:pStyle w:val="TableText0"/>
              <w:rPr>
                <w:szCs w:val="20"/>
              </w:rPr>
            </w:pPr>
          </w:p>
        </w:tc>
      </w:tr>
      <w:tr w:rsidR="0044669E" w:rsidRPr="00885AB3" w14:paraId="5628D401" w14:textId="77777777" w:rsidTr="00B2643D">
        <w:trPr>
          <w:trHeight w:val="261"/>
        </w:trPr>
        <w:tc>
          <w:tcPr>
            <w:tcW w:w="1029" w:type="pct"/>
            <w:vMerge/>
          </w:tcPr>
          <w:p w14:paraId="7429D3D8" w14:textId="77777777" w:rsidR="005549D3" w:rsidRPr="00885AB3" w:rsidRDefault="005549D3" w:rsidP="00120D61">
            <w:pPr>
              <w:pStyle w:val="TableText0"/>
              <w:rPr>
                <w:szCs w:val="20"/>
              </w:rPr>
            </w:pPr>
          </w:p>
        </w:tc>
        <w:tc>
          <w:tcPr>
            <w:tcW w:w="794" w:type="pct"/>
            <w:vMerge/>
          </w:tcPr>
          <w:p w14:paraId="03B0FF75" w14:textId="77777777" w:rsidR="005549D3" w:rsidRPr="00885AB3" w:rsidRDefault="005549D3" w:rsidP="00120D61">
            <w:pPr>
              <w:pStyle w:val="TableText0"/>
              <w:rPr>
                <w:szCs w:val="20"/>
              </w:rPr>
            </w:pPr>
          </w:p>
        </w:tc>
        <w:tc>
          <w:tcPr>
            <w:tcW w:w="926" w:type="pct"/>
            <w:vAlign w:val="center"/>
          </w:tcPr>
          <w:p w14:paraId="3844D3E4" w14:textId="77777777" w:rsidR="005549D3" w:rsidRPr="00885AB3" w:rsidRDefault="005549D3" w:rsidP="00120D61">
            <w:pPr>
              <w:pStyle w:val="TableText0"/>
              <w:rPr>
                <w:szCs w:val="20"/>
              </w:rPr>
            </w:pPr>
            <w:r w:rsidRPr="00885AB3">
              <w:rPr>
                <w:szCs w:val="20"/>
              </w:rPr>
              <w:t>VE at 24 months</w:t>
            </w:r>
          </w:p>
        </w:tc>
        <w:tc>
          <w:tcPr>
            <w:tcW w:w="943" w:type="pct"/>
            <w:vMerge/>
            <w:vAlign w:val="center"/>
          </w:tcPr>
          <w:p w14:paraId="4381A7FF" w14:textId="77777777" w:rsidR="005549D3" w:rsidRPr="00885AB3" w:rsidRDefault="005549D3" w:rsidP="00120D61">
            <w:pPr>
              <w:pStyle w:val="TableText0"/>
              <w:rPr>
                <w:szCs w:val="20"/>
              </w:rPr>
            </w:pPr>
          </w:p>
        </w:tc>
        <w:tc>
          <w:tcPr>
            <w:tcW w:w="528" w:type="pct"/>
            <w:vMerge/>
            <w:vAlign w:val="center"/>
          </w:tcPr>
          <w:p w14:paraId="6016B721" w14:textId="77777777" w:rsidR="005549D3" w:rsidRPr="00885AB3" w:rsidRDefault="005549D3" w:rsidP="00120D61">
            <w:pPr>
              <w:pStyle w:val="TableText0"/>
              <w:rPr>
                <w:szCs w:val="20"/>
              </w:rPr>
            </w:pPr>
          </w:p>
        </w:tc>
        <w:tc>
          <w:tcPr>
            <w:tcW w:w="780" w:type="pct"/>
            <w:vMerge/>
            <w:vAlign w:val="center"/>
          </w:tcPr>
          <w:p w14:paraId="627C507E" w14:textId="77777777" w:rsidR="005549D3" w:rsidRPr="00885AB3" w:rsidRDefault="005549D3" w:rsidP="00120D61">
            <w:pPr>
              <w:pStyle w:val="TableText0"/>
              <w:rPr>
                <w:szCs w:val="20"/>
              </w:rPr>
            </w:pPr>
          </w:p>
        </w:tc>
      </w:tr>
    </w:tbl>
    <w:p w14:paraId="775A0938" w14:textId="77777777" w:rsidR="005549D3" w:rsidRPr="00885AB3" w:rsidRDefault="005549D3" w:rsidP="00120D61">
      <w:pPr>
        <w:pStyle w:val="TableFigureFooter"/>
      </w:pPr>
      <w:r w:rsidRPr="00885AB3">
        <w:t xml:space="preserve">Source: compiled during the evaluation from p57 of the submission and p2 and p94 of the mRNA-1345 CSR for additional analysis of VE. </w:t>
      </w:r>
    </w:p>
    <w:p w14:paraId="5420A7E6" w14:textId="77777777" w:rsidR="005549D3" w:rsidRPr="00885AB3" w:rsidRDefault="005549D3" w:rsidP="00120D61">
      <w:pPr>
        <w:pStyle w:val="TableFigureFooter"/>
      </w:pPr>
      <w:r w:rsidRPr="00885AB3">
        <w:t xml:space="preserve">DCO = data cut-off; EMA = European Medicine Agency; NR = not reported; RSV = respiratory syncytial virus; VE = vaccine efficacy. </w:t>
      </w:r>
    </w:p>
    <w:p w14:paraId="03D5F475" w14:textId="77777777" w:rsidR="005549D3" w:rsidRPr="00885AB3" w:rsidRDefault="005549D3" w:rsidP="00120D61">
      <w:pPr>
        <w:pStyle w:val="TableFigureFooter"/>
      </w:pPr>
      <w:r w:rsidRPr="00885AB3">
        <w:rPr>
          <w:vertAlign w:val="superscript"/>
        </w:rPr>
        <w:t>a</w:t>
      </w:r>
      <w:r w:rsidRPr="00885AB3">
        <w:t xml:space="preserve"> p49/145 of the mRNA-1345 EMA report (EMA/329706/2024).</w:t>
      </w:r>
    </w:p>
    <w:p w14:paraId="313A85DF" w14:textId="278A2AB3" w:rsidR="0032373F" w:rsidRPr="00885AB3" w:rsidRDefault="0032373F" w:rsidP="00120D61">
      <w:pPr>
        <w:pStyle w:val="TableFigureFooter"/>
      </w:pPr>
      <w:r w:rsidRPr="00885AB3">
        <w:rPr>
          <w:vertAlign w:val="superscript"/>
        </w:rPr>
        <w:t xml:space="preserve">b </w:t>
      </w:r>
      <w:r w:rsidR="00872221" w:rsidRPr="00885AB3">
        <w:t xml:space="preserve">Any participants vaccinated on or before 30 Apr 2023 </w:t>
      </w:r>
      <w:r w:rsidR="006A60DF" w:rsidRPr="00885AB3">
        <w:t xml:space="preserve">(error in the CSR, likely to reflect 30 April 2022) </w:t>
      </w:r>
      <w:r w:rsidR="00872221" w:rsidRPr="00885AB3">
        <w:t xml:space="preserve">in the northern hemisphere were considered to have 2 seasons and after 30 Apr 2023 </w:t>
      </w:r>
      <w:r w:rsidR="006A60DF" w:rsidRPr="00885AB3">
        <w:t xml:space="preserve">(error in the CSR, likely to reflect the period 30 April 2022 – 30 April 2023) </w:t>
      </w:r>
      <w:r w:rsidR="00872221" w:rsidRPr="00885AB3">
        <w:t>were considered to have 1 season. Any participants vaccinated on or before 30 Sep 2022 in the southern hemisphere were considered to have 2 seasons and after 30 Sep 2022 were considered to have 1 season.</w:t>
      </w:r>
    </w:p>
    <w:p w14:paraId="30670733" w14:textId="4B04AEFC" w:rsidR="00661F8D" w:rsidRPr="00885AB3" w:rsidRDefault="00EF495C" w:rsidP="00120D61">
      <w:pPr>
        <w:pStyle w:val="TableFigureFooter"/>
      </w:pPr>
      <w:r w:rsidRPr="00885AB3">
        <w:rPr>
          <w:vertAlign w:val="superscript"/>
        </w:rPr>
        <w:t>c</w:t>
      </w:r>
      <w:r w:rsidR="005549D3" w:rsidRPr="00885AB3">
        <w:t xml:space="preserve"> This DCO aligned with the end of the northern hemisphere RSV season</w:t>
      </w:r>
      <w:r w:rsidR="00661F8D" w:rsidRPr="00885AB3">
        <w:t xml:space="preserve"> when </w:t>
      </w:r>
      <w:r w:rsidR="001C78D7">
        <w:t xml:space="preserve">&gt; </w:t>
      </w:r>
      <w:r w:rsidR="00661F8D" w:rsidRPr="00885AB3">
        <w:t>90% of participants had completed at least 12 months of</w:t>
      </w:r>
    </w:p>
    <w:p w14:paraId="420FCE12" w14:textId="7B8BFE80" w:rsidR="005549D3" w:rsidRPr="00885AB3" w:rsidRDefault="00661F8D" w:rsidP="00120D61">
      <w:pPr>
        <w:pStyle w:val="TableFigureFooter"/>
      </w:pPr>
      <w:r w:rsidRPr="00885AB3">
        <w:t>follow-up</w:t>
      </w:r>
      <w:r w:rsidR="005549D3" w:rsidRPr="00885AB3">
        <w:t xml:space="preserve">. </w:t>
      </w:r>
    </w:p>
    <w:p w14:paraId="215A669C" w14:textId="63886943" w:rsidR="006A1AFC" w:rsidRPr="00885AB3" w:rsidRDefault="006A1AFC" w:rsidP="00120D61">
      <w:pPr>
        <w:pStyle w:val="3-BodyText"/>
        <w:rPr>
          <w:iCs/>
        </w:rPr>
      </w:pPr>
      <w:r w:rsidRPr="00885AB3">
        <w:t xml:space="preserve">No evidence for Aboriginal and Torres Strait Islander people was available from </w:t>
      </w:r>
      <w:proofErr w:type="spellStart"/>
      <w:r w:rsidRPr="00885AB3">
        <w:t>ConquerRSV</w:t>
      </w:r>
      <w:proofErr w:type="spellEnd"/>
      <w:r w:rsidRPr="00885AB3">
        <w:t>.</w:t>
      </w:r>
      <w:r w:rsidRPr="00885AB3">
        <w:rPr>
          <w:i/>
        </w:rPr>
        <w:t xml:space="preserve"> </w:t>
      </w:r>
      <w:r w:rsidRPr="00885AB3">
        <w:rPr>
          <w:iCs/>
        </w:rPr>
        <w:t xml:space="preserve">The submission addressed this lack of data by using multipliers to account for the anticipated higher incidence of RSV among Aboriginal and Torres Strait Islander people. ATAGI suggested that it may have been informative to provide efficacy for the high-risk subgroup aged 60-74 years and argue why those results would be applicable to the Aboriginal and Torres Strait Islander population (ATAGI </w:t>
      </w:r>
      <w:r w:rsidRPr="00885AB3">
        <w:rPr>
          <w:rFonts w:cs="Calibri"/>
          <w:iCs/>
        </w:rPr>
        <w:t>Advice</w:t>
      </w:r>
      <w:r w:rsidRPr="00885AB3">
        <w:rPr>
          <w:iCs/>
        </w:rPr>
        <w:t>, June 2025)</w:t>
      </w:r>
      <w:r w:rsidR="006A5DB7" w:rsidRPr="00885AB3">
        <w:rPr>
          <w:iCs/>
        </w:rPr>
        <w:t>, but this was not provided by the submission</w:t>
      </w:r>
      <w:r w:rsidRPr="00885AB3">
        <w:rPr>
          <w:iCs/>
        </w:rPr>
        <w:t xml:space="preserve">. </w:t>
      </w:r>
    </w:p>
    <w:p w14:paraId="241F42AB" w14:textId="1A61BFDA" w:rsidR="006A1AFC" w:rsidRPr="00885AB3" w:rsidRDefault="006A1AFC" w:rsidP="00120D61">
      <w:pPr>
        <w:pStyle w:val="3-BodyText"/>
      </w:pPr>
      <w:r w:rsidRPr="00885AB3">
        <w:t xml:space="preserve">The submission presented immunogenicity results from a subgroup of participants of </w:t>
      </w:r>
      <w:proofErr w:type="spellStart"/>
      <w:r w:rsidRPr="00885AB3">
        <w:t>ConquerRSV</w:t>
      </w:r>
      <w:proofErr w:type="spellEnd"/>
      <w:r w:rsidRPr="00885AB3">
        <w:t xml:space="preserve"> to assess the immunogenic response 1 month post vaccination and at Day 181 post vaccination. </w:t>
      </w:r>
    </w:p>
    <w:p w14:paraId="5A35EF42" w14:textId="3C914285" w:rsidR="006A1AFC" w:rsidRPr="00885AB3" w:rsidRDefault="006A1AFC" w:rsidP="00120D61">
      <w:pPr>
        <w:pStyle w:val="3-BodyText"/>
      </w:pPr>
      <w:r w:rsidRPr="00885AB3">
        <w:t xml:space="preserve">To support the </w:t>
      </w:r>
      <w:r w:rsidR="001674FD" w:rsidRPr="00885AB3">
        <w:t>non-inferiority</w:t>
      </w:r>
      <w:r w:rsidRPr="00885AB3">
        <w:t xml:space="preserve"> claim, the submission conducted an anchored ITC of efficacy data comparing mRNA-1345 in</w:t>
      </w:r>
      <w:r w:rsidR="003B47A3" w:rsidRPr="00885AB3">
        <w:t xml:space="preserve"> the</w:t>
      </w:r>
      <w:r w:rsidRPr="00885AB3">
        <w:t xml:space="preserve"> </w:t>
      </w:r>
      <w:proofErr w:type="spellStart"/>
      <w:r w:rsidRPr="00885AB3">
        <w:t>ConquerRSV</w:t>
      </w:r>
      <w:proofErr w:type="spellEnd"/>
      <w:r w:rsidR="003B47A3" w:rsidRPr="00885AB3">
        <w:t xml:space="preserve"> trial</w:t>
      </w:r>
      <w:r w:rsidRPr="00885AB3">
        <w:t xml:space="preserve"> </w:t>
      </w:r>
      <w:r w:rsidR="00360B61" w:rsidRPr="00885AB3">
        <w:t xml:space="preserve">to </w:t>
      </w:r>
      <w:proofErr w:type="spellStart"/>
      <w:r w:rsidRPr="00885AB3">
        <w:t>RSVPreF</w:t>
      </w:r>
      <w:proofErr w:type="spellEnd"/>
      <w:r w:rsidRPr="00885AB3">
        <w:t xml:space="preserve"> in</w:t>
      </w:r>
      <w:r w:rsidR="003B47A3" w:rsidRPr="00885AB3">
        <w:t xml:space="preserve"> the</w:t>
      </w:r>
      <w:r w:rsidRPr="00885AB3">
        <w:t xml:space="preserve"> RENOIR</w:t>
      </w:r>
      <w:r w:rsidR="003B47A3" w:rsidRPr="00885AB3">
        <w:t xml:space="preserve"> trial</w:t>
      </w:r>
      <w:r w:rsidRPr="00885AB3">
        <w:t xml:space="preserve"> and RSVPreF3 OA in </w:t>
      </w:r>
      <w:r w:rsidR="003B47A3" w:rsidRPr="00885AB3">
        <w:t xml:space="preserve">the </w:t>
      </w:r>
      <w:r w:rsidRPr="00885AB3">
        <w:t>AReSVi</w:t>
      </w:r>
      <w:r w:rsidR="007D4906" w:rsidRPr="00885AB3">
        <w:t>-</w:t>
      </w:r>
      <w:r w:rsidRPr="00885AB3">
        <w:t>006</w:t>
      </w:r>
      <w:r w:rsidR="003B47A3" w:rsidRPr="00885AB3">
        <w:t xml:space="preserve"> trial</w:t>
      </w:r>
      <w:r w:rsidRPr="00885AB3">
        <w:t xml:space="preserve"> (</w:t>
      </w:r>
      <w:r w:rsidRPr="00885AB3">
        <w:fldChar w:fldCharType="begin" w:fldLock="1"/>
      </w:r>
      <w:r w:rsidRPr="00885AB3">
        <w:instrText xml:space="preserve"> REF _Ref104803956 \h  \* MERGEFORMAT </w:instrText>
      </w:r>
      <w:r w:rsidRPr="00885AB3">
        <w:fldChar w:fldCharType="separate"/>
      </w:r>
      <w:r w:rsidR="00515933" w:rsidRPr="00885AB3">
        <w:t>Table 2</w:t>
      </w:r>
      <w:r w:rsidRPr="00885AB3">
        <w:fldChar w:fldCharType="end"/>
      </w:r>
      <w:r w:rsidRPr="00885AB3">
        <w:t>).</w:t>
      </w:r>
      <w:r w:rsidRPr="00885AB3">
        <w:rPr>
          <w:i/>
        </w:rPr>
        <w:t xml:space="preserve"> </w:t>
      </w:r>
      <w:r w:rsidRPr="00885AB3">
        <w:rPr>
          <w:iCs/>
        </w:rPr>
        <w:t>The PBAC have previously considered evidence from both RENOIR (</w:t>
      </w:r>
      <w:proofErr w:type="spellStart"/>
      <w:r w:rsidRPr="00885AB3">
        <w:rPr>
          <w:iCs/>
        </w:rPr>
        <w:t>RSVPreF</w:t>
      </w:r>
      <w:proofErr w:type="spellEnd"/>
      <w:r w:rsidRPr="00885AB3">
        <w:rPr>
          <w:iCs/>
        </w:rPr>
        <w:t xml:space="preserve"> PSD</w:t>
      </w:r>
      <w:r w:rsidR="00D21A98" w:rsidRPr="00885AB3">
        <w:rPr>
          <w:iCs/>
        </w:rPr>
        <w:t>s</w:t>
      </w:r>
      <w:r w:rsidRPr="00885AB3">
        <w:rPr>
          <w:iCs/>
        </w:rPr>
        <w:t>, November 2024</w:t>
      </w:r>
      <w:r w:rsidR="00D21A98" w:rsidRPr="00885AB3">
        <w:rPr>
          <w:iCs/>
        </w:rPr>
        <w:t xml:space="preserve"> and July 2025</w:t>
      </w:r>
      <w:r w:rsidRPr="00885AB3">
        <w:rPr>
          <w:iCs/>
        </w:rPr>
        <w:t>) and AReSVi-006 (RSVPreF3 OA PSD</w:t>
      </w:r>
      <w:r w:rsidR="004C78F7" w:rsidRPr="00885AB3">
        <w:rPr>
          <w:iCs/>
        </w:rPr>
        <w:t>s</w:t>
      </w:r>
      <w:r w:rsidRPr="00885AB3">
        <w:rPr>
          <w:iCs/>
        </w:rPr>
        <w:t>, July 2024</w:t>
      </w:r>
      <w:r w:rsidR="00AF2A1F" w:rsidRPr="00885AB3">
        <w:rPr>
          <w:iCs/>
        </w:rPr>
        <w:t xml:space="preserve"> and July</w:t>
      </w:r>
      <w:r w:rsidR="00AF2A1F" w:rsidRPr="00885AB3">
        <w:rPr>
          <w:i/>
        </w:rPr>
        <w:t xml:space="preserve"> </w:t>
      </w:r>
      <w:r w:rsidR="00AF2A1F" w:rsidRPr="00885AB3">
        <w:rPr>
          <w:iCs/>
        </w:rPr>
        <w:t>2025</w:t>
      </w:r>
      <w:r w:rsidRPr="00885AB3">
        <w:rPr>
          <w:iCs/>
        </w:rPr>
        <w:t>).</w:t>
      </w:r>
      <w:r w:rsidR="001C78D7">
        <w:t xml:space="preserve"> </w:t>
      </w:r>
    </w:p>
    <w:p w14:paraId="0C21C268" w14:textId="75EB3697" w:rsidR="006A1AFC" w:rsidRPr="00885AB3" w:rsidRDefault="006A1AFC" w:rsidP="00120D61">
      <w:pPr>
        <w:pStyle w:val="3-BodyText"/>
      </w:pPr>
      <w:r w:rsidRPr="00885AB3">
        <w:t xml:space="preserve">The key features of the direct randomised trials are summarised in </w:t>
      </w:r>
      <w:r w:rsidRPr="00885AB3">
        <w:fldChar w:fldCharType="begin" w:fldLock="1"/>
      </w:r>
      <w:r w:rsidRPr="00885AB3">
        <w:instrText xml:space="preserve"> REF _Ref104804098 \h  \* MERGEFORMAT </w:instrText>
      </w:r>
      <w:r w:rsidRPr="00885AB3">
        <w:fldChar w:fldCharType="separate"/>
      </w:r>
      <w:r w:rsidR="00515933" w:rsidRPr="00885AB3">
        <w:rPr>
          <w:rFonts w:cs="Calibri"/>
        </w:rPr>
        <w:t>Table 4</w:t>
      </w:r>
      <w:r w:rsidRPr="00885AB3">
        <w:fldChar w:fldCharType="end"/>
      </w:r>
      <w:r w:rsidRPr="00885AB3">
        <w:rPr>
          <w:rFonts w:cstheme="minorHAnsi"/>
          <w:b/>
          <w:szCs w:val="24"/>
        </w:rPr>
        <w:t>.</w:t>
      </w:r>
    </w:p>
    <w:p w14:paraId="062BB9F8" w14:textId="38C72587" w:rsidR="006A1AFC" w:rsidRPr="00885AB3" w:rsidRDefault="006A1AFC" w:rsidP="00120D61">
      <w:pPr>
        <w:pStyle w:val="Caption"/>
        <w:rPr>
          <w:rStyle w:val="CommentReference"/>
          <w:rFonts w:eastAsiaTheme="majorEastAsia" w:cstheme="majorBidi"/>
          <w:b/>
          <w:bCs w:val="0"/>
          <w:szCs w:val="24"/>
        </w:rPr>
      </w:pPr>
      <w:bookmarkStart w:id="50" w:name="_Ref104804098"/>
      <w:r w:rsidRPr="00885AB3">
        <w:rPr>
          <w:rStyle w:val="CommentReference"/>
          <w:rFonts w:eastAsiaTheme="majorEastAsia" w:cstheme="majorBidi"/>
          <w:b/>
          <w:bCs w:val="0"/>
          <w:szCs w:val="24"/>
        </w:rPr>
        <w:lastRenderedPageBreak/>
        <w:t xml:space="preserve">Table </w:t>
      </w:r>
      <w:r w:rsidRPr="00885AB3">
        <w:rPr>
          <w:rStyle w:val="CommentReference"/>
          <w:rFonts w:eastAsiaTheme="majorEastAsia" w:cstheme="majorBidi"/>
          <w:b/>
          <w:bCs w:val="0"/>
          <w:szCs w:val="24"/>
        </w:rPr>
        <w:fldChar w:fldCharType="begin" w:fldLock="1"/>
      </w:r>
      <w:r w:rsidRPr="00885AB3">
        <w:rPr>
          <w:rStyle w:val="CommentReference"/>
          <w:rFonts w:eastAsiaTheme="majorEastAsia" w:cstheme="majorBidi"/>
          <w:b/>
          <w:bCs w:val="0"/>
        </w:rPr>
        <w:instrText xml:space="preserve"> SEQ Table \* ARABIC </w:instrText>
      </w:r>
      <w:r w:rsidRPr="00885AB3">
        <w:rPr>
          <w:rStyle w:val="CommentReference"/>
          <w:rFonts w:eastAsiaTheme="majorEastAsia" w:cstheme="majorBidi"/>
          <w:b/>
          <w:bCs w:val="0"/>
          <w:szCs w:val="24"/>
        </w:rPr>
        <w:fldChar w:fldCharType="separate"/>
      </w:r>
      <w:r w:rsidR="00074CB3">
        <w:rPr>
          <w:rStyle w:val="CommentReference"/>
          <w:rFonts w:eastAsiaTheme="majorEastAsia" w:cstheme="majorBidi"/>
          <w:b/>
          <w:bCs w:val="0"/>
          <w:noProof/>
        </w:rPr>
        <w:t>4</w:t>
      </w:r>
      <w:r w:rsidRPr="00885AB3">
        <w:rPr>
          <w:rStyle w:val="CommentReference"/>
          <w:rFonts w:eastAsiaTheme="majorEastAsia" w:cstheme="majorBidi"/>
          <w:b/>
          <w:bCs w:val="0"/>
          <w:szCs w:val="24"/>
        </w:rPr>
        <w:fldChar w:fldCharType="end"/>
      </w:r>
      <w:bookmarkEnd w:id="50"/>
      <w:r w:rsidRPr="00885AB3">
        <w:rPr>
          <w:rStyle w:val="CommentReference"/>
          <w:rFonts w:eastAsiaTheme="majorEastAsia" w:cstheme="majorBidi"/>
          <w:b/>
          <w:bCs w:val="0"/>
          <w:szCs w:val="24"/>
        </w:rPr>
        <w:t>: Key features of the included evidence – indirect comparisons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4: Key features of the included evidence – indirect comparisons"/>
      </w:tblPr>
      <w:tblGrid>
        <w:gridCol w:w="1233"/>
        <w:gridCol w:w="748"/>
        <w:gridCol w:w="1661"/>
        <w:gridCol w:w="858"/>
        <w:gridCol w:w="1127"/>
        <w:gridCol w:w="2449"/>
        <w:gridCol w:w="941"/>
      </w:tblGrid>
      <w:tr w:rsidR="006A1AFC" w:rsidRPr="00885AB3" w14:paraId="4F42F200" w14:textId="77777777" w:rsidTr="0021084B">
        <w:trPr>
          <w:cantSplit/>
        </w:trPr>
        <w:tc>
          <w:tcPr>
            <w:tcW w:w="683" w:type="pct"/>
            <w:tcBorders>
              <w:top w:val="single" w:sz="4" w:space="0" w:color="auto"/>
              <w:left w:val="single" w:sz="4" w:space="0" w:color="auto"/>
              <w:bottom w:val="single" w:sz="4" w:space="0" w:color="auto"/>
              <w:right w:val="single" w:sz="4" w:space="0" w:color="auto"/>
            </w:tcBorders>
            <w:vAlign w:val="center"/>
          </w:tcPr>
          <w:p w14:paraId="568A1CAF" w14:textId="77777777" w:rsidR="006A1AFC" w:rsidRPr="00885AB3" w:rsidRDefault="006A1AFC" w:rsidP="00120D61">
            <w:pPr>
              <w:pStyle w:val="In-tableHeading"/>
            </w:pPr>
            <w:r w:rsidRPr="00885AB3">
              <w:t>Trial</w:t>
            </w:r>
          </w:p>
        </w:tc>
        <w:tc>
          <w:tcPr>
            <w:tcW w:w="415" w:type="pct"/>
            <w:tcBorders>
              <w:top w:val="single" w:sz="4" w:space="0" w:color="auto"/>
              <w:left w:val="single" w:sz="4" w:space="0" w:color="auto"/>
              <w:bottom w:val="single" w:sz="4" w:space="0" w:color="auto"/>
              <w:right w:val="single" w:sz="4" w:space="0" w:color="auto"/>
            </w:tcBorders>
            <w:vAlign w:val="center"/>
          </w:tcPr>
          <w:p w14:paraId="0B7B4B41" w14:textId="77777777" w:rsidR="006A1AFC" w:rsidRPr="00885AB3" w:rsidRDefault="006A1AFC" w:rsidP="00120D61">
            <w:pPr>
              <w:pStyle w:val="In-tableHeading"/>
              <w:jc w:val="center"/>
            </w:pPr>
            <w:r w:rsidRPr="00885AB3">
              <w:t>N</w:t>
            </w:r>
          </w:p>
        </w:tc>
        <w:tc>
          <w:tcPr>
            <w:tcW w:w="921" w:type="pct"/>
            <w:tcBorders>
              <w:top w:val="single" w:sz="4" w:space="0" w:color="auto"/>
              <w:left w:val="single" w:sz="4" w:space="0" w:color="auto"/>
              <w:bottom w:val="single" w:sz="4" w:space="0" w:color="auto"/>
              <w:right w:val="single" w:sz="4" w:space="0" w:color="auto"/>
            </w:tcBorders>
            <w:vAlign w:val="center"/>
          </w:tcPr>
          <w:p w14:paraId="1402C2C0" w14:textId="77777777" w:rsidR="006A1AFC" w:rsidRPr="00885AB3" w:rsidRDefault="006A1AFC" w:rsidP="00120D61">
            <w:pPr>
              <w:pStyle w:val="In-tableHeading"/>
              <w:jc w:val="center"/>
            </w:pPr>
            <w:r w:rsidRPr="00885AB3">
              <w:t>Design/ duration</w:t>
            </w:r>
          </w:p>
        </w:tc>
        <w:tc>
          <w:tcPr>
            <w:tcW w:w="476" w:type="pct"/>
            <w:tcBorders>
              <w:top w:val="single" w:sz="4" w:space="0" w:color="auto"/>
              <w:left w:val="single" w:sz="4" w:space="0" w:color="auto"/>
              <w:bottom w:val="single" w:sz="4" w:space="0" w:color="auto"/>
              <w:right w:val="single" w:sz="4" w:space="0" w:color="auto"/>
            </w:tcBorders>
            <w:vAlign w:val="center"/>
          </w:tcPr>
          <w:p w14:paraId="48F5F3D3" w14:textId="77777777" w:rsidR="006A1AFC" w:rsidRPr="00885AB3" w:rsidRDefault="006A1AFC" w:rsidP="00120D61">
            <w:pPr>
              <w:pStyle w:val="In-tableHeading"/>
              <w:jc w:val="center"/>
            </w:pPr>
            <w:r w:rsidRPr="00885AB3">
              <w:t>Risk of bias</w:t>
            </w:r>
          </w:p>
        </w:tc>
        <w:tc>
          <w:tcPr>
            <w:tcW w:w="625" w:type="pct"/>
            <w:tcBorders>
              <w:top w:val="single" w:sz="4" w:space="0" w:color="auto"/>
              <w:left w:val="single" w:sz="4" w:space="0" w:color="auto"/>
              <w:bottom w:val="single" w:sz="4" w:space="0" w:color="auto"/>
              <w:right w:val="single" w:sz="4" w:space="0" w:color="auto"/>
            </w:tcBorders>
            <w:vAlign w:val="center"/>
          </w:tcPr>
          <w:p w14:paraId="1E97C8B6" w14:textId="77777777" w:rsidR="006A1AFC" w:rsidRPr="00885AB3" w:rsidRDefault="006A1AFC" w:rsidP="00120D61">
            <w:pPr>
              <w:pStyle w:val="In-tableHeading"/>
              <w:jc w:val="center"/>
            </w:pPr>
            <w:r w:rsidRPr="00885AB3">
              <w:t>Patient population</w:t>
            </w:r>
          </w:p>
        </w:tc>
        <w:tc>
          <w:tcPr>
            <w:tcW w:w="1358" w:type="pct"/>
            <w:tcBorders>
              <w:top w:val="single" w:sz="4" w:space="0" w:color="auto"/>
              <w:left w:val="single" w:sz="4" w:space="0" w:color="auto"/>
              <w:bottom w:val="single" w:sz="4" w:space="0" w:color="auto"/>
              <w:right w:val="single" w:sz="4" w:space="0" w:color="auto"/>
            </w:tcBorders>
            <w:vAlign w:val="center"/>
          </w:tcPr>
          <w:p w14:paraId="3FFBA68A" w14:textId="77777777" w:rsidR="006A1AFC" w:rsidRPr="00885AB3" w:rsidRDefault="006A1AFC" w:rsidP="00120D61">
            <w:pPr>
              <w:pStyle w:val="In-tableHeading"/>
              <w:jc w:val="center"/>
            </w:pPr>
            <w:r w:rsidRPr="00885AB3">
              <w:t>Outcomes</w:t>
            </w:r>
          </w:p>
        </w:tc>
        <w:tc>
          <w:tcPr>
            <w:tcW w:w="522" w:type="pct"/>
            <w:tcBorders>
              <w:top w:val="single" w:sz="4" w:space="0" w:color="auto"/>
              <w:left w:val="single" w:sz="4" w:space="0" w:color="auto"/>
              <w:bottom w:val="single" w:sz="4" w:space="0" w:color="auto"/>
              <w:right w:val="single" w:sz="4" w:space="0" w:color="auto"/>
            </w:tcBorders>
            <w:vAlign w:val="center"/>
          </w:tcPr>
          <w:p w14:paraId="3430CD5B" w14:textId="77777777" w:rsidR="006A1AFC" w:rsidRPr="00885AB3" w:rsidRDefault="006A1AFC" w:rsidP="00120D61">
            <w:pPr>
              <w:pStyle w:val="In-tableHeading"/>
              <w:jc w:val="center"/>
            </w:pPr>
            <w:r w:rsidRPr="00885AB3">
              <w:t>Use in modelled evaluation</w:t>
            </w:r>
          </w:p>
        </w:tc>
      </w:tr>
      <w:tr w:rsidR="006A1AFC" w:rsidRPr="00885AB3" w14:paraId="0F3EEA26" w14:textId="77777777" w:rsidTr="00E62F2B">
        <w:trPr>
          <w:cantSplit/>
        </w:trPr>
        <w:tc>
          <w:tcPr>
            <w:tcW w:w="5000" w:type="pct"/>
            <w:gridSpan w:val="7"/>
            <w:vAlign w:val="center"/>
          </w:tcPr>
          <w:p w14:paraId="564AD0F3" w14:textId="77777777" w:rsidR="006A1AFC" w:rsidRPr="00885AB3" w:rsidRDefault="006A1AFC" w:rsidP="00120D61">
            <w:pPr>
              <w:pStyle w:val="In-tableHeading"/>
            </w:pPr>
            <w:r w:rsidRPr="00885AB3">
              <w:t>mRNA-1345 versus placebo</w:t>
            </w:r>
          </w:p>
        </w:tc>
      </w:tr>
      <w:tr w:rsidR="006A1AFC" w:rsidRPr="00885AB3" w14:paraId="7498A9DE" w14:textId="77777777" w:rsidTr="0021084B">
        <w:trPr>
          <w:cantSplit/>
        </w:trPr>
        <w:tc>
          <w:tcPr>
            <w:tcW w:w="683" w:type="pct"/>
            <w:vAlign w:val="center"/>
          </w:tcPr>
          <w:p w14:paraId="7BA96E8C" w14:textId="77777777" w:rsidR="006A1AFC" w:rsidRPr="00885AB3" w:rsidRDefault="006A1AFC" w:rsidP="00120D61">
            <w:pPr>
              <w:pStyle w:val="TableText0"/>
              <w:keepNext/>
              <w:jc w:val="left"/>
              <w:rPr>
                <w:szCs w:val="20"/>
              </w:rPr>
            </w:pPr>
            <w:proofErr w:type="spellStart"/>
            <w:r w:rsidRPr="00885AB3">
              <w:rPr>
                <w:szCs w:val="20"/>
              </w:rPr>
              <w:t>ConquerRSV</w:t>
            </w:r>
            <w:proofErr w:type="spellEnd"/>
          </w:p>
        </w:tc>
        <w:tc>
          <w:tcPr>
            <w:tcW w:w="415" w:type="pct"/>
            <w:vAlign w:val="center"/>
          </w:tcPr>
          <w:p w14:paraId="2E02DA49" w14:textId="77777777" w:rsidR="006A1AFC" w:rsidRPr="00885AB3" w:rsidRDefault="006A1AFC" w:rsidP="00120D61">
            <w:pPr>
              <w:pStyle w:val="TableText0"/>
              <w:keepNext/>
              <w:rPr>
                <w:szCs w:val="20"/>
                <w:vertAlign w:val="superscript"/>
              </w:rPr>
            </w:pPr>
            <w:r w:rsidRPr="00885AB3">
              <w:rPr>
                <w:szCs w:val="20"/>
              </w:rPr>
              <w:t>36,814</w:t>
            </w:r>
            <w:r w:rsidRPr="00885AB3">
              <w:rPr>
                <w:szCs w:val="20"/>
                <w:vertAlign w:val="superscript"/>
              </w:rPr>
              <w:t>a</w:t>
            </w:r>
          </w:p>
        </w:tc>
        <w:tc>
          <w:tcPr>
            <w:tcW w:w="921" w:type="pct"/>
            <w:vAlign w:val="center"/>
          </w:tcPr>
          <w:p w14:paraId="3E7CEBE0" w14:textId="77777777" w:rsidR="006A1AFC" w:rsidRPr="00885AB3" w:rsidRDefault="006A1AFC" w:rsidP="00120D61">
            <w:pPr>
              <w:pStyle w:val="TableText0"/>
              <w:keepNext/>
              <w:rPr>
                <w:szCs w:val="20"/>
              </w:rPr>
            </w:pPr>
            <w:r w:rsidRPr="00885AB3">
              <w:rPr>
                <w:szCs w:val="20"/>
              </w:rPr>
              <w:t>Phase 2/3 R, DB, PC, MC</w:t>
            </w:r>
          </w:p>
          <w:p w14:paraId="587B6944" w14:textId="77777777" w:rsidR="00714506" w:rsidRPr="00885AB3" w:rsidRDefault="00714506" w:rsidP="00120D61">
            <w:pPr>
              <w:pStyle w:val="TableText0"/>
              <w:keepNext/>
              <w:rPr>
                <w:szCs w:val="20"/>
              </w:rPr>
            </w:pPr>
          </w:p>
          <w:p w14:paraId="4940EDC3" w14:textId="52E667AF" w:rsidR="00BC3F09" w:rsidRPr="00885AB3" w:rsidRDefault="00576149" w:rsidP="00120D61">
            <w:pPr>
              <w:pStyle w:val="TableText0"/>
              <w:keepNext/>
              <w:rPr>
                <w:szCs w:val="20"/>
              </w:rPr>
            </w:pPr>
            <w:r w:rsidRPr="00885AB3">
              <w:rPr>
                <w:szCs w:val="20"/>
              </w:rPr>
              <w:t>Single dose of</w:t>
            </w:r>
            <w:r w:rsidR="00637FD7" w:rsidRPr="00885AB3">
              <w:rPr>
                <w:szCs w:val="20"/>
              </w:rPr>
              <w:t xml:space="preserve"> mRNA-1345</w:t>
            </w:r>
          </w:p>
          <w:p w14:paraId="7357CCAD" w14:textId="77777777" w:rsidR="00BC3F09" w:rsidRPr="00885AB3" w:rsidRDefault="00BC3F09" w:rsidP="00120D61">
            <w:pPr>
              <w:pStyle w:val="TableText0"/>
              <w:keepNext/>
              <w:rPr>
                <w:szCs w:val="20"/>
              </w:rPr>
            </w:pPr>
          </w:p>
          <w:p w14:paraId="5971C38B" w14:textId="202472D5" w:rsidR="006A1AFC" w:rsidRPr="00885AB3" w:rsidRDefault="006A1AFC" w:rsidP="00120D61">
            <w:pPr>
              <w:pStyle w:val="TableText0"/>
              <w:keepNext/>
              <w:rPr>
                <w:szCs w:val="20"/>
              </w:rPr>
            </w:pPr>
            <w:r w:rsidRPr="00885AB3">
              <w:rPr>
                <w:szCs w:val="20"/>
              </w:rPr>
              <w:t>Ongoing</w:t>
            </w:r>
            <w:r w:rsidR="00216D53" w:rsidRPr="00885AB3">
              <w:rPr>
                <w:szCs w:val="20"/>
              </w:rPr>
              <w:t xml:space="preserve"> at time of submission (since c</w:t>
            </w:r>
            <w:r w:rsidR="00B325AF" w:rsidRPr="00885AB3">
              <w:rPr>
                <w:szCs w:val="20"/>
              </w:rPr>
              <w:t>ompleted</w:t>
            </w:r>
            <w:r w:rsidR="00216D53" w:rsidRPr="00885AB3">
              <w:rPr>
                <w:szCs w:val="20"/>
              </w:rPr>
              <w:t>)</w:t>
            </w:r>
          </w:p>
        </w:tc>
        <w:tc>
          <w:tcPr>
            <w:tcW w:w="476" w:type="pct"/>
            <w:vAlign w:val="center"/>
          </w:tcPr>
          <w:p w14:paraId="7C679D29" w14:textId="77777777" w:rsidR="006A1AFC" w:rsidRPr="00885AB3" w:rsidRDefault="006A1AFC" w:rsidP="00120D61">
            <w:pPr>
              <w:pStyle w:val="TableText0"/>
              <w:keepNext/>
              <w:rPr>
                <w:szCs w:val="20"/>
              </w:rPr>
            </w:pPr>
            <w:r w:rsidRPr="00885AB3">
              <w:rPr>
                <w:szCs w:val="20"/>
              </w:rPr>
              <w:t>Low</w:t>
            </w:r>
          </w:p>
        </w:tc>
        <w:tc>
          <w:tcPr>
            <w:tcW w:w="625" w:type="pct"/>
            <w:vAlign w:val="center"/>
          </w:tcPr>
          <w:p w14:paraId="2E051CCA" w14:textId="002AD0AB" w:rsidR="006A1AFC" w:rsidRPr="00885AB3" w:rsidRDefault="006A1AFC" w:rsidP="00120D61">
            <w:pPr>
              <w:pStyle w:val="TableText0"/>
              <w:keepNext/>
              <w:rPr>
                <w:szCs w:val="20"/>
              </w:rPr>
            </w:pPr>
            <w:r w:rsidRPr="00885AB3">
              <w:rPr>
                <w:szCs w:val="20"/>
              </w:rPr>
              <w:t xml:space="preserve">Adults </w:t>
            </w:r>
            <w:r w:rsidR="00EF2FA4">
              <w:rPr>
                <w:szCs w:val="20"/>
              </w:rPr>
              <w:t xml:space="preserve">≥ </w:t>
            </w:r>
            <w:r w:rsidRPr="00885AB3">
              <w:rPr>
                <w:szCs w:val="20"/>
              </w:rPr>
              <w:t>60 YOA</w:t>
            </w:r>
          </w:p>
        </w:tc>
        <w:tc>
          <w:tcPr>
            <w:tcW w:w="1358" w:type="pct"/>
            <w:vAlign w:val="center"/>
          </w:tcPr>
          <w:p w14:paraId="152E44A2" w14:textId="77777777" w:rsidR="006A1AFC" w:rsidRPr="00885AB3" w:rsidRDefault="006A1AFC" w:rsidP="00120D61">
            <w:pPr>
              <w:pStyle w:val="TableText0"/>
              <w:keepNext/>
              <w:rPr>
                <w:szCs w:val="20"/>
              </w:rPr>
            </w:pPr>
            <w:r w:rsidRPr="00885AB3">
              <w:rPr>
                <w:szCs w:val="20"/>
              </w:rPr>
              <w:t>Primary outcome: reduction of the risk of first occurrence of RT-PCR confirmed RSV-LRTD (2 or 3 signs/symptoms)</w:t>
            </w:r>
          </w:p>
          <w:p w14:paraId="2B0BA6C3" w14:textId="77777777" w:rsidR="006A1AFC" w:rsidRPr="00885AB3" w:rsidRDefault="006A1AFC" w:rsidP="00120D61">
            <w:pPr>
              <w:pStyle w:val="TableText0"/>
              <w:keepNext/>
              <w:rPr>
                <w:szCs w:val="20"/>
              </w:rPr>
            </w:pPr>
            <w:r w:rsidRPr="00885AB3">
              <w:rPr>
                <w:szCs w:val="20"/>
              </w:rPr>
              <w:t>Key secondary outcomes: prevention of RSV-associated ARD, safety, PROs</w:t>
            </w:r>
          </w:p>
        </w:tc>
        <w:tc>
          <w:tcPr>
            <w:tcW w:w="522" w:type="pct"/>
            <w:vAlign w:val="center"/>
          </w:tcPr>
          <w:p w14:paraId="79094B3F" w14:textId="77777777" w:rsidR="006A1AFC" w:rsidRPr="00885AB3" w:rsidRDefault="006A1AFC" w:rsidP="00120D61">
            <w:pPr>
              <w:pStyle w:val="TableText0"/>
              <w:keepNext/>
              <w:rPr>
                <w:szCs w:val="20"/>
              </w:rPr>
            </w:pPr>
            <w:r w:rsidRPr="00885AB3">
              <w:rPr>
                <w:szCs w:val="20"/>
              </w:rPr>
              <w:t>Yes</w:t>
            </w:r>
          </w:p>
        </w:tc>
      </w:tr>
      <w:tr w:rsidR="006A1AFC" w:rsidRPr="00885AB3" w14:paraId="2F0C7515" w14:textId="77777777" w:rsidTr="00E62F2B">
        <w:trPr>
          <w:cantSplit/>
        </w:trPr>
        <w:tc>
          <w:tcPr>
            <w:tcW w:w="5000" w:type="pct"/>
            <w:gridSpan w:val="7"/>
            <w:vAlign w:val="center"/>
          </w:tcPr>
          <w:p w14:paraId="1FB99EC3" w14:textId="77777777" w:rsidR="006A1AFC" w:rsidRPr="00885AB3" w:rsidRDefault="006A1AFC" w:rsidP="00120D61">
            <w:pPr>
              <w:pStyle w:val="TableText0"/>
              <w:keepNext/>
              <w:jc w:val="left"/>
              <w:rPr>
                <w:b/>
                <w:szCs w:val="20"/>
              </w:rPr>
            </w:pPr>
            <w:proofErr w:type="spellStart"/>
            <w:r w:rsidRPr="00885AB3">
              <w:rPr>
                <w:b/>
                <w:szCs w:val="20"/>
              </w:rPr>
              <w:t>RSVPreF</w:t>
            </w:r>
            <w:proofErr w:type="spellEnd"/>
            <w:r w:rsidRPr="00885AB3">
              <w:rPr>
                <w:b/>
                <w:szCs w:val="20"/>
              </w:rPr>
              <w:t xml:space="preserve"> versus placebo</w:t>
            </w:r>
          </w:p>
        </w:tc>
      </w:tr>
      <w:tr w:rsidR="006A1AFC" w:rsidRPr="00885AB3" w14:paraId="7C2E3465" w14:textId="77777777" w:rsidTr="0021084B">
        <w:trPr>
          <w:cantSplit/>
        </w:trPr>
        <w:tc>
          <w:tcPr>
            <w:tcW w:w="683" w:type="pct"/>
            <w:vAlign w:val="center"/>
          </w:tcPr>
          <w:p w14:paraId="0BF48318" w14:textId="77777777" w:rsidR="006A1AFC" w:rsidRPr="00885AB3" w:rsidRDefault="006A1AFC" w:rsidP="00120D61">
            <w:pPr>
              <w:pStyle w:val="TableText0"/>
              <w:keepNext/>
              <w:jc w:val="left"/>
              <w:rPr>
                <w:szCs w:val="20"/>
              </w:rPr>
            </w:pPr>
            <w:r w:rsidRPr="00885AB3">
              <w:rPr>
                <w:szCs w:val="20"/>
              </w:rPr>
              <w:t>RENOIR</w:t>
            </w:r>
          </w:p>
          <w:p w14:paraId="3E55E8BD" w14:textId="77777777" w:rsidR="006A1AFC" w:rsidRPr="00885AB3" w:rsidRDefault="006A1AFC" w:rsidP="00120D61">
            <w:pPr>
              <w:pStyle w:val="TableText0"/>
              <w:keepNext/>
              <w:jc w:val="left"/>
              <w:rPr>
                <w:szCs w:val="20"/>
              </w:rPr>
            </w:pPr>
            <w:r w:rsidRPr="00885AB3">
              <w:rPr>
                <w:szCs w:val="20"/>
              </w:rPr>
              <w:t>(NCT05035212)</w:t>
            </w:r>
          </w:p>
        </w:tc>
        <w:tc>
          <w:tcPr>
            <w:tcW w:w="415" w:type="pct"/>
            <w:vAlign w:val="center"/>
          </w:tcPr>
          <w:p w14:paraId="00CE7D45" w14:textId="77777777" w:rsidR="006A1AFC" w:rsidRPr="00885AB3" w:rsidRDefault="006A1AFC" w:rsidP="00120D61">
            <w:pPr>
              <w:pStyle w:val="TableText0"/>
              <w:keepNext/>
              <w:rPr>
                <w:szCs w:val="20"/>
                <w:vertAlign w:val="superscript"/>
              </w:rPr>
            </w:pPr>
            <w:r w:rsidRPr="00885AB3">
              <w:rPr>
                <w:szCs w:val="20"/>
              </w:rPr>
              <w:t>34,383</w:t>
            </w:r>
            <w:r w:rsidRPr="00885AB3">
              <w:rPr>
                <w:szCs w:val="20"/>
                <w:vertAlign w:val="superscript"/>
              </w:rPr>
              <w:t>b</w:t>
            </w:r>
          </w:p>
        </w:tc>
        <w:tc>
          <w:tcPr>
            <w:tcW w:w="921" w:type="pct"/>
            <w:vAlign w:val="center"/>
          </w:tcPr>
          <w:p w14:paraId="0CA8750B" w14:textId="77777777" w:rsidR="006A1AFC" w:rsidRPr="00885AB3" w:rsidRDefault="006A1AFC" w:rsidP="00120D61">
            <w:pPr>
              <w:pStyle w:val="TableText0"/>
              <w:keepNext/>
              <w:rPr>
                <w:szCs w:val="20"/>
              </w:rPr>
            </w:pPr>
            <w:r w:rsidRPr="00885AB3">
              <w:rPr>
                <w:szCs w:val="20"/>
              </w:rPr>
              <w:t>Phase 3, R, DB, MC, PC</w:t>
            </w:r>
          </w:p>
          <w:p w14:paraId="359EEA95" w14:textId="77777777" w:rsidR="006A1AFC" w:rsidRPr="00885AB3" w:rsidRDefault="006A1AFC" w:rsidP="00120D61">
            <w:pPr>
              <w:pStyle w:val="TableText0"/>
              <w:keepNext/>
              <w:rPr>
                <w:szCs w:val="20"/>
              </w:rPr>
            </w:pPr>
          </w:p>
          <w:p w14:paraId="2C9A3554" w14:textId="77777777" w:rsidR="006A1AFC" w:rsidRPr="00885AB3" w:rsidRDefault="006A1AFC" w:rsidP="00120D61">
            <w:pPr>
              <w:pStyle w:val="TableText0"/>
              <w:keepNext/>
              <w:rPr>
                <w:szCs w:val="20"/>
              </w:rPr>
            </w:pPr>
            <w:r w:rsidRPr="00885AB3">
              <w:rPr>
                <w:szCs w:val="20"/>
              </w:rPr>
              <w:t xml:space="preserve">Single dose of </w:t>
            </w:r>
            <w:proofErr w:type="spellStart"/>
            <w:r w:rsidRPr="00885AB3">
              <w:rPr>
                <w:szCs w:val="20"/>
              </w:rPr>
              <w:t>RSVPreF</w:t>
            </w:r>
            <w:proofErr w:type="spellEnd"/>
          </w:p>
          <w:p w14:paraId="32FC958F" w14:textId="77777777" w:rsidR="006A1AFC" w:rsidRPr="00885AB3" w:rsidRDefault="006A1AFC" w:rsidP="00120D61">
            <w:pPr>
              <w:pStyle w:val="TableText0"/>
              <w:keepNext/>
              <w:rPr>
                <w:szCs w:val="20"/>
              </w:rPr>
            </w:pPr>
          </w:p>
          <w:p w14:paraId="1F0251B6" w14:textId="0BD68130" w:rsidR="006A1AFC" w:rsidRPr="00885AB3" w:rsidRDefault="006A1AFC" w:rsidP="00120D61">
            <w:pPr>
              <w:pStyle w:val="TableText0"/>
              <w:keepNext/>
              <w:rPr>
                <w:szCs w:val="20"/>
                <w:vertAlign w:val="superscript"/>
              </w:rPr>
            </w:pPr>
            <w:r w:rsidRPr="00885AB3">
              <w:rPr>
                <w:szCs w:val="20"/>
              </w:rPr>
              <w:t>Ongoing</w:t>
            </w:r>
            <w:r w:rsidR="00F21EA3" w:rsidRPr="00885AB3">
              <w:rPr>
                <w:szCs w:val="20"/>
              </w:rPr>
              <w:t xml:space="preserve"> </w:t>
            </w:r>
            <w:r w:rsidRPr="00885AB3">
              <w:rPr>
                <w:szCs w:val="20"/>
                <w:vertAlign w:val="superscript"/>
              </w:rPr>
              <w:t>c</w:t>
            </w:r>
          </w:p>
        </w:tc>
        <w:tc>
          <w:tcPr>
            <w:tcW w:w="476" w:type="pct"/>
            <w:vAlign w:val="center"/>
          </w:tcPr>
          <w:p w14:paraId="370586E3" w14:textId="77777777" w:rsidR="006A1AFC" w:rsidRPr="00885AB3" w:rsidRDefault="006A1AFC" w:rsidP="00120D61">
            <w:pPr>
              <w:pStyle w:val="TableText0"/>
              <w:keepNext/>
              <w:rPr>
                <w:szCs w:val="20"/>
              </w:rPr>
            </w:pPr>
            <w:r w:rsidRPr="00885AB3">
              <w:rPr>
                <w:szCs w:val="20"/>
              </w:rPr>
              <w:t>Low</w:t>
            </w:r>
          </w:p>
        </w:tc>
        <w:tc>
          <w:tcPr>
            <w:tcW w:w="625" w:type="pct"/>
            <w:vAlign w:val="center"/>
          </w:tcPr>
          <w:p w14:paraId="6A148F26" w14:textId="139DECA2" w:rsidR="006A1AFC" w:rsidRPr="00885AB3" w:rsidRDefault="006A1AFC" w:rsidP="00120D61">
            <w:pPr>
              <w:pStyle w:val="TableText0"/>
              <w:keepNext/>
              <w:rPr>
                <w:szCs w:val="20"/>
              </w:rPr>
            </w:pPr>
            <w:r w:rsidRPr="00885AB3">
              <w:rPr>
                <w:szCs w:val="20"/>
              </w:rPr>
              <w:t xml:space="preserve">Adults </w:t>
            </w:r>
            <w:r w:rsidR="00EF2FA4">
              <w:rPr>
                <w:szCs w:val="20"/>
              </w:rPr>
              <w:t xml:space="preserve">≥ </w:t>
            </w:r>
            <w:r w:rsidRPr="00885AB3">
              <w:rPr>
                <w:szCs w:val="20"/>
              </w:rPr>
              <w:t>60 YOA</w:t>
            </w:r>
          </w:p>
        </w:tc>
        <w:tc>
          <w:tcPr>
            <w:tcW w:w="1358" w:type="pct"/>
            <w:vAlign w:val="center"/>
          </w:tcPr>
          <w:p w14:paraId="31C49918" w14:textId="7A06401B" w:rsidR="006A1AFC" w:rsidRPr="00885AB3" w:rsidRDefault="006A1AFC" w:rsidP="00120D61">
            <w:pPr>
              <w:pStyle w:val="TableText0"/>
              <w:keepNext/>
              <w:rPr>
                <w:szCs w:val="20"/>
              </w:rPr>
            </w:pPr>
            <w:r w:rsidRPr="00885AB3">
              <w:rPr>
                <w:szCs w:val="20"/>
              </w:rPr>
              <w:t xml:space="preserve">Primary outcome: VE for prevention of RSV-LRTI with </w:t>
            </w:r>
            <w:r w:rsidR="00EF2FA4">
              <w:rPr>
                <w:szCs w:val="20"/>
              </w:rPr>
              <w:t xml:space="preserve">≥ </w:t>
            </w:r>
            <w:r w:rsidRPr="00885AB3">
              <w:rPr>
                <w:szCs w:val="20"/>
              </w:rPr>
              <w:t xml:space="preserve">2 and </w:t>
            </w:r>
            <w:r w:rsidR="00EF2FA4">
              <w:rPr>
                <w:szCs w:val="20"/>
              </w:rPr>
              <w:t xml:space="preserve">≥ </w:t>
            </w:r>
            <w:r w:rsidRPr="00885AB3">
              <w:rPr>
                <w:szCs w:val="20"/>
              </w:rPr>
              <w:t>3 signs or symptoms.</w:t>
            </w:r>
          </w:p>
          <w:p w14:paraId="5E3203F6" w14:textId="71E71AB8" w:rsidR="006A1AFC" w:rsidRPr="00885AB3" w:rsidRDefault="006A1AFC" w:rsidP="00120D61">
            <w:pPr>
              <w:pStyle w:val="TableText0"/>
              <w:keepNext/>
              <w:rPr>
                <w:szCs w:val="20"/>
              </w:rPr>
            </w:pPr>
            <w:r w:rsidRPr="00885AB3">
              <w:rPr>
                <w:szCs w:val="20"/>
              </w:rPr>
              <w:t xml:space="preserve">Secondary: VE for prevention of RSV-ARD, </w:t>
            </w:r>
            <w:proofErr w:type="spellStart"/>
            <w:r w:rsidRPr="00885AB3">
              <w:rPr>
                <w:szCs w:val="20"/>
              </w:rPr>
              <w:t>sRSV</w:t>
            </w:r>
            <w:proofErr w:type="spellEnd"/>
            <w:r w:rsidRPr="00885AB3">
              <w:rPr>
                <w:szCs w:val="20"/>
              </w:rPr>
              <w:t>-LRTI, immunogenicity.</w:t>
            </w:r>
          </w:p>
        </w:tc>
        <w:tc>
          <w:tcPr>
            <w:tcW w:w="522" w:type="pct"/>
            <w:vAlign w:val="center"/>
          </w:tcPr>
          <w:p w14:paraId="3FCED0D4" w14:textId="77777777" w:rsidR="006A1AFC" w:rsidRPr="00885AB3" w:rsidRDefault="006A1AFC" w:rsidP="00120D61">
            <w:pPr>
              <w:pStyle w:val="TableText0"/>
              <w:keepNext/>
              <w:rPr>
                <w:szCs w:val="20"/>
              </w:rPr>
            </w:pPr>
            <w:r w:rsidRPr="00885AB3">
              <w:rPr>
                <w:szCs w:val="20"/>
              </w:rPr>
              <w:t>No</w:t>
            </w:r>
          </w:p>
        </w:tc>
      </w:tr>
      <w:tr w:rsidR="006A1AFC" w:rsidRPr="00885AB3" w14:paraId="0B6EA1BC" w14:textId="77777777" w:rsidTr="00E62F2B">
        <w:trPr>
          <w:cantSplit/>
        </w:trPr>
        <w:tc>
          <w:tcPr>
            <w:tcW w:w="5000" w:type="pct"/>
            <w:gridSpan w:val="7"/>
            <w:vAlign w:val="center"/>
          </w:tcPr>
          <w:p w14:paraId="139D0FAA" w14:textId="77777777" w:rsidR="006A1AFC" w:rsidRPr="00885AB3" w:rsidRDefault="006A1AFC" w:rsidP="00120D61">
            <w:pPr>
              <w:pStyle w:val="TableText0"/>
              <w:keepNext/>
              <w:jc w:val="left"/>
              <w:rPr>
                <w:b/>
                <w:szCs w:val="20"/>
              </w:rPr>
            </w:pPr>
            <w:r w:rsidRPr="00885AB3">
              <w:rPr>
                <w:b/>
                <w:szCs w:val="20"/>
              </w:rPr>
              <w:t>RSVPreF3 OA versus placebo</w:t>
            </w:r>
          </w:p>
        </w:tc>
      </w:tr>
      <w:tr w:rsidR="006A1AFC" w:rsidRPr="00885AB3" w14:paraId="0C00E1BE" w14:textId="77777777" w:rsidTr="0021084B">
        <w:trPr>
          <w:cantSplit/>
        </w:trPr>
        <w:tc>
          <w:tcPr>
            <w:tcW w:w="683" w:type="pct"/>
            <w:vAlign w:val="center"/>
          </w:tcPr>
          <w:p w14:paraId="2E3F6CE2" w14:textId="77777777" w:rsidR="006A1AFC" w:rsidRPr="00885AB3" w:rsidRDefault="006A1AFC" w:rsidP="00120D61">
            <w:pPr>
              <w:pStyle w:val="TableText0"/>
              <w:keepNext/>
              <w:jc w:val="left"/>
              <w:rPr>
                <w:szCs w:val="20"/>
              </w:rPr>
            </w:pPr>
            <w:r w:rsidRPr="00885AB3">
              <w:rPr>
                <w:szCs w:val="20"/>
              </w:rPr>
              <w:t>AReSVi-006</w:t>
            </w:r>
          </w:p>
          <w:p w14:paraId="5240EDCC" w14:textId="77777777" w:rsidR="006A1AFC" w:rsidRPr="00885AB3" w:rsidRDefault="006A1AFC" w:rsidP="00120D61">
            <w:pPr>
              <w:pStyle w:val="TableText0"/>
              <w:keepNext/>
              <w:jc w:val="left"/>
              <w:rPr>
                <w:szCs w:val="20"/>
              </w:rPr>
            </w:pPr>
            <w:r w:rsidRPr="00885AB3">
              <w:rPr>
                <w:szCs w:val="20"/>
              </w:rPr>
              <w:t>(NCT04886596)</w:t>
            </w:r>
          </w:p>
        </w:tc>
        <w:tc>
          <w:tcPr>
            <w:tcW w:w="415" w:type="pct"/>
            <w:vAlign w:val="center"/>
          </w:tcPr>
          <w:p w14:paraId="1FEF80D4" w14:textId="77777777" w:rsidR="006A1AFC" w:rsidRPr="00885AB3" w:rsidRDefault="006A1AFC" w:rsidP="00120D61">
            <w:pPr>
              <w:pStyle w:val="TableText0"/>
              <w:keepNext/>
              <w:rPr>
                <w:szCs w:val="20"/>
              </w:rPr>
            </w:pPr>
            <w:r w:rsidRPr="00885AB3">
              <w:rPr>
                <w:szCs w:val="20"/>
              </w:rPr>
              <w:t>24,966</w:t>
            </w:r>
          </w:p>
        </w:tc>
        <w:tc>
          <w:tcPr>
            <w:tcW w:w="921" w:type="pct"/>
            <w:vAlign w:val="center"/>
          </w:tcPr>
          <w:p w14:paraId="422E1710" w14:textId="77777777" w:rsidR="006A1AFC" w:rsidRPr="00885AB3" w:rsidRDefault="006A1AFC" w:rsidP="00120D61">
            <w:pPr>
              <w:pStyle w:val="TableText0"/>
              <w:keepNext/>
              <w:rPr>
                <w:szCs w:val="20"/>
              </w:rPr>
            </w:pPr>
            <w:r w:rsidRPr="00885AB3">
              <w:rPr>
                <w:szCs w:val="20"/>
              </w:rPr>
              <w:t>Phase 3 R, OB, PC, MC</w:t>
            </w:r>
          </w:p>
          <w:p w14:paraId="27DC7138" w14:textId="77777777" w:rsidR="00BC3F09" w:rsidRPr="00885AB3" w:rsidRDefault="00BC3F09" w:rsidP="00120D61">
            <w:pPr>
              <w:pStyle w:val="TableText0"/>
              <w:keepNext/>
              <w:rPr>
                <w:szCs w:val="20"/>
              </w:rPr>
            </w:pPr>
          </w:p>
          <w:p w14:paraId="4CFF93DE" w14:textId="2B5BB7A0" w:rsidR="00BC3F09" w:rsidRPr="00885AB3" w:rsidRDefault="00BC3F09" w:rsidP="00120D61">
            <w:pPr>
              <w:pStyle w:val="TableText0"/>
              <w:keepNext/>
              <w:rPr>
                <w:szCs w:val="20"/>
              </w:rPr>
            </w:pPr>
            <w:r w:rsidRPr="00885AB3">
              <w:rPr>
                <w:szCs w:val="20"/>
              </w:rPr>
              <w:t>Single dose of RSVPreF3 OA</w:t>
            </w:r>
          </w:p>
          <w:p w14:paraId="5FAE47F9" w14:textId="77777777" w:rsidR="00BC3F09" w:rsidRPr="00885AB3" w:rsidRDefault="00BC3F09" w:rsidP="00120D61">
            <w:pPr>
              <w:pStyle w:val="TableText0"/>
              <w:keepNext/>
              <w:rPr>
                <w:szCs w:val="20"/>
              </w:rPr>
            </w:pPr>
          </w:p>
          <w:p w14:paraId="7D3796AD" w14:textId="77777777" w:rsidR="006A1AFC" w:rsidRPr="00885AB3" w:rsidRDefault="006A1AFC" w:rsidP="00120D61">
            <w:pPr>
              <w:pStyle w:val="TableText0"/>
              <w:keepNext/>
              <w:rPr>
                <w:szCs w:val="20"/>
              </w:rPr>
            </w:pPr>
            <w:r w:rsidRPr="00885AB3">
              <w:rPr>
                <w:szCs w:val="20"/>
              </w:rPr>
              <w:t>Completed</w:t>
            </w:r>
          </w:p>
        </w:tc>
        <w:tc>
          <w:tcPr>
            <w:tcW w:w="476" w:type="pct"/>
            <w:vAlign w:val="center"/>
          </w:tcPr>
          <w:p w14:paraId="589C7131" w14:textId="77777777" w:rsidR="006A1AFC" w:rsidRPr="00885AB3" w:rsidRDefault="006A1AFC" w:rsidP="00120D61">
            <w:pPr>
              <w:pStyle w:val="TableText0"/>
              <w:keepNext/>
              <w:rPr>
                <w:szCs w:val="20"/>
              </w:rPr>
            </w:pPr>
            <w:r w:rsidRPr="00885AB3">
              <w:rPr>
                <w:szCs w:val="20"/>
              </w:rPr>
              <w:t>Low</w:t>
            </w:r>
          </w:p>
        </w:tc>
        <w:tc>
          <w:tcPr>
            <w:tcW w:w="625" w:type="pct"/>
            <w:vAlign w:val="center"/>
          </w:tcPr>
          <w:p w14:paraId="04AF58DE" w14:textId="24EC984E" w:rsidR="006A1AFC" w:rsidRPr="00885AB3" w:rsidRDefault="006A1AFC" w:rsidP="00120D61">
            <w:pPr>
              <w:pStyle w:val="TableText0"/>
              <w:keepNext/>
              <w:rPr>
                <w:szCs w:val="20"/>
              </w:rPr>
            </w:pPr>
            <w:r w:rsidRPr="00885AB3">
              <w:rPr>
                <w:szCs w:val="20"/>
              </w:rPr>
              <w:t xml:space="preserve">Adults </w:t>
            </w:r>
            <w:r w:rsidR="00EF2FA4">
              <w:rPr>
                <w:szCs w:val="20"/>
              </w:rPr>
              <w:t xml:space="preserve">≥ </w:t>
            </w:r>
            <w:r w:rsidRPr="00885AB3">
              <w:rPr>
                <w:szCs w:val="20"/>
              </w:rPr>
              <w:t>60 YOA</w:t>
            </w:r>
          </w:p>
        </w:tc>
        <w:tc>
          <w:tcPr>
            <w:tcW w:w="1358" w:type="pct"/>
            <w:vAlign w:val="center"/>
          </w:tcPr>
          <w:p w14:paraId="55F0FDFC" w14:textId="77777777" w:rsidR="006A1AFC" w:rsidRPr="00885AB3" w:rsidRDefault="006A1AFC" w:rsidP="00120D61">
            <w:pPr>
              <w:pStyle w:val="TableText0"/>
              <w:keepNext/>
              <w:rPr>
                <w:szCs w:val="20"/>
              </w:rPr>
            </w:pPr>
            <w:r w:rsidRPr="00885AB3">
              <w:rPr>
                <w:szCs w:val="20"/>
              </w:rPr>
              <w:t>Primary outcome: reduction of the risk of first occurrence of RT-PCR confirmed RSV-LRTD</w:t>
            </w:r>
          </w:p>
          <w:p w14:paraId="194C9560" w14:textId="77777777" w:rsidR="006A1AFC" w:rsidRPr="00885AB3" w:rsidRDefault="006A1AFC" w:rsidP="00120D61">
            <w:pPr>
              <w:pStyle w:val="TableText0"/>
              <w:keepNext/>
              <w:rPr>
                <w:szCs w:val="20"/>
              </w:rPr>
            </w:pPr>
            <w:r w:rsidRPr="00885AB3">
              <w:rPr>
                <w:szCs w:val="20"/>
              </w:rPr>
              <w:t>Key secondary outcomes: safety, PROs</w:t>
            </w:r>
          </w:p>
        </w:tc>
        <w:tc>
          <w:tcPr>
            <w:tcW w:w="522" w:type="pct"/>
            <w:vAlign w:val="center"/>
          </w:tcPr>
          <w:p w14:paraId="2A0B3BC6" w14:textId="77777777" w:rsidR="006A1AFC" w:rsidRPr="00885AB3" w:rsidRDefault="006A1AFC" w:rsidP="00120D61">
            <w:pPr>
              <w:pStyle w:val="TableText0"/>
              <w:keepNext/>
              <w:rPr>
                <w:szCs w:val="20"/>
              </w:rPr>
            </w:pPr>
            <w:r w:rsidRPr="00885AB3">
              <w:rPr>
                <w:szCs w:val="20"/>
              </w:rPr>
              <w:t>No</w:t>
            </w:r>
          </w:p>
        </w:tc>
      </w:tr>
    </w:tbl>
    <w:p w14:paraId="18E0DC17" w14:textId="77777777" w:rsidR="006A1AFC" w:rsidRPr="00885AB3" w:rsidRDefault="006A1AFC" w:rsidP="00120D61">
      <w:pPr>
        <w:pStyle w:val="TableFigureFooter"/>
        <w:keepNext/>
      </w:pPr>
      <w:r w:rsidRPr="00885AB3">
        <w:t xml:space="preserve">Source: compiled during the evaluation from Table 2-15, p58 and information provided in the submission (p60); mRNA-1345-P101 Clinical Study Report (p44); Table 3, p10 of the </w:t>
      </w:r>
      <w:proofErr w:type="spellStart"/>
      <w:r w:rsidRPr="00885AB3">
        <w:t>RSVPreF</w:t>
      </w:r>
      <w:proofErr w:type="spellEnd"/>
      <w:r w:rsidRPr="00885AB3">
        <w:t xml:space="preserve"> November 2024 PSD. </w:t>
      </w:r>
    </w:p>
    <w:p w14:paraId="05681C53" w14:textId="3A019551" w:rsidR="006A1AFC" w:rsidRPr="00885AB3" w:rsidRDefault="006A1AFC" w:rsidP="00120D61">
      <w:pPr>
        <w:pStyle w:val="TableFigureFooter"/>
        <w:keepNext/>
      </w:pPr>
      <w:r w:rsidRPr="00885AB3">
        <w:t xml:space="preserve">ARD = acute respiratory disease; DB = double blind; DCO = data cut-off; DE = dose escalation; MC = multi-centre; OB = observer blinded; PC = placebo-controlled; PRO = patient reported outcome; R = randomised; RSV = respiratory syncytial virus; RSV-LRTD = lower respiratory tract disease respiratory syncytial virus; RT-PCR = reverse transcription-polymerase chain reaction; </w:t>
      </w:r>
      <w:proofErr w:type="spellStart"/>
      <w:r w:rsidRPr="00885AB3">
        <w:t>sRSV</w:t>
      </w:r>
      <w:proofErr w:type="spellEnd"/>
      <w:r w:rsidRPr="00885AB3">
        <w:t>-LRTI = severe lower respiratory tract illness;</w:t>
      </w:r>
      <w:r w:rsidR="00080223" w:rsidRPr="00885AB3">
        <w:t xml:space="preserve"> VE = vaccine efficacy;</w:t>
      </w:r>
      <w:r w:rsidRPr="00885AB3">
        <w:t xml:space="preserve"> YOA = years of age.</w:t>
      </w:r>
    </w:p>
    <w:p w14:paraId="061357F3" w14:textId="77777777" w:rsidR="006A1AFC" w:rsidRPr="00885AB3" w:rsidRDefault="006A1AFC" w:rsidP="00120D61">
      <w:pPr>
        <w:pStyle w:val="TableFigureFooter"/>
        <w:keepNext/>
      </w:pPr>
      <w:proofErr w:type="gramStart"/>
      <w:r w:rsidRPr="00885AB3">
        <w:rPr>
          <w:vertAlign w:val="superscript"/>
        </w:rPr>
        <w:t>a</w:t>
      </w:r>
      <w:r w:rsidRPr="00885AB3">
        <w:t xml:space="preserve"> Number of</w:t>
      </w:r>
      <w:proofErr w:type="gramEnd"/>
      <w:r w:rsidRPr="00885AB3">
        <w:t xml:space="preserve"> participants randomised at the latest analysis (DCO 08 March 2024, 18.8 months median follow-up time).</w:t>
      </w:r>
    </w:p>
    <w:p w14:paraId="2F21B6CE" w14:textId="77777777" w:rsidR="006A1AFC" w:rsidRPr="00885AB3" w:rsidRDefault="006A1AFC" w:rsidP="00120D61">
      <w:pPr>
        <w:pStyle w:val="TableFigureFooter"/>
        <w:keepNext/>
      </w:pPr>
      <w:r w:rsidRPr="00885AB3">
        <w:rPr>
          <w:vertAlign w:val="superscript"/>
        </w:rPr>
        <w:t xml:space="preserve">b </w:t>
      </w:r>
      <w:r w:rsidRPr="00885AB3">
        <w:t xml:space="preserve">Number of participants randomised for primary analysis was 34,383; Number of participants randomised for EOS1 was 36,967. The sample size was increased from 30,000 to 45,000 with the implementation of Protocol Amendment 2 (dated 23 March 2022). </w:t>
      </w:r>
    </w:p>
    <w:p w14:paraId="3B6ED926" w14:textId="77777777" w:rsidR="006A1AFC" w:rsidRPr="00885AB3" w:rsidRDefault="006A1AFC" w:rsidP="00120D61">
      <w:pPr>
        <w:pStyle w:val="TableFigureFooter"/>
      </w:pPr>
      <w:r w:rsidRPr="00885AB3">
        <w:rPr>
          <w:vertAlign w:val="superscript"/>
        </w:rPr>
        <w:t>c</w:t>
      </w:r>
      <w:r w:rsidRPr="00885AB3">
        <w:t xml:space="preserve"> Completion of RENOIR is expected by June 2026. </w:t>
      </w:r>
    </w:p>
    <w:p w14:paraId="268D5841" w14:textId="5BDA9C53" w:rsidR="006A1AFC" w:rsidRPr="00885AB3" w:rsidRDefault="00C93F36" w:rsidP="00120D61">
      <w:pPr>
        <w:pStyle w:val="3-BodyText"/>
      </w:pPr>
      <w:r w:rsidRPr="00885AB3">
        <w:t xml:space="preserve">The </w:t>
      </w:r>
      <w:r w:rsidR="006A1AFC" w:rsidRPr="00885AB3">
        <w:t>RENOIR and AReSVi-006</w:t>
      </w:r>
      <w:r w:rsidRPr="00885AB3">
        <w:t xml:space="preserve"> trials</w:t>
      </w:r>
      <w:r w:rsidR="006A1AFC" w:rsidRPr="00885AB3">
        <w:t xml:space="preserve"> were previously considered by the PBAC to have a low risk of bias (Table 3, </w:t>
      </w:r>
      <w:proofErr w:type="spellStart"/>
      <w:r w:rsidR="006A1AFC" w:rsidRPr="00885AB3">
        <w:t>RSVPreF</w:t>
      </w:r>
      <w:proofErr w:type="spellEnd"/>
      <w:r w:rsidR="006A1AFC" w:rsidRPr="00885AB3">
        <w:t xml:space="preserve"> PSD, November 2024; Table 4, RSVPreF3 OA PSD, July 2024). </w:t>
      </w:r>
    </w:p>
    <w:p w14:paraId="177F7A1A" w14:textId="73ECB577" w:rsidR="006A1AFC" w:rsidRPr="00885AB3" w:rsidRDefault="006F7537" w:rsidP="00120D61">
      <w:pPr>
        <w:pStyle w:val="3-BodyText"/>
      </w:pPr>
      <w:r w:rsidRPr="00885AB3">
        <w:rPr>
          <w:snapToGrid w:val="0"/>
        </w:rPr>
        <w:t xml:space="preserve">The </w:t>
      </w:r>
      <w:proofErr w:type="spellStart"/>
      <w:r w:rsidR="006A1AFC" w:rsidRPr="00885AB3">
        <w:rPr>
          <w:snapToGrid w:val="0"/>
        </w:rPr>
        <w:t>ConquerRSV</w:t>
      </w:r>
      <w:proofErr w:type="spellEnd"/>
      <w:r w:rsidR="006A1AFC" w:rsidRPr="00885AB3">
        <w:rPr>
          <w:snapToGrid w:val="0"/>
        </w:rPr>
        <w:t>, RENOIR and AReSVi-006</w:t>
      </w:r>
      <w:r w:rsidRPr="00885AB3">
        <w:rPr>
          <w:snapToGrid w:val="0"/>
        </w:rPr>
        <w:t xml:space="preserve"> trials</w:t>
      </w:r>
      <w:r w:rsidR="006A1AFC" w:rsidRPr="00885AB3">
        <w:rPr>
          <w:snapToGrid w:val="0"/>
        </w:rPr>
        <w:t xml:space="preserve"> all </w:t>
      </w:r>
      <w:r w:rsidR="006A1AFC" w:rsidRPr="00885AB3">
        <w:t xml:space="preserve">used the predefined success criterion for meeting the primary objective if the lower bound of the confidence interval (CI) around the VE estimate was greater than 20%. All studies reported VE estimates excluding individuals who developed the outcome of interest before Day 15 post vaccination. </w:t>
      </w:r>
    </w:p>
    <w:p w14:paraId="107BEBAC" w14:textId="5EFC187C" w:rsidR="006A1AFC" w:rsidRPr="00885AB3" w:rsidRDefault="006A1AFC" w:rsidP="00120D61">
      <w:pPr>
        <w:pStyle w:val="3-BodyText"/>
        <w:rPr>
          <w:iCs/>
        </w:rPr>
      </w:pPr>
      <w:r w:rsidRPr="00885AB3">
        <w:t>AReSVi-006 and RENOIR were designed to assess VE at the end of Season 1 and across multiple seasons (3 in AReSVi-006 and 2 in RENOIR), which allowed for season-specific analyses</w:t>
      </w:r>
      <w:r w:rsidR="00D2338A" w:rsidRPr="00885AB3">
        <w:t xml:space="preserve"> (paragraph 3.12, RSVPreF3 OA PSD, July 2024; Table 4, </w:t>
      </w:r>
      <w:proofErr w:type="spellStart"/>
      <w:r w:rsidR="00D2338A" w:rsidRPr="00885AB3">
        <w:t>RSVPreF</w:t>
      </w:r>
      <w:proofErr w:type="spellEnd"/>
      <w:r w:rsidR="00D2338A" w:rsidRPr="00885AB3">
        <w:t xml:space="preserve"> PSD, </w:t>
      </w:r>
      <w:r w:rsidR="00D2338A" w:rsidRPr="00885AB3">
        <w:lastRenderedPageBreak/>
        <w:t>November 2024)</w:t>
      </w:r>
      <w:r w:rsidRPr="00885AB3">
        <w:t>.</w:t>
      </w:r>
      <w:r w:rsidR="001C78D7">
        <w:t xml:space="preserve"> </w:t>
      </w:r>
      <w:proofErr w:type="spellStart"/>
      <w:r w:rsidRPr="00885AB3">
        <w:t>ConquerRSV</w:t>
      </w:r>
      <w:proofErr w:type="spellEnd"/>
      <w:r w:rsidRPr="00885AB3">
        <w:t xml:space="preserve"> recruited its participants throughout the year which</w:t>
      </w:r>
      <w:r w:rsidR="00356DCB" w:rsidRPr="00885AB3">
        <w:t>, according to the submission,</w:t>
      </w:r>
      <w:r w:rsidRPr="00885AB3">
        <w:t xml:space="preserve"> did not allow for season</w:t>
      </w:r>
      <w:r w:rsidR="00CF6CCD" w:rsidRPr="00885AB3">
        <w:t xml:space="preserve"> </w:t>
      </w:r>
      <w:r w:rsidRPr="00885AB3">
        <w:t xml:space="preserve">specific efficacy analyses. </w:t>
      </w:r>
      <w:r w:rsidR="00E4491A" w:rsidRPr="00885AB3">
        <w:t>The evaluation considered that a</w:t>
      </w:r>
      <w:r w:rsidRPr="00885AB3">
        <w:rPr>
          <w:iCs/>
        </w:rPr>
        <w:t>n interval-based analysis may have been informative in this context, potentially serving as a proxy for the length of an RSV season and providing additional insights into vaccine performance over time. ATAGI stated that landmark interval analyses are mo</w:t>
      </w:r>
      <w:r w:rsidR="00E4491A" w:rsidRPr="00885AB3">
        <w:rPr>
          <w:iCs/>
        </w:rPr>
        <w:t>st</w:t>
      </w:r>
      <w:r w:rsidRPr="00885AB3">
        <w:rPr>
          <w:iCs/>
        </w:rPr>
        <w:t xml:space="preserve"> informative for estimating longer-term efficacy (ATAGI Advice, June 2025)</w:t>
      </w:r>
      <w:r w:rsidR="00D544B7" w:rsidRPr="00885AB3">
        <w:rPr>
          <w:iCs/>
        </w:rPr>
        <w:t>, however the submission did not present such analyses</w:t>
      </w:r>
      <w:r w:rsidRPr="00885AB3">
        <w:rPr>
          <w:iCs/>
        </w:rPr>
        <w:t>.</w:t>
      </w:r>
    </w:p>
    <w:p w14:paraId="7D0CF01C" w14:textId="5B152714" w:rsidR="006A1AFC" w:rsidRPr="00885AB3" w:rsidRDefault="006A1AFC" w:rsidP="00120D61">
      <w:pPr>
        <w:pStyle w:val="3-BodyText"/>
      </w:pPr>
      <w:bookmarkStart w:id="51" w:name="_Ref206098408"/>
      <w:r w:rsidRPr="00885AB3">
        <w:t>The</w:t>
      </w:r>
      <w:r w:rsidR="006C052F" w:rsidRPr="00885AB3">
        <w:t xml:space="preserve"> evaluation </w:t>
      </w:r>
      <w:r w:rsidR="00944EEC" w:rsidRPr="00885AB3">
        <w:t>commented</w:t>
      </w:r>
      <w:r w:rsidR="006C052F" w:rsidRPr="00885AB3">
        <w:t xml:space="preserve"> that the</w:t>
      </w:r>
      <w:r w:rsidRPr="00885AB3">
        <w:t xml:space="preserve"> most notable differences between </w:t>
      </w:r>
      <w:r w:rsidR="003D5BC4" w:rsidRPr="00885AB3">
        <w:t xml:space="preserve">the </w:t>
      </w:r>
      <w:proofErr w:type="spellStart"/>
      <w:r w:rsidRPr="00885AB3">
        <w:t>ConquerRSV</w:t>
      </w:r>
      <w:proofErr w:type="spellEnd"/>
      <w:r w:rsidRPr="00885AB3">
        <w:t>, RENOIR and AReSVi-006</w:t>
      </w:r>
      <w:r w:rsidR="003D5BC4" w:rsidRPr="00885AB3">
        <w:t xml:space="preserve"> trials</w:t>
      </w:r>
      <w:r w:rsidRPr="00885AB3">
        <w:t xml:space="preserve"> in terms of their study design and patient characteristics</w:t>
      </w:r>
      <w:r w:rsidR="00E87980" w:rsidRPr="00885AB3">
        <w:t xml:space="preserve"> that may affect the transitivity assumption</w:t>
      </w:r>
      <w:r w:rsidR="00106A70" w:rsidRPr="00885AB3">
        <w:t xml:space="preserve"> between the trials</w:t>
      </w:r>
      <w:r w:rsidRPr="00885AB3">
        <w:t xml:space="preserve"> are:</w:t>
      </w:r>
      <w:bookmarkEnd w:id="51"/>
      <w:r w:rsidRPr="00885AB3">
        <w:t xml:space="preserve"> </w:t>
      </w:r>
    </w:p>
    <w:p w14:paraId="46204724" w14:textId="6D0FB4E6" w:rsidR="00256143" w:rsidRPr="00885AB3" w:rsidRDefault="00D87CE0" w:rsidP="00120D61">
      <w:pPr>
        <w:pStyle w:val="3-BodyText"/>
        <w:numPr>
          <w:ilvl w:val="2"/>
          <w:numId w:val="6"/>
        </w:numPr>
        <w:ind w:left="1134"/>
        <w:rPr>
          <w:iCs/>
        </w:rPr>
      </w:pPr>
      <w:r w:rsidRPr="00885AB3">
        <w:rPr>
          <w:iCs/>
          <w:lang w:eastAsia="zh-CN"/>
        </w:rPr>
        <w:t xml:space="preserve">Differences in </w:t>
      </w:r>
      <w:r w:rsidR="00F85302" w:rsidRPr="00885AB3">
        <w:rPr>
          <w:iCs/>
          <w:lang w:eastAsia="zh-CN"/>
        </w:rPr>
        <w:t>censoring timepoints</w:t>
      </w:r>
      <w:r w:rsidRPr="00885AB3">
        <w:rPr>
          <w:iCs/>
          <w:lang w:eastAsia="zh-CN"/>
        </w:rPr>
        <w:t xml:space="preserve">: </w:t>
      </w:r>
      <w:r w:rsidR="00682092" w:rsidRPr="00885AB3">
        <w:rPr>
          <w:iCs/>
        </w:rPr>
        <w:t>I</w:t>
      </w:r>
      <w:r w:rsidR="00256143" w:rsidRPr="00885AB3">
        <w:rPr>
          <w:iCs/>
        </w:rPr>
        <w:t xml:space="preserve">n </w:t>
      </w:r>
      <w:proofErr w:type="spellStart"/>
      <w:r w:rsidR="00256143" w:rsidRPr="00885AB3">
        <w:rPr>
          <w:iCs/>
        </w:rPr>
        <w:t>ConquerRSV</w:t>
      </w:r>
      <w:proofErr w:type="spellEnd"/>
      <w:r w:rsidR="007E6014" w:rsidRPr="00885AB3">
        <w:rPr>
          <w:iCs/>
        </w:rPr>
        <w:t>,</w:t>
      </w:r>
      <w:r w:rsidR="00256143" w:rsidRPr="00885AB3">
        <w:rPr>
          <w:iCs/>
        </w:rPr>
        <w:t xml:space="preserve"> participants were censored at </w:t>
      </w:r>
      <w:r w:rsidR="00F52CA7" w:rsidRPr="00885AB3">
        <w:rPr>
          <w:iCs/>
        </w:rPr>
        <w:t xml:space="preserve">the earliest date of </w:t>
      </w:r>
      <w:r w:rsidR="00256143" w:rsidRPr="00885AB3">
        <w:rPr>
          <w:iCs/>
        </w:rPr>
        <w:t xml:space="preserve">12 months </w:t>
      </w:r>
      <w:r w:rsidR="005E3A05" w:rsidRPr="00885AB3">
        <w:rPr>
          <w:iCs/>
        </w:rPr>
        <w:t xml:space="preserve">(or 18 months, or 24 months, depending on the specific analysis) </w:t>
      </w:r>
      <w:r w:rsidR="0085235D" w:rsidRPr="00885AB3">
        <w:rPr>
          <w:iCs/>
        </w:rPr>
        <w:t>and data cutoff date.</w:t>
      </w:r>
      <w:r w:rsidR="00F52CA7" w:rsidRPr="00885AB3">
        <w:rPr>
          <w:iCs/>
        </w:rPr>
        <w:t xml:space="preserve"> </w:t>
      </w:r>
      <w:r w:rsidR="00687DA0" w:rsidRPr="00885AB3">
        <w:rPr>
          <w:iCs/>
        </w:rPr>
        <w:t xml:space="preserve">In contrast, </w:t>
      </w:r>
      <w:r w:rsidR="005D2641" w:rsidRPr="00885AB3">
        <w:rPr>
          <w:iCs/>
        </w:rPr>
        <w:t xml:space="preserve">in </w:t>
      </w:r>
      <w:r w:rsidR="00687DA0" w:rsidRPr="00885AB3">
        <w:rPr>
          <w:iCs/>
        </w:rPr>
        <w:t xml:space="preserve">RENOIR and </w:t>
      </w:r>
      <w:r w:rsidR="00541BD4" w:rsidRPr="00885AB3">
        <w:rPr>
          <w:iCs/>
        </w:rPr>
        <w:t>AReSVi-006</w:t>
      </w:r>
      <w:r w:rsidR="00635109" w:rsidRPr="00885AB3">
        <w:rPr>
          <w:iCs/>
        </w:rPr>
        <w:t>,</w:t>
      </w:r>
      <w:r w:rsidR="00541BD4" w:rsidRPr="00885AB3">
        <w:rPr>
          <w:iCs/>
        </w:rPr>
        <w:t xml:space="preserve"> </w:t>
      </w:r>
      <w:r w:rsidR="006D731E" w:rsidRPr="00885AB3">
        <w:rPr>
          <w:iCs/>
        </w:rPr>
        <w:t xml:space="preserve">participants </w:t>
      </w:r>
      <w:r w:rsidR="00C4216B" w:rsidRPr="00885AB3">
        <w:rPr>
          <w:iCs/>
        </w:rPr>
        <w:t xml:space="preserve">without an RSV diagnosis </w:t>
      </w:r>
      <w:r w:rsidR="006D731E" w:rsidRPr="00885AB3">
        <w:rPr>
          <w:iCs/>
        </w:rPr>
        <w:t xml:space="preserve">were censored </w:t>
      </w:r>
      <w:r w:rsidR="0087099E" w:rsidRPr="00885AB3">
        <w:rPr>
          <w:iCs/>
        </w:rPr>
        <w:t xml:space="preserve">at the end of </w:t>
      </w:r>
      <w:r w:rsidR="00F71BEF" w:rsidRPr="00885AB3">
        <w:rPr>
          <w:iCs/>
        </w:rPr>
        <w:t xml:space="preserve">each </w:t>
      </w:r>
      <w:r w:rsidR="0087099E" w:rsidRPr="00885AB3">
        <w:rPr>
          <w:iCs/>
        </w:rPr>
        <w:t xml:space="preserve">RSV season. </w:t>
      </w:r>
      <w:r w:rsidR="00017596" w:rsidRPr="00885AB3">
        <w:rPr>
          <w:iCs/>
        </w:rPr>
        <w:t xml:space="preserve">Broadly, </w:t>
      </w:r>
      <w:r w:rsidR="00087A98" w:rsidRPr="00885AB3">
        <w:rPr>
          <w:iCs/>
        </w:rPr>
        <w:t xml:space="preserve">VE at 12 months could be seen as a proxy for </w:t>
      </w:r>
      <w:r w:rsidR="006462E3" w:rsidRPr="00885AB3">
        <w:rPr>
          <w:iCs/>
        </w:rPr>
        <w:t>one RSV season</w:t>
      </w:r>
      <w:r w:rsidR="0023717F" w:rsidRPr="00885AB3">
        <w:rPr>
          <w:iCs/>
        </w:rPr>
        <w:t xml:space="preserve"> </w:t>
      </w:r>
      <w:r w:rsidR="003C2BB3" w:rsidRPr="00885AB3">
        <w:rPr>
          <w:iCs/>
        </w:rPr>
        <w:t xml:space="preserve">if most participants </w:t>
      </w:r>
      <w:r w:rsidR="0015353C" w:rsidRPr="00885AB3">
        <w:rPr>
          <w:iCs/>
        </w:rPr>
        <w:t>have completed a 12</w:t>
      </w:r>
      <w:r w:rsidR="001527AF" w:rsidRPr="00885AB3">
        <w:rPr>
          <w:iCs/>
        </w:rPr>
        <w:t>-</w:t>
      </w:r>
      <w:r w:rsidR="0015353C" w:rsidRPr="00885AB3">
        <w:rPr>
          <w:iCs/>
        </w:rPr>
        <w:t>month follow-up since initial vaccination</w:t>
      </w:r>
      <w:r w:rsidR="0044669E" w:rsidRPr="00885AB3">
        <w:rPr>
          <w:iCs/>
        </w:rPr>
        <w:t>, however</w:t>
      </w:r>
      <w:r w:rsidR="0023717F" w:rsidRPr="00885AB3">
        <w:rPr>
          <w:iCs/>
        </w:rPr>
        <w:t xml:space="preserve"> </w:t>
      </w:r>
      <w:r w:rsidR="00AC43BC" w:rsidRPr="00885AB3">
        <w:rPr>
          <w:iCs/>
        </w:rPr>
        <w:t xml:space="preserve">some participants may have been exposed to </w:t>
      </w:r>
      <w:r w:rsidR="00030186" w:rsidRPr="00885AB3">
        <w:rPr>
          <w:iCs/>
        </w:rPr>
        <w:t xml:space="preserve">two </w:t>
      </w:r>
      <w:r w:rsidR="00AC43BC" w:rsidRPr="00885AB3">
        <w:rPr>
          <w:iCs/>
        </w:rPr>
        <w:t>RSV seasons</w:t>
      </w:r>
      <w:r w:rsidR="00C66A39" w:rsidRPr="00885AB3">
        <w:rPr>
          <w:iCs/>
        </w:rPr>
        <w:t xml:space="preserve"> (</w:t>
      </w:r>
      <w:r w:rsidR="00C66A39" w:rsidRPr="00885AB3">
        <w:rPr>
          <w:iCs/>
        </w:rPr>
        <w:fldChar w:fldCharType="begin" w:fldLock="1"/>
      </w:r>
      <w:r w:rsidR="00C66A39" w:rsidRPr="00885AB3">
        <w:rPr>
          <w:iCs/>
        </w:rPr>
        <w:instrText xml:space="preserve"> REF _Ref208220555 \h  \* MERGEFORMAT </w:instrText>
      </w:r>
      <w:r w:rsidR="00C66A39" w:rsidRPr="00885AB3">
        <w:rPr>
          <w:iCs/>
        </w:rPr>
      </w:r>
      <w:r w:rsidR="00C66A39" w:rsidRPr="00885AB3">
        <w:rPr>
          <w:iCs/>
        </w:rPr>
        <w:fldChar w:fldCharType="separate"/>
      </w:r>
      <w:r w:rsidR="00515933" w:rsidRPr="00885AB3">
        <w:rPr>
          <w:iCs/>
        </w:rPr>
        <w:t>Table 3</w:t>
      </w:r>
      <w:r w:rsidR="00C66A39" w:rsidRPr="00885AB3">
        <w:rPr>
          <w:iCs/>
        </w:rPr>
        <w:fldChar w:fldCharType="end"/>
      </w:r>
      <w:r w:rsidR="00C66A39" w:rsidRPr="00885AB3">
        <w:rPr>
          <w:iCs/>
        </w:rPr>
        <w:t>)</w:t>
      </w:r>
      <w:r w:rsidR="00AC43BC" w:rsidRPr="00885AB3">
        <w:rPr>
          <w:iCs/>
        </w:rPr>
        <w:t xml:space="preserve">. </w:t>
      </w:r>
      <w:r w:rsidR="00035FD4" w:rsidRPr="00885AB3">
        <w:rPr>
          <w:iCs/>
        </w:rPr>
        <w:t xml:space="preserve">Similarly, </w:t>
      </w:r>
      <w:r w:rsidR="00D05716" w:rsidRPr="00885AB3">
        <w:rPr>
          <w:iCs/>
        </w:rPr>
        <w:t>the 24</w:t>
      </w:r>
      <w:r w:rsidR="00BD78D3" w:rsidRPr="00885AB3">
        <w:rPr>
          <w:iCs/>
        </w:rPr>
        <w:t>-m</w:t>
      </w:r>
      <w:r w:rsidR="00D05716" w:rsidRPr="00885AB3">
        <w:rPr>
          <w:iCs/>
        </w:rPr>
        <w:t>onth follow</w:t>
      </w:r>
      <w:r w:rsidR="00B05C1C" w:rsidRPr="00885AB3">
        <w:rPr>
          <w:iCs/>
        </w:rPr>
        <w:t>-</w:t>
      </w:r>
      <w:r w:rsidR="00D05716" w:rsidRPr="00885AB3">
        <w:rPr>
          <w:iCs/>
        </w:rPr>
        <w:t xml:space="preserve">up could be a proxy for two seasons, noting that </w:t>
      </w:r>
      <w:r w:rsidR="003E684A" w:rsidRPr="00885AB3">
        <w:rPr>
          <w:iCs/>
        </w:rPr>
        <w:t xml:space="preserve">only 9.6% completed the last follow-up visit to inform this </w:t>
      </w:r>
      <w:r w:rsidR="00BD78D3" w:rsidRPr="00885AB3">
        <w:rPr>
          <w:iCs/>
        </w:rPr>
        <w:t>analysis</w:t>
      </w:r>
      <w:r w:rsidR="003E684A" w:rsidRPr="00885AB3">
        <w:rPr>
          <w:iCs/>
        </w:rPr>
        <w:t xml:space="preserve">. </w:t>
      </w:r>
    </w:p>
    <w:p w14:paraId="49A05450" w14:textId="242B26EF" w:rsidR="006A1AFC" w:rsidRPr="00885AB3" w:rsidRDefault="006A1AFC" w:rsidP="00120D61">
      <w:pPr>
        <w:pStyle w:val="3-BodyText"/>
        <w:numPr>
          <w:ilvl w:val="2"/>
          <w:numId w:val="6"/>
        </w:numPr>
        <w:ind w:left="1134"/>
        <w:rPr>
          <w:iCs/>
        </w:rPr>
      </w:pPr>
      <w:r w:rsidRPr="00885AB3">
        <w:rPr>
          <w:iCs/>
          <w:lang w:eastAsia="zh-CN"/>
        </w:rPr>
        <w:t xml:space="preserve">Differences in baseline comorbidities: </w:t>
      </w:r>
      <w:proofErr w:type="spellStart"/>
      <w:r w:rsidRPr="00885AB3">
        <w:rPr>
          <w:iCs/>
          <w:lang w:eastAsia="zh-CN"/>
        </w:rPr>
        <w:t>ConquerRSV</w:t>
      </w:r>
      <w:proofErr w:type="spellEnd"/>
      <w:r w:rsidRPr="00885AB3">
        <w:rPr>
          <w:iCs/>
          <w:lang w:eastAsia="zh-CN"/>
        </w:rPr>
        <w:t xml:space="preserve"> participants were healthier compared to </w:t>
      </w:r>
      <w:r w:rsidR="00075F89" w:rsidRPr="00885AB3">
        <w:rPr>
          <w:iCs/>
          <w:lang w:eastAsia="zh-CN"/>
        </w:rPr>
        <w:t xml:space="preserve">RENOIR and </w:t>
      </w:r>
      <w:r w:rsidRPr="00885AB3">
        <w:rPr>
          <w:iCs/>
          <w:lang w:eastAsia="zh-CN"/>
        </w:rPr>
        <w:t xml:space="preserve">AReSVi-006. In </w:t>
      </w:r>
      <w:proofErr w:type="spellStart"/>
      <w:r w:rsidRPr="00885AB3">
        <w:rPr>
          <w:iCs/>
          <w:lang w:eastAsia="zh-CN"/>
        </w:rPr>
        <w:t>ConquerRSV</w:t>
      </w:r>
      <w:proofErr w:type="spellEnd"/>
      <w:r w:rsidRPr="00885AB3">
        <w:rPr>
          <w:iCs/>
          <w:lang w:eastAsia="zh-CN"/>
        </w:rPr>
        <w:t xml:space="preserve">, 29.6% of participants had </w:t>
      </w:r>
      <w:r w:rsidR="00EF2FA4">
        <w:rPr>
          <w:rFonts w:cstheme="minorHAnsi"/>
          <w:iCs/>
          <w:lang w:eastAsia="zh-CN"/>
        </w:rPr>
        <w:t xml:space="preserve">≥ </w:t>
      </w:r>
      <w:r w:rsidRPr="00885AB3">
        <w:rPr>
          <w:iCs/>
          <w:lang w:eastAsia="zh-CN"/>
        </w:rPr>
        <w:t xml:space="preserve">1 comorbidity </w:t>
      </w:r>
      <w:r w:rsidRPr="00885AB3">
        <w:rPr>
          <w:iCs/>
        </w:rPr>
        <w:t xml:space="preserve">compared to </w:t>
      </w:r>
      <w:r w:rsidRPr="00885AB3">
        <w:rPr>
          <w:iCs/>
          <w:lang w:eastAsia="zh-CN"/>
        </w:rPr>
        <w:t>51.7% in RENOIR</w:t>
      </w:r>
      <w:r w:rsidRPr="00885AB3" w:rsidDel="002E642C">
        <w:rPr>
          <w:iCs/>
          <w:lang w:eastAsia="zh-CN"/>
        </w:rPr>
        <w:t xml:space="preserve"> </w:t>
      </w:r>
      <w:r w:rsidRPr="00885AB3">
        <w:rPr>
          <w:iCs/>
        </w:rPr>
        <w:t xml:space="preserve">and 39.9% in </w:t>
      </w:r>
      <w:r w:rsidRPr="00885AB3">
        <w:rPr>
          <w:iCs/>
          <w:lang w:eastAsia="zh-CN"/>
        </w:rPr>
        <w:t>AReSVi-006</w:t>
      </w:r>
      <w:r w:rsidRPr="00885AB3">
        <w:rPr>
          <w:iCs/>
        </w:rPr>
        <w:t xml:space="preserve">. This difference </w:t>
      </w:r>
      <w:r w:rsidR="002C5718" w:rsidRPr="00885AB3">
        <w:rPr>
          <w:iCs/>
        </w:rPr>
        <w:t xml:space="preserve">might </w:t>
      </w:r>
      <w:r w:rsidRPr="00885AB3">
        <w:rPr>
          <w:iCs/>
        </w:rPr>
        <w:t xml:space="preserve">bias the ITC against mRNA-1345 (given trials with a higher proportion of participants with multiple comorbidities are likely to </w:t>
      </w:r>
      <w:r w:rsidR="002C5718" w:rsidRPr="00885AB3">
        <w:rPr>
          <w:iCs/>
        </w:rPr>
        <w:t>experience</w:t>
      </w:r>
      <w:r w:rsidRPr="00885AB3">
        <w:rPr>
          <w:iCs/>
        </w:rPr>
        <w:t xml:space="preserve"> a higher incidence of RSV</w:t>
      </w:r>
      <w:r w:rsidR="004146A5" w:rsidRPr="00885AB3">
        <w:rPr>
          <w:iCs/>
        </w:rPr>
        <w:t>-</w:t>
      </w:r>
      <w:r w:rsidRPr="00885AB3">
        <w:rPr>
          <w:iCs/>
        </w:rPr>
        <w:t>related symptoms, and therefore greater potential for an incremental effect). The TGA noted that</w:t>
      </w:r>
      <w:r w:rsidR="00924F06" w:rsidRPr="00885AB3">
        <w:rPr>
          <w:iCs/>
        </w:rPr>
        <w:t xml:space="preserve"> for </w:t>
      </w:r>
      <w:proofErr w:type="spellStart"/>
      <w:r w:rsidR="00924F06" w:rsidRPr="00885AB3">
        <w:rPr>
          <w:iCs/>
        </w:rPr>
        <w:t>ConquerRSV</w:t>
      </w:r>
      <w:proofErr w:type="spellEnd"/>
      <w:r w:rsidR="007F2D11" w:rsidRPr="00885AB3">
        <w:rPr>
          <w:iCs/>
        </w:rPr>
        <w:t>,</w:t>
      </w:r>
      <w:r w:rsidRPr="00885AB3">
        <w:rPr>
          <w:iCs/>
        </w:rPr>
        <w:t xml:space="preserve"> there are some concerns regarding interpretation of VE due to potential skewing of the study population towards healthier older adults (TGA Delegate Overview report). </w:t>
      </w:r>
    </w:p>
    <w:p w14:paraId="26CF5702" w14:textId="77777777" w:rsidR="006A1AFC" w:rsidRPr="00885AB3" w:rsidRDefault="006A1AFC" w:rsidP="00120D61">
      <w:pPr>
        <w:pStyle w:val="3-BodyText"/>
        <w:numPr>
          <w:ilvl w:val="2"/>
          <w:numId w:val="6"/>
        </w:numPr>
        <w:ind w:left="1134"/>
        <w:rPr>
          <w:iCs/>
        </w:rPr>
      </w:pPr>
      <w:r w:rsidRPr="00885AB3">
        <w:rPr>
          <w:iCs/>
        </w:rPr>
        <w:t xml:space="preserve">Frailty: Although the studies did not use a common frailty scoring system to describe baseline characteristics, a greater proportion of participants in </w:t>
      </w:r>
      <w:proofErr w:type="spellStart"/>
      <w:r w:rsidRPr="00885AB3">
        <w:rPr>
          <w:iCs/>
        </w:rPr>
        <w:t>ConquerRSV</w:t>
      </w:r>
      <w:proofErr w:type="spellEnd"/>
      <w:r w:rsidRPr="00885AB3">
        <w:rPr>
          <w:iCs/>
        </w:rPr>
        <w:t xml:space="preserve"> (76%) were classified as "fit" compared to 60% in AReSVi-006. Baseline frailty data for the RENOIR study were not included in the submission. The direction of and magnitude of any bias is uncertain. </w:t>
      </w:r>
    </w:p>
    <w:p w14:paraId="4EDC554F" w14:textId="500B2F05" w:rsidR="001D58C6" w:rsidRPr="00885AB3" w:rsidRDefault="00F9329D" w:rsidP="00120D61">
      <w:pPr>
        <w:pStyle w:val="ListParagraph"/>
        <w:numPr>
          <w:ilvl w:val="2"/>
          <w:numId w:val="6"/>
        </w:numPr>
        <w:ind w:left="1134"/>
        <w:jc w:val="both"/>
        <w:rPr>
          <w:rFonts w:eastAsiaTheme="minorHAnsi" w:cstheme="minorBidi"/>
          <w:iCs/>
          <w:snapToGrid/>
          <w:szCs w:val="22"/>
        </w:rPr>
      </w:pPr>
      <w:r w:rsidRPr="00885AB3">
        <w:rPr>
          <w:rFonts w:eastAsiaTheme="minorHAnsi" w:cstheme="minorBidi"/>
          <w:iCs/>
          <w:snapToGrid/>
          <w:szCs w:val="22"/>
        </w:rPr>
        <w:t xml:space="preserve">Differences in definition of </w:t>
      </w:r>
      <w:r w:rsidR="00DC72CD" w:rsidRPr="00885AB3">
        <w:rPr>
          <w:rFonts w:eastAsiaTheme="minorHAnsi" w:cstheme="minorBidi"/>
          <w:iCs/>
          <w:snapToGrid/>
          <w:szCs w:val="22"/>
        </w:rPr>
        <w:t xml:space="preserve">RSV-LRTD: </w:t>
      </w:r>
      <w:proofErr w:type="spellStart"/>
      <w:r w:rsidR="005C5E88" w:rsidRPr="00885AB3">
        <w:rPr>
          <w:rFonts w:eastAsiaTheme="minorHAnsi" w:cstheme="minorBidi"/>
          <w:iCs/>
          <w:snapToGrid/>
          <w:szCs w:val="22"/>
        </w:rPr>
        <w:t>ConquerRSV</w:t>
      </w:r>
      <w:proofErr w:type="spellEnd"/>
      <w:r w:rsidR="005C5E88" w:rsidRPr="00885AB3">
        <w:rPr>
          <w:rFonts w:eastAsiaTheme="minorHAnsi" w:cstheme="minorBidi"/>
          <w:iCs/>
          <w:snapToGrid/>
          <w:szCs w:val="22"/>
        </w:rPr>
        <w:t xml:space="preserve"> applied the broadest criteria</w:t>
      </w:r>
      <w:r w:rsidR="00DC72CD" w:rsidRPr="00885AB3">
        <w:rPr>
          <w:rFonts w:eastAsiaTheme="minorHAnsi" w:cstheme="minorBidi"/>
          <w:iCs/>
          <w:snapToGrid/>
          <w:szCs w:val="22"/>
        </w:rPr>
        <w:t xml:space="preserve"> for the definition of RSV-LRTD</w:t>
      </w:r>
      <w:r w:rsidR="005C5E88" w:rsidRPr="00885AB3">
        <w:rPr>
          <w:rFonts w:eastAsiaTheme="minorHAnsi" w:cstheme="minorBidi"/>
          <w:iCs/>
          <w:snapToGrid/>
          <w:szCs w:val="22"/>
        </w:rPr>
        <w:t>, incorporating a wider combination of possible signs and symptoms than AReSVi-006</w:t>
      </w:r>
      <w:r w:rsidR="00154353" w:rsidRPr="00885AB3">
        <w:rPr>
          <w:rFonts w:eastAsiaTheme="minorHAnsi" w:cstheme="minorBidi"/>
          <w:iCs/>
          <w:snapToGrid/>
          <w:szCs w:val="22"/>
        </w:rPr>
        <w:t xml:space="preserve"> and RENOIR. </w:t>
      </w:r>
      <w:proofErr w:type="spellStart"/>
      <w:r w:rsidR="005C5E88" w:rsidRPr="00885AB3">
        <w:rPr>
          <w:rFonts w:eastAsiaTheme="minorHAnsi" w:cstheme="minorBidi"/>
          <w:iCs/>
          <w:snapToGrid/>
          <w:szCs w:val="22"/>
        </w:rPr>
        <w:t>ConquerRSV</w:t>
      </w:r>
      <w:proofErr w:type="spellEnd"/>
      <w:r w:rsidR="005C5E88" w:rsidRPr="00885AB3">
        <w:rPr>
          <w:rFonts w:eastAsiaTheme="minorHAnsi" w:cstheme="minorBidi"/>
          <w:iCs/>
          <w:snapToGrid/>
          <w:szCs w:val="22"/>
        </w:rPr>
        <w:t xml:space="preserve"> was </w:t>
      </w:r>
      <w:r w:rsidR="00154353" w:rsidRPr="00885AB3">
        <w:rPr>
          <w:rFonts w:eastAsiaTheme="minorHAnsi" w:cstheme="minorBidi"/>
          <w:iCs/>
          <w:snapToGrid/>
          <w:szCs w:val="22"/>
        </w:rPr>
        <w:t xml:space="preserve">therefore </w:t>
      </w:r>
      <w:r w:rsidR="005C5E88" w:rsidRPr="00885AB3">
        <w:rPr>
          <w:rFonts w:eastAsiaTheme="minorHAnsi" w:cstheme="minorBidi"/>
          <w:iCs/>
          <w:snapToGrid/>
          <w:szCs w:val="22"/>
        </w:rPr>
        <w:t xml:space="preserve">more likely to capture a greater number of cases, including milder presentations, compared with the other trials. There is the possibility that this would </w:t>
      </w:r>
      <w:r w:rsidR="00DC72CD" w:rsidRPr="00885AB3">
        <w:rPr>
          <w:rFonts w:eastAsiaTheme="minorHAnsi" w:cstheme="minorBidi"/>
          <w:iCs/>
          <w:snapToGrid/>
          <w:szCs w:val="22"/>
        </w:rPr>
        <w:t xml:space="preserve">bias the results of the ITC, noting that </w:t>
      </w:r>
      <w:r w:rsidR="005C5E88" w:rsidRPr="00885AB3">
        <w:rPr>
          <w:rFonts w:eastAsiaTheme="minorHAnsi" w:cstheme="minorBidi"/>
          <w:iCs/>
          <w:snapToGrid/>
          <w:szCs w:val="22"/>
        </w:rPr>
        <w:t>ATAGI stated ITCs performed on relative outcomes may not be affected by small differences in outcome definitions (ATAGI Advice, June 2025).</w:t>
      </w:r>
    </w:p>
    <w:p w14:paraId="7B49A850" w14:textId="3B243229" w:rsidR="006A1AFC" w:rsidRPr="00885AB3" w:rsidRDefault="006A1AFC" w:rsidP="00120D61">
      <w:pPr>
        <w:pStyle w:val="3-BodyText"/>
        <w:numPr>
          <w:ilvl w:val="1"/>
          <w:numId w:val="27"/>
        </w:numPr>
        <w:ind w:left="1134"/>
        <w:rPr>
          <w:iCs/>
        </w:rPr>
      </w:pPr>
      <w:r w:rsidRPr="00885AB3">
        <w:rPr>
          <w:iCs/>
        </w:rPr>
        <w:lastRenderedPageBreak/>
        <w:t xml:space="preserve">The submission presented </w:t>
      </w:r>
      <w:proofErr w:type="gramStart"/>
      <w:r w:rsidRPr="00885AB3">
        <w:rPr>
          <w:iCs/>
        </w:rPr>
        <w:t>a number of</w:t>
      </w:r>
      <w:proofErr w:type="gramEnd"/>
      <w:r w:rsidRPr="00885AB3">
        <w:rPr>
          <w:iCs/>
        </w:rPr>
        <w:t xml:space="preserve"> scenarios based on different DCOs and follow-up periods across the 3 trials (see further discussion in paragraph </w:t>
      </w:r>
      <w:r w:rsidRPr="00885AB3">
        <w:rPr>
          <w:iCs/>
        </w:rPr>
        <w:fldChar w:fldCharType="begin" w:fldLock="1"/>
      </w:r>
      <w:r w:rsidRPr="00885AB3">
        <w:rPr>
          <w:iCs/>
        </w:rPr>
        <w:instrText xml:space="preserve"> REF _Ref206098506 \r \h </w:instrText>
      </w:r>
      <w:r w:rsidR="00D26178" w:rsidRPr="00885AB3">
        <w:rPr>
          <w:iCs/>
        </w:rPr>
        <w:instrText xml:space="preserve"> \* MERGEFORMAT </w:instrText>
      </w:r>
      <w:r w:rsidRPr="00885AB3">
        <w:rPr>
          <w:iCs/>
        </w:rPr>
      </w:r>
      <w:r w:rsidRPr="00885AB3">
        <w:rPr>
          <w:iCs/>
        </w:rPr>
        <w:fldChar w:fldCharType="separate"/>
      </w:r>
      <w:r w:rsidR="00515933" w:rsidRPr="00885AB3">
        <w:rPr>
          <w:iCs/>
        </w:rPr>
        <w:t>6.31</w:t>
      </w:r>
      <w:r w:rsidRPr="00885AB3">
        <w:rPr>
          <w:iCs/>
        </w:rPr>
        <w:fldChar w:fldCharType="end"/>
      </w:r>
      <w:r w:rsidRPr="00885AB3">
        <w:rPr>
          <w:iCs/>
        </w:rPr>
        <w:t xml:space="preserve">). The </w:t>
      </w:r>
      <w:r w:rsidR="00075F89" w:rsidRPr="00885AB3">
        <w:rPr>
          <w:iCs/>
        </w:rPr>
        <w:t xml:space="preserve">submission’s </w:t>
      </w:r>
      <w:r w:rsidRPr="00885AB3">
        <w:rPr>
          <w:iCs/>
        </w:rPr>
        <w:t>ITC base case analysis was based on the 3.7, 7.1</w:t>
      </w:r>
      <w:r w:rsidR="00E47DED" w:rsidRPr="00885AB3">
        <w:rPr>
          <w:iCs/>
        </w:rPr>
        <w:t>,</w:t>
      </w:r>
      <w:r w:rsidRPr="00885AB3">
        <w:rPr>
          <w:iCs/>
        </w:rPr>
        <w:t xml:space="preserve"> and 6.7 months median time to follow</w:t>
      </w:r>
      <w:r w:rsidR="00637ECA" w:rsidRPr="00885AB3">
        <w:rPr>
          <w:iCs/>
        </w:rPr>
        <w:t>-</w:t>
      </w:r>
      <w:r w:rsidRPr="00885AB3">
        <w:rPr>
          <w:iCs/>
        </w:rPr>
        <w:t xml:space="preserve">up in </w:t>
      </w:r>
      <w:proofErr w:type="spellStart"/>
      <w:r w:rsidRPr="00885AB3">
        <w:rPr>
          <w:iCs/>
        </w:rPr>
        <w:t>ConquerRSV</w:t>
      </w:r>
      <w:proofErr w:type="spellEnd"/>
      <w:r w:rsidRPr="00885AB3">
        <w:rPr>
          <w:iCs/>
        </w:rPr>
        <w:t>, RENOIR</w:t>
      </w:r>
      <w:r w:rsidR="00E47DED" w:rsidRPr="00885AB3">
        <w:rPr>
          <w:iCs/>
        </w:rPr>
        <w:t>,</w:t>
      </w:r>
      <w:r w:rsidRPr="00885AB3">
        <w:rPr>
          <w:iCs/>
        </w:rPr>
        <w:t xml:space="preserve"> and AReSVi-006, respectively. Given the short</w:t>
      </w:r>
      <w:r w:rsidR="00F729D0" w:rsidRPr="00885AB3">
        <w:rPr>
          <w:iCs/>
        </w:rPr>
        <w:t>er</w:t>
      </w:r>
      <w:r w:rsidRPr="00885AB3">
        <w:rPr>
          <w:iCs/>
        </w:rPr>
        <w:t xml:space="preserve"> median time to follow</w:t>
      </w:r>
      <w:r w:rsidR="00637ECA" w:rsidRPr="00885AB3">
        <w:rPr>
          <w:iCs/>
        </w:rPr>
        <w:t>-</w:t>
      </w:r>
      <w:r w:rsidRPr="00885AB3">
        <w:rPr>
          <w:iCs/>
        </w:rPr>
        <w:t xml:space="preserve">up in </w:t>
      </w:r>
      <w:proofErr w:type="spellStart"/>
      <w:r w:rsidRPr="00885AB3">
        <w:rPr>
          <w:iCs/>
        </w:rPr>
        <w:t>ConquerRSV</w:t>
      </w:r>
      <w:proofErr w:type="spellEnd"/>
      <w:r w:rsidR="00207A11" w:rsidRPr="00885AB3">
        <w:rPr>
          <w:iCs/>
        </w:rPr>
        <w:t xml:space="preserve"> compared with RENOIR and AReSVi-006</w:t>
      </w:r>
      <w:r w:rsidR="0044335B" w:rsidRPr="00885AB3">
        <w:rPr>
          <w:iCs/>
        </w:rPr>
        <w:t>,</w:t>
      </w:r>
      <w:r w:rsidRPr="00885AB3">
        <w:rPr>
          <w:iCs/>
        </w:rPr>
        <w:t xml:space="preserve"> this comparison is </w:t>
      </w:r>
      <w:r w:rsidR="00AD096D" w:rsidRPr="00885AB3">
        <w:rPr>
          <w:iCs/>
        </w:rPr>
        <w:t xml:space="preserve">prone to bias </w:t>
      </w:r>
      <w:r w:rsidR="00EA4B87" w:rsidRPr="00885AB3">
        <w:rPr>
          <w:iCs/>
        </w:rPr>
        <w:t xml:space="preserve">favouring </w:t>
      </w:r>
      <w:r w:rsidR="002F12C6" w:rsidRPr="00885AB3">
        <w:rPr>
          <w:iCs/>
        </w:rPr>
        <w:t>mRNA-1345</w:t>
      </w:r>
      <w:r w:rsidR="00A943F7" w:rsidRPr="00885AB3">
        <w:rPr>
          <w:iCs/>
        </w:rPr>
        <w:t xml:space="preserve"> as </w:t>
      </w:r>
      <w:r w:rsidR="00A81C12" w:rsidRPr="00885AB3">
        <w:rPr>
          <w:iCs/>
        </w:rPr>
        <w:t>v</w:t>
      </w:r>
      <w:r w:rsidR="00754D07" w:rsidRPr="00885AB3">
        <w:rPr>
          <w:iCs/>
        </w:rPr>
        <w:t>accine efficacy wanes over time</w:t>
      </w:r>
      <w:r w:rsidR="003F0853" w:rsidRPr="00885AB3">
        <w:rPr>
          <w:iCs/>
        </w:rPr>
        <w:t>.</w:t>
      </w:r>
      <w:r w:rsidR="001C78D7">
        <w:rPr>
          <w:iCs/>
        </w:rPr>
        <w:t xml:space="preserve"> </w:t>
      </w:r>
    </w:p>
    <w:p w14:paraId="53CAF4EE" w14:textId="77777777" w:rsidR="006A1AFC" w:rsidRPr="00885AB3" w:rsidRDefault="006A1AFC" w:rsidP="00120D61">
      <w:pPr>
        <w:pStyle w:val="4-SubsectionHeading"/>
      </w:pPr>
      <w:bookmarkStart w:id="52" w:name="_Toc22897641"/>
      <w:bookmarkStart w:id="53" w:name="_Toc205822152"/>
      <w:bookmarkStart w:id="54" w:name="_Toc208998505"/>
      <w:r w:rsidRPr="00885AB3">
        <w:t>Comparative effectiveness</w:t>
      </w:r>
      <w:bookmarkEnd w:id="52"/>
      <w:bookmarkEnd w:id="53"/>
      <w:bookmarkEnd w:id="54"/>
    </w:p>
    <w:p w14:paraId="2C232FA5" w14:textId="77777777" w:rsidR="006A1AFC" w:rsidRPr="00885AB3" w:rsidRDefault="006A1AFC" w:rsidP="00120D61">
      <w:pPr>
        <w:pStyle w:val="5-SubsectionSubheading"/>
        <w:rPr>
          <w:lang w:eastAsia="en-US"/>
        </w:rPr>
      </w:pPr>
      <w:bookmarkStart w:id="55" w:name="_Toc205822153"/>
      <w:bookmarkStart w:id="56" w:name="_Toc208998506"/>
      <w:r w:rsidRPr="00885AB3">
        <w:rPr>
          <w:lang w:eastAsia="en-US"/>
        </w:rPr>
        <w:t xml:space="preserve">mRNA-1345 versus </w:t>
      </w:r>
      <w:r w:rsidRPr="00885AB3">
        <w:t>placebo</w:t>
      </w:r>
      <w:bookmarkEnd w:id="55"/>
      <w:bookmarkEnd w:id="56"/>
    </w:p>
    <w:p w14:paraId="5CE796F8" w14:textId="4D9A9EFA" w:rsidR="006A1AFC" w:rsidRPr="00885AB3" w:rsidRDefault="006A1AFC" w:rsidP="00120D61">
      <w:pPr>
        <w:pStyle w:val="3-BodyText"/>
      </w:pPr>
      <w:r w:rsidRPr="00885AB3">
        <w:t xml:space="preserve">Cumulative VE for the primary outcome, prevention of first episode of RSV-LRTD with </w:t>
      </w:r>
      <w:r w:rsidR="00EF2FA4">
        <w:t xml:space="preserve">≥ </w:t>
      </w:r>
      <w:r w:rsidRPr="00885AB3">
        <w:t xml:space="preserve">2 symptoms </w:t>
      </w:r>
      <w:r w:rsidR="00E84CAC" w:rsidRPr="00885AB3">
        <w:t xml:space="preserve">is </w:t>
      </w:r>
      <w:r w:rsidRPr="00885AB3">
        <w:t xml:space="preserve">presented in </w:t>
      </w:r>
      <w:r w:rsidRPr="00885AB3">
        <w:fldChar w:fldCharType="begin" w:fldLock="1"/>
      </w:r>
      <w:r w:rsidRPr="00885AB3">
        <w:instrText xml:space="preserve"> REF _Ref205296965 \h  \* MERGEFORMAT </w:instrText>
      </w:r>
      <w:r w:rsidRPr="00885AB3">
        <w:fldChar w:fldCharType="separate"/>
      </w:r>
      <w:r w:rsidR="00515933" w:rsidRPr="00885AB3">
        <w:t>Table 5</w:t>
      </w:r>
      <w:r w:rsidRPr="00885AB3">
        <w:fldChar w:fldCharType="end"/>
      </w:r>
      <w:r w:rsidRPr="00885AB3">
        <w:t xml:space="preserve"> </w:t>
      </w:r>
      <w:r w:rsidR="00E84CAC" w:rsidRPr="00885AB3">
        <w:t xml:space="preserve">for two DCO points (median follow-up of 3.7 months and 8.6 months), </w:t>
      </w:r>
      <w:r w:rsidRPr="00885AB3">
        <w:t xml:space="preserve">and the corresponding cumulative incidence curves </w:t>
      </w:r>
      <w:r w:rsidR="00E84CAC" w:rsidRPr="00885AB3">
        <w:t xml:space="preserve">are shown </w:t>
      </w:r>
      <w:r w:rsidRPr="00885AB3">
        <w:t>in</w:t>
      </w:r>
      <w:r w:rsidR="009C2542" w:rsidRPr="00885AB3">
        <w:t xml:space="preserve"> </w:t>
      </w:r>
      <w:r w:rsidR="009C2542" w:rsidRPr="00885AB3">
        <w:fldChar w:fldCharType="begin" w:fldLock="1"/>
      </w:r>
      <w:r w:rsidR="009C2542" w:rsidRPr="00885AB3">
        <w:instrText xml:space="preserve"> REF _Ref212568790 \h </w:instrText>
      </w:r>
      <w:r w:rsidR="009C2542" w:rsidRPr="00885AB3">
        <w:fldChar w:fldCharType="separate"/>
      </w:r>
      <w:r w:rsidR="00515933" w:rsidRPr="00885AB3">
        <w:t>Figure 1</w:t>
      </w:r>
      <w:r w:rsidR="009C2542" w:rsidRPr="00885AB3">
        <w:fldChar w:fldCharType="end"/>
      </w:r>
      <w:r w:rsidRPr="00885AB3">
        <w:t>.</w:t>
      </w:r>
      <w:r w:rsidR="00E84CAC" w:rsidRPr="00885AB3">
        <w:t xml:space="preserve"> </w:t>
      </w:r>
      <w:r w:rsidR="00321103" w:rsidRPr="00885AB3">
        <w:t>To estimate VE at 12 months, p</w:t>
      </w:r>
      <w:r w:rsidR="002D40DF" w:rsidRPr="00885AB3">
        <w:t xml:space="preserve">articipants </w:t>
      </w:r>
      <w:r w:rsidR="001B7E0D" w:rsidRPr="00885AB3">
        <w:t xml:space="preserve">without the event </w:t>
      </w:r>
      <w:r w:rsidR="002D40DF" w:rsidRPr="00885AB3">
        <w:t>were censored at 12 months</w:t>
      </w:r>
      <w:r w:rsidR="00321103" w:rsidRPr="00885AB3">
        <w:t xml:space="preserve">. </w:t>
      </w:r>
    </w:p>
    <w:p w14:paraId="3B97939E" w14:textId="084BD752" w:rsidR="006A1AFC" w:rsidRPr="00885AB3" w:rsidRDefault="006A1AFC" w:rsidP="00120D61">
      <w:pPr>
        <w:pStyle w:val="TableHeading"/>
        <w:keepLines/>
      </w:pPr>
      <w:bookmarkStart w:id="57" w:name="_Ref205296965"/>
      <w:r w:rsidRPr="00885AB3">
        <w:lastRenderedPageBreak/>
        <w:t xml:space="preserve">Table </w:t>
      </w:r>
      <w:r w:rsidR="008A242D" w:rsidRPr="00885AB3">
        <w:fldChar w:fldCharType="begin" w:fldLock="1"/>
      </w:r>
      <w:r w:rsidR="008A242D" w:rsidRPr="00885AB3">
        <w:instrText xml:space="preserve"> SEQ Table \* ARABIC </w:instrText>
      </w:r>
      <w:r w:rsidR="008A242D" w:rsidRPr="00885AB3">
        <w:fldChar w:fldCharType="separate"/>
      </w:r>
      <w:r w:rsidR="00515933" w:rsidRPr="00885AB3">
        <w:t>5</w:t>
      </w:r>
      <w:r w:rsidR="008A242D" w:rsidRPr="00885AB3">
        <w:fldChar w:fldCharType="end"/>
      </w:r>
      <w:bookmarkEnd w:id="57"/>
      <w:r w:rsidRPr="00885AB3">
        <w:t xml:space="preserve">: </w:t>
      </w:r>
      <w:bookmarkStart w:id="58" w:name="_Ref205297016"/>
      <w:r w:rsidRPr="00885AB3">
        <w:t xml:space="preserve">Cumulative VE up to 12 </w:t>
      </w:r>
      <w:proofErr w:type="spellStart"/>
      <w:r w:rsidRPr="00885AB3">
        <w:t>months</w:t>
      </w:r>
      <w:r w:rsidR="00A05114" w:rsidRPr="00885AB3">
        <w:rPr>
          <w:vertAlign w:val="superscript"/>
        </w:rPr>
        <w:t>a</w:t>
      </w:r>
      <w:proofErr w:type="spellEnd"/>
      <w:r w:rsidRPr="00885AB3">
        <w:t xml:space="preserve"> in </w:t>
      </w:r>
      <w:proofErr w:type="spellStart"/>
      <w:r w:rsidRPr="00885AB3">
        <w:t>ConquerRSV</w:t>
      </w:r>
      <w:proofErr w:type="spellEnd"/>
      <w:r w:rsidRPr="00885AB3">
        <w:t xml:space="preserve"> for the prevention of RSV-LRTD with </w:t>
      </w:r>
      <w:r w:rsidR="00EF2FA4">
        <w:t xml:space="preserve">≥ </w:t>
      </w:r>
      <w:r w:rsidRPr="00885AB3">
        <w:t xml:space="preserve">2 symptoms in participants </w:t>
      </w:r>
      <w:r w:rsidR="00EF2FA4">
        <w:t xml:space="preserve">≥ </w:t>
      </w:r>
      <w:r w:rsidRPr="00885AB3">
        <w:t>60 YOA (single dose, PPE set, primary data analysis</w:t>
      </w:r>
      <w:r w:rsidR="00052F94" w:rsidRPr="00885AB3">
        <w:t>)</w:t>
      </w:r>
      <w:r w:rsidRPr="00885AB3">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5: Cumulative VE up to 12 monthsa in ConquerRSV for the prevention of RSV-LRTD with ≥2 symptoms in participants ≥60 YOA (single dose, PPE set, primary data analysis) "/>
      </w:tblPr>
      <w:tblGrid>
        <w:gridCol w:w="1702"/>
        <w:gridCol w:w="777"/>
        <w:gridCol w:w="752"/>
        <w:gridCol w:w="745"/>
        <w:gridCol w:w="813"/>
        <w:gridCol w:w="729"/>
        <w:gridCol w:w="754"/>
        <w:gridCol w:w="606"/>
        <w:gridCol w:w="947"/>
        <w:gridCol w:w="1192"/>
      </w:tblGrid>
      <w:tr w:rsidR="00227659" w:rsidRPr="00885AB3" w14:paraId="09C27131" w14:textId="77777777" w:rsidTr="00930E3F">
        <w:trPr>
          <w:trHeight w:val="170"/>
          <w:tblHeader/>
        </w:trPr>
        <w:tc>
          <w:tcPr>
            <w:tcW w:w="944" w:type="pct"/>
            <w:vMerge w:val="restart"/>
            <w:vAlign w:val="center"/>
          </w:tcPr>
          <w:p w14:paraId="4106E0FA" w14:textId="77777777" w:rsidR="006A1AFC" w:rsidRPr="00885AB3" w:rsidRDefault="006A1AFC" w:rsidP="00120D61">
            <w:pPr>
              <w:pStyle w:val="In-tableHeading"/>
            </w:pPr>
            <w:r w:rsidRPr="00885AB3">
              <w:t>Primary endpoints</w:t>
            </w:r>
          </w:p>
        </w:tc>
        <w:tc>
          <w:tcPr>
            <w:tcW w:w="1712" w:type="pct"/>
            <w:gridSpan w:val="4"/>
            <w:vAlign w:val="center"/>
            <w:hideMark/>
          </w:tcPr>
          <w:p w14:paraId="3FF1A2B9" w14:textId="77777777" w:rsidR="006A1AFC" w:rsidRPr="00885AB3" w:rsidRDefault="006A1AFC" w:rsidP="00120D61">
            <w:pPr>
              <w:pStyle w:val="In-tableHeading"/>
              <w:jc w:val="center"/>
            </w:pPr>
            <w:r w:rsidRPr="00885AB3">
              <w:t>mRNA-1345</w:t>
            </w:r>
          </w:p>
        </w:tc>
        <w:tc>
          <w:tcPr>
            <w:tcW w:w="1683" w:type="pct"/>
            <w:gridSpan w:val="4"/>
            <w:vAlign w:val="center"/>
          </w:tcPr>
          <w:p w14:paraId="33FC6D1F" w14:textId="77777777" w:rsidR="006A1AFC" w:rsidRPr="00885AB3" w:rsidRDefault="006A1AFC" w:rsidP="00120D61">
            <w:pPr>
              <w:pStyle w:val="In-tableHeading"/>
              <w:jc w:val="center"/>
            </w:pPr>
            <w:r w:rsidRPr="00885AB3">
              <w:t>Placebo</w:t>
            </w:r>
          </w:p>
        </w:tc>
        <w:tc>
          <w:tcPr>
            <w:tcW w:w="653" w:type="pct"/>
            <w:vAlign w:val="center"/>
            <w:hideMark/>
          </w:tcPr>
          <w:p w14:paraId="75F316E6" w14:textId="23520E32" w:rsidR="006A1AFC" w:rsidRPr="00885AB3" w:rsidRDefault="006A1AFC" w:rsidP="00120D61">
            <w:pPr>
              <w:pStyle w:val="In-tableHeading"/>
              <w:jc w:val="center"/>
              <w:rPr>
                <w:vertAlign w:val="superscript"/>
              </w:rPr>
            </w:pPr>
            <w:proofErr w:type="spellStart"/>
            <w:r w:rsidRPr="00885AB3">
              <w:t>VE</w:t>
            </w:r>
            <w:r w:rsidR="002F06E8" w:rsidRPr="00885AB3">
              <w:rPr>
                <w:vertAlign w:val="superscript"/>
              </w:rPr>
              <w:t>b</w:t>
            </w:r>
            <w:proofErr w:type="spellEnd"/>
            <w:r w:rsidRPr="00885AB3">
              <w:t xml:space="preserve"> % </w:t>
            </w:r>
            <w:proofErr w:type="spellStart"/>
            <w:r w:rsidRPr="00885AB3">
              <w:t>CI</w:t>
            </w:r>
            <w:r w:rsidR="002F06E8" w:rsidRPr="00885AB3">
              <w:rPr>
                <w:vertAlign w:val="superscript"/>
              </w:rPr>
              <w:t>c</w:t>
            </w:r>
            <w:proofErr w:type="spellEnd"/>
          </w:p>
        </w:tc>
      </w:tr>
      <w:tr w:rsidR="00C50000" w:rsidRPr="00885AB3" w14:paraId="5585DCF9" w14:textId="77777777" w:rsidTr="00930E3F">
        <w:trPr>
          <w:trHeight w:val="170"/>
          <w:tblHeader/>
        </w:trPr>
        <w:tc>
          <w:tcPr>
            <w:tcW w:w="944" w:type="pct"/>
            <w:vMerge/>
            <w:vAlign w:val="center"/>
          </w:tcPr>
          <w:p w14:paraId="037D0D31" w14:textId="77777777" w:rsidR="006A1AFC" w:rsidRPr="00885AB3" w:rsidRDefault="006A1AFC" w:rsidP="00120D61">
            <w:pPr>
              <w:pStyle w:val="In-tableHeading"/>
            </w:pPr>
          </w:p>
        </w:tc>
        <w:tc>
          <w:tcPr>
            <w:tcW w:w="431" w:type="pct"/>
            <w:vAlign w:val="center"/>
            <w:hideMark/>
          </w:tcPr>
          <w:p w14:paraId="6F6FC09A" w14:textId="77777777" w:rsidR="006A1AFC" w:rsidRPr="00885AB3" w:rsidRDefault="006A1AFC" w:rsidP="00120D61">
            <w:pPr>
              <w:pStyle w:val="In-tableHeading"/>
              <w:jc w:val="center"/>
            </w:pPr>
            <w:r w:rsidRPr="00885AB3">
              <w:t>N</w:t>
            </w:r>
          </w:p>
        </w:tc>
        <w:tc>
          <w:tcPr>
            <w:tcW w:w="417" w:type="pct"/>
            <w:vAlign w:val="center"/>
            <w:hideMark/>
          </w:tcPr>
          <w:p w14:paraId="2D3CCFCE" w14:textId="77777777" w:rsidR="006A1AFC" w:rsidRPr="00885AB3" w:rsidRDefault="006A1AFC" w:rsidP="00120D61">
            <w:pPr>
              <w:pStyle w:val="In-tableHeading"/>
              <w:jc w:val="center"/>
            </w:pPr>
            <w:r w:rsidRPr="00885AB3">
              <w:t>n (%)</w:t>
            </w:r>
          </w:p>
        </w:tc>
        <w:tc>
          <w:tcPr>
            <w:tcW w:w="413" w:type="pct"/>
            <w:vAlign w:val="center"/>
            <w:hideMark/>
          </w:tcPr>
          <w:p w14:paraId="10FCCF0E" w14:textId="77777777" w:rsidR="006A1AFC" w:rsidRPr="00885AB3" w:rsidRDefault="006A1AFC" w:rsidP="00120D61">
            <w:pPr>
              <w:pStyle w:val="In-tableHeading"/>
              <w:jc w:val="center"/>
            </w:pPr>
            <w:r w:rsidRPr="00885AB3">
              <w:t>T (person years)</w:t>
            </w:r>
          </w:p>
        </w:tc>
        <w:tc>
          <w:tcPr>
            <w:tcW w:w="451" w:type="pct"/>
            <w:vAlign w:val="center"/>
          </w:tcPr>
          <w:p w14:paraId="4DA00EEC" w14:textId="77777777" w:rsidR="006A1AFC" w:rsidRPr="00885AB3" w:rsidRDefault="006A1AFC" w:rsidP="00120D61">
            <w:pPr>
              <w:pStyle w:val="In-tableHeading"/>
              <w:jc w:val="center"/>
            </w:pPr>
            <w:r w:rsidRPr="00885AB3">
              <w:t>n/T per 1000 (95% CI)</w:t>
            </w:r>
          </w:p>
        </w:tc>
        <w:tc>
          <w:tcPr>
            <w:tcW w:w="404" w:type="pct"/>
            <w:vAlign w:val="center"/>
            <w:hideMark/>
          </w:tcPr>
          <w:p w14:paraId="10694E7A" w14:textId="77777777" w:rsidR="006A1AFC" w:rsidRPr="00885AB3" w:rsidRDefault="006A1AFC" w:rsidP="00120D61">
            <w:pPr>
              <w:pStyle w:val="In-tableHeading"/>
              <w:jc w:val="center"/>
            </w:pPr>
            <w:r w:rsidRPr="00885AB3">
              <w:t>N</w:t>
            </w:r>
          </w:p>
        </w:tc>
        <w:tc>
          <w:tcPr>
            <w:tcW w:w="418" w:type="pct"/>
            <w:vAlign w:val="center"/>
            <w:hideMark/>
          </w:tcPr>
          <w:p w14:paraId="32F45086" w14:textId="77777777" w:rsidR="006A1AFC" w:rsidRPr="00885AB3" w:rsidRDefault="006A1AFC" w:rsidP="00120D61">
            <w:pPr>
              <w:pStyle w:val="In-tableHeading"/>
              <w:jc w:val="center"/>
            </w:pPr>
            <w:r w:rsidRPr="00885AB3">
              <w:t>n (%)</w:t>
            </w:r>
          </w:p>
        </w:tc>
        <w:tc>
          <w:tcPr>
            <w:tcW w:w="336" w:type="pct"/>
            <w:vAlign w:val="center"/>
          </w:tcPr>
          <w:p w14:paraId="61C1F2FA" w14:textId="77777777" w:rsidR="006A1AFC" w:rsidRPr="00885AB3" w:rsidRDefault="006A1AFC" w:rsidP="00120D61">
            <w:pPr>
              <w:pStyle w:val="In-tableHeading"/>
              <w:jc w:val="center"/>
            </w:pPr>
            <w:r w:rsidRPr="00885AB3">
              <w:t>T (year)</w:t>
            </w:r>
          </w:p>
        </w:tc>
        <w:tc>
          <w:tcPr>
            <w:tcW w:w="525" w:type="pct"/>
            <w:vAlign w:val="center"/>
            <w:hideMark/>
          </w:tcPr>
          <w:p w14:paraId="689359E7" w14:textId="77777777" w:rsidR="006A1AFC" w:rsidRPr="00885AB3" w:rsidRDefault="006A1AFC" w:rsidP="00120D61">
            <w:pPr>
              <w:pStyle w:val="In-tableHeading"/>
              <w:jc w:val="center"/>
            </w:pPr>
            <w:r w:rsidRPr="00885AB3">
              <w:t>n/T (per 1000)</w:t>
            </w:r>
          </w:p>
        </w:tc>
        <w:tc>
          <w:tcPr>
            <w:tcW w:w="653" w:type="pct"/>
            <w:vAlign w:val="center"/>
            <w:hideMark/>
          </w:tcPr>
          <w:p w14:paraId="77ECE122" w14:textId="77777777" w:rsidR="006A1AFC" w:rsidRPr="00885AB3" w:rsidRDefault="006A1AFC" w:rsidP="00120D61">
            <w:pPr>
              <w:pStyle w:val="TableText0"/>
              <w:keepNext/>
              <w:rPr>
                <w:szCs w:val="20"/>
              </w:rPr>
            </w:pPr>
          </w:p>
        </w:tc>
      </w:tr>
      <w:tr w:rsidR="006A1AFC" w:rsidRPr="00885AB3" w14:paraId="0AC5C249" w14:textId="77777777" w:rsidTr="000A1074">
        <w:trPr>
          <w:trHeight w:val="170"/>
        </w:trPr>
        <w:tc>
          <w:tcPr>
            <w:tcW w:w="5000" w:type="pct"/>
            <w:gridSpan w:val="10"/>
            <w:tcBorders>
              <w:top w:val="single" w:sz="4" w:space="0" w:color="auto"/>
              <w:left w:val="single" w:sz="4" w:space="0" w:color="auto"/>
              <w:right w:val="single" w:sz="4" w:space="0" w:color="auto"/>
            </w:tcBorders>
            <w:vAlign w:val="center"/>
          </w:tcPr>
          <w:p w14:paraId="0B7B0D9C" w14:textId="308EAB83" w:rsidR="006A1AFC" w:rsidRPr="00885AB3" w:rsidRDefault="006A1AFC" w:rsidP="00120D61">
            <w:pPr>
              <w:pStyle w:val="TableText0"/>
              <w:keepNext/>
              <w:jc w:val="left"/>
              <w:rPr>
                <w:b/>
                <w:bCs/>
                <w:szCs w:val="20"/>
              </w:rPr>
            </w:pPr>
            <w:r w:rsidRPr="00885AB3">
              <w:rPr>
                <w:b/>
                <w:bCs/>
                <w:szCs w:val="20"/>
              </w:rPr>
              <w:t xml:space="preserve">Primary data analysis (VE up to 12 </w:t>
            </w:r>
            <w:proofErr w:type="spellStart"/>
            <w:r w:rsidRPr="00885AB3">
              <w:rPr>
                <w:b/>
                <w:bCs/>
                <w:szCs w:val="20"/>
              </w:rPr>
              <w:t>months</w:t>
            </w:r>
            <w:r w:rsidR="00A05114" w:rsidRPr="00885AB3">
              <w:rPr>
                <w:b/>
                <w:bCs/>
                <w:szCs w:val="20"/>
                <w:vertAlign w:val="superscript"/>
              </w:rPr>
              <w:t>a</w:t>
            </w:r>
            <w:proofErr w:type="spellEnd"/>
            <w:r w:rsidRPr="00885AB3">
              <w:rPr>
                <w:b/>
                <w:bCs/>
                <w:szCs w:val="20"/>
              </w:rPr>
              <w:t>) - median follow-up time = 3.7 months</w:t>
            </w:r>
          </w:p>
        </w:tc>
      </w:tr>
      <w:tr w:rsidR="00C50000" w:rsidRPr="00885AB3" w14:paraId="6AF2709E" w14:textId="77777777" w:rsidTr="00930E3F">
        <w:trPr>
          <w:trHeight w:val="170"/>
        </w:trPr>
        <w:tc>
          <w:tcPr>
            <w:tcW w:w="944" w:type="pct"/>
            <w:tcBorders>
              <w:left w:val="single" w:sz="4" w:space="0" w:color="auto"/>
              <w:right w:val="single" w:sz="4" w:space="0" w:color="auto"/>
            </w:tcBorders>
            <w:vAlign w:val="center"/>
          </w:tcPr>
          <w:p w14:paraId="5FBB2F3A" w14:textId="11C3889B" w:rsidR="006A1AFC" w:rsidRPr="00885AB3" w:rsidRDefault="006A1AFC" w:rsidP="00120D61">
            <w:pPr>
              <w:pStyle w:val="TableText0"/>
              <w:keepNext/>
              <w:jc w:val="left"/>
              <w:rPr>
                <w:szCs w:val="20"/>
              </w:rPr>
            </w:pPr>
            <w:r w:rsidRPr="00885AB3">
              <w:rPr>
                <w:szCs w:val="20"/>
              </w:rPr>
              <w:t xml:space="preserve">RT-PCR-confirmed RSV-LRTD </w:t>
            </w:r>
            <w:r w:rsidR="00EF2FA4">
              <w:rPr>
                <w:szCs w:val="20"/>
              </w:rPr>
              <w:t xml:space="preserve">≥ </w:t>
            </w:r>
            <w:r w:rsidRPr="00885AB3">
              <w:rPr>
                <w:szCs w:val="20"/>
              </w:rPr>
              <w:t>2 symptoms</w:t>
            </w:r>
          </w:p>
        </w:tc>
        <w:tc>
          <w:tcPr>
            <w:tcW w:w="431" w:type="pct"/>
            <w:tcBorders>
              <w:left w:val="single" w:sz="4" w:space="0" w:color="auto"/>
            </w:tcBorders>
            <w:vAlign w:val="center"/>
          </w:tcPr>
          <w:p w14:paraId="2B0FB391" w14:textId="1DF75162" w:rsidR="006A1AFC" w:rsidRPr="00885AB3" w:rsidRDefault="006A1AFC" w:rsidP="00120D61">
            <w:pPr>
              <w:pStyle w:val="TableText0"/>
              <w:keepNext/>
              <w:rPr>
                <w:szCs w:val="20"/>
                <w:vertAlign w:val="superscript"/>
              </w:rPr>
            </w:pPr>
            <w:r w:rsidRPr="00885AB3">
              <w:rPr>
                <w:szCs w:val="20"/>
              </w:rPr>
              <w:t>17,572</w:t>
            </w:r>
            <w:r w:rsidR="00C170A8" w:rsidRPr="00885AB3">
              <w:rPr>
                <w:szCs w:val="20"/>
                <w:vertAlign w:val="superscript"/>
              </w:rPr>
              <w:t>d</w:t>
            </w:r>
          </w:p>
        </w:tc>
        <w:tc>
          <w:tcPr>
            <w:tcW w:w="417" w:type="pct"/>
            <w:vAlign w:val="center"/>
          </w:tcPr>
          <w:p w14:paraId="14687FF2" w14:textId="77777777" w:rsidR="006A1AFC" w:rsidRPr="00885AB3" w:rsidRDefault="006A1AFC" w:rsidP="00120D61">
            <w:pPr>
              <w:pStyle w:val="TableText0"/>
              <w:keepNext/>
              <w:rPr>
                <w:szCs w:val="20"/>
              </w:rPr>
            </w:pPr>
            <w:r w:rsidRPr="00885AB3">
              <w:rPr>
                <w:szCs w:val="20"/>
              </w:rPr>
              <w:t>9 (0.1)</w:t>
            </w:r>
          </w:p>
        </w:tc>
        <w:tc>
          <w:tcPr>
            <w:tcW w:w="413" w:type="pct"/>
            <w:vAlign w:val="center"/>
          </w:tcPr>
          <w:p w14:paraId="08011838" w14:textId="77777777" w:rsidR="006A1AFC" w:rsidRPr="00885AB3" w:rsidRDefault="006A1AFC" w:rsidP="00120D61">
            <w:pPr>
              <w:pStyle w:val="TableText0"/>
              <w:keepNext/>
              <w:rPr>
                <w:szCs w:val="20"/>
              </w:rPr>
            </w:pPr>
            <w:r w:rsidRPr="00885AB3">
              <w:rPr>
                <w:szCs w:val="20"/>
              </w:rPr>
              <w:t>6,271</w:t>
            </w:r>
          </w:p>
        </w:tc>
        <w:tc>
          <w:tcPr>
            <w:tcW w:w="451" w:type="pct"/>
            <w:vAlign w:val="center"/>
          </w:tcPr>
          <w:p w14:paraId="7D836741" w14:textId="77777777" w:rsidR="00BB2407" w:rsidRPr="00885AB3" w:rsidRDefault="006A1AFC" w:rsidP="00120D61">
            <w:pPr>
              <w:pStyle w:val="TableText0"/>
              <w:keepNext/>
              <w:rPr>
                <w:szCs w:val="20"/>
              </w:rPr>
            </w:pPr>
            <w:r w:rsidRPr="00885AB3">
              <w:rPr>
                <w:szCs w:val="20"/>
              </w:rPr>
              <w:t xml:space="preserve">1.4 </w:t>
            </w:r>
          </w:p>
          <w:p w14:paraId="2D0AE3C0" w14:textId="65761152" w:rsidR="006A1AFC" w:rsidRPr="00885AB3" w:rsidRDefault="006A1AFC" w:rsidP="00120D61">
            <w:pPr>
              <w:pStyle w:val="TableText0"/>
              <w:keepNext/>
              <w:rPr>
                <w:color w:val="000000"/>
                <w:szCs w:val="20"/>
              </w:rPr>
            </w:pPr>
            <w:r w:rsidRPr="00885AB3">
              <w:rPr>
                <w:szCs w:val="20"/>
              </w:rPr>
              <w:t>(0.7, 2.7)</w:t>
            </w:r>
          </w:p>
        </w:tc>
        <w:tc>
          <w:tcPr>
            <w:tcW w:w="404" w:type="pct"/>
            <w:vAlign w:val="center"/>
          </w:tcPr>
          <w:p w14:paraId="15D01A90" w14:textId="77777777" w:rsidR="006A1AFC" w:rsidRPr="00885AB3" w:rsidRDefault="006A1AFC" w:rsidP="00120D61">
            <w:pPr>
              <w:pStyle w:val="TableText0"/>
              <w:keepNext/>
              <w:rPr>
                <w:szCs w:val="20"/>
              </w:rPr>
            </w:pPr>
            <w:r w:rsidRPr="00885AB3">
              <w:rPr>
                <w:szCs w:val="20"/>
              </w:rPr>
              <w:t>17,516</w:t>
            </w:r>
          </w:p>
        </w:tc>
        <w:tc>
          <w:tcPr>
            <w:tcW w:w="418" w:type="pct"/>
            <w:vAlign w:val="center"/>
          </w:tcPr>
          <w:p w14:paraId="6B97C9AC" w14:textId="77777777" w:rsidR="006A1AFC" w:rsidRPr="00885AB3" w:rsidRDefault="006A1AFC" w:rsidP="00120D61">
            <w:pPr>
              <w:pStyle w:val="TableText0"/>
              <w:keepNext/>
              <w:rPr>
                <w:szCs w:val="20"/>
              </w:rPr>
            </w:pPr>
            <w:r w:rsidRPr="00885AB3">
              <w:rPr>
                <w:szCs w:val="20"/>
              </w:rPr>
              <w:t>55 (0.3)</w:t>
            </w:r>
          </w:p>
        </w:tc>
        <w:tc>
          <w:tcPr>
            <w:tcW w:w="336" w:type="pct"/>
            <w:vAlign w:val="center"/>
          </w:tcPr>
          <w:p w14:paraId="3920B0A3" w14:textId="77777777" w:rsidR="006A1AFC" w:rsidRPr="00885AB3" w:rsidRDefault="006A1AFC" w:rsidP="00120D61">
            <w:pPr>
              <w:pStyle w:val="TableText0"/>
              <w:keepNext/>
              <w:rPr>
                <w:szCs w:val="20"/>
              </w:rPr>
            </w:pPr>
            <w:r w:rsidRPr="00885AB3">
              <w:rPr>
                <w:szCs w:val="20"/>
              </w:rPr>
              <w:t>6,254</w:t>
            </w:r>
          </w:p>
        </w:tc>
        <w:tc>
          <w:tcPr>
            <w:tcW w:w="525" w:type="pct"/>
            <w:vAlign w:val="center"/>
          </w:tcPr>
          <w:p w14:paraId="3B25A14B" w14:textId="77777777" w:rsidR="003C38F4" w:rsidRPr="00885AB3" w:rsidRDefault="006A1AFC" w:rsidP="00120D61">
            <w:pPr>
              <w:pStyle w:val="TableText0"/>
              <w:keepNext/>
              <w:rPr>
                <w:szCs w:val="20"/>
              </w:rPr>
            </w:pPr>
            <w:r w:rsidRPr="00885AB3">
              <w:rPr>
                <w:szCs w:val="20"/>
              </w:rPr>
              <w:t xml:space="preserve">8.8 </w:t>
            </w:r>
          </w:p>
          <w:p w14:paraId="36253F72" w14:textId="1592C894" w:rsidR="006A1AFC" w:rsidRPr="00885AB3" w:rsidRDefault="006A1AFC" w:rsidP="00120D61">
            <w:pPr>
              <w:pStyle w:val="TableText0"/>
              <w:keepNext/>
              <w:rPr>
                <w:szCs w:val="20"/>
              </w:rPr>
            </w:pPr>
            <w:r w:rsidRPr="00885AB3">
              <w:rPr>
                <w:szCs w:val="20"/>
              </w:rPr>
              <w:t>(6.6, 11.5)</w:t>
            </w:r>
          </w:p>
        </w:tc>
        <w:tc>
          <w:tcPr>
            <w:tcW w:w="653" w:type="pct"/>
            <w:vAlign w:val="center"/>
          </w:tcPr>
          <w:p w14:paraId="12BF10F6" w14:textId="77777777" w:rsidR="003C38F4" w:rsidRPr="00885AB3" w:rsidRDefault="006A1AFC" w:rsidP="00120D61">
            <w:pPr>
              <w:pStyle w:val="TableText0"/>
              <w:keepNext/>
              <w:rPr>
                <w:b/>
                <w:bCs/>
                <w:szCs w:val="20"/>
              </w:rPr>
            </w:pPr>
            <w:r w:rsidRPr="00885AB3">
              <w:rPr>
                <w:b/>
                <w:bCs/>
                <w:szCs w:val="20"/>
              </w:rPr>
              <w:t xml:space="preserve">83.7 </w:t>
            </w:r>
          </w:p>
          <w:p w14:paraId="4DFFD746" w14:textId="17EDA426" w:rsidR="006A1AFC" w:rsidRPr="00885AB3" w:rsidRDefault="006A1AFC" w:rsidP="00120D61">
            <w:pPr>
              <w:pStyle w:val="TableText0"/>
              <w:keepNext/>
              <w:rPr>
                <w:b/>
                <w:bCs/>
                <w:szCs w:val="20"/>
              </w:rPr>
            </w:pPr>
            <w:r w:rsidRPr="00885AB3">
              <w:rPr>
                <w:b/>
                <w:bCs/>
                <w:szCs w:val="20"/>
              </w:rPr>
              <w:t>(66.0, 92.2)</w:t>
            </w:r>
          </w:p>
        </w:tc>
      </w:tr>
      <w:tr w:rsidR="006A1AFC" w:rsidRPr="00885AB3" w14:paraId="6CFB1C74" w14:textId="77777777" w:rsidTr="000A1074">
        <w:trPr>
          <w:trHeight w:val="170"/>
        </w:trPr>
        <w:tc>
          <w:tcPr>
            <w:tcW w:w="5000" w:type="pct"/>
            <w:gridSpan w:val="10"/>
            <w:tcBorders>
              <w:left w:val="single" w:sz="4" w:space="0" w:color="auto"/>
            </w:tcBorders>
            <w:vAlign w:val="center"/>
          </w:tcPr>
          <w:p w14:paraId="71D75595" w14:textId="09EB79D9" w:rsidR="006A1AFC" w:rsidRPr="00885AB3" w:rsidRDefault="006A1AFC" w:rsidP="00120D61">
            <w:pPr>
              <w:pStyle w:val="TableText0"/>
              <w:keepNext/>
              <w:jc w:val="left"/>
              <w:rPr>
                <w:b/>
                <w:bCs/>
                <w:szCs w:val="20"/>
              </w:rPr>
            </w:pPr>
            <w:r w:rsidRPr="00885AB3">
              <w:rPr>
                <w:b/>
                <w:bCs/>
                <w:szCs w:val="20"/>
              </w:rPr>
              <w:t xml:space="preserve">Additional analysis (VE up to 12 </w:t>
            </w:r>
            <w:proofErr w:type="spellStart"/>
            <w:r w:rsidRPr="00885AB3">
              <w:rPr>
                <w:b/>
                <w:bCs/>
                <w:szCs w:val="20"/>
              </w:rPr>
              <w:t>months</w:t>
            </w:r>
            <w:r w:rsidR="00A05114" w:rsidRPr="00885AB3">
              <w:rPr>
                <w:b/>
                <w:bCs/>
                <w:szCs w:val="20"/>
                <w:vertAlign w:val="superscript"/>
              </w:rPr>
              <w:t>a</w:t>
            </w:r>
            <w:proofErr w:type="spellEnd"/>
            <w:r w:rsidRPr="00885AB3">
              <w:rPr>
                <w:b/>
                <w:bCs/>
                <w:szCs w:val="20"/>
              </w:rPr>
              <w:t>) - median follow-up time = 8.6 months</w:t>
            </w:r>
          </w:p>
        </w:tc>
      </w:tr>
      <w:tr w:rsidR="00C50000" w:rsidRPr="00885AB3" w14:paraId="18971D96" w14:textId="77777777" w:rsidTr="00930E3F">
        <w:trPr>
          <w:trHeight w:val="170"/>
        </w:trPr>
        <w:tc>
          <w:tcPr>
            <w:tcW w:w="944" w:type="pct"/>
            <w:tcBorders>
              <w:left w:val="single" w:sz="4" w:space="0" w:color="auto"/>
              <w:right w:val="single" w:sz="4" w:space="0" w:color="auto"/>
            </w:tcBorders>
            <w:vAlign w:val="center"/>
          </w:tcPr>
          <w:p w14:paraId="787F7A8F" w14:textId="11345EA1" w:rsidR="006A1AFC" w:rsidRPr="00885AB3" w:rsidRDefault="006A1AFC" w:rsidP="00120D61">
            <w:pPr>
              <w:pStyle w:val="TableText0"/>
              <w:keepNext/>
              <w:jc w:val="left"/>
              <w:rPr>
                <w:szCs w:val="20"/>
              </w:rPr>
            </w:pPr>
            <w:r w:rsidRPr="00885AB3">
              <w:rPr>
                <w:szCs w:val="20"/>
              </w:rPr>
              <w:t xml:space="preserve">RT-PCR-confirmed RSV-LRTD </w:t>
            </w:r>
            <w:r w:rsidR="00EF2FA4">
              <w:rPr>
                <w:szCs w:val="20"/>
              </w:rPr>
              <w:t xml:space="preserve">≥ </w:t>
            </w:r>
            <w:r w:rsidRPr="00885AB3">
              <w:rPr>
                <w:szCs w:val="20"/>
              </w:rPr>
              <w:t>2 symptoms</w:t>
            </w:r>
          </w:p>
        </w:tc>
        <w:tc>
          <w:tcPr>
            <w:tcW w:w="431" w:type="pct"/>
            <w:tcBorders>
              <w:left w:val="single" w:sz="4" w:space="0" w:color="auto"/>
            </w:tcBorders>
            <w:vAlign w:val="center"/>
          </w:tcPr>
          <w:p w14:paraId="4D8DB9DB" w14:textId="505344C8" w:rsidR="006A1AFC" w:rsidRPr="00885AB3" w:rsidRDefault="006A1AFC" w:rsidP="00120D61">
            <w:pPr>
              <w:pStyle w:val="TableText0"/>
              <w:keepNext/>
              <w:rPr>
                <w:szCs w:val="20"/>
              </w:rPr>
            </w:pPr>
            <w:r w:rsidRPr="00885AB3">
              <w:rPr>
                <w:szCs w:val="20"/>
              </w:rPr>
              <w:t>18,112</w:t>
            </w:r>
            <w:r w:rsidR="00C170A8" w:rsidRPr="00885AB3">
              <w:rPr>
                <w:szCs w:val="20"/>
                <w:vertAlign w:val="superscript"/>
              </w:rPr>
              <w:t>d</w:t>
            </w:r>
          </w:p>
        </w:tc>
        <w:tc>
          <w:tcPr>
            <w:tcW w:w="417" w:type="pct"/>
            <w:vAlign w:val="center"/>
          </w:tcPr>
          <w:p w14:paraId="511FF4C7" w14:textId="77777777" w:rsidR="006A1AFC" w:rsidRPr="00885AB3" w:rsidRDefault="006A1AFC" w:rsidP="00120D61">
            <w:pPr>
              <w:pStyle w:val="TableText0"/>
              <w:keepNext/>
              <w:rPr>
                <w:szCs w:val="20"/>
              </w:rPr>
            </w:pPr>
            <w:r w:rsidRPr="00885AB3">
              <w:rPr>
                <w:szCs w:val="20"/>
              </w:rPr>
              <w:t>47 (0.3)</w:t>
            </w:r>
          </w:p>
        </w:tc>
        <w:tc>
          <w:tcPr>
            <w:tcW w:w="413" w:type="pct"/>
            <w:vAlign w:val="center"/>
          </w:tcPr>
          <w:p w14:paraId="51FE578D" w14:textId="77777777" w:rsidR="006A1AFC" w:rsidRPr="00885AB3" w:rsidRDefault="006A1AFC" w:rsidP="00120D61">
            <w:pPr>
              <w:pStyle w:val="TableText0"/>
              <w:keepNext/>
              <w:rPr>
                <w:szCs w:val="20"/>
              </w:rPr>
            </w:pPr>
            <w:r w:rsidRPr="00885AB3">
              <w:rPr>
                <w:szCs w:val="20"/>
              </w:rPr>
              <w:t>13,121</w:t>
            </w:r>
          </w:p>
        </w:tc>
        <w:tc>
          <w:tcPr>
            <w:tcW w:w="451" w:type="pct"/>
            <w:vAlign w:val="center"/>
          </w:tcPr>
          <w:p w14:paraId="51957864" w14:textId="77777777" w:rsidR="00BB2407" w:rsidRPr="00885AB3" w:rsidRDefault="006A1AFC" w:rsidP="00120D61">
            <w:pPr>
              <w:pStyle w:val="TableText0"/>
              <w:keepNext/>
              <w:rPr>
                <w:szCs w:val="20"/>
              </w:rPr>
            </w:pPr>
            <w:r w:rsidRPr="00885AB3">
              <w:rPr>
                <w:szCs w:val="20"/>
              </w:rPr>
              <w:t xml:space="preserve">3.6 </w:t>
            </w:r>
          </w:p>
          <w:p w14:paraId="25718D39" w14:textId="0148669E" w:rsidR="006A1AFC" w:rsidRPr="00885AB3" w:rsidRDefault="006A1AFC" w:rsidP="00120D61">
            <w:pPr>
              <w:pStyle w:val="TableText0"/>
              <w:keepNext/>
              <w:rPr>
                <w:color w:val="000000"/>
                <w:szCs w:val="20"/>
              </w:rPr>
            </w:pPr>
            <w:r w:rsidRPr="00885AB3">
              <w:rPr>
                <w:szCs w:val="20"/>
              </w:rPr>
              <w:t>(2.6, 4.8)</w:t>
            </w:r>
          </w:p>
        </w:tc>
        <w:tc>
          <w:tcPr>
            <w:tcW w:w="404" w:type="pct"/>
            <w:vAlign w:val="center"/>
          </w:tcPr>
          <w:p w14:paraId="104384BF" w14:textId="77777777" w:rsidR="006A1AFC" w:rsidRPr="00885AB3" w:rsidRDefault="006A1AFC" w:rsidP="00120D61">
            <w:pPr>
              <w:pStyle w:val="TableText0"/>
              <w:keepNext/>
              <w:rPr>
                <w:szCs w:val="20"/>
              </w:rPr>
            </w:pPr>
            <w:r w:rsidRPr="00885AB3">
              <w:rPr>
                <w:szCs w:val="20"/>
              </w:rPr>
              <w:t>18,045</w:t>
            </w:r>
          </w:p>
        </w:tc>
        <w:tc>
          <w:tcPr>
            <w:tcW w:w="418" w:type="pct"/>
            <w:vAlign w:val="center"/>
          </w:tcPr>
          <w:p w14:paraId="09486057" w14:textId="189B5F70" w:rsidR="006A1AFC" w:rsidRPr="00885AB3" w:rsidRDefault="006A1AFC" w:rsidP="00120D61">
            <w:pPr>
              <w:pStyle w:val="TableText0"/>
              <w:keepNext/>
              <w:rPr>
                <w:szCs w:val="20"/>
              </w:rPr>
            </w:pPr>
            <w:r w:rsidRPr="00885AB3">
              <w:rPr>
                <w:szCs w:val="20"/>
              </w:rPr>
              <w:t>12</w:t>
            </w:r>
            <w:r w:rsidR="005C1B76" w:rsidRPr="00885AB3">
              <w:rPr>
                <w:szCs w:val="20"/>
              </w:rPr>
              <w:t>7</w:t>
            </w:r>
            <w:r w:rsidRPr="00885AB3">
              <w:rPr>
                <w:szCs w:val="20"/>
              </w:rPr>
              <w:t xml:space="preserve"> (0.7)</w:t>
            </w:r>
          </w:p>
        </w:tc>
        <w:tc>
          <w:tcPr>
            <w:tcW w:w="336" w:type="pct"/>
            <w:vAlign w:val="center"/>
          </w:tcPr>
          <w:p w14:paraId="38A4B1FD" w14:textId="77777777" w:rsidR="006A1AFC" w:rsidRPr="00885AB3" w:rsidRDefault="006A1AFC" w:rsidP="00120D61">
            <w:pPr>
              <w:pStyle w:val="TableText0"/>
              <w:keepNext/>
              <w:rPr>
                <w:szCs w:val="20"/>
              </w:rPr>
            </w:pPr>
            <w:r w:rsidRPr="00885AB3">
              <w:rPr>
                <w:szCs w:val="20"/>
              </w:rPr>
              <w:t>13,020</w:t>
            </w:r>
          </w:p>
        </w:tc>
        <w:tc>
          <w:tcPr>
            <w:tcW w:w="525" w:type="pct"/>
            <w:vAlign w:val="center"/>
          </w:tcPr>
          <w:p w14:paraId="7D701830" w14:textId="77777777" w:rsidR="003C38F4" w:rsidRPr="00885AB3" w:rsidRDefault="006A1AFC" w:rsidP="00120D61">
            <w:pPr>
              <w:pStyle w:val="TableText0"/>
              <w:keepNext/>
              <w:rPr>
                <w:szCs w:val="20"/>
              </w:rPr>
            </w:pPr>
            <w:r w:rsidRPr="00885AB3">
              <w:rPr>
                <w:szCs w:val="20"/>
              </w:rPr>
              <w:t xml:space="preserve">9.8 </w:t>
            </w:r>
          </w:p>
          <w:p w14:paraId="214CFC39" w14:textId="753E9892" w:rsidR="006A1AFC" w:rsidRPr="00885AB3" w:rsidRDefault="006A1AFC" w:rsidP="00120D61">
            <w:pPr>
              <w:pStyle w:val="TableText0"/>
              <w:keepNext/>
              <w:rPr>
                <w:color w:val="000000"/>
                <w:szCs w:val="20"/>
              </w:rPr>
            </w:pPr>
            <w:r w:rsidRPr="00885AB3">
              <w:rPr>
                <w:szCs w:val="20"/>
              </w:rPr>
              <w:t>(8.1, 11.6)</w:t>
            </w:r>
          </w:p>
        </w:tc>
        <w:tc>
          <w:tcPr>
            <w:tcW w:w="653" w:type="pct"/>
            <w:vAlign w:val="center"/>
          </w:tcPr>
          <w:p w14:paraId="25E159AC" w14:textId="77777777" w:rsidR="003C38F4" w:rsidRPr="00885AB3" w:rsidRDefault="006A1AFC" w:rsidP="00120D61">
            <w:pPr>
              <w:pStyle w:val="TableText0"/>
              <w:keepNext/>
              <w:rPr>
                <w:b/>
                <w:bCs/>
                <w:szCs w:val="20"/>
              </w:rPr>
            </w:pPr>
            <w:r w:rsidRPr="00885AB3">
              <w:rPr>
                <w:b/>
                <w:bCs/>
                <w:szCs w:val="20"/>
              </w:rPr>
              <w:t xml:space="preserve">63.3 </w:t>
            </w:r>
          </w:p>
          <w:p w14:paraId="2174CADC" w14:textId="7B091115" w:rsidR="006A1AFC" w:rsidRPr="00885AB3" w:rsidRDefault="006A1AFC" w:rsidP="00120D61">
            <w:pPr>
              <w:pStyle w:val="TableText0"/>
              <w:keepNext/>
              <w:rPr>
                <w:b/>
                <w:bCs/>
                <w:szCs w:val="20"/>
              </w:rPr>
            </w:pPr>
            <w:r w:rsidRPr="00885AB3">
              <w:rPr>
                <w:b/>
                <w:bCs/>
                <w:szCs w:val="20"/>
              </w:rPr>
              <w:t>(48.7, 73.7)</w:t>
            </w:r>
          </w:p>
        </w:tc>
      </w:tr>
      <w:tr w:rsidR="006A6D30" w:rsidRPr="00885AB3" w14:paraId="4E0D8EC8" w14:textId="77777777" w:rsidTr="000A1074">
        <w:trPr>
          <w:trHeight w:val="170"/>
        </w:trPr>
        <w:tc>
          <w:tcPr>
            <w:tcW w:w="5000" w:type="pct"/>
            <w:gridSpan w:val="10"/>
            <w:tcBorders>
              <w:left w:val="single" w:sz="4" w:space="0" w:color="auto"/>
            </w:tcBorders>
            <w:vAlign w:val="center"/>
          </w:tcPr>
          <w:p w14:paraId="680CCC7C" w14:textId="3326E8B5" w:rsidR="006A6D30" w:rsidRPr="00885AB3" w:rsidRDefault="00BE79AD" w:rsidP="00120D61">
            <w:pPr>
              <w:pStyle w:val="TableText0"/>
              <w:keepNext/>
              <w:jc w:val="left"/>
              <w:rPr>
                <w:rFonts w:cs="Calibri"/>
                <w:b/>
                <w:bCs/>
                <w:color w:val="000000"/>
                <w:szCs w:val="20"/>
              </w:rPr>
            </w:pPr>
            <w:r w:rsidRPr="00885AB3">
              <w:rPr>
                <w:rFonts w:cs="Calibri"/>
                <w:b/>
                <w:bCs/>
                <w:color w:val="000000"/>
                <w:szCs w:val="20"/>
              </w:rPr>
              <w:t>Extended analysis</w:t>
            </w:r>
            <w:r w:rsidR="006A6D30" w:rsidRPr="00885AB3">
              <w:rPr>
                <w:rFonts w:cs="Calibri"/>
                <w:b/>
                <w:bCs/>
                <w:color w:val="000000"/>
                <w:szCs w:val="20"/>
              </w:rPr>
              <w:t xml:space="preserve"> (</w:t>
            </w:r>
            <w:r w:rsidR="006A6D30" w:rsidRPr="00885AB3">
              <w:rPr>
                <w:b/>
                <w:bCs/>
              </w:rPr>
              <w:t xml:space="preserve">VE up to </w:t>
            </w:r>
            <w:r w:rsidR="00FE2515" w:rsidRPr="00885AB3">
              <w:rPr>
                <w:b/>
                <w:bCs/>
              </w:rPr>
              <w:t>24</w:t>
            </w:r>
            <w:r w:rsidR="006A6D30" w:rsidRPr="00885AB3">
              <w:rPr>
                <w:b/>
                <w:bCs/>
              </w:rPr>
              <w:t xml:space="preserve"> </w:t>
            </w:r>
            <w:proofErr w:type="spellStart"/>
            <w:r w:rsidR="006A6D30" w:rsidRPr="00885AB3">
              <w:rPr>
                <w:b/>
                <w:bCs/>
              </w:rPr>
              <w:t>months</w:t>
            </w:r>
            <w:r w:rsidR="006A6D30" w:rsidRPr="00885AB3">
              <w:rPr>
                <w:b/>
                <w:bCs/>
                <w:vertAlign w:val="superscript"/>
              </w:rPr>
              <w:t>a</w:t>
            </w:r>
            <w:proofErr w:type="spellEnd"/>
            <w:r w:rsidR="006A6D30" w:rsidRPr="00885AB3">
              <w:rPr>
                <w:b/>
                <w:bCs/>
              </w:rPr>
              <w:t xml:space="preserve">) </w:t>
            </w:r>
            <w:r w:rsidR="00E366E2" w:rsidRPr="00885AB3">
              <w:rPr>
                <w:b/>
                <w:bCs/>
                <w:szCs w:val="20"/>
              </w:rPr>
              <w:t>-</w:t>
            </w:r>
            <w:r w:rsidR="00E366E2" w:rsidRPr="00885AB3">
              <w:rPr>
                <w:b/>
                <w:bCs/>
              </w:rPr>
              <w:t xml:space="preserve"> median </w:t>
            </w:r>
            <w:r w:rsidR="006A6D30" w:rsidRPr="00885AB3">
              <w:rPr>
                <w:b/>
                <w:bCs/>
              </w:rPr>
              <w:t>follow-up time = 18.8 months</w:t>
            </w:r>
          </w:p>
        </w:tc>
      </w:tr>
      <w:tr w:rsidR="00930E3F" w:rsidRPr="00885AB3" w14:paraId="392EF948" w14:textId="77777777" w:rsidTr="00930E3F">
        <w:trPr>
          <w:trHeight w:val="170"/>
        </w:trPr>
        <w:tc>
          <w:tcPr>
            <w:tcW w:w="944" w:type="pct"/>
            <w:tcBorders>
              <w:left w:val="single" w:sz="4" w:space="0" w:color="auto"/>
              <w:right w:val="single" w:sz="4" w:space="0" w:color="auto"/>
            </w:tcBorders>
            <w:vAlign w:val="center"/>
          </w:tcPr>
          <w:p w14:paraId="2C9E6E49" w14:textId="3ADB9C40" w:rsidR="00930E3F" w:rsidRPr="00885AB3" w:rsidRDefault="00930E3F" w:rsidP="00120D61">
            <w:pPr>
              <w:pStyle w:val="TableText0"/>
              <w:keepNext/>
              <w:jc w:val="left"/>
              <w:rPr>
                <w:szCs w:val="20"/>
              </w:rPr>
            </w:pPr>
            <w:r w:rsidRPr="00885AB3">
              <w:rPr>
                <w:szCs w:val="20"/>
              </w:rPr>
              <w:t xml:space="preserve">RT-PCR-confirmed RSV-LRTD </w:t>
            </w:r>
            <w:r w:rsidR="00EF2FA4">
              <w:rPr>
                <w:szCs w:val="20"/>
              </w:rPr>
              <w:t xml:space="preserve">≥ </w:t>
            </w:r>
            <w:r w:rsidRPr="00885AB3">
              <w:rPr>
                <w:szCs w:val="20"/>
              </w:rPr>
              <w:t>2 symptoms</w:t>
            </w:r>
          </w:p>
        </w:tc>
        <w:tc>
          <w:tcPr>
            <w:tcW w:w="431" w:type="pct"/>
            <w:tcBorders>
              <w:left w:val="single" w:sz="4" w:space="0" w:color="auto"/>
            </w:tcBorders>
            <w:vAlign w:val="center"/>
          </w:tcPr>
          <w:p w14:paraId="54F9BC76" w14:textId="58B524CC" w:rsidR="00930E3F" w:rsidRPr="00885AB3" w:rsidRDefault="00930E3F" w:rsidP="00120D61">
            <w:pPr>
              <w:pStyle w:val="TableText0"/>
              <w:keepNext/>
              <w:rPr>
                <w:szCs w:val="20"/>
              </w:rPr>
            </w:pPr>
            <w:r w:rsidRPr="00885AB3">
              <w:rPr>
                <w:szCs w:val="20"/>
              </w:rPr>
              <w:t>18,181</w:t>
            </w:r>
            <w:r w:rsidR="00656E15" w:rsidRPr="00885AB3">
              <w:rPr>
                <w:szCs w:val="20"/>
                <w:vertAlign w:val="superscript"/>
              </w:rPr>
              <w:t>d</w:t>
            </w:r>
          </w:p>
        </w:tc>
        <w:tc>
          <w:tcPr>
            <w:tcW w:w="417" w:type="pct"/>
            <w:vAlign w:val="center"/>
          </w:tcPr>
          <w:p w14:paraId="0BBFE1D2" w14:textId="4312C99A" w:rsidR="00930E3F" w:rsidRPr="00885AB3" w:rsidRDefault="00930E3F" w:rsidP="00120D61">
            <w:pPr>
              <w:pStyle w:val="TableText0"/>
              <w:keepNext/>
              <w:rPr>
                <w:szCs w:val="20"/>
                <w:highlight w:val="green"/>
              </w:rPr>
            </w:pPr>
            <w:r w:rsidRPr="00885AB3">
              <w:rPr>
                <w:szCs w:val="20"/>
              </w:rPr>
              <w:t>132 (</w:t>
            </w:r>
            <w:r w:rsidR="00D8404E" w:rsidRPr="00885AB3">
              <w:rPr>
                <w:szCs w:val="20"/>
              </w:rPr>
              <w:t>0.7</w:t>
            </w:r>
            <w:r w:rsidRPr="00885AB3">
              <w:rPr>
                <w:szCs w:val="20"/>
              </w:rPr>
              <w:t>)</w:t>
            </w:r>
          </w:p>
        </w:tc>
        <w:tc>
          <w:tcPr>
            <w:tcW w:w="413" w:type="pct"/>
            <w:vAlign w:val="center"/>
          </w:tcPr>
          <w:p w14:paraId="5B46FECB" w14:textId="7A24D845" w:rsidR="00930E3F" w:rsidRPr="00885AB3" w:rsidRDefault="00930E3F" w:rsidP="00120D61">
            <w:pPr>
              <w:pStyle w:val="TableText0"/>
              <w:keepNext/>
              <w:rPr>
                <w:szCs w:val="20"/>
              </w:rPr>
            </w:pPr>
            <w:r w:rsidRPr="00885AB3">
              <w:rPr>
                <w:szCs w:val="20"/>
              </w:rPr>
              <w:t>NR</w:t>
            </w:r>
          </w:p>
        </w:tc>
        <w:tc>
          <w:tcPr>
            <w:tcW w:w="451" w:type="pct"/>
            <w:vAlign w:val="center"/>
          </w:tcPr>
          <w:p w14:paraId="4DA992DA" w14:textId="7289B916" w:rsidR="00930E3F" w:rsidRPr="00885AB3" w:rsidRDefault="00930E3F" w:rsidP="00120D61">
            <w:pPr>
              <w:pStyle w:val="TableText0"/>
              <w:keepNext/>
              <w:rPr>
                <w:szCs w:val="20"/>
              </w:rPr>
            </w:pPr>
            <w:r w:rsidRPr="00885AB3">
              <w:rPr>
                <w:szCs w:val="20"/>
              </w:rPr>
              <w:t>NR</w:t>
            </w:r>
          </w:p>
        </w:tc>
        <w:tc>
          <w:tcPr>
            <w:tcW w:w="404" w:type="pct"/>
            <w:vAlign w:val="center"/>
          </w:tcPr>
          <w:p w14:paraId="7D739E9E" w14:textId="67E33830" w:rsidR="00930E3F" w:rsidRPr="00885AB3" w:rsidRDefault="00930E3F" w:rsidP="00120D61">
            <w:pPr>
              <w:pStyle w:val="TableText0"/>
              <w:keepNext/>
              <w:rPr>
                <w:szCs w:val="20"/>
              </w:rPr>
            </w:pPr>
            <w:r w:rsidRPr="00885AB3">
              <w:rPr>
                <w:szCs w:val="20"/>
              </w:rPr>
              <w:t>18,132</w:t>
            </w:r>
          </w:p>
        </w:tc>
        <w:tc>
          <w:tcPr>
            <w:tcW w:w="418" w:type="pct"/>
            <w:vAlign w:val="center"/>
          </w:tcPr>
          <w:p w14:paraId="5799030A" w14:textId="15DA3446" w:rsidR="00930E3F" w:rsidRPr="00885AB3" w:rsidRDefault="00930E3F" w:rsidP="00120D61">
            <w:pPr>
              <w:pStyle w:val="TableText0"/>
              <w:keepNext/>
              <w:rPr>
                <w:szCs w:val="20"/>
              </w:rPr>
            </w:pPr>
            <w:r w:rsidRPr="00885AB3">
              <w:rPr>
                <w:szCs w:val="20"/>
              </w:rPr>
              <w:t>248 (</w:t>
            </w:r>
            <w:r w:rsidR="0063093C" w:rsidRPr="00885AB3">
              <w:rPr>
                <w:szCs w:val="20"/>
              </w:rPr>
              <w:t>1.4</w:t>
            </w:r>
            <w:r w:rsidRPr="00885AB3">
              <w:rPr>
                <w:szCs w:val="20"/>
              </w:rPr>
              <w:t>)</w:t>
            </w:r>
          </w:p>
        </w:tc>
        <w:tc>
          <w:tcPr>
            <w:tcW w:w="336" w:type="pct"/>
            <w:vAlign w:val="center"/>
          </w:tcPr>
          <w:p w14:paraId="2416895A" w14:textId="64D1169E" w:rsidR="00930E3F" w:rsidRPr="00885AB3" w:rsidRDefault="00930E3F" w:rsidP="00120D61">
            <w:pPr>
              <w:pStyle w:val="TableText0"/>
              <w:keepNext/>
              <w:rPr>
                <w:szCs w:val="20"/>
              </w:rPr>
            </w:pPr>
            <w:r w:rsidRPr="00885AB3">
              <w:rPr>
                <w:szCs w:val="20"/>
              </w:rPr>
              <w:t>NR</w:t>
            </w:r>
          </w:p>
        </w:tc>
        <w:tc>
          <w:tcPr>
            <w:tcW w:w="525" w:type="pct"/>
            <w:vAlign w:val="center"/>
          </w:tcPr>
          <w:p w14:paraId="0F9FF8B2" w14:textId="445D9306" w:rsidR="00930E3F" w:rsidRPr="00885AB3" w:rsidRDefault="00930E3F" w:rsidP="00120D61">
            <w:pPr>
              <w:pStyle w:val="TableText0"/>
              <w:keepNext/>
              <w:rPr>
                <w:szCs w:val="20"/>
              </w:rPr>
            </w:pPr>
            <w:r w:rsidRPr="00885AB3">
              <w:rPr>
                <w:szCs w:val="20"/>
              </w:rPr>
              <w:t>NR</w:t>
            </w:r>
          </w:p>
        </w:tc>
        <w:tc>
          <w:tcPr>
            <w:tcW w:w="653" w:type="pct"/>
            <w:vAlign w:val="center"/>
          </w:tcPr>
          <w:p w14:paraId="17726903" w14:textId="77777777" w:rsidR="00D32900" w:rsidRPr="00885AB3" w:rsidRDefault="00D32900" w:rsidP="00120D61">
            <w:pPr>
              <w:pStyle w:val="TableText0"/>
              <w:keepNext/>
              <w:rPr>
                <w:rFonts w:cs="Calibri"/>
                <w:b/>
                <w:bCs/>
                <w:color w:val="000000"/>
                <w:szCs w:val="20"/>
              </w:rPr>
            </w:pPr>
            <w:r w:rsidRPr="00885AB3">
              <w:rPr>
                <w:rFonts w:cs="Calibri"/>
                <w:b/>
                <w:bCs/>
                <w:color w:val="000000"/>
                <w:szCs w:val="20"/>
              </w:rPr>
              <w:t>47.4</w:t>
            </w:r>
          </w:p>
          <w:p w14:paraId="07148495" w14:textId="1B3365DE" w:rsidR="00930E3F" w:rsidRPr="00885AB3" w:rsidRDefault="00D32900" w:rsidP="00120D61">
            <w:pPr>
              <w:pStyle w:val="TableText0"/>
              <w:keepNext/>
              <w:rPr>
                <w:rFonts w:cs="Calibri"/>
                <w:b/>
                <w:bCs/>
                <w:color w:val="000000"/>
                <w:szCs w:val="20"/>
              </w:rPr>
            </w:pPr>
            <w:r w:rsidRPr="00885AB3">
              <w:rPr>
                <w:rFonts w:cs="Calibri"/>
                <w:b/>
                <w:bCs/>
                <w:color w:val="000000"/>
                <w:szCs w:val="20"/>
              </w:rPr>
              <w:t>(35.0, 57.4)</w:t>
            </w:r>
          </w:p>
        </w:tc>
      </w:tr>
      <w:tr w:rsidR="00741206" w:rsidRPr="00885AB3" w14:paraId="7E761F89" w14:textId="77777777" w:rsidTr="000A1074">
        <w:trPr>
          <w:trHeight w:val="170"/>
        </w:trPr>
        <w:tc>
          <w:tcPr>
            <w:tcW w:w="5000" w:type="pct"/>
            <w:gridSpan w:val="10"/>
            <w:tcBorders>
              <w:left w:val="single" w:sz="4" w:space="0" w:color="auto"/>
            </w:tcBorders>
            <w:vAlign w:val="center"/>
          </w:tcPr>
          <w:p w14:paraId="761E2B75" w14:textId="4AAFA4DC" w:rsidR="00741206" w:rsidRPr="00885AB3" w:rsidRDefault="006A6D30" w:rsidP="00120D61">
            <w:pPr>
              <w:pStyle w:val="TableText0"/>
              <w:keepNext/>
              <w:jc w:val="left"/>
              <w:rPr>
                <w:rFonts w:cs="Calibri"/>
                <w:b/>
                <w:bCs/>
                <w:color w:val="000000"/>
                <w:szCs w:val="20"/>
              </w:rPr>
            </w:pPr>
            <w:r w:rsidRPr="00885AB3">
              <w:rPr>
                <w:rFonts w:cs="Calibri"/>
                <w:b/>
                <w:bCs/>
                <w:color w:val="000000"/>
                <w:szCs w:val="20"/>
              </w:rPr>
              <w:t>Pre-PBAC response (</w:t>
            </w:r>
            <w:r w:rsidRPr="00885AB3">
              <w:rPr>
                <w:b/>
                <w:bCs/>
              </w:rPr>
              <w:t xml:space="preserve">VE up to </w:t>
            </w:r>
            <w:r w:rsidR="00080B5D" w:rsidRPr="00885AB3">
              <w:rPr>
                <w:b/>
                <w:bCs/>
              </w:rPr>
              <w:t>24</w:t>
            </w:r>
            <w:r w:rsidRPr="00885AB3">
              <w:rPr>
                <w:b/>
                <w:bCs/>
              </w:rPr>
              <w:t xml:space="preserve"> </w:t>
            </w:r>
            <w:proofErr w:type="spellStart"/>
            <w:r w:rsidRPr="00885AB3">
              <w:rPr>
                <w:b/>
                <w:bCs/>
              </w:rPr>
              <w:t>months</w:t>
            </w:r>
            <w:r w:rsidRPr="00885AB3">
              <w:rPr>
                <w:b/>
                <w:bCs/>
                <w:vertAlign w:val="superscript"/>
              </w:rPr>
              <w:t>a</w:t>
            </w:r>
            <w:proofErr w:type="spellEnd"/>
            <w:r w:rsidRPr="00885AB3">
              <w:rPr>
                <w:b/>
                <w:bCs/>
              </w:rPr>
              <w:t xml:space="preserve">) </w:t>
            </w:r>
            <w:r w:rsidR="00E366E2" w:rsidRPr="00885AB3">
              <w:rPr>
                <w:b/>
                <w:bCs/>
              </w:rPr>
              <w:t xml:space="preserve">- median </w:t>
            </w:r>
            <w:r w:rsidRPr="00885AB3">
              <w:rPr>
                <w:b/>
                <w:bCs/>
              </w:rPr>
              <w:t>follow-up time = 24.1 months</w:t>
            </w:r>
          </w:p>
        </w:tc>
      </w:tr>
      <w:tr w:rsidR="00741206" w:rsidRPr="00885AB3" w14:paraId="0CB7E340" w14:textId="77777777" w:rsidTr="00930E3F">
        <w:trPr>
          <w:trHeight w:val="170"/>
        </w:trPr>
        <w:tc>
          <w:tcPr>
            <w:tcW w:w="944" w:type="pct"/>
            <w:tcBorders>
              <w:left w:val="single" w:sz="4" w:space="0" w:color="auto"/>
              <w:right w:val="single" w:sz="4" w:space="0" w:color="auto"/>
            </w:tcBorders>
            <w:vAlign w:val="center"/>
          </w:tcPr>
          <w:p w14:paraId="1B23A825" w14:textId="0282D972" w:rsidR="00741206" w:rsidRPr="00885AB3" w:rsidRDefault="00741206" w:rsidP="00120D61">
            <w:pPr>
              <w:pStyle w:val="TableText0"/>
              <w:keepNext/>
              <w:jc w:val="left"/>
              <w:rPr>
                <w:szCs w:val="20"/>
              </w:rPr>
            </w:pPr>
            <w:r w:rsidRPr="00885AB3">
              <w:rPr>
                <w:szCs w:val="20"/>
              </w:rPr>
              <w:t xml:space="preserve">RT-PCR-confirmed RSV-LRTD </w:t>
            </w:r>
            <w:r w:rsidR="00EF2FA4">
              <w:rPr>
                <w:szCs w:val="20"/>
              </w:rPr>
              <w:t xml:space="preserve">≥ </w:t>
            </w:r>
            <w:r w:rsidRPr="00885AB3">
              <w:rPr>
                <w:szCs w:val="20"/>
              </w:rPr>
              <w:t>2 symptoms</w:t>
            </w:r>
          </w:p>
        </w:tc>
        <w:tc>
          <w:tcPr>
            <w:tcW w:w="431" w:type="pct"/>
            <w:tcBorders>
              <w:left w:val="single" w:sz="4" w:space="0" w:color="auto"/>
            </w:tcBorders>
            <w:vAlign w:val="center"/>
          </w:tcPr>
          <w:p w14:paraId="41F65F7E" w14:textId="6D9BF74B" w:rsidR="00741206" w:rsidRPr="00885AB3" w:rsidRDefault="00571B30" w:rsidP="00120D61">
            <w:pPr>
              <w:pStyle w:val="TableText0"/>
              <w:keepNext/>
              <w:rPr>
                <w:szCs w:val="20"/>
              </w:rPr>
            </w:pPr>
            <w:r w:rsidRPr="00885AB3">
              <w:rPr>
                <w:szCs w:val="20"/>
              </w:rPr>
              <w:t>18,164</w:t>
            </w:r>
          </w:p>
        </w:tc>
        <w:tc>
          <w:tcPr>
            <w:tcW w:w="417" w:type="pct"/>
            <w:vAlign w:val="center"/>
          </w:tcPr>
          <w:p w14:paraId="23BA4CA0" w14:textId="418825B4" w:rsidR="00741206" w:rsidRPr="00885AB3" w:rsidRDefault="00571B30" w:rsidP="00120D61">
            <w:pPr>
              <w:pStyle w:val="TableText0"/>
              <w:keepNext/>
              <w:rPr>
                <w:szCs w:val="20"/>
              </w:rPr>
            </w:pPr>
            <w:r w:rsidRPr="00885AB3">
              <w:rPr>
                <w:szCs w:val="20"/>
              </w:rPr>
              <w:t>161 (</w:t>
            </w:r>
            <w:r w:rsidR="005D6B0F" w:rsidRPr="00885AB3">
              <w:rPr>
                <w:szCs w:val="20"/>
              </w:rPr>
              <w:t>0.9</w:t>
            </w:r>
            <w:r w:rsidRPr="00885AB3">
              <w:rPr>
                <w:szCs w:val="20"/>
              </w:rPr>
              <w:t>)</w:t>
            </w:r>
          </w:p>
        </w:tc>
        <w:tc>
          <w:tcPr>
            <w:tcW w:w="413" w:type="pct"/>
            <w:vAlign w:val="center"/>
          </w:tcPr>
          <w:p w14:paraId="3D1A6686" w14:textId="410A0FB9" w:rsidR="00741206" w:rsidRPr="00885AB3" w:rsidRDefault="00571B30" w:rsidP="00120D61">
            <w:pPr>
              <w:pStyle w:val="TableText0"/>
              <w:keepNext/>
              <w:rPr>
                <w:szCs w:val="20"/>
              </w:rPr>
            </w:pPr>
            <w:r w:rsidRPr="00885AB3">
              <w:rPr>
                <w:szCs w:val="20"/>
              </w:rPr>
              <w:t>NR</w:t>
            </w:r>
          </w:p>
        </w:tc>
        <w:tc>
          <w:tcPr>
            <w:tcW w:w="451" w:type="pct"/>
            <w:vAlign w:val="center"/>
          </w:tcPr>
          <w:p w14:paraId="38DBF8B3" w14:textId="4E20BEB8" w:rsidR="00741206" w:rsidRPr="00885AB3" w:rsidRDefault="00571B30" w:rsidP="00120D61">
            <w:pPr>
              <w:pStyle w:val="TableText0"/>
              <w:keepNext/>
              <w:rPr>
                <w:szCs w:val="20"/>
              </w:rPr>
            </w:pPr>
            <w:r w:rsidRPr="00885AB3">
              <w:rPr>
                <w:szCs w:val="20"/>
              </w:rPr>
              <w:t>NR</w:t>
            </w:r>
          </w:p>
        </w:tc>
        <w:tc>
          <w:tcPr>
            <w:tcW w:w="404" w:type="pct"/>
            <w:vAlign w:val="center"/>
          </w:tcPr>
          <w:p w14:paraId="69E0B295" w14:textId="0D720773" w:rsidR="00741206" w:rsidRPr="00885AB3" w:rsidRDefault="00C85F27" w:rsidP="00120D61">
            <w:pPr>
              <w:pStyle w:val="TableText0"/>
              <w:keepNext/>
              <w:rPr>
                <w:szCs w:val="20"/>
              </w:rPr>
            </w:pPr>
            <w:r w:rsidRPr="00885AB3">
              <w:rPr>
                <w:szCs w:val="20"/>
              </w:rPr>
              <w:t>18,120</w:t>
            </w:r>
          </w:p>
        </w:tc>
        <w:tc>
          <w:tcPr>
            <w:tcW w:w="418" w:type="pct"/>
            <w:vAlign w:val="center"/>
          </w:tcPr>
          <w:p w14:paraId="6C2FE9E0" w14:textId="75D0244D" w:rsidR="00741206" w:rsidRPr="00885AB3" w:rsidRDefault="002547F9" w:rsidP="00120D61">
            <w:pPr>
              <w:pStyle w:val="TableText0"/>
              <w:keepNext/>
              <w:rPr>
                <w:szCs w:val="20"/>
              </w:rPr>
            </w:pPr>
            <w:r w:rsidRPr="00885AB3">
              <w:rPr>
                <w:szCs w:val="20"/>
              </w:rPr>
              <w:t>286</w:t>
            </w:r>
            <w:r w:rsidR="00C85F27" w:rsidRPr="00885AB3">
              <w:rPr>
                <w:szCs w:val="20"/>
              </w:rPr>
              <w:t xml:space="preserve"> (</w:t>
            </w:r>
            <w:r w:rsidR="005C5EAA" w:rsidRPr="00885AB3">
              <w:rPr>
                <w:szCs w:val="20"/>
              </w:rPr>
              <w:t>1.6</w:t>
            </w:r>
            <w:r w:rsidR="00C85F27" w:rsidRPr="00885AB3">
              <w:rPr>
                <w:szCs w:val="20"/>
              </w:rPr>
              <w:t>)</w:t>
            </w:r>
          </w:p>
        </w:tc>
        <w:tc>
          <w:tcPr>
            <w:tcW w:w="336" w:type="pct"/>
            <w:vAlign w:val="center"/>
          </w:tcPr>
          <w:p w14:paraId="052C17DC" w14:textId="7CCE0915" w:rsidR="00741206" w:rsidRPr="00885AB3" w:rsidRDefault="00697620" w:rsidP="00120D61">
            <w:pPr>
              <w:pStyle w:val="TableText0"/>
              <w:keepNext/>
              <w:rPr>
                <w:szCs w:val="20"/>
              </w:rPr>
            </w:pPr>
            <w:r w:rsidRPr="00885AB3">
              <w:rPr>
                <w:szCs w:val="20"/>
              </w:rPr>
              <w:t>NR</w:t>
            </w:r>
          </w:p>
        </w:tc>
        <w:tc>
          <w:tcPr>
            <w:tcW w:w="525" w:type="pct"/>
            <w:vAlign w:val="center"/>
          </w:tcPr>
          <w:p w14:paraId="079C128A" w14:textId="169D6DBD" w:rsidR="00741206" w:rsidRPr="00885AB3" w:rsidRDefault="00697620" w:rsidP="00120D61">
            <w:pPr>
              <w:pStyle w:val="TableText0"/>
              <w:keepNext/>
              <w:rPr>
                <w:szCs w:val="20"/>
              </w:rPr>
            </w:pPr>
            <w:r w:rsidRPr="00885AB3">
              <w:rPr>
                <w:szCs w:val="20"/>
              </w:rPr>
              <w:t>NR</w:t>
            </w:r>
          </w:p>
        </w:tc>
        <w:tc>
          <w:tcPr>
            <w:tcW w:w="653" w:type="pct"/>
            <w:vAlign w:val="center"/>
          </w:tcPr>
          <w:p w14:paraId="62CA73DC" w14:textId="77777777" w:rsidR="005E09C4" w:rsidRPr="00885AB3" w:rsidRDefault="00780D57" w:rsidP="00120D61">
            <w:pPr>
              <w:pStyle w:val="TableText0"/>
              <w:keepNext/>
              <w:rPr>
                <w:rFonts w:cs="Calibri"/>
                <w:b/>
                <w:bCs/>
                <w:color w:val="000000"/>
                <w:szCs w:val="20"/>
              </w:rPr>
            </w:pPr>
            <w:r w:rsidRPr="00885AB3">
              <w:rPr>
                <w:rFonts w:cs="Calibri"/>
                <w:b/>
                <w:bCs/>
                <w:color w:val="000000"/>
                <w:szCs w:val="20"/>
              </w:rPr>
              <w:t xml:space="preserve">44.3 </w:t>
            </w:r>
          </w:p>
          <w:p w14:paraId="097FF3C8" w14:textId="12B91E42" w:rsidR="00741206" w:rsidRPr="00885AB3" w:rsidRDefault="00780D57" w:rsidP="00120D61">
            <w:pPr>
              <w:pStyle w:val="TableText0"/>
              <w:keepNext/>
              <w:rPr>
                <w:rFonts w:cs="Calibri"/>
                <w:b/>
                <w:bCs/>
                <w:color w:val="000000"/>
                <w:szCs w:val="20"/>
              </w:rPr>
            </w:pPr>
            <w:r w:rsidRPr="00885AB3">
              <w:rPr>
                <w:rFonts w:cs="Calibri"/>
                <w:b/>
                <w:bCs/>
                <w:color w:val="000000"/>
                <w:szCs w:val="20"/>
              </w:rPr>
              <w:t>(32.4,</w:t>
            </w:r>
            <w:r w:rsidR="005E09C4" w:rsidRPr="00885AB3">
              <w:rPr>
                <w:rFonts w:cs="Calibri"/>
                <w:b/>
                <w:bCs/>
                <w:color w:val="000000"/>
                <w:szCs w:val="20"/>
              </w:rPr>
              <w:t xml:space="preserve"> 54.1)</w:t>
            </w:r>
          </w:p>
        </w:tc>
      </w:tr>
    </w:tbl>
    <w:p w14:paraId="7856B7CA" w14:textId="0492AC9C" w:rsidR="006A1AFC" w:rsidRPr="00885AB3" w:rsidRDefault="006A1AFC" w:rsidP="00120D61">
      <w:pPr>
        <w:pStyle w:val="FooterTableFigure"/>
        <w:keepNext/>
        <w:keepLines/>
      </w:pPr>
      <w:r w:rsidRPr="00885AB3">
        <w:t xml:space="preserve">Source: Table 2-44 and Table 2-45, pp125-126 of the submission; p98 pf the </w:t>
      </w:r>
      <w:proofErr w:type="spellStart"/>
      <w:r w:rsidRPr="00885AB3">
        <w:t>ConquerRSV</w:t>
      </w:r>
      <w:proofErr w:type="spellEnd"/>
      <w:r w:rsidRPr="00885AB3">
        <w:t xml:space="preserve"> CSR (28 Sep 2023) presented in Attachment 3 of the submission</w:t>
      </w:r>
      <w:r w:rsidR="00F11E53" w:rsidRPr="00885AB3">
        <w:t>; Pre-PBAC response Table 1.</w:t>
      </w:r>
      <w:r w:rsidRPr="00885AB3">
        <w:t xml:space="preserve"> </w:t>
      </w:r>
    </w:p>
    <w:p w14:paraId="31D5B858" w14:textId="746A7A83" w:rsidR="006A1AFC" w:rsidRPr="00885AB3" w:rsidRDefault="006A1AFC" w:rsidP="00120D61">
      <w:pPr>
        <w:pStyle w:val="FooterTableFigure"/>
        <w:keepNext/>
        <w:keepLines/>
      </w:pPr>
      <w:r w:rsidRPr="00885AB3">
        <w:t>CI = confidence interval; n =</w:t>
      </w:r>
      <w:r w:rsidRPr="00885AB3">
        <w:rPr>
          <w:rFonts w:cs="Calibri"/>
          <w:szCs w:val="20"/>
        </w:rPr>
        <w:t xml:space="preserve"> number of participants with event </w:t>
      </w:r>
      <w:r w:rsidRPr="00885AB3">
        <w:t xml:space="preserve">(RSV-LRTD with 2 or more symptoms); </w:t>
      </w:r>
      <w:r w:rsidR="00697620" w:rsidRPr="00885AB3">
        <w:t xml:space="preserve">NR = not reported; </w:t>
      </w:r>
      <w:r w:rsidRPr="00885AB3">
        <w:t xml:space="preserve">PPE = per protocol efficacy; RSV-LRTD = respiratory syncytial virus-associated lower respiratory tract disease; RT-PCR = reverse transcriptase polymerase chain reaction; VE = vaccine efficacy; YOA = years of age. </w:t>
      </w:r>
    </w:p>
    <w:p w14:paraId="2876FF0D" w14:textId="1B8108BF" w:rsidR="00A05114" w:rsidRPr="00885AB3" w:rsidRDefault="002A4C96" w:rsidP="00120D61">
      <w:pPr>
        <w:pStyle w:val="FooterTableFigure"/>
        <w:keepNext/>
        <w:keepLines/>
      </w:pPr>
      <w:r w:rsidRPr="00885AB3">
        <w:rPr>
          <w:vertAlign w:val="superscript"/>
        </w:rPr>
        <w:t xml:space="preserve">a </w:t>
      </w:r>
      <w:r w:rsidR="00A05114" w:rsidRPr="00885AB3">
        <w:t xml:space="preserve">Participants without a case in the specified </w:t>
      </w:r>
      <w:proofErr w:type="gramStart"/>
      <w:r w:rsidR="00A05114" w:rsidRPr="00885AB3">
        <w:t>time period</w:t>
      </w:r>
      <w:proofErr w:type="gramEnd"/>
      <w:r w:rsidR="00A05114" w:rsidRPr="00885AB3">
        <w:t xml:space="preserve"> were censored at</w:t>
      </w:r>
      <w:r w:rsidRPr="00885AB3">
        <w:t xml:space="preserve"> </w:t>
      </w:r>
      <w:r w:rsidR="00A05114" w:rsidRPr="00885AB3">
        <w:t>the earliest date of 12 months postinjection, date of early discontinuation, date of unrelated death, and data</w:t>
      </w:r>
      <w:r w:rsidRPr="00885AB3">
        <w:t xml:space="preserve"> </w:t>
      </w:r>
      <w:r w:rsidR="00A05114" w:rsidRPr="00885AB3">
        <w:t>cutoff date.</w:t>
      </w:r>
    </w:p>
    <w:p w14:paraId="14ED221E" w14:textId="09F49A0B" w:rsidR="006A1AFC" w:rsidRPr="00885AB3" w:rsidRDefault="002F06E8" w:rsidP="00120D61">
      <w:pPr>
        <w:pStyle w:val="FooterTableFigure"/>
        <w:keepNext/>
        <w:keepLines/>
      </w:pPr>
      <w:r w:rsidRPr="00885AB3">
        <w:rPr>
          <w:vertAlign w:val="superscript"/>
        </w:rPr>
        <w:t>b</w:t>
      </w:r>
      <w:r w:rsidR="006A1AFC" w:rsidRPr="00885AB3">
        <w:t xml:space="preserve"> VE is estimated by 1 minus hazard ratio (mRNA-1345 versus placebo). The CI for VE was based on a stratified Cox proportional hazard model with Efron's method of tie handling and with the vaccination group as a fixed effect, adjusting for stratification factors at randomization. </w:t>
      </w:r>
    </w:p>
    <w:p w14:paraId="6842A8C5" w14:textId="396BE238" w:rsidR="006A1AFC" w:rsidRPr="00885AB3" w:rsidRDefault="002F06E8" w:rsidP="00120D61">
      <w:pPr>
        <w:pStyle w:val="FooterTableFigure"/>
        <w:keepNext/>
        <w:keepLines/>
      </w:pPr>
      <w:r w:rsidRPr="00885AB3">
        <w:rPr>
          <w:vertAlign w:val="superscript"/>
        </w:rPr>
        <w:t>c</w:t>
      </w:r>
      <w:r w:rsidR="006A1AFC" w:rsidRPr="00885AB3">
        <w:t xml:space="preserve"> 95.88% CI for the primary endpoint for the primary analysis (3.7 months median time to follow-up). 95% CI for the additional analysis (8.6 months median time to follow-up).</w:t>
      </w:r>
      <w:r w:rsidR="001C78D7">
        <w:t xml:space="preserve"> </w:t>
      </w:r>
    </w:p>
    <w:p w14:paraId="60518B08" w14:textId="43450126" w:rsidR="006A1AFC" w:rsidRPr="00885AB3" w:rsidRDefault="00AD32C5" w:rsidP="00120D61">
      <w:pPr>
        <w:pStyle w:val="FooterTableFigure"/>
        <w:keepNext/>
        <w:keepLines/>
      </w:pPr>
      <w:r w:rsidRPr="00885AB3">
        <w:rPr>
          <w:vertAlign w:val="superscript"/>
        </w:rPr>
        <w:t>d</w:t>
      </w:r>
      <w:r w:rsidR="006A1AFC" w:rsidRPr="00885AB3">
        <w:t xml:space="preserve"> The number of participants increases from one DCO to another as the trial continues the recruitment process.</w:t>
      </w:r>
    </w:p>
    <w:p w14:paraId="1179A47B" w14:textId="19BA05BA" w:rsidR="006A1AFC" w:rsidRPr="00885AB3" w:rsidRDefault="006A1AFC" w:rsidP="00120D61">
      <w:pPr>
        <w:pStyle w:val="FooterTableFigure"/>
        <w:keepNext/>
        <w:keepLines/>
      </w:pPr>
      <w:r w:rsidRPr="00885AB3">
        <w:t>Bold indicates that predefined lower bound of the CI around the vaccine efficacy was greater than 20%.</w:t>
      </w:r>
      <w:bookmarkEnd w:id="58"/>
    </w:p>
    <w:p w14:paraId="77140629" w14:textId="77777777" w:rsidR="009E5844" w:rsidRPr="00885AB3" w:rsidRDefault="009E5844" w:rsidP="00120D61">
      <w:pPr>
        <w:pStyle w:val="FooterTableFigure"/>
        <w:keepNext/>
        <w:keepLines/>
      </w:pPr>
      <w:r w:rsidRPr="00885AB3">
        <w:rPr>
          <w:rFonts w:cs="Calibri"/>
          <w:szCs w:val="20"/>
        </w:rPr>
        <w:t xml:space="preserve">Notes: Number of participants with event </w:t>
      </w:r>
      <w:r w:rsidRPr="00885AB3">
        <w:t xml:space="preserve">was calculated as date of case−date of randomization+1. Participants without a case in the specified </w:t>
      </w:r>
      <w:proofErr w:type="gramStart"/>
      <w:r w:rsidRPr="00885AB3">
        <w:t>time period</w:t>
      </w:r>
      <w:proofErr w:type="gramEnd"/>
      <w:r w:rsidRPr="00885AB3">
        <w:t xml:space="preserve"> were censored at the earliest date of 12 months postinjection, date of early discontinuation, date of unrelated death, and data cutoff date. </w:t>
      </w:r>
    </w:p>
    <w:p w14:paraId="563D4F20" w14:textId="77777777" w:rsidR="009E5844" w:rsidRPr="00885AB3" w:rsidRDefault="009E5844" w:rsidP="00120D61">
      <w:pPr>
        <w:pStyle w:val="FooterTableFigure"/>
        <w:keepNext/>
        <w:keepLines/>
      </w:pPr>
      <w:r w:rsidRPr="00885AB3">
        <w:rPr>
          <w:rFonts w:cs="Calibri"/>
          <w:szCs w:val="20"/>
        </w:rPr>
        <w:t xml:space="preserve">Results in this table </w:t>
      </w:r>
      <w:r w:rsidRPr="00885AB3">
        <w:t>exclude individuals who develop</w:t>
      </w:r>
      <w:r w:rsidRPr="00885AB3">
        <w:rPr>
          <w:rFonts w:cs="Calibri"/>
          <w:szCs w:val="20"/>
        </w:rPr>
        <w:t xml:space="preserve"> the </w:t>
      </w:r>
      <w:r w:rsidRPr="00885AB3">
        <w:t>outcome within ≤</w:t>
      </w:r>
      <w:r w:rsidRPr="00885AB3">
        <w:rPr>
          <w:rFonts w:cs="Calibri"/>
          <w:szCs w:val="20"/>
        </w:rPr>
        <w:t xml:space="preserve"> 14 days post vaccination</w:t>
      </w:r>
      <w:r w:rsidRPr="00885AB3">
        <w:t xml:space="preserve">. </w:t>
      </w:r>
    </w:p>
    <w:p w14:paraId="5340C6B6" w14:textId="77777777" w:rsidR="009E5844" w:rsidRPr="00885AB3" w:rsidRDefault="009E5844" w:rsidP="00120D61"/>
    <w:p w14:paraId="1B28FE41" w14:textId="77777777" w:rsidR="006F2181" w:rsidRPr="00885AB3" w:rsidRDefault="006F2181" w:rsidP="00120D61">
      <w:pPr>
        <w:pStyle w:val="FooterTableFigure"/>
      </w:pPr>
    </w:p>
    <w:p w14:paraId="6198892B" w14:textId="77777777" w:rsidR="006F2181" w:rsidRPr="00885AB3" w:rsidRDefault="006F2181" w:rsidP="00120D61">
      <w:pPr>
        <w:pStyle w:val="FooterTableFigure"/>
      </w:pPr>
    </w:p>
    <w:p w14:paraId="47F6B951" w14:textId="71D5DD05" w:rsidR="006F2181" w:rsidRPr="00885AB3" w:rsidRDefault="006F2181" w:rsidP="00120D61">
      <w:pPr>
        <w:pStyle w:val="Caption"/>
        <w:rPr>
          <w:bCs w:val="0"/>
        </w:rPr>
      </w:pPr>
      <w:bookmarkStart w:id="59" w:name="_Ref212568790"/>
      <w:r w:rsidRPr="00885AB3">
        <w:lastRenderedPageBreak/>
        <w:t xml:space="preserve">Figure </w:t>
      </w:r>
      <w:r w:rsidR="008A242D" w:rsidRPr="00885AB3">
        <w:fldChar w:fldCharType="begin" w:fldLock="1"/>
      </w:r>
      <w:r w:rsidR="008A242D" w:rsidRPr="00885AB3">
        <w:instrText xml:space="preserve"> SEQ Figure \* ARABIC </w:instrText>
      </w:r>
      <w:r w:rsidR="008A242D" w:rsidRPr="00885AB3">
        <w:fldChar w:fldCharType="separate"/>
      </w:r>
      <w:r w:rsidR="00515933" w:rsidRPr="00885AB3">
        <w:t>1</w:t>
      </w:r>
      <w:r w:rsidR="008A242D" w:rsidRPr="00885AB3">
        <w:fldChar w:fldCharType="end"/>
      </w:r>
      <w:bookmarkEnd w:id="59"/>
      <w:r w:rsidR="007A1CC1" w:rsidRPr="00885AB3">
        <w:t xml:space="preserve">: </w:t>
      </w:r>
      <w:r w:rsidRPr="00885AB3">
        <w:t xml:space="preserve">Cumulative incidence curves in </w:t>
      </w:r>
      <w:proofErr w:type="spellStart"/>
      <w:r w:rsidRPr="00885AB3">
        <w:t>ConquerRSV</w:t>
      </w:r>
      <w:proofErr w:type="spellEnd"/>
      <w:r w:rsidRPr="00885AB3">
        <w:t xml:space="preserve"> for first episode of RSV-LRTD (</w:t>
      </w:r>
      <w:r w:rsidR="00EF2FA4">
        <w:t>≥</w:t>
      </w:r>
      <w:r w:rsidR="001C78D7">
        <w:t xml:space="preserve"> </w:t>
      </w:r>
      <w:r w:rsidRPr="00885AB3">
        <w:t xml:space="preserve">2 symptoms) in participants </w:t>
      </w:r>
      <w:r w:rsidR="00EF2FA4">
        <w:t xml:space="preserve">≥ </w:t>
      </w:r>
      <w:r w:rsidRPr="00885AB3">
        <w:t>60 YOA, up to 12 months after injection, (single dose, PPE set, primary data analysis with 3.7 months median time to follow-up)</w:t>
      </w:r>
    </w:p>
    <w:p w14:paraId="51FF6D31" w14:textId="43E57EC0" w:rsidR="006F2181" w:rsidRPr="00885AB3" w:rsidRDefault="006A1AFC" w:rsidP="00120D61">
      <w:pPr>
        <w:jc w:val="center"/>
        <w:rPr>
          <w:rFonts w:cstheme="minorHAnsi"/>
          <w:szCs w:val="18"/>
        </w:rPr>
      </w:pPr>
      <w:r w:rsidRPr="00885AB3">
        <w:rPr>
          <w:noProof/>
        </w:rPr>
        <w:drawing>
          <wp:inline distT="0" distB="0" distL="0" distR="0" wp14:anchorId="652CA8F9" wp14:editId="2613F230">
            <wp:extent cx="5287507" cy="2514600"/>
            <wp:effectExtent l="0" t="0" r="8890" b="0"/>
            <wp:docPr id="177325463" name="Picture 177325463" descr="Figure 1: Cumulative incidence curves in ConquerRSV for first episode of RSV-LRTD (≥ 2 symptoms) in participants ≥60 YOA, up to 12 months after injection, (single dose, PPE set, primary data analysis with 3.7 months median time to follow-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325463" name="Picture 177325463" descr="Figure 1: Cumulative incidence curves in ConquerRSV for first episode of RSV-LRTD (≥ 2 symptoms) in participants ≥60 YOA, up to 12 months after injection, (single dose, PPE set, primary data analysis with 3.7 months median time to follow-up)"/>
                    <pic:cNvPicPr/>
                  </pic:nvPicPr>
                  <pic:blipFill>
                    <a:blip r:embed="rId11"/>
                    <a:stretch>
                      <a:fillRect/>
                    </a:stretch>
                  </pic:blipFill>
                  <pic:spPr>
                    <a:xfrm>
                      <a:off x="0" y="0"/>
                      <a:ext cx="5327739" cy="2533733"/>
                    </a:xfrm>
                    <a:prstGeom prst="rect">
                      <a:avLst/>
                    </a:prstGeom>
                  </pic:spPr>
                </pic:pic>
              </a:graphicData>
            </a:graphic>
          </wp:inline>
        </w:drawing>
      </w:r>
    </w:p>
    <w:p w14:paraId="75CAC2A9" w14:textId="77777777" w:rsidR="006A1AFC" w:rsidRPr="00885AB3" w:rsidRDefault="006A1AFC" w:rsidP="00120D61">
      <w:pPr>
        <w:pStyle w:val="FooterTableFigure"/>
      </w:pPr>
      <w:r w:rsidRPr="00885AB3">
        <w:t xml:space="preserve">Source: Table 2-15, p127 of the submission. </w:t>
      </w:r>
    </w:p>
    <w:p w14:paraId="7E9AC1FB" w14:textId="77777777" w:rsidR="006A1AFC" w:rsidRPr="00885AB3" w:rsidRDefault="006A1AFC" w:rsidP="00120D61">
      <w:pPr>
        <w:pStyle w:val="FooterTableFigure"/>
      </w:pPr>
      <w:r w:rsidRPr="00885AB3">
        <w:t xml:space="preserve">PPE = per protocol efficacy; RSV-LRTD = respiratory syncytial virus-lower respiratory tract disease; YOA = years of age. </w:t>
      </w:r>
    </w:p>
    <w:p w14:paraId="1210C361" w14:textId="52AC9C13" w:rsidR="006A1AFC" w:rsidRPr="00885AB3" w:rsidRDefault="009667D8" w:rsidP="00120D61">
      <w:pPr>
        <w:pStyle w:val="FooterTableFigure"/>
        <w:contextualSpacing w:val="0"/>
      </w:pPr>
      <w:r w:rsidRPr="00885AB3">
        <w:rPr>
          <w:rFonts w:cs="Calibri"/>
          <w:szCs w:val="20"/>
        </w:rPr>
        <w:t xml:space="preserve">Note: </w:t>
      </w:r>
      <w:r w:rsidR="006A1AFC" w:rsidRPr="00885AB3">
        <w:rPr>
          <w:rFonts w:cs="Calibri"/>
          <w:szCs w:val="20"/>
        </w:rPr>
        <w:t xml:space="preserve">Results </w:t>
      </w:r>
      <w:r w:rsidR="006A1AFC" w:rsidRPr="00885AB3">
        <w:t>exclude individuals who develop</w:t>
      </w:r>
      <w:r w:rsidR="006A1AFC" w:rsidRPr="00885AB3">
        <w:rPr>
          <w:rFonts w:cs="Calibri"/>
          <w:szCs w:val="20"/>
        </w:rPr>
        <w:t xml:space="preserve"> the </w:t>
      </w:r>
      <w:r w:rsidR="006A1AFC" w:rsidRPr="00885AB3">
        <w:t>outcome within ≤</w:t>
      </w:r>
      <w:r w:rsidR="006A1AFC" w:rsidRPr="00885AB3">
        <w:rPr>
          <w:rFonts w:cs="Calibri"/>
          <w:szCs w:val="20"/>
        </w:rPr>
        <w:t xml:space="preserve"> 14 days post vaccination</w:t>
      </w:r>
    </w:p>
    <w:p w14:paraId="21827FF9" w14:textId="0F170656" w:rsidR="00587FC1" w:rsidRPr="00885AB3" w:rsidRDefault="006A1AFC" w:rsidP="00120D61">
      <w:pPr>
        <w:pStyle w:val="3-BodyText"/>
        <w:rPr>
          <w:iCs/>
        </w:rPr>
      </w:pPr>
      <w:bookmarkStart w:id="60" w:name="_Ref206525192"/>
      <w:r w:rsidRPr="00885AB3">
        <w:rPr>
          <w:iCs/>
        </w:rPr>
        <w:t>The</w:t>
      </w:r>
      <w:r w:rsidR="008135B1" w:rsidRPr="00885AB3">
        <w:rPr>
          <w:iCs/>
        </w:rPr>
        <w:t xml:space="preserve"> evaluation considered that the</w:t>
      </w:r>
      <w:r w:rsidRPr="00885AB3">
        <w:rPr>
          <w:iCs/>
        </w:rPr>
        <w:t xml:space="preserve"> magnitude of these VE estimates from the </w:t>
      </w:r>
      <w:r w:rsidR="002232D7" w:rsidRPr="00885AB3">
        <w:rPr>
          <w:iCs/>
        </w:rPr>
        <w:t xml:space="preserve">planned </w:t>
      </w:r>
      <w:r w:rsidRPr="00885AB3">
        <w:rPr>
          <w:iCs/>
        </w:rPr>
        <w:t xml:space="preserve">primary data analysis </w:t>
      </w:r>
      <w:r w:rsidR="002232D7" w:rsidRPr="00885AB3">
        <w:rPr>
          <w:iCs/>
        </w:rPr>
        <w:t xml:space="preserve">(based on </w:t>
      </w:r>
      <w:r w:rsidR="008A5E93" w:rsidRPr="00885AB3">
        <w:rPr>
          <w:iCs/>
        </w:rPr>
        <w:t>a prespecified number of RSV cases accrued)</w:t>
      </w:r>
      <w:r w:rsidRPr="00885AB3">
        <w:rPr>
          <w:iCs/>
        </w:rPr>
        <w:t xml:space="preserve"> </w:t>
      </w:r>
      <w:r w:rsidR="00F53D58" w:rsidRPr="00885AB3">
        <w:rPr>
          <w:iCs/>
        </w:rPr>
        <w:t xml:space="preserve">is </w:t>
      </w:r>
      <w:r w:rsidRPr="00885AB3">
        <w:rPr>
          <w:iCs/>
        </w:rPr>
        <w:t xml:space="preserve">highly uncertain given the extent of decline in the number of participants at risk in both the intervention and placebo arms </w:t>
      </w:r>
      <w:r w:rsidR="0053785D" w:rsidRPr="00885AB3">
        <w:rPr>
          <w:iCs/>
        </w:rPr>
        <w:t xml:space="preserve">from </w:t>
      </w:r>
      <w:r w:rsidRPr="00885AB3">
        <w:rPr>
          <w:iCs/>
        </w:rPr>
        <w:t>around 3 months of follow-up</w:t>
      </w:r>
      <w:r w:rsidR="00C84371" w:rsidRPr="00885AB3">
        <w:rPr>
          <w:iCs/>
        </w:rPr>
        <w:t xml:space="preserve">. Overall, </w:t>
      </w:r>
      <w:r w:rsidR="00901733" w:rsidRPr="00885AB3">
        <w:rPr>
          <w:iCs/>
        </w:rPr>
        <w:t xml:space="preserve">the proportion of </w:t>
      </w:r>
      <w:r w:rsidR="003229BC" w:rsidRPr="00885AB3">
        <w:rPr>
          <w:iCs/>
        </w:rPr>
        <w:t xml:space="preserve">participants at risk </w:t>
      </w:r>
      <w:r w:rsidR="0060210B" w:rsidRPr="00885AB3">
        <w:rPr>
          <w:iCs/>
        </w:rPr>
        <w:t xml:space="preserve">at </w:t>
      </w:r>
      <w:r w:rsidR="003229BC" w:rsidRPr="00885AB3">
        <w:rPr>
          <w:iCs/>
        </w:rPr>
        <w:t xml:space="preserve">12 months </w:t>
      </w:r>
      <w:r w:rsidR="006C4C58" w:rsidRPr="00885AB3">
        <w:rPr>
          <w:iCs/>
        </w:rPr>
        <w:t>was</w:t>
      </w:r>
      <w:r w:rsidR="00C5487A" w:rsidRPr="00885AB3">
        <w:rPr>
          <w:iCs/>
        </w:rPr>
        <w:t xml:space="preserve"> 0.</w:t>
      </w:r>
      <w:r w:rsidR="00102890" w:rsidRPr="00885AB3">
        <w:rPr>
          <w:iCs/>
        </w:rPr>
        <w:t>3</w:t>
      </w:r>
      <w:r w:rsidR="00C5487A" w:rsidRPr="00885AB3">
        <w:rPr>
          <w:iCs/>
        </w:rPr>
        <w:t>%</w:t>
      </w:r>
      <w:r w:rsidR="00872FD9" w:rsidRPr="00885AB3">
        <w:rPr>
          <w:iCs/>
        </w:rPr>
        <w:t xml:space="preserve">, </w:t>
      </w:r>
      <w:r w:rsidR="006C4C58" w:rsidRPr="00885AB3">
        <w:rPr>
          <w:iCs/>
        </w:rPr>
        <w:t>12.9%</w:t>
      </w:r>
      <w:r w:rsidR="00C5487A" w:rsidRPr="00885AB3">
        <w:rPr>
          <w:iCs/>
        </w:rPr>
        <w:t xml:space="preserve"> </w:t>
      </w:r>
      <w:r w:rsidR="00872FD9" w:rsidRPr="00885AB3">
        <w:rPr>
          <w:iCs/>
        </w:rPr>
        <w:t xml:space="preserve">and 92.4% </w:t>
      </w:r>
      <w:r w:rsidR="00E57246" w:rsidRPr="00885AB3">
        <w:rPr>
          <w:iCs/>
        </w:rPr>
        <w:t>of the overall population</w:t>
      </w:r>
      <w:r w:rsidR="00C5487A" w:rsidRPr="00885AB3">
        <w:rPr>
          <w:iCs/>
        </w:rPr>
        <w:t xml:space="preserve"> </w:t>
      </w:r>
      <w:r w:rsidR="006504DB" w:rsidRPr="00885AB3">
        <w:rPr>
          <w:iCs/>
        </w:rPr>
        <w:t xml:space="preserve">in the </w:t>
      </w:r>
      <w:r w:rsidR="00C104CA" w:rsidRPr="00885AB3">
        <w:rPr>
          <w:iCs/>
        </w:rPr>
        <w:t>VE</w:t>
      </w:r>
      <w:r w:rsidR="003F704A" w:rsidRPr="00885AB3">
        <w:rPr>
          <w:iCs/>
        </w:rPr>
        <w:t xml:space="preserve"> analys</w:t>
      </w:r>
      <w:r w:rsidR="00C104CA" w:rsidRPr="00885AB3">
        <w:rPr>
          <w:iCs/>
        </w:rPr>
        <w:t>e</w:t>
      </w:r>
      <w:r w:rsidR="003F704A" w:rsidRPr="00885AB3">
        <w:rPr>
          <w:iCs/>
        </w:rPr>
        <w:t>s at 3.7</w:t>
      </w:r>
      <w:r w:rsidR="00872FD9" w:rsidRPr="00885AB3">
        <w:rPr>
          <w:iCs/>
        </w:rPr>
        <w:t xml:space="preserve">, </w:t>
      </w:r>
      <w:r w:rsidR="00C104CA" w:rsidRPr="00885AB3">
        <w:rPr>
          <w:iCs/>
        </w:rPr>
        <w:t xml:space="preserve">8.6 and </w:t>
      </w:r>
      <w:r w:rsidR="00872FD9" w:rsidRPr="00885AB3">
        <w:rPr>
          <w:iCs/>
        </w:rPr>
        <w:t>18.</w:t>
      </w:r>
      <w:r w:rsidR="00C104CA" w:rsidRPr="00885AB3">
        <w:rPr>
          <w:iCs/>
        </w:rPr>
        <w:t>8 months</w:t>
      </w:r>
      <w:r w:rsidR="003F704A" w:rsidRPr="00885AB3">
        <w:rPr>
          <w:iCs/>
        </w:rPr>
        <w:t xml:space="preserve"> </w:t>
      </w:r>
      <w:r w:rsidR="004629D4" w:rsidRPr="00885AB3">
        <w:rPr>
          <w:iCs/>
        </w:rPr>
        <w:t>median follow-up</w:t>
      </w:r>
      <w:r w:rsidR="00C104CA" w:rsidRPr="00885AB3">
        <w:rPr>
          <w:iCs/>
        </w:rPr>
        <w:t>, respectively</w:t>
      </w:r>
      <w:r w:rsidRPr="00885AB3">
        <w:rPr>
          <w:iCs/>
        </w:rPr>
        <w:t>. The EMA report</w:t>
      </w:r>
      <w:r w:rsidRPr="00885AB3" w:rsidDel="00DF11D0">
        <w:rPr>
          <w:iCs/>
        </w:rPr>
        <w:t xml:space="preserve"> </w:t>
      </w:r>
      <w:r w:rsidRPr="00885AB3">
        <w:rPr>
          <w:iCs/>
        </w:rPr>
        <w:t>stated that a substantial portion of participants (</w:t>
      </w:r>
      <w:r w:rsidR="001C78D7">
        <w:rPr>
          <w:iCs/>
        </w:rPr>
        <w:t xml:space="preserve">&gt; </w:t>
      </w:r>
      <w:r w:rsidRPr="00885AB3">
        <w:rPr>
          <w:iCs/>
        </w:rPr>
        <w:t xml:space="preserve">50%) </w:t>
      </w:r>
      <w:r w:rsidR="00731E95" w:rsidRPr="00885AB3">
        <w:rPr>
          <w:iCs/>
        </w:rPr>
        <w:t xml:space="preserve">in the primary analysis (3.7 months median follow-up) </w:t>
      </w:r>
      <w:r w:rsidRPr="00885AB3">
        <w:rPr>
          <w:iCs/>
        </w:rPr>
        <w:t>had no more than 3 months of follow-up, which is insufficient to capture the outcomes over a full RSV season (p49 of the EMA assessment report EMA/329706/2024</w:t>
      </w:r>
      <w:r w:rsidRPr="00885AB3">
        <w:rPr>
          <w:rStyle w:val="FootnoteReference"/>
          <w:iCs/>
        </w:rPr>
        <w:footnoteReference w:id="5"/>
      </w:r>
      <w:r w:rsidRPr="00885AB3">
        <w:rPr>
          <w:iCs/>
        </w:rPr>
        <w:t>). Furthermore, there is a 66% reduction in antibody titres observed at approximately 6 months post vaccination (see</w:t>
      </w:r>
      <w:r w:rsidR="00F23D27" w:rsidRPr="00885AB3">
        <w:rPr>
          <w:iCs/>
        </w:rPr>
        <w:t xml:space="preserve"> </w:t>
      </w:r>
      <w:r w:rsidR="00F23D27" w:rsidRPr="00885AB3">
        <w:rPr>
          <w:iCs/>
        </w:rPr>
        <w:fldChar w:fldCharType="begin" w:fldLock="1"/>
      </w:r>
      <w:r w:rsidR="00F23D27" w:rsidRPr="00885AB3">
        <w:rPr>
          <w:iCs/>
        </w:rPr>
        <w:instrText xml:space="preserve"> REF _Ref206659746 \h </w:instrText>
      </w:r>
      <w:r w:rsidR="000854BD" w:rsidRPr="00885AB3">
        <w:rPr>
          <w:iCs/>
        </w:rPr>
        <w:instrText xml:space="preserve"> \* MERGEFORMAT </w:instrText>
      </w:r>
      <w:r w:rsidR="00F23D27" w:rsidRPr="00885AB3">
        <w:rPr>
          <w:iCs/>
        </w:rPr>
      </w:r>
      <w:r w:rsidR="00F23D27" w:rsidRPr="00885AB3">
        <w:rPr>
          <w:iCs/>
        </w:rPr>
        <w:fldChar w:fldCharType="separate"/>
      </w:r>
      <w:r w:rsidR="00515933" w:rsidRPr="00885AB3">
        <w:rPr>
          <w:iCs/>
        </w:rPr>
        <w:t>Table 9</w:t>
      </w:r>
      <w:r w:rsidR="00F23D27" w:rsidRPr="00885AB3">
        <w:rPr>
          <w:iCs/>
        </w:rPr>
        <w:fldChar w:fldCharType="end"/>
      </w:r>
      <w:r w:rsidRPr="00885AB3">
        <w:rPr>
          <w:iCs/>
        </w:rPr>
        <w:t>) and therefore a longer duration of follow-up is required to capture the VE across the full 12 months.</w:t>
      </w:r>
      <w:bookmarkEnd w:id="60"/>
    </w:p>
    <w:p w14:paraId="0E737E5C" w14:textId="64413DA7" w:rsidR="006A1AFC" w:rsidRPr="00885AB3" w:rsidRDefault="006A1AFC" w:rsidP="00120D61">
      <w:pPr>
        <w:pStyle w:val="3-BodyText"/>
      </w:pPr>
      <w:r w:rsidRPr="00885AB3">
        <w:t>A summary of the results for the</w:t>
      </w:r>
      <w:r w:rsidR="001C78D7">
        <w:t xml:space="preserve"> </w:t>
      </w:r>
      <w:r w:rsidRPr="00885AB3">
        <w:t xml:space="preserve">prevention of first episode of RSV-LRTD with </w:t>
      </w:r>
      <w:r w:rsidR="00EF2FA4">
        <w:rPr>
          <w:rFonts w:cs="Calibri"/>
        </w:rPr>
        <w:t xml:space="preserve">≥ </w:t>
      </w:r>
      <w:r w:rsidRPr="00885AB3">
        <w:t xml:space="preserve">2 or </w:t>
      </w:r>
      <w:r w:rsidR="00EF2FA4">
        <w:rPr>
          <w:rFonts w:cs="Calibri"/>
        </w:rPr>
        <w:t xml:space="preserve">≥ </w:t>
      </w:r>
      <w:r w:rsidRPr="00885AB3">
        <w:rPr>
          <w:rFonts w:cs="Calibri"/>
        </w:rPr>
        <w:t xml:space="preserve">3 symptoms </w:t>
      </w:r>
      <w:r w:rsidRPr="00885AB3">
        <w:t xml:space="preserve">at 3 different time points (12, 18 and 24 months) and first episode of RSV-acute respiratory distress (ARD) at the most recent efficacy DCO (08 March 2024; median time to follow-up of 18.8 months) is presented in </w:t>
      </w:r>
      <w:r w:rsidRPr="00885AB3">
        <w:fldChar w:fldCharType="begin" w:fldLock="1"/>
      </w:r>
      <w:r w:rsidRPr="00885AB3">
        <w:instrText xml:space="preserve"> REF _Ref205297374 \h </w:instrText>
      </w:r>
      <w:r w:rsidR="005F5B2F" w:rsidRPr="00885AB3">
        <w:instrText xml:space="preserve"> \* MERGEFORMAT </w:instrText>
      </w:r>
      <w:r w:rsidRPr="00885AB3">
        <w:fldChar w:fldCharType="separate"/>
      </w:r>
      <w:r w:rsidR="00515933" w:rsidRPr="00885AB3">
        <w:t>Table 6</w:t>
      </w:r>
      <w:r w:rsidRPr="00885AB3">
        <w:fldChar w:fldCharType="end"/>
      </w:r>
      <w:r w:rsidRPr="00885AB3">
        <w:t xml:space="preserve"> and the cumulative incidence curve for RSV-LRTD </w:t>
      </w:r>
      <w:r w:rsidR="00EF2FA4">
        <w:rPr>
          <w:rFonts w:cs="Calibri"/>
        </w:rPr>
        <w:t xml:space="preserve">≥ </w:t>
      </w:r>
      <w:r w:rsidRPr="00885AB3">
        <w:t xml:space="preserve">2 symptoms is presented in </w:t>
      </w:r>
      <w:r w:rsidRPr="00885AB3">
        <w:fldChar w:fldCharType="begin" w:fldLock="1"/>
      </w:r>
      <w:r w:rsidRPr="00885AB3">
        <w:instrText xml:space="preserve"> REF _Ref205297437 \h </w:instrText>
      </w:r>
      <w:r w:rsidR="005F5B2F" w:rsidRPr="00885AB3">
        <w:instrText xml:space="preserve"> \* MERGEFORMAT </w:instrText>
      </w:r>
      <w:r w:rsidRPr="00885AB3">
        <w:fldChar w:fldCharType="separate"/>
      </w:r>
      <w:r w:rsidR="00515933" w:rsidRPr="00885AB3">
        <w:t>Figure 2</w:t>
      </w:r>
      <w:r w:rsidRPr="00885AB3">
        <w:fldChar w:fldCharType="end"/>
      </w:r>
      <w:r w:rsidRPr="00885AB3">
        <w:t xml:space="preserve">. </w:t>
      </w:r>
    </w:p>
    <w:p w14:paraId="7FC339C1" w14:textId="180D6A67" w:rsidR="006A1AFC" w:rsidRPr="00885AB3" w:rsidRDefault="006A1AFC" w:rsidP="00120D61">
      <w:pPr>
        <w:pStyle w:val="TableFigureHeading"/>
      </w:pPr>
      <w:bookmarkStart w:id="61" w:name="_Ref205297374"/>
      <w:r w:rsidRPr="00885AB3">
        <w:lastRenderedPageBreak/>
        <w:t xml:space="preserve">Table </w:t>
      </w:r>
      <w:r w:rsidR="008A242D" w:rsidRPr="00885AB3">
        <w:fldChar w:fldCharType="begin" w:fldLock="1"/>
      </w:r>
      <w:r w:rsidR="008A242D" w:rsidRPr="00885AB3">
        <w:instrText xml:space="preserve"> SEQ Table \* ARABIC </w:instrText>
      </w:r>
      <w:r w:rsidR="008A242D" w:rsidRPr="00885AB3">
        <w:fldChar w:fldCharType="separate"/>
      </w:r>
      <w:r w:rsidR="00515933" w:rsidRPr="00885AB3">
        <w:t>6</w:t>
      </w:r>
      <w:r w:rsidR="008A242D" w:rsidRPr="00885AB3">
        <w:fldChar w:fldCharType="end"/>
      </w:r>
      <w:bookmarkEnd w:id="61"/>
      <w:r w:rsidRPr="00885AB3">
        <w:t xml:space="preserve">: Cumulative VE in </w:t>
      </w:r>
      <w:proofErr w:type="spellStart"/>
      <w:r w:rsidRPr="00885AB3">
        <w:t>ConquerRSV</w:t>
      </w:r>
      <w:proofErr w:type="spellEnd"/>
      <w:r w:rsidRPr="00885AB3">
        <w:t xml:space="preserve"> for the prevention of RSV-LRTD with </w:t>
      </w:r>
      <w:r w:rsidR="00EF2FA4">
        <w:t xml:space="preserve">≥ </w:t>
      </w:r>
      <w:r w:rsidRPr="00885AB3">
        <w:t xml:space="preserve">2 or </w:t>
      </w:r>
      <w:r w:rsidR="00EF2FA4">
        <w:t xml:space="preserve">≥ </w:t>
      </w:r>
      <w:r w:rsidRPr="00885AB3">
        <w:t xml:space="preserve">3 symptoms and RSV-ARD in participants </w:t>
      </w:r>
      <w:r w:rsidR="00EF2FA4">
        <w:t xml:space="preserve">≥ </w:t>
      </w:r>
      <w:r w:rsidRPr="00885AB3">
        <w:t>60 YOA (single dose, PPE set, 18.8-months median time to follow-up)</w:t>
      </w:r>
    </w:p>
    <w:tbl>
      <w:tblPr>
        <w:tblW w:w="49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6: Cumulative VE in ConquerRSV for the prevention of RSV-LRTD with ≥2 or ≥3 symptoms and RSV-ARD in participants ≥60 YOA (single dose, PPE set, 18.8-months median time to follow-up)"/>
      </w:tblPr>
      <w:tblGrid>
        <w:gridCol w:w="991"/>
        <w:gridCol w:w="987"/>
        <w:gridCol w:w="823"/>
        <w:gridCol w:w="1318"/>
        <w:gridCol w:w="987"/>
        <w:gridCol w:w="829"/>
        <w:gridCol w:w="1482"/>
        <w:gridCol w:w="1589"/>
      </w:tblGrid>
      <w:tr w:rsidR="00F028F3" w:rsidRPr="00885AB3" w14:paraId="01112D17" w14:textId="77777777" w:rsidTr="0074351A">
        <w:trPr>
          <w:trHeight w:val="169"/>
          <w:tblHeader/>
        </w:trPr>
        <w:tc>
          <w:tcPr>
            <w:tcW w:w="550" w:type="pct"/>
            <w:vAlign w:val="center"/>
          </w:tcPr>
          <w:p w14:paraId="01D4D115" w14:textId="6647413F" w:rsidR="0074351A" w:rsidRPr="00885AB3" w:rsidRDefault="0074351A" w:rsidP="00120D61">
            <w:pPr>
              <w:keepNext/>
              <w:keepLines/>
              <w:rPr>
                <w:rFonts w:ascii="Arial Narrow" w:hAnsi="Arial Narrow" w:cs="Calibri"/>
                <w:b/>
                <w:bCs/>
                <w:sz w:val="20"/>
                <w:szCs w:val="20"/>
              </w:rPr>
            </w:pPr>
            <w:r w:rsidRPr="00885AB3">
              <w:rPr>
                <w:rFonts w:ascii="Arial Narrow" w:hAnsi="Arial Narrow" w:cs="Calibri"/>
                <w:b/>
                <w:bCs/>
                <w:sz w:val="20"/>
                <w:szCs w:val="20"/>
              </w:rPr>
              <w:t>Primary endpoints</w:t>
            </w:r>
          </w:p>
        </w:tc>
        <w:tc>
          <w:tcPr>
            <w:tcW w:w="1737" w:type="pct"/>
            <w:gridSpan w:val="3"/>
            <w:vAlign w:val="center"/>
          </w:tcPr>
          <w:p w14:paraId="47203B70" w14:textId="7A38E570" w:rsidR="0074351A" w:rsidRPr="00885AB3" w:rsidRDefault="0074351A" w:rsidP="00120D61">
            <w:pPr>
              <w:keepNext/>
              <w:keepLines/>
              <w:jc w:val="center"/>
              <w:rPr>
                <w:rFonts w:ascii="Arial Narrow" w:hAnsi="Arial Narrow" w:cs="Calibri"/>
                <w:b/>
                <w:bCs/>
                <w:sz w:val="20"/>
                <w:szCs w:val="20"/>
              </w:rPr>
            </w:pPr>
            <w:r w:rsidRPr="00885AB3">
              <w:rPr>
                <w:rFonts w:ascii="Arial Narrow" w:hAnsi="Arial Narrow" w:cs="Calibri"/>
                <w:b/>
                <w:bCs/>
                <w:sz w:val="20"/>
                <w:szCs w:val="20"/>
              </w:rPr>
              <w:t>mRNA-1345 (N= 18,181)</w:t>
            </w:r>
          </w:p>
        </w:tc>
        <w:tc>
          <w:tcPr>
            <w:tcW w:w="1831" w:type="pct"/>
            <w:gridSpan w:val="3"/>
            <w:vAlign w:val="center"/>
          </w:tcPr>
          <w:p w14:paraId="68F1A8C8" w14:textId="699CB4B3" w:rsidR="0074351A" w:rsidRPr="00885AB3" w:rsidRDefault="0074351A" w:rsidP="00120D61">
            <w:pPr>
              <w:keepNext/>
              <w:keepLines/>
              <w:jc w:val="center"/>
              <w:rPr>
                <w:rFonts w:ascii="Arial Narrow" w:hAnsi="Arial Narrow" w:cs="Calibri"/>
                <w:b/>
                <w:bCs/>
                <w:sz w:val="20"/>
                <w:szCs w:val="20"/>
              </w:rPr>
            </w:pPr>
            <w:r w:rsidRPr="00885AB3">
              <w:rPr>
                <w:rFonts w:ascii="Arial Narrow" w:hAnsi="Arial Narrow" w:cs="Calibri"/>
                <w:b/>
                <w:bCs/>
                <w:sz w:val="20"/>
                <w:szCs w:val="20"/>
              </w:rPr>
              <w:t>Placebo (N = 18,132)</w:t>
            </w:r>
          </w:p>
        </w:tc>
        <w:tc>
          <w:tcPr>
            <w:tcW w:w="882" w:type="pct"/>
            <w:vAlign w:val="center"/>
          </w:tcPr>
          <w:p w14:paraId="2A17FF69" w14:textId="77777777" w:rsidR="0074351A" w:rsidRPr="00885AB3" w:rsidRDefault="0074351A" w:rsidP="00120D61">
            <w:pPr>
              <w:keepNext/>
              <w:keepLines/>
              <w:jc w:val="center"/>
              <w:rPr>
                <w:rFonts w:ascii="Arial Narrow" w:hAnsi="Arial Narrow" w:cs="Calibri"/>
                <w:b/>
                <w:bCs/>
                <w:sz w:val="20"/>
                <w:szCs w:val="20"/>
              </w:rPr>
            </w:pPr>
            <w:r w:rsidRPr="00885AB3">
              <w:rPr>
                <w:rFonts w:ascii="Arial Narrow" w:hAnsi="Arial Narrow" w:cs="Calibri"/>
                <w:b/>
                <w:bCs/>
                <w:sz w:val="20"/>
                <w:szCs w:val="20"/>
              </w:rPr>
              <w:t>VE %</w:t>
            </w:r>
          </w:p>
          <w:p w14:paraId="19E4FED7" w14:textId="75AE2CD8" w:rsidR="0074351A" w:rsidRPr="00885AB3" w:rsidRDefault="0074351A" w:rsidP="00120D61">
            <w:pPr>
              <w:keepNext/>
              <w:keepLines/>
              <w:jc w:val="center"/>
              <w:rPr>
                <w:rFonts w:ascii="Arial Narrow" w:hAnsi="Arial Narrow" w:cs="Calibri"/>
                <w:b/>
                <w:bCs/>
                <w:color w:val="000000"/>
                <w:sz w:val="20"/>
                <w:szCs w:val="20"/>
              </w:rPr>
            </w:pPr>
            <w:r w:rsidRPr="00885AB3">
              <w:rPr>
                <w:rFonts w:ascii="Arial Narrow" w:hAnsi="Arial Narrow" w:cs="Calibri"/>
                <w:b/>
                <w:bCs/>
                <w:sz w:val="20"/>
                <w:szCs w:val="20"/>
              </w:rPr>
              <w:t>95% CI</w:t>
            </w:r>
          </w:p>
        </w:tc>
      </w:tr>
      <w:tr w:rsidR="006A1AFC" w:rsidRPr="00885AB3" w14:paraId="2B26DBBE" w14:textId="77777777" w:rsidTr="0074351A">
        <w:trPr>
          <w:trHeight w:val="169"/>
          <w:tblHeader/>
        </w:trPr>
        <w:tc>
          <w:tcPr>
            <w:tcW w:w="550" w:type="pct"/>
            <w:vAlign w:val="center"/>
          </w:tcPr>
          <w:p w14:paraId="20C21307" w14:textId="77777777" w:rsidR="006A1AFC" w:rsidRPr="00885AB3" w:rsidRDefault="006A1AFC" w:rsidP="00120D61">
            <w:pPr>
              <w:keepNext/>
              <w:keepLines/>
              <w:rPr>
                <w:rFonts w:ascii="Arial Narrow" w:hAnsi="Arial Narrow" w:cs="Calibri"/>
                <w:b/>
                <w:bCs/>
                <w:sz w:val="20"/>
                <w:szCs w:val="20"/>
              </w:rPr>
            </w:pPr>
          </w:p>
        </w:tc>
        <w:tc>
          <w:tcPr>
            <w:tcW w:w="548" w:type="pct"/>
            <w:vAlign w:val="center"/>
            <w:hideMark/>
          </w:tcPr>
          <w:p w14:paraId="26E5DD23" w14:textId="77777777" w:rsidR="006A1AFC" w:rsidRPr="00885AB3" w:rsidRDefault="006A1AFC" w:rsidP="00120D61">
            <w:pPr>
              <w:keepNext/>
              <w:keepLines/>
              <w:jc w:val="center"/>
              <w:rPr>
                <w:rFonts w:ascii="Arial Narrow" w:hAnsi="Arial Narrow" w:cs="Calibri"/>
                <w:b/>
                <w:bCs/>
                <w:color w:val="000000"/>
                <w:sz w:val="20"/>
                <w:szCs w:val="20"/>
              </w:rPr>
            </w:pPr>
            <w:r w:rsidRPr="00885AB3">
              <w:rPr>
                <w:rFonts w:ascii="Arial Narrow" w:hAnsi="Arial Narrow" w:cs="Calibri"/>
                <w:b/>
                <w:bCs/>
                <w:sz w:val="20"/>
                <w:szCs w:val="20"/>
              </w:rPr>
              <w:t>n (%)</w:t>
            </w:r>
          </w:p>
        </w:tc>
        <w:tc>
          <w:tcPr>
            <w:tcW w:w="457" w:type="pct"/>
            <w:vAlign w:val="center"/>
            <w:hideMark/>
          </w:tcPr>
          <w:p w14:paraId="5B614F58" w14:textId="77777777" w:rsidR="006A1AFC" w:rsidRPr="00885AB3" w:rsidRDefault="006A1AFC" w:rsidP="00120D61">
            <w:pPr>
              <w:keepNext/>
              <w:keepLines/>
              <w:jc w:val="center"/>
              <w:rPr>
                <w:rFonts w:ascii="Arial Narrow" w:hAnsi="Arial Narrow" w:cs="Calibri"/>
                <w:b/>
                <w:bCs/>
                <w:color w:val="000000"/>
                <w:sz w:val="20"/>
                <w:szCs w:val="20"/>
              </w:rPr>
            </w:pPr>
            <w:r w:rsidRPr="00885AB3">
              <w:rPr>
                <w:rFonts w:ascii="Arial Narrow" w:hAnsi="Arial Narrow" w:cs="Calibri"/>
                <w:b/>
                <w:bCs/>
                <w:sz w:val="20"/>
                <w:szCs w:val="20"/>
              </w:rPr>
              <w:t>T (person years)</w:t>
            </w:r>
          </w:p>
        </w:tc>
        <w:tc>
          <w:tcPr>
            <w:tcW w:w="732" w:type="pct"/>
            <w:vAlign w:val="center"/>
          </w:tcPr>
          <w:p w14:paraId="3F2DD5AF" w14:textId="77777777" w:rsidR="006A1AFC" w:rsidRPr="00885AB3" w:rsidRDefault="006A1AFC" w:rsidP="00120D61">
            <w:pPr>
              <w:keepNext/>
              <w:keepLines/>
              <w:jc w:val="center"/>
              <w:rPr>
                <w:rFonts w:ascii="Arial Narrow" w:hAnsi="Arial Narrow" w:cs="Calibri"/>
                <w:b/>
                <w:bCs/>
                <w:sz w:val="20"/>
                <w:szCs w:val="20"/>
              </w:rPr>
            </w:pPr>
            <w:r w:rsidRPr="00885AB3">
              <w:rPr>
                <w:rFonts w:ascii="Arial Narrow" w:hAnsi="Arial Narrow" w:cs="Calibri"/>
                <w:b/>
                <w:bCs/>
                <w:sz w:val="20"/>
                <w:szCs w:val="20"/>
              </w:rPr>
              <w:t>n/T per 1000 (95% CI)</w:t>
            </w:r>
          </w:p>
        </w:tc>
        <w:tc>
          <w:tcPr>
            <w:tcW w:w="548" w:type="pct"/>
            <w:vAlign w:val="center"/>
            <w:hideMark/>
          </w:tcPr>
          <w:p w14:paraId="21E4F21A" w14:textId="77777777" w:rsidR="006A1AFC" w:rsidRPr="00885AB3" w:rsidRDefault="006A1AFC" w:rsidP="00120D61">
            <w:pPr>
              <w:keepNext/>
              <w:keepLines/>
              <w:jc w:val="center"/>
              <w:rPr>
                <w:rFonts w:ascii="Arial Narrow" w:hAnsi="Arial Narrow" w:cs="Calibri"/>
                <w:b/>
                <w:bCs/>
                <w:color w:val="000000"/>
                <w:sz w:val="20"/>
                <w:szCs w:val="20"/>
              </w:rPr>
            </w:pPr>
            <w:r w:rsidRPr="00885AB3">
              <w:rPr>
                <w:rFonts w:ascii="Arial Narrow" w:hAnsi="Arial Narrow" w:cs="Calibri"/>
                <w:b/>
                <w:bCs/>
                <w:sz w:val="20"/>
                <w:szCs w:val="20"/>
              </w:rPr>
              <w:t>n (%)</w:t>
            </w:r>
          </w:p>
        </w:tc>
        <w:tc>
          <w:tcPr>
            <w:tcW w:w="460" w:type="pct"/>
            <w:vAlign w:val="center"/>
          </w:tcPr>
          <w:p w14:paraId="6728A6F6" w14:textId="77777777" w:rsidR="006A1AFC" w:rsidRPr="00885AB3" w:rsidRDefault="006A1AFC" w:rsidP="00120D61">
            <w:pPr>
              <w:keepNext/>
              <w:keepLines/>
              <w:jc w:val="center"/>
              <w:rPr>
                <w:rFonts w:ascii="Arial Narrow" w:hAnsi="Arial Narrow" w:cs="Calibri"/>
                <w:b/>
                <w:bCs/>
                <w:sz w:val="20"/>
                <w:szCs w:val="20"/>
              </w:rPr>
            </w:pPr>
            <w:r w:rsidRPr="00885AB3">
              <w:rPr>
                <w:rFonts w:ascii="Arial Narrow" w:hAnsi="Arial Narrow" w:cs="Calibri"/>
                <w:b/>
                <w:bCs/>
                <w:sz w:val="20"/>
                <w:szCs w:val="20"/>
              </w:rPr>
              <w:t>T (person years)</w:t>
            </w:r>
          </w:p>
        </w:tc>
        <w:tc>
          <w:tcPr>
            <w:tcW w:w="823" w:type="pct"/>
            <w:vAlign w:val="center"/>
            <w:hideMark/>
          </w:tcPr>
          <w:p w14:paraId="1D9A0B34" w14:textId="77777777" w:rsidR="006A1AFC" w:rsidRPr="00885AB3" w:rsidRDefault="006A1AFC" w:rsidP="00120D61">
            <w:pPr>
              <w:keepNext/>
              <w:keepLines/>
              <w:jc w:val="center"/>
              <w:rPr>
                <w:rFonts w:ascii="Arial Narrow" w:hAnsi="Arial Narrow" w:cs="Calibri"/>
                <w:b/>
                <w:bCs/>
                <w:color w:val="000000"/>
                <w:sz w:val="20"/>
                <w:szCs w:val="20"/>
              </w:rPr>
            </w:pPr>
            <w:r w:rsidRPr="00885AB3">
              <w:rPr>
                <w:rFonts w:ascii="Arial Narrow" w:hAnsi="Arial Narrow" w:cs="Calibri"/>
                <w:b/>
                <w:bCs/>
                <w:sz w:val="20"/>
                <w:szCs w:val="20"/>
              </w:rPr>
              <w:t>n/T per 1000 (95% CI</w:t>
            </w:r>
            <w:r w:rsidRPr="00885AB3" w:rsidDel="009011C3">
              <w:rPr>
                <w:rFonts w:ascii="Arial Narrow" w:hAnsi="Arial Narrow" w:cs="Calibri"/>
                <w:b/>
                <w:bCs/>
                <w:sz w:val="20"/>
                <w:szCs w:val="20"/>
              </w:rPr>
              <w:t>)</w:t>
            </w:r>
          </w:p>
        </w:tc>
        <w:tc>
          <w:tcPr>
            <w:tcW w:w="882" w:type="pct"/>
            <w:vAlign w:val="center"/>
            <w:hideMark/>
          </w:tcPr>
          <w:p w14:paraId="39AC8995" w14:textId="77777777" w:rsidR="006A1AFC" w:rsidRPr="00885AB3" w:rsidRDefault="006A1AFC" w:rsidP="00120D61">
            <w:pPr>
              <w:keepNext/>
              <w:keepLines/>
              <w:jc w:val="center"/>
              <w:rPr>
                <w:rFonts w:ascii="Arial Narrow" w:hAnsi="Arial Narrow" w:cs="Calibri"/>
                <w:b/>
                <w:bCs/>
                <w:color w:val="000000"/>
                <w:sz w:val="20"/>
                <w:szCs w:val="20"/>
              </w:rPr>
            </w:pPr>
          </w:p>
        </w:tc>
      </w:tr>
      <w:tr w:rsidR="00F028F3" w:rsidRPr="00885AB3" w14:paraId="5987DE93" w14:textId="77777777" w:rsidTr="0074351A">
        <w:trPr>
          <w:trHeight w:val="169"/>
        </w:trPr>
        <w:tc>
          <w:tcPr>
            <w:tcW w:w="5000" w:type="pct"/>
            <w:gridSpan w:val="8"/>
            <w:tcBorders>
              <w:left w:val="single" w:sz="4" w:space="0" w:color="auto"/>
            </w:tcBorders>
            <w:vAlign w:val="center"/>
          </w:tcPr>
          <w:p w14:paraId="514B8706" w14:textId="05AA43EA" w:rsidR="0074351A" w:rsidRPr="00885AB3" w:rsidRDefault="0074351A" w:rsidP="00120D61">
            <w:pPr>
              <w:keepNext/>
              <w:keepLines/>
              <w:jc w:val="left"/>
              <w:rPr>
                <w:rFonts w:ascii="Arial Narrow" w:hAnsi="Arial Narrow" w:cs="Calibri"/>
                <w:b/>
                <w:bCs/>
                <w:color w:val="000000"/>
                <w:sz w:val="20"/>
                <w:szCs w:val="20"/>
              </w:rPr>
            </w:pPr>
            <w:r w:rsidRPr="00885AB3">
              <w:rPr>
                <w:rFonts w:ascii="Arial Narrow" w:hAnsi="Arial Narrow" w:cs="Calibri"/>
                <w:b/>
                <w:bCs/>
                <w:color w:val="000000"/>
                <w:sz w:val="20"/>
                <w:szCs w:val="20"/>
              </w:rPr>
              <w:t xml:space="preserve">VE for the prevention of RSV-LRTD </w:t>
            </w:r>
            <w:r w:rsidR="00EF2FA4">
              <w:rPr>
                <w:rFonts w:ascii="Arial Narrow" w:hAnsi="Arial Narrow" w:cs="Calibri"/>
                <w:b/>
                <w:bCs/>
                <w:color w:val="000000"/>
                <w:sz w:val="20"/>
                <w:szCs w:val="20"/>
              </w:rPr>
              <w:t xml:space="preserve">≥ </w:t>
            </w:r>
            <w:r w:rsidRPr="00885AB3">
              <w:rPr>
                <w:rFonts w:ascii="Arial Narrow" w:hAnsi="Arial Narrow" w:cs="Calibri"/>
                <w:b/>
                <w:bCs/>
                <w:color w:val="000000"/>
                <w:sz w:val="20"/>
                <w:szCs w:val="20"/>
              </w:rPr>
              <w:t>2 symptoms</w:t>
            </w:r>
          </w:p>
        </w:tc>
      </w:tr>
      <w:tr w:rsidR="006A1AFC" w:rsidRPr="00885AB3" w14:paraId="03208121" w14:textId="77777777" w:rsidTr="0074351A">
        <w:trPr>
          <w:trHeight w:val="169"/>
        </w:trPr>
        <w:tc>
          <w:tcPr>
            <w:tcW w:w="550" w:type="pct"/>
            <w:tcBorders>
              <w:left w:val="single" w:sz="4" w:space="0" w:color="auto"/>
              <w:right w:val="single" w:sz="4" w:space="0" w:color="auto"/>
            </w:tcBorders>
            <w:vAlign w:val="center"/>
          </w:tcPr>
          <w:p w14:paraId="7FC09B95" w14:textId="77777777" w:rsidR="006A1AFC" w:rsidRPr="00885AB3" w:rsidRDefault="006A1AFC" w:rsidP="00120D61">
            <w:pPr>
              <w:keepNext/>
              <w:keepLines/>
              <w:rPr>
                <w:rFonts w:ascii="Arial Narrow" w:hAnsi="Arial Narrow" w:cs="Calibri"/>
                <w:color w:val="000000"/>
                <w:sz w:val="20"/>
                <w:szCs w:val="20"/>
              </w:rPr>
            </w:pPr>
            <w:r w:rsidRPr="00885AB3">
              <w:rPr>
                <w:rFonts w:ascii="Arial Narrow" w:hAnsi="Arial Narrow" w:cs="Calibri"/>
                <w:color w:val="000000"/>
                <w:sz w:val="20"/>
                <w:szCs w:val="20"/>
              </w:rPr>
              <w:t>12 months</w:t>
            </w:r>
          </w:p>
        </w:tc>
        <w:tc>
          <w:tcPr>
            <w:tcW w:w="548" w:type="pct"/>
            <w:vAlign w:val="center"/>
          </w:tcPr>
          <w:p w14:paraId="5B93FFAD" w14:textId="77777777" w:rsidR="006A1AFC" w:rsidRPr="00885AB3" w:rsidRDefault="006A1AFC" w:rsidP="00120D61">
            <w:pPr>
              <w:keepNext/>
              <w:keepLines/>
              <w:jc w:val="center"/>
              <w:rPr>
                <w:rFonts w:ascii="Arial Narrow" w:hAnsi="Arial Narrow" w:cs="Calibri"/>
                <w:color w:val="000000"/>
                <w:sz w:val="20"/>
                <w:szCs w:val="20"/>
              </w:rPr>
            </w:pPr>
            <w:r w:rsidRPr="00885AB3">
              <w:rPr>
                <w:rFonts w:ascii="Arial Narrow" w:hAnsi="Arial Narrow" w:cs="Calibri"/>
                <w:color w:val="000000"/>
                <w:sz w:val="20"/>
                <w:szCs w:val="20"/>
              </w:rPr>
              <w:t>73 (0.4)</w:t>
            </w:r>
          </w:p>
        </w:tc>
        <w:tc>
          <w:tcPr>
            <w:tcW w:w="457" w:type="pct"/>
            <w:vAlign w:val="center"/>
          </w:tcPr>
          <w:p w14:paraId="57C47274" w14:textId="77777777" w:rsidR="006A1AFC" w:rsidRPr="00885AB3" w:rsidRDefault="006A1AFC" w:rsidP="00120D61">
            <w:pPr>
              <w:keepNext/>
              <w:keepLines/>
              <w:jc w:val="center"/>
              <w:rPr>
                <w:rFonts w:ascii="Arial Narrow" w:hAnsi="Arial Narrow" w:cs="Calibri"/>
                <w:color w:val="000000"/>
                <w:sz w:val="20"/>
                <w:szCs w:val="20"/>
              </w:rPr>
            </w:pPr>
            <w:r w:rsidRPr="00885AB3">
              <w:rPr>
                <w:rFonts w:ascii="Arial Narrow" w:hAnsi="Arial Narrow" w:cs="Calibri"/>
                <w:color w:val="000000"/>
                <w:sz w:val="20"/>
                <w:szCs w:val="20"/>
              </w:rPr>
              <w:t>17,650</w:t>
            </w:r>
          </w:p>
        </w:tc>
        <w:tc>
          <w:tcPr>
            <w:tcW w:w="732" w:type="pct"/>
            <w:vAlign w:val="center"/>
          </w:tcPr>
          <w:p w14:paraId="2667A77B" w14:textId="77777777" w:rsidR="006A1AFC" w:rsidRPr="00885AB3" w:rsidRDefault="006A1AFC" w:rsidP="00120D61">
            <w:pPr>
              <w:keepNext/>
              <w:keepLines/>
              <w:jc w:val="center"/>
              <w:rPr>
                <w:rFonts w:ascii="Arial Narrow" w:hAnsi="Arial Narrow" w:cs="Calibri"/>
                <w:color w:val="000000"/>
                <w:sz w:val="20"/>
                <w:szCs w:val="20"/>
              </w:rPr>
            </w:pPr>
            <w:r w:rsidRPr="00885AB3">
              <w:rPr>
                <w:rFonts w:ascii="Arial Narrow" w:hAnsi="Arial Narrow" w:cs="Calibri"/>
                <w:color w:val="000000"/>
                <w:sz w:val="20"/>
                <w:szCs w:val="20"/>
              </w:rPr>
              <w:t>4.1 (3.2, 5.2)</w:t>
            </w:r>
          </w:p>
        </w:tc>
        <w:tc>
          <w:tcPr>
            <w:tcW w:w="548" w:type="pct"/>
            <w:vAlign w:val="center"/>
          </w:tcPr>
          <w:p w14:paraId="5D8573C3" w14:textId="77777777" w:rsidR="006A1AFC" w:rsidRPr="00885AB3" w:rsidRDefault="006A1AFC" w:rsidP="00120D61">
            <w:pPr>
              <w:keepNext/>
              <w:keepLines/>
              <w:jc w:val="center"/>
              <w:rPr>
                <w:rFonts w:ascii="Arial Narrow" w:hAnsi="Arial Narrow" w:cs="Calibri"/>
                <w:color w:val="000000"/>
                <w:sz w:val="20"/>
                <w:szCs w:val="20"/>
              </w:rPr>
            </w:pPr>
            <w:r w:rsidRPr="00885AB3">
              <w:rPr>
                <w:rFonts w:ascii="Arial Narrow" w:hAnsi="Arial Narrow" w:cs="Calibri"/>
                <w:color w:val="000000"/>
                <w:sz w:val="20"/>
                <w:szCs w:val="20"/>
              </w:rPr>
              <w:t>165 (0.9)</w:t>
            </w:r>
          </w:p>
        </w:tc>
        <w:tc>
          <w:tcPr>
            <w:tcW w:w="460" w:type="pct"/>
            <w:vAlign w:val="center"/>
          </w:tcPr>
          <w:p w14:paraId="63B6D5A2" w14:textId="77777777" w:rsidR="006A1AFC" w:rsidRPr="00885AB3" w:rsidRDefault="006A1AFC" w:rsidP="00120D61">
            <w:pPr>
              <w:keepNext/>
              <w:keepLines/>
              <w:jc w:val="center"/>
              <w:rPr>
                <w:rFonts w:ascii="Arial Narrow" w:hAnsi="Arial Narrow" w:cs="Calibri"/>
                <w:color w:val="000000"/>
                <w:sz w:val="20"/>
                <w:szCs w:val="20"/>
              </w:rPr>
            </w:pPr>
            <w:r w:rsidRPr="00885AB3">
              <w:rPr>
                <w:rFonts w:ascii="Arial Narrow" w:hAnsi="Arial Narrow" w:cs="Calibri"/>
                <w:color w:val="000000"/>
                <w:sz w:val="20"/>
                <w:szCs w:val="20"/>
              </w:rPr>
              <w:t>17,491</w:t>
            </w:r>
          </w:p>
        </w:tc>
        <w:tc>
          <w:tcPr>
            <w:tcW w:w="823" w:type="pct"/>
            <w:vAlign w:val="center"/>
          </w:tcPr>
          <w:p w14:paraId="782E80DD" w14:textId="77777777" w:rsidR="006A1AFC" w:rsidRPr="00885AB3" w:rsidRDefault="006A1AFC" w:rsidP="00120D61">
            <w:pPr>
              <w:keepNext/>
              <w:keepLines/>
              <w:jc w:val="center"/>
              <w:rPr>
                <w:rFonts w:ascii="Arial Narrow" w:hAnsi="Arial Narrow" w:cs="Calibri"/>
                <w:color w:val="000000"/>
                <w:sz w:val="20"/>
                <w:szCs w:val="20"/>
              </w:rPr>
            </w:pPr>
            <w:r w:rsidRPr="00885AB3">
              <w:rPr>
                <w:rFonts w:ascii="Arial Narrow" w:hAnsi="Arial Narrow" w:cs="Calibri"/>
                <w:color w:val="000000"/>
                <w:sz w:val="20"/>
                <w:szCs w:val="20"/>
              </w:rPr>
              <w:t>9.4 (8.0, 11.0)</w:t>
            </w:r>
          </w:p>
        </w:tc>
        <w:tc>
          <w:tcPr>
            <w:tcW w:w="882" w:type="pct"/>
            <w:vAlign w:val="center"/>
          </w:tcPr>
          <w:p w14:paraId="2B129666" w14:textId="77777777" w:rsidR="006A1AFC" w:rsidRPr="00885AB3" w:rsidRDefault="006A1AFC" w:rsidP="00120D61">
            <w:pPr>
              <w:keepNext/>
              <w:keepLines/>
              <w:jc w:val="center"/>
              <w:rPr>
                <w:rFonts w:ascii="Arial Narrow" w:hAnsi="Arial Narrow" w:cs="Calibri"/>
                <w:b/>
                <w:bCs/>
                <w:color w:val="000000"/>
                <w:sz w:val="20"/>
                <w:szCs w:val="20"/>
              </w:rPr>
            </w:pPr>
            <w:r w:rsidRPr="00885AB3">
              <w:rPr>
                <w:rFonts w:ascii="Arial Narrow" w:hAnsi="Arial Narrow" w:cs="Calibri"/>
                <w:b/>
                <w:bCs/>
                <w:color w:val="000000"/>
                <w:sz w:val="20"/>
                <w:szCs w:val="20"/>
              </w:rPr>
              <w:t>56.2 (42.2, 66.7)</w:t>
            </w:r>
            <w:r w:rsidRPr="00885AB3">
              <w:rPr>
                <w:rFonts w:ascii="Arial Narrow" w:hAnsi="Arial Narrow" w:cs="Calibri"/>
                <w:b/>
                <w:bCs/>
                <w:sz w:val="20"/>
                <w:szCs w:val="20"/>
                <w:vertAlign w:val="superscript"/>
              </w:rPr>
              <w:t>a</w:t>
            </w:r>
          </w:p>
        </w:tc>
      </w:tr>
      <w:tr w:rsidR="006A1AFC" w:rsidRPr="00885AB3" w14:paraId="374A7CA4" w14:textId="77777777" w:rsidTr="0074351A">
        <w:trPr>
          <w:trHeight w:val="169"/>
        </w:trPr>
        <w:tc>
          <w:tcPr>
            <w:tcW w:w="550" w:type="pct"/>
            <w:tcBorders>
              <w:left w:val="single" w:sz="4" w:space="0" w:color="auto"/>
              <w:right w:val="single" w:sz="4" w:space="0" w:color="auto"/>
            </w:tcBorders>
            <w:vAlign w:val="center"/>
          </w:tcPr>
          <w:p w14:paraId="110679B3" w14:textId="77777777" w:rsidR="006A1AFC" w:rsidRPr="00885AB3" w:rsidRDefault="006A1AFC" w:rsidP="00120D61">
            <w:pPr>
              <w:keepNext/>
              <w:keepLines/>
              <w:rPr>
                <w:rFonts w:ascii="Arial Narrow" w:hAnsi="Arial Narrow" w:cs="Calibri"/>
                <w:color w:val="000000"/>
                <w:sz w:val="20"/>
                <w:szCs w:val="20"/>
              </w:rPr>
            </w:pPr>
            <w:r w:rsidRPr="00885AB3">
              <w:rPr>
                <w:rFonts w:ascii="Arial Narrow" w:hAnsi="Arial Narrow" w:cs="Calibri"/>
                <w:color w:val="000000"/>
                <w:sz w:val="20"/>
                <w:szCs w:val="20"/>
              </w:rPr>
              <w:t>18 months</w:t>
            </w:r>
          </w:p>
        </w:tc>
        <w:tc>
          <w:tcPr>
            <w:tcW w:w="548" w:type="pct"/>
            <w:vAlign w:val="center"/>
          </w:tcPr>
          <w:p w14:paraId="45DD891A" w14:textId="77777777" w:rsidR="006A1AFC" w:rsidRPr="00885AB3" w:rsidRDefault="006A1AFC" w:rsidP="00120D61">
            <w:pPr>
              <w:keepNext/>
              <w:keepLines/>
              <w:jc w:val="center"/>
              <w:rPr>
                <w:rFonts w:ascii="Arial Narrow" w:hAnsi="Arial Narrow" w:cs="Calibri"/>
                <w:color w:val="000000"/>
                <w:sz w:val="20"/>
                <w:szCs w:val="20"/>
              </w:rPr>
            </w:pPr>
            <w:r w:rsidRPr="00885AB3">
              <w:rPr>
                <w:rFonts w:ascii="Arial Narrow" w:hAnsi="Arial Narrow" w:cs="Calibri"/>
                <w:color w:val="000000"/>
                <w:sz w:val="20"/>
                <w:szCs w:val="20"/>
              </w:rPr>
              <w:t>113 (0.6)</w:t>
            </w:r>
          </w:p>
        </w:tc>
        <w:tc>
          <w:tcPr>
            <w:tcW w:w="457" w:type="pct"/>
            <w:vAlign w:val="center"/>
          </w:tcPr>
          <w:p w14:paraId="5EE1907F" w14:textId="77777777" w:rsidR="006A1AFC" w:rsidRPr="00885AB3" w:rsidRDefault="006A1AFC" w:rsidP="00120D61">
            <w:pPr>
              <w:keepNext/>
              <w:keepLines/>
              <w:jc w:val="center"/>
              <w:rPr>
                <w:rFonts w:ascii="Arial Narrow" w:hAnsi="Arial Narrow" w:cs="Calibri"/>
                <w:color w:val="000000"/>
                <w:sz w:val="20"/>
                <w:szCs w:val="20"/>
              </w:rPr>
            </w:pPr>
            <w:r w:rsidRPr="00885AB3">
              <w:rPr>
                <w:rFonts w:ascii="Arial Narrow" w:hAnsi="Arial Narrow" w:cs="Calibri"/>
                <w:color w:val="000000"/>
                <w:sz w:val="20"/>
                <w:szCs w:val="20"/>
              </w:rPr>
              <w:t>24,764</w:t>
            </w:r>
          </w:p>
        </w:tc>
        <w:tc>
          <w:tcPr>
            <w:tcW w:w="732" w:type="pct"/>
            <w:vAlign w:val="center"/>
          </w:tcPr>
          <w:p w14:paraId="0E71411D" w14:textId="77777777" w:rsidR="006A1AFC" w:rsidRPr="00885AB3" w:rsidRDefault="006A1AFC" w:rsidP="00120D61">
            <w:pPr>
              <w:keepNext/>
              <w:keepLines/>
              <w:jc w:val="center"/>
              <w:rPr>
                <w:rFonts w:ascii="Arial Narrow" w:hAnsi="Arial Narrow" w:cs="Calibri"/>
                <w:color w:val="000000"/>
                <w:sz w:val="20"/>
                <w:szCs w:val="20"/>
              </w:rPr>
            </w:pPr>
            <w:r w:rsidRPr="00885AB3">
              <w:rPr>
                <w:rFonts w:ascii="Arial Narrow" w:hAnsi="Arial Narrow" w:cs="Calibri"/>
                <w:color w:val="000000"/>
                <w:sz w:val="20"/>
                <w:szCs w:val="20"/>
              </w:rPr>
              <w:t>4.6 (3.8, 5.5)</w:t>
            </w:r>
          </w:p>
        </w:tc>
        <w:tc>
          <w:tcPr>
            <w:tcW w:w="548" w:type="pct"/>
            <w:vAlign w:val="center"/>
          </w:tcPr>
          <w:p w14:paraId="6DAFEA13" w14:textId="77777777" w:rsidR="006A1AFC" w:rsidRPr="00885AB3" w:rsidRDefault="006A1AFC" w:rsidP="00120D61">
            <w:pPr>
              <w:keepNext/>
              <w:keepLines/>
              <w:jc w:val="center"/>
              <w:rPr>
                <w:rFonts w:ascii="Arial Narrow" w:hAnsi="Arial Narrow" w:cs="Calibri"/>
                <w:color w:val="000000"/>
                <w:sz w:val="20"/>
                <w:szCs w:val="20"/>
              </w:rPr>
            </w:pPr>
            <w:r w:rsidRPr="00885AB3">
              <w:rPr>
                <w:rFonts w:ascii="Arial Narrow" w:hAnsi="Arial Narrow" w:cs="Calibri"/>
                <w:color w:val="000000"/>
                <w:sz w:val="20"/>
                <w:szCs w:val="20"/>
              </w:rPr>
              <w:t>225 (1.2)</w:t>
            </w:r>
          </w:p>
        </w:tc>
        <w:tc>
          <w:tcPr>
            <w:tcW w:w="460" w:type="pct"/>
            <w:vAlign w:val="center"/>
          </w:tcPr>
          <w:p w14:paraId="10B3CE72" w14:textId="77777777" w:rsidR="006A1AFC" w:rsidRPr="00885AB3" w:rsidRDefault="006A1AFC" w:rsidP="00120D61">
            <w:pPr>
              <w:keepNext/>
              <w:keepLines/>
              <w:jc w:val="center"/>
              <w:rPr>
                <w:rFonts w:ascii="Arial Narrow" w:hAnsi="Arial Narrow" w:cs="Calibri"/>
                <w:color w:val="000000"/>
                <w:sz w:val="20"/>
                <w:szCs w:val="20"/>
              </w:rPr>
            </w:pPr>
            <w:r w:rsidRPr="00885AB3">
              <w:rPr>
                <w:rFonts w:ascii="Arial Narrow" w:hAnsi="Arial Narrow" w:cs="Calibri"/>
                <w:color w:val="000000"/>
                <w:sz w:val="20"/>
                <w:szCs w:val="20"/>
              </w:rPr>
              <w:t>24,493</w:t>
            </w:r>
          </w:p>
        </w:tc>
        <w:tc>
          <w:tcPr>
            <w:tcW w:w="823" w:type="pct"/>
            <w:vAlign w:val="center"/>
          </w:tcPr>
          <w:p w14:paraId="5D03A27C" w14:textId="77777777" w:rsidR="006A1AFC" w:rsidRPr="00885AB3" w:rsidRDefault="006A1AFC" w:rsidP="00120D61">
            <w:pPr>
              <w:keepNext/>
              <w:keepLines/>
              <w:jc w:val="center"/>
              <w:rPr>
                <w:rFonts w:ascii="Arial Narrow" w:hAnsi="Arial Narrow" w:cs="Calibri"/>
                <w:color w:val="000000"/>
                <w:sz w:val="20"/>
                <w:szCs w:val="20"/>
              </w:rPr>
            </w:pPr>
            <w:r w:rsidRPr="00885AB3">
              <w:rPr>
                <w:rFonts w:ascii="Arial Narrow" w:hAnsi="Arial Narrow" w:cs="Calibri"/>
                <w:color w:val="000000"/>
                <w:sz w:val="20"/>
                <w:szCs w:val="20"/>
              </w:rPr>
              <w:t>9.2 (8.0, 10.5)</w:t>
            </w:r>
          </w:p>
        </w:tc>
        <w:tc>
          <w:tcPr>
            <w:tcW w:w="882" w:type="pct"/>
            <w:vAlign w:val="center"/>
          </w:tcPr>
          <w:p w14:paraId="6F7D5C4A" w14:textId="77777777" w:rsidR="006A1AFC" w:rsidRPr="00885AB3" w:rsidRDefault="006A1AFC" w:rsidP="00120D61">
            <w:pPr>
              <w:keepNext/>
              <w:keepLines/>
              <w:jc w:val="center"/>
              <w:rPr>
                <w:rFonts w:ascii="Arial Narrow" w:hAnsi="Arial Narrow" w:cs="Calibri"/>
                <w:b/>
                <w:bCs/>
                <w:color w:val="000000"/>
                <w:sz w:val="20"/>
                <w:szCs w:val="20"/>
              </w:rPr>
            </w:pPr>
            <w:r w:rsidRPr="00885AB3">
              <w:rPr>
                <w:rFonts w:ascii="Arial Narrow" w:hAnsi="Arial Narrow" w:cs="Calibri"/>
                <w:b/>
                <w:bCs/>
                <w:color w:val="000000"/>
                <w:sz w:val="20"/>
                <w:szCs w:val="20"/>
              </w:rPr>
              <w:t>50.3 (37.5, 60.7)</w:t>
            </w:r>
            <w:r w:rsidRPr="00885AB3">
              <w:rPr>
                <w:rFonts w:ascii="Arial Narrow" w:hAnsi="Arial Narrow" w:cs="Calibri"/>
                <w:b/>
                <w:bCs/>
                <w:color w:val="000000"/>
                <w:sz w:val="20"/>
                <w:szCs w:val="20"/>
                <w:vertAlign w:val="superscript"/>
              </w:rPr>
              <w:t>b</w:t>
            </w:r>
          </w:p>
        </w:tc>
      </w:tr>
      <w:tr w:rsidR="006A1AFC" w:rsidRPr="00885AB3" w14:paraId="05EEFBEB" w14:textId="77777777" w:rsidTr="0074351A">
        <w:trPr>
          <w:trHeight w:val="169"/>
        </w:trPr>
        <w:tc>
          <w:tcPr>
            <w:tcW w:w="550" w:type="pct"/>
            <w:tcBorders>
              <w:left w:val="single" w:sz="4" w:space="0" w:color="auto"/>
              <w:right w:val="single" w:sz="4" w:space="0" w:color="auto"/>
            </w:tcBorders>
            <w:vAlign w:val="center"/>
          </w:tcPr>
          <w:p w14:paraId="3F9C7FDD" w14:textId="77777777" w:rsidR="006A1AFC" w:rsidRPr="00885AB3" w:rsidRDefault="006A1AFC" w:rsidP="00120D61">
            <w:pPr>
              <w:keepNext/>
              <w:keepLines/>
              <w:rPr>
                <w:rFonts w:ascii="Arial Narrow" w:hAnsi="Arial Narrow" w:cs="Calibri"/>
                <w:color w:val="000000"/>
                <w:sz w:val="20"/>
                <w:szCs w:val="20"/>
              </w:rPr>
            </w:pPr>
            <w:r w:rsidRPr="00885AB3">
              <w:rPr>
                <w:rFonts w:ascii="Arial Narrow" w:hAnsi="Arial Narrow" w:cs="Calibri"/>
                <w:color w:val="000000"/>
                <w:sz w:val="20"/>
                <w:szCs w:val="20"/>
              </w:rPr>
              <w:t>24 months</w:t>
            </w:r>
          </w:p>
        </w:tc>
        <w:tc>
          <w:tcPr>
            <w:tcW w:w="548" w:type="pct"/>
            <w:vAlign w:val="center"/>
          </w:tcPr>
          <w:p w14:paraId="06D0737D" w14:textId="77777777" w:rsidR="006A1AFC" w:rsidRPr="00885AB3" w:rsidRDefault="006A1AFC" w:rsidP="00120D61">
            <w:pPr>
              <w:keepNext/>
              <w:keepLines/>
              <w:jc w:val="center"/>
              <w:rPr>
                <w:rFonts w:ascii="Arial Narrow" w:hAnsi="Arial Narrow" w:cs="Calibri"/>
                <w:color w:val="000000"/>
                <w:sz w:val="20"/>
                <w:szCs w:val="20"/>
              </w:rPr>
            </w:pPr>
            <w:r w:rsidRPr="00885AB3">
              <w:rPr>
                <w:rFonts w:ascii="Arial Narrow" w:hAnsi="Arial Narrow" w:cs="Calibri"/>
                <w:color w:val="000000"/>
                <w:sz w:val="20"/>
                <w:szCs w:val="20"/>
              </w:rPr>
              <w:t>132 (0.7)</w:t>
            </w:r>
          </w:p>
        </w:tc>
        <w:tc>
          <w:tcPr>
            <w:tcW w:w="457" w:type="pct"/>
            <w:vAlign w:val="center"/>
          </w:tcPr>
          <w:p w14:paraId="05EB2435" w14:textId="77777777" w:rsidR="006A1AFC" w:rsidRPr="00885AB3" w:rsidRDefault="006A1AFC" w:rsidP="00120D61">
            <w:pPr>
              <w:keepNext/>
              <w:keepLines/>
              <w:jc w:val="center"/>
              <w:rPr>
                <w:rFonts w:ascii="Arial Narrow" w:hAnsi="Arial Narrow" w:cs="Calibri"/>
                <w:color w:val="000000"/>
                <w:sz w:val="20"/>
                <w:szCs w:val="20"/>
              </w:rPr>
            </w:pPr>
            <w:r w:rsidRPr="00885AB3">
              <w:rPr>
                <w:rFonts w:ascii="Arial Narrow" w:hAnsi="Arial Narrow" w:cs="Calibri"/>
                <w:color w:val="000000"/>
                <w:sz w:val="20"/>
                <w:szCs w:val="20"/>
              </w:rPr>
              <w:t xml:space="preserve">27,564 </w:t>
            </w:r>
          </w:p>
        </w:tc>
        <w:tc>
          <w:tcPr>
            <w:tcW w:w="732" w:type="pct"/>
            <w:vAlign w:val="center"/>
          </w:tcPr>
          <w:p w14:paraId="28D8B5A9" w14:textId="77777777" w:rsidR="006A1AFC" w:rsidRPr="00885AB3" w:rsidRDefault="006A1AFC" w:rsidP="00120D61">
            <w:pPr>
              <w:keepNext/>
              <w:keepLines/>
              <w:jc w:val="center"/>
              <w:rPr>
                <w:rFonts w:ascii="Arial Narrow" w:hAnsi="Arial Narrow" w:cs="Calibri"/>
                <w:color w:val="000000"/>
                <w:sz w:val="20"/>
                <w:szCs w:val="20"/>
              </w:rPr>
            </w:pPr>
            <w:r w:rsidRPr="00885AB3">
              <w:rPr>
                <w:rFonts w:ascii="Arial Narrow" w:hAnsi="Arial Narrow" w:cs="Calibri"/>
                <w:color w:val="000000"/>
                <w:sz w:val="20"/>
                <w:szCs w:val="20"/>
              </w:rPr>
              <w:t>4.8 (4.0, 5.7)</w:t>
            </w:r>
          </w:p>
        </w:tc>
        <w:tc>
          <w:tcPr>
            <w:tcW w:w="548" w:type="pct"/>
            <w:vAlign w:val="center"/>
          </w:tcPr>
          <w:p w14:paraId="399DB12E" w14:textId="77777777" w:rsidR="006A1AFC" w:rsidRPr="00885AB3" w:rsidRDefault="006A1AFC" w:rsidP="00120D61">
            <w:pPr>
              <w:keepNext/>
              <w:keepLines/>
              <w:jc w:val="center"/>
              <w:rPr>
                <w:rFonts w:ascii="Arial Narrow" w:hAnsi="Arial Narrow" w:cs="Calibri"/>
                <w:color w:val="000000"/>
                <w:sz w:val="20"/>
                <w:szCs w:val="20"/>
              </w:rPr>
            </w:pPr>
            <w:r w:rsidRPr="00885AB3">
              <w:rPr>
                <w:rFonts w:ascii="Arial Narrow" w:hAnsi="Arial Narrow" w:cs="Calibri"/>
                <w:color w:val="000000"/>
                <w:sz w:val="20"/>
                <w:szCs w:val="20"/>
              </w:rPr>
              <w:t>248 (1.4)</w:t>
            </w:r>
          </w:p>
        </w:tc>
        <w:tc>
          <w:tcPr>
            <w:tcW w:w="460" w:type="pct"/>
            <w:vAlign w:val="center"/>
          </w:tcPr>
          <w:p w14:paraId="71A316F0" w14:textId="77777777" w:rsidR="006A1AFC" w:rsidRPr="00885AB3" w:rsidRDefault="006A1AFC" w:rsidP="00120D61">
            <w:pPr>
              <w:keepNext/>
              <w:keepLines/>
              <w:jc w:val="center"/>
              <w:rPr>
                <w:rFonts w:ascii="Arial Narrow" w:hAnsi="Arial Narrow" w:cs="Calibri"/>
                <w:color w:val="000000"/>
                <w:sz w:val="20"/>
                <w:szCs w:val="20"/>
              </w:rPr>
            </w:pPr>
            <w:r w:rsidRPr="00885AB3">
              <w:rPr>
                <w:rFonts w:ascii="Arial Narrow" w:hAnsi="Arial Narrow" w:cs="Calibri"/>
                <w:color w:val="000000"/>
                <w:sz w:val="20"/>
                <w:szCs w:val="20"/>
              </w:rPr>
              <w:t>27,257</w:t>
            </w:r>
          </w:p>
        </w:tc>
        <w:tc>
          <w:tcPr>
            <w:tcW w:w="823" w:type="pct"/>
            <w:vAlign w:val="center"/>
          </w:tcPr>
          <w:p w14:paraId="18B3DE3D" w14:textId="77777777" w:rsidR="006A1AFC" w:rsidRPr="00885AB3" w:rsidRDefault="006A1AFC" w:rsidP="00120D61">
            <w:pPr>
              <w:keepNext/>
              <w:keepLines/>
              <w:jc w:val="center"/>
              <w:rPr>
                <w:rFonts w:ascii="Arial Narrow" w:hAnsi="Arial Narrow" w:cs="Calibri"/>
                <w:color w:val="000000"/>
                <w:sz w:val="20"/>
                <w:szCs w:val="20"/>
              </w:rPr>
            </w:pPr>
            <w:r w:rsidRPr="00885AB3">
              <w:rPr>
                <w:rFonts w:ascii="Arial Narrow" w:hAnsi="Arial Narrow" w:cs="Calibri"/>
                <w:color w:val="000000"/>
                <w:sz w:val="20"/>
                <w:szCs w:val="20"/>
              </w:rPr>
              <w:t>9.1 (8.0, 10.3)</w:t>
            </w:r>
          </w:p>
        </w:tc>
        <w:tc>
          <w:tcPr>
            <w:tcW w:w="882" w:type="pct"/>
            <w:vAlign w:val="center"/>
          </w:tcPr>
          <w:p w14:paraId="4761971D" w14:textId="77777777" w:rsidR="006A1AFC" w:rsidRPr="00885AB3" w:rsidRDefault="006A1AFC" w:rsidP="00120D61">
            <w:pPr>
              <w:keepNext/>
              <w:keepLines/>
              <w:jc w:val="center"/>
              <w:rPr>
                <w:rFonts w:ascii="Arial Narrow" w:hAnsi="Arial Narrow" w:cs="Calibri"/>
                <w:b/>
                <w:bCs/>
                <w:color w:val="000000"/>
                <w:sz w:val="20"/>
                <w:szCs w:val="20"/>
              </w:rPr>
            </w:pPr>
            <w:r w:rsidRPr="00885AB3">
              <w:rPr>
                <w:rFonts w:ascii="Arial Narrow" w:hAnsi="Arial Narrow" w:cs="Calibri"/>
                <w:b/>
                <w:bCs/>
                <w:color w:val="000000"/>
                <w:sz w:val="20"/>
                <w:szCs w:val="20"/>
              </w:rPr>
              <w:t>47.4 (35.0, 57.4)</w:t>
            </w:r>
            <w:r w:rsidRPr="00885AB3">
              <w:rPr>
                <w:rFonts w:ascii="Arial Narrow" w:hAnsi="Arial Narrow" w:cs="Calibri"/>
                <w:b/>
                <w:bCs/>
                <w:sz w:val="20"/>
                <w:szCs w:val="20"/>
                <w:vertAlign w:val="superscript"/>
              </w:rPr>
              <w:t>a</w:t>
            </w:r>
          </w:p>
        </w:tc>
      </w:tr>
      <w:tr w:rsidR="00485E29" w:rsidRPr="00885AB3" w14:paraId="54C6B226" w14:textId="77777777" w:rsidTr="0074351A">
        <w:trPr>
          <w:trHeight w:val="169"/>
        </w:trPr>
        <w:tc>
          <w:tcPr>
            <w:tcW w:w="5000" w:type="pct"/>
            <w:gridSpan w:val="8"/>
            <w:tcBorders>
              <w:left w:val="single" w:sz="4" w:space="0" w:color="auto"/>
            </w:tcBorders>
            <w:vAlign w:val="center"/>
          </w:tcPr>
          <w:p w14:paraId="297A52C9" w14:textId="33C8CBF7" w:rsidR="0074351A" w:rsidRPr="00885AB3" w:rsidRDefault="0074351A" w:rsidP="00120D61">
            <w:pPr>
              <w:keepNext/>
              <w:keepLines/>
              <w:jc w:val="left"/>
              <w:rPr>
                <w:rFonts w:ascii="Arial Narrow" w:hAnsi="Arial Narrow" w:cs="Calibri"/>
                <w:b/>
                <w:bCs/>
                <w:color w:val="000000"/>
                <w:sz w:val="20"/>
                <w:szCs w:val="20"/>
              </w:rPr>
            </w:pPr>
            <w:r w:rsidRPr="00885AB3">
              <w:rPr>
                <w:rFonts w:ascii="Arial Narrow" w:hAnsi="Arial Narrow" w:cs="Calibri"/>
                <w:b/>
                <w:bCs/>
                <w:color w:val="000000"/>
                <w:sz w:val="20"/>
                <w:szCs w:val="20"/>
              </w:rPr>
              <w:t xml:space="preserve">VE for the prevention of RSV-LRTD </w:t>
            </w:r>
            <w:r w:rsidR="00EF2FA4">
              <w:rPr>
                <w:rFonts w:ascii="Arial Narrow" w:hAnsi="Arial Narrow" w:cs="Calibri"/>
                <w:b/>
                <w:bCs/>
                <w:color w:val="000000"/>
                <w:sz w:val="20"/>
                <w:szCs w:val="20"/>
              </w:rPr>
              <w:t xml:space="preserve">≥ </w:t>
            </w:r>
            <w:r w:rsidRPr="00885AB3">
              <w:rPr>
                <w:rFonts w:ascii="Arial Narrow" w:hAnsi="Arial Narrow" w:cs="Calibri"/>
                <w:b/>
                <w:bCs/>
                <w:color w:val="000000"/>
                <w:sz w:val="20"/>
                <w:szCs w:val="20"/>
              </w:rPr>
              <w:t>3 symptoms</w:t>
            </w:r>
          </w:p>
        </w:tc>
      </w:tr>
      <w:tr w:rsidR="006A1AFC" w:rsidRPr="00885AB3" w14:paraId="2BA23A90" w14:textId="77777777" w:rsidTr="0074351A">
        <w:trPr>
          <w:trHeight w:val="169"/>
        </w:trPr>
        <w:tc>
          <w:tcPr>
            <w:tcW w:w="550" w:type="pct"/>
            <w:tcBorders>
              <w:left w:val="single" w:sz="4" w:space="0" w:color="auto"/>
              <w:right w:val="single" w:sz="4" w:space="0" w:color="auto"/>
            </w:tcBorders>
            <w:vAlign w:val="center"/>
          </w:tcPr>
          <w:p w14:paraId="3BF67F3B" w14:textId="77777777" w:rsidR="006A1AFC" w:rsidRPr="00885AB3" w:rsidRDefault="006A1AFC" w:rsidP="00120D61">
            <w:pPr>
              <w:keepNext/>
              <w:keepLines/>
              <w:rPr>
                <w:rFonts w:ascii="Arial Narrow" w:hAnsi="Arial Narrow" w:cs="Calibri"/>
                <w:color w:val="000000"/>
                <w:sz w:val="20"/>
                <w:szCs w:val="20"/>
              </w:rPr>
            </w:pPr>
            <w:r w:rsidRPr="00885AB3">
              <w:rPr>
                <w:rFonts w:ascii="Arial Narrow" w:hAnsi="Arial Narrow" w:cs="Calibri"/>
                <w:color w:val="000000"/>
                <w:sz w:val="20"/>
                <w:szCs w:val="20"/>
              </w:rPr>
              <w:t>12 months</w:t>
            </w:r>
          </w:p>
        </w:tc>
        <w:tc>
          <w:tcPr>
            <w:tcW w:w="548" w:type="pct"/>
            <w:vAlign w:val="center"/>
          </w:tcPr>
          <w:p w14:paraId="7BADD18C" w14:textId="77777777" w:rsidR="006A1AFC" w:rsidRPr="00885AB3" w:rsidRDefault="006A1AFC" w:rsidP="00120D61">
            <w:pPr>
              <w:keepNext/>
              <w:keepLines/>
              <w:jc w:val="center"/>
              <w:rPr>
                <w:rFonts w:ascii="Arial Narrow" w:hAnsi="Arial Narrow" w:cs="Calibri"/>
                <w:color w:val="000000"/>
                <w:sz w:val="20"/>
                <w:szCs w:val="20"/>
              </w:rPr>
            </w:pPr>
            <w:r w:rsidRPr="00885AB3">
              <w:rPr>
                <w:rFonts w:ascii="Arial Narrow" w:hAnsi="Arial Narrow" w:cs="Calibri"/>
                <w:color w:val="000000"/>
                <w:sz w:val="20"/>
                <w:szCs w:val="20"/>
              </w:rPr>
              <w:t>30 (0.2)</w:t>
            </w:r>
          </w:p>
        </w:tc>
        <w:tc>
          <w:tcPr>
            <w:tcW w:w="457" w:type="pct"/>
            <w:vAlign w:val="center"/>
          </w:tcPr>
          <w:p w14:paraId="564CDCAC" w14:textId="77777777" w:rsidR="006A1AFC" w:rsidRPr="00885AB3" w:rsidRDefault="006A1AFC" w:rsidP="00120D61">
            <w:pPr>
              <w:keepNext/>
              <w:keepLines/>
              <w:jc w:val="center"/>
              <w:rPr>
                <w:rFonts w:ascii="Arial Narrow" w:hAnsi="Arial Narrow" w:cs="Calibri"/>
                <w:color w:val="000000"/>
                <w:sz w:val="20"/>
                <w:szCs w:val="20"/>
              </w:rPr>
            </w:pPr>
            <w:r w:rsidRPr="00885AB3">
              <w:rPr>
                <w:rFonts w:ascii="Arial Narrow" w:hAnsi="Arial Narrow" w:cs="Calibri"/>
                <w:color w:val="000000"/>
                <w:sz w:val="20"/>
                <w:szCs w:val="20"/>
              </w:rPr>
              <w:t>17,668</w:t>
            </w:r>
          </w:p>
        </w:tc>
        <w:tc>
          <w:tcPr>
            <w:tcW w:w="732" w:type="pct"/>
            <w:vAlign w:val="center"/>
          </w:tcPr>
          <w:p w14:paraId="5DBA9337" w14:textId="77777777" w:rsidR="006A1AFC" w:rsidRPr="00885AB3" w:rsidRDefault="006A1AFC" w:rsidP="00120D61">
            <w:pPr>
              <w:keepNext/>
              <w:keepLines/>
              <w:jc w:val="center"/>
              <w:rPr>
                <w:rFonts w:ascii="Arial Narrow" w:hAnsi="Arial Narrow" w:cs="Calibri"/>
                <w:color w:val="000000"/>
                <w:sz w:val="20"/>
                <w:szCs w:val="20"/>
              </w:rPr>
            </w:pPr>
            <w:r w:rsidRPr="00885AB3">
              <w:rPr>
                <w:rFonts w:ascii="Arial Narrow" w:hAnsi="Arial Narrow" w:cs="Calibri"/>
                <w:color w:val="000000"/>
                <w:sz w:val="20"/>
                <w:szCs w:val="20"/>
              </w:rPr>
              <w:t>1.7 (1.1, 2.4)</w:t>
            </w:r>
          </w:p>
        </w:tc>
        <w:tc>
          <w:tcPr>
            <w:tcW w:w="548" w:type="pct"/>
            <w:vAlign w:val="center"/>
          </w:tcPr>
          <w:p w14:paraId="19210EFC" w14:textId="77777777" w:rsidR="006A1AFC" w:rsidRPr="00885AB3" w:rsidRDefault="006A1AFC" w:rsidP="00120D61">
            <w:pPr>
              <w:keepNext/>
              <w:keepLines/>
              <w:jc w:val="center"/>
              <w:rPr>
                <w:rFonts w:ascii="Arial Narrow" w:hAnsi="Arial Narrow" w:cs="Calibri"/>
                <w:color w:val="000000"/>
                <w:sz w:val="20"/>
                <w:szCs w:val="20"/>
              </w:rPr>
            </w:pPr>
            <w:r w:rsidRPr="00885AB3">
              <w:rPr>
                <w:rFonts w:ascii="Arial Narrow" w:hAnsi="Arial Narrow" w:cs="Calibri"/>
                <w:color w:val="000000"/>
                <w:sz w:val="20"/>
                <w:szCs w:val="20"/>
              </w:rPr>
              <w:t>66 (0.4)</w:t>
            </w:r>
          </w:p>
        </w:tc>
        <w:tc>
          <w:tcPr>
            <w:tcW w:w="460" w:type="pct"/>
            <w:vAlign w:val="center"/>
          </w:tcPr>
          <w:p w14:paraId="2448A3E1" w14:textId="77777777" w:rsidR="006A1AFC" w:rsidRPr="00885AB3" w:rsidRDefault="006A1AFC" w:rsidP="00120D61">
            <w:pPr>
              <w:keepNext/>
              <w:keepLines/>
              <w:jc w:val="center"/>
              <w:rPr>
                <w:rFonts w:ascii="Arial Narrow" w:hAnsi="Arial Narrow" w:cs="Calibri"/>
                <w:color w:val="000000"/>
                <w:sz w:val="20"/>
                <w:szCs w:val="20"/>
              </w:rPr>
            </w:pPr>
            <w:r w:rsidRPr="00885AB3">
              <w:rPr>
                <w:rFonts w:ascii="Arial Narrow" w:hAnsi="Arial Narrow" w:cs="Calibri"/>
                <w:color w:val="000000"/>
                <w:sz w:val="20"/>
                <w:szCs w:val="20"/>
              </w:rPr>
              <w:t>17,545</w:t>
            </w:r>
          </w:p>
        </w:tc>
        <w:tc>
          <w:tcPr>
            <w:tcW w:w="823" w:type="pct"/>
            <w:vAlign w:val="center"/>
          </w:tcPr>
          <w:p w14:paraId="11C3A969" w14:textId="77777777" w:rsidR="006A1AFC" w:rsidRPr="00885AB3" w:rsidRDefault="006A1AFC" w:rsidP="00120D61">
            <w:pPr>
              <w:keepNext/>
              <w:keepLines/>
              <w:jc w:val="center"/>
              <w:rPr>
                <w:rFonts w:ascii="Arial Narrow" w:hAnsi="Arial Narrow" w:cs="Calibri"/>
                <w:color w:val="000000"/>
                <w:sz w:val="20"/>
                <w:szCs w:val="20"/>
              </w:rPr>
            </w:pPr>
            <w:r w:rsidRPr="00885AB3">
              <w:rPr>
                <w:rFonts w:ascii="Arial Narrow" w:hAnsi="Arial Narrow" w:cs="Calibri"/>
                <w:color w:val="000000"/>
                <w:sz w:val="20"/>
                <w:szCs w:val="20"/>
              </w:rPr>
              <w:t>3.8 (2.9, 4.8)</w:t>
            </w:r>
          </w:p>
        </w:tc>
        <w:tc>
          <w:tcPr>
            <w:tcW w:w="882" w:type="pct"/>
            <w:vAlign w:val="center"/>
          </w:tcPr>
          <w:p w14:paraId="1A46DD3D" w14:textId="77777777" w:rsidR="006A1AFC" w:rsidRPr="00885AB3" w:rsidRDefault="006A1AFC" w:rsidP="00120D61">
            <w:pPr>
              <w:keepNext/>
              <w:keepLines/>
              <w:jc w:val="center"/>
              <w:rPr>
                <w:rFonts w:ascii="Arial Narrow" w:hAnsi="Arial Narrow" w:cs="Calibri"/>
                <w:b/>
                <w:bCs/>
                <w:color w:val="000000"/>
                <w:sz w:val="20"/>
                <w:szCs w:val="20"/>
              </w:rPr>
            </w:pPr>
            <w:r w:rsidRPr="00885AB3">
              <w:rPr>
                <w:rFonts w:ascii="Arial Narrow" w:hAnsi="Arial Narrow" w:cs="Calibri"/>
                <w:b/>
                <w:bCs/>
                <w:color w:val="000000"/>
                <w:sz w:val="20"/>
                <w:szCs w:val="20"/>
              </w:rPr>
              <w:t>54.9 (30.5, 70.7)</w:t>
            </w:r>
            <w:r w:rsidRPr="00885AB3">
              <w:rPr>
                <w:rFonts w:ascii="Arial Narrow" w:hAnsi="Arial Narrow" w:cs="Calibri"/>
                <w:b/>
                <w:bCs/>
                <w:sz w:val="20"/>
                <w:szCs w:val="20"/>
                <w:vertAlign w:val="superscript"/>
              </w:rPr>
              <w:t>a</w:t>
            </w:r>
          </w:p>
        </w:tc>
      </w:tr>
      <w:tr w:rsidR="006A1AFC" w:rsidRPr="00885AB3" w14:paraId="5B17DBAF" w14:textId="77777777" w:rsidTr="0074351A">
        <w:trPr>
          <w:trHeight w:val="169"/>
        </w:trPr>
        <w:tc>
          <w:tcPr>
            <w:tcW w:w="550" w:type="pct"/>
            <w:tcBorders>
              <w:left w:val="single" w:sz="4" w:space="0" w:color="auto"/>
              <w:right w:val="single" w:sz="4" w:space="0" w:color="auto"/>
            </w:tcBorders>
            <w:vAlign w:val="center"/>
          </w:tcPr>
          <w:p w14:paraId="09AD7225" w14:textId="77777777" w:rsidR="006A1AFC" w:rsidRPr="00885AB3" w:rsidRDefault="006A1AFC" w:rsidP="00120D61">
            <w:pPr>
              <w:keepNext/>
              <w:keepLines/>
              <w:rPr>
                <w:rFonts w:ascii="Arial Narrow" w:hAnsi="Arial Narrow" w:cs="Calibri"/>
                <w:color w:val="000000"/>
                <w:sz w:val="20"/>
                <w:szCs w:val="20"/>
              </w:rPr>
            </w:pPr>
            <w:r w:rsidRPr="00885AB3">
              <w:rPr>
                <w:rFonts w:ascii="Arial Narrow" w:hAnsi="Arial Narrow" w:cs="Calibri"/>
                <w:color w:val="000000"/>
                <w:sz w:val="20"/>
                <w:szCs w:val="20"/>
              </w:rPr>
              <w:t>18 months</w:t>
            </w:r>
          </w:p>
        </w:tc>
        <w:tc>
          <w:tcPr>
            <w:tcW w:w="548" w:type="pct"/>
            <w:vAlign w:val="center"/>
          </w:tcPr>
          <w:p w14:paraId="59549CF1" w14:textId="77777777" w:rsidR="006A1AFC" w:rsidRPr="00885AB3" w:rsidRDefault="006A1AFC" w:rsidP="00120D61">
            <w:pPr>
              <w:keepNext/>
              <w:keepLines/>
              <w:jc w:val="center"/>
              <w:rPr>
                <w:rFonts w:ascii="Arial Narrow" w:hAnsi="Arial Narrow" w:cs="Calibri"/>
                <w:color w:val="000000"/>
                <w:sz w:val="20"/>
                <w:szCs w:val="20"/>
              </w:rPr>
            </w:pPr>
            <w:r w:rsidRPr="00885AB3">
              <w:rPr>
                <w:rFonts w:ascii="Arial Narrow" w:hAnsi="Arial Narrow" w:cs="Calibri"/>
                <w:color w:val="000000"/>
                <w:sz w:val="20"/>
                <w:szCs w:val="20"/>
              </w:rPr>
              <w:t>46 (0.3)</w:t>
            </w:r>
          </w:p>
        </w:tc>
        <w:tc>
          <w:tcPr>
            <w:tcW w:w="457" w:type="pct"/>
            <w:vAlign w:val="center"/>
          </w:tcPr>
          <w:p w14:paraId="1E159E72" w14:textId="77777777" w:rsidR="006A1AFC" w:rsidRPr="00885AB3" w:rsidRDefault="006A1AFC" w:rsidP="00120D61">
            <w:pPr>
              <w:keepNext/>
              <w:keepLines/>
              <w:jc w:val="center"/>
              <w:rPr>
                <w:rFonts w:ascii="Arial Narrow" w:hAnsi="Arial Narrow" w:cs="Calibri"/>
                <w:color w:val="000000"/>
                <w:sz w:val="20"/>
                <w:szCs w:val="20"/>
              </w:rPr>
            </w:pPr>
            <w:r w:rsidRPr="00885AB3">
              <w:rPr>
                <w:rFonts w:ascii="Arial Narrow" w:hAnsi="Arial Narrow" w:cs="Calibri"/>
                <w:color w:val="000000"/>
                <w:sz w:val="20"/>
                <w:szCs w:val="20"/>
              </w:rPr>
              <w:t>24,808</w:t>
            </w:r>
          </w:p>
        </w:tc>
        <w:tc>
          <w:tcPr>
            <w:tcW w:w="732" w:type="pct"/>
            <w:vAlign w:val="center"/>
          </w:tcPr>
          <w:p w14:paraId="3E6C4D89" w14:textId="77777777" w:rsidR="006A1AFC" w:rsidRPr="00885AB3" w:rsidRDefault="006A1AFC" w:rsidP="00120D61">
            <w:pPr>
              <w:keepNext/>
              <w:keepLines/>
              <w:jc w:val="center"/>
              <w:rPr>
                <w:rFonts w:ascii="Arial Narrow" w:hAnsi="Arial Narrow" w:cs="Calibri"/>
                <w:color w:val="000000"/>
                <w:sz w:val="20"/>
                <w:szCs w:val="20"/>
              </w:rPr>
            </w:pPr>
            <w:r w:rsidRPr="00885AB3">
              <w:rPr>
                <w:rFonts w:ascii="Arial Narrow" w:hAnsi="Arial Narrow" w:cs="Calibri"/>
                <w:color w:val="000000"/>
                <w:sz w:val="20"/>
                <w:szCs w:val="20"/>
              </w:rPr>
              <w:t>1.9 (1.4, 2.5)</w:t>
            </w:r>
          </w:p>
        </w:tc>
        <w:tc>
          <w:tcPr>
            <w:tcW w:w="548" w:type="pct"/>
            <w:vAlign w:val="center"/>
          </w:tcPr>
          <w:p w14:paraId="55FEDF2B" w14:textId="77777777" w:rsidR="006A1AFC" w:rsidRPr="00885AB3" w:rsidRDefault="006A1AFC" w:rsidP="00120D61">
            <w:pPr>
              <w:keepNext/>
              <w:keepLines/>
              <w:jc w:val="center"/>
              <w:rPr>
                <w:rFonts w:ascii="Arial Narrow" w:hAnsi="Arial Narrow" w:cs="Calibri"/>
                <w:color w:val="000000"/>
                <w:sz w:val="20"/>
                <w:szCs w:val="20"/>
              </w:rPr>
            </w:pPr>
            <w:r w:rsidRPr="00885AB3">
              <w:rPr>
                <w:rFonts w:ascii="Arial Narrow" w:hAnsi="Arial Narrow" w:cs="Calibri"/>
                <w:color w:val="000000"/>
                <w:sz w:val="20"/>
                <w:szCs w:val="20"/>
              </w:rPr>
              <w:t>91 (0.5)</w:t>
            </w:r>
          </w:p>
        </w:tc>
        <w:tc>
          <w:tcPr>
            <w:tcW w:w="460" w:type="pct"/>
            <w:vAlign w:val="center"/>
          </w:tcPr>
          <w:p w14:paraId="2DC468FC" w14:textId="77777777" w:rsidR="006A1AFC" w:rsidRPr="00885AB3" w:rsidRDefault="006A1AFC" w:rsidP="00120D61">
            <w:pPr>
              <w:keepNext/>
              <w:keepLines/>
              <w:jc w:val="center"/>
              <w:rPr>
                <w:rFonts w:ascii="Arial Narrow" w:hAnsi="Arial Narrow" w:cs="Calibri"/>
                <w:color w:val="000000"/>
                <w:sz w:val="20"/>
                <w:szCs w:val="20"/>
              </w:rPr>
            </w:pPr>
            <w:r w:rsidRPr="00885AB3">
              <w:rPr>
                <w:rFonts w:ascii="Arial Narrow" w:hAnsi="Arial Narrow" w:cs="Calibri"/>
                <w:color w:val="000000"/>
                <w:sz w:val="20"/>
                <w:szCs w:val="20"/>
              </w:rPr>
              <w:t>24,602</w:t>
            </w:r>
          </w:p>
        </w:tc>
        <w:tc>
          <w:tcPr>
            <w:tcW w:w="823" w:type="pct"/>
            <w:vAlign w:val="center"/>
          </w:tcPr>
          <w:p w14:paraId="62FC68C2" w14:textId="77777777" w:rsidR="006A1AFC" w:rsidRPr="00885AB3" w:rsidRDefault="006A1AFC" w:rsidP="00120D61">
            <w:pPr>
              <w:keepNext/>
              <w:keepLines/>
              <w:jc w:val="center"/>
              <w:rPr>
                <w:rFonts w:ascii="Arial Narrow" w:hAnsi="Arial Narrow" w:cs="Calibri"/>
                <w:color w:val="000000"/>
                <w:sz w:val="20"/>
                <w:szCs w:val="20"/>
              </w:rPr>
            </w:pPr>
            <w:r w:rsidRPr="00885AB3">
              <w:rPr>
                <w:rFonts w:ascii="Arial Narrow" w:hAnsi="Arial Narrow" w:cs="Calibri"/>
                <w:color w:val="000000"/>
                <w:sz w:val="20"/>
                <w:szCs w:val="20"/>
              </w:rPr>
              <w:t>3.7 (3.0, 4.5)</w:t>
            </w:r>
          </w:p>
        </w:tc>
        <w:tc>
          <w:tcPr>
            <w:tcW w:w="882" w:type="pct"/>
            <w:vAlign w:val="center"/>
          </w:tcPr>
          <w:p w14:paraId="084BB2D2" w14:textId="77777777" w:rsidR="006A1AFC" w:rsidRPr="00885AB3" w:rsidRDefault="006A1AFC" w:rsidP="00120D61">
            <w:pPr>
              <w:keepNext/>
              <w:keepLines/>
              <w:jc w:val="center"/>
              <w:rPr>
                <w:rFonts w:ascii="Arial Narrow" w:hAnsi="Arial Narrow" w:cs="Calibri"/>
                <w:b/>
                <w:bCs/>
                <w:color w:val="000000"/>
                <w:sz w:val="20"/>
                <w:szCs w:val="20"/>
              </w:rPr>
            </w:pPr>
            <w:r w:rsidRPr="00885AB3">
              <w:rPr>
                <w:rFonts w:ascii="Arial Narrow" w:hAnsi="Arial Narrow" w:cs="Calibri"/>
                <w:b/>
                <w:bCs/>
                <w:color w:val="000000"/>
                <w:sz w:val="20"/>
                <w:szCs w:val="20"/>
              </w:rPr>
              <w:t>49.9 (27.8, 65.6)</w:t>
            </w:r>
            <w:r w:rsidRPr="00885AB3">
              <w:rPr>
                <w:rFonts w:ascii="Arial Narrow" w:hAnsi="Arial Narrow" w:cs="Calibri"/>
                <w:b/>
                <w:bCs/>
                <w:color w:val="000000"/>
                <w:sz w:val="20"/>
                <w:szCs w:val="20"/>
                <w:vertAlign w:val="superscript"/>
              </w:rPr>
              <w:t>b</w:t>
            </w:r>
          </w:p>
        </w:tc>
      </w:tr>
      <w:tr w:rsidR="006A1AFC" w:rsidRPr="00885AB3" w14:paraId="5415DCBE" w14:textId="77777777" w:rsidTr="0074351A">
        <w:trPr>
          <w:trHeight w:val="169"/>
        </w:trPr>
        <w:tc>
          <w:tcPr>
            <w:tcW w:w="550" w:type="pct"/>
            <w:tcBorders>
              <w:left w:val="single" w:sz="4" w:space="0" w:color="auto"/>
              <w:right w:val="single" w:sz="4" w:space="0" w:color="auto"/>
            </w:tcBorders>
            <w:vAlign w:val="center"/>
          </w:tcPr>
          <w:p w14:paraId="3D53A7A9" w14:textId="77777777" w:rsidR="006A1AFC" w:rsidRPr="00885AB3" w:rsidRDefault="006A1AFC" w:rsidP="00120D61">
            <w:pPr>
              <w:keepNext/>
              <w:keepLines/>
              <w:rPr>
                <w:rFonts w:ascii="Arial Narrow" w:hAnsi="Arial Narrow" w:cs="Calibri"/>
                <w:color w:val="000000"/>
                <w:sz w:val="20"/>
                <w:szCs w:val="20"/>
              </w:rPr>
            </w:pPr>
            <w:r w:rsidRPr="00885AB3">
              <w:rPr>
                <w:rFonts w:ascii="Arial Narrow" w:hAnsi="Arial Narrow" w:cs="Calibri"/>
                <w:color w:val="000000"/>
                <w:sz w:val="20"/>
                <w:szCs w:val="20"/>
              </w:rPr>
              <w:t>24 months</w:t>
            </w:r>
          </w:p>
        </w:tc>
        <w:tc>
          <w:tcPr>
            <w:tcW w:w="548" w:type="pct"/>
            <w:vAlign w:val="center"/>
          </w:tcPr>
          <w:p w14:paraId="21BE4873" w14:textId="77777777" w:rsidR="006A1AFC" w:rsidRPr="00885AB3" w:rsidRDefault="006A1AFC" w:rsidP="00120D61">
            <w:pPr>
              <w:keepNext/>
              <w:keepLines/>
              <w:jc w:val="center"/>
              <w:rPr>
                <w:rFonts w:ascii="Arial Narrow" w:hAnsi="Arial Narrow" w:cs="Calibri"/>
                <w:color w:val="000000"/>
                <w:sz w:val="20"/>
                <w:szCs w:val="20"/>
              </w:rPr>
            </w:pPr>
            <w:r w:rsidRPr="00885AB3">
              <w:rPr>
                <w:rFonts w:ascii="Arial Narrow" w:hAnsi="Arial Narrow" w:cs="Calibri"/>
                <w:color w:val="000000"/>
                <w:sz w:val="20"/>
                <w:szCs w:val="20"/>
              </w:rPr>
              <w:t>52 (0.3)</w:t>
            </w:r>
          </w:p>
        </w:tc>
        <w:tc>
          <w:tcPr>
            <w:tcW w:w="457" w:type="pct"/>
            <w:vAlign w:val="center"/>
          </w:tcPr>
          <w:p w14:paraId="1BEE25DE" w14:textId="77777777" w:rsidR="006A1AFC" w:rsidRPr="00885AB3" w:rsidRDefault="006A1AFC" w:rsidP="00120D61">
            <w:pPr>
              <w:keepNext/>
              <w:keepLines/>
              <w:jc w:val="center"/>
              <w:rPr>
                <w:rFonts w:ascii="Arial Narrow" w:hAnsi="Arial Narrow" w:cs="Calibri"/>
                <w:color w:val="000000"/>
                <w:sz w:val="20"/>
                <w:szCs w:val="20"/>
              </w:rPr>
            </w:pPr>
            <w:r w:rsidRPr="00885AB3">
              <w:rPr>
                <w:rFonts w:ascii="Arial Narrow" w:hAnsi="Arial Narrow" w:cs="Calibri"/>
                <w:color w:val="000000"/>
                <w:sz w:val="20"/>
                <w:szCs w:val="20"/>
              </w:rPr>
              <w:t>27,617</w:t>
            </w:r>
          </w:p>
        </w:tc>
        <w:tc>
          <w:tcPr>
            <w:tcW w:w="732" w:type="pct"/>
            <w:vAlign w:val="center"/>
          </w:tcPr>
          <w:p w14:paraId="1A2F7112" w14:textId="77777777" w:rsidR="006A1AFC" w:rsidRPr="00885AB3" w:rsidRDefault="006A1AFC" w:rsidP="00120D61">
            <w:pPr>
              <w:keepNext/>
              <w:keepLines/>
              <w:jc w:val="center"/>
              <w:rPr>
                <w:rFonts w:ascii="Arial Narrow" w:hAnsi="Arial Narrow" w:cs="Calibri"/>
                <w:color w:val="000000"/>
                <w:sz w:val="20"/>
                <w:szCs w:val="20"/>
              </w:rPr>
            </w:pPr>
            <w:r w:rsidRPr="00885AB3">
              <w:rPr>
                <w:rFonts w:ascii="Arial Narrow" w:hAnsi="Arial Narrow" w:cs="Calibri"/>
                <w:color w:val="000000"/>
                <w:sz w:val="20"/>
                <w:szCs w:val="20"/>
              </w:rPr>
              <w:t>1.9 (1.4, 2.5)</w:t>
            </w:r>
          </w:p>
        </w:tc>
        <w:tc>
          <w:tcPr>
            <w:tcW w:w="548" w:type="pct"/>
            <w:vAlign w:val="center"/>
          </w:tcPr>
          <w:p w14:paraId="1DB28F69" w14:textId="77777777" w:rsidR="006A1AFC" w:rsidRPr="00885AB3" w:rsidRDefault="006A1AFC" w:rsidP="00120D61">
            <w:pPr>
              <w:keepNext/>
              <w:keepLines/>
              <w:jc w:val="center"/>
              <w:rPr>
                <w:rFonts w:ascii="Arial Narrow" w:hAnsi="Arial Narrow" w:cs="Calibri"/>
                <w:color w:val="000000"/>
                <w:sz w:val="20"/>
                <w:szCs w:val="20"/>
              </w:rPr>
            </w:pPr>
            <w:r w:rsidRPr="00885AB3">
              <w:rPr>
                <w:rFonts w:ascii="Arial Narrow" w:hAnsi="Arial Narrow" w:cs="Calibri"/>
                <w:color w:val="000000"/>
                <w:sz w:val="20"/>
                <w:szCs w:val="20"/>
              </w:rPr>
              <w:t>100 (0.6)</w:t>
            </w:r>
          </w:p>
        </w:tc>
        <w:tc>
          <w:tcPr>
            <w:tcW w:w="460" w:type="pct"/>
            <w:vAlign w:val="center"/>
          </w:tcPr>
          <w:p w14:paraId="66347EB7" w14:textId="77777777" w:rsidR="006A1AFC" w:rsidRPr="00885AB3" w:rsidRDefault="006A1AFC" w:rsidP="00120D61">
            <w:pPr>
              <w:keepNext/>
              <w:keepLines/>
              <w:jc w:val="center"/>
              <w:rPr>
                <w:rFonts w:ascii="Arial Narrow" w:hAnsi="Arial Narrow" w:cs="Calibri"/>
                <w:color w:val="000000"/>
                <w:sz w:val="20"/>
                <w:szCs w:val="20"/>
              </w:rPr>
            </w:pPr>
            <w:r w:rsidRPr="00885AB3">
              <w:rPr>
                <w:rFonts w:ascii="Arial Narrow" w:hAnsi="Arial Narrow" w:cs="Calibri"/>
                <w:color w:val="000000"/>
                <w:sz w:val="20"/>
                <w:szCs w:val="20"/>
              </w:rPr>
              <w:t>27,383</w:t>
            </w:r>
          </w:p>
        </w:tc>
        <w:tc>
          <w:tcPr>
            <w:tcW w:w="823" w:type="pct"/>
            <w:vAlign w:val="center"/>
          </w:tcPr>
          <w:p w14:paraId="06EE2EF1" w14:textId="77777777" w:rsidR="006A1AFC" w:rsidRPr="00885AB3" w:rsidRDefault="006A1AFC" w:rsidP="00120D61">
            <w:pPr>
              <w:keepNext/>
              <w:keepLines/>
              <w:jc w:val="center"/>
              <w:rPr>
                <w:rFonts w:ascii="Arial Narrow" w:hAnsi="Arial Narrow" w:cs="Calibri"/>
                <w:color w:val="000000"/>
                <w:sz w:val="20"/>
                <w:szCs w:val="20"/>
              </w:rPr>
            </w:pPr>
            <w:r w:rsidRPr="00885AB3">
              <w:rPr>
                <w:rFonts w:ascii="Arial Narrow" w:hAnsi="Arial Narrow" w:cs="Calibri"/>
                <w:color w:val="000000"/>
                <w:sz w:val="20"/>
                <w:szCs w:val="20"/>
              </w:rPr>
              <w:t>3.7 (3.0, 4.4)</w:t>
            </w:r>
          </w:p>
        </w:tc>
        <w:tc>
          <w:tcPr>
            <w:tcW w:w="882" w:type="pct"/>
            <w:vAlign w:val="center"/>
          </w:tcPr>
          <w:p w14:paraId="7A8B7BB6" w14:textId="77777777" w:rsidR="006A1AFC" w:rsidRPr="00885AB3" w:rsidRDefault="006A1AFC" w:rsidP="00120D61">
            <w:pPr>
              <w:keepNext/>
              <w:keepLines/>
              <w:jc w:val="center"/>
              <w:rPr>
                <w:rFonts w:ascii="Arial Narrow" w:hAnsi="Arial Narrow" w:cs="Calibri"/>
                <w:b/>
                <w:bCs/>
                <w:color w:val="000000"/>
                <w:sz w:val="20"/>
                <w:szCs w:val="20"/>
              </w:rPr>
            </w:pPr>
            <w:r w:rsidRPr="00885AB3">
              <w:rPr>
                <w:rFonts w:ascii="Arial Narrow" w:hAnsi="Arial Narrow" w:cs="Calibri"/>
                <w:b/>
                <w:bCs/>
                <w:color w:val="000000"/>
                <w:sz w:val="20"/>
                <w:szCs w:val="20"/>
              </w:rPr>
              <w:t>48.4 (27.9, 63.1)</w:t>
            </w:r>
            <w:r w:rsidRPr="00885AB3">
              <w:rPr>
                <w:rFonts w:ascii="Arial Narrow" w:hAnsi="Arial Narrow" w:cs="Calibri"/>
                <w:b/>
                <w:bCs/>
                <w:sz w:val="20"/>
                <w:szCs w:val="20"/>
                <w:vertAlign w:val="superscript"/>
              </w:rPr>
              <w:t>a</w:t>
            </w:r>
          </w:p>
        </w:tc>
      </w:tr>
      <w:tr w:rsidR="00F028F3" w:rsidRPr="00885AB3" w14:paraId="3EC86CC8" w14:textId="77777777" w:rsidTr="0074351A">
        <w:trPr>
          <w:trHeight w:val="169"/>
        </w:trPr>
        <w:tc>
          <w:tcPr>
            <w:tcW w:w="5000" w:type="pct"/>
            <w:gridSpan w:val="8"/>
            <w:tcBorders>
              <w:left w:val="single" w:sz="4" w:space="0" w:color="auto"/>
            </w:tcBorders>
            <w:vAlign w:val="center"/>
          </w:tcPr>
          <w:p w14:paraId="038602D4" w14:textId="73CAB832" w:rsidR="0074351A" w:rsidRPr="00885AB3" w:rsidRDefault="0074351A" w:rsidP="00120D61">
            <w:pPr>
              <w:keepNext/>
              <w:keepLines/>
              <w:jc w:val="left"/>
              <w:rPr>
                <w:rFonts w:ascii="Arial Narrow" w:hAnsi="Arial Narrow" w:cs="Calibri"/>
                <w:b/>
                <w:bCs/>
                <w:color w:val="000000"/>
                <w:sz w:val="20"/>
                <w:szCs w:val="20"/>
              </w:rPr>
            </w:pPr>
            <w:r w:rsidRPr="00885AB3">
              <w:rPr>
                <w:rFonts w:ascii="Arial Narrow" w:hAnsi="Arial Narrow" w:cs="Calibri"/>
                <w:b/>
                <w:bCs/>
                <w:color w:val="000000"/>
                <w:sz w:val="20"/>
                <w:szCs w:val="20"/>
              </w:rPr>
              <w:t>VE for the prevention of RSV-ARD</w:t>
            </w:r>
          </w:p>
        </w:tc>
      </w:tr>
      <w:tr w:rsidR="006A1AFC" w:rsidRPr="00885AB3" w14:paraId="4B9A0ECD" w14:textId="77777777" w:rsidTr="0074351A">
        <w:trPr>
          <w:trHeight w:val="169"/>
        </w:trPr>
        <w:tc>
          <w:tcPr>
            <w:tcW w:w="550" w:type="pct"/>
            <w:tcBorders>
              <w:left w:val="single" w:sz="4" w:space="0" w:color="auto"/>
              <w:right w:val="single" w:sz="4" w:space="0" w:color="auto"/>
            </w:tcBorders>
            <w:vAlign w:val="center"/>
          </w:tcPr>
          <w:p w14:paraId="6158BD95" w14:textId="77777777" w:rsidR="006A1AFC" w:rsidRPr="00885AB3" w:rsidRDefault="006A1AFC" w:rsidP="00120D61">
            <w:pPr>
              <w:keepNext/>
              <w:keepLines/>
              <w:rPr>
                <w:rFonts w:ascii="Arial Narrow" w:hAnsi="Arial Narrow" w:cs="Calibri"/>
                <w:color w:val="000000"/>
                <w:sz w:val="20"/>
                <w:szCs w:val="20"/>
              </w:rPr>
            </w:pPr>
            <w:r w:rsidRPr="00885AB3">
              <w:rPr>
                <w:rFonts w:ascii="Arial Narrow" w:hAnsi="Arial Narrow" w:cs="Calibri"/>
                <w:color w:val="000000"/>
                <w:sz w:val="20"/>
                <w:szCs w:val="20"/>
              </w:rPr>
              <w:t>12 months</w:t>
            </w:r>
          </w:p>
        </w:tc>
        <w:tc>
          <w:tcPr>
            <w:tcW w:w="548" w:type="pct"/>
            <w:vAlign w:val="center"/>
          </w:tcPr>
          <w:p w14:paraId="292F67FA" w14:textId="77777777" w:rsidR="006A1AFC" w:rsidRPr="00885AB3" w:rsidRDefault="006A1AFC" w:rsidP="00120D61">
            <w:pPr>
              <w:keepNext/>
              <w:keepLines/>
              <w:jc w:val="center"/>
              <w:rPr>
                <w:rFonts w:ascii="Arial Narrow" w:hAnsi="Arial Narrow" w:cs="Calibri"/>
                <w:color w:val="000000"/>
                <w:sz w:val="20"/>
                <w:szCs w:val="20"/>
              </w:rPr>
            </w:pPr>
            <w:r w:rsidRPr="00885AB3">
              <w:rPr>
                <w:rFonts w:ascii="Arial Narrow" w:hAnsi="Arial Narrow" w:cs="Calibri"/>
                <w:color w:val="000000"/>
                <w:sz w:val="20"/>
                <w:szCs w:val="20"/>
              </w:rPr>
              <w:t>140 (0.8)</w:t>
            </w:r>
          </w:p>
        </w:tc>
        <w:tc>
          <w:tcPr>
            <w:tcW w:w="457" w:type="pct"/>
            <w:vAlign w:val="center"/>
          </w:tcPr>
          <w:p w14:paraId="1AB4AD80" w14:textId="77777777" w:rsidR="006A1AFC" w:rsidRPr="00885AB3" w:rsidRDefault="006A1AFC" w:rsidP="00120D61">
            <w:pPr>
              <w:keepNext/>
              <w:keepLines/>
              <w:jc w:val="center"/>
              <w:rPr>
                <w:rFonts w:ascii="Arial Narrow" w:hAnsi="Arial Narrow" w:cs="Calibri"/>
                <w:color w:val="000000"/>
                <w:sz w:val="20"/>
                <w:szCs w:val="20"/>
              </w:rPr>
            </w:pPr>
            <w:r w:rsidRPr="00885AB3">
              <w:rPr>
                <w:rFonts w:ascii="Arial Narrow" w:hAnsi="Arial Narrow" w:cs="Calibri"/>
                <w:color w:val="000000"/>
                <w:sz w:val="20"/>
                <w:szCs w:val="20"/>
              </w:rPr>
              <w:t>17,621</w:t>
            </w:r>
          </w:p>
        </w:tc>
        <w:tc>
          <w:tcPr>
            <w:tcW w:w="732" w:type="pct"/>
            <w:vAlign w:val="center"/>
          </w:tcPr>
          <w:p w14:paraId="2070CC83" w14:textId="77777777" w:rsidR="006A1AFC" w:rsidRPr="00885AB3" w:rsidRDefault="006A1AFC" w:rsidP="00120D61">
            <w:pPr>
              <w:keepNext/>
              <w:keepLines/>
              <w:jc w:val="center"/>
              <w:rPr>
                <w:rFonts w:ascii="Arial Narrow" w:hAnsi="Arial Narrow" w:cs="Calibri"/>
                <w:color w:val="000000"/>
                <w:sz w:val="20"/>
                <w:szCs w:val="20"/>
              </w:rPr>
            </w:pPr>
            <w:r w:rsidRPr="00885AB3">
              <w:rPr>
                <w:rFonts w:ascii="Arial Narrow" w:hAnsi="Arial Narrow" w:cs="Calibri"/>
                <w:color w:val="000000"/>
                <w:sz w:val="20"/>
                <w:szCs w:val="20"/>
              </w:rPr>
              <w:t>7.9 (6.7, 9.4)</w:t>
            </w:r>
          </w:p>
        </w:tc>
        <w:tc>
          <w:tcPr>
            <w:tcW w:w="548" w:type="pct"/>
            <w:vAlign w:val="center"/>
          </w:tcPr>
          <w:p w14:paraId="3744B794" w14:textId="77777777" w:rsidR="006A1AFC" w:rsidRPr="00885AB3" w:rsidRDefault="006A1AFC" w:rsidP="00120D61">
            <w:pPr>
              <w:keepNext/>
              <w:keepLines/>
              <w:jc w:val="center"/>
              <w:rPr>
                <w:rFonts w:ascii="Arial Narrow" w:hAnsi="Arial Narrow" w:cs="Calibri"/>
                <w:color w:val="000000"/>
                <w:sz w:val="20"/>
                <w:szCs w:val="20"/>
              </w:rPr>
            </w:pPr>
            <w:r w:rsidRPr="00885AB3">
              <w:rPr>
                <w:rFonts w:ascii="Arial Narrow" w:hAnsi="Arial Narrow" w:cs="Calibri"/>
                <w:color w:val="000000"/>
                <w:sz w:val="20"/>
                <w:szCs w:val="20"/>
              </w:rPr>
              <w:t>282 (1.6)</w:t>
            </w:r>
          </w:p>
        </w:tc>
        <w:tc>
          <w:tcPr>
            <w:tcW w:w="460" w:type="pct"/>
            <w:vAlign w:val="center"/>
          </w:tcPr>
          <w:p w14:paraId="624381EE" w14:textId="77777777" w:rsidR="006A1AFC" w:rsidRPr="00885AB3" w:rsidRDefault="006A1AFC" w:rsidP="00120D61">
            <w:pPr>
              <w:keepNext/>
              <w:keepLines/>
              <w:jc w:val="center"/>
              <w:rPr>
                <w:rFonts w:ascii="Arial Narrow" w:hAnsi="Arial Narrow" w:cs="Calibri"/>
                <w:color w:val="000000"/>
                <w:sz w:val="20"/>
                <w:szCs w:val="20"/>
              </w:rPr>
            </w:pPr>
            <w:r w:rsidRPr="00885AB3">
              <w:rPr>
                <w:rFonts w:ascii="Arial Narrow" w:hAnsi="Arial Narrow" w:cs="Calibri"/>
                <w:color w:val="000000"/>
                <w:sz w:val="20"/>
                <w:szCs w:val="20"/>
              </w:rPr>
              <w:t>17,442</w:t>
            </w:r>
          </w:p>
        </w:tc>
        <w:tc>
          <w:tcPr>
            <w:tcW w:w="823" w:type="pct"/>
            <w:vAlign w:val="center"/>
          </w:tcPr>
          <w:p w14:paraId="52DC6725" w14:textId="77777777" w:rsidR="006A1AFC" w:rsidRPr="00885AB3" w:rsidRDefault="006A1AFC" w:rsidP="00120D61">
            <w:pPr>
              <w:keepNext/>
              <w:keepLines/>
              <w:jc w:val="center"/>
              <w:rPr>
                <w:rFonts w:ascii="Arial Narrow" w:hAnsi="Arial Narrow" w:cs="Calibri"/>
                <w:color w:val="000000"/>
                <w:sz w:val="20"/>
                <w:szCs w:val="20"/>
              </w:rPr>
            </w:pPr>
            <w:r w:rsidRPr="00885AB3">
              <w:rPr>
                <w:rFonts w:ascii="Arial Narrow" w:hAnsi="Arial Narrow" w:cs="Calibri"/>
                <w:color w:val="000000"/>
                <w:sz w:val="20"/>
                <w:szCs w:val="20"/>
              </w:rPr>
              <w:t>16.2 (14.3, 18.2)</w:t>
            </w:r>
          </w:p>
        </w:tc>
        <w:tc>
          <w:tcPr>
            <w:tcW w:w="882" w:type="pct"/>
            <w:vAlign w:val="center"/>
          </w:tcPr>
          <w:p w14:paraId="6C6DCE8E" w14:textId="77777777" w:rsidR="006A1AFC" w:rsidRPr="00885AB3" w:rsidRDefault="006A1AFC" w:rsidP="00120D61">
            <w:pPr>
              <w:keepNext/>
              <w:keepLines/>
              <w:jc w:val="center"/>
              <w:rPr>
                <w:rFonts w:ascii="Arial Narrow" w:hAnsi="Arial Narrow" w:cs="Calibri"/>
                <w:b/>
                <w:bCs/>
                <w:color w:val="000000"/>
                <w:sz w:val="20"/>
                <w:szCs w:val="20"/>
              </w:rPr>
            </w:pPr>
            <w:r w:rsidRPr="00885AB3">
              <w:rPr>
                <w:rFonts w:ascii="Arial Narrow" w:hAnsi="Arial Narrow" w:cs="Calibri"/>
                <w:b/>
                <w:bCs/>
                <w:color w:val="000000"/>
                <w:sz w:val="20"/>
                <w:szCs w:val="20"/>
              </w:rPr>
              <w:t>50.9 (39.8, 59.9)</w:t>
            </w:r>
            <w:r w:rsidRPr="00885AB3">
              <w:rPr>
                <w:rFonts w:ascii="Arial Narrow" w:hAnsi="Arial Narrow" w:cs="Calibri"/>
                <w:b/>
                <w:bCs/>
                <w:sz w:val="20"/>
                <w:szCs w:val="20"/>
                <w:vertAlign w:val="superscript"/>
              </w:rPr>
              <w:t>a</w:t>
            </w:r>
          </w:p>
        </w:tc>
      </w:tr>
      <w:tr w:rsidR="006A1AFC" w:rsidRPr="00885AB3" w14:paraId="0371C99F" w14:textId="77777777" w:rsidTr="0074351A">
        <w:trPr>
          <w:trHeight w:val="169"/>
        </w:trPr>
        <w:tc>
          <w:tcPr>
            <w:tcW w:w="550" w:type="pct"/>
            <w:tcBorders>
              <w:left w:val="single" w:sz="4" w:space="0" w:color="auto"/>
              <w:right w:val="single" w:sz="4" w:space="0" w:color="auto"/>
            </w:tcBorders>
            <w:vAlign w:val="center"/>
          </w:tcPr>
          <w:p w14:paraId="7036B9FE" w14:textId="77777777" w:rsidR="006A1AFC" w:rsidRPr="00885AB3" w:rsidRDefault="006A1AFC" w:rsidP="00120D61">
            <w:pPr>
              <w:keepNext/>
              <w:keepLines/>
              <w:rPr>
                <w:rFonts w:ascii="Arial Narrow" w:hAnsi="Arial Narrow" w:cs="Calibri"/>
                <w:color w:val="000000"/>
                <w:sz w:val="20"/>
                <w:szCs w:val="20"/>
              </w:rPr>
            </w:pPr>
            <w:r w:rsidRPr="00885AB3">
              <w:rPr>
                <w:rFonts w:ascii="Arial Narrow" w:hAnsi="Arial Narrow" w:cs="Calibri"/>
                <w:color w:val="000000"/>
                <w:sz w:val="20"/>
                <w:szCs w:val="20"/>
              </w:rPr>
              <w:t>18 months</w:t>
            </w:r>
          </w:p>
        </w:tc>
        <w:tc>
          <w:tcPr>
            <w:tcW w:w="548" w:type="pct"/>
            <w:vAlign w:val="center"/>
          </w:tcPr>
          <w:p w14:paraId="179B6209" w14:textId="77777777" w:rsidR="006A1AFC" w:rsidRPr="00885AB3" w:rsidRDefault="006A1AFC" w:rsidP="00120D61">
            <w:pPr>
              <w:keepNext/>
              <w:keepLines/>
              <w:jc w:val="center"/>
              <w:rPr>
                <w:rFonts w:ascii="Arial Narrow" w:hAnsi="Arial Narrow" w:cs="Calibri"/>
                <w:color w:val="000000"/>
                <w:sz w:val="20"/>
                <w:szCs w:val="20"/>
              </w:rPr>
            </w:pPr>
            <w:r w:rsidRPr="00885AB3">
              <w:rPr>
                <w:rFonts w:ascii="Arial Narrow" w:hAnsi="Arial Narrow" w:cs="Calibri"/>
                <w:color w:val="000000"/>
                <w:sz w:val="20"/>
                <w:szCs w:val="20"/>
              </w:rPr>
              <w:t>214 (1.2)</w:t>
            </w:r>
          </w:p>
        </w:tc>
        <w:tc>
          <w:tcPr>
            <w:tcW w:w="457" w:type="pct"/>
            <w:vAlign w:val="center"/>
          </w:tcPr>
          <w:p w14:paraId="3F0CB4D5" w14:textId="77777777" w:rsidR="006A1AFC" w:rsidRPr="00885AB3" w:rsidRDefault="006A1AFC" w:rsidP="00120D61">
            <w:pPr>
              <w:keepNext/>
              <w:keepLines/>
              <w:jc w:val="center"/>
              <w:rPr>
                <w:rFonts w:ascii="Arial Narrow" w:hAnsi="Arial Narrow" w:cs="Calibri"/>
                <w:color w:val="000000"/>
                <w:sz w:val="20"/>
                <w:szCs w:val="20"/>
              </w:rPr>
            </w:pPr>
            <w:r w:rsidRPr="00885AB3">
              <w:rPr>
                <w:rFonts w:ascii="Arial Narrow" w:hAnsi="Arial Narrow" w:cs="Calibri"/>
                <w:color w:val="000000"/>
                <w:sz w:val="20"/>
                <w:szCs w:val="20"/>
              </w:rPr>
              <w:t>24,697</w:t>
            </w:r>
          </w:p>
        </w:tc>
        <w:tc>
          <w:tcPr>
            <w:tcW w:w="732" w:type="pct"/>
            <w:vAlign w:val="center"/>
          </w:tcPr>
          <w:p w14:paraId="658226BE" w14:textId="77777777" w:rsidR="006A1AFC" w:rsidRPr="00885AB3" w:rsidRDefault="006A1AFC" w:rsidP="00120D61">
            <w:pPr>
              <w:keepNext/>
              <w:keepLines/>
              <w:jc w:val="center"/>
              <w:rPr>
                <w:rFonts w:ascii="Arial Narrow" w:hAnsi="Arial Narrow" w:cs="Calibri"/>
                <w:color w:val="000000"/>
                <w:sz w:val="20"/>
                <w:szCs w:val="20"/>
              </w:rPr>
            </w:pPr>
            <w:r w:rsidRPr="00885AB3">
              <w:rPr>
                <w:rFonts w:ascii="Arial Narrow" w:hAnsi="Arial Narrow" w:cs="Calibri"/>
                <w:color w:val="000000"/>
                <w:sz w:val="20"/>
                <w:szCs w:val="20"/>
              </w:rPr>
              <w:t>8.7 (7.5, 9.9)</w:t>
            </w:r>
          </w:p>
        </w:tc>
        <w:tc>
          <w:tcPr>
            <w:tcW w:w="548" w:type="pct"/>
            <w:vAlign w:val="center"/>
          </w:tcPr>
          <w:p w14:paraId="43299B73" w14:textId="77777777" w:rsidR="006A1AFC" w:rsidRPr="00885AB3" w:rsidRDefault="006A1AFC" w:rsidP="00120D61">
            <w:pPr>
              <w:keepNext/>
              <w:keepLines/>
              <w:jc w:val="center"/>
              <w:rPr>
                <w:rFonts w:ascii="Arial Narrow" w:hAnsi="Arial Narrow" w:cs="Calibri"/>
                <w:color w:val="000000"/>
                <w:sz w:val="20"/>
                <w:szCs w:val="20"/>
              </w:rPr>
            </w:pPr>
            <w:r w:rsidRPr="00885AB3">
              <w:rPr>
                <w:rFonts w:ascii="Arial Narrow" w:hAnsi="Arial Narrow" w:cs="Calibri"/>
                <w:color w:val="000000"/>
                <w:sz w:val="20"/>
                <w:szCs w:val="20"/>
              </w:rPr>
              <w:t>398 (2.2)</w:t>
            </w:r>
          </w:p>
        </w:tc>
        <w:tc>
          <w:tcPr>
            <w:tcW w:w="460" w:type="pct"/>
            <w:vAlign w:val="center"/>
          </w:tcPr>
          <w:p w14:paraId="2E3D7301" w14:textId="77777777" w:rsidR="006A1AFC" w:rsidRPr="00885AB3" w:rsidRDefault="006A1AFC" w:rsidP="00120D61">
            <w:pPr>
              <w:keepNext/>
              <w:keepLines/>
              <w:jc w:val="center"/>
              <w:rPr>
                <w:rFonts w:ascii="Arial Narrow" w:hAnsi="Arial Narrow" w:cs="Calibri"/>
                <w:color w:val="000000"/>
                <w:sz w:val="20"/>
                <w:szCs w:val="20"/>
              </w:rPr>
            </w:pPr>
            <w:r w:rsidRPr="00885AB3">
              <w:rPr>
                <w:rFonts w:ascii="Arial Narrow" w:hAnsi="Arial Narrow" w:cs="Calibri"/>
                <w:color w:val="000000"/>
                <w:sz w:val="20"/>
                <w:szCs w:val="20"/>
              </w:rPr>
              <w:t>24,377</w:t>
            </w:r>
          </w:p>
        </w:tc>
        <w:tc>
          <w:tcPr>
            <w:tcW w:w="823" w:type="pct"/>
            <w:vAlign w:val="center"/>
          </w:tcPr>
          <w:p w14:paraId="0671BA3E" w14:textId="77777777" w:rsidR="006A1AFC" w:rsidRPr="00885AB3" w:rsidRDefault="006A1AFC" w:rsidP="00120D61">
            <w:pPr>
              <w:keepNext/>
              <w:keepLines/>
              <w:jc w:val="center"/>
              <w:rPr>
                <w:rFonts w:ascii="Arial Narrow" w:hAnsi="Arial Narrow" w:cs="Calibri"/>
                <w:color w:val="000000"/>
                <w:sz w:val="20"/>
                <w:szCs w:val="20"/>
              </w:rPr>
            </w:pPr>
            <w:r w:rsidRPr="00885AB3">
              <w:rPr>
                <w:rFonts w:ascii="Arial Narrow" w:hAnsi="Arial Narrow" w:cs="Calibri"/>
                <w:color w:val="000000"/>
                <w:sz w:val="20"/>
                <w:szCs w:val="20"/>
              </w:rPr>
              <w:t>16.3 (14.8, 18.0)</w:t>
            </w:r>
          </w:p>
        </w:tc>
        <w:tc>
          <w:tcPr>
            <w:tcW w:w="882" w:type="pct"/>
            <w:vAlign w:val="center"/>
          </w:tcPr>
          <w:p w14:paraId="54029DEF" w14:textId="77777777" w:rsidR="006A1AFC" w:rsidRPr="00885AB3" w:rsidRDefault="006A1AFC" w:rsidP="00120D61">
            <w:pPr>
              <w:keepNext/>
              <w:keepLines/>
              <w:jc w:val="center"/>
              <w:rPr>
                <w:rFonts w:ascii="Arial Narrow" w:hAnsi="Arial Narrow" w:cs="Calibri"/>
                <w:b/>
                <w:bCs/>
                <w:color w:val="000000"/>
                <w:sz w:val="20"/>
                <w:szCs w:val="20"/>
              </w:rPr>
            </w:pPr>
            <w:r w:rsidRPr="00885AB3">
              <w:rPr>
                <w:rFonts w:ascii="Arial Narrow" w:hAnsi="Arial Narrow" w:cs="Calibri"/>
                <w:b/>
                <w:bCs/>
                <w:color w:val="000000"/>
                <w:sz w:val="20"/>
                <w:szCs w:val="20"/>
              </w:rPr>
              <w:t>46.9 (37.2, 55.3)</w:t>
            </w:r>
            <w:r w:rsidRPr="00885AB3">
              <w:rPr>
                <w:rFonts w:ascii="Arial Narrow" w:hAnsi="Arial Narrow" w:cs="Calibri"/>
                <w:b/>
                <w:bCs/>
                <w:color w:val="000000"/>
                <w:sz w:val="20"/>
                <w:szCs w:val="20"/>
                <w:vertAlign w:val="superscript"/>
              </w:rPr>
              <w:t>b</w:t>
            </w:r>
          </w:p>
        </w:tc>
      </w:tr>
      <w:tr w:rsidR="006A1AFC" w:rsidRPr="00885AB3" w14:paraId="0E365DCA" w14:textId="77777777" w:rsidTr="0074351A">
        <w:trPr>
          <w:trHeight w:val="169"/>
        </w:trPr>
        <w:tc>
          <w:tcPr>
            <w:tcW w:w="550" w:type="pct"/>
            <w:tcBorders>
              <w:left w:val="single" w:sz="4" w:space="0" w:color="auto"/>
              <w:right w:val="single" w:sz="4" w:space="0" w:color="auto"/>
            </w:tcBorders>
            <w:vAlign w:val="center"/>
          </w:tcPr>
          <w:p w14:paraId="3F508C8A" w14:textId="77777777" w:rsidR="006A1AFC" w:rsidRPr="00885AB3" w:rsidRDefault="006A1AFC" w:rsidP="00120D61">
            <w:pPr>
              <w:keepNext/>
              <w:keepLines/>
              <w:rPr>
                <w:rFonts w:ascii="Arial Narrow" w:hAnsi="Arial Narrow" w:cs="Calibri"/>
                <w:color w:val="000000"/>
                <w:sz w:val="20"/>
                <w:szCs w:val="20"/>
              </w:rPr>
            </w:pPr>
            <w:r w:rsidRPr="00885AB3">
              <w:rPr>
                <w:rFonts w:ascii="Arial Narrow" w:hAnsi="Arial Narrow" w:cs="Calibri"/>
                <w:color w:val="000000"/>
                <w:sz w:val="20"/>
                <w:szCs w:val="20"/>
              </w:rPr>
              <w:t>24 months</w:t>
            </w:r>
          </w:p>
        </w:tc>
        <w:tc>
          <w:tcPr>
            <w:tcW w:w="548" w:type="pct"/>
            <w:vAlign w:val="center"/>
          </w:tcPr>
          <w:p w14:paraId="0F385956" w14:textId="77777777" w:rsidR="006A1AFC" w:rsidRPr="00885AB3" w:rsidRDefault="006A1AFC" w:rsidP="00120D61">
            <w:pPr>
              <w:keepNext/>
              <w:keepLines/>
              <w:jc w:val="center"/>
              <w:rPr>
                <w:rFonts w:ascii="Arial Narrow" w:hAnsi="Arial Narrow" w:cs="Calibri"/>
                <w:color w:val="000000"/>
                <w:sz w:val="20"/>
                <w:szCs w:val="20"/>
              </w:rPr>
            </w:pPr>
            <w:r w:rsidRPr="00885AB3">
              <w:rPr>
                <w:rFonts w:ascii="Arial Narrow" w:hAnsi="Arial Narrow" w:cs="Calibri"/>
                <w:color w:val="000000"/>
                <w:sz w:val="20"/>
                <w:szCs w:val="20"/>
              </w:rPr>
              <w:t>249 (1.4)</w:t>
            </w:r>
          </w:p>
        </w:tc>
        <w:tc>
          <w:tcPr>
            <w:tcW w:w="457" w:type="pct"/>
            <w:vAlign w:val="center"/>
          </w:tcPr>
          <w:p w14:paraId="7FC7E199" w14:textId="77777777" w:rsidR="006A1AFC" w:rsidRPr="00885AB3" w:rsidRDefault="006A1AFC" w:rsidP="00120D61">
            <w:pPr>
              <w:keepNext/>
              <w:keepLines/>
              <w:jc w:val="center"/>
              <w:rPr>
                <w:rFonts w:ascii="Arial Narrow" w:hAnsi="Arial Narrow" w:cs="Calibri"/>
                <w:color w:val="000000"/>
                <w:sz w:val="20"/>
                <w:szCs w:val="20"/>
              </w:rPr>
            </w:pPr>
            <w:r w:rsidRPr="00885AB3">
              <w:rPr>
                <w:rFonts w:ascii="Arial Narrow" w:hAnsi="Arial Narrow" w:cs="Calibri"/>
                <w:color w:val="000000"/>
                <w:sz w:val="20"/>
                <w:szCs w:val="20"/>
              </w:rPr>
              <w:t>27,488</w:t>
            </w:r>
          </w:p>
        </w:tc>
        <w:tc>
          <w:tcPr>
            <w:tcW w:w="732" w:type="pct"/>
            <w:vAlign w:val="center"/>
          </w:tcPr>
          <w:p w14:paraId="3226B4FA" w14:textId="77777777" w:rsidR="006A1AFC" w:rsidRPr="00885AB3" w:rsidRDefault="006A1AFC" w:rsidP="00120D61">
            <w:pPr>
              <w:keepNext/>
              <w:keepLines/>
              <w:jc w:val="center"/>
              <w:rPr>
                <w:rFonts w:ascii="Arial Narrow" w:hAnsi="Arial Narrow" w:cs="Calibri"/>
                <w:color w:val="000000"/>
                <w:sz w:val="20"/>
                <w:szCs w:val="20"/>
              </w:rPr>
            </w:pPr>
            <w:r w:rsidRPr="00885AB3">
              <w:rPr>
                <w:rFonts w:ascii="Arial Narrow" w:hAnsi="Arial Narrow" w:cs="Calibri"/>
                <w:color w:val="000000"/>
                <w:sz w:val="20"/>
                <w:szCs w:val="20"/>
              </w:rPr>
              <w:t>9.1 (8.0, 10.3)</w:t>
            </w:r>
          </w:p>
        </w:tc>
        <w:tc>
          <w:tcPr>
            <w:tcW w:w="548" w:type="pct"/>
            <w:vAlign w:val="center"/>
          </w:tcPr>
          <w:p w14:paraId="30A92AB1" w14:textId="77777777" w:rsidR="006A1AFC" w:rsidRPr="00885AB3" w:rsidRDefault="006A1AFC" w:rsidP="00120D61">
            <w:pPr>
              <w:keepNext/>
              <w:keepLines/>
              <w:jc w:val="center"/>
              <w:rPr>
                <w:rFonts w:ascii="Arial Narrow" w:hAnsi="Arial Narrow" w:cs="Calibri"/>
                <w:color w:val="000000"/>
                <w:sz w:val="20"/>
                <w:szCs w:val="20"/>
              </w:rPr>
            </w:pPr>
            <w:r w:rsidRPr="00885AB3">
              <w:rPr>
                <w:rFonts w:ascii="Arial Narrow" w:hAnsi="Arial Narrow" w:cs="Calibri"/>
                <w:color w:val="000000"/>
                <w:sz w:val="20"/>
                <w:szCs w:val="20"/>
              </w:rPr>
              <w:t>434 (2.4)</w:t>
            </w:r>
          </w:p>
        </w:tc>
        <w:tc>
          <w:tcPr>
            <w:tcW w:w="460" w:type="pct"/>
            <w:vAlign w:val="center"/>
          </w:tcPr>
          <w:p w14:paraId="64D79EFE" w14:textId="77777777" w:rsidR="006A1AFC" w:rsidRPr="00885AB3" w:rsidRDefault="006A1AFC" w:rsidP="00120D61">
            <w:pPr>
              <w:keepNext/>
              <w:keepLines/>
              <w:jc w:val="center"/>
              <w:rPr>
                <w:rFonts w:ascii="Arial Narrow" w:hAnsi="Arial Narrow" w:cs="Calibri"/>
                <w:color w:val="000000"/>
                <w:sz w:val="20"/>
                <w:szCs w:val="20"/>
              </w:rPr>
            </w:pPr>
            <w:r w:rsidRPr="00885AB3">
              <w:rPr>
                <w:rFonts w:ascii="Arial Narrow" w:hAnsi="Arial Narrow" w:cs="Calibri"/>
                <w:color w:val="000000"/>
                <w:sz w:val="20"/>
                <w:szCs w:val="20"/>
              </w:rPr>
              <w:t>27,130</w:t>
            </w:r>
          </w:p>
        </w:tc>
        <w:tc>
          <w:tcPr>
            <w:tcW w:w="823" w:type="pct"/>
            <w:vAlign w:val="center"/>
          </w:tcPr>
          <w:p w14:paraId="3EFB562F" w14:textId="77777777" w:rsidR="006A1AFC" w:rsidRPr="00885AB3" w:rsidRDefault="006A1AFC" w:rsidP="00120D61">
            <w:pPr>
              <w:keepNext/>
              <w:keepLines/>
              <w:jc w:val="center"/>
              <w:rPr>
                <w:rFonts w:ascii="Arial Narrow" w:hAnsi="Arial Narrow" w:cs="Calibri"/>
                <w:color w:val="000000"/>
                <w:sz w:val="20"/>
                <w:szCs w:val="20"/>
              </w:rPr>
            </w:pPr>
            <w:r w:rsidRPr="00885AB3">
              <w:rPr>
                <w:rFonts w:ascii="Arial Narrow" w:hAnsi="Arial Narrow" w:cs="Calibri"/>
                <w:color w:val="000000"/>
                <w:sz w:val="20"/>
                <w:szCs w:val="20"/>
              </w:rPr>
              <w:t>16.0 (14.5, 17.6)</w:t>
            </w:r>
          </w:p>
        </w:tc>
        <w:tc>
          <w:tcPr>
            <w:tcW w:w="882" w:type="pct"/>
            <w:vAlign w:val="center"/>
          </w:tcPr>
          <w:p w14:paraId="4B260FBB" w14:textId="77777777" w:rsidR="006A1AFC" w:rsidRPr="00885AB3" w:rsidRDefault="006A1AFC" w:rsidP="00120D61">
            <w:pPr>
              <w:keepNext/>
              <w:keepLines/>
              <w:jc w:val="center"/>
              <w:rPr>
                <w:rFonts w:ascii="Arial Narrow" w:hAnsi="Arial Narrow" w:cs="Calibri"/>
                <w:b/>
                <w:bCs/>
                <w:color w:val="000000"/>
                <w:sz w:val="20"/>
                <w:szCs w:val="20"/>
              </w:rPr>
            </w:pPr>
            <w:r w:rsidRPr="00885AB3">
              <w:rPr>
                <w:rFonts w:ascii="Arial Narrow" w:hAnsi="Arial Narrow" w:cs="Calibri"/>
                <w:b/>
                <w:bCs/>
                <w:color w:val="000000"/>
                <w:sz w:val="20"/>
                <w:szCs w:val="20"/>
              </w:rPr>
              <w:t>43.4 (33.8, 51.6)</w:t>
            </w:r>
            <w:r w:rsidRPr="00885AB3">
              <w:rPr>
                <w:rFonts w:ascii="Arial Narrow" w:hAnsi="Arial Narrow" w:cs="Calibri"/>
                <w:b/>
                <w:bCs/>
                <w:sz w:val="20"/>
                <w:szCs w:val="20"/>
                <w:vertAlign w:val="superscript"/>
              </w:rPr>
              <w:t>a</w:t>
            </w:r>
          </w:p>
        </w:tc>
      </w:tr>
    </w:tbl>
    <w:p w14:paraId="56B8D497" w14:textId="77777777" w:rsidR="006A1AFC" w:rsidRPr="00885AB3" w:rsidRDefault="006A1AFC" w:rsidP="00120D61">
      <w:pPr>
        <w:pStyle w:val="FooterTableFigure"/>
      </w:pPr>
      <w:r w:rsidRPr="00885AB3">
        <w:t xml:space="preserve">Source: Table 2-39, p117 of the submission. </w:t>
      </w:r>
    </w:p>
    <w:p w14:paraId="0BC08644" w14:textId="77777777" w:rsidR="006A1AFC" w:rsidRPr="00885AB3" w:rsidRDefault="006A1AFC" w:rsidP="00120D61">
      <w:pPr>
        <w:pStyle w:val="FooterTableFigure"/>
      </w:pPr>
      <w:r w:rsidRPr="00885AB3">
        <w:t>CI = confidence interval;</w:t>
      </w:r>
      <w:r w:rsidRPr="00885AB3" w:rsidDel="00985223">
        <w:t xml:space="preserve"> </w:t>
      </w:r>
      <w:r w:rsidRPr="00885AB3">
        <w:t>PPE = per-protocol efficacy; RSV-ARD = respiratory syncytial virus-associated acute respiratory disease; RSV-LRTD = respiratory syncytial virus-associated lower respiratory tract disease; VE = vaccine efficacy; YOA = years of age.</w:t>
      </w:r>
    </w:p>
    <w:p w14:paraId="30173797" w14:textId="5FE72387" w:rsidR="006A1AFC" w:rsidRPr="00885AB3" w:rsidRDefault="00172D1F" w:rsidP="00120D61">
      <w:pPr>
        <w:pStyle w:val="FooterTableFigure"/>
      </w:pPr>
      <w:r w:rsidRPr="00885AB3">
        <w:rPr>
          <w:rFonts w:cs="Calibri"/>
          <w:szCs w:val="20"/>
        </w:rPr>
        <w:t xml:space="preserve">Note: </w:t>
      </w:r>
      <w:r w:rsidR="006A1AFC" w:rsidRPr="00885AB3">
        <w:rPr>
          <w:rFonts w:cs="Calibri"/>
          <w:szCs w:val="20"/>
        </w:rPr>
        <w:t xml:space="preserve">Number of participants with event </w:t>
      </w:r>
      <w:r w:rsidR="006A1AFC" w:rsidRPr="00885AB3">
        <w:t xml:space="preserve">was calculated as date of case−date of randomisation+1. Participants without a case in the specified </w:t>
      </w:r>
      <w:proofErr w:type="gramStart"/>
      <w:r w:rsidR="006A1AFC" w:rsidRPr="00885AB3">
        <w:t>time period</w:t>
      </w:r>
      <w:proofErr w:type="gramEnd"/>
      <w:r w:rsidR="006A1AFC" w:rsidRPr="00885AB3">
        <w:t xml:space="preserve"> were censored at the earliest date of 12 months postinjection, date of early discontinuation, date of unrelated death, and data cutoff date.</w:t>
      </w:r>
    </w:p>
    <w:p w14:paraId="3DA00CC7" w14:textId="77777777" w:rsidR="007B4D13" w:rsidRPr="00885AB3" w:rsidRDefault="007B4D13" w:rsidP="00120D61">
      <w:pPr>
        <w:pStyle w:val="FooterTableFigure"/>
        <w:rPr>
          <w:rFonts w:cs="Calibri"/>
          <w:szCs w:val="20"/>
        </w:rPr>
      </w:pPr>
      <w:r w:rsidRPr="00885AB3">
        <w:rPr>
          <w:rFonts w:cs="Calibri"/>
          <w:szCs w:val="20"/>
        </w:rPr>
        <w:t xml:space="preserve">Results in this table </w:t>
      </w:r>
      <w:r w:rsidRPr="00885AB3">
        <w:t>exclude individuals who develop</w:t>
      </w:r>
      <w:r w:rsidRPr="00885AB3">
        <w:rPr>
          <w:rFonts w:cs="Calibri"/>
          <w:szCs w:val="20"/>
        </w:rPr>
        <w:t xml:space="preserve"> the </w:t>
      </w:r>
      <w:r w:rsidRPr="00885AB3">
        <w:t>outcome within ≤</w:t>
      </w:r>
      <w:r w:rsidRPr="00885AB3">
        <w:rPr>
          <w:rFonts w:cs="Calibri"/>
          <w:szCs w:val="20"/>
        </w:rPr>
        <w:t xml:space="preserve"> 14 days post vaccination. </w:t>
      </w:r>
    </w:p>
    <w:p w14:paraId="05BC69B6" w14:textId="2E77F7D7" w:rsidR="006A1AFC" w:rsidRPr="00885AB3" w:rsidRDefault="006A1AFC" w:rsidP="00120D61">
      <w:pPr>
        <w:pStyle w:val="FooterTableFigure"/>
      </w:pPr>
      <w:r w:rsidRPr="00885AB3">
        <w:rPr>
          <w:vertAlign w:val="superscript"/>
        </w:rPr>
        <w:t>a</w:t>
      </w:r>
      <w:r w:rsidRPr="00885AB3">
        <w:t xml:space="preserve"> VE is estimated by 1 minus hazard ratio (mRNA-1345 versus placebo). The CI for VE was based on a stratified Cox proportional hazard model with Efron's method of tie handling and with the vaccination group as a fixed effect, adjusting for stratification factors at randomisation.</w:t>
      </w:r>
    </w:p>
    <w:p w14:paraId="28301408" w14:textId="2554DE6D" w:rsidR="006A1AFC" w:rsidRPr="00885AB3" w:rsidRDefault="006A1AFC" w:rsidP="00120D61">
      <w:pPr>
        <w:pStyle w:val="FooterTableFigure"/>
      </w:pPr>
      <w:r w:rsidRPr="00885AB3">
        <w:rPr>
          <w:vertAlign w:val="superscript"/>
        </w:rPr>
        <w:t>b</w:t>
      </w:r>
      <w:r w:rsidRPr="00885AB3">
        <w:t xml:space="preserve"> VE is estimated by 1 minus the ratio of incidence rates (mRNA-1345 versus placebo) as reported in the Clinical Study protocol mRNA-1345-P301, p27. </w:t>
      </w:r>
    </w:p>
    <w:p w14:paraId="577D3120" w14:textId="4DB76A23" w:rsidR="006A1AFC" w:rsidRPr="00885AB3" w:rsidRDefault="006A1AFC" w:rsidP="00120D61">
      <w:pPr>
        <w:pStyle w:val="FooterTableFigure"/>
      </w:pPr>
      <w:r w:rsidRPr="00885AB3">
        <w:rPr>
          <w:b/>
          <w:bCs/>
        </w:rPr>
        <w:t>Bold</w:t>
      </w:r>
      <w:r w:rsidRPr="00885AB3">
        <w:t xml:space="preserve"> indicates that predefined lower bound of the CI around VE was greater than 20%. </w:t>
      </w:r>
    </w:p>
    <w:p w14:paraId="78D277A2" w14:textId="3A1C234D" w:rsidR="006A1AFC" w:rsidRPr="00885AB3" w:rsidRDefault="006A1AFC" w:rsidP="00120D61">
      <w:pPr>
        <w:pStyle w:val="Caption"/>
      </w:pPr>
      <w:bookmarkStart w:id="62" w:name="_Ref205297437"/>
      <w:r w:rsidRPr="00885AB3">
        <w:t xml:space="preserve">Figure </w:t>
      </w:r>
      <w:r w:rsidR="008A242D" w:rsidRPr="00885AB3">
        <w:fldChar w:fldCharType="begin" w:fldLock="1"/>
      </w:r>
      <w:r w:rsidR="008A242D" w:rsidRPr="00885AB3">
        <w:instrText xml:space="preserve"> SEQ Figure \* ARABIC </w:instrText>
      </w:r>
      <w:r w:rsidR="008A242D" w:rsidRPr="00885AB3">
        <w:fldChar w:fldCharType="separate"/>
      </w:r>
      <w:r w:rsidR="00515933" w:rsidRPr="00885AB3">
        <w:t>2</w:t>
      </w:r>
      <w:r w:rsidR="008A242D" w:rsidRPr="00885AB3">
        <w:fldChar w:fldCharType="end"/>
      </w:r>
      <w:bookmarkEnd w:id="62"/>
      <w:r w:rsidRPr="00885AB3">
        <w:t>: Cumulative incidence curves in Conquer RSV for first episode of RSV-LRTD (</w:t>
      </w:r>
      <w:r w:rsidR="00EF2FA4">
        <w:t xml:space="preserve">≥ </w:t>
      </w:r>
      <w:r w:rsidRPr="00885AB3">
        <w:t xml:space="preserve">2 symptoms) in participants </w:t>
      </w:r>
      <w:r w:rsidR="00EF2FA4">
        <w:t xml:space="preserve">≥ </w:t>
      </w:r>
      <w:r w:rsidRPr="00885AB3">
        <w:t>60 YOA, up to 24 months after injection, (single dose, PPE set, 18.8-months median time to follow-up)</w:t>
      </w:r>
    </w:p>
    <w:p w14:paraId="3D4467FB" w14:textId="77777777" w:rsidR="006A1AFC" w:rsidRPr="00885AB3" w:rsidRDefault="006A1AFC" w:rsidP="00120D61">
      <w:r w:rsidRPr="00885AB3">
        <w:rPr>
          <w:noProof/>
        </w:rPr>
        <w:drawing>
          <wp:inline distT="0" distB="0" distL="0" distR="0" wp14:anchorId="2F7CF595" wp14:editId="31E36BB1">
            <wp:extent cx="5374118" cy="2659210"/>
            <wp:effectExtent l="0" t="0" r="0" b="8255"/>
            <wp:docPr id="511323856" name="Picture 511323856" descr="Figure 2: Cumulative incidence curves in Conquer RSV for first episode of RSV-LRTD (≥2 symptoms) in participants ≥60 YOA, up to 24 months after injection, (single dose, PPE set, 18.8-months median time to follow-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1323856" name="Picture 511323856" descr="Figure 2: Cumulative incidence curves in Conquer RSV for first episode of RSV-LRTD (≥2 symptoms) in participants ≥60 YOA, up to 24 months after injection, (single dose, PPE set, 18.8-months median time to follow-up)"/>
                    <pic:cNvPicPr/>
                  </pic:nvPicPr>
                  <pic:blipFill rotWithShape="1">
                    <a:blip r:embed="rId12"/>
                    <a:srcRect t="5673"/>
                    <a:stretch/>
                  </pic:blipFill>
                  <pic:spPr bwMode="auto">
                    <a:xfrm>
                      <a:off x="0" y="0"/>
                      <a:ext cx="5390535" cy="2667333"/>
                    </a:xfrm>
                    <a:prstGeom prst="rect">
                      <a:avLst/>
                    </a:prstGeom>
                    <a:ln>
                      <a:noFill/>
                    </a:ln>
                    <a:extLst>
                      <a:ext uri="{53640926-AAD7-44D8-BBD7-CCE9431645EC}">
                        <a14:shadowObscured xmlns:a14="http://schemas.microsoft.com/office/drawing/2010/main"/>
                      </a:ext>
                    </a:extLst>
                  </pic:spPr>
                </pic:pic>
              </a:graphicData>
            </a:graphic>
          </wp:inline>
        </w:drawing>
      </w:r>
    </w:p>
    <w:p w14:paraId="0455D1D8" w14:textId="77777777" w:rsidR="006A1AFC" w:rsidRPr="00885AB3" w:rsidRDefault="006A1AFC" w:rsidP="00120D61">
      <w:pPr>
        <w:pStyle w:val="FooterTableFigure"/>
      </w:pPr>
      <w:r w:rsidRPr="00885AB3">
        <w:t xml:space="preserve">Source: Figure 2-14, p119 of the submission. </w:t>
      </w:r>
    </w:p>
    <w:p w14:paraId="6B5FEDC9" w14:textId="77777777" w:rsidR="006A1AFC" w:rsidRPr="00885AB3" w:rsidRDefault="006A1AFC" w:rsidP="00120D61">
      <w:pPr>
        <w:pStyle w:val="FooterTableFigure"/>
      </w:pPr>
      <w:r w:rsidRPr="00885AB3">
        <w:t xml:space="preserve">PPE = per protocol efficacy; RSV-LRTD = respiratory syncytial virus-lower respiratory tract disease; YOA = years of age. </w:t>
      </w:r>
    </w:p>
    <w:p w14:paraId="5A321933" w14:textId="576BED31" w:rsidR="006A1AFC" w:rsidRPr="00885AB3" w:rsidRDefault="00172D1F" w:rsidP="00120D61">
      <w:pPr>
        <w:pStyle w:val="FooterTableFigure"/>
      </w:pPr>
      <w:r w:rsidRPr="00885AB3">
        <w:rPr>
          <w:rFonts w:cs="Calibri"/>
          <w:szCs w:val="20"/>
        </w:rPr>
        <w:t xml:space="preserve">Note: </w:t>
      </w:r>
      <w:r w:rsidR="006A1AFC" w:rsidRPr="00885AB3">
        <w:rPr>
          <w:rFonts w:cs="Calibri"/>
          <w:szCs w:val="20"/>
        </w:rPr>
        <w:t xml:space="preserve">Results in this Figure </w:t>
      </w:r>
      <w:r w:rsidR="006A1AFC" w:rsidRPr="00885AB3">
        <w:t>exclude individuals who develop</w:t>
      </w:r>
      <w:r w:rsidR="006A1AFC" w:rsidRPr="00885AB3">
        <w:rPr>
          <w:rFonts w:cs="Calibri"/>
          <w:szCs w:val="20"/>
        </w:rPr>
        <w:t xml:space="preserve"> the </w:t>
      </w:r>
      <w:r w:rsidR="006A1AFC" w:rsidRPr="00885AB3">
        <w:t>outcome within ≤</w:t>
      </w:r>
      <w:r w:rsidR="006A1AFC" w:rsidRPr="00885AB3">
        <w:rPr>
          <w:rFonts w:cs="Calibri"/>
          <w:szCs w:val="20"/>
        </w:rPr>
        <w:t xml:space="preserve"> 14 days post vaccination. </w:t>
      </w:r>
    </w:p>
    <w:p w14:paraId="4EFDA9FE" w14:textId="125E099F" w:rsidR="006A1AFC" w:rsidRPr="00885AB3" w:rsidRDefault="006A1AFC" w:rsidP="00120D61">
      <w:pPr>
        <w:pStyle w:val="3-BodyText"/>
        <w:rPr>
          <w:i/>
          <w:szCs w:val="24"/>
        </w:rPr>
      </w:pPr>
      <w:r w:rsidRPr="00885AB3">
        <w:lastRenderedPageBreak/>
        <w:t xml:space="preserve">The submission stated that the results show ongoing VE, with the lower bound of the 95% CI </w:t>
      </w:r>
      <w:r w:rsidR="00EF2FA4">
        <w:rPr>
          <w:rFonts w:cs="Calibri"/>
        </w:rPr>
        <w:t xml:space="preserve">≥ </w:t>
      </w:r>
      <w:r w:rsidRPr="00885AB3">
        <w:t xml:space="preserve">20% across all endpoints and for the different time points. </w:t>
      </w:r>
      <w:r w:rsidR="005541E6" w:rsidRPr="00885AB3">
        <w:t xml:space="preserve">Cumulative </w:t>
      </w:r>
      <w:r w:rsidRPr="00885AB3">
        <w:rPr>
          <w:iCs/>
        </w:rPr>
        <w:t>VE drops from 56.2% (95% CI 41.9, 67.2) at 12 months to 47.4% (95% CI 34.7, 57.7) at 24 months</w:t>
      </w:r>
      <w:r w:rsidR="005F61D3" w:rsidRPr="00885AB3">
        <w:rPr>
          <w:iCs/>
        </w:rPr>
        <w:t xml:space="preserve"> (</w:t>
      </w:r>
      <w:r w:rsidR="005F61D3" w:rsidRPr="00885AB3">
        <w:rPr>
          <w:iCs/>
        </w:rPr>
        <w:fldChar w:fldCharType="begin" w:fldLock="1"/>
      </w:r>
      <w:r w:rsidR="005F61D3" w:rsidRPr="00885AB3">
        <w:rPr>
          <w:iCs/>
        </w:rPr>
        <w:instrText xml:space="preserve"> REF _Ref205297374 \h </w:instrText>
      </w:r>
      <w:r w:rsidR="005F5B2F" w:rsidRPr="00885AB3">
        <w:rPr>
          <w:iCs/>
        </w:rPr>
        <w:instrText xml:space="preserve"> \* MERGEFORMAT </w:instrText>
      </w:r>
      <w:r w:rsidR="005F61D3" w:rsidRPr="00885AB3">
        <w:rPr>
          <w:iCs/>
        </w:rPr>
      </w:r>
      <w:r w:rsidR="005F61D3" w:rsidRPr="00885AB3">
        <w:rPr>
          <w:iCs/>
        </w:rPr>
        <w:fldChar w:fldCharType="separate"/>
      </w:r>
      <w:r w:rsidR="00515933" w:rsidRPr="00885AB3">
        <w:t>Table 6</w:t>
      </w:r>
      <w:r w:rsidR="005F61D3" w:rsidRPr="00885AB3">
        <w:rPr>
          <w:iCs/>
        </w:rPr>
        <w:fldChar w:fldCharType="end"/>
      </w:r>
      <w:r w:rsidR="005F61D3" w:rsidRPr="00885AB3">
        <w:rPr>
          <w:iCs/>
        </w:rPr>
        <w:t>)</w:t>
      </w:r>
      <w:r w:rsidRPr="00885AB3">
        <w:rPr>
          <w:iCs/>
        </w:rPr>
        <w:t>.</w:t>
      </w:r>
      <w:r w:rsidRPr="00885AB3">
        <w:rPr>
          <w:i/>
        </w:rPr>
        <w:t xml:space="preserve"> </w:t>
      </w:r>
    </w:p>
    <w:p w14:paraId="746F67C3" w14:textId="451A6CCD" w:rsidR="006A1AFC" w:rsidRPr="00885AB3" w:rsidRDefault="006A1AFC" w:rsidP="00120D61">
      <w:pPr>
        <w:pStyle w:val="3-BodyText"/>
        <w:rPr>
          <w:iCs/>
        </w:rPr>
      </w:pPr>
      <w:bookmarkStart w:id="63" w:name="_Ref207657153"/>
      <w:r w:rsidRPr="00885AB3">
        <w:rPr>
          <w:iCs/>
          <w:szCs w:val="24"/>
        </w:rPr>
        <w:t xml:space="preserve">Results in </w:t>
      </w:r>
      <w:r w:rsidRPr="00885AB3">
        <w:rPr>
          <w:iCs/>
          <w:szCs w:val="24"/>
        </w:rPr>
        <w:fldChar w:fldCharType="begin" w:fldLock="1"/>
      </w:r>
      <w:r w:rsidRPr="00885AB3">
        <w:rPr>
          <w:iCs/>
          <w:szCs w:val="24"/>
        </w:rPr>
        <w:instrText xml:space="preserve"> REF _Ref205297437 \h  \* MERGEFORMAT </w:instrText>
      </w:r>
      <w:r w:rsidRPr="00885AB3">
        <w:rPr>
          <w:iCs/>
          <w:szCs w:val="24"/>
        </w:rPr>
      </w:r>
      <w:r w:rsidRPr="00885AB3">
        <w:rPr>
          <w:iCs/>
          <w:szCs w:val="24"/>
        </w:rPr>
        <w:fldChar w:fldCharType="separate"/>
      </w:r>
      <w:r w:rsidR="00515933" w:rsidRPr="00885AB3">
        <w:rPr>
          <w:iCs/>
          <w:szCs w:val="24"/>
        </w:rPr>
        <w:t>Figure 2</w:t>
      </w:r>
      <w:r w:rsidRPr="00885AB3">
        <w:rPr>
          <w:iCs/>
          <w:szCs w:val="24"/>
        </w:rPr>
        <w:fldChar w:fldCharType="end"/>
      </w:r>
      <w:r w:rsidR="00C976E4" w:rsidRPr="00885AB3">
        <w:rPr>
          <w:iCs/>
          <w:szCs w:val="24"/>
        </w:rPr>
        <w:t xml:space="preserve"> for</w:t>
      </w:r>
      <w:r w:rsidR="0008651E" w:rsidRPr="00885AB3">
        <w:rPr>
          <w:iCs/>
          <w:szCs w:val="24"/>
        </w:rPr>
        <w:t xml:space="preserve"> the</w:t>
      </w:r>
      <w:r w:rsidR="00C976E4" w:rsidRPr="00885AB3">
        <w:rPr>
          <w:iCs/>
          <w:szCs w:val="24"/>
        </w:rPr>
        <w:t xml:space="preserve"> cumulative incidence of </w:t>
      </w:r>
      <w:r w:rsidR="0008651E" w:rsidRPr="00885AB3">
        <w:rPr>
          <w:iCs/>
          <w:szCs w:val="24"/>
        </w:rPr>
        <w:t xml:space="preserve">first episode of </w:t>
      </w:r>
      <w:r w:rsidR="0008651E" w:rsidRPr="00885AB3">
        <w:rPr>
          <w:iCs/>
        </w:rPr>
        <w:t>RSV-LRTD (</w:t>
      </w:r>
      <w:r w:rsidR="00EF2FA4">
        <w:rPr>
          <w:iCs/>
        </w:rPr>
        <w:t xml:space="preserve">≥ </w:t>
      </w:r>
      <w:r w:rsidR="0008651E" w:rsidRPr="00885AB3">
        <w:rPr>
          <w:iCs/>
        </w:rPr>
        <w:t>2 symptoms)</w:t>
      </w:r>
      <w:r w:rsidRPr="00885AB3">
        <w:rPr>
          <w:iCs/>
          <w:szCs w:val="24"/>
        </w:rPr>
        <w:t xml:space="preserve"> show</w:t>
      </w:r>
      <w:r w:rsidRPr="00885AB3">
        <w:rPr>
          <w:iCs/>
        </w:rPr>
        <w:t xml:space="preserve"> that at around 16-18 months there is a substantial drop in number of participants at risk with the proportion decreasing from 60% at Month</w:t>
      </w:r>
      <w:r w:rsidR="008946F7" w:rsidRPr="00885AB3">
        <w:rPr>
          <w:iCs/>
        </w:rPr>
        <w:t xml:space="preserve"> </w:t>
      </w:r>
      <w:r w:rsidRPr="00885AB3">
        <w:rPr>
          <w:iCs/>
        </w:rPr>
        <w:t>16, to 2.1% by Month 24 (ATAGI Advice, June 2025). T</w:t>
      </w:r>
      <w:r w:rsidR="008E34F1" w:rsidRPr="00885AB3">
        <w:rPr>
          <w:iCs/>
        </w:rPr>
        <w:t>he evaluation considered t</w:t>
      </w:r>
      <w:r w:rsidRPr="00885AB3">
        <w:rPr>
          <w:iCs/>
        </w:rPr>
        <w:t>his</w:t>
      </w:r>
      <w:r w:rsidR="008E34F1" w:rsidRPr="00885AB3">
        <w:rPr>
          <w:iCs/>
        </w:rPr>
        <w:t xml:space="preserve"> to</w:t>
      </w:r>
      <w:r w:rsidRPr="00885AB3">
        <w:rPr>
          <w:iCs/>
        </w:rPr>
        <w:t xml:space="preserve"> mean that the longer-term estimate</w:t>
      </w:r>
      <w:r w:rsidR="000D3338" w:rsidRPr="00885AB3">
        <w:rPr>
          <w:iCs/>
        </w:rPr>
        <w:t xml:space="preserve"> </w:t>
      </w:r>
      <w:r w:rsidR="00A14E5A" w:rsidRPr="00885AB3">
        <w:rPr>
          <w:iCs/>
        </w:rPr>
        <w:t>(i.e.,</w:t>
      </w:r>
      <w:r w:rsidR="000D3338" w:rsidRPr="00885AB3">
        <w:rPr>
          <w:iCs/>
        </w:rPr>
        <w:t xml:space="preserve"> 24 months</w:t>
      </w:r>
      <w:r w:rsidR="00A14E5A" w:rsidRPr="00885AB3">
        <w:rPr>
          <w:iCs/>
        </w:rPr>
        <w:t>)</w:t>
      </w:r>
      <w:r w:rsidRPr="00885AB3">
        <w:rPr>
          <w:iCs/>
        </w:rPr>
        <w:t xml:space="preserve"> remain</w:t>
      </w:r>
      <w:r w:rsidR="000D3338" w:rsidRPr="00885AB3">
        <w:rPr>
          <w:iCs/>
        </w:rPr>
        <w:t>s</w:t>
      </w:r>
      <w:r w:rsidRPr="00885AB3">
        <w:rPr>
          <w:iCs/>
        </w:rPr>
        <w:t xml:space="preserve"> highly uncertain (ATAGI Advice, June 2025). ATAGI concluded that based on the available evidence, durability of vaccine effectiveness</w:t>
      </w:r>
      <w:r w:rsidRPr="00885AB3" w:rsidDel="00B027E2">
        <w:rPr>
          <w:iCs/>
        </w:rPr>
        <w:t xml:space="preserve"> </w:t>
      </w:r>
      <w:r w:rsidRPr="00885AB3">
        <w:rPr>
          <w:iCs/>
        </w:rPr>
        <w:t xml:space="preserve">in adults </w:t>
      </w:r>
      <w:r w:rsidR="00EF2FA4">
        <w:rPr>
          <w:rFonts w:cs="Calibri"/>
          <w:iCs/>
        </w:rPr>
        <w:t xml:space="preserve">≥ </w:t>
      </w:r>
      <w:r w:rsidRPr="00885AB3">
        <w:rPr>
          <w:iCs/>
        </w:rPr>
        <w:t xml:space="preserve">60 YOA appears to be established for up to 16 months (ATAGI Advice, June 2025). </w:t>
      </w:r>
      <w:r w:rsidR="00F74645" w:rsidRPr="00885AB3">
        <w:rPr>
          <w:iCs/>
        </w:rPr>
        <w:t xml:space="preserve">The evaluation commented that </w:t>
      </w:r>
      <w:r w:rsidRPr="00885AB3">
        <w:rPr>
          <w:iCs/>
        </w:rPr>
        <w:t>longer-term follow-up data are necessary to inform VE beyond 16-18 months.</w:t>
      </w:r>
      <w:bookmarkEnd w:id="63"/>
      <w:r w:rsidR="001C78D7">
        <w:rPr>
          <w:iCs/>
        </w:rPr>
        <w:t xml:space="preserve"> </w:t>
      </w:r>
    </w:p>
    <w:p w14:paraId="70EC92A8" w14:textId="751E43FF" w:rsidR="006A1AFC" w:rsidRPr="00885AB3" w:rsidRDefault="006A1AFC" w:rsidP="00120D61">
      <w:pPr>
        <w:pStyle w:val="3-BodyText"/>
        <w:rPr>
          <w:iCs/>
          <w:szCs w:val="24"/>
        </w:rPr>
      </w:pPr>
      <w:bookmarkStart w:id="64" w:name="_Ref206142965"/>
      <w:r w:rsidRPr="00885AB3">
        <w:rPr>
          <w:iCs/>
          <w:szCs w:val="24"/>
        </w:rPr>
        <w:t>In Figure 2, a</w:t>
      </w:r>
      <w:r w:rsidRPr="00885AB3">
        <w:rPr>
          <w:rStyle w:val="CommentaryChar"/>
          <w:rFonts w:cs="Calibri"/>
          <w:i w:val="0"/>
          <w:sz w:val="24"/>
          <w:szCs w:val="24"/>
        </w:rPr>
        <w:t>fter 12 months, the arms of the cumulative incidence plot remain separated, yet parallel, suggesting a loss of immunity (ATAGI Advice, June 2025).</w:t>
      </w:r>
      <w:r w:rsidRPr="00885AB3">
        <w:rPr>
          <w:rStyle w:val="CommentaryChar"/>
          <w:rFonts w:cs="Calibri"/>
          <w:iCs/>
          <w:sz w:val="24"/>
          <w:szCs w:val="24"/>
        </w:rPr>
        <w:t xml:space="preserve"> </w:t>
      </w:r>
      <w:r w:rsidR="00A5375D" w:rsidRPr="00885AB3">
        <w:rPr>
          <w:rStyle w:val="CommentaryChar"/>
          <w:rFonts w:cs="Calibri"/>
          <w:i w:val="0"/>
          <w:sz w:val="24"/>
          <w:szCs w:val="24"/>
        </w:rPr>
        <w:t xml:space="preserve">The evaluation considered that </w:t>
      </w:r>
      <w:r w:rsidR="00A5375D" w:rsidRPr="00885AB3">
        <w:rPr>
          <w:iCs/>
          <w:szCs w:val="24"/>
        </w:rPr>
        <w:t>r</w:t>
      </w:r>
      <w:r w:rsidRPr="00885AB3">
        <w:rPr>
          <w:iCs/>
          <w:szCs w:val="24"/>
        </w:rPr>
        <w:t>esults with estimates of VE based around</w:t>
      </w:r>
      <w:r w:rsidR="00B64237" w:rsidRPr="00885AB3">
        <w:rPr>
          <w:iCs/>
          <w:szCs w:val="24"/>
        </w:rPr>
        <w:t xml:space="preserve"> time</w:t>
      </w:r>
      <w:r w:rsidRPr="00885AB3">
        <w:rPr>
          <w:iCs/>
          <w:szCs w:val="24"/>
        </w:rPr>
        <w:t xml:space="preserve"> interval cases </w:t>
      </w:r>
      <w:r w:rsidR="008C7FBA" w:rsidRPr="00885AB3">
        <w:rPr>
          <w:iCs/>
          <w:szCs w:val="24"/>
        </w:rPr>
        <w:t xml:space="preserve">of RSV (e.g. 0–12 months, 12–24, 24+) </w:t>
      </w:r>
      <w:r w:rsidRPr="00885AB3">
        <w:rPr>
          <w:iCs/>
          <w:szCs w:val="24"/>
        </w:rPr>
        <w:t>would have been informative</w:t>
      </w:r>
      <w:r w:rsidR="00B64237" w:rsidRPr="00885AB3">
        <w:rPr>
          <w:iCs/>
          <w:szCs w:val="24"/>
        </w:rPr>
        <w:t xml:space="preserve"> to</w:t>
      </w:r>
      <w:r w:rsidRPr="00885AB3">
        <w:rPr>
          <w:iCs/>
          <w:szCs w:val="24"/>
        </w:rPr>
        <w:t xml:space="preserve"> aid the interpretation of the long-term efficacy of mRNA-1345. ATAGI recommended that the Sponsor provide results with estimates of VE based around interval cases of RSV (e.g. 0–12 months, 12–24, 24+)</w:t>
      </w:r>
      <w:r w:rsidR="009E00A4" w:rsidRPr="00885AB3">
        <w:rPr>
          <w:iCs/>
          <w:szCs w:val="24"/>
        </w:rPr>
        <w:t xml:space="preserve"> (ATAGI Advice, June 2025)</w:t>
      </w:r>
      <w:r w:rsidR="00BB4362" w:rsidRPr="00885AB3">
        <w:rPr>
          <w:iCs/>
          <w:szCs w:val="24"/>
        </w:rPr>
        <w:t>;</w:t>
      </w:r>
      <w:r w:rsidRPr="00885AB3">
        <w:rPr>
          <w:iCs/>
          <w:szCs w:val="24"/>
        </w:rPr>
        <w:t xml:space="preserve"> </w:t>
      </w:r>
      <w:r w:rsidR="00BB4362" w:rsidRPr="00885AB3">
        <w:rPr>
          <w:iCs/>
          <w:szCs w:val="24"/>
        </w:rPr>
        <w:t>t</w:t>
      </w:r>
      <w:r w:rsidRPr="00885AB3">
        <w:rPr>
          <w:iCs/>
          <w:szCs w:val="24"/>
        </w:rPr>
        <w:t xml:space="preserve">his was not provided by the submission. </w:t>
      </w:r>
      <w:bookmarkEnd w:id="64"/>
    </w:p>
    <w:p w14:paraId="3EC329BF" w14:textId="5D7682CE" w:rsidR="006A1AFC" w:rsidRPr="00885AB3" w:rsidRDefault="006A1AFC" w:rsidP="00120D61">
      <w:pPr>
        <w:pStyle w:val="3-BodyText"/>
        <w:rPr>
          <w:color w:val="0066FF"/>
        </w:rPr>
      </w:pPr>
      <w:r w:rsidRPr="00885AB3">
        <w:t xml:space="preserve">The VE results by RSV subtype (A and B) are summarised in </w:t>
      </w:r>
      <w:r w:rsidRPr="00885AB3">
        <w:fldChar w:fldCharType="begin" w:fldLock="1"/>
      </w:r>
      <w:r w:rsidRPr="00885AB3">
        <w:instrText xml:space="preserve"> REF _Ref205297791 \h </w:instrText>
      </w:r>
      <w:r w:rsidR="005F5B2F" w:rsidRPr="00885AB3">
        <w:instrText xml:space="preserve"> \* MERGEFORMAT </w:instrText>
      </w:r>
      <w:r w:rsidRPr="00885AB3">
        <w:fldChar w:fldCharType="separate"/>
      </w:r>
      <w:r w:rsidR="00515933" w:rsidRPr="00885AB3">
        <w:t>Table 7</w:t>
      </w:r>
      <w:r w:rsidRPr="00885AB3">
        <w:fldChar w:fldCharType="end"/>
      </w:r>
      <w:r w:rsidRPr="00885AB3">
        <w:t>.</w:t>
      </w:r>
    </w:p>
    <w:p w14:paraId="602561D2" w14:textId="503F44AF" w:rsidR="006A1AFC" w:rsidRPr="00885AB3" w:rsidRDefault="006A1AFC" w:rsidP="00120D61">
      <w:pPr>
        <w:pStyle w:val="Caption"/>
        <w:jc w:val="left"/>
      </w:pPr>
      <w:bookmarkStart w:id="65" w:name="_Ref205297791"/>
      <w:r w:rsidRPr="00885AB3">
        <w:lastRenderedPageBreak/>
        <w:t xml:space="preserve">Table </w:t>
      </w:r>
      <w:r w:rsidR="008A242D" w:rsidRPr="00885AB3">
        <w:fldChar w:fldCharType="begin" w:fldLock="1"/>
      </w:r>
      <w:r w:rsidR="008A242D" w:rsidRPr="00885AB3">
        <w:instrText xml:space="preserve"> SEQ Table \* ARABIC </w:instrText>
      </w:r>
      <w:r w:rsidR="008A242D" w:rsidRPr="00885AB3">
        <w:fldChar w:fldCharType="separate"/>
      </w:r>
      <w:r w:rsidR="00515933" w:rsidRPr="00885AB3">
        <w:t>7</w:t>
      </w:r>
      <w:r w:rsidR="008A242D" w:rsidRPr="00885AB3">
        <w:fldChar w:fldCharType="end"/>
      </w:r>
      <w:bookmarkEnd w:id="65"/>
      <w:r w:rsidRPr="00885AB3">
        <w:t xml:space="preserve">: Cumulative VE for the prevention of RSV-LRTD with </w:t>
      </w:r>
      <w:r w:rsidR="00EF2FA4">
        <w:t xml:space="preserve">≥ </w:t>
      </w:r>
      <w:r w:rsidRPr="00885AB3">
        <w:t xml:space="preserve">2 symptoms and ARD in participants </w:t>
      </w:r>
      <w:r w:rsidR="00EF2FA4">
        <w:t xml:space="preserve">≥ </w:t>
      </w:r>
      <w:r w:rsidRPr="00885AB3">
        <w:t>60 YOA by RSV subtype (single dose, PPE set, 18.8-months median time to follow-up)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7: Cumulative VE for the prevention of RSV-LRTD with ≥ 2 symptoms and ARD in participants ≥60 YOA by RSV subtype (single dose, PPE set, 18.8-months median time to follow-up)"/>
      </w:tblPr>
      <w:tblGrid>
        <w:gridCol w:w="2216"/>
        <w:gridCol w:w="799"/>
        <w:gridCol w:w="1412"/>
        <w:gridCol w:w="799"/>
        <w:gridCol w:w="1894"/>
        <w:gridCol w:w="1897"/>
      </w:tblGrid>
      <w:tr w:rsidR="006A1AFC" w:rsidRPr="00885AB3" w14:paraId="29BF5436" w14:textId="77777777">
        <w:trPr>
          <w:trHeight w:val="174"/>
          <w:tblHeader/>
        </w:trPr>
        <w:tc>
          <w:tcPr>
            <w:tcW w:w="1229" w:type="pct"/>
            <w:vMerge w:val="restart"/>
            <w:vAlign w:val="center"/>
          </w:tcPr>
          <w:p w14:paraId="1526A28A" w14:textId="77777777" w:rsidR="006A1AFC" w:rsidRPr="00885AB3" w:rsidRDefault="006A1AFC" w:rsidP="00120D61">
            <w:pPr>
              <w:keepNext/>
              <w:keepLines/>
              <w:rPr>
                <w:rFonts w:ascii="Arial Narrow" w:hAnsi="Arial Narrow" w:cs="Calibri"/>
                <w:b/>
                <w:bCs/>
                <w:sz w:val="20"/>
                <w:szCs w:val="20"/>
              </w:rPr>
            </w:pPr>
            <w:r w:rsidRPr="00885AB3">
              <w:rPr>
                <w:rFonts w:ascii="Arial Narrow" w:hAnsi="Arial Narrow" w:cs="Calibri"/>
                <w:b/>
                <w:bCs/>
                <w:sz w:val="20"/>
                <w:szCs w:val="20"/>
              </w:rPr>
              <w:t>Primary endpoints</w:t>
            </w:r>
          </w:p>
        </w:tc>
        <w:tc>
          <w:tcPr>
            <w:tcW w:w="1226" w:type="pct"/>
            <w:gridSpan w:val="2"/>
            <w:vAlign w:val="center"/>
            <w:hideMark/>
          </w:tcPr>
          <w:p w14:paraId="0636352B" w14:textId="77777777" w:rsidR="006A1AFC" w:rsidRPr="00885AB3" w:rsidRDefault="006A1AFC" w:rsidP="00120D61">
            <w:pPr>
              <w:keepNext/>
              <w:keepLines/>
              <w:jc w:val="center"/>
              <w:rPr>
                <w:rFonts w:ascii="Arial Narrow" w:hAnsi="Arial Narrow" w:cs="Calibri"/>
                <w:b/>
                <w:bCs/>
                <w:sz w:val="20"/>
                <w:szCs w:val="20"/>
              </w:rPr>
            </w:pPr>
            <w:r w:rsidRPr="00885AB3">
              <w:rPr>
                <w:rFonts w:ascii="Arial Narrow" w:hAnsi="Arial Narrow" w:cs="Calibri"/>
                <w:b/>
                <w:bCs/>
                <w:sz w:val="20"/>
                <w:szCs w:val="20"/>
              </w:rPr>
              <w:t>mRNA-1345</w:t>
            </w:r>
          </w:p>
        </w:tc>
        <w:tc>
          <w:tcPr>
            <w:tcW w:w="1493" w:type="pct"/>
            <w:gridSpan w:val="2"/>
            <w:vAlign w:val="center"/>
          </w:tcPr>
          <w:p w14:paraId="68A26C77" w14:textId="77777777" w:rsidR="006A1AFC" w:rsidRPr="00885AB3" w:rsidRDefault="006A1AFC" w:rsidP="00120D61">
            <w:pPr>
              <w:keepNext/>
              <w:keepLines/>
              <w:jc w:val="center"/>
              <w:rPr>
                <w:rFonts w:ascii="Arial Narrow" w:hAnsi="Arial Narrow" w:cs="Calibri"/>
                <w:b/>
                <w:bCs/>
                <w:color w:val="000000"/>
                <w:sz w:val="20"/>
                <w:szCs w:val="20"/>
              </w:rPr>
            </w:pPr>
            <w:r w:rsidRPr="00885AB3">
              <w:rPr>
                <w:rFonts w:ascii="Arial Narrow" w:hAnsi="Arial Narrow" w:cs="Calibri"/>
                <w:b/>
                <w:bCs/>
                <w:sz w:val="20"/>
                <w:szCs w:val="20"/>
              </w:rPr>
              <w:t>Placebo</w:t>
            </w:r>
          </w:p>
        </w:tc>
        <w:tc>
          <w:tcPr>
            <w:tcW w:w="1052" w:type="pct"/>
            <w:vAlign w:val="center"/>
            <w:hideMark/>
          </w:tcPr>
          <w:p w14:paraId="3A27F3C3" w14:textId="77777777" w:rsidR="006A1AFC" w:rsidRPr="00885AB3" w:rsidRDefault="006A1AFC" w:rsidP="00120D61">
            <w:pPr>
              <w:keepNext/>
              <w:keepLines/>
              <w:jc w:val="center"/>
              <w:rPr>
                <w:rFonts w:ascii="Arial Narrow" w:hAnsi="Arial Narrow" w:cs="Calibri"/>
                <w:b/>
                <w:bCs/>
                <w:color w:val="000000"/>
                <w:sz w:val="20"/>
                <w:szCs w:val="20"/>
              </w:rPr>
            </w:pPr>
            <w:proofErr w:type="spellStart"/>
            <w:r w:rsidRPr="00885AB3">
              <w:rPr>
                <w:rFonts w:ascii="Arial Narrow" w:hAnsi="Arial Narrow" w:cs="Calibri"/>
                <w:b/>
                <w:bCs/>
                <w:sz w:val="20"/>
                <w:szCs w:val="20"/>
              </w:rPr>
              <w:t>VE</w:t>
            </w:r>
            <w:r w:rsidRPr="00885AB3">
              <w:rPr>
                <w:rFonts w:ascii="Arial Narrow" w:hAnsi="Arial Narrow" w:cs="Calibri"/>
                <w:b/>
                <w:bCs/>
                <w:sz w:val="20"/>
                <w:szCs w:val="20"/>
                <w:vertAlign w:val="superscript"/>
              </w:rPr>
              <w:t>a</w:t>
            </w:r>
            <w:proofErr w:type="spellEnd"/>
            <w:r w:rsidRPr="00885AB3">
              <w:rPr>
                <w:rFonts w:ascii="Arial Narrow" w:hAnsi="Arial Narrow" w:cs="Calibri"/>
                <w:b/>
                <w:bCs/>
                <w:sz w:val="20"/>
                <w:szCs w:val="20"/>
              </w:rPr>
              <w:t xml:space="preserve"> % 95% CI</w:t>
            </w:r>
          </w:p>
        </w:tc>
      </w:tr>
      <w:tr w:rsidR="006A1AFC" w:rsidRPr="00885AB3" w14:paraId="20D6EB4C" w14:textId="77777777">
        <w:trPr>
          <w:trHeight w:val="221"/>
          <w:tblHeader/>
        </w:trPr>
        <w:tc>
          <w:tcPr>
            <w:tcW w:w="1229" w:type="pct"/>
            <w:vMerge/>
            <w:vAlign w:val="center"/>
          </w:tcPr>
          <w:p w14:paraId="2C0E6353" w14:textId="77777777" w:rsidR="006A1AFC" w:rsidRPr="00885AB3" w:rsidRDefault="006A1AFC" w:rsidP="00120D61">
            <w:pPr>
              <w:keepNext/>
              <w:keepLines/>
              <w:rPr>
                <w:rFonts w:ascii="Arial Narrow" w:hAnsi="Arial Narrow" w:cs="Calibri"/>
                <w:b/>
                <w:bCs/>
                <w:sz w:val="20"/>
                <w:szCs w:val="20"/>
              </w:rPr>
            </w:pPr>
          </w:p>
        </w:tc>
        <w:tc>
          <w:tcPr>
            <w:tcW w:w="443" w:type="pct"/>
            <w:vAlign w:val="center"/>
            <w:hideMark/>
          </w:tcPr>
          <w:p w14:paraId="3F053A79" w14:textId="77777777" w:rsidR="006A1AFC" w:rsidRPr="00885AB3" w:rsidRDefault="006A1AFC" w:rsidP="00120D61">
            <w:pPr>
              <w:keepNext/>
              <w:keepLines/>
              <w:jc w:val="center"/>
              <w:rPr>
                <w:rFonts w:ascii="Arial Narrow" w:hAnsi="Arial Narrow" w:cs="Calibri"/>
                <w:b/>
                <w:bCs/>
                <w:color w:val="000000"/>
                <w:sz w:val="20"/>
                <w:szCs w:val="20"/>
              </w:rPr>
            </w:pPr>
            <w:r w:rsidRPr="00885AB3">
              <w:rPr>
                <w:rFonts w:ascii="Arial Narrow" w:hAnsi="Arial Narrow" w:cs="Calibri"/>
                <w:b/>
                <w:bCs/>
                <w:sz w:val="20"/>
                <w:szCs w:val="20"/>
              </w:rPr>
              <w:t>N</w:t>
            </w:r>
          </w:p>
        </w:tc>
        <w:tc>
          <w:tcPr>
            <w:tcW w:w="783" w:type="pct"/>
            <w:vAlign w:val="center"/>
            <w:hideMark/>
          </w:tcPr>
          <w:p w14:paraId="46A10D32" w14:textId="77777777" w:rsidR="006A1AFC" w:rsidRPr="00885AB3" w:rsidRDefault="006A1AFC" w:rsidP="00120D61">
            <w:pPr>
              <w:keepNext/>
              <w:keepLines/>
              <w:jc w:val="center"/>
              <w:rPr>
                <w:rFonts w:ascii="Arial Narrow" w:hAnsi="Arial Narrow" w:cs="Calibri"/>
                <w:b/>
                <w:bCs/>
                <w:color w:val="000000"/>
                <w:sz w:val="20"/>
                <w:szCs w:val="20"/>
              </w:rPr>
            </w:pPr>
            <w:r w:rsidRPr="00885AB3">
              <w:rPr>
                <w:rFonts w:ascii="Arial Narrow" w:hAnsi="Arial Narrow" w:cs="Calibri"/>
                <w:b/>
                <w:bCs/>
                <w:sz w:val="20"/>
                <w:szCs w:val="20"/>
              </w:rPr>
              <w:t>n (%)</w:t>
            </w:r>
          </w:p>
        </w:tc>
        <w:tc>
          <w:tcPr>
            <w:tcW w:w="443" w:type="pct"/>
            <w:vAlign w:val="center"/>
            <w:hideMark/>
          </w:tcPr>
          <w:p w14:paraId="2B841DD1" w14:textId="77777777" w:rsidR="006A1AFC" w:rsidRPr="00885AB3" w:rsidRDefault="006A1AFC" w:rsidP="00120D61">
            <w:pPr>
              <w:keepNext/>
              <w:keepLines/>
              <w:jc w:val="center"/>
              <w:rPr>
                <w:rFonts w:ascii="Arial Narrow" w:hAnsi="Arial Narrow" w:cs="Calibri"/>
                <w:b/>
                <w:bCs/>
                <w:color w:val="000000"/>
                <w:sz w:val="20"/>
                <w:szCs w:val="20"/>
              </w:rPr>
            </w:pPr>
            <w:r w:rsidRPr="00885AB3">
              <w:rPr>
                <w:rFonts w:ascii="Arial Narrow" w:hAnsi="Arial Narrow" w:cs="Calibri"/>
                <w:b/>
                <w:bCs/>
                <w:sz w:val="20"/>
                <w:szCs w:val="20"/>
              </w:rPr>
              <w:t>N</w:t>
            </w:r>
          </w:p>
        </w:tc>
        <w:tc>
          <w:tcPr>
            <w:tcW w:w="1050" w:type="pct"/>
            <w:vAlign w:val="center"/>
            <w:hideMark/>
          </w:tcPr>
          <w:p w14:paraId="0678AEED" w14:textId="77777777" w:rsidR="006A1AFC" w:rsidRPr="00885AB3" w:rsidRDefault="006A1AFC" w:rsidP="00120D61">
            <w:pPr>
              <w:keepNext/>
              <w:keepLines/>
              <w:jc w:val="center"/>
              <w:rPr>
                <w:rFonts w:ascii="Arial Narrow" w:hAnsi="Arial Narrow" w:cs="Calibri"/>
                <w:b/>
                <w:bCs/>
                <w:color w:val="000000"/>
                <w:sz w:val="20"/>
                <w:szCs w:val="20"/>
              </w:rPr>
            </w:pPr>
            <w:r w:rsidRPr="00885AB3">
              <w:rPr>
                <w:rFonts w:ascii="Arial Narrow" w:hAnsi="Arial Narrow" w:cs="Calibri"/>
                <w:b/>
                <w:bCs/>
                <w:sz w:val="20"/>
                <w:szCs w:val="20"/>
              </w:rPr>
              <w:t>n (%)</w:t>
            </w:r>
          </w:p>
        </w:tc>
        <w:tc>
          <w:tcPr>
            <w:tcW w:w="1052" w:type="pct"/>
            <w:vAlign w:val="center"/>
            <w:hideMark/>
          </w:tcPr>
          <w:p w14:paraId="5EDB5EF6" w14:textId="77777777" w:rsidR="006A1AFC" w:rsidRPr="00885AB3" w:rsidRDefault="006A1AFC" w:rsidP="00120D61">
            <w:pPr>
              <w:keepNext/>
              <w:keepLines/>
              <w:jc w:val="center"/>
              <w:rPr>
                <w:rFonts w:ascii="Arial Narrow" w:hAnsi="Arial Narrow" w:cs="Calibri"/>
                <w:b/>
                <w:bCs/>
                <w:color w:val="000000"/>
                <w:sz w:val="20"/>
                <w:szCs w:val="20"/>
              </w:rPr>
            </w:pPr>
          </w:p>
        </w:tc>
      </w:tr>
      <w:tr w:rsidR="006A1AFC" w:rsidRPr="00885AB3" w14:paraId="4F191FEE" w14:textId="77777777">
        <w:trPr>
          <w:trHeight w:val="88"/>
        </w:trPr>
        <w:tc>
          <w:tcPr>
            <w:tcW w:w="5000" w:type="pct"/>
            <w:gridSpan w:val="6"/>
            <w:tcBorders>
              <w:top w:val="single" w:sz="4" w:space="0" w:color="auto"/>
              <w:left w:val="single" w:sz="4" w:space="0" w:color="auto"/>
              <w:right w:val="single" w:sz="4" w:space="0" w:color="auto"/>
            </w:tcBorders>
            <w:vAlign w:val="center"/>
          </w:tcPr>
          <w:p w14:paraId="700D739C" w14:textId="77777777" w:rsidR="006A1AFC" w:rsidRPr="00885AB3" w:rsidRDefault="006A1AFC" w:rsidP="00120D61">
            <w:pPr>
              <w:keepNext/>
              <w:keepLines/>
              <w:rPr>
                <w:rFonts w:ascii="Arial Narrow" w:hAnsi="Arial Narrow" w:cs="Calibri"/>
                <w:b/>
                <w:bCs/>
                <w:color w:val="000000"/>
                <w:sz w:val="20"/>
                <w:szCs w:val="20"/>
              </w:rPr>
            </w:pPr>
            <w:r w:rsidRPr="00885AB3">
              <w:rPr>
                <w:rFonts w:ascii="Arial Narrow" w:hAnsi="Arial Narrow" w:cs="Calibri"/>
                <w:b/>
                <w:bCs/>
                <w:color w:val="000000"/>
                <w:sz w:val="20"/>
                <w:szCs w:val="20"/>
              </w:rPr>
              <w:t xml:space="preserve">VE for the prevention of RSV A </w:t>
            </w:r>
          </w:p>
        </w:tc>
      </w:tr>
      <w:tr w:rsidR="006A1AFC" w:rsidRPr="00885AB3" w14:paraId="7A004335" w14:textId="77777777">
        <w:trPr>
          <w:trHeight w:val="223"/>
        </w:trPr>
        <w:tc>
          <w:tcPr>
            <w:tcW w:w="5000" w:type="pct"/>
            <w:gridSpan w:val="6"/>
            <w:tcBorders>
              <w:top w:val="single" w:sz="4" w:space="0" w:color="auto"/>
              <w:left w:val="single" w:sz="4" w:space="0" w:color="auto"/>
              <w:right w:val="single" w:sz="4" w:space="0" w:color="auto"/>
            </w:tcBorders>
            <w:vAlign w:val="center"/>
          </w:tcPr>
          <w:p w14:paraId="11EADBD5" w14:textId="3668D18B" w:rsidR="006A1AFC" w:rsidRPr="00885AB3" w:rsidRDefault="006A1AFC" w:rsidP="00120D61">
            <w:pPr>
              <w:keepNext/>
              <w:keepLines/>
              <w:rPr>
                <w:rFonts w:ascii="Arial Narrow" w:hAnsi="Arial Narrow" w:cs="Calibri"/>
                <w:b/>
                <w:bCs/>
                <w:color w:val="000000"/>
                <w:sz w:val="20"/>
                <w:szCs w:val="20"/>
              </w:rPr>
            </w:pPr>
            <w:r w:rsidRPr="00885AB3">
              <w:rPr>
                <w:rFonts w:ascii="Arial Narrow" w:hAnsi="Arial Narrow" w:cs="Calibri"/>
                <w:b/>
                <w:bCs/>
                <w:color w:val="000000"/>
                <w:sz w:val="20"/>
                <w:szCs w:val="20"/>
              </w:rPr>
              <w:t xml:space="preserve">RSV-LRTD </w:t>
            </w:r>
            <w:r w:rsidR="00EF2FA4">
              <w:rPr>
                <w:rFonts w:ascii="Arial Narrow" w:hAnsi="Arial Narrow" w:cs="Calibri"/>
                <w:b/>
                <w:bCs/>
                <w:color w:val="000000"/>
                <w:sz w:val="20"/>
                <w:szCs w:val="20"/>
              </w:rPr>
              <w:t xml:space="preserve">≥ </w:t>
            </w:r>
            <w:r w:rsidRPr="00885AB3">
              <w:rPr>
                <w:rFonts w:ascii="Arial Narrow" w:hAnsi="Arial Narrow" w:cs="Calibri"/>
                <w:b/>
                <w:bCs/>
                <w:color w:val="000000"/>
                <w:sz w:val="20"/>
                <w:szCs w:val="20"/>
              </w:rPr>
              <w:t>2 symptoms</w:t>
            </w:r>
          </w:p>
        </w:tc>
      </w:tr>
      <w:tr w:rsidR="006A1AFC" w:rsidRPr="00885AB3" w14:paraId="4A1522BB" w14:textId="77777777">
        <w:trPr>
          <w:trHeight w:val="174"/>
        </w:trPr>
        <w:tc>
          <w:tcPr>
            <w:tcW w:w="1229" w:type="pct"/>
            <w:tcBorders>
              <w:left w:val="single" w:sz="4" w:space="0" w:color="auto"/>
              <w:right w:val="single" w:sz="4" w:space="0" w:color="auto"/>
            </w:tcBorders>
            <w:vAlign w:val="center"/>
          </w:tcPr>
          <w:p w14:paraId="771F375F" w14:textId="77777777" w:rsidR="006A1AFC" w:rsidRPr="00885AB3" w:rsidRDefault="006A1AFC" w:rsidP="00120D61">
            <w:pPr>
              <w:pStyle w:val="Tabletext"/>
              <w:keepNext/>
              <w:rPr>
                <w:szCs w:val="20"/>
              </w:rPr>
            </w:pPr>
            <w:r w:rsidRPr="00885AB3">
              <w:rPr>
                <w:szCs w:val="20"/>
              </w:rPr>
              <w:t>12 months</w:t>
            </w:r>
          </w:p>
        </w:tc>
        <w:tc>
          <w:tcPr>
            <w:tcW w:w="443" w:type="pct"/>
            <w:tcBorders>
              <w:left w:val="single" w:sz="4" w:space="0" w:color="auto"/>
            </w:tcBorders>
            <w:vAlign w:val="center"/>
          </w:tcPr>
          <w:p w14:paraId="039C1FBE" w14:textId="77777777" w:rsidR="006A1AFC" w:rsidRPr="00885AB3" w:rsidRDefault="006A1AFC" w:rsidP="00120D61">
            <w:pPr>
              <w:pStyle w:val="Tabletext"/>
              <w:keepNext/>
              <w:jc w:val="center"/>
              <w:rPr>
                <w:szCs w:val="20"/>
              </w:rPr>
            </w:pPr>
            <w:r w:rsidRPr="00885AB3">
              <w:rPr>
                <w:szCs w:val="20"/>
              </w:rPr>
              <w:t>18,181</w:t>
            </w:r>
          </w:p>
        </w:tc>
        <w:tc>
          <w:tcPr>
            <w:tcW w:w="783" w:type="pct"/>
            <w:vAlign w:val="center"/>
          </w:tcPr>
          <w:p w14:paraId="177A629D" w14:textId="77777777" w:rsidR="006A1AFC" w:rsidRPr="00885AB3" w:rsidRDefault="006A1AFC" w:rsidP="00120D61">
            <w:pPr>
              <w:pStyle w:val="Tabletext"/>
              <w:keepNext/>
              <w:jc w:val="center"/>
              <w:rPr>
                <w:szCs w:val="20"/>
              </w:rPr>
            </w:pPr>
            <w:r w:rsidRPr="00885AB3">
              <w:rPr>
                <w:szCs w:val="20"/>
              </w:rPr>
              <w:t>36 (0.20)</w:t>
            </w:r>
          </w:p>
        </w:tc>
        <w:tc>
          <w:tcPr>
            <w:tcW w:w="443" w:type="pct"/>
            <w:vAlign w:val="center"/>
          </w:tcPr>
          <w:p w14:paraId="4D25E96A" w14:textId="77777777" w:rsidR="006A1AFC" w:rsidRPr="00885AB3" w:rsidRDefault="006A1AFC" w:rsidP="00120D61">
            <w:pPr>
              <w:pStyle w:val="Tabletext"/>
              <w:keepNext/>
              <w:jc w:val="center"/>
              <w:rPr>
                <w:szCs w:val="20"/>
              </w:rPr>
            </w:pPr>
            <w:r w:rsidRPr="00885AB3">
              <w:rPr>
                <w:szCs w:val="20"/>
              </w:rPr>
              <w:t>18,132</w:t>
            </w:r>
          </w:p>
        </w:tc>
        <w:tc>
          <w:tcPr>
            <w:tcW w:w="1050" w:type="pct"/>
            <w:vAlign w:val="center"/>
          </w:tcPr>
          <w:p w14:paraId="4278732E" w14:textId="77777777" w:rsidR="006A1AFC" w:rsidRPr="00885AB3" w:rsidRDefault="006A1AFC" w:rsidP="00120D61">
            <w:pPr>
              <w:pStyle w:val="Tabletext"/>
              <w:keepNext/>
              <w:jc w:val="center"/>
              <w:rPr>
                <w:szCs w:val="20"/>
              </w:rPr>
            </w:pPr>
            <w:r w:rsidRPr="00885AB3">
              <w:rPr>
                <w:szCs w:val="20"/>
              </w:rPr>
              <w:t>102 (0.56)</w:t>
            </w:r>
          </w:p>
        </w:tc>
        <w:tc>
          <w:tcPr>
            <w:tcW w:w="1052" w:type="pct"/>
            <w:vAlign w:val="center"/>
          </w:tcPr>
          <w:p w14:paraId="21E7863A" w14:textId="77777777" w:rsidR="006A1AFC" w:rsidRPr="00885AB3" w:rsidRDefault="006A1AFC" w:rsidP="00120D61">
            <w:pPr>
              <w:pStyle w:val="Tabletext"/>
              <w:keepNext/>
              <w:jc w:val="center"/>
              <w:rPr>
                <w:b/>
                <w:bCs/>
                <w:szCs w:val="20"/>
              </w:rPr>
            </w:pPr>
            <w:r w:rsidRPr="00885AB3">
              <w:rPr>
                <w:b/>
                <w:szCs w:val="20"/>
              </w:rPr>
              <w:t>65.0 (48.8, 76.0)</w:t>
            </w:r>
          </w:p>
        </w:tc>
      </w:tr>
      <w:tr w:rsidR="006A1AFC" w:rsidRPr="00885AB3" w14:paraId="759DCE47" w14:textId="77777777">
        <w:trPr>
          <w:trHeight w:val="174"/>
        </w:trPr>
        <w:tc>
          <w:tcPr>
            <w:tcW w:w="1229" w:type="pct"/>
            <w:tcBorders>
              <w:left w:val="single" w:sz="4" w:space="0" w:color="auto"/>
              <w:right w:val="single" w:sz="4" w:space="0" w:color="auto"/>
            </w:tcBorders>
            <w:vAlign w:val="center"/>
          </w:tcPr>
          <w:p w14:paraId="27E23A99" w14:textId="77777777" w:rsidR="006A1AFC" w:rsidRPr="00885AB3" w:rsidRDefault="006A1AFC" w:rsidP="00120D61">
            <w:pPr>
              <w:pStyle w:val="Tabletext"/>
              <w:keepNext/>
              <w:rPr>
                <w:szCs w:val="20"/>
              </w:rPr>
            </w:pPr>
            <w:r w:rsidRPr="00885AB3">
              <w:rPr>
                <w:szCs w:val="20"/>
              </w:rPr>
              <w:t>24 months</w:t>
            </w:r>
          </w:p>
        </w:tc>
        <w:tc>
          <w:tcPr>
            <w:tcW w:w="443" w:type="pct"/>
            <w:tcBorders>
              <w:left w:val="single" w:sz="4" w:space="0" w:color="auto"/>
            </w:tcBorders>
            <w:vAlign w:val="center"/>
          </w:tcPr>
          <w:p w14:paraId="2CEED12E" w14:textId="77777777" w:rsidR="006A1AFC" w:rsidRPr="00885AB3" w:rsidRDefault="006A1AFC" w:rsidP="00120D61">
            <w:pPr>
              <w:pStyle w:val="Tabletext"/>
              <w:keepNext/>
              <w:jc w:val="center"/>
              <w:rPr>
                <w:szCs w:val="20"/>
              </w:rPr>
            </w:pPr>
            <w:r w:rsidRPr="00885AB3">
              <w:rPr>
                <w:szCs w:val="20"/>
              </w:rPr>
              <w:t>18,181</w:t>
            </w:r>
          </w:p>
        </w:tc>
        <w:tc>
          <w:tcPr>
            <w:tcW w:w="783" w:type="pct"/>
            <w:vAlign w:val="center"/>
          </w:tcPr>
          <w:p w14:paraId="60DBA421" w14:textId="77777777" w:rsidR="006A1AFC" w:rsidRPr="00885AB3" w:rsidRDefault="006A1AFC" w:rsidP="00120D61">
            <w:pPr>
              <w:pStyle w:val="Tabletext"/>
              <w:keepNext/>
              <w:jc w:val="center"/>
              <w:rPr>
                <w:szCs w:val="20"/>
              </w:rPr>
            </w:pPr>
            <w:r w:rsidRPr="00885AB3">
              <w:rPr>
                <w:szCs w:val="20"/>
              </w:rPr>
              <w:t>54 (0.30)</w:t>
            </w:r>
          </w:p>
        </w:tc>
        <w:tc>
          <w:tcPr>
            <w:tcW w:w="443" w:type="pct"/>
            <w:vAlign w:val="center"/>
          </w:tcPr>
          <w:p w14:paraId="65347EB2" w14:textId="77777777" w:rsidR="006A1AFC" w:rsidRPr="00885AB3" w:rsidRDefault="006A1AFC" w:rsidP="00120D61">
            <w:pPr>
              <w:pStyle w:val="Tabletext"/>
              <w:keepNext/>
              <w:jc w:val="center"/>
              <w:rPr>
                <w:szCs w:val="20"/>
              </w:rPr>
            </w:pPr>
            <w:r w:rsidRPr="00885AB3">
              <w:rPr>
                <w:szCs w:val="20"/>
              </w:rPr>
              <w:t>18,132</w:t>
            </w:r>
          </w:p>
        </w:tc>
        <w:tc>
          <w:tcPr>
            <w:tcW w:w="1050" w:type="pct"/>
            <w:vAlign w:val="center"/>
          </w:tcPr>
          <w:p w14:paraId="29ED6468" w14:textId="77777777" w:rsidR="006A1AFC" w:rsidRPr="00885AB3" w:rsidRDefault="006A1AFC" w:rsidP="00120D61">
            <w:pPr>
              <w:pStyle w:val="Tabletext"/>
              <w:keepNext/>
              <w:jc w:val="center"/>
              <w:rPr>
                <w:szCs w:val="20"/>
              </w:rPr>
            </w:pPr>
            <w:r w:rsidRPr="00885AB3">
              <w:rPr>
                <w:szCs w:val="20"/>
              </w:rPr>
              <w:t>128 (0.71)</w:t>
            </w:r>
          </w:p>
        </w:tc>
        <w:tc>
          <w:tcPr>
            <w:tcW w:w="1052" w:type="pct"/>
            <w:vAlign w:val="center"/>
          </w:tcPr>
          <w:p w14:paraId="1331B949" w14:textId="77777777" w:rsidR="006A1AFC" w:rsidRPr="00885AB3" w:rsidRDefault="006A1AFC" w:rsidP="00120D61">
            <w:pPr>
              <w:pStyle w:val="Tabletext"/>
              <w:keepNext/>
              <w:jc w:val="center"/>
              <w:rPr>
                <w:b/>
                <w:bCs/>
                <w:szCs w:val="20"/>
              </w:rPr>
            </w:pPr>
            <w:r w:rsidRPr="00885AB3">
              <w:rPr>
                <w:b/>
                <w:szCs w:val="20"/>
              </w:rPr>
              <w:t>58.2 (42.5, 69.6)</w:t>
            </w:r>
          </w:p>
        </w:tc>
      </w:tr>
      <w:tr w:rsidR="006A1AFC" w:rsidRPr="00885AB3" w14:paraId="7FE409CC" w14:textId="77777777">
        <w:trPr>
          <w:trHeight w:val="174"/>
        </w:trPr>
        <w:tc>
          <w:tcPr>
            <w:tcW w:w="5000" w:type="pct"/>
            <w:gridSpan w:val="6"/>
            <w:tcBorders>
              <w:left w:val="single" w:sz="4" w:space="0" w:color="auto"/>
            </w:tcBorders>
            <w:vAlign w:val="center"/>
          </w:tcPr>
          <w:p w14:paraId="41FF72CD" w14:textId="77777777" w:rsidR="006A1AFC" w:rsidRPr="00885AB3" w:rsidRDefault="006A1AFC" w:rsidP="00120D61">
            <w:pPr>
              <w:pStyle w:val="Tabletext"/>
              <w:keepNext/>
              <w:rPr>
                <w:b/>
                <w:bCs/>
                <w:szCs w:val="20"/>
              </w:rPr>
            </w:pPr>
            <w:r w:rsidRPr="00885AB3">
              <w:rPr>
                <w:b/>
                <w:bCs/>
                <w:szCs w:val="20"/>
              </w:rPr>
              <w:t>RSV-ARD</w:t>
            </w:r>
          </w:p>
        </w:tc>
      </w:tr>
      <w:tr w:rsidR="006A1AFC" w:rsidRPr="00885AB3" w14:paraId="709BF5C6" w14:textId="77777777">
        <w:trPr>
          <w:trHeight w:val="174"/>
        </w:trPr>
        <w:tc>
          <w:tcPr>
            <w:tcW w:w="1229" w:type="pct"/>
            <w:tcBorders>
              <w:left w:val="single" w:sz="4" w:space="0" w:color="auto"/>
              <w:right w:val="single" w:sz="4" w:space="0" w:color="auto"/>
            </w:tcBorders>
            <w:vAlign w:val="center"/>
          </w:tcPr>
          <w:p w14:paraId="6A58C374" w14:textId="77777777" w:rsidR="006A1AFC" w:rsidRPr="00885AB3" w:rsidRDefault="006A1AFC" w:rsidP="00120D61">
            <w:pPr>
              <w:pStyle w:val="Tabletext"/>
              <w:keepNext/>
              <w:rPr>
                <w:szCs w:val="20"/>
              </w:rPr>
            </w:pPr>
            <w:r w:rsidRPr="00885AB3">
              <w:rPr>
                <w:szCs w:val="20"/>
              </w:rPr>
              <w:t>12 months</w:t>
            </w:r>
          </w:p>
        </w:tc>
        <w:tc>
          <w:tcPr>
            <w:tcW w:w="443" w:type="pct"/>
            <w:tcBorders>
              <w:left w:val="single" w:sz="4" w:space="0" w:color="auto"/>
            </w:tcBorders>
            <w:vAlign w:val="center"/>
          </w:tcPr>
          <w:p w14:paraId="6A4F2C27" w14:textId="77777777" w:rsidR="006A1AFC" w:rsidRPr="00885AB3" w:rsidRDefault="006A1AFC" w:rsidP="00120D61">
            <w:pPr>
              <w:pStyle w:val="Tabletext"/>
              <w:keepNext/>
              <w:jc w:val="center"/>
              <w:rPr>
                <w:szCs w:val="20"/>
              </w:rPr>
            </w:pPr>
            <w:r w:rsidRPr="00885AB3">
              <w:rPr>
                <w:szCs w:val="20"/>
              </w:rPr>
              <w:t>18,181</w:t>
            </w:r>
          </w:p>
        </w:tc>
        <w:tc>
          <w:tcPr>
            <w:tcW w:w="783" w:type="pct"/>
            <w:vAlign w:val="center"/>
          </w:tcPr>
          <w:p w14:paraId="7A5DCD66" w14:textId="77777777" w:rsidR="006A1AFC" w:rsidRPr="00885AB3" w:rsidRDefault="006A1AFC" w:rsidP="00120D61">
            <w:pPr>
              <w:pStyle w:val="Tabletext"/>
              <w:keepNext/>
              <w:jc w:val="center"/>
              <w:rPr>
                <w:szCs w:val="20"/>
              </w:rPr>
            </w:pPr>
            <w:r w:rsidRPr="00885AB3">
              <w:rPr>
                <w:szCs w:val="20"/>
              </w:rPr>
              <w:t>60 (0.33)</w:t>
            </w:r>
          </w:p>
        </w:tc>
        <w:tc>
          <w:tcPr>
            <w:tcW w:w="443" w:type="pct"/>
            <w:vAlign w:val="center"/>
          </w:tcPr>
          <w:p w14:paraId="7B9DBE35" w14:textId="77777777" w:rsidR="006A1AFC" w:rsidRPr="00885AB3" w:rsidRDefault="006A1AFC" w:rsidP="00120D61">
            <w:pPr>
              <w:pStyle w:val="Tabletext"/>
              <w:keepNext/>
              <w:jc w:val="center"/>
              <w:rPr>
                <w:szCs w:val="20"/>
              </w:rPr>
            </w:pPr>
            <w:r w:rsidRPr="00885AB3">
              <w:rPr>
                <w:szCs w:val="20"/>
              </w:rPr>
              <w:t>18,132</w:t>
            </w:r>
          </w:p>
        </w:tc>
        <w:tc>
          <w:tcPr>
            <w:tcW w:w="1050" w:type="pct"/>
            <w:vAlign w:val="center"/>
          </w:tcPr>
          <w:p w14:paraId="6D96F6B4" w14:textId="77777777" w:rsidR="006A1AFC" w:rsidRPr="00885AB3" w:rsidRDefault="006A1AFC" w:rsidP="00120D61">
            <w:pPr>
              <w:pStyle w:val="Tabletext"/>
              <w:keepNext/>
              <w:jc w:val="center"/>
              <w:rPr>
                <w:szCs w:val="20"/>
              </w:rPr>
            </w:pPr>
            <w:r w:rsidRPr="00885AB3">
              <w:rPr>
                <w:szCs w:val="20"/>
              </w:rPr>
              <w:t>150 (0.83)</w:t>
            </w:r>
          </w:p>
        </w:tc>
        <w:tc>
          <w:tcPr>
            <w:tcW w:w="1052" w:type="pct"/>
            <w:vAlign w:val="center"/>
          </w:tcPr>
          <w:p w14:paraId="5383568B" w14:textId="77777777" w:rsidR="006A1AFC" w:rsidRPr="00885AB3" w:rsidRDefault="006A1AFC" w:rsidP="00120D61">
            <w:pPr>
              <w:pStyle w:val="Tabletext"/>
              <w:keepNext/>
              <w:jc w:val="center"/>
              <w:rPr>
                <w:b/>
                <w:szCs w:val="20"/>
              </w:rPr>
            </w:pPr>
            <w:r w:rsidRPr="00885AB3">
              <w:rPr>
                <w:rFonts w:cs="Calibri"/>
                <w:b/>
                <w:szCs w:val="20"/>
              </w:rPr>
              <w:t>60.3 (46.5, 70.6)</w:t>
            </w:r>
          </w:p>
        </w:tc>
      </w:tr>
      <w:tr w:rsidR="006A1AFC" w:rsidRPr="00885AB3" w14:paraId="176036C6" w14:textId="77777777">
        <w:trPr>
          <w:trHeight w:val="174"/>
        </w:trPr>
        <w:tc>
          <w:tcPr>
            <w:tcW w:w="1229" w:type="pct"/>
            <w:tcBorders>
              <w:left w:val="single" w:sz="4" w:space="0" w:color="auto"/>
              <w:right w:val="single" w:sz="4" w:space="0" w:color="auto"/>
            </w:tcBorders>
            <w:vAlign w:val="center"/>
          </w:tcPr>
          <w:p w14:paraId="2A30A09F" w14:textId="77777777" w:rsidR="006A1AFC" w:rsidRPr="00885AB3" w:rsidRDefault="006A1AFC" w:rsidP="00120D61">
            <w:pPr>
              <w:pStyle w:val="Tabletext"/>
              <w:keepNext/>
              <w:rPr>
                <w:szCs w:val="20"/>
              </w:rPr>
            </w:pPr>
            <w:r w:rsidRPr="00885AB3">
              <w:rPr>
                <w:szCs w:val="20"/>
              </w:rPr>
              <w:t>24 months</w:t>
            </w:r>
          </w:p>
        </w:tc>
        <w:tc>
          <w:tcPr>
            <w:tcW w:w="443" w:type="pct"/>
            <w:tcBorders>
              <w:left w:val="single" w:sz="4" w:space="0" w:color="auto"/>
            </w:tcBorders>
            <w:vAlign w:val="center"/>
          </w:tcPr>
          <w:p w14:paraId="268EB89F" w14:textId="77777777" w:rsidR="006A1AFC" w:rsidRPr="00885AB3" w:rsidRDefault="006A1AFC" w:rsidP="00120D61">
            <w:pPr>
              <w:pStyle w:val="Tabletext"/>
              <w:keepNext/>
              <w:jc w:val="center"/>
              <w:rPr>
                <w:szCs w:val="20"/>
              </w:rPr>
            </w:pPr>
            <w:r w:rsidRPr="00885AB3">
              <w:rPr>
                <w:szCs w:val="20"/>
              </w:rPr>
              <w:t>18,181</w:t>
            </w:r>
          </w:p>
        </w:tc>
        <w:tc>
          <w:tcPr>
            <w:tcW w:w="783" w:type="pct"/>
            <w:vAlign w:val="center"/>
          </w:tcPr>
          <w:p w14:paraId="4C4D82D4" w14:textId="77777777" w:rsidR="006A1AFC" w:rsidRPr="00885AB3" w:rsidRDefault="006A1AFC" w:rsidP="00120D61">
            <w:pPr>
              <w:pStyle w:val="Tabletext"/>
              <w:keepNext/>
              <w:jc w:val="center"/>
              <w:rPr>
                <w:szCs w:val="20"/>
              </w:rPr>
            </w:pPr>
            <w:r w:rsidRPr="00885AB3">
              <w:rPr>
                <w:szCs w:val="20"/>
              </w:rPr>
              <w:t>91 (0.50)</w:t>
            </w:r>
          </w:p>
        </w:tc>
        <w:tc>
          <w:tcPr>
            <w:tcW w:w="443" w:type="pct"/>
            <w:vAlign w:val="center"/>
          </w:tcPr>
          <w:p w14:paraId="54A0DB67" w14:textId="77777777" w:rsidR="006A1AFC" w:rsidRPr="00885AB3" w:rsidRDefault="006A1AFC" w:rsidP="00120D61">
            <w:pPr>
              <w:pStyle w:val="Tabletext"/>
              <w:keepNext/>
              <w:jc w:val="center"/>
              <w:rPr>
                <w:szCs w:val="20"/>
              </w:rPr>
            </w:pPr>
            <w:r w:rsidRPr="00885AB3">
              <w:rPr>
                <w:szCs w:val="20"/>
              </w:rPr>
              <w:t>18,132</w:t>
            </w:r>
          </w:p>
        </w:tc>
        <w:tc>
          <w:tcPr>
            <w:tcW w:w="1050" w:type="pct"/>
            <w:vAlign w:val="center"/>
          </w:tcPr>
          <w:p w14:paraId="3A0DD6D6" w14:textId="77777777" w:rsidR="006A1AFC" w:rsidRPr="00885AB3" w:rsidRDefault="006A1AFC" w:rsidP="00120D61">
            <w:pPr>
              <w:pStyle w:val="Tabletext"/>
              <w:keepNext/>
              <w:jc w:val="center"/>
              <w:rPr>
                <w:szCs w:val="20"/>
              </w:rPr>
            </w:pPr>
            <w:r w:rsidRPr="00885AB3">
              <w:rPr>
                <w:szCs w:val="20"/>
              </w:rPr>
              <w:t>195 (1.08)</w:t>
            </w:r>
          </w:p>
        </w:tc>
        <w:tc>
          <w:tcPr>
            <w:tcW w:w="1052" w:type="pct"/>
            <w:vAlign w:val="center"/>
          </w:tcPr>
          <w:p w14:paraId="3FF7901B" w14:textId="77777777" w:rsidR="006A1AFC" w:rsidRPr="00885AB3" w:rsidRDefault="006A1AFC" w:rsidP="00120D61">
            <w:pPr>
              <w:pStyle w:val="Tabletext"/>
              <w:keepNext/>
              <w:jc w:val="center"/>
              <w:rPr>
                <w:b/>
                <w:szCs w:val="20"/>
              </w:rPr>
            </w:pPr>
            <w:r w:rsidRPr="00885AB3">
              <w:rPr>
                <w:rFonts w:cs="Calibri"/>
                <w:b/>
                <w:szCs w:val="20"/>
              </w:rPr>
              <w:t>53.8 (40.7, 64.0)</w:t>
            </w:r>
          </w:p>
        </w:tc>
      </w:tr>
      <w:tr w:rsidR="006A1AFC" w:rsidRPr="00885AB3" w14:paraId="72F46E91" w14:textId="77777777">
        <w:trPr>
          <w:trHeight w:val="174"/>
        </w:trPr>
        <w:tc>
          <w:tcPr>
            <w:tcW w:w="5000" w:type="pct"/>
            <w:gridSpan w:val="6"/>
            <w:tcBorders>
              <w:left w:val="single" w:sz="4" w:space="0" w:color="auto"/>
            </w:tcBorders>
            <w:vAlign w:val="center"/>
          </w:tcPr>
          <w:p w14:paraId="61221109" w14:textId="77777777" w:rsidR="006A1AFC" w:rsidRPr="00885AB3" w:rsidRDefault="006A1AFC" w:rsidP="00120D61">
            <w:pPr>
              <w:pStyle w:val="Tabletext"/>
              <w:keepNext/>
              <w:rPr>
                <w:rFonts w:cs="Calibri"/>
                <w:szCs w:val="20"/>
              </w:rPr>
            </w:pPr>
            <w:r w:rsidRPr="00885AB3">
              <w:rPr>
                <w:rFonts w:cs="Calibri"/>
                <w:b/>
                <w:bCs/>
                <w:color w:val="000000"/>
                <w:szCs w:val="20"/>
              </w:rPr>
              <w:t>VE for the prevention of RSV B</w:t>
            </w:r>
          </w:p>
        </w:tc>
      </w:tr>
      <w:tr w:rsidR="006A1AFC" w:rsidRPr="00885AB3" w14:paraId="66A283D4" w14:textId="77777777">
        <w:trPr>
          <w:trHeight w:val="174"/>
        </w:trPr>
        <w:tc>
          <w:tcPr>
            <w:tcW w:w="5000" w:type="pct"/>
            <w:gridSpan w:val="6"/>
            <w:tcBorders>
              <w:left w:val="single" w:sz="4" w:space="0" w:color="auto"/>
            </w:tcBorders>
            <w:vAlign w:val="center"/>
          </w:tcPr>
          <w:p w14:paraId="2642AAE3" w14:textId="012773E2" w:rsidR="006A1AFC" w:rsidRPr="00885AB3" w:rsidRDefault="006A1AFC" w:rsidP="00120D61">
            <w:pPr>
              <w:pStyle w:val="Tabletext"/>
              <w:keepNext/>
              <w:rPr>
                <w:rFonts w:cs="Calibri"/>
                <w:szCs w:val="20"/>
              </w:rPr>
            </w:pPr>
            <w:r w:rsidRPr="00885AB3">
              <w:rPr>
                <w:rFonts w:cs="Calibri"/>
                <w:b/>
                <w:bCs/>
                <w:color w:val="000000"/>
                <w:szCs w:val="20"/>
              </w:rPr>
              <w:t xml:space="preserve">RSV-LRTD </w:t>
            </w:r>
            <w:r w:rsidR="00EF2FA4">
              <w:rPr>
                <w:rFonts w:cs="Calibri"/>
                <w:b/>
                <w:bCs/>
                <w:color w:val="000000"/>
                <w:szCs w:val="20"/>
              </w:rPr>
              <w:t xml:space="preserve">≥ </w:t>
            </w:r>
            <w:r w:rsidRPr="00885AB3">
              <w:rPr>
                <w:rFonts w:cs="Calibri"/>
                <w:b/>
                <w:bCs/>
                <w:color w:val="000000"/>
                <w:szCs w:val="20"/>
              </w:rPr>
              <w:t>2 symptoms</w:t>
            </w:r>
          </w:p>
        </w:tc>
      </w:tr>
      <w:tr w:rsidR="006A1AFC" w:rsidRPr="00885AB3" w14:paraId="2E7AB707" w14:textId="77777777">
        <w:trPr>
          <w:trHeight w:val="174"/>
        </w:trPr>
        <w:tc>
          <w:tcPr>
            <w:tcW w:w="1229" w:type="pct"/>
            <w:tcBorders>
              <w:left w:val="single" w:sz="4" w:space="0" w:color="auto"/>
              <w:right w:val="single" w:sz="4" w:space="0" w:color="auto"/>
            </w:tcBorders>
            <w:vAlign w:val="center"/>
          </w:tcPr>
          <w:p w14:paraId="03A85328" w14:textId="77777777" w:rsidR="006A1AFC" w:rsidRPr="00885AB3" w:rsidRDefault="006A1AFC" w:rsidP="00120D61">
            <w:pPr>
              <w:pStyle w:val="Tabletext"/>
              <w:keepNext/>
              <w:rPr>
                <w:szCs w:val="20"/>
              </w:rPr>
            </w:pPr>
            <w:r w:rsidRPr="00885AB3">
              <w:rPr>
                <w:szCs w:val="20"/>
              </w:rPr>
              <w:t>12 months</w:t>
            </w:r>
          </w:p>
        </w:tc>
        <w:tc>
          <w:tcPr>
            <w:tcW w:w="443" w:type="pct"/>
            <w:tcBorders>
              <w:left w:val="single" w:sz="4" w:space="0" w:color="auto"/>
            </w:tcBorders>
            <w:vAlign w:val="center"/>
          </w:tcPr>
          <w:p w14:paraId="6B8AD1A9" w14:textId="77777777" w:rsidR="006A1AFC" w:rsidRPr="00885AB3" w:rsidRDefault="006A1AFC" w:rsidP="00120D61">
            <w:pPr>
              <w:pStyle w:val="Tabletext"/>
              <w:keepNext/>
              <w:jc w:val="center"/>
              <w:rPr>
                <w:szCs w:val="20"/>
              </w:rPr>
            </w:pPr>
            <w:r w:rsidRPr="00885AB3">
              <w:rPr>
                <w:szCs w:val="20"/>
              </w:rPr>
              <w:t>18,181</w:t>
            </w:r>
          </w:p>
        </w:tc>
        <w:tc>
          <w:tcPr>
            <w:tcW w:w="783" w:type="pct"/>
            <w:vAlign w:val="center"/>
          </w:tcPr>
          <w:p w14:paraId="479A4012" w14:textId="77777777" w:rsidR="006A1AFC" w:rsidRPr="00885AB3" w:rsidRDefault="006A1AFC" w:rsidP="00120D61">
            <w:pPr>
              <w:pStyle w:val="Tabletext"/>
              <w:keepNext/>
              <w:jc w:val="center"/>
              <w:rPr>
                <w:szCs w:val="20"/>
              </w:rPr>
            </w:pPr>
            <w:r w:rsidRPr="00885AB3">
              <w:rPr>
                <w:szCs w:val="20"/>
              </w:rPr>
              <w:t>37 (0.20)</w:t>
            </w:r>
          </w:p>
        </w:tc>
        <w:tc>
          <w:tcPr>
            <w:tcW w:w="443" w:type="pct"/>
            <w:vAlign w:val="center"/>
          </w:tcPr>
          <w:p w14:paraId="0398E02A" w14:textId="77777777" w:rsidR="006A1AFC" w:rsidRPr="00885AB3" w:rsidRDefault="006A1AFC" w:rsidP="00120D61">
            <w:pPr>
              <w:pStyle w:val="Tabletext"/>
              <w:keepNext/>
              <w:jc w:val="center"/>
              <w:rPr>
                <w:szCs w:val="20"/>
              </w:rPr>
            </w:pPr>
            <w:r w:rsidRPr="00885AB3">
              <w:rPr>
                <w:szCs w:val="20"/>
              </w:rPr>
              <w:t>18,132</w:t>
            </w:r>
          </w:p>
        </w:tc>
        <w:tc>
          <w:tcPr>
            <w:tcW w:w="1050" w:type="pct"/>
            <w:vAlign w:val="center"/>
          </w:tcPr>
          <w:p w14:paraId="1ADC54C5" w14:textId="77777777" w:rsidR="006A1AFC" w:rsidRPr="00885AB3" w:rsidRDefault="006A1AFC" w:rsidP="00120D61">
            <w:pPr>
              <w:pStyle w:val="Tabletext"/>
              <w:keepNext/>
              <w:jc w:val="center"/>
              <w:rPr>
                <w:szCs w:val="20"/>
              </w:rPr>
            </w:pPr>
            <w:r w:rsidRPr="00885AB3">
              <w:rPr>
                <w:szCs w:val="20"/>
              </w:rPr>
              <w:t>64 (0.35)</w:t>
            </w:r>
          </w:p>
        </w:tc>
        <w:tc>
          <w:tcPr>
            <w:tcW w:w="1052" w:type="pct"/>
            <w:vAlign w:val="center"/>
          </w:tcPr>
          <w:p w14:paraId="11ACD52C" w14:textId="77777777" w:rsidR="006A1AFC" w:rsidRPr="00885AB3" w:rsidRDefault="006A1AFC" w:rsidP="00120D61">
            <w:pPr>
              <w:pStyle w:val="Tabletext"/>
              <w:keepNext/>
              <w:jc w:val="center"/>
              <w:rPr>
                <w:rFonts w:cs="Calibri"/>
                <w:szCs w:val="20"/>
              </w:rPr>
            </w:pPr>
            <w:r w:rsidRPr="00885AB3">
              <w:rPr>
                <w:rFonts w:cs="Calibri"/>
                <w:szCs w:val="20"/>
              </w:rPr>
              <w:t>42.6 (14.0, 61.7)</w:t>
            </w:r>
          </w:p>
        </w:tc>
      </w:tr>
      <w:tr w:rsidR="006A1AFC" w:rsidRPr="00885AB3" w14:paraId="7DDDDB1C" w14:textId="77777777">
        <w:trPr>
          <w:trHeight w:val="174"/>
        </w:trPr>
        <w:tc>
          <w:tcPr>
            <w:tcW w:w="1229" w:type="pct"/>
            <w:tcBorders>
              <w:left w:val="single" w:sz="4" w:space="0" w:color="auto"/>
              <w:right w:val="single" w:sz="4" w:space="0" w:color="auto"/>
            </w:tcBorders>
            <w:vAlign w:val="center"/>
          </w:tcPr>
          <w:p w14:paraId="34CC4A4E" w14:textId="77777777" w:rsidR="006A1AFC" w:rsidRPr="00885AB3" w:rsidRDefault="006A1AFC" w:rsidP="00120D61">
            <w:pPr>
              <w:pStyle w:val="Tabletext"/>
              <w:keepNext/>
              <w:rPr>
                <w:szCs w:val="20"/>
              </w:rPr>
            </w:pPr>
            <w:r w:rsidRPr="00885AB3">
              <w:rPr>
                <w:szCs w:val="20"/>
              </w:rPr>
              <w:t>24 months</w:t>
            </w:r>
          </w:p>
        </w:tc>
        <w:tc>
          <w:tcPr>
            <w:tcW w:w="443" w:type="pct"/>
            <w:tcBorders>
              <w:left w:val="single" w:sz="4" w:space="0" w:color="auto"/>
            </w:tcBorders>
            <w:vAlign w:val="center"/>
          </w:tcPr>
          <w:p w14:paraId="1C4B661C" w14:textId="77777777" w:rsidR="006A1AFC" w:rsidRPr="00885AB3" w:rsidRDefault="006A1AFC" w:rsidP="00120D61">
            <w:pPr>
              <w:pStyle w:val="Tabletext"/>
              <w:keepNext/>
              <w:jc w:val="center"/>
              <w:rPr>
                <w:szCs w:val="20"/>
              </w:rPr>
            </w:pPr>
            <w:r w:rsidRPr="00885AB3">
              <w:rPr>
                <w:szCs w:val="20"/>
              </w:rPr>
              <w:t>18,181</w:t>
            </w:r>
          </w:p>
        </w:tc>
        <w:tc>
          <w:tcPr>
            <w:tcW w:w="783" w:type="pct"/>
            <w:vAlign w:val="center"/>
          </w:tcPr>
          <w:p w14:paraId="1398F67F" w14:textId="77777777" w:rsidR="006A1AFC" w:rsidRPr="00885AB3" w:rsidRDefault="006A1AFC" w:rsidP="00120D61">
            <w:pPr>
              <w:pStyle w:val="Tabletext"/>
              <w:keepNext/>
              <w:jc w:val="center"/>
              <w:rPr>
                <w:szCs w:val="20"/>
              </w:rPr>
            </w:pPr>
            <w:r w:rsidRPr="00885AB3">
              <w:rPr>
                <w:szCs w:val="20"/>
              </w:rPr>
              <w:t>77 (0.42)</w:t>
            </w:r>
          </w:p>
        </w:tc>
        <w:tc>
          <w:tcPr>
            <w:tcW w:w="443" w:type="pct"/>
            <w:vAlign w:val="center"/>
          </w:tcPr>
          <w:p w14:paraId="6E35340F" w14:textId="77777777" w:rsidR="006A1AFC" w:rsidRPr="00885AB3" w:rsidRDefault="006A1AFC" w:rsidP="00120D61">
            <w:pPr>
              <w:pStyle w:val="Tabletext"/>
              <w:keepNext/>
              <w:jc w:val="center"/>
              <w:rPr>
                <w:szCs w:val="20"/>
              </w:rPr>
            </w:pPr>
            <w:r w:rsidRPr="00885AB3">
              <w:rPr>
                <w:szCs w:val="20"/>
              </w:rPr>
              <w:t>18,132</w:t>
            </w:r>
          </w:p>
        </w:tc>
        <w:tc>
          <w:tcPr>
            <w:tcW w:w="1050" w:type="pct"/>
            <w:vAlign w:val="center"/>
          </w:tcPr>
          <w:p w14:paraId="0A1B200F" w14:textId="77777777" w:rsidR="006A1AFC" w:rsidRPr="00885AB3" w:rsidRDefault="006A1AFC" w:rsidP="00120D61">
            <w:pPr>
              <w:pStyle w:val="Tabletext"/>
              <w:keepNext/>
              <w:jc w:val="center"/>
              <w:rPr>
                <w:szCs w:val="20"/>
              </w:rPr>
            </w:pPr>
            <w:r w:rsidRPr="00885AB3">
              <w:rPr>
                <w:szCs w:val="20"/>
              </w:rPr>
              <w:t>122 (0.67)</w:t>
            </w:r>
          </w:p>
        </w:tc>
        <w:tc>
          <w:tcPr>
            <w:tcW w:w="1052" w:type="pct"/>
            <w:vAlign w:val="center"/>
          </w:tcPr>
          <w:p w14:paraId="4DA9959F" w14:textId="77777777" w:rsidR="006A1AFC" w:rsidRPr="00885AB3" w:rsidRDefault="006A1AFC" w:rsidP="00120D61">
            <w:pPr>
              <w:pStyle w:val="Tabletext"/>
              <w:keepNext/>
              <w:jc w:val="center"/>
              <w:rPr>
                <w:rFonts w:cs="Calibri"/>
                <w:szCs w:val="20"/>
              </w:rPr>
            </w:pPr>
            <w:r w:rsidRPr="00885AB3">
              <w:rPr>
                <w:rFonts w:cs="Calibri"/>
                <w:szCs w:val="20"/>
              </w:rPr>
              <w:t>37.4 (16.8, 53.0)</w:t>
            </w:r>
          </w:p>
        </w:tc>
      </w:tr>
      <w:tr w:rsidR="006A1AFC" w:rsidRPr="00885AB3" w14:paraId="0158899C" w14:textId="77777777">
        <w:trPr>
          <w:trHeight w:val="174"/>
        </w:trPr>
        <w:tc>
          <w:tcPr>
            <w:tcW w:w="5000" w:type="pct"/>
            <w:gridSpan w:val="6"/>
            <w:tcBorders>
              <w:left w:val="single" w:sz="4" w:space="0" w:color="auto"/>
            </w:tcBorders>
            <w:vAlign w:val="center"/>
          </w:tcPr>
          <w:p w14:paraId="432BC605" w14:textId="77777777" w:rsidR="006A1AFC" w:rsidRPr="00885AB3" w:rsidRDefault="006A1AFC" w:rsidP="00120D61">
            <w:pPr>
              <w:pStyle w:val="Tabletext"/>
              <w:keepNext/>
              <w:rPr>
                <w:rFonts w:cs="Calibri"/>
                <w:szCs w:val="20"/>
              </w:rPr>
            </w:pPr>
            <w:r w:rsidRPr="00885AB3">
              <w:rPr>
                <w:b/>
                <w:bCs/>
                <w:szCs w:val="20"/>
              </w:rPr>
              <w:t>RSV-ARD</w:t>
            </w:r>
          </w:p>
        </w:tc>
      </w:tr>
      <w:tr w:rsidR="006A1AFC" w:rsidRPr="00885AB3" w14:paraId="1D14BDD9" w14:textId="77777777">
        <w:trPr>
          <w:trHeight w:val="174"/>
        </w:trPr>
        <w:tc>
          <w:tcPr>
            <w:tcW w:w="1229" w:type="pct"/>
            <w:tcBorders>
              <w:left w:val="single" w:sz="4" w:space="0" w:color="auto"/>
              <w:right w:val="single" w:sz="4" w:space="0" w:color="auto"/>
            </w:tcBorders>
            <w:vAlign w:val="center"/>
          </w:tcPr>
          <w:p w14:paraId="3CA3C657" w14:textId="77777777" w:rsidR="006A1AFC" w:rsidRPr="00885AB3" w:rsidRDefault="006A1AFC" w:rsidP="00120D61">
            <w:pPr>
              <w:pStyle w:val="Tabletext"/>
              <w:keepNext/>
              <w:rPr>
                <w:szCs w:val="20"/>
              </w:rPr>
            </w:pPr>
            <w:r w:rsidRPr="00885AB3">
              <w:rPr>
                <w:szCs w:val="20"/>
              </w:rPr>
              <w:t>12 months</w:t>
            </w:r>
          </w:p>
        </w:tc>
        <w:tc>
          <w:tcPr>
            <w:tcW w:w="443" w:type="pct"/>
            <w:tcBorders>
              <w:left w:val="single" w:sz="4" w:space="0" w:color="auto"/>
            </w:tcBorders>
            <w:vAlign w:val="center"/>
          </w:tcPr>
          <w:p w14:paraId="71FCD8F0" w14:textId="77777777" w:rsidR="006A1AFC" w:rsidRPr="00885AB3" w:rsidRDefault="006A1AFC" w:rsidP="00120D61">
            <w:pPr>
              <w:pStyle w:val="Tabletext"/>
              <w:keepNext/>
              <w:jc w:val="center"/>
              <w:rPr>
                <w:szCs w:val="20"/>
              </w:rPr>
            </w:pPr>
            <w:r w:rsidRPr="00885AB3">
              <w:rPr>
                <w:szCs w:val="20"/>
              </w:rPr>
              <w:t>18,181</w:t>
            </w:r>
          </w:p>
        </w:tc>
        <w:tc>
          <w:tcPr>
            <w:tcW w:w="783" w:type="pct"/>
            <w:vAlign w:val="center"/>
          </w:tcPr>
          <w:p w14:paraId="0C1B529F" w14:textId="77777777" w:rsidR="006A1AFC" w:rsidRPr="00885AB3" w:rsidRDefault="006A1AFC" w:rsidP="00120D61">
            <w:pPr>
              <w:pStyle w:val="Tabletext"/>
              <w:keepNext/>
              <w:jc w:val="center"/>
              <w:rPr>
                <w:szCs w:val="20"/>
              </w:rPr>
            </w:pPr>
            <w:r w:rsidRPr="00885AB3">
              <w:rPr>
                <w:szCs w:val="20"/>
              </w:rPr>
              <w:t>80 (0.44)</w:t>
            </w:r>
          </w:p>
        </w:tc>
        <w:tc>
          <w:tcPr>
            <w:tcW w:w="443" w:type="pct"/>
            <w:vAlign w:val="center"/>
          </w:tcPr>
          <w:p w14:paraId="0F3D52BD" w14:textId="77777777" w:rsidR="006A1AFC" w:rsidRPr="00885AB3" w:rsidRDefault="006A1AFC" w:rsidP="00120D61">
            <w:pPr>
              <w:pStyle w:val="Tabletext"/>
              <w:keepNext/>
              <w:jc w:val="center"/>
              <w:rPr>
                <w:szCs w:val="20"/>
              </w:rPr>
            </w:pPr>
            <w:r w:rsidRPr="00885AB3">
              <w:rPr>
                <w:szCs w:val="20"/>
              </w:rPr>
              <w:t>18,132</w:t>
            </w:r>
          </w:p>
        </w:tc>
        <w:tc>
          <w:tcPr>
            <w:tcW w:w="1050" w:type="pct"/>
            <w:vAlign w:val="center"/>
          </w:tcPr>
          <w:p w14:paraId="3E9BE03F" w14:textId="77777777" w:rsidR="006A1AFC" w:rsidRPr="00885AB3" w:rsidRDefault="006A1AFC" w:rsidP="00120D61">
            <w:pPr>
              <w:pStyle w:val="Tabletext"/>
              <w:keepNext/>
              <w:jc w:val="center"/>
              <w:rPr>
                <w:szCs w:val="20"/>
              </w:rPr>
            </w:pPr>
            <w:r w:rsidRPr="00885AB3">
              <w:rPr>
                <w:szCs w:val="20"/>
              </w:rPr>
              <w:t>133 (0.73)</w:t>
            </w:r>
          </w:p>
        </w:tc>
        <w:tc>
          <w:tcPr>
            <w:tcW w:w="1052" w:type="pct"/>
            <w:vAlign w:val="center"/>
          </w:tcPr>
          <w:p w14:paraId="7CF6A494" w14:textId="77777777" w:rsidR="006A1AFC" w:rsidRPr="00885AB3" w:rsidRDefault="006A1AFC" w:rsidP="00120D61">
            <w:pPr>
              <w:pStyle w:val="Tabletext"/>
              <w:keepNext/>
              <w:jc w:val="center"/>
              <w:rPr>
                <w:rFonts w:cs="Calibri"/>
                <w:b/>
                <w:szCs w:val="20"/>
              </w:rPr>
            </w:pPr>
            <w:r w:rsidRPr="00885AB3">
              <w:rPr>
                <w:rFonts w:cs="Calibri"/>
                <w:b/>
                <w:szCs w:val="20"/>
              </w:rPr>
              <w:t>40.3 (21.3, 54.8)</w:t>
            </w:r>
          </w:p>
        </w:tc>
      </w:tr>
      <w:tr w:rsidR="006A1AFC" w:rsidRPr="00885AB3" w14:paraId="382177FB" w14:textId="77777777">
        <w:trPr>
          <w:trHeight w:val="174"/>
        </w:trPr>
        <w:tc>
          <w:tcPr>
            <w:tcW w:w="1229" w:type="pct"/>
            <w:tcBorders>
              <w:left w:val="single" w:sz="4" w:space="0" w:color="auto"/>
              <w:right w:val="single" w:sz="4" w:space="0" w:color="auto"/>
            </w:tcBorders>
            <w:vAlign w:val="center"/>
          </w:tcPr>
          <w:p w14:paraId="3FC3FFE1" w14:textId="77777777" w:rsidR="006A1AFC" w:rsidRPr="00885AB3" w:rsidRDefault="006A1AFC" w:rsidP="00120D61">
            <w:pPr>
              <w:pStyle w:val="Tabletext"/>
              <w:keepNext/>
              <w:rPr>
                <w:szCs w:val="20"/>
              </w:rPr>
            </w:pPr>
            <w:r w:rsidRPr="00885AB3">
              <w:rPr>
                <w:szCs w:val="20"/>
              </w:rPr>
              <w:t>24 months</w:t>
            </w:r>
          </w:p>
        </w:tc>
        <w:tc>
          <w:tcPr>
            <w:tcW w:w="443" w:type="pct"/>
            <w:tcBorders>
              <w:left w:val="single" w:sz="4" w:space="0" w:color="auto"/>
            </w:tcBorders>
            <w:vAlign w:val="center"/>
          </w:tcPr>
          <w:p w14:paraId="5D3C309B" w14:textId="77777777" w:rsidR="006A1AFC" w:rsidRPr="00885AB3" w:rsidRDefault="006A1AFC" w:rsidP="00120D61">
            <w:pPr>
              <w:pStyle w:val="Tabletext"/>
              <w:keepNext/>
              <w:jc w:val="center"/>
              <w:rPr>
                <w:szCs w:val="20"/>
              </w:rPr>
            </w:pPr>
            <w:r w:rsidRPr="00885AB3">
              <w:rPr>
                <w:szCs w:val="20"/>
              </w:rPr>
              <w:t>18,181</w:t>
            </w:r>
          </w:p>
        </w:tc>
        <w:tc>
          <w:tcPr>
            <w:tcW w:w="783" w:type="pct"/>
            <w:vAlign w:val="center"/>
          </w:tcPr>
          <w:p w14:paraId="69218A4A" w14:textId="77777777" w:rsidR="006A1AFC" w:rsidRPr="00885AB3" w:rsidRDefault="006A1AFC" w:rsidP="00120D61">
            <w:pPr>
              <w:pStyle w:val="Tabletext"/>
              <w:keepNext/>
              <w:jc w:val="center"/>
              <w:rPr>
                <w:szCs w:val="20"/>
              </w:rPr>
            </w:pPr>
            <w:r w:rsidRPr="00885AB3">
              <w:rPr>
                <w:szCs w:val="20"/>
              </w:rPr>
              <w:t>157(0.86)</w:t>
            </w:r>
          </w:p>
        </w:tc>
        <w:tc>
          <w:tcPr>
            <w:tcW w:w="443" w:type="pct"/>
            <w:vAlign w:val="center"/>
          </w:tcPr>
          <w:p w14:paraId="46C32CDF" w14:textId="77777777" w:rsidR="006A1AFC" w:rsidRPr="00885AB3" w:rsidRDefault="006A1AFC" w:rsidP="00120D61">
            <w:pPr>
              <w:pStyle w:val="Tabletext"/>
              <w:keepNext/>
              <w:jc w:val="center"/>
              <w:rPr>
                <w:szCs w:val="20"/>
              </w:rPr>
            </w:pPr>
            <w:r w:rsidRPr="00885AB3">
              <w:rPr>
                <w:szCs w:val="20"/>
              </w:rPr>
              <w:t>18,132</w:t>
            </w:r>
          </w:p>
        </w:tc>
        <w:tc>
          <w:tcPr>
            <w:tcW w:w="1050" w:type="pct"/>
            <w:vAlign w:val="center"/>
          </w:tcPr>
          <w:p w14:paraId="489D47BE" w14:textId="77777777" w:rsidR="006A1AFC" w:rsidRPr="00885AB3" w:rsidRDefault="006A1AFC" w:rsidP="00120D61">
            <w:pPr>
              <w:pStyle w:val="Tabletext"/>
              <w:keepNext/>
              <w:jc w:val="center"/>
              <w:rPr>
                <w:szCs w:val="20"/>
              </w:rPr>
            </w:pPr>
            <w:r w:rsidRPr="00885AB3">
              <w:rPr>
                <w:szCs w:val="20"/>
              </w:rPr>
              <w:t>241 (1.33)</w:t>
            </w:r>
          </w:p>
        </w:tc>
        <w:tc>
          <w:tcPr>
            <w:tcW w:w="1052" w:type="pct"/>
            <w:vAlign w:val="center"/>
          </w:tcPr>
          <w:p w14:paraId="54D630F8" w14:textId="77777777" w:rsidR="006A1AFC" w:rsidRPr="00885AB3" w:rsidRDefault="006A1AFC" w:rsidP="00120D61">
            <w:pPr>
              <w:pStyle w:val="Tabletext"/>
              <w:keepNext/>
              <w:jc w:val="center"/>
              <w:rPr>
                <w:rFonts w:cs="Calibri"/>
                <w:b/>
                <w:szCs w:val="20"/>
              </w:rPr>
            </w:pPr>
            <w:r w:rsidRPr="00885AB3">
              <w:rPr>
                <w:rFonts w:cs="Calibri"/>
                <w:b/>
                <w:szCs w:val="20"/>
              </w:rPr>
              <w:t>35.5 (21.1, 47.2)</w:t>
            </w:r>
          </w:p>
        </w:tc>
      </w:tr>
    </w:tbl>
    <w:p w14:paraId="7704A282" w14:textId="77777777" w:rsidR="006A1AFC" w:rsidRPr="00885AB3" w:rsidRDefault="006A1AFC" w:rsidP="00120D61">
      <w:pPr>
        <w:pStyle w:val="FooterTableFigure"/>
        <w:keepNext/>
      </w:pPr>
      <w:r w:rsidRPr="00885AB3">
        <w:t xml:space="preserve">Source: Table 2-41, p121 of the submission. </w:t>
      </w:r>
    </w:p>
    <w:p w14:paraId="07DB5CA0" w14:textId="77777777" w:rsidR="006A1AFC" w:rsidRPr="00885AB3" w:rsidRDefault="006A1AFC" w:rsidP="00120D61">
      <w:pPr>
        <w:pStyle w:val="FooterTableFigure"/>
        <w:keepNext/>
      </w:pPr>
      <w:r w:rsidRPr="00885AB3">
        <w:t>ARD = acute respiratory disease; CI = confidence interval; n =</w:t>
      </w:r>
      <w:r w:rsidRPr="00885AB3">
        <w:rPr>
          <w:rFonts w:cs="Calibri"/>
          <w:szCs w:val="20"/>
        </w:rPr>
        <w:t xml:space="preserve"> number of participants with event; </w:t>
      </w:r>
      <w:r w:rsidRPr="00885AB3">
        <w:t>PPE = per-protocol efficacy; RSV</w:t>
      </w:r>
      <w:r w:rsidRPr="00885AB3">
        <w:rPr>
          <w:rFonts w:cs="Calibri"/>
          <w:szCs w:val="20"/>
        </w:rPr>
        <w:t xml:space="preserve"> = </w:t>
      </w:r>
      <w:r w:rsidRPr="00885AB3">
        <w:t xml:space="preserve">respiratory syncytial virus; RSV-LRTD = respiratory syncytial virus-associated lower respiratory tract disease; VE = vaccine efficacy; YOA = years of age. </w:t>
      </w:r>
    </w:p>
    <w:p w14:paraId="057D224C" w14:textId="214B7786" w:rsidR="006A1AFC" w:rsidRPr="00885AB3" w:rsidRDefault="00754C16" w:rsidP="00120D61">
      <w:pPr>
        <w:pStyle w:val="FooterTableFigure"/>
        <w:keepNext/>
      </w:pPr>
      <w:r w:rsidRPr="00885AB3">
        <w:t>N</w:t>
      </w:r>
      <w:r w:rsidR="00220229" w:rsidRPr="00885AB3">
        <w:t>ote</w:t>
      </w:r>
      <w:r w:rsidRPr="00885AB3">
        <w:t xml:space="preserve">: </w:t>
      </w:r>
      <w:r w:rsidR="006A1AFC" w:rsidRPr="00885AB3">
        <w:t xml:space="preserve">RSV-LRTD with 2 or more symptoms and RSV-ARD was calculated as date of case−date of randomization+1. Participants without a case in the specified </w:t>
      </w:r>
      <w:proofErr w:type="gramStart"/>
      <w:r w:rsidR="006A1AFC" w:rsidRPr="00885AB3">
        <w:t>time period</w:t>
      </w:r>
      <w:proofErr w:type="gramEnd"/>
      <w:r w:rsidR="006A1AFC" w:rsidRPr="00885AB3">
        <w:t xml:space="preserve"> were censored at the earliest date of 12 months postinjection, date of early discontinuation, date of unrelated death, and data cutoff date. </w:t>
      </w:r>
    </w:p>
    <w:p w14:paraId="2C996B9E" w14:textId="77777777" w:rsidR="006A1AFC" w:rsidRPr="00885AB3" w:rsidRDefault="006A1AFC" w:rsidP="00120D61">
      <w:pPr>
        <w:pStyle w:val="FooterTableFigure"/>
        <w:keepNext/>
      </w:pPr>
      <w:r w:rsidRPr="00885AB3">
        <w:rPr>
          <w:rFonts w:cs="Calibri"/>
          <w:szCs w:val="20"/>
        </w:rPr>
        <w:t xml:space="preserve">Results in this table </w:t>
      </w:r>
      <w:r w:rsidRPr="00885AB3">
        <w:t>exclude individuals who develop</w:t>
      </w:r>
      <w:r w:rsidRPr="00885AB3">
        <w:rPr>
          <w:rFonts w:cs="Calibri"/>
          <w:szCs w:val="20"/>
        </w:rPr>
        <w:t xml:space="preserve"> the </w:t>
      </w:r>
      <w:r w:rsidRPr="00885AB3">
        <w:t>outcome within ≤</w:t>
      </w:r>
      <w:r w:rsidRPr="00885AB3">
        <w:rPr>
          <w:rFonts w:cs="Calibri"/>
          <w:szCs w:val="20"/>
        </w:rPr>
        <w:t xml:space="preserve"> 14 days post vaccination. </w:t>
      </w:r>
    </w:p>
    <w:p w14:paraId="14C2541C" w14:textId="0567AC5F" w:rsidR="006A1AFC" w:rsidRPr="00885AB3" w:rsidRDefault="006A1AFC" w:rsidP="00120D61">
      <w:pPr>
        <w:pStyle w:val="FooterTableFigure"/>
        <w:keepNext/>
      </w:pPr>
      <w:r w:rsidRPr="00885AB3">
        <w:rPr>
          <w:vertAlign w:val="superscript"/>
        </w:rPr>
        <w:t>a</w:t>
      </w:r>
      <w:r w:rsidR="007E316A" w:rsidRPr="00885AB3">
        <w:rPr>
          <w:vertAlign w:val="superscript"/>
        </w:rPr>
        <w:t xml:space="preserve"> </w:t>
      </w:r>
      <w:r w:rsidRPr="00885AB3">
        <w:t>VE based on HR was defined as 100% × (1−hazard ratio [mRNA-1345 vs placebo]). The CI for VE was based on a stratified Cox proportional hazard model with Efron's method of tie handling and with the vaccination group as a fixed effect, adjusting for stratification factors at randomisation.</w:t>
      </w:r>
    </w:p>
    <w:p w14:paraId="7E216320" w14:textId="77777777" w:rsidR="006A1AFC" w:rsidRPr="00885AB3" w:rsidRDefault="006A1AFC" w:rsidP="00120D61">
      <w:pPr>
        <w:pStyle w:val="FooterTableFigure"/>
        <w:keepNext/>
      </w:pPr>
      <w:r w:rsidRPr="00885AB3">
        <w:rPr>
          <w:b/>
          <w:bCs/>
        </w:rPr>
        <w:t>Bold</w:t>
      </w:r>
      <w:r w:rsidRPr="00885AB3">
        <w:t xml:space="preserve"> indicates that predefined lower bound of the CI around VE was greater than 20%. </w:t>
      </w:r>
    </w:p>
    <w:p w14:paraId="61E4C23A" w14:textId="34EAC0A4" w:rsidR="006A1AFC" w:rsidRPr="00885AB3" w:rsidRDefault="006A1AFC" w:rsidP="00120D61">
      <w:pPr>
        <w:pStyle w:val="3-BodyText"/>
        <w:rPr>
          <w:iCs/>
        </w:rPr>
      </w:pPr>
      <w:bookmarkStart w:id="66" w:name="_Ref206650898"/>
      <w:r w:rsidRPr="00885AB3">
        <w:t>VE against RSV disease endpoints caused by RSV subtype B was numerically lower than that measured against disease caused by RSV subtype A, although the CIs for the point estimates</w:t>
      </w:r>
      <w:r w:rsidRPr="00885AB3">
        <w:rPr>
          <w:i/>
        </w:rPr>
        <w:t xml:space="preserve"> </w:t>
      </w:r>
      <w:r w:rsidRPr="00885AB3">
        <w:t xml:space="preserve">overlapped. </w:t>
      </w:r>
      <w:proofErr w:type="spellStart"/>
      <w:r w:rsidRPr="00885AB3">
        <w:t>ConquerRSV</w:t>
      </w:r>
      <w:proofErr w:type="spellEnd"/>
      <w:r w:rsidRPr="00885AB3">
        <w:t xml:space="preserve"> was not powered to compare VE by RSV subtypes. </w:t>
      </w:r>
      <w:bookmarkStart w:id="67" w:name="_Ref205755986"/>
      <w:r w:rsidRPr="00885AB3">
        <w:rPr>
          <w:iCs/>
        </w:rPr>
        <w:t xml:space="preserve">Noting this limitation, the lower bound 95% CI for the VE for the prevention of RSV-LRTD </w:t>
      </w:r>
      <w:r w:rsidR="00EF2FA4">
        <w:rPr>
          <w:rFonts w:cstheme="minorHAnsi"/>
          <w:iCs/>
        </w:rPr>
        <w:t xml:space="preserve">≥ </w:t>
      </w:r>
      <w:r w:rsidRPr="00885AB3">
        <w:rPr>
          <w:iCs/>
        </w:rPr>
        <w:t>2 symptoms for RSV B was lower than 20%, therefore it did not meet the pre-defined efficacy criteria.</w:t>
      </w:r>
      <w:r w:rsidR="00F80B3A" w:rsidRPr="00885AB3">
        <w:rPr>
          <w:iCs/>
        </w:rPr>
        <w:t xml:space="preserve"> The PSCR stated</w:t>
      </w:r>
      <w:r w:rsidR="00E351D5" w:rsidRPr="00885AB3">
        <w:rPr>
          <w:iCs/>
        </w:rPr>
        <w:t xml:space="preserve"> </w:t>
      </w:r>
      <w:r w:rsidR="00F80B3A" w:rsidRPr="00885AB3">
        <w:rPr>
          <w:iCs/>
        </w:rPr>
        <w:t xml:space="preserve">that this </w:t>
      </w:r>
      <w:r w:rsidR="00045E80" w:rsidRPr="00885AB3">
        <w:rPr>
          <w:iCs/>
        </w:rPr>
        <w:t>is not a meaningful threshold</w:t>
      </w:r>
      <w:r w:rsidR="00E351D5" w:rsidRPr="00885AB3">
        <w:rPr>
          <w:iCs/>
        </w:rPr>
        <w:t xml:space="preserve"> from which</w:t>
      </w:r>
      <w:r w:rsidR="00045E80" w:rsidRPr="00885AB3">
        <w:rPr>
          <w:iCs/>
        </w:rPr>
        <w:t xml:space="preserve"> to draw conc</w:t>
      </w:r>
      <w:r w:rsidR="00E351D5" w:rsidRPr="00885AB3">
        <w:rPr>
          <w:iCs/>
        </w:rPr>
        <w:t>l</w:t>
      </w:r>
      <w:r w:rsidR="00045E80" w:rsidRPr="00885AB3">
        <w:rPr>
          <w:iCs/>
        </w:rPr>
        <w:t>usion</w:t>
      </w:r>
      <w:r w:rsidR="00E351D5" w:rsidRPr="00885AB3">
        <w:rPr>
          <w:iCs/>
        </w:rPr>
        <w:t>s</w:t>
      </w:r>
      <w:r w:rsidR="00F326C4" w:rsidRPr="00885AB3">
        <w:rPr>
          <w:iCs/>
        </w:rPr>
        <w:t xml:space="preserve"> regarding effectiveness against RSV</w:t>
      </w:r>
      <w:r w:rsidR="004946B9" w:rsidRPr="00885AB3">
        <w:rPr>
          <w:iCs/>
        </w:rPr>
        <w:t xml:space="preserve"> </w:t>
      </w:r>
      <w:r w:rsidR="00F326C4" w:rsidRPr="00885AB3">
        <w:rPr>
          <w:iCs/>
        </w:rPr>
        <w:t>B strains</w:t>
      </w:r>
      <w:r w:rsidR="00B32C95" w:rsidRPr="00885AB3">
        <w:rPr>
          <w:iCs/>
        </w:rPr>
        <w:t>, given the statistical power limitation</w:t>
      </w:r>
      <w:r w:rsidR="00B40EF9" w:rsidRPr="00885AB3">
        <w:rPr>
          <w:iCs/>
        </w:rPr>
        <w:t xml:space="preserve"> acknowledged by the evaluation</w:t>
      </w:r>
      <w:r w:rsidR="00E351D5" w:rsidRPr="00885AB3">
        <w:rPr>
          <w:iCs/>
        </w:rPr>
        <w:t>.</w:t>
      </w:r>
      <w:r w:rsidRPr="00885AB3">
        <w:rPr>
          <w:iCs/>
        </w:rPr>
        <w:t xml:space="preserve"> The ATAGI Advice noted that for RSV seasons that contain higher rates of RSV B cases, the VE may not confer the benefit as reported in </w:t>
      </w:r>
      <w:proofErr w:type="spellStart"/>
      <w:r w:rsidRPr="00885AB3">
        <w:rPr>
          <w:iCs/>
        </w:rPr>
        <w:t>ConquerRSV</w:t>
      </w:r>
      <w:proofErr w:type="spellEnd"/>
      <w:r w:rsidRPr="00885AB3">
        <w:rPr>
          <w:iCs/>
        </w:rPr>
        <w:t xml:space="preserve"> (ATAGI Advice, June 2025). A numeric difference favouring subtype RSV A was also reported in RENOIR (</w:t>
      </w:r>
      <w:proofErr w:type="spellStart"/>
      <w:r w:rsidRPr="00885AB3">
        <w:rPr>
          <w:iCs/>
        </w:rPr>
        <w:t>RSVPreF</w:t>
      </w:r>
      <w:proofErr w:type="spellEnd"/>
      <w:r w:rsidRPr="00885AB3">
        <w:rPr>
          <w:iCs/>
        </w:rPr>
        <w:t xml:space="preserve">) and AReSVi-006 (RSVPreF3 OA), noting that only AReSVi-006 resulted in a lower bound 95% CI </w:t>
      </w:r>
      <w:r w:rsidR="00EF2FA4">
        <w:rPr>
          <w:rFonts w:cs="Calibri"/>
          <w:iCs/>
        </w:rPr>
        <w:t xml:space="preserve">≥ </w:t>
      </w:r>
      <w:r w:rsidRPr="00885AB3">
        <w:rPr>
          <w:iCs/>
        </w:rPr>
        <w:t>20% for prevention of RSV</w:t>
      </w:r>
      <w:r w:rsidR="00E07865" w:rsidRPr="00885AB3">
        <w:rPr>
          <w:iCs/>
        </w:rPr>
        <w:noBreakHyphen/>
      </w:r>
      <w:r w:rsidRPr="00885AB3">
        <w:rPr>
          <w:iCs/>
        </w:rPr>
        <w:t xml:space="preserve">LRTD caused by RSV subtype B (p12, </w:t>
      </w:r>
      <w:proofErr w:type="spellStart"/>
      <w:r w:rsidRPr="00885AB3">
        <w:rPr>
          <w:iCs/>
        </w:rPr>
        <w:t>RSVPreF</w:t>
      </w:r>
      <w:proofErr w:type="spellEnd"/>
      <w:r w:rsidRPr="00885AB3">
        <w:rPr>
          <w:iCs/>
        </w:rPr>
        <w:t xml:space="preserve"> PSD, November 2024).</w:t>
      </w:r>
      <w:bookmarkEnd w:id="66"/>
      <w:bookmarkEnd w:id="67"/>
      <w:r w:rsidRPr="00885AB3">
        <w:rPr>
          <w:iCs/>
        </w:rPr>
        <w:t xml:space="preserve"> </w:t>
      </w:r>
    </w:p>
    <w:p w14:paraId="4E0E83D4" w14:textId="510A3B2A" w:rsidR="007B1508" w:rsidRPr="00885AB3" w:rsidRDefault="006A1AFC" w:rsidP="00120D61">
      <w:pPr>
        <w:pStyle w:val="3-BodyText"/>
      </w:pPr>
      <w:bookmarkStart w:id="68" w:name="_Ref210918666"/>
      <w:r w:rsidRPr="00885AB3">
        <w:t>The submission presented an assessment of VE for age subgroups relevant to inform the NIP listing. The VE for the prevention of RSV-LRTD (</w:t>
      </w:r>
      <w:r w:rsidR="00EF2FA4">
        <w:rPr>
          <w:rFonts w:cs="Calibri"/>
        </w:rPr>
        <w:t xml:space="preserve">≥ </w:t>
      </w:r>
      <w:r w:rsidRPr="00885AB3">
        <w:t>2 symptoms), RSV-ARD and severe RSV (median time to follow-up 18.8 months) is summarised in</w:t>
      </w:r>
      <w:bookmarkStart w:id="69" w:name="_Ref206095957"/>
      <w:r w:rsidR="007B1508" w:rsidRPr="00885AB3">
        <w:t xml:space="preserve"> </w:t>
      </w:r>
      <w:r w:rsidR="007B1508" w:rsidRPr="00885AB3">
        <w:fldChar w:fldCharType="begin" w:fldLock="1"/>
      </w:r>
      <w:r w:rsidR="007B1508" w:rsidRPr="00885AB3">
        <w:instrText xml:space="preserve"> REF _Ref208997345 \h </w:instrText>
      </w:r>
      <w:r w:rsidR="005F5B2F" w:rsidRPr="00885AB3">
        <w:instrText xml:space="preserve"> \* MERGEFORMAT </w:instrText>
      </w:r>
      <w:r w:rsidR="007B1508" w:rsidRPr="00885AB3">
        <w:fldChar w:fldCharType="separate"/>
      </w:r>
      <w:r w:rsidR="00515933" w:rsidRPr="00885AB3">
        <w:t>Table 8</w:t>
      </w:r>
      <w:r w:rsidR="007B1508" w:rsidRPr="00885AB3">
        <w:fldChar w:fldCharType="end"/>
      </w:r>
      <w:r w:rsidR="007B1508" w:rsidRPr="00885AB3">
        <w:t>.</w:t>
      </w:r>
      <w:bookmarkEnd w:id="68"/>
    </w:p>
    <w:p w14:paraId="60F667C4" w14:textId="6830BD9B" w:rsidR="00CB61AD" w:rsidRPr="00885AB3" w:rsidRDefault="00CB61AD" w:rsidP="00120D61">
      <w:pPr>
        <w:pStyle w:val="3-BodyText"/>
        <w:numPr>
          <w:ilvl w:val="0"/>
          <w:numId w:val="0"/>
        </w:numPr>
        <w:sectPr w:rsidR="00CB61AD" w:rsidRPr="00885AB3" w:rsidSect="00251006">
          <w:headerReference w:type="even" r:id="rId13"/>
          <w:headerReference w:type="default" r:id="rId14"/>
          <w:footerReference w:type="even" r:id="rId15"/>
          <w:footerReference w:type="default" r:id="rId16"/>
          <w:headerReference w:type="first" r:id="rId17"/>
          <w:footerReference w:type="first" r:id="rId18"/>
          <w:pgSz w:w="11907" w:h="16840" w:code="9"/>
          <w:pgMar w:top="1440" w:right="1440" w:bottom="1440" w:left="1440" w:header="1440" w:footer="1440" w:gutter="0"/>
          <w:pgNumType w:start="1"/>
          <w:cols w:space="708"/>
          <w:docGrid w:linePitch="360"/>
        </w:sectPr>
      </w:pPr>
    </w:p>
    <w:p w14:paraId="72A0D7BC" w14:textId="77777777" w:rsidR="007B1508" w:rsidRPr="00885AB3" w:rsidRDefault="007B1508" w:rsidP="00120D61"/>
    <w:p w14:paraId="24439A13" w14:textId="4AB7A958" w:rsidR="006A1AFC" w:rsidRPr="00885AB3" w:rsidRDefault="006A1AFC" w:rsidP="00120D61">
      <w:pPr>
        <w:pStyle w:val="Caption"/>
      </w:pPr>
      <w:bookmarkStart w:id="70" w:name="_Ref208997345"/>
      <w:r w:rsidRPr="00885AB3">
        <w:t xml:space="preserve">Table </w:t>
      </w:r>
      <w:r w:rsidR="008A242D" w:rsidRPr="00885AB3">
        <w:fldChar w:fldCharType="begin" w:fldLock="1"/>
      </w:r>
      <w:r w:rsidR="008A242D" w:rsidRPr="00885AB3">
        <w:instrText xml:space="preserve"> SEQ Table \* ARABIC </w:instrText>
      </w:r>
      <w:r w:rsidR="008A242D" w:rsidRPr="00885AB3">
        <w:fldChar w:fldCharType="separate"/>
      </w:r>
      <w:r w:rsidR="00515933" w:rsidRPr="00885AB3">
        <w:t>8</w:t>
      </w:r>
      <w:r w:rsidR="008A242D" w:rsidRPr="00885AB3">
        <w:fldChar w:fldCharType="end"/>
      </w:r>
      <w:bookmarkEnd w:id="69"/>
      <w:bookmarkEnd w:id="70"/>
      <w:r w:rsidRPr="00885AB3">
        <w:t>: Cumulative VE for the prevention of RSV-LRTD in subgroups of adults based on age, over 12 and 24 months (single dose, PPE set, 8.6 and 18.8-month follow-up)</w:t>
      </w:r>
    </w:p>
    <w:tbl>
      <w:tblPr>
        <w:tblW w:w="5000" w:type="pct"/>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Caption w:val="Table 8: Cumulative VE for the prevention of RSV-LRTD in subgroups of adults based on age, over 12 and 24 months (single dose, PPE set, 8.6 and 18.8-month follow-up)"/>
      </w:tblPr>
      <w:tblGrid>
        <w:gridCol w:w="1247"/>
        <w:gridCol w:w="968"/>
        <w:gridCol w:w="1110"/>
        <w:gridCol w:w="1945"/>
        <w:gridCol w:w="1286"/>
        <w:gridCol w:w="1289"/>
        <w:gridCol w:w="2140"/>
        <w:gridCol w:w="1275"/>
        <w:gridCol w:w="1281"/>
        <w:gridCol w:w="1409"/>
      </w:tblGrid>
      <w:tr w:rsidR="006A1AFC" w:rsidRPr="00885AB3" w14:paraId="7A6AED90" w14:textId="77777777" w:rsidTr="00482586">
        <w:trPr>
          <w:trHeight w:val="227"/>
        </w:trPr>
        <w:tc>
          <w:tcPr>
            <w:tcW w:w="447" w:type="pct"/>
            <w:vMerge w:val="restart"/>
            <w:vAlign w:val="center"/>
            <w:hideMark/>
          </w:tcPr>
          <w:p w14:paraId="507A9202" w14:textId="77777777" w:rsidR="006A1AFC" w:rsidRPr="00885AB3" w:rsidRDefault="006A1AFC" w:rsidP="00120D61">
            <w:pPr>
              <w:pStyle w:val="In-tableHeading"/>
              <w:rPr>
                <w:lang w:eastAsia="en-US"/>
              </w:rPr>
            </w:pPr>
            <w:r w:rsidRPr="00885AB3">
              <w:rPr>
                <w:lang w:eastAsia="en-US"/>
              </w:rPr>
              <w:t>Age Group </w:t>
            </w:r>
          </w:p>
        </w:tc>
        <w:tc>
          <w:tcPr>
            <w:tcW w:w="1441" w:type="pct"/>
            <w:gridSpan w:val="3"/>
            <w:vAlign w:val="center"/>
            <w:hideMark/>
          </w:tcPr>
          <w:p w14:paraId="09403F08" w14:textId="200AE2A3" w:rsidR="006A1AFC" w:rsidRPr="00885AB3" w:rsidRDefault="006A1AFC" w:rsidP="00120D61">
            <w:pPr>
              <w:pStyle w:val="In-tableHeading"/>
              <w:jc w:val="center"/>
              <w:rPr>
                <w:lang w:eastAsia="en-US"/>
              </w:rPr>
            </w:pPr>
            <w:r w:rsidRPr="00885AB3">
              <w:rPr>
                <w:lang w:eastAsia="en-US"/>
              </w:rPr>
              <w:t xml:space="preserve">RSV-LRTD </w:t>
            </w:r>
            <w:r w:rsidR="00EF2FA4">
              <w:rPr>
                <w:lang w:eastAsia="en-US"/>
              </w:rPr>
              <w:t xml:space="preserve">≥ </w:t>
            </w:r>
            <w:r w:rsidRPr="00885AB3">
              <w:rPr>
                <w:lang w:eastAsia="en-US"/>
              </w:rPr>
              <w:t>2 symptoms</w:t>
            </w:r>
          </w:p>
        </w:tc>
        <w:tc>
          <w:tcPr>
            <w:tcW w:w="1689" w:type="pct"/>
            <w:gridSpan w:val="3"/>
            <w:vAlign w:val="center"/>
            <w:hideMark/>
          </w:tcPr>
          <w:p w14:paraId="00BEC364" w14:textId="77777777" w:rsidR="006A1AFC" w:rsidRPr="00885AB3" w:rsidRDefault="006A1AFC" w:rsidP="00120D61">
            <w:pPr>
              <w:pStyle w:val="In-tableHeading"/>
              <w:jc w:val="center"/>
              <w:rPr>
                <w:lang w:eastAsia="en-US"/>
              </w:rPr>
            </w:pPr>
            <w:r w:rsidRPr="00885AB3">
              <w:rPr>
                <w:lang w:eastAsia="en-US"/>
              </w:rPr>
              <w:t>RSV-ARD</w:t>
            </w:r>
          </w:p>
        </w:tc>
        <w:tc>
          <w:tcPr>
            <w:tcW w:w="1422" w:type="pct"/>
            <w:gridSpan w:val="3"/>
            <w:vAlign w:val="center"/>
          </w:tcPr>
          <w:p w14:paraId="315A909F" w14:textId="77777777" w:rsidR="006A1AFC" w:rsidRPr="00885AB3" w:rsidRDefault="006A1AFC" w:rsidP="00120D61">
            <w:pPr>
              <w:pStyle w:val="In-tableHeading"/>
              <w:jc w:val="center"/>
              <w:rPr>
                <w:vertAlign w:val="superscript"/>
                <w:lang w:eastAsia="en-US"/>
              </w:rPr>
            </w:pPr>
            <w:r w:rsidRPr="00885AB3">
              <w:rPr>
                <w:lang w:eastAsia="en-US"/>
              </w:rPr>
              <w:t xml:space="preserve">Severe </w:t>
            </w:r>
            <w:proofErr w:type="spellStart"/>
            <w:r w:rsidRPr="00885AB3">
              <w:rPr>
                <w:lang w:eastAsia="en-US"/>
              </w:rPr>
              <w:t>RSV</w:t>
            </w:r>
            <w:r w:rsidRPr="00885AB3">
              <w:rPr>
                <w:vertAlign w:val="superscript"/>
                <w:lang w:eastAsia="en-US"/>
              </w:rPr>
              <w:t>b</w:t>
            </w:r>
            <w:proofErr w:type="spellEnd"/>
          </w:p>
        </w:tc>
      </w:tr>
      <w:tr w:rsidR="00116A98" w:rsidRPr="00885AB3" w14:paraId="4286B56E" w14:textId="77777777" w:rsidTr="00482586">
        <w:trPr>
          <w:trHeight w:val="227"/>
        </w:trPr>
        <w:tc>
          <w:tcPr>
            <w:tcW w:w="447" w:type="pct"/>
            <w:vMerge/>
            <w:vAlign w:val="center"/>
            <w:hideMark/>
          </w:tcPr>
          <w:p w14:paraId="7328B5CB" w14:textId="77777777" w:rsidR="006A1AFC" w:rsidRPr="00885AB3" w:rsidRDefault="006A1AFC" w:rsidP="00120D61">
            <w:pPr>
              <w:pStyle w:val="In-tableHeading"/>
              <w:rPr>
                <w:lang w:eastAsia="en-US"/>
              </w:rPr>
            </w:pPr>
          </w:p>
        </w:tc>
        <w:tc>
          <w:tcPr>
            <w:tcW w:w="347" w:type="pct"/>
            <w:vAlign w:val="center"/>
            <w:hideMark/>
          </w:tcPr>
          <w:p w14:paraId="7BD3145E" w14:textId="77777777" w:rsidR="006A1AFC" w:rsidRPr="00885AB3" w:rsidRDefault="006A1AFC" w:rsidP="00120D61">
            <w:pPr>
              <w:pStyle w:val="In-tableHeading"/>
              <w:jc w:val="center"/>
              <w:rPr>
                <w:lang w:eastAsia="en-US"/>
              </w:rPr>
            </w:pPr>
            <w:r w:rsidRPr="00885AB3">
              <w:rPr>
                <w:lang w:eastAsia="en-US"/>
              </w:rPr>
              <w:t>mRNA-1345 </w:t>
            </w:r>
            <w:r w:rsidRPr="00885AB3">
              <w:rPr>
                <w:lang w:eastAsia="en-US"/>
              </w:rPr>
              <w:br/>
              <w:t>cases, n/N</w:t>
            </w:r>
          </w:p>
        </w:tc>
        <w:tc>
          <w:tcPr>
            <w:tcW w:w="398" w:type="pct"/>
            <w:vAlign w:val="center"/>
            <w:hideMark/>
          </w:tcPr>
          <w:p w14:paraId="6BC16271" w14:textId="77777777" w:rsidR="006A1AFC" w:rsidRPr="00885AB3" w:rsidRDefault="006A1AFC" w:rsidP="00120D61">
            <w:pPr>
              <w:pStyle w:val="In-tableHeading"/>
              <w:jc w:val="center"/>
              <w:rPr>
                <w:lang w:eastAsia="en-US"/>
              </w:rPr>
            </w:pPr>
            <w:r w:rsidRPr="00885AB3">
              <w:rPr>
                <w:lang w:eastAsia="en-US"/>
              </w:rPr>
              <w:t>Placebo </w:t>
            </w:r>
            <w:r w:rsidRPr="00885AB3">
              <w:rPr>
                <w:lang w:eastAsia="en-US"/>
              </w:rPr>
              <w:br/>
              <w:t>cases, n/N</w:t>
            </w:r>
          </w:p>
        </w:tc>
        <w:tc>
          <w:tcPr>
            <w:tcW w:w="697" w:type="pct"/>
            <w:vAlign w:val="center"/>
            <w:hideMark/>
          </w:tcPr>
          <w:p w14:paraId="74EA7279" w14:textId="77777777" w:rsidR="006A1AFC" w:rsidRPr="00885AB3" w:rsidRDefault="006A1AFC" w:rsidP="00120D61">
            <w:pPr>
              <w:pStyle w:val="In-tableHeading"/>
              <w:jc w:val="center"/>
              <w:rPr>
                <w:lang w:eastAsia="en-US"/>
              </w:rPr>
            </w:pPr>
            <w:r w:rsidRPr="00885AB3">
              <w:rPr>
                <w:lang w:eastAsia="en-US"/>
              </w:rPr>
              <w:t>VE, % </w:t>
            </w:r>
            <w:r w:rsidRPr="00885AB3">
              <w:rPr>
                <w:lang w:eastAsia="en-US"/>
              </w:rPr>
              <w:br/>
              <w:t>(95% CI)</w:t>
            </w:r>
          </w:p>
        </w:tc>
        <w:tc>
          <w:tcPr>
            <w:tcW w:w="461" w:type="pct"/>
            <w:vAlign w:val="center"/>
            <w:hideMark/>
          </w:tcPr>
          <w:p w14:paraId="61367BAC" w14:textId="77777777" w:rsidR="006A1AFC" w:rsidRPr="00885AB3" w:rsidRDefault="006A1AFC" w:rsidP="00120D61">
            <w:pPr>
              <w:pStyle w:val="In-tableHeading"/>
              <w:jc w:val="center"/>
              <w:rPr>
                <w:lang w:eastAsia="en-US"/>
              </w:rPr>
            </w:pPr>
            <w:r w:rsidRPr="00885AB3">
              <w:rPr>
                <w:lang w:eastAsia="en-US"/>
              </w:rPr>
              <w:t>mRNA-1345 </w:t>
            </w:r>
            <w:r w:rsidRPr="00885AB3">
              <w:rPr>
                <w:lang w:eastAsia="en-US"/>
              </w:rPr>
              <w:br/>
              <w:t>cases, n/N</w:t>
            </w:r>
          </w:p>
        </w:tc>
        <w:tc>
          <w:tcPr>
            <w:tcW w:w="462" w:type="pct"/>
            <w:vAlign w:val="center"/>
            <w:hideMark/>
          </w:tcPr>
          <w:p w14:paraId="02336F19" w14:textId="77777777" w:rsidR="006A1AFC" w:rsidRPr="00885AB3" w:rsidRDefault="006A1AFC" w:rsidP="00120D61">
            <w:pPr>
              <w:pStyle w:val="In-tableHeading"/>
              <w:jc w:val="center"/>
              <w:rPr>
                <w:lang w:eastAsia="en-US"/>
              </w:rPr>
            </w:pPr>
            <w:r w:rsidRPr="00885AB3">
              <w:rPr>
                <w:lang w:eastAsia="en-US"/>
              </w:rPr>
              <w:t>Placebo </w:t>
            </w:r>
            <w:r w:rsidRPr="00885AB3">
              <w:rPr>
                <w:lang w:eastAsia="en-US"/>
              </w:rPr>
              <w:br/>
              <w:t>cases, n/N</w:t>
            </w:r>
          </w:p>
        </w:tc>
        <w:tc>
          <w:tcPr>
            <w:tcW w:w="767" w:type="pct"/>
            <w:vAlign w:val="center"/>
            <w:hideMark/>
          </w:tcPr>
          <w:p w14:paraId="0A39BDFE" w14:textId="77777777" w:rsidR="006A1AFC" w:rsidRPr="00885AB3" w:rsidRDefault="006A1AFC" w:rsidP="00120D61">
            <w:pPr>
              <w:pStyle w:val="In-tableHeading"/>
              <w:jc w:val="center"/>
              <w:rPr>
                <w:lang w:eastAsia="en-US"/>
              </w:rPr>
            </w:pPr>
            <w:r w:rsidRPr="00885AB3">
              <w:rPr>
                <w:lang w:eastAsia="en-US"/>
              </w:rPr>
              <w:t>VE, % </w:t>
            </w:r>
            <w:r w:rsidRPr="00885AB3">
              <w:rPr>
                <w:lang w:eastAsia="en-US"/>
              </w:rPr>
              <w:br/>
              <w:t>(95% CI)</w:t>
            </w:r>
          </w:p>
        </w:tc>
        <w:tc>
          <w:tcPr>
            <w:tcW w:w="457" w:type="pct"/>
            <w:vAlign w:val="center"/>
          </w:tcPr>
          <w:p w14:paraId="643A7DAF" w14:textId="77777777" w:rsidR="006A1AFC" w:rsidRPr="00885AB3" w:rsidRDefault="006A1AFC" w:rsidP="00120D61">
            <w:pPr>
              <w:pStyle w:val="In-tableHeading"/>
              <w:jc w:val="center"/>
              <w:rPr>
                <w:lang w:eastAsia="en-US"/>
              </w:rPr>
            </w:pPr>
          </w:p>
          <w:p w14:paraId="32F48D30" w14:textId="77777777" w:rsidR="006A1AFC" w:rsidRPr="00885AB3" w:rsidRDefault="006A1AFC" w:rsidP="00120D61">
            <w:pPr>
              <w:pStyle w:val="In-tableHeading"/>
              <w:jc w:val="center"/>
              <w:rPr>
                <w:lang w:eastAsia="en-US"/>
              </w:rPr>
            </w:pPr>
            <w:r w:rsidRPr="00885AB3">
              <w:rPr>
                <w:lang w:eastAsia="en-US"/>
              </w:rPr>
              <w:t>mRNA-1345 </w:t>
            </w:r>
            <w:r w:rsidRPr="00885AB3">
              <w:rPr>
                <w:lang w:eastAsia="en-US"/>
              </w:rPr>
              <w:br/>
              <w:t>cases, n/N</w:t>
            </w:r>
          </w:p>
        </w:tc>
        <w:tc>
          <w:tcPr>
            <w:tcW w:w="459" w:type="pct"/>
            <w:vAlign w:val="center"/>
          </w:tcPr>
          <w:p w14:paraId="6AD94732" w14:textId="77777777" w:rsidR="006A1AFC" w:rsidRPr="00885AB3" w:rsidRDefault="006A1AFC" w:rsidP="00120D61">
            <w:pPr>
              <w:pStyle w:val="In-tableHeading"/>
              <w:jc w:val="center"/>
              <w:rPr>
                <w:lang w:eastAsia="en-US"/>
              </w:rPr>
            </w:pPr>
            <w:r w:rsidRPr="00885AB3">
              <w:rPr>
                <w:lang w:eastAsia="en-US"/>
              </w:rPr>
              <w:t>Placebo </w:t>
            </w:r>
            <w:r w:rsidRPr="00885AB3">
              <w:rPr>
                <w:lang w:eastAsia="en-US"/>
              </w:rPr>
              <w:br/>
              <w:t>cases, n/N</w:t>
            </w:r>
          </w:p>
        </w:tc>
        <w:tc>
          <w:tcPr>
            <w:tcW w:w="506" w:type="pct"/>
            <w:vAlign w:val="center"/>
          </w:tcPr>
          <w:p w14:paraId="2C8D446C" w14:textId="77777777" w:rsidR="006A1AFC" w:rsidRPr="00885AB3" w:rsidRDefault="006A1AFC" w:rsidP="00120D61">
            <w:pPr>
              <w:pStyle w:val="In-tableHeading"/>
              <w:jc w:val="center"/>
              <w:rPr>
                <w:lang w:eastAsia="en-US"/>
              </w:rPr>
            </w:pPr>
            <w:r w:rsidRPr="00885AB3">
              <w:rPr>
                <w:lang w:eastAsia="en-US"/>
              </w:rPr>
              <w:t>VE, % </w:t>
            </w:r>
            <w:r w:rsidRPr="00885AB3">
              <w:rPr>
                <w:lang w:eastAsia="en-US"/>
              </w:rPr>
              <w:br/>
              <w:t>(95% CI)</w:t>
            </w:r>
          </w:p>
        </w:tc>
      </w:tr>
      <w:tr w:rsidR="006A1AFC" w:rsidRPr="00885AB3" w14:paraId="0B54D6F3" w14:textId="77777777" w:rsidTr="00482586">
        <w:trPr>
          <w:trHeight w:val="227"/>
        </w:trPr>
        <w:tc>
          <w:tcPr>
            <w:tcW w:w="5000" w:type="pct"/>
            <w:gridSpan w:val="10"/>
            <w:vAlign w:val="center"/>
          </w:tcPr>
          <w:p w14:paraId="44EB20C4" w14:textId="77777777" w:rsidR="006A1AFC" w:rsidRPr="00885AB3" w:rsidRDefault="006A1AFC" w:rsidP="00120D61">
            <w:pPr>
              <w:pStyle w:val="TableText0"/>
              <w:keepNext/>
              <w:jc w:val="left"/>
              <w:rPr>
                <w:b/>
                <w:szCs w:val="20"/>
                <w:lang w:eastAsia="en-US"/>
              </w:rPr>
            </w:pPr>
            <w:r w:rsidRPr="00885AB3">
              <w:rPr>
                <w:b/>
                <w:szCs w:val="20"/>
                <w:lang w:eastAsia="en-US"/>
              </w:rPr>
              <w:t>12 months (8.6 months median follow-up)</w:t>
            </w:r>
            <w:r w:rsidRPr="00885AB3">
              <w:rPr>
                <w:b/>
                <w:szCs w:val="20"/>
                <w:vertAlign w:val="superscript"/>
                <w:lang w:eastAsia="en-US"/>
              </w:rPr>
              <w:t>a</w:t>
            </w:r>
          </w:p>
        </w:tc>
      </w:tr>
      <w:tr w:rsidR="00116A98" w:rsidRPr="00885AB3" w14:paraId="5185F250" w14:textId="77777777" w:rsidTr="00482586">
        <w:trPr>
          <w:trHeight w:val="227"/>
        </w:trPr>
        <w:tc>
          <w:tcPr>
            <w:tcW w:w="447" w:type="pct"/>
            <w:vAlign w:val="center"/>
          </w:tcPr>
          <w:p w14:paraId="50C6D04A" w14:textId="77777777" w:rsidR="006A1AFC" w:rsidRPr="00885AB3" w:rsidRDefault="006A1AFC" w:rsidP="00120D61">
            <w:pPr>
              <w:pStyle w:val="TableText0"/>
              <w:keepNext/>
              <w:jc w:val="left"/>
              <w:rPr>
                <w:szCs w:val="20"/>
                <w:lang w:eastAsia="en-US"/>
              </w:rPr>
            </w:pPr>
            <w:r w:rsidRPr="00885AB3">
              <w:rPr>
                <w:szCs w:val="20"/>
                <w:lang w:eastAsia="en-US"/>
              </w:rPr>
              <w:t>Overall </w:t>
            </w:r>
          </w:p>
        </w:tc>
        <w:tc>
          <w:tcPr>
            <w:tcW w:w="347" w:type="pct"/>
            <w:vAlign w:val="center"/>
          </w:tcPr>
          <w:p w14:paraId="76318092" w14:textId="77777777" w:rsidR="006A1AFC" w:rsidRPr="00885AB3" w:rsidRDefault="006A1AFC" w:rsidP="00120D61">
            <w:pPr>
              <w:pStyle w:val="TableText0"/>
              <w:keepNext/>
              <w:rPr>
                <w:szCs w:val="20"/>
              </w:rPr>
            </w:pPr>
            <w:r w:rsidRPr="00885AB3">
              <w:rPr>
                <w:szCs w:val="20"/>
              </w:rPr>
              <w:t>47/18,112</w:t>
            </w:r>
          </w:p>
        </w:tc>
        <w:tc>
          <w:tcPr>
            <w:tcW w:w="398" w:type="pct"/>
            <w:vAlign w:val="center"/>
          </w:tcPr>
          <w:p w14:paraId="641E4B23" w14:textId="77777777" w:rsidR="006A1AFC" w:rsidRPr="00885AB3" w:rsidRDefault="006A1AFC" w:rsidP="00120D61">
            <w:pPr>
              <w:pStyle w:val="TableText0"/>
              <w:keepNext/>
              <w:rPr>
                <w:szCs w:val="20"/>
              </w:rPr>
            </w:pPr>
            <w:r w:rsidRPr="00885AB3">
              <w:rPr>
                <w:szCs w:val="20"/>
              </w:rPr>
              <w:t>127/18,045</w:t>
            </w:r>
          </w:p>
        </w:tc>
        <w:tc>
          <w:tcPr>
            <w:tcW w:w="697" w:type="pct"/>
            <w:vAlign w:val="center"/>
          </w:tcPr>
          <w:p w14:paraId="0F97A6D0" w14:textId="4F1E2732" w:rsidR="006A1AFC" w:rsidRPr="00885AB3" w:rsidRDefault="006A1AFC" w:rsidP="00120D61">
            <w:pPr>
              <w:pStyle w:val="TableText0"/>
              <w:keepNext/>
              <w:rPr>
                <w:b/>
                <w:szCs w:val="20"/>
              </w:rPr>
            </w:pPr>
            <w:r w:rsidRPr="00885AB3">
              <w:rPr>
                <w:b/>
                <w:szCs w:val="20"/>
              </w:rPr>
              <w:t>63.3</w:t>
            </w:r>
            <w:r w:rsidR="00116A98" w:rsidRPr="00885AB3">
              <w:rPr>
                <w:b/>
                <w:szCs w:val="20"/>
              </w:rPr>
              <w:t xml:space="preserve"> </w:t>
            </w:r>
            <w:r w:rsidRPr="00885AB3">
              <w:rPr>
                <w:b/>
                <w:szCs w:val="20"/>
              </w:rPr>
              <w:t>(48.7,73.7)</w:t>
            </w:r>
          </w:p>
        </w:tc>
        <w:tc>
          <w:tcPr>
            <w:tcW w:w="461" w:type="pct"/>
            <w:vAlign w:val="center"/>
          </w:tcPr>
          <w:p w14:paraId="47E72625" w14:textId="77777777" w:rsidR="006A1AFC" w:rsidRPr="00885AB3" w:rsidRDefault="006A1AFC" w:rsidP="00120D61">
            <w:pPr>
              <w:pStyle w:val="TableText0"/>
              <w:keepNext/>
              <w:rPr>
                <w:szCs w:val="20"/>
              </w:rPr>
            </w:pPr>
            <w:r w:rsidRPr="00885AB3">
              <w:rPr>
                <w:szCs w:val="20"/>
              </w:rPr>
              <w:t>86/18,112</w:t>
            </w:r>
          </w:p>
        </w:tc>
        <w:tc>
          <w:tcPr>
            <w:tcW w:w="462" w:type="pct"/>
            <w:vAlign w:val="center"/>
          </w:tcPr>
          <w:p w14:paraId="09AF3635" w14:textId="77777777" w:rsidR="006A1AFC" w:rsidRPr="00885AB3" w:rsidRDefault="006A1AFC" w:rsidP="00120D61">
            <w:pPr>
              <w:pStyle w:val="TableText0"/>
              <w:keepNext/>
              <w:rPr>
                <w:szCs w:val="20"/>
              </w:rPr>
            </w:pPr>
            <w:r w:rsidRPr="00885AB3">
              <w:rPr>
                <w:szCs w:val="20"/>
              </w:rPr>
              <w:t>185/18,045</w:t>
            </w:r>
          </w:p>
        </w:tc>
        <w:tc>
          <w:tcPr>
            <w:tcW w:w="767" w:type="pct"/>
            <w:vAlign w:val="center"/>
          </w:tcPr>
          <w:p w14:paraId="40B21A24" w14:textId="34CF9BD2" w:rsidR="006A1AFC" w:rsidRPr="00885AB3" w:rsidRDefault="006A1AFC" w:rsidP="00120D61">
            <w:pPr>
              <w:pStyle w:val="TableText0"/>
              <w:keepNext/>
              <w:rPr>
                <w:b/>
                <w:szCs w:val="20"/>
              </w:rPr>
            </w:pPr>
            <w:r w:rsidRPr="00885AB3">
              <w:rPr>
                <w:b/>
                <w:szCs w:val="20"/>
              </w:rPr>
              <w:t>53.9</w:t>
            </w:r>
            <w:r w:rsidR="00116A98" w:rsidRPr="00885AB3">
              <w:rPr>
                <w:b/>
                <w:szCs w:val="20"/>
              </w:rPr>
              <w:t xml:space="preserve"> </w:t>
            </w:r>
            <w:r w:rsidRPr="00885AB3">
              <w:rPr>
                <w:b/>
                <w:szCs w:val="20"/>
              </w:rPr>
              <w:t>(40.5,64.3)</w:t>
            </w:r>
          </w:p>
        </w:tc>
        <w:tc>
          <w:tcPr>
            <w:tcW w:w="457" w:type="pct"/>
            <w:vAlign w:val="center"/>
          </w:tcPr>
          <w:p w14:paraId="0BA1B3EB" w14:textId="77777777" w:rsidR="006A1AFC" w:rsidRPr="00885AB3" w:rsidRDefault="006A1AFC" w:rsidP="00120D61">
            <w:pPr>
              <w:pStyle w:val="TableText0"/>
              <w:keepNext/>
              <w:rPr>
                <w:szCs w:val="20"/>
              </w:rPr>
            </w:pPr>
            <w:r w:rsidRPr="00885AB3">
              <w:rPr>
                <w:szCs w:val="20"/>
              </w:rPr>
              <w:t>11/18,112</w:t>
            </w:r>
          </w:p>
        </w:tc>
        <w:tc>
          <w:tcPr>
            <w:tcW w:w="459" w:type="pct"/>
            <w:vAlign w:val="center"/>
          </w:tcPr>
          <w:p w14:paraId="557FF3DE" w14:textId="77777777" w:rsidR="006A1AFC" w:rsidRPr="00885AB3" w:rsidRDefault="006A1AFC" w:rsidP="00120D61">
            <w:pPr>
              <w:pStyle w:val="TableText0"/>
              <w:keepNext/>
              <w:rPr>
                <w:szCs w:val="20"/>
              </w:rPr>
            </w:pPr>
            <w:r w:rsidRPr="00885AB3">
              <w:rPr>
                <w:szCs w:val="20"/>
              </w:rPr>
              <w:t>43/18,045</w:t>
            </w:r>
          </w:p>
        </w:tc>
        <w:tc>
          <w:tcPr>
            <w:tcW w:w="506" w:type="pct"/>
            <w:vAlign w:val="center"/>
          </w:tcPr>
          <w:p w14:paraId="3C2AD04D" w14:textId="5B394D50" w:rsidR="006A1AFC" w:rsidRPr="00885AB3" w:rsidRDefault="006A1AFC" w:rsidP="00120D61">
            <w:pPr>
              <w:pStyle w:val="TableText0"/>
              <w:keepNext/>
              <w:rPr>
                <w:b/>
                <w:szCs w:val="20"/>
              </w:rPr>
            </w:pPr>
            <w:r w:rsidRPr="00885AB3">
              <w:rPr>
                <w:b/>
                <w:szCs w:val="20"/>
              </w:rPr>
              <w:t>74.6</w:t>
            </w:r>
            <w:r w:rsidR="00210421" w:rsidRPr="00885AB3">
              <w:rPr>
                <w:b/>
                <w:szCs w:val="20"/>
              </w:rPr>
              <w:t xml:space="preserve"> </w:t>
            </w:r>
            <w:r w:rsidRPr="00885AB3">
              <w:rPr>
                <w:b/>
                <w:szCs w:val="20"/>
              </w:rPr>
              <w:t>(50.7, 86.9)</w:t>
            </w:r>
          </w:p>
        </w:tc>
      </w:tr>
      <w:tr w:rsidR="00116A98" w:rsidRPr="00885AB3" w14:paraId="06E69DF1" w14:textId="77777777" w:rsidTr="00482586">
        <w:trPr>
          <w:trHeight w:val="227"/>
        </w:trPr>
        <w:tc>
          <w:tcPr>
            <w:tcW w:w="447" w:type="pct"/>
            <w:vAlign w:val="center"/>
          </w:tcPr>
          <w:p w14:paraId="1AADC6D3" w14:textId="77777777" w:rsidR="006A1AFC" w:rsidRPr="00885AB3" w:rsidRDefault="006A1AFC" w:rsidP="00120D61">
            <w:pPr>
              <w:pStyle w:val="TableText0"/>
              <w:keepNext/>
              <w:jc w:val="left"/>
              <w:rPr>
                <w:szCs w:val="20"/>
                <w:lang w:eastAsia="en-US"/>
              </w:rPr>
            </w:pPr>
            <w:r w:rsidRPr="00885AB3">
              <w:rPr>
                <w:szCs w:val="20"/>
                <w:lang w:eastAsia="en-US"/>
              </w:rPr>
              <w:t>60 to 74 YOA</w:t>
            </w:r>
          </w:p>
        </w:tc>
        <w:tc>
          <w:tcPr>
            <w:tcW w:w="347" w:type="pct"/>
            <w:vAlign w:val="center"/>
          </w:tcPr>
          <w:p w14:paraId="17B14560" w14:textId="77777777" w:rsidR="006A1AFC" w:rsidRPr="00885AB3" w:rsidRDefault="006A1AFC" w:rsidP="00120D61">
            <w:pPr>
              <w:pStyle w:val="TableText0"/>
              <w:keepNext/>
              <w:rPr>
                <w:szCs w:val="20"/>
              </w:rPr>
            </w:pPr>
            <w:r w:rsidRPr="00885AB3">
              <w:rPr>
                <w:szCs w:val="20"/>
              </w:rPr>
              <w:t>36/14,830</w:t>
            </w:r>
          </w:p>
        </w:tc>
        <w:tc>
          <w:tcPr>
            <w:tcW w:w="398" w:type="pct"/>
            <w:vAlign w:val="center"/>
          </w:tcPr>
          <w:p w14:paraId="06BF3A9C" w14:textId="77777777" w:rsidR="006A1AFC" w:rsidRPr="00885AB3" w:rsidRDefault="006A1AFC" w:rsidP="00120D61">
            <w:pPr>
              <w:pStyle w:val="TableText0"/>
              <w:keepNext/>
              <w:rPr>
                <w:szCs w:val="20"/>
              </w:rPr>
            </w:pPr>
            <w:r w:rsidRPr="00885AB3">
              <w:rPr>
                <w:szCs w:val="20"/>
              </w:rPr>
              <w:t>110/14,765</w:t>
            </w:r>
          </w:p>
        </w:tc>
        <w:tc>
          <w:tcPr>
            <w:tcW w:w="697" w:type="pct"/>
            <w:vAlign w:val="center"/>
          </w:tcPr>
          <w:p w14:paraId="14CE3271" w14:textId="04DFABE6" w:rsidR="006A1AFC" w:rsidRPr="00885AB3" w:rsidRDefault="006A1AFC" w:rsidP="00120D61">
            <w:pPr>
              <w:pStyle w:val="TableText0"/>
              <w:keepNext/>
              <w:rPr>
                <w:b/>
                <w:szCs w:val="20"/>
              </w:rPr>
            </w:pPr>
            <w:r w:rsidRPr="00885AB3">
              <w:rPr>
                <w:b/>
                <w:szCs w:val="20"/>
              </w:rPr>
              <w:t>67.6</w:t>
            </w:r>
            <w:r w:rsidR="00116A98" w:rsidRPr="00885AB3">
              <w:rPr>
                <w:b/>
                <w:szCs w:val="20"/>
              </w:rPr>
              <w:t xml:space="preserve"> </w:t>
            </w:r>
            <w:r w:rsidRPr="00885AB3">
              <w:rPr>
                <w:b/>
                <w:szCs w:val="20"/>
              </w:rPr>
              <w:t>(52.8,77.7)</w:t>
            </w:r>
          </w:p>
        </w:tc>
        <w:tc>
          <w:tcPr>
            <w:tcW w:w="461" w:type="pct"/>
            <w:vAlign w:val="center"/>
          </w:tcPr>
          <w:p w14:paraId="4571D49E" w14:textId="77777777" w:rsidR="006A1AFC" w:rsidRPr="00885AB3" w:rsidRDefault="006A1AFC" w:rsidP="00120D61">
            <w:pPr>
              <w:pStyle w:val="TableText0"/>
              <w:keepNext/>
              <w:rPr>
                <w:szCs w:val="20"/>
              </w:rPr>
            </w:pPr>
            <w:r w:rsidRPr="00885AB3">
              <w:rPr>
                <w:szCs w:val="20"/>
              </w:rPr>
              <w:t>71/14,830</w:t>
            </w:r>
          </w:p>
        </w:tc>
        <w:tc>
          <w:tcPr>
            <w:tcW w:w="462" w:type="pct"/>
            <w:vAlign w:val="center"/>
          </w:tcPr>
          <w:p w14:paraId="3AF69AC0" w14:textId="77777777" w:rsidR="006A1AFC" w:rsidRPr="00885AB3" w:rsidRDefault="006A1AFC" w:rsidP="00120D61">
            <w:pPr>
              <w:pStyle w:val="TableText0"/>
              <w:keepNext/>
              <w:rPr>
                <w:szCs w:val="20"/>
              </w:rPr>
            </w:pPr>
            <w:r w:rsidRPr="00885AB3">
              <w:rPr>
                <w:szCs w:val="20"/>
              </w:rPr>
              <w:t>157/14,765</w:t>
            </w:r>
          </w:p>
        </w:tc>
        <w:tc>
          <w:tcPr>
            <w:tcW w:w="767" w:type="pct"/>
            <w:vAlign w:val="center"/>
          </w:tcPr>
          <w:p w14:paraId="64A68822" w14:textId="36FD709F" w:rsidR="006A1AFC" w:rsidRPr="00885AB3" w:rsidRDefault="006A1AFC" w:rsidP="00120D61">
            <w:pPr>
              <w:pStyle w:val="TableText0"/>
              <w:keepNext/>
              <w:rPr>
                <w:b/>
                <w:szCs w:val="20"/>
              </w:rPr>
            </w:pPr>
            <w:r w:rsidRPr="00885AB3">
              <w:rPr>
                <w:b/>
                <w:szCs w:val="20"/>
              </w:rPr>
              <w:t>55.2</w:t>
            </w:r>
            <w:r w:rsidR="00116A98" w:rsidRPr="00885AB3">
              <w:rPr>
                <w:b/>
                <w:szCs w:val="20"/>
              </w:rPr>
              <w:t xml:space="preserve"> </w:t>
            </w:r>
            <w:r w:rsidRPr="00885AB3">
              <w:rPr>
                <w:b/>
                <w:szCs w:val="20"/>
              </w:rPr>
              <w:t>(40.7,66.1)</w:t>
            </w:r>
          </w:p>
        </w:tc>
        <w:tc>
          <w:tcPr>
            <w:tcW w:w="457" w:type="pct"/>
            <w:vAlign w:val="center"/>
          </w:tcPr>
          <w:p w14:paraId="63C175C3" w14:textId="77777777" w:rsidR="006A1AFC" w:rsidRPr="00885AB3" w:rsidRDefault="006A1AFC" w:rsidP="00120D61">
            <w:pPr>
              <w:pStyle w:val="TableText0"/>
              <w:keepNext/>
              <w:rPr>
                <w:szCs w:val="20"/>
              </w:rPr>
            </w:pPr>
            <w:r w:rsidRPr="00885AB3">
              <w:rPr>
                <w:szCs w:val="20"/>
              </w:rPr>
              <w:t>9/18,830</w:t>
            </w:r>
          </w:p>
        </w:tc>
        <w:tc>
          <w:tcPr>
            <w:tcW w:w="459" w:type="pct"/>
            <w:vAlign w:val="center"/>
          </w:tcPr>
          <w:p w14:paraId="0FCFABE2" w14:textId="77777777" w:rsidR="006A1AFC" w:rsidRPr="00885AB3" w:rsidRDefault="006A1AFC" w:rsidP="00120D61">
            <w:pPr>
              <w:pStyle w:val="TableText0"/>
              <w:keepNext/>
              <w:rPr>
                <w:szCs w:val="20"/>
              </w:rPr>
            </w:pPr>
            <w:r w:rsidRPr="00885AB3">
              <w:rPr>
                <w:szCs w:val="20"/>
              </w:rPr>
              <w:t>39/14,765</w:t>
            </w:r>
          </w:p>
          <w:p w14:paraId="2D01C21D" w14:textId="77777777" w:rsidR="006A1AFC" w:rsidRPr="00885AB3" w:rsidRDefault="006A1AFC" w:rsidP="00120D61">
            <w:pPr>
              <w:pStyle w:val="TableText0"/>
              <w:keepNext/>
              <w:rPr>
                <w:szCs w:val="20"/>
              </w:rPr>
            </w:pPr>
          </w:p>
        </w:tc>
        <w:tc>
          <w:tcPr>
            <w:tcW w:w="506" w:type="pct"/>
            <w:vAlign w:val="center"/>
          </w:tcPr>
          <w:p w14:paraId="5A4E3F7E" w14:textId="167AC65C" w:rsidR="006A1AFC" w:rsidRPr="00885AB3" w:rsidRDefault="006A1AFC" w:rsidP="00120D61">
            <w:pPr>
              <w:pStyle w:val="TableText0"/>
              <w:keepNext/>
              <w:rPr>
                <w:b/>
                <w:szCs w:val="20"/>
              </w:rPr>
            </w:pPr>
            <w:r w:rsidRPr="00885AB3">
              <w:rPr>
                <w:b/>
                <w:szCs w:val="20"/>
              </w:rPr>
              <w:t>77.1</w:t>
            </w:r>
            <w:r w:rsidR="00210421" w:rsidRPr="00885AB3">
              <w:rPr>
                <w:b/>
                <w:szCs w:val="20"/>
              </w:rPr>
              <w:t xml:space="preserve"> </w:t>
            </w:r>
            <w:r w:rsidRPr="00885AB3">
              <w:rPr>
                <w:b/>
                <w:szCs w:val="20"/>
              </w:rPr>
              <w:t>(52.8, 88.9)</w:t>
            </w:r>
          </w:p>
        </w:tc>
      </w:tr>
      <w:tr w:rsidR="00116A98" w:rsidRPr="00885AB3" w14:paraId="75342389" w14:textId="77777777" w:rsidTr="00482586">
        <w:trPr>
          <w:trHeight w:val="227"/>
        </w:trPr>
        <w:tc>
          <w:tcPr>
            <w:tcW w:w="447" w:type="pct"/>
            <w:vAlign w:val="center"/>
          </w:tcPr>
          <w:p w14:paraId="5845DFDF" w14:textId="4D0544BA" w:rsidR="006A1AFC" w:rsidRPr="00885AB3" w:rsidRDefault="00EF2FA4" w:rsidP="00120D61">
            <w:pPr>
              <w:pStyle w:val="TableText0"/>
              <w:keepNext/>
              <w:jc w:val="left"/>
              <w:rPr>
                <w:szCs w:val="20"/>
                <w:lang w:eastAsia="en-US"/>
              </w:rPr>
            </w:pPr>
            <w:r>
              <w:rPr>
                <w:szCs w:val="20"/>
                <w:lang w:eastAsia="en-US"/>
              </w:rPr>
              <w:t xml:space="preserve">≥ </w:t>
            </w:r>
            <w:r w:rsidR="006A1AFC" w:rsidRPr="00885AB3">
              <w:rPr>
                <w:szCs w:val="20"/>
                <w:lang w:eastAsia="en-US"/>
              </w:rPr>
              <w:t>75 YOA</w:t>
            </w:r>
          </w:p>
        </w:tc>
        <w:tc>
          <w:tcPr>
            <w:tcW w:w="347" w:type="pct"/>
            <w:vAlign w:val="center"/>
          </w:tcPr>
          <w:p w14:paraId="0BAA4622" w14:textId="77777777" w:rsidR="006A1AFC" w:rsidRPr="00885AB3" w:rsidRDefault="006A1AFC" w:rsidP="00120D61">
            <w:pPr>
              <w:pStyle w:val="TableText0"/>
              <w:keepNext/>
              <w:rPr>
                <w:szCs w:val="20"/>
              </w:rPr>
            </w:pPr>
            <w:r w:rsidRPr="00885AB3">
              <w:rPr>
                <w:szCs w:val="20"/>
              </w:rPr>
              <w:t>11/3,282</w:t>
            </w:r>
          </w:p>
        </w:tc>
        <w:tc>
          <w:tcPr>
            <w:tcW w:w="398" w:type="pct"/>
            <w:vAlign w:val="center"/>
          </w:tcPr>
          <w:p w14:paraId="1E512AD8" w14:textId="77777777" w:rsidR="006A1AFC" w:rsidRPr="00885AB3" w:rsidRDefault="006A1AFC" w:rsidP="00120D61">
            <w:pPr>
              <w:pStyle w:val="TableText0"/>
              <w:keepNext/>
              <w:rPr>
                <w:szCs w:val="20"/>
              </w:rPr>
            </w:pPr>
            <w:r w:rsidRPr="00885AB3">
              <w:rPr>
                <w:szCs w:val="20"/>
              </w:rPr>
              <w:t>17/3,280</w:t>
            </w:r>
          </w:p>
        </w:tc>
        <w:tc>
          <w:tcPr>
            <w:tcW w:w="697" w:type="pct"/>
            <w:vAlign w:val="center"/>
          </w:tcPr>
          <w:p w14:paraId="3D75BE32" w14:textId="13FAC590" w:rsidR="006A1AFC" w:rsidRPr="00885AB3" w:rsidRDefault="006A1AFC" w:rsidP="00120D61">
            <w:pPr>
              <w:pStyle w:val="TableText0"/>
              <w:keepNext/>
              <w:rPr>
                <w:szCs w:val="20"/>
              </w:rPr>
            </w:pPr>
            <w:r w:rsidRPr="00885AB3">
              <w:rPr>
                <w:szCs w:val="20"/>
              </w:rPr>
              <w:t>35.3</w:t>
            </w:r>
            <w:r w:rsidR="00116A98" w:rsidRPr="00885AB3">
              <w:rPr>
                <w:szCs w:val="20"/>
              </w:rPr>
              <w:t xml:space="preserve"> </w:t>
            </w:r>
            <w:r w:rsidRPr="00885AB3">
              <w:rPr>
                <w:szCs w:val="20"/>
              </w:rPr>
              <w:t>(-38.1,</w:t>
            </w:r>
            <w:r w:rsidR="00C164FD" w:rsidRPr="00885AB3">
              <w:rPr>
                <w:szCs w:val="20"/>
              </w:rPr>
              <w:t xml:space="preserve"> </w:t>
            </w:r>
            <w:r w:rsidRPr="00885AB3">
              <w:rPr>
                <w:szCs w:val="20"/>
              </w:rPr>
              <w:t>69.7)</w:t>
            </w:r>
          </w:p>
        </w:tc>
        <w:tc>
          <w:tcPr>
            <w:tcW w:w="461" w:type="pct"/>
            <w:vAlign w:val="center"/>
          </w:tcPr>
          <w:p w14:paraId="690E542F" w14:textId="77777777" w:rsidR="006A1AFC" w:rsidRPr="00885AB3" w:rsidRDefault="006A1AFC" w:rsidP="00120D61">
            <w:pPr>
              <w:pStyle w:val="TableText0"/>
              <w:keepNext/>
              <w:rPr>
                <w:szCs w:val="20"/>
              </w:rPr>
            </w:pPr>
            <w:r w:rsidRPr="00885AB3">
              <w:rPr>
                <w:szCs w:val="20"/>
              </w:rPr>
              <w:t>15/3,282</w:t>
            </w:r>
          </w:p>
        </w:tc>
        <w:tc>
          <w:tcPr>
            <w:tcW w:w="462" w:type="pct"/>
            <w:vAlign w:val="center"/>
          </w:tcPr>
          <w:p w14:paraId="65C08EFA" w14:textId="77777777" w:rsidR="006A1AFC" w:rsidRPr="00885AB3" w:rsidRDefault="006A1AFC" w:rsidP="00120D61">
            <w:pPr>
              <w:pStyle w:val="TableText0"/>
              <w:keepNext/>
              <w:rPr>
                <w:szCs w:val="20"/>
              </w:rPr>
            </w:pPr>
            <w:r w:rsidRPr="00885AB3">
              <w:rPr>
                <w:szCs w:val="20"/>
              </w:rPr>
              <w:t>28/3,280</w:t>
            </w:r>
          </w:p>
        </w:tc>
        <w:tc>
          <w:tcPr>
            <w:tcW w:w="767" w:type="pct"/>
            <w:vAlign w:val="center"/>
          </w:tcPr>
          <w:p w14:paraId="73ABCF0E" w14:textId="4F18964F" w:rsidR="006A1AFC" w:rsidRPr="00885AB3" w:rsidRDefault="006A1AFC" w:rsidP="00120D61">
            <w:pPr>
              <w:pStyle w:val="TableText0"/>
              <w:keepNext/>
              <w:rPr>
                <w:szCs w:val="20"/>
              </w:rPr>
            </w:pPr>
            <w:r w:rsidRPr="00885AB3">
              <w:rPr>
                <w:szCs w:val="20"/>
              </w:rPr>
              <w:t>46.7</w:t>
            </w:r>
            <w:r w:rsidR="00116A98" w:rsidRPr="00885AB3">
              <w:rPr>
                <w:szCs w:val="20"/>
              </w:rPr>
              <w:t xml:space="preserve"> </w:t>
            </w:r>
            <w:r w:rsidRPr="00885AB3">
              <w:rPr>
                <w:szCs w:val="20"/>
              </w:rPr>
              <w:t>(0.1,</w:t>
            </w:r>
            <w:r w:rsidR="00E75C68" w:rsidRPr="00885AB3">
              <w:rPr>
                <w:szCs w:val="20"/>
              </w:rPr>
              <w:t xml:space="preserve"> </w:t>
            </w:r>
            <w:r w:rsidRPr="00885AB3">
              <w:rPr>
                <w:szCs w:val="20"/>
              </w:rPr>
              <w:t>71.5)</w:t>
            </w:r>
          </w:p>
        </w:tc>
        <w:tc>
          <w:tcPr>
            <w:tcW w:w="457" w:type="pct"/>
            <w:vAlign w:val="center"/>
          </w:tcPr>
          <w:p w14:paraId="21333F2E" w14:textId="77777777" w:rsidR="006A1AFC" w:rsidRPr="00885AB3" w:rsidRDefault="006A1AFC" w:rsidP="00120D61">
            <w:pPr>
              <w:pStyle w:val="TableText0"/>
              <w:keepNext/>
              <w:rPr>
                <w:szCs w:val="20"/>
              </w:rPr>
            </w:pPr>
            <w:r w:rsidRPr="00885AB3">
              <w:rPr>
                <w:szCs w:val="20"/>
              </w:rPr>
              <w:t>2/3,282</w:t>
            </w:r>
          </w:p>
        </w:tc>
        <w:tc>
          <w:tcPr>
            <w:tcW w:w="459" w:type="pct"/>
            <w:vAlign w:val="center"/>
          </w:tcPr>
          <w:p w14:paraId="460B7B30" w14:textId="77777777" w:rsidR="006A1AFC" w:rsidRPr="00885AB3" w:rsidRDefault="006A1AFC" w:rsidP="00120D61">
            <w:pPr>
              <w:pStyle w:val="TableText0"/>
              <w:keepNext/>
              <w:rPr>
                <w:szCs w:val="20"/>
              </w:rPr>
            </w:pPr>
            <w:r w:rsidRPr="00885AB3">
              <w:rPr>
                <w:szCs w:val="20"/>
              </w:rPr>
              <w:t>4/3,280</w:t>
            </w:r>
          </w:p>
        </w:tc>
        <w:tc>
          <w:tcPr>
            <w:tcW w:w="506" w:type="pct"/>
            <w:vAlign w:val="center"/>
          </w:tcPr>
          <w:p w14:paraId="279AB590" w14:textId="1D01BBE0" w:rsidR="006A1AFC" w:rsidRPr="00885AB3" w:rsidRDefault="006A1AFC" w:rsidP="00120D61">
            <w:pPr>
              <w:pStyle w:val="TableText0"/>
              <w:keepNext/>
              <w:rPr>
                <w:szCs w:val="20"/>
              </w:rPr>
            </w:pPr>
            <w:r w:rsidRPr="00885AB3">
              <w:rPr>
                <w:szCs w:val="20"/>
              </w:rPr>
              <w:t>49.6</w:t>
            </w:r>
            <w:r w:rsidR="00C40F4E" w:rsidRPr="00885AB3">
              <w:rPr>
                <w:szCs w:val="20"/>
              </w:rPr>
              <w:t xml:space="preserve"> </w:t>
            </w:r>
            <w:r w:rsidRPr="00885AB3">
              <w:rPr>
                <w:szCs w:val="20"/>
              </w:rPr>
              <w:t>(-175.4, 90.8)</w:t>
            </w:r>
          </w:p>
        </w:tc>
      </w:tr>
      <w:tr w:rsidR="00116A98" w:rsidRPr="00885AB3" w14:paraId="0501AD7A" w14:textId="77777777" w:rsidTr="00482586">
        <w:trPr>
          <w:trHeight w:val="227"/>
        </w:trPr>
        <w:tc>
          <w:tcPr>
            <w:tcW w:w="447" w:type="pct"/>
            <w:vAlign w:val="center"/>
          </w:tcPr>
          <w:p w14:paraId="6C4430E2" w14:textId="77777777" w:rsidR="006A1AFC" w:rsidRPr="00885AB3" w:rsidRDefault="006A1AFC" w:rsidP="00120D61">
            <w:pPr>
              <w:pStyle w:val="TableText0"/>
              <w:keepNext/>
              <w:jc w:val="left"/>
              <w:rPr>
                <w:szCs w:val="20"/>
                <w:lang w:eastAsia="en-US"/>
              </w:rPr>
            </w:pPr>
            <w:r w:rsidRPr="00885AB3">
              <w:rPr>
                <w:szCs w:val="20"/>
                <w:lang w:eastAsia="en-US"/>
              </w:rPr>
              <w:t>60-74 YOA</w:t>
            </w:r>
          </w:p>
          <w:p w14:paraId="0F144085" w14:textId="1CFEE375" w:rsidR="006A1AFC" w:rsidRPr="00885AB3" w:rsidRDefault="00EF2FA4" w:rsidP="00120D61">
            <w:pPr>
              <w:pStyle w:val="TableText0"/>
              <w:keepNext/>
              <w:jc w:val="left"/>
              <w:rPr>
                <w:szCs w:val="20"/>
                <w:lang w:eastAsia="en-US"/>
              </w:rPr>
            </w:pPr>
            <w:r>
              <w:rPr>
                <w:szCs w:val="20"/>
                <w:lang w:eastAsia="en-US"/>
              </w:rPr>
              <w:t xml:space="preserve">≥ </w:t>
            </w:r>
            <w:r w:rsidR="006A1AFC" w:rsidRPr="00885AB3">
              <w:rPr>
                <w:szCs w:val="20"/>
                <w:lang w:eastAsia="en-US"/>
              </w:rPr>
              <w:t xml:space="preserve">1 comorbidity </w:t>
            </w:r>
          </w:p>
        </w:tc>
        <w:tc>
          <w:tcPr>
            <w:tcW w:w="347" w:type="pct"/>
            <w:vAlign w:val="center"/>
          </w:tcPr>
          <w:p w14:paraId="16FBEFE2" w14:textId="77777777" w:rsidR="006A1AFC" w:rsidRPr="00885AB3" w:rsidRDefault="006A1AFC" w:rsidP="00120D61">
            <w:pPr>
              <w:pStyle w:val="TableText0"/>
              <w:keepNext/>
              <w:rPr>
                <w:szCs w:val="20"/>
              </w:rPr>
            </w:pPr>
            <w:r w:rsidRPr="00885AB3">
              <w:rPr>
                <w:szCs w:val="20"/>
              </w:rPr>
              <w:t>10/4,317</w:t>
            </w:r>
          </w:p>
        </w:tc>
        <w:tc>
          <w:tcPr>
            <w:tcW w:w="398" w:type="pct"/>
            <w:vAlign w:val="center"/>
          </w:tcPr>
          <w:p w14:paraId="5A2E621A" w14:textId="77777777" w:rsidR="006A1AFC" w:rsidRPr="00885AB3" w:rsidRDefault="006A1AFC" w:rsidP="00120D61">
            <w:pPr>
              <w:pStyle w:val="TableText0"/>
              <w:keepNext/>
              <w:rPr>
                <w:szCs w:val="20"/>
              </w:rPr>
            </w:pPr>
            <w:r w:rsidRPr="00885AB3">
              <w:rPr>
                <w:szCs w:val="20"/>
              </w:rPr>
              <w:t>43/4,198</w:t>
            </w:r>
          </w:p>
        </w:tc>
        <w:tc>
          <w:tcPr>
            <w:tcW w:w="697" w:type="pct"/>
            <w:vAlign w:val="center"/>
          </w:tcPr>
          <w:p w14:paraId="1BDB22B0" w14:textId="3ADEC94B" w:rsidR="006A1AFC" w:rsidRPr="00885AB3" w:rsidRDefault="006A1AFC" w:rsidP="00120D61">
            <w:pPr>
              <w:pStyle w:val="TableText0"/>
              <w:keepNext/>
              <w:rPr>
                <w:b/>
                <w:szCs w:val="20"/>
              </w:rPr>
            </w:pPr>
            <w:r w:rsidRPr="00885AB3">
              <w:rPr>
                <w:b/>
                <w:szCs w:val="20"/>
              </w:rPr>
              <w:t>77.4</w:t>
            </w:r>
            <w:r w:rsidR="00116A98" w:rsidRPr="00885AB3">
              <w:rPr>
                <w:b/>
                <w:szCs w:val="20"/>
              </w:rPr>
              <w:t xml:space="preserve"> </w:t>
            </w:r>
            <w:r w:rsidRPr="00885AB3">
              <w:rPr>
                <w:b/>
                <w:szCs w:val="20"/>
              </w:rPr>
              <w:t>(55.1, 88.7)</w:t>
            </w:r>
          </w:p>
        </w:tc>
        <w:tc>
          <w:tcPr>
            <w:tcW w:w="461" w:type="pct"/>
            <w:vAlign w:val="center"/>
          </w:tcPr>
          <w:p w14:paraId="40CE7BCD" w14:textId="77777777" w:rsidR="006A1AFC" w:rsidRPr="00885AB3" w:rsidRDefault="006A1AFC" w:rsidP="00120D61">
            <w:pPr>
              <w:pStyle w:val="TableText0"/>
              <w:keepNext/>
              <w:rPr>
                <w:szCs w:val="20"/>
              </w:rPr>
            </w:pPr>
            <w:r w:rsidRPr="00885AB3">
              <w:rPr>
                <w:szCs w:val="20"/>
              </w:rPr>
              <w:t>20/4,317</w:t>
            </w:r>
          </w:p>
        </w:tc>
        <w:tc>
          <w:tcPr>
            <w:tcW w:w="462" w:type="pct"/>
            <w:vAlign w:val="center"/>
          </w:tcPr>
          <w:p w14:paraId="4C703459" w14:textId="77777777" w:rsidR="006A1AFC" w:rsidRPr="00885AB3" w:rsidRDefault="006A1AFC" w:rsidP="00120D61">
            <w:pPr>
              <w:pStyle w:val="TableText0"/>
              <w:keepNext/>
              <w:rPr>
                <w:szCs w:val="20"/>
              </w:rPr>
            </w:pPr>
            <w:r w:rsidRPr="00885AB3">
              <w:rPr>
                <w:szCs w:val="20"/>
              </w:rPr>
              <w:t>47/4,198</w:t>
            </w:r>
          </w:p>
        </w:tc>
        <w:tc>
          <w:tcPr>
            <w:tcW w:w="767" w:type="pct"/>
            <w:vAlign w:val="center"/>
          </w:tcPr>
          <w:p w14:paraId="0795221D" w14:textId="77777777" w:rsidR="006A1AFC" w:rsidRPr="00885AB3" w:rsidRDefault="006A1AFC" w:rsidP="00120D61">
            <w:pPr>
              <w:pStyle w:val="TableText0"/>
              <w:keepNext/>
              <w:rPr>
                <w:b/>
                <w:szCs w:val="20"/>
              </w:rPr>
            </w:pPr>
            <w:r w:rsidRPr="00885AB3">
              <w:rPr>
                <w:b/>
                <w:szCs w:val="20"/>
              </w:rPr>
              <w:t>58.7</w:t>
            </w:r>
          </w:p>
          <w:p w14:paraId="7F4A5599" w14:textId="77777777" w:rsidR="006A1AFC" w:rsidRPr="00885AB3" w:rsidRDefault="006A1AFC" w:rsidP="00120D61">
            <w:pPr>
              <w:pStyle w:val="TableText0"/>
              <w:keepNext/>
              <w:rPr>
                <w:b/>
                <w:szCs w:val="20"/>
              </w:rPr>
            </w:pPr>
            <w:r w:rsidRPr="00885AB3">
              <w:rPr>
                <w:b/>
                <w:szCs w:val="20"/>
              </w:rPr>
              <w:t>(30.3, 75.5)</w:t>
            </w:r>
          </w:p>
        </w:tc>
        <w:tc>
          <w:tcPr>
            <w:tcW w:w="457" w:type="pct"/>
            <w:vAlign w:val="center"/>
          </w:tcPr>
          <w:p w14:paraId="61C2CF15" w14:textId="77777777" w:rsidR="006A1AFC" w:rsidRPr="00885AB3" w:rsidRDefault="006A1AFC" w:rsidP="00120D61">
            <w:pPr>
              <w:pStyle w:val="TableText0"/>
              <w:keepNext/>
              <w:rPr>
                <w:szCs w:val="20"/>
              </w:rPr>
            </w:pPr>
            <w:r w:rsidRPr="00885AB3">
              <w:rPr>
                <w:szCs w:val="20"/>
              </w:rPr>
              <w:t>5/4,317</w:t>
            </w:r>
          </w:p>
        </w:tc>
        <w:tc>
          <w:tcPr>
            <w:tcW w:w="459" w:type="pct"/>
            <w:vAlign w:val="center"/>
          </w:tcPr>
          <w:p w14:paraId="098F4641" w14:textId="77777777" w:rsidR="006A1AFC" w:rsidRPr="00885AB3" w:rsidRDefault="006A1AFC" w:rsidP="00120D61">
            <w:pPr>
              <w:pStyle w:val="TableText0"/>
              <w:keepNext/>
              <w:rPr>
                <w:szCs w:val="20"/>
              </w:rPr>
            </w:pPr>
            <w:r w:rsidRPr="00885AB3">
              <w:rPr>
                <w:szCs w:val="20"/>
              </w:rPr>
              <w:t>20/4,198</w:t>
            </w:r>
          </w:p>
        </w:tc>
        <w:tc>
          <w:tcPr>
            <w:tcW w:w="506" w:type="pct"/>
            <w:vAlign w:val="center"/>
          </w:tcPr>
          <w:p w14:paraId="47AAF83A" w14:textId="5DCD12DD" w:rsidR="006A1AFC" w:rsidRPr="00885AB3" w:rsidRDefault="006A1AFC" w:rsidP="00120D61">
            <w:pPr>
              <w:pStyle w:val="TableText0"/>
              <w:keepNext/>
              <w:rPr>
                <w:b/>
                <w:szCs w:val="20"/>
              </w:rPr>
            </w:pPr>
            <w:r w:rsidRPr="00885AB3">
              <w:rPr>
                <w:b/>
                <w:szCs w:val="20"/>
              </w:rPr>
              <w:t>75.7</w:t>
            </w:r>
            <w:r w:rsidR="00210421" w:rsidRPr="00885AB3">
              <w:rPr>
                <w:b/>
                <w:szCs w:val="20"/>
              </w:rPr>
              <w:t xml:space="preserve"> </w:t>
            </w:r>
            <w:r w:rsidRPr="00885AB3">
              <w:rPr>
                <w:b/>
                <w:szCs w:val="20"/>
              </w:rPr>
              <w:t>(35.2, 90.9)</w:t>
            </w:r>
          </w:p>
        </w:tc>
      </w:tr>
      <w:tr w:rsidR="00116A98" w:rsidRPr="00885AB3" w14:paraId="0CECD281" w14:textId="77777777" w:rsidTr="00482586">
        <w:trPr>
          <w:trHeight w:val="227"/>
        </w:trPr>
        <w:tc>
          <w:tcPr>
            <w:tcW w:w="447" w:type="pct"/>
            <w:vAlign w:val="center"/>
          </w:tcPr>
          <w:p w14:paraId="2C68E415" w14:textId="77777777" w:rsidR="006A1AFC" w:rsidRPr="00885AB3" w:rsidRDefault="006A1AFC" w:rsidP="00120D61">
            <w:pPr>
              <w:pStyle w:val="TableText0"/>
              <w:keepNext/>
              <w:jc w:val="left"/>
              <w:rPr>
                <w:szCs w:val="20"/>
                <w:lang w:eastAsia="en-US"/>
              </w:rPr>
            </w:pPr>
            <w:r w:rsidRPr="00885AB3">
              <w:rPr>
                <w:szCs w:val="20"/>
              </w:rPr>
              <w:t>60 to 69 YOA</w:t>
            </w:r>
          </w:p>
        </w:tc>
        <w:tc>
          <w:tcPr>
            <w:tcW w:w="347" w:type="pct"/>
            <w:vAlign w:val="center"/>
          </w:tcPr>
          <w:p w14:paraId="4F02CD66" w14:textId="77777777" w:rsidR="006A1AFC" w:rsidRPr="00885AB3" w:rsidRDefault="006A1AFC" w:rsidP="00120D61">
            <w:pPr>
              <w:pStyle w:val="TableText0"/>
              <w:keepNext/>
              <w:rPr>
                <w:szCs w:val="20"/>
              </w:rPr>
            </w:pPr>
            <w:r w:rsidRPr="00885AB3">
              <w:rPr>
                <w:szCs w:val="20"/>
              </w:rPr>
              <w:t>31/11219</w:t>
            </w:r>
          </w:p>
        </w:tc>
        <w:tc>
          <w:tcPr>
            <w:tcW w:w="398" w:type="pct"/>
            <w:vAlign w:val="center"/>
          </w:tcPr>
          <w:p w14:paraId="398E9EBE" w14:textId="77777777" w:rsidR="006A1AFC" w:rsidRPr="00885AB3" w:rsidRDefault="006A1AFC" w:rsidP="00120D61">
            <w:pPr>
              <w:pStyle w:val="TableText0"/>
              <w:keepNext/>
              <w:rPr>
                <w:szCs w:val="20"/>
              </w:rPr>
            </w:pPr>
            <w:r w:rsidRPr="00885AB3">
              <w:rPr>
                <w:szCs w:val="20"/>
              </w:rPr>
              <w:t>77/11170</w:t>
            </w:r>
          </w:p>
        </w:tc>
        <w:tc>
          <w:tcPr>
            <w:tcW w:w="697" w:type="pct"/>
            <w:vAlign w:val="center"/>
          </w:tcPr>
          <w:p w14:paraId="2F6CACF3" w14:textId="77777777" w:rsidR="006A1AFC" w:rsidRPr="00885AB3" w:rsidRDefault="006A1AFC" w:rsidP="00120D61">
            <w:pPr>
              <w:pStyle w:val="TableText0"/>
              <w:keepNext/>
              <w:rPr>
                <w:b/>
                <w:szCs w:val="20"/>
              </w:rPr>
            </w:pPr>
            <w:r w:rsidRPr="00885AB3">
              <w:rPr>
                <w:b/>
                <w:szCs w:val="20"/>
              </w:rPr>
              <w:t>60.1 (39.5, 73.7)</w:t>
            </w:r>
          </w:p>
        </w:tc>
        <w:tc>
          <w:tcPr>
            <w:tcW w:w="461" w:type="pct"/>
            <w:vAlign w:val="center"/>
          </w:tcPr>
          <w:p w14:paraId="7733BC84" w14:textId="77777777" w:rsidR="006A1AFC" w:rsidRPr="00885AB3" w:rsidRDefault="006A1AFC" w:rsidP="00120D61">
            <w:pPr>
              <w:pStyle w:val="TableText0"/>
              <w:keepNext/>
              <w:rPr>
                <w:szCs w:val="20"/>
              </w:rPr>
            </w:pPr>
            <w:r w:rsidRPr="00885AB3">
              <w:rPr>
                <w:szCs w:val="20"/>
              </w:rPr>
              <w:t>56/11219</w:t>
            </w:r>
          </w:p>
        </w:tc>
        <w:tc>
          <w:tcPr>
            <w:tcW w:w="462" w:type="pct"/>
            <w:vAlign w:val="center"/>
          </w:tcPr>
          <w:p w14:paraId="16D416C8" w14:textId="77777777" w:rsidR="006A1AFC" w:rsidRPr="00885AB3" w:rsidRDefault="006A1AFC" w:rsidP="00120D61">
            <w:pPr>
              <w:pStyle w:val="TableText0"/>
              <w:keepNext/>
              <w:rPr>
                <w:szCs w:val="20"/>
              </w:rPr>
            </w:pPr>
            <w:r w:rsidRPr="00885AB3">
              <w:rPr>
                <w:szCs w:val="20"/>
              </w:rPr>
              <w:t>109/11170</w:t>
            </w:r>
          </w:p>
        </w:tc>
        <w:tc>
          <w:tcPr>
            <w:tcW w:w="767" w:type="pct"/>
            <w:vAlign w:val="center"/>
          </w:tcPr>
          <w:p w14:paraId="617AAFD3" w14:textId="77777777" w:rsidR="006A1AFC" w:rsidRPr="00885AB3" w:rsidRDefault="006A1AFC" w:rsidP="00120D61">
            <w:pPr>
              <w:pStyle w:val="TableText0"/>
              <w:keepNext/>
              <w:rPr>
                <w:b/>
                <w:szCs w:val="20"/>
              </w:rPr>
            </w:pPr>
            <w:r w:rsidRPr="00885AB3">
              <w:rPr>
                <w:b/>
                <w:szCs w:val="20"/>
              </w:rPr>
              <w:t>49.1 (29.8, 63.1)</w:t>
            </w:r>
          </w:p>
        </w:tc>
        <w:tc>
          <w:tcPr>
            <w:tcW w:w="457" w:type="pct"/>
            <w:vAlign w:val="center"/>
          </w:tcPr>
          <w:p w14:paraId="3AB82232" w14:textId="77777777" w:rsidR="006A1AFC" w:rsidRPr="00885AB3" w:rsidRDefault="006A1AFC" w:rsidP="00120D61">
            <w:pPr>
              <w:pStyle w:val="TableText0"/>
              <w:keepNext/>
              <w:rPr>
                <w:szCs w:val="20"/>
              </w:rPr>
            </w:pPr>
            <w:r w:rsidRPr="00885AB3">
              <w:rPr>
                <w:szCs w:val="20"/>
              </w:rPr>
              <w:t>NR</w:t>
            </w:r>
          </w:p>
        </w:tc>
        <w:tc>
          <w:tcPr>
            <w:tcW w:w="459" w:type="pct"/>
            <w:vAlign w:val="center"/>
          </w:tcPr>
          <w:p w14:paraId="4504AB42" w14:textId="77777777" w:rsidR="006A1AFC" w:rsidRPr="00885AB3" w:rsidRDefault="006A1AFC" w:rsidP="00120D61">
            <w:pPr>
              <w:pStyle w:val="TableText0"/>
              <w:keepNext/>
              <w:rPr>
                <w:szCs w:val="20"/>
              </w:rPr>
            </w:pPr>
            <w:r w:rsidRPr="00885AB3">
              <w:rPr>
                <w:szCs w:val="20"/>
              </w:rPr>
              <w:t>NR</w:t>
            </w:r>
          </w:p>
        </w:tc>
        <w:tc>
          <w:tcPr>
            <w:tcW w:w="506" w:type="pct"/>
            <w:vAlign w:val="center"/>
          </w:tcPr>
          <w:p w14:paraId="5F2AEDAC" w14:textId="77777777" w:rsidR="006A1AFC" w:rsidRPr="00885AB3" w:rsidRDefault="006A1AFC" w:rsidP="00120D61">
            <w:pPr>
              <w:pStyle w:val="TableText0"/>
              <w:keepNext/>
              <w:rPr>
                <w:szCs w:val="20"/>
              </w:rPr>
            </w:pPr>
            <w:r w:rsidRPr="00885AB3">
              <w:rPr>
                <w:szCs w:val="20"/>
              </w:rPr>
              <w:t>NR</w:t>
            </w:r>
          </w:p>
        </w:tc>
      </w:tr>
      <w:tr w:rsidR="00116A98" w:rsidRPr="00885AB3" w14:paraId="0CBF35C0" w14:textId="77777777" w:rsidTr="00482586">
        <w:trPr>
          <w:trHeight w:val="227"/>
        </w:trPr>
        <w:tc>
          <w:tcPr>
            <w:tcW w:w="447" w:type="pct"/>
            <w:vAlign w:val="center"/>
          </w:tcPr>
          <w:p w14:paraId="74544B5E" w14:textId="77777777" w:rsidR="006A1AFC" w:rsidRPr="00885AB3" w:rsidRDefault="006A1AFC" w:rsidP="00120D61">
            <w:pPr>
              <w:pStyle w:val="TableText0"/>
              <w:keepNext/>
              <w:jc w:val="left"/>
              <w:rPr>
                <w:szCs w:val="20"/>
                <w:lang w:eastAsia="en-US"/>
              </w:rPr>
            </w:pPr>
            <w:r w:rsidRPr="00885AB3">
              <w:rPr>
                <w:szCs w:val="20"/>
              </w:rPr>
              <w:t>70 to 79 YOA</w:t>
            </w:r>
          </w:p>
        </w:tc>
        <w:tc>
          <w:tcPr>
            <w:tcW w:w="347" w:type="pct"/>
            <w:vAlign w:val="center"/>
          </w:tcPr>
          <w:p w14:paraId="60DC514E" w14:textId="77777777" w:rsidR="006A1AFC" w:rsidRPr="00885AB3" w:rsidRDefault="006A1AFC" w:rsidP="00120D61">
            <w:pPr>
              <w:pStyle w:val="TableText0"/>
              <w:keepNext/>
              <w:rPr>
                <w:szCs w:val="20"/>
              </w:rPr>
            </w:pPr>
            <w:r w:rsidRPr="00885AB3">
              <w:rPr>
                <w:szCs w:val="20"/>
              </w:rPr>
              <w:t>10/5464</w:t>
            </w:r>
          </w:p>
        </w:tc>
        <w:tc>
          <w:tcPr>
            <w:tcW w:w="398" w:type="pct"/>
            <w:vAlign w:val="center"/>
          </w:tcPr>
          <w:p w14:paraId="7F27F66C" w14:textId="77777777" w:rsidR="006A1AFC" w:rsidRPr="00885AB3" w:rsidRDefault="006A1AFC" w:rsidP="00120D61">
            <w:pPr>
              <w:pStyle w:val="TableText0"/>
              <w:keepNext/>
              <w:rPr>
                <w:szCs w:val="20"/>
              </w:rPr>
            </w:pPr>
            <w:r w:rsidRPr="00885AB3">
              <w:rPr>
                <w:szCs w:val="20"/>
              </w:rPr>
              <w:t>45/5439</w:t>
            </w:r>
          </w:p>
        </w:tc>
        <w:tc>
          <w:tcPr>
            <w:tcW w:w="697" w:type="pct"/>
            <w:vAlign w:val="center"/>
          </w:tcPr>
          <w:p w14:paraId="3B258C50" w14:textId="77777777" w:rsidR="006A1AFC" w:rsidRPr="00885AB3" w:rsidRDefault="006A1AFC" w:rsidP="00120D61">
            <w:pPr>
              <w:pStyle w:val="TableText0"/>
              <w:keepNext/>
              <w:rPr>
                <w:b/>
                <w:szCs w:val="20"/>
              </w:rPr>
            </w:pPr>
            <w:r w:rsidRPr="00885AB3">
              <w:rPr>
                <w:b/>
                <w:szCs w:val="20"/>
              </w:rPr>
              <w:t>78.0 (56.3, 88.9)</w:t>
            </w:r>
          </w:p>
        </w:tc>
        <w:tc>
          <w:tcPr>
            <w:tcW w:w="461" w:type="pct"/>
            <w:vAlign w:val="center"/>
          </w:tcPr>
          <w:p w14:paraId="2A84B54D" w14:textId="77777777" w:rsidR="006A1AFC" w:rsidRPr="00885AB3" w:rsidRDefault="006A1AFC" w:rsidP="00120D61">
            <w:pPr>
              <w:pStyle w:val="TableText0"/>
              <w:keepNext/>
              <w:rPr>
                <w:szCs w:val="20"/>
              </w:rPr>
            </w:pPr>
            <w:r w:rsidRPr="00885AB3">
              <w:rPr>
                <w:szCs w:val="20"/>
              </w:rPr>
              <w:t>23/5464</w:t>
            </w:r>
          </w:p>
        </w:tc>
        <w:tc>
          <w:tcPr>
            <w:tcW w:w="462" w:type="pct"/>
            <w:vAlign w:val="center"/>
          </w:tcPr>
          <w:p w14:paraId="402C1574" w14:textId="77777777" w:rsidR="006A1AFC" w:rsidRPr="00885AB3" w:rsidRDefault="006A1AFC" w:rsidP="00120D61">
            <w:pPr>
              <w:pStyle w:val="TableText0"/>
              <w:keepNext/>
              <w:rPr>
                <w:szCs w:val="20"/>
              </w:rPr>
            </w:pPr>
            <w:r w:rsidRPr="00885AB3">
              <w:rPr>
                <w:szCs w:val="20"/>
              </w:rPr>
              <w:t>69/5439</w:t>
            </w:r>
          </w:p>
        </w:tc>
        <w:tc>
          <w:tcPr>
            <w:tcW w:w="767" w:type="pct"/>
            <w:vAlign w:val="center"/>
          </w:tcPr>
          <w:p w14:paraId="763FCBBE" w14:textId="77777777" w:rsidR="006A1AFC" w:rsidRPr="00885AB3" w:rsidRDefault="006A1AFC" w:rsidP="00120D61">
            <w:pPr>
              <w:pStyle w:val="TableText0"/>
              <w:keepNext/>
              <w:rPr>
                <w:b/>
                <w:szCs w:val="20"/>
              </w:rPr>
            </w:pPr>
            <w:r w:rsidRPr="00885AB3">
              <w:rPr>
                <w:b/>
                <w:szCs w:val="20"/>
              </w:rPr>
              <w:t>67.0 (47.0, 79.4)</w:t>
            </w:r>
          </w:p>
        </w:tc>
        <w:tc>
          <w:tcPr>
            <w:tcW w:w="457" w:type="pct"/>
            <w:vAlign w:val="center"/>
          </w:tcPr>
          <w:p w14:paraId="0878389B" w14:textId="77777777" w:rsidR="006A1AFC" w:rsidRPr="00885AB3" w:rsidRDefault="006A1AFC" w:rsidP="00120D61">
            <w:pPr>
              <w:pStyle w:val="TableText0"/>
              <w:keepNext/>
              <w:rPr>
                <w:szCs w:val="20"/>
              </w:rPr>
            </w:pPr>
            <w:r w:rsidRPr="00885AB3">
              <w:rPr>
                <w:szCs w:val="20"/>
              </w:rPr>
              <w:t>NR</w:t>
            </w:r>
          </w:p>
        </w:tc>
        <w:tc>
          <w:tcPr>
            <w:tcW w:w="459" w:type="pct"/>
            <w:vAlign w:val="center"/>
          </w:tcPr>
          <w:p w14:paraId="07203A19" w14:textId="77777777" w:rsidR="006A1AFC" w:rsidRPr="00885AB3" w:rsidRDefault="006A1AFC" w:rsidP="00120D61">
            <w:pPr>
              <w:pStyle w:val="TableText0"/>
              <w:keepNext/>
              <w:rPr>
                <w:szCs w:val="20"/>
              </w:rPr>
            </w:pPr>
            <w:r w:rsidRPr="00885AB3">
              <w:rPr>
                <w:szCs w:val="20"/>
              </w:rPr>
              <w:t>NR</w:t>
            </w:r>
          </w:p>
        </w:tc>
        <w:tc>
          <w:tcPr>
            <w:tcW w:w="506" w:type="pct"/>
            <w:vAlign w:val="center"/>
          </w:tcPr>
          <w:p w14:paraId="7A6195DD" w14:textId="77777777" w:rsidR="006A1AFC" w:rsidRPr="00885AB3" w:rsidRDefault="006A1AFC" w:rsidP="00120D61">
            <w:pPr>
              <w:pStyle w:val="TableText0"/>
              <w:keepNext/>
              <w:rPr>
                <w:szCs w:val="20"/>
              </w:rPr>
            </w:pPr>
            <w:r w:rsidRPr="00885AB3">
              <w:rPr>
                <w:szCs w:val="20"/>
              </w:rPr>
              <w:t>NR</w:t>
            </w:r>
          </w:p>
        </w:tc>
      </w:tr>
      <w:tr w:rsidR="00116A98" w:rsidRPr="00885AB3" w14:paraId="7CA3655B" w14:textId="77777777" w:rsidTr="00482586">
        <w:trPr>
          <w:trHeight w:val="227"/>
        </w:trPr>
        <w:tc>
          <w:tcPr>
            <w:tcW w:w="447" w:type="pct"/>
            <w:vAlign w:val="center"/>
          </w:tcPr>
          <w:p w14:paraId="1E7DC0F9" w14:textId="41C68BEC" w:rsidR="006A1AFC" w:rsidRPr="00885AB3" w:rsidRDefault="00EF2FA4" w:rsidP="00120D61">
            <w:pPr>
              <w:pStyle w:val="TableText0"/>
              <w:keepNext/>
              <w:jc w:val="left"/>
              <w:rPr>
                <w:szCs w:val="20"/>
                <w:lang w:eastAsia="en-US"/>
              </w:rPr>
            </w:pPr>
            <w:r>
              <w:rPr>
                <w:szCs w:val="20"/>
              </w:rPr>
              <w:t xml:space="preserve">≥ </w:t>
            </w:r>
            <w:r w:rsidR="006A1AFC" w:rsidRPr="00885AB3">
              <w:rPr>
                <w:szCs w:val="20"/>
              </w:rPr>
              <w:t>80 YOA</w:t>
            </w:r>
          </w:p>
        </w:tc>
        <w:tc>
          <w:tcPr>
            <w:tcW w:w="347" w:type="pct"/>
            <w:vAlign w:val="center"/>
          </w:tcPr>
          <w:p w14:paraId="5960C91A" w14:textId="77777777" w:rsidR="006A1AFC" w:rsidRPr="00885AB3" w:rsidRDefault="006A1AFC" w:rsidP="00120D61">
            <w:pPr>
              <w:pStyle w:val="TableText0"/>
              <w:keepNext/>
              <w:rPr>
                <w:szCs w:val="20"/>
              </w:rPr>
            </w:pPr>
            <w:r w:rsidRPr="00885AB3">
              <w:rPr>
                <w:szCs w:val="20"/>
              </w:rPr>
              <w:t>5/1436</w:t>
            </w:r>
          </w:p>
        </w:tc>
        <w:tc>
          <w:tcPr>
            <w:tcW w:w="398" w:type="pct"/>
            <w:vAlign w:val="center"/>
          </w:tcPr>
          <w:p w14:paraId="710FD092" w14:textId="77777777" w:rsidR="006A1AFC" w:rsidRPr="00885AB3" w:rsidRDefault="006A1AFC" w:rsidP="00120D61">
            <w:pPr>
              <w:pStyle w:val="TableText0"/>
              <w:keepNext/>
              <w:rPr>
                <w:szCs w:val="20"/>
              </w:rPr>
            </w:pPr>
            <w:r w:rsidRPr="00885AB3">
              <w:rPr>
                <w:szCs w:val="20"/>
              </w:rPr>
              <w:t>6/1429</w:t>
            </w:r>
          </w:p>
        </w:tc>
        <w:tc>
          <w:tcPr>
            <w:tcW w:w="697" w:type="pct"/>
            <w:vAlign w:val="center"/>
          </w:tcPr>
          <w:p w14:paraId="06C160FC" w14:textId="77777777" w:rsidR="006A1AFC" w:rsidRPr="00885AB3" w:rsidRDefault="006A1AFC" w:rsidP="00120D61">
            <w:pPr>
              <w:pStyle w:val="TableText0"/>
              <w:keepNext/>
              <w:rPr>
                <w:szCs w:val="20"/>
              </w:rPr>
            </w:pPr>
            <w:r w:rsidRPr="00885AB3">
              <w:rPr>
                <w:szCs w:val="20"/>
              </w:rPr>
              <w:t>-20.3 (-294.2, 63.3)</w:t>
            </w:r>
          </w:p>
        </w:tc>
        <w:tc>
          <w:tcPr>
            <w:tcW w:w="461" w:type="pct"/>
            <w:vAlign w:val="center"/>
          </w:tcPr>
          <w:p w14:paraId="43B26569" w14:textId="77777777" w:rsidR="006A1AFC" w:rsidRPr="00885AB3" w:rsidRDefault="006A1AFC" w:rsidP="00120D61">
            <w:pPr>
              <w:pStyle w:val="TableText0"/>
              <w:keepNext/>
              <w:rPr>
                <w:szCs w:val="20"/>
              </w:rPr>
            </w:pPr>
            <w:r w:rsidRPr="00885AB3">
              <w:rPr>
                <w:szCs w:val="20"/>
              </w:rPr>
              <w:t>7/1429</w:t>
            </w:r>
          </w:p>
        </w:tc>
        <w:tc>
          <w:tcPr>
            <w:tcW w:w="462" w:type="pct"/>
            <w:vAlign w:val="center"/>
          </w:tcPr>
          <w:p w14:paraId="2DE93A06" w14:textId="77777777" w:rsidR="006A1AFC" w:rsidRPr="00885AB3" w:rsidRDefault="006A1AFC" w:rsidP="00120D61">
            <w:pPr>
              <w:pStyle w:val="TableText0"/>
              <w:keepNext/>
              <w:rPr>
                <w:szCs w:val="20"/>
              </w:rPr>
            </w:pPr>
            <w:r w:rsidRPr="00885AB3">
              <w:rPr>
                <w:szCs w:val="20"/>
              </w:rPr>
              <w:t>7/1436</w:t>
            </w:r>
          </w:p>
        </w:tc>
        <w:tc>
          <w:tcPr>
            <w:tcW w:w="767" w:type="pct"/>
            <w:vAlign w:val="center"/>
          </w:tcPr>
          <w:p w14:paraId="6763B997" w14:textId="77777777" w:rsidR="006A1AFC" w:rsidRPr="00885AB3" w:rsidRDefault="006A1AFC" w:rsidP="00120D61">
            <w:pPr>
              <w:pStyle w:val="TableText0"/>
              <w:keepNext/>
              <w:rPr>
                <w:szCs w:val="20"/>
              </w:rPr>
            </w:pPr>
            <w:r w:rsidRPr="00885AB3">
              <w:rPr>
                <w:szCs w:val="20"/>
              </w:rPr>
              <w:t>-0.2 (-185.6, 64.9)</w:t>
            </w:r>
          </w:p>
        </w:tc>
        <w:tc>
          <w:tcPr>
            <w:tcW w:w="457" w:type="pct"/>
            <w:vAlign w:val="center"/>
          </w:tcPr>
          <w:p w14:paraId="77D3C5A5" w14:textId="77777777" w:rsidR="006A1AFC" w:rsidRPr="00885AB3" w:rsidRDefault="006A1AFC" w:rsidP="00120D61">
            <w:pPr>
              <w:pStyle w:val="TableText0"/>
              <w:keepNext/>
              <w:rPr>
                <w:szCs w:val="20"/>
              </w:rPr>
            </w:pPr>
            <w:r w:rsidRPr="00885AB3">
              <w:rPr>
                <w:szCs w:val="20"/>
              </w:rPr>
              <w:t>NR</w:t>
            </w:r>
          </w:p>
        </w:tc>
        <w:tc>
          <w:tcPr>
            <w:tcW w:w="459" w:type="pct"/>
            <w:vAlign w:val="center"/>
          </w:tcPr>
          <w:p w14:paraId="12524B72" w14:textId="77777777" w:rsidR="006A1AFC" w:rsidRPr="00885AB3" w:rsidRDefault="006A1AFC" w:rsidP="00120D61">
            <w:pPr>
              <w:pStyle w:val="TableText0"/>
              <w:keepNext/>
              <w:rPr>
                <w:szCs w:val="20"/>
              </w:rPr>
            </w:pPr>
            <w:r w:rsidRPr="00885AB3">
              <w:rPr>
                <w:szCs w:val="20"/>
              </w:rPr>
              <w:t>NR</w:t>
            </w:r>
          </w:p>
        </w:tc>
        <w:tc>
          <w:tcPr>
            <w:tcW w:w="506" w:type="pct"/>
            <w:vAlign w:val="center"/>
          </w:tcPr>
          <w:p w14:paraId="7A251BAB" w14:textId="77777777" w:rsidR="006A1AFC" w:rsidRPr="00885AB3" w:rsidRDefault="006A1AFC" w:rsidP="00120D61">
            <w:pPr>
              <w:pStyle w:val="TableText0"/>
              <w:keepNext/>
              <w:rPr>
                <w:szCs w:val="20"/>
              </w:rPr>
            </w:pPr>
            <w:r w:rsidRPr="00885AB3">
              <w:rPr>
                <w:szCs w:val="20"/>
              </w:rPr>
              <w:t>NR</w:t>
            </w:r>
          </w:p>
        </w:tc>
      </w:tr>
      <w:tr w:rsidR="006A1AFC" w:rsidRPr="00885AB3" w14:paraId="3EB4F866" w14:textId="77777777" w:rsidTr="00482586">
        <w:trPr>
          <w:trHeight w:val="227"/>
        </w:trPr>
        <w:tc>
          <w:tcPr>
            <w:tcW w:w="5000" w:type="pct"/>
            <w:gridSpan w:val="10"/>
            <w:vAlign w:val="center"/>
          </w:tcPr>
          <w:p w14:paraId="2374462D" w14:textId="77777777" w:rsidR="006A1AFC" w:rsidRPr="00885AB3" w:rsidRDefault="006A1AFC" w:rsidP="00120D61">
            <w:pPr>
              <w:pStyle w:val="TableText0"/>
              <w:keepNext/>
              <w:jc w:val="left"/>
              <w:rPr>
                <w:b/>
                <w:szCs w:val="20"/>
                <w:lang w:eastAsia="en-US"/>
              </w:rPr>
            </w:pPr>
            <w:r w:rsidRPr="00885AB3">
              <w:rPr>
                <w:b/>
                <w:szCs w:val="20"/>
                <w:lang w:eastAsia="en-US"/>
              </w:rPr>
              <w:t>24 months (18.8 months median follow-up)</w:t>
            </w:r>
          </w:p>
        </w:tc>
      </w:tr>
      <w:tr w:rsidR="00116A98" w:rsidRPr="00885AB3" w14:paraId="6D0101CF" w14:textId="77777777" w:rsidTr="00482586">
        <w:trPr>
          <w:trHeight w:val="227"/>
        </w:trPr>
        <w:tc>
          <w:tcPr>
            <w:tcW w:w="447" w:type="pct"/>
            <w:vAlign w:val="center"/>
            <w:hideMark/>
          </w:tcPr>
          <w:p w14:paraId="3FAA48E8" w14:textId="77777777" w:rsidR="006A1AFC" w:rsidRPr="00885AB3" w:rsidRDefault="006A1AFC" w:rsidP="00120D61">
            <w:pPr>
              <w:pStyle w:val="Tabletext"/>
              <w:keepNext/>
              <w:rPr>
                <w:rFonts w:eastAsia="Calibri"/>
                <w:szCs w:val="20"/>
                <w:lang w:eastAsia="en-US"/>
              </w:rPr>
            </w:pPr>
            <w:r w:rsidRPr="00885AB3">
              <w:rPr>
                <w:rFonts w:eastAsia="Calibri"/>
                <w:szCs w:val="20"/>
                <w:lang w:eastAsia="en-US"/>
              </w:rPr>
              <w:t>Overall </w:t>
            </w:r>
          </w:p>
        </w:tc>
        <w:tc>
          <w:tcPr>
            <w:tcW w:w="347" w:type="pct"/>
            <w:vAlign w:val="center"/>
            <w:hideMark/>
          </w:tcPr>
          <w:p w14:paraId="02BBBCAF" w14:textId="77777777" w:rsidR="006A1AFC" w:rsidRPr="00885AB3" w:rsidRDefault="006A1AFC" w:rsidP="00120D61">
            <w:pPr>
              <w:pStyle w:val="Tabletext"/>
              <w:keepNext/>
              <w:jc w:val="center"/>
              <w:rPr>
                <w:rFonts w:eastAsia="Calibri"/>
                <w:szCs w:val="20"/>
                <w:lang w:eastAsia="en-US"/>
              </w:rPr>
            </w:pPr>
            <w:r w:rsidRPr="00885AB3">
              <w:rPr>
                <w:rFonts w:eastAsia="Calibri"/>
                <w:szCs w:val="20"/>
                <w:lang w:eastAsia="en-US"/>
              </w:rPr>
              <w:t>132/18,181</w:t>
            </w:r>
          </w:p>
        </w:tc>
        <w:tc>
          <w:tcPr>
            <w:tcW w:w="398" w:type="pct"/>
            <w:vAlign w:val="center"/>
            <w:hideMark/>
          </w:tcPr>
          <w:p w14:paraId="7742353A" w14:textId="77777777" w:rsidR="006A1AFC" w:rsidRPr="00885AB3" w:rsidRDefault="006A1AFC" w:rsidP="00120D61">
            <w:pPr>
              <w:pStyle w:val="Tabletext"/>
              <w:keepNext/>
              <w:jc w:val="center"/>
              <w:rPr>
                <w:rFonts w:eastAsia="Calibri"/>
                <w:szCs w:val="20"/>
                <w:lang w:eastAsia="en-US"/>
              </w:rPr>
            </w:pPr>
            <w:r w:rsidRPr="00885AB3">
              <w:rPr>
                <w:rFonts w:eastAsia="Calibri"/>
                <w:szCs w:val="20"/>
                <w:lang w:eastAsia="en-US"/>
              </w:rPr>
              <w:t>248/18,132</w:t>
            </w:r>
          </w:p>
        </w:tc>
        <w:tc>
          <w:tcPr>
            <w:tcW w:w="697" w:type="pct"/>
            <w:vAlign w:val="center"/>
            <w:hideMark/>
          </w:tcPr>
          <w:p w14:paraId="369DEFA9" w14:textId="42F51894" w:rsidR="006A1AFC" w:rsidRPr="00885AB3" w:rsidRDefault="006A1AFC" w:rsidP="00120D61">
            <w:pPr>
              <w:pStyle w:val="Tabletext"/>
              <w:keepNext/>
              <w:jc w:val="center"/>
              <w:rPr>
                <w:rFonts w:eastAsia="Calibri"/>
                <w:b/>
                <w:szCs w:val="20"/>
                <w:lang w:eastAsia="en-US"/>
              </w:rPr>
            </w:pPr>
            <w:r w:rsidRPr="00885AB3">
              <w:rPr>
                <w:rFonts w:eastAsia="Calibri"/>
                <w:b/>
                <w:szCs w:val="20"/>
                <w:lang w:eastAsia="en-US"/>
              </w:rPr>
              <w:t>47.4</w:t>
            </w:r>
            <w:r w:rsidR="00116A98" w:rsidRPr="00885AB3">
              <w:rPr>
                <w:rFonts w:eastAsia="Calibri"/>
                <w:b/>
                <w:szCs w:val="20"/>
                <w:lang w:eastAsia="en-US"/>
              </w:rPr>
              <w:t xml:space="preserve"> </w:t>
            </w:r>
            <w:r w:rsidRPr="00885AB3">
              <w:rPr>
                <w:rFonts w:eastAsia="Calibri"/>
                <w:b/>
                <w:szCs w:val="20"/>
                <w:lang w:eastAsia="en-US"/>
              </w:rPr>
              <w:t>(35.0, 57.4)</w:t>
            </w:r>
          </w:p>
        </w:tc>
        <w:tc>
          <w:tcPr>
            <w:tcW w:w="461" w:type="pct"/>
            <w:vAlign w:val="center"/>
            <w:hideMark/>
          </w:tcPr>
          <w:p w14:paraId="63FFFECF" w14:textId="77777777" w:rsidR="006A1AFC" w:rsidRPr="00885AB3" w:rsidRDefault="006A1AFC" w:rsidP="00120D61">
            <w:pPr>
              <w:pStyle w:val="Tabletext"/>
              <w:keepNext/>
              <w:jc w:val="center"/>
              <w:rPr>
                <w:rFonts w:eastAsia="Calibri"/>
                <w:szCs w:val="20"/>
                <w:lang w:eastAsia="en-US"/>
              </w:rPr>
            </w:pPr>
            <w:r w:rsidRPr="00885AB3">
              <w:rPr>
                <w:rFonts w:eastAsia="Calibri"/>
                <w:szCs w:val="20"/>
                <w:lang w:eastAsia="en-US"/>
              </w:rPr>
              <w:t>249/18,181</w:t>
            </w:r>
          </w:p>
        </w:tc>
        <w:tc>
          <w:tcPr>
            <w:tcW w:w="462" w:type="pct"/>
            <w:vAlign w:val="center"/>
            <w:hideMark/>
          </w:tcPr>
          <w:p w14:paraId="6EDF31EC" w14:textId="77777777" w:rsidR="006A1AFC" w:rsidRPr="00885AB3" w:rsidRDefault="006A1AFC" w:rsidP="00120D61">
            <w:pPr>
              <w:pStyle w:val="Tabletext"/>
              <w:keepNext/>
              <w:jc w:val="center"/>
              <w:rPr>
                <w:rFonts w:eastAsia="Calibri"/>
                <w:szCs w:val="20"/>
                <w:lang w:eastAsia="en-US"/>
              </w:rPr>
            </w:pPr>
            <w:r w:rsidRPr="00885AB3">
              <w:rPr>
                <w:rFonts w:eastAsia="Calibri"/>
                <w:szCs w:val="20"/>
                <w:lang w:eastAsia="en-US"/>
              </w:rPr>
              <w:t>434/18,132</w:t>
            </w:r>
          </w:p>
        </w:tc>
        <w:tc>
          <w:tcPr>
            <w:tcW w:w="767" w:type="pct"/>
            <w:vAlign w:val="center"/>
            <w:hideMark/>
          </w:tcPr>
          <w:p w14:paraId="0D262913" w14:textId="2009D558" w:rsidR="006A1AFC" w:rsidRPr="00885AB3" w:rsidRDefault="006A1AFC" w:rsidP="00120D61">
            <w:pPr>
              <w:pStyle w:val="Tabletext"/>
              <w:keepNext/>
              <w:jc w:val="center"/>
              <w:rPr>
                <w:rFonts w:eastAsia="Calibri"/>
                <w:b/>
                <w:szCs w:val="20"/>
                <w:lang w:eastAsia="en-US"/>
              </w:rPr>
            </w:pPr>
            <w:r w:rsidRPr="00885AB3">
              <w:rPr>
                <w:rFonts w:eastAsia="Calibri"/>
                <w:b/>
                <w:szCs w:val="20"/>
                <w:lang w:eastAsia="en-US"/>
              </w:rPr>
              <w:t>43.4</w:t>
            </w:r>
            <w:r w:rsidR="00116A98" w:rsidRPr="00885AB3">
              <w:rPr>
                <w:rFonts w:eastAsia="Calibri"/>
                <w:b/>
                <w:szCs w:val="20"/>
                <w:lang w:eastAsia="en-US"/>
              </w:rPr>
              <w:t xml:space="preserve"> </w:t>
            </w:r>
            <w:r w:rsidRPr="00885AB3">
              <w:rPr>
                <w:rFonts w:eastAsia="Calibri"/>
                <w:b/>
                <w:szCs w:val="20"/>
                <w:lang w:eastAsia="en-US"/>
              </w:rPr>
              <w:t>(33.8, 51.6)</w:t>
            </w:r>
          </w:p>
        </w:tc>
        <w:tc>
          <w:tcPr>
            <w:tcW w:w="457" w:type="pct"/>
            <w:vAlign w:val="center"/>
          </w:tcPr>
          <w:p w14:paraId="0C02676B" w14:textId="77777777" w:rsidR="006A1AFC" w:rsidRPr="00885AB3" w:rsidRDefault="006A1AFC" w:rsidP="00120D61">
            <w:pPr>
              <w:pStyle w:val="Tabletext"/>
              <w:keepNext/>
              <w:jc w:val="center"/>
              <w:rPr>
                <w:rFonts w:eastAsia="Calibri"/>
                <w:szCs w:val="20"/>
                <w:lang w:eastAsia="en-US"/>
              </w:rPr>
            </w:pPr>
            <w:r w:rsidRPr="00885AB3">
              <w:rPr>
                <w:rFonts w:eastAsia="Calibri"/>
                <w:szCs w:val="20"/>
                <w:lang w:eastAsia="en-US"/>
              </w:rPr>
              <w:t>36/18,181</w:t>
            </w:r>
          </w:p>
        </w:tc>
        <w:tc>
          <w:tcPr>
            <w:tcW w:w="459" w:type="pct"/>
            <w:vAlign w:val="center"/>
          </w:tcPr>
          <w:p w14:paraId="5346191C" w14:textId="77777777" w:rsidR="006A1AFC" w:rsidRPr="00885AB3" w:rsidRDefault="006A1AFC" w:rsidP="00120D61">
            <w:pPr>
              <w:pStyle w:val="Tabletext"/>
              <w:keepNext/>
              <w:jc w:val="center"/>
              <w:rPr>
                <w:rFonts w:eastAsia="Calibri"/>
                <w:szCs w:val="20"/>
                <w:lang w:eastAsia="en-US"/>
              </w:rPr>
            </w:pPr>
            <w:r w:rsidRPr="00885AB3">
              <w:rPr>
                <w:rFonts w:eastAsia="Calibri"/>
                <w:szCs w:val="20"/>
                <w:lang w:eastAsia="en-US"/>
              </w:rPr>
              <w:t>80/18,132</w:t>
            </w:r>
          </w:p>
        </w:tc>
        <w:tc>
          <w:tcPr>
            <w:tcW w:w="506" w:type="pct"/>
            <w:vAlign w:val="center"/>
          </w:tcPr>
          <w:p w14:paraId="431A8F87" w14:textId="4ADF2FA0" w:rsidR="006A1AFC" w:rsidRPr="00885AB3" w:rsidRDefault="006A1AFC" w:rsidP="00120D61">
            <w:pPr>
              <w:pStyle w:val="Tabletext"/>
              <w:keepNext/>
              <w:jc w:val="center"/>
              <w:rPr>
                <w:rFonts w:eastAsia="Calibri"/>
                <w:b/>
                <w:szCs w:val="20"/>
                <w:lang w:eastAsia="en-US"/>
              </w:rPr>
            </w:pPr>
            <w:r w:rsidRPr="00885AB3">
              <w:rPr>
                <w:rFonts w:eastAsia="Calibri"/>
                <w:b/>
                <w:szCs w:val="20"/>
                <w:lang w:eastAsia="en-US"/>
              </w:rPr>
              <w:t>55.4</w:t>
            </w:r>
            <w:r w:rsidR="00210421" w:rsidRPr="00885AB3">
              <w:rPr>
                <w:rFonts w:eastAsia="Calibri"/>
                <w:b/>
                <w:szCs w:val="20"/>
                <w:lang w:eastAsia="en-US"/>
              </w:rPr>
              <w:t xml:space="preserve"> </w:t>
            </w:r>
            <w:r w:rsidRPr="00885AB3">
              <w:rPr>
                <w:rFonts w:eastAsia="Calibri"/>
                <w:b/>
                <w:szCs w:val="20"/>
                <w:lang w:eastAsia="en-US"/>
              </w:rPr>
              <w:t>(33.8, 69.9)</w:t>
            </w:r>
          </w:p>
        </w:tc>
      </w:tr>
      <w:tr w:rsidR="00116A98" w:rsidRPr="00885AB3" w14:paraId="23E1FDDC" w14:textId="77777777" w:rsidTr="00482586">
        <w:trPr>
          <w:trHeight w:val="227"/>
        </w:trPr>
        <w:tc>
          <w:tcPr>
            <w:tcW w:w="447" w:type="pct"/>
            <w:vAlign w:val="center"/>
            <w:hideMark/>
          </w:tcPr>
          <w:p w14:paraId="5AAF653F" w14:textId="77777777" w:rsidR="006A1AFC" w:rsidRPr="00885AB3" w:rsidRDefault="006A1AFC" w:rsidP="00120D61">
            <w:pPr>
              <w:pStyle w:val="Tabletext"/>
              <w:keepNext/>
              <w:rPr>
                <w:rFonts w:eastAsia="Calibri"/>
                <w:szCs w:val="20"/>
                <w:lang w:eastAsia="en-US"/>
              </w:rPr>
            </w:pPr>
            <w:r w:rsidRPr="00885AB3">
              <w:rPr>
                <w:rFonts w:eastAsia="Calibri"/>
                <w:szCs w:val="20"/>
                <w:lang w:eastAsia="en-US"/>
              </w:rPr>
              <w:t>60 to 74 YOA </w:t>
            </w:r>
          </w:p>
        </w:tc>
        <w:tc>
          <w:tcPr>
            <w:tcW w:w="347" w:type="pct"/>
            <w:vAlign w:val="center"/>
            <w:hideMark/>
          </w:tcPr>
          <w:p w14:paraId="15CC1641" w14:textId="77777777" w:rsidR="006A1AFC" w:rsidRPr="00885AB3" w:rsidRDefault="006A1AFC" w:rsidP="00120D61">
            <w:pPr>
              <w:pStyle w:val="Tabletext"/>
              <w:keepNext/>
              <w:jc w:val="center"/>
              <w:rPr>
                <w:rFonts w:eastAsia="Calibri"/>
                <w:szCs w:val="20"/>
                <w:lang w:eastAsia="en-US"/>
              </w:rPr>
            </w:pPr>
            <w:r w:rsidRPr="00885AB3">
              <w:rPr>
                <w:rFonts w:eastAsia="Calibri"/>
                <w:szCs w:val="20"/>
                <w:lang w:eastAsia="en-US"/>
              </w:rPr>
              <w:t>104/14,899</w:t>
            </w:r>
          </w:p>
        </w:tc>
        <w:tc>
          <w:tcPr>
            <w:tcW w:w="398" w:type="pct"/>
            <w:vAlign w:val="center"/>
            <w:hideMark/>
          </w:tcPr>
          <w:p w14:paraId="517E7276" w14:textId="77777777" w:rsidR="006A1AFC" w:rsidRPr="00885AB3" w:rsidRDefault="006A1AFC" w:rsidP="00120D61">
            <w:pPr>
              <w:pStyle w:val="Tabletext"/>
              <w:keepNext/>
              <w:jc w:val="center"/>
              <w:rPr>
                <w:rFonts w:eastAsia="Calibri"/>
                <w:szCs w:val="20"/>
                <w:lang w:eastAsia="en-US"/>
              </w:rPr>
            </w:pPr>
            <w:r w:rsidRPr="00885AB3">
              <w:rPr>
                <w:rFonts w:eastAsia="Calibri"/>
                <w:szCs w:val="20"/>
                <w:lang w:eastAsia="en-US"/>
              </w:rPr>
              <w:t>201/14,849</w:t>
            </w:r>
          </w:p>
        </w:tc>
        <w:tc>
          <w:tcPr>
            <w:tcW w:w="697" w:type="pct"/>
            <w:vAlign w:val="center"/>
            <w:hideMark/>
          </w:tcPr>
          <w:p w14:paraId="61A75E03" w14:textId="10500C97" w:rsidR="006A1AFC" w:rsidRPr="00885AB3" w:rsidRDefault="006A1AFC" w:rsidP="00120D61">
            <w:pPr>
              <w:pStyle w:val="Tabletext"/>
              <w:keepNext/>
              <w:jc w:val="center"/>
              <w:rPr>
                <w:rFonts w:eastAsia="Calibri"/>
                <w:b/>
                <w:szCs w:val="20"/>
                <w:lang w:eastAsia="en-US"/>
              </w:rPr>
            </w:pPr>
            <w:r w:rsidRPr="00885AB3">
              <w:rPr>
                <w:rFonts w:eastAsia="Calibri"/>
                <w:b/>
                <w:szCs w:val="20"/>
                <w:lang w:eastAsia="en-US"/>
              </w:rPr>
              <w:t>48.9</w:t>
            </w:r>
            <w:r w:rsidR="00116A98" w:rsidRPr="00885AB3">
              <w:rPr>
                <w:rFonts w:eastAsia="Calibri"/>
                <w:b/>
                <w:szCs w:val="20"/>
                <w:lang w:eastAsia="en-US"/>
              </w:rPr>
              <w:t xml:space="preserve"> </w:t>
            </w:r>
            <w:r w:rsidRPr="00885AB3">
              <w:rPr>
                <w:rFonts w:eastAsia="Calibri"/>
                <w:b/>
                <w:szCs w:val="20"/>
                <w:lang w:eastAsia="en-US"/>
              </w:rPr>
              <w:t>(35.2, 59.7)</w:t>
            </w:r>
          </w:p>
        </w:tc>
        <w:tc>
          <w:tcPr>
            <w:tcW w:w="461" w:type="pct"/>
            <w:vAlign w:val="center"/>
            <w:hideMark/>
          </w:tcPr>
          <w:p w14:paraId="6CCE7852" w14:textId="77777777" w:rsidR="006A1AFC" w:rsidRPr="00885AB3" w:rsidRDefault="006A1AFC" w:rsidP="00120D61">
            <w:pPr>
              <w:pStyle w:val="Tabletext"/>
              <w:keepNext/>
              <w:jc w:val="center"/>
              <w:rPr>
                <w:rFonts w:eastAsia="Calibri"/>
                <w:szCs w:val="20"/>
                <w:lang w:eastAsia="en-US"/>
              </w:rPr>
            </w:pPr>
            <w:r w:rsidRPr="00885AB3">
              <w:rPr>
                <w:rFonts w:eastAsia="Calibri"/>
                <w:szCs w:val="20"/>
                <w:lang w:eastAsia="en-US"/>
              </w:rPr>
              <w:t>200/14,899</w:t>
            </w:r>
          </w:p>
        </w:tc>
        <w:tc>
          <w:tcPr>
            <w:tcW w:w="462" w:type="pct"/>
            <w:vAlign w:val="center"/>
            <w:hideMark/>
          </w:tcPr>
          <w:p w14:paraId="47EADCD2" w14:textId="77777777" w:rsidR="006A1AFC" w:rsidRPr="00885AB3" w:rsidRDefault="006A1AFC" w:rsidP="00120D61">
            <w:pPr>
              <w:pStyle w:val="Tabletext"/>
              <w:keepNext/>
              <w:jc w:val="center"/>
              <w:rPr>
                <w:rFonts w:eastAsia="Calibri"/>
                <w:szCs w:val="20"/>
                <w:lang w:eastAsia="en-US"/>
              </w:rPr>
            </w:pPr>
            <w:r w:rsidRPr="00885AB3">
              <w:rPr>
                <w:rFonts w:eastAsia="Calibri"/>
                <w:szCs w:val="20"/>
                <w:lang w:eastAsia="en-US"/>
              </w:rPr>
              <w:t>353/14,849</w:t>
            </w:r>
          </w:p>
        </w:tc>
        <w:tc>
          <w:tcPr>
            <w:tcW w:w="767" w:type="pct"/>
            <w:vAlign w:val="center"/>
            <w:hideMark/>
          </w:tcPr>
          <w:p w14:paraId="0FA5B898" w14:textId="63ED46E5" w:rsidR="006A1AFC" w:rsidRPr="00885AB3" w:rsidRDefault="006A1AFC" w:rsidP="00120D61">
            <w:pPr>
              <w:pStyle w:val="Tabletext"/>
              <w:keepNext/>
              <w:jc w:val="center"/>
              <w:rPr>
                <w:rFonts w:eastAsia="Calibri"/>
                <w:b/>
                <w:szCs w:val="20"/>
                <w:lang w:eastAsia="en-US"/>
              </w:rPr>
            </w:pPr>
            <w:r w:rsidRPr="00885AB3">
              <w:rPr>
                <w:rFonts w:eastAsia="Calibri"/>
                <w:b/>
                <w:szCs w:val="20"/>
                <w:lang w:eastAsia="en-US"/>
              </w:rPr>
              <w:t>44.1</w:t>
            </w:r>
            <w:r w:rsidR="00482586" w:rsidRPr="00885AB3">
              <w:rPr>
                <w:rFonts w:eastAsia="Calibri"/>
                <w:b/>
                <w:szCs w:val="20"/>
                <w:lang w:eastAsia="en-US"/>
              </w:rPr>
              <w:t xml:space="preserve"> </w:t>
            </w:r>
            <w:r w:rsidRPr="00885AB3">
              <w:rPr>
                <w:rFonts w:eastAsia="Calibri"/>
                <w:b/>
                <w:szCs w:val="20"/>
                <w:lang w:eastAsia="en-US"/>
              </w:rPr>
              <w:t>(33.6, 53.0)</w:t>
            </w:r>
          </w:p>
        </w:tc>
        <w:tc>
          <w:tcPr>
            <w:tcW w:w="457" w:type="pct"/>
            <w:vAlign w:val="center"/>
          </w:tcPr>
          <w:p w14:paraId="63A74B5A" w14:textId="77777777" w:rsidR="006A1AFC" w:rsidRPr="00885AB3" w:rsidRDefault="006A1AFC" w:rsidP="00120D61">
            <w:pPr>
              <w:pStyle w:val="Tabletext"/>
              <w:keepNext/>
              <w:jc w:val="center"/>
              <w:rPr>
                <w:rFonts w:eastAsia="Calibri"/>
                <w:szCs w:val="20"/>
                <w:lang w:eastAsia="en-US"/>
              </w:rPr>
            </w:pPr>
            <w:r w:rsidRPr="00885AB3">
              <w:rPr>
                <w:rFonts w:eastAsia="Calibri"/>
                <w:szCs w:val="20"/>
                <w:lang w:eastAsia="en-US"/>
              </w:rPr>
              <w:t>27/14,899</w:t>
            </w:r>
          </w:p>
        </w:tc>
        <w:tc>
          <w:tcPr>
            <w:tcW w:w="459" w:type="pct"/>
            <w:vAlign w:val="center"/>
          </w:tcPr>
          <w:p w14:paraId="24029503" w14:textId="77777777" w:rsidR="006A1AFC" w:rsidRPr="00885AB3" w:rsidRDefault="006A1AFC" w:rsidP="00120D61">
            <w:pPr>
              <w:pStyle w:val="Tabletext"/>
              <w:keepNext/>
              <w:jc w:val="center"/>
              <w:rPr>
                <w:rFonts w:eastAsia="Calibri"/>
                <w:szCs w:val="20"/>
                <w:lang w:eastAsia="en-US"/>
              </w:rPr>
            </w:pPr>
            <w:r w:rsidRPr="00885AB3">
              <w:rPr>
                <w:rFonts w:eastAsia="Calibri"/>
                <w:szCs w:val="20"/>
                <w:lang w:eastAsia="en-US"/>
              </w:rPr>
              <w:t>65/14,849</w:t>
            </w:r>
          </w:p>
        </w:tc>
        <w:tc>
          <w:tcPr>
            <w:tcW w:w="506" w:type="pct"/>
            <w:vAlign w:val="center"/>
          </w:tcPr>
          <w:p w14:paraId="3E8C3535" w14:textId="68BA5F7A" w:rsidR="006A1AFC" w:rsidRPr="00885AB3" w:rsidRDefault="006A1AFC" w:rsidP="00120D61">
            <w:pPr>
              <w:pStyle w:val="Tabletext"/>
              <w:keepNext/>
              <w:jc w:val="center"/>
              <w:rPr>
                <w:rFonts w:eastAsia="Calibri"/>
                <w:b/>
                <w:szCs w:val="20"/>
                <w:lang w:eastAsia="en-US"/>
              </w:rPr>
            </w:pPr>
            <w:r w:rsidRPr="00885AB3">
              <w:rPr>
                <w:rFonts w:eastAsia="Calibri"/>
                <w:b/>
                <w:szCs w:val="20"/>
                <w:lang w:eastAsia="en-US"/>
              </w:rPr>
              <w:t>58.9</w:t>
            </w:r>
            <w:r w:rsidR="00C40F4E" w:rsidRPr="00885AB3">
              <w:rPr>
                <w:rFonts w:eastAsia="Calibri"/>
                <w:b/>
                <w:szCs w:val="20"/>
                <w:lang w:eastAsia="en-US"/>
              </w:rPr>
              <w:t xml:space="preserve"> </w:t>
            </w:r>
            <w:r w:rsidRPr="00885AB3">
              <w:rPr>
                <w:rFonts w:eastAsia="Calibri"/>
                <w:b/>
                <w:szCs w:val="20"/>
                <w:lang w:eastAsia="en-US"/>
              </w:rPr>
              <w:t>(35.6, 73.8)</w:t>
            </w:r>
          </w:p>
        </w:tc>
      </w:tr>
      <w:tr w:rsidR="00116A98" w:rsidRPr="00885AB3" w14:paraId="51713958" w14:textId="77777777" w:rsidTr="00482586">
        <w:trPr>
          <w:trHeight w:val="227"/>
        </w:trPr>
        <w:tc>
          <w:tcPr>
            <w:tcW w:w="447" w:type="pct"/>
            <w:vAlign w:val="center"/>
          </w:tcPr>
          <w:p w14:paraId="2FD49EF7" w14:textId="13C2E686" w:rsidR="006A1AFC" w:rsidRPr="00885AB3" w:rsidRDefault="00EF2FA4" w:rsidP="00120D61">
            <w:pPr>
              <w:pStyle w:val="Tabletext"/>
              <w:keepNext/>
              <w:rPr>
                <w:rFonts w:eastAsia="Calibri"/>
                <w:szCs w:val="20"/>
                <w:lang w:eastAsia="en-US"/>
              </w:rPr>
            </w:pPr>
            <w:r>
              <w:rPr>
                <w:rFonts w:eastAsia="Calibri"/>
                <w:szCs w:val="20"/>
                <w:lang w:eastAsia="en-US"/>
              </w:rPr>
              <w:t xml:space="preserve">≥ </w:t>
            </w:r>
            <w:r w:rsidR="006A1AFC" w:rsidRPr="00885AB3">
              <w:rPr>
                <w:rFonts w:eastAsia="Calibri"/>
                <w:szCs w:val="20"/>
                <w:lang w:eastAsia="en-US"/>
              </w:rPr>
              <w:t>75 YOA</w:t>
            </w:r>
          </w:p>
        </w:tc>
        <w:tc>
          <w:tcPr>
            <w:tcW w:w="347" w:type="pct"/>
            <w:vAlign w:val="center"/>
          </w:tcPr>
          <w:p w14:paraId="0AE32C7F" w14:textId="77777777" w:rsidR="006A1AFC" w:rsidRPr="00885AB3" w:rsidRDefault="006A1AFC" w:rsidP="00120D61">
            <w:pPr>
              <w:pStyle w:val="Tabletext"/>
              <w:keepNext/>
              <w:jc w:val="center"/>
              <w:rPr>
                <w:rFonts w:eastAsia="Calibri"/>
                <w:szCs w:val="20"/>
                <w:lang w:eastAsia="en-US"/>
              </w:rPr>
            </w:pPr>
            <w:r w:rsidRPr="00885AB3">
              <w:rPr>
                <w:rFonts w:eastAsia="Calibri"/>
                <w:szCs w:val="20"/>
                <w:lang w:eastAsia="en-US"/>
              </w:rPr>
              <w:t>28/3,282</w:t>
            </w:r>
          </w:p>
        </w:tc>
        <w:tc>
          <w:tcPr>
            <w:tcW w:w="398" w:type="pct"/>
            <w:vAlign w:val="center"/>
          </w:tcPr>
          <w:p w14:paraId="482EB18B" w14:textId="77777777" w:rsidR="006A1AFC" w:rsidRPr="00885AB3" w:rsidRDefault="006A1AFC" w:rsidP="00120D61">
            <w:pPr>
              <w:pStyle w:val="Tabletext"/>
              <w:keepNext/>
              <w:jc w:val="center"/>
              <w:rPr>
                <w:rFonts w:eastAsia="Calibri"/>
                <w:szCs w:val="20"/>
                <w:lang w:eastAsia="en-US"/>
              </w:rPr>
            </w:pPr>
            <w:r w:rsidRPr="00885AB3">
              <w:rPr>
                <w:rFonts w:eastAsia="Calibri"/>
                <w:szCs w:val="20"/>
                <w:lang w:eastAsia="en-US"/>
              </w:rPr>
              <w:t>47/3,283</w:t>
            </w:r>
          </w:p>
        </w:tc>
        <w:tc>
          <w:tcPr>
            <w:tcW w:w="697" w:type="pct"/>
            <w:vAlign w:val="center"/>
          </w:tcPr>
          <w:p w14:paraId="2AED1F00" w14:textId="527304EF" w:rsidR="006A1AFC" w:rsidRPr="00885AB3" w:rsidRDefault="006A1AFC" w:rsidP="00120D61">
            <w:pPr>
              <w:pStyle w:val="Tabletext"/>
              <w:keepNext/>
              <w:jc w:val="center"/>
              <w:rPr>
                <w:rFonts w:eastAsia="Calibri"/>
                <w:szCs w:val="20"/>
                <w:lang w:eastAsia="en-US"/>
              </w:rPr>
            </w:pPr>
            <w:r w:rsidRPr="00885AB3">
              <w:rPr>
                <w:rFonts w:eastAsia="Calibri"/>
                <w:szCs w:val="20"/>
                <w:lang w:eastAsia="en-US"/>
              </w:rPr>
              <w:t>40.8</w:t>
            </w:r>
            <w:r w:rsidR="00116A98" w:rsidRPr="00885AB3">
              <w:rPr>
                <w:rFonts w:eastAsia="Calibri"/>
                <w:szCs w:val="20"/>
                <w:lang w:eastAsia="en-US"/>
              </w:rPr>
              <w:t xml:space="preserve"> </w:t>
            </w:r>
            <w:r w:rsidRPr="00885AB3">
              <w:rPr>
                <w:rFonts w:eastAsia="Calibri"/>
                <w:szCs w:val="20"/>
                <w:lang w:eastAsia="en-US"/>
              </w:rPr>
              <w:t>(5.4, 62.9)</w:t>
            </w:r>
          </w:p>
        </w:tc>
        <w:tc>
          <w:tcPr>
            <w:tcW w:w="461" w:type="pct"/>
            <w:vAlign w:val="center"/>
          </w:tcPr>
          <w:p w14:paraId="65CB193E" w14:textId="77777777" w:rsidR="006A1AFC" w:rsidRPr="00885AB3" w:rsidRDefault="006A1AFC" w:rsidP="00120D61">
            <w:pPr>
              <w:pStyle w:val="Tabletext"/>
              <w:keepNext/>
              <w:jc w:val="center"/>
              <w:rPr>
                <w:rFonts w:eastAsia="Calibri"/>
                <w:szCs w:val="20"/>
                <w:lang w:eastAsia="en-US"/>
              </w:rPr>
            </w:pPr>
            <w:r w:rsidRPr="00885AB3">
              <w:rPr>
                <w:rFonts w:eastAsia="Calibri"/>
                <w:szCs w:val="20"/>
                <w:lang w:eastAsia="en-US"/>
              </w:rPr>
              <w:t>49/3,282</w:t>
            </w:r>
          </w:p>
        </w:tc>
        <w:tc>
          <w:tcPr>
            <w:tcW w:w="462" w:type="pct"/>
            <w:vAlign w:val="center"/>
          </w:tcPr>
          <w:p w14:paraId="3B943BFC" w14:textId="77777777" w:rsidR="006A1AFC" w:rsidRPr="00885AB3" w:rsidRDefault="006A1AFC" w:rsidP="00120D61">
            <w:pPr>
              <w:pStyle w:val="Tabletext"/>
              <w:keepNext/>
              <w:jc w:val="center"/>
              <w:rPr>
                <w:rFonts w:eastAsia="Calibri"/>
                <w:szCs w:val="20"/>
                <w:lang w:eastAsia="en-US"/>
              </w:rPr>
            </w:pPr>
            <w:r w:rsidRPr="00885AB3">
              <w:rPr>
                <w:rFonts w:eastAsia="Calibri"/>
                <w:szCs w:val="20"/>
                <w:lang w:eastAsia="en-US"/>
              </w:rPr>
              <w:t>81/3,283</w:t>
            </w:r>
          </w:p>
        </w:tc>
        <w:tc>
          <w:tcPr>
            <w:tcW w:w="767" w:type="pct"/>
            <w:vAlign w:val="center"/>
          </w:tcPr>
          <w:p w14:paraId="3C92BA11" w14:textId="6465ADF9" w:rsidR="006A1AFC" w:rsidRPr="00885AB3" w:rsidRDefault="006A1AFC" w:rsidP="00120D61">
            <w:pPr>
              <w:pStyle w:val="Tabletext"/>
              <w:keepNext/>
              <w:jc w:val="center"/>
              <w:rPr>
                <w:rFonts w:eastAsia="Calibri"/>
                <w:szCs w:val="20"/>
                <w:lang w:eastAsia="en-US"/>
              </w:rPr>
            </w:pPr>
            <w:r w:rsidRPr="00885AB3">
              <w:rPr>
                <w:rFonts w:eastAsia="Calibri"/>
                <w:szCs w:val="20"/>
                <w:lang w:eastAsia="en-US"/>
              </w:rPr>
              <w:t>40.1</w:t>
            </w:r>
            <w:r w:rsidR="00116A98" w:rsidRPr="00885AB3">
              <w:rPr>
                <w:rFonts w:eastAsia="Calibri"/>
                <w:szCs w:val="20"/>
                <w:lang w:eastAsia="en-US"/>
              </w:rPr>
              <w:t xml:space="preserve"> </w:t>
            </w:r>
            <w:r w:rsidRPr="00885AB3">
              <w:rPr>
                <w:rFonts w:eastAsia="Calibri"/>
                <w:szCs w:val="20"/>
                <w:lang w:eastAsia="en-US"/>
              </w:rPr>
              <w:t>(14.5, 58.0)</w:t>
            </w:r>
          </w:p>
        </w:tc>
        <w:tc>
          <w:tcPr>
            <w:tcW w:w="457" w:type="pct"/>
            <w:vAlign w:val="center"/>
          </w:tcPr>
          <w:p w14:paraId="63F8F983" w14:textId="77777777" w:rsidR="006A1AFC" w:rsidRPr="00885AB3" w:rsidRDefault="006A1AFC" w:rsidP="00120D61">
            <w:pPr>
              <w:pStyle w:val="Tabletext"/>
              <w:keepNext/>
              <w:jc w:val="center"/>
              <w:rPr>
                <w:rFonts w:eastAsia="Calibri"/>
                <w:szCs w:val="20"/>
                <w:lang w:eastAsia="en-US"/>
              </w:rPr>
            </w:pPr>
            <w:r w:rsidRPr="00885AB3">
              <w:rPr>
                <w:rFonts w:eastAsia="Calibri"/>
                <w:szCs w:val="20"/>
                <w:lang w:eastAsia="en-US"/>
              </w:rPr>
              <w:t>9/3,282</w:t>
            </w:r>
          </w:p>
        </w:tc>
        <w:tc>
          <w:tcPr>
            <w:tcW w:w="459" w:type="pct"/>
            <w:vAlign w:val="center"/>
          </w:tcPr>
          <w:p w14:paraId="61890089" w14:textId="77777777" w:rsidR="006A1AFC" w:rsidRPr="00885AB3" w:rsidRDefault="006A1AFC" w:rsidP="00120D61">
            <w:pPr>
              <w:pStyle w:val="Tabletext"/>
              <w:keepNext/>
              <w:jc w:val="center"/>
              <w:rPr>
                <w:rFonts w:eastAsia="Calibri"/>
                <w:szCs w:val="20"/>
                <w:lang w:eastAsia="en-US"/>
              </w:rPr>
            </w:pPr>
            <w:r w:rsidRPr="00885AB3">
              <w:rPr>
                <w:rFonts w:eastAsia="Calibri"/>
                <w:szCs w:val="20"/>
                <w:lang w:eastAsia="en-US"/>
              </w:rPr>
              <w:t>15/3,283</w:t>
            </w:r>
          </w:p>
        </w:tc>
        <w:tc>
          <w:tcPr>
            <w:tcW w:w="506" w:type="pct"/>
            <w:vAlign w:val="center"/>
          </w:tcPr>
          <w:p w14:paraId="290F77BC" w14:textId="5F9A4031" w:rsidR="006A1AFC" w:rsidRPr="00885AB3" w:rsidRDefault="006A1AFC" w:rsidP="00120D61">
            <w:pPr>
              <w:pStyle w:val="Tabletext"/>
              <w:keepNext/>
              <w:jc w:val="center"/>
              <w:rPr>
                <w:rFonts w:eastAsia="Calibri"/>
                <w:szCs w:val="20"/>
                <w:lang w:eastAsia="en-US"/>
              </w:rPr>
            </w:pPr>
            <w:r w:rsidRPr="00885AB3">
              <w:rPr>
                <w:rFonts w:eastAsia="Calibri"/>
                <w:szCs w:val="20"/>
                <w:lang w:eastAsia="en-US"/>
              </w:rPr>
              <w:t>39.8</w:t>
            </w:r>
            <w:r w:rsidR="00210421" w:rsidRPr="00885AB3">
              <w:rPr>
                <w:rFonts w:eastAsia="Calibri"/>
                <w:szCs w:val="20"/>
                <w:lang w:eastAsia="en-US"/>
              </w:rPr>
              <w:t xml:space="preserve"> </w:t>
            </w:r>
            <w:r w:rsidRPr="00885AB3">
              <w:rPr>
                <w:rFonts w:eastAsia="Calibri"/>
                <w:szCs w:val="20"/>
                <w:lang w:eastAsia="en-US"/>
              </w:rPr>
              <w:t>(-37.5, 73.7)</w:t>
            </w:r>
          </w:p>
        </w:tc>
      </w:tr>
      <w:tr w:rsidR="00116A98" w:rsidRPr="00885AB3" w14:paraId="0E1E7DCD" w14:textId="77777777" w:rsidTr="00482586">
        <w:trPr>
          <w:trHeight w:val="227"/>
        </w:trPr>
        <w:tc>
          <w:tcPr>
            <w:tcW w:w="447" w:type="pct"/>
            <w:vAlign w:val="center"/>
          </w:tcPr>
          <w:p w14:paraId="7FB1BAD5" w14:textId="77777777" w:rsidR="006A1AFC" w:rsidRPr="00885AB3" w:rsidRDefault="006A1AFC" w:rsidP="00120D61">
            <w:pPr>
              <w:pStyle w:val="Tabletext"/>
              <w:keepNext/>
              <w:rPr>
                <w:rFonts w:eastAsia="Calibri"/>
                <w:szCs w:val="20"/>
                <w:lang w:eastAsia="en-US"/>
              </w:rPr>
            </w:pPr>
            <w:r w:rsidRPr="00885AB3">
              <w:rPr>
                <w:rFonts w:eastAsia="Calibri"/>
                <w:szCs w:val="20"/>
                <w:lang w:eastAsia="en-US"/>
              </w:rPr>
              <w:t>60-74 YOA</w:t>
            </w:r>
          </w:p>
          <w:p w14:paraId="605983B9" w14:textId="56E47E2A" w:rsidR="006A1AFC" w:rsidRPr="00885AB3" w:rsidRDefault="00EF2FA4" w:rsidP="00120D61">
            <w:pPr>
              <w:pStyle w:val="Tabletext"/>
              <w:keepNext/>
              <w:rPr>
                <w:rFonts w:eastAsia="Calibri"/>
                <w:szCs w:val="20"/>
                <w:lang w:eastAsia="en-US"/>
              </w:rPr>
            </w:pPr>
            <w:r>
              <w:rPr>
                <w:rFonts w:eastAsia="Calibri"/>
                <w:szCs w:val="20"/>
                <w:lang w:eastAsia="en-US"/>
              </w:rPr>
              <w:t xml:space="preserve">≥ </w:t>
            </w:r>
            <w:r w:rsidR="006A1AFC" w:rsidRPr="00885AB3">
              <w:rPr>
                <w:rFonts w:eastAsia="Calibri"/>
                <w:szCs w:val="20"/>
                <w:lang w:eastAsia="en-US"/>
              </w:rPr>
              <w:t xml:space="preserve">1 comorbidity </w:t>
            </w:r>
          </w:p>
        </w:tc>
        <w:tc>
          <w:tcPr>
            <w:tcW w:w="347" w:type="pct"/>
            <w:vAlign w:val="center"/>
          </w:tcPr>
          <w:p w14:paraId="651F4445" w14:textId="77777777" w:rsidR="006A1AFC" w:rsidRPr="00885AB3" w:rsidRDefault="006A1AFC" w:rsidP="00120D61">
            <w:pPr>
              <w:pStyle w:val="Tabletext"/>
              <w:keepNext/>
              <w:jc w:val="center"/>
              <w:rPr>
                <w:rFonts w:eastAsia="Calibri"/>
                <w:szCs w:val="20"/>
                <w:lang w:eastAsia="en-US"/>
              </w:rPr>
            </w:pPr>
            <w:r w:rsidRPr="00885AB3">
              <w:rPr>
                <w:rFonts w:eastAsia="Calibri"/>
                <w:szCs w:val="20"/>
                <w:lang w:eastAsia="en-US"/>
              </w:rPr>
              <w:t>23/4,343</w:t>
            </w:r>
          </w:p>
        </w:tc>
        <w:tc>
          <w:tcPr>
            <w:tcW w:w="398" w:type="pct"/>
            <w:vAlign w:val="center"/>
          </w:tcPr>
          <w:p w14:paraId="7B8AF2C4" w14:textId="77777777" w:rsidR="006A1AFC" w:rsidRPr="00885AB3" w:rsidRDefault="006A1AFC" w:rsidP="00120D61">
            <w:pPr>
              <w:pStyle w:val="Tabletext"/>
              <w:keepNext/>
              <w:jc w:val="center"/>
              <w:rPr>
                <w:rFonts w:eastAsia="Calibri"/>
                <w:szCs w:val="20"/>
                <w:lang w:eastAsia="en-US"/>
              </w:rPr>
            </w:pPr>
            <w:r w:rsidRPr="00885AB3">
              <w:rPr>
                <w:rFonts w:eastAsia="Calibri"/>
                <w:szCs w:val="20"/>
                <w:lang w:eastAsia="en-US"/>
              </w:rPr>
              <w:t>68/4,219</w:t>
            </w:r>
          </w:p>
        </w:tc>
        <w:tc>
          <w:tcPr>
            <w:tcW w:w="697" w:type="pct"/>
            <w:vAlign w:val="center"/>
          </w:tcPr>
          <w:p w14:paraId="62DC14E0" w14:textId="132821DA" w:rsidR="006A1AFC" w:rsidRPr="00885AB3" w:rsidRDefault="006A1AFC" w:rsidP="00120D61">
            <w:pPr>
              <w:pStyle w:val="Tabletext"/>
              <w:keepNext/>
              <w:jc w:val="center"/>
              <w:rPr>
                <w:rFonts w:eastAsia="Calibri"/>
                <w:b/>
                <w:szCs w:val="20"/>
                <w:lang w:eastAsia="en-US"/>
              </w:rPr>
            </w:pPr>
            <w:r w:rsidRPr="00885AB3">
              <w:rPr>
                <w:rFonts w:eastAsia="Calibri"/>
                <w:b/>
                <w:szCs w:val="20"/>
                <w:lang w:eastAsia="en-US"/>
              </w:rPr>
              <w:t>67.4</w:t>
            </w:r>
            <w:r w:rsidR="00116A98" w:rsidRPr="00885AB3">
              <w:rPr>
                <w:rFonts w:eastAsia="Calibri"/>
                <w:b/>
                <w:szCs w:val="20"/>
                <w:lang w:eastAsia="en-US"/>
              </w:rPr>
              <w:t xml:space="preserve"> </w:t>
            </w:r>
            <w:r w:rsidRPr="00885AB3">
              <w:rPr>
                <w:rFonts w:eastAsia="Calibri"/>
                <w:b/>
                <w:szCs w:val="20"/>
                <w:lang w:eastAsia="en-US"/>
              </w:rPr>
              <w:t>(47.8, 79.7)</w:t>
            </w:r>
          </w:p>
        </w:tc>
        <w:tc>
          <w:tcPr>
            <w:tcW w:w="461" w:type="pct"/>
            <w:vAlign w:val="center"/>
          </w:tcPr>
          <w:p w14:paraId="3019C984" w14:textId="77777777" w:rsidR="006A1AFC" w:rsidRPr="00885AB3" w:rsidRDefault="006A1AFC" w:rsidP="00120D61">
            <w:pPr>
              <w:pStyle w:val="Tabletext"/>
              <w:keepNext/>
              <w:jc w:val="center"/>
              <w:rPr>
                <w:rFonts w:eastAsia="Calibri"/>
                <w:szCs w:val="20"/>
                <w:lang w:eastAsia="en-US"/>
              </w:rPr>
            </w:pPr>
            <w:r w:rsidRPr="00885AB3">
              <w:rPr>
                <w:rFonts w:eastAsia="Calibri"/>
                <w:szCs w:val="20"/>
                <w:lang w:eastAsia="en-US"/>
              </w:rPr>
              <w:t>42/4,343</w:t>
            </w:r>
          </w:p>
        </w:tc>
        <w:tc>
          <w:tcPr>
            <w:tcW w:w="462" w:type="pct"/>
            <w:vAlign w:val="center"/>
          </w:tcPr>
          <w:p w14:paraId="68549542" w14:textId="77777777" w:rsidR="006A1AFC" w:rsidRPr="00885AB3" w:rsidRDefault="006A1AFC" w:rsidP="00120D61">
            <w:pPr>
              <w:pStyle w:val="Tabletext"/>
              <w:keepNext/>
              <w:jc w:val="center"/>
              <w:rPr>
                <w:rFonts w:eastAsia="Calibri"/>
                <w:szCs w:val="20"/>
                <w:lang w:eastAsia="en-US"/>
              </w:rPr>
            </w:pPr>
            <w:r w:rsidRPr="00885AB3">
              <w:rPr>
                <w:rFonts w:eastAsia="Calibri"/>
                <w:szCs w:val="20"/>
                <w:lang w:eastAsia="en-US"/>
              </w:rPr>
              <w:t>95/4,219</w:t>
            </w:r>
          </w:p>
        </w:tc>
        <w:tc>
          <w:tcPr>
            <w:tcW w:w="767" w:type="pct"/>
            <w:vAlign w:val="center"/>
          </w:tcPr>
          <w:p w14:paraId="5B8796D8" w14:textId="77FD2337" w:rsidR="006A1AFC" w:rsidRPr="00885AB3" w:rsidRDefault="006A1AFC" w:rsidP="00120D61">
            <w:pPr>
              <w:pStyle w:val="Tabletext"/>
              <w:keepNext/>
              <w:jc w:val="center"/>
              <w:rPr>
                <w:rFonts w:eastAsia="Calibri"/>
                <w:b/>
                <w:szCs w:val="20"/>
                <w:lang w:eastAsia="en-US"/>
              </w:rPr>
            </w:pPr>
            <w:r w:rsidRPr="00885AB3">
              <w:rPr>
                <w:rFonts w:eastAsia="Calibri"/>
                <w:b/>
                <w:szCs w:val="20"/>
                <w:lang w:eastAsia="en-US"/>
              </w:rPr>
              <w:t>57.4</w:t>
            </w:r>
            <w:r w:rsidR="00116A98" w:rsidRPr="00885AB3">
              <w:rPr>
                <w:rFonts w:eastAsia="Calibri"/>
                <w:b/>
                <w:szCs w:val="20"/>
                <w:lang w:eastAsia="en-US"/>
              </w:rPr>
              <w:t xml:space="preserve"> </w:t>
            </w:r>
            <w:r w:rsidRPr="00885AB3">
              <w:rPr>
                <w:rFonts w:eastAsia="Calibri"/>
                <w:b/>
                <w:szCs w:val="20"/>
                <w:lang w:eastAsia="en-US"/>
              </w:rPr>
              <w:t>(38.8, 70.4)</w:t>
            </w:r>
          </w:p>
        </w:tc>
        <w:tc>
          <w:tcPr>
            <w:tcW w:w="457" w:type="pct"/>
            <w:vAlign w:val="center"/>
          </w:tcPr>
          <w:p w14:paraId="7BB2C61D" w14:textId="77777777" w:rsidR="006A1AFC" w:rsidRPr="00885AB3" w:rsidRDefault="006A1AFC" w:rsidP="00120D61">
            <w:pPr>
              <w:pStyle w:val="Tabletext"/>
              <w:keepNext/>
              <w:jc w:val="center"/>
              <w:rPr>
                <w:rFonts w:eastAsia="Calibri"/>
                <w:szCs w:val="20"/>
                <w:lang w:eastAsia="en-US"/>
              </w:rPr>
            </w:pPr>
            <w:r w:rsidRPr="00885AB3">
              <w:rPr>
                <w:rFonts w:eastAsia="Calibri"/>
                <w:szCs w:val="20"/>
                <w:lang w:eastAsia="en-US"/>
              </w:rPr>
              <w:t>9/4,343</w:t>
            </w:r>
          </w:p>
        </w:tc>
        <w:tc>
          <w:tcPr>
            <w:tcW w:w="459" w:type="pct"/>
            <w:vAlign w:val="center"/>
          </w:tcPr>
          <w:p w14:paraId="14674B16" w14:textId="77777777" w:rsidR="006A1AFC" w:rsidRPr="00885AB3" w:rsidRDefault="006A1AFC" w:rsidP="00120D61">
            <w:pPr>
              <w:pStyle w:val="Tabletext"/>
              <w:keepNext/>
              <w:jc w:val="center"/>
              <w:rPr>
                <w:rFonts w:eastAsia="Calibri"/>
                <w:szCs w:val="20"/>
                <w:lang w:eastAsia="en-US"/>
              </w:rPr>
            </w:pPr>
            <w:r w:rsidRPr="00885AB3">
              <w:rPr>
                <w:rFonts w:eastAsia="Calibri"/>
                <w:szCs w:val="20"/>
                <w:lang w:eastAsia="en-US"/>
              </w:rPr>
              <w:t>34/4,219</w:t>
            </w:r>
          </w:p>
        </w:tc>
        <w:tc>
          <w:tcPr>
            <w:tcW w:w="506" w:type="pct"/>
            <w:vAlign w:val="center"/>
          </w:tcPr>
          <w:p w14:paraId="59B84AE8" w14:textId="77777777" w:rsidR="006A1AFC" w:rsidRPr="00885AB3" w:rsidRDefault="006A1AFC" w:rsidP="00120D61">
            <w:pPr>
              <w:pStyle w:val="Tabletext"/>
              <w:keepNext/>
              <w:jc w:val="center"/>
              <w:rPr>
                <w:rFonts w:eastAsia="Calibri"/>
                <w:b/>
                <w:szCs w:val="20"/>
                <w:lang w:eastAsia="en-US"/>
              </w:rPr>
            </w:pPr>
            <w:r w:rsidRPr="00885AB3">
              <w:rPr>
                <w:rFonts w:eastAsia="Calibri"/>
                <w:b/>
                <w:szCs w:val="20"/>
                <w:lang w:eastAsia="en-US"/>
              </w:rPr>
              <w:t>74.4 (46.6, 87.7)</w:t>
            </w:r>
          </w:p>
        </w:tc>
      </w:tr>
      <w:tr w:rsidR="00116A98" w:rsidRPr="00885AB3" w14:paraId="161D1C00" w14:textId="77777777" w:rsidTr="00482586">
        <w:trPr>
          <w:trHeight w:val="227"/>
        </w:trPr>
        <w:tc>
          <w:tcPr>
            <w:tcW w:w="447" w:type="pct"/>
            <w:vAlign w:val="center"/>
          </w:tcPr>
          <w:p w14:paraId="42CCDAF1" w14:textId="77777777" w:rsidR="006A1AFC" w:rsidRPr="00885AB3" w:rsidRDefault="006A1AFC" w:rsidP="00120D61">
            <w:pPr>
              <w:pStyle w:val="Tabletext"/>
              <w:keepNext/>
              <w:rPr>
                <w:rFonts w:eastAsia="Calibri"/>
                <w:szCs w:val="20"/>
                <w:lang w:eastAsia="en-US"/>
              </w:rPr>
            </w:pPr>
            <w:r w:rsidRPr="00885AB3">
              <w:rPr>
                <w:szCs w:val="20"/>
              </w:rPr>
              <w:t>60 to 69 YOA</w:t>
            </w:r>
          </w:p>
        </w:tc>
        <w:tc>
          <w:tcPr>
            <w:tcW w:w="347" w:type="pct"/>
            <w:vAlign w:val="center"/>
          </w:tcPr>
          <w:p w14:paraId="47F8359A" w14:textId="77777777" w:rsidR="006A1AFC" w:rsidRPr="00885AB3" w:rsidRDefault="006A1AFC" w:rsidP="00120D61">
            <w:pPr>
              <w:pStyle w:val="Tabletext"/>
              <w:keepNext/>
              <w:jc w:val="center"/>
              <w:rPr>
                <w:rFonts w:eastAsia="Calibri"/>
                <w:szCs w:val="20"/>
                <w:lang w:eastAsia="en-US"/>
              </w:rPr>
            </w:pPr>
            <w:r w:rsidRPr="00885AB3">
              <w:rPr>
                <w:szCs w:val="20"/>
              </w:rPr>
              <w:t>83/11,269</w:t>
            </w:r>
          </w:p>
        </w:tc>
        <w:tc>
          <w:tcPr>
            <w:tcW w:w="398" w:type="pct"/>
            <w:vAlign w:val="center"/>
          </w:tcPr>
          <w:p w14:paraId="182D3DEC" w14:textId="77777777" w:rsidR="006A1AFC" w:rsidRPr="00885AB3" w:rsidRDefault="006A1AFC" w:rsidP="00120D61">
            <w:pPr>
              <w:pStyle w:val="Tabletext"/>
              <w:keepNext/>
              <w:jc w:val="center"/>
              <w:rPr>
                <w:rFonts w:eastAsia="Calibri"/>
                <w:szCs w:val="20"/>
                <w:lang w:eastAsia="en-US"/>
              </w:rPr>
            </w:pPr>
            <w:r w:rsidRPr="00885AB3">
              <w:rPr>
                <w:szCs w:val="20"/>
              </w:rPr>
              <w:t>147/11,238</w:t>
            </w:r>
          </w:p>
        </w:tc>
        <w:tc>
          <w:tcPr>
            <w:tcW w:w="697" w:type="pct"/>
            <w:vAlign w:val="center"/>
          </w:tcPr>
          <w:p w14:paraId="1AAD4C92" w14:textId="77777777" w:rsidR="006A1AFC" w:rsidRPr="00885AB3" w:rsidRDefault="006A1AFC" w:rsidP="00120D61">
            <w:pPr>
              <w:pStyle w:val="Tabletext"/>
              <w:keepNext/>
              <w:jc w:val="center"/>
              <w:rPr>
                <w:rFonts w:eastAsia="Calibri"/>
                <w:b/>
                <w:bCs/>
                <w:szCs w:val="20"/>
                <w:lang w:eastAsia="en-US"/>
              </w:rPr>
            </w:pPr>
            <w:r w:rsidRPr="00885AB3">
              <w:rPr>
                <w:b/>
                <w:bCs/>
                <w:szCs w:val="20"/>
              </w:rPr>
              <w:t>44.3 (27.1, 57.4)</w:t>
            </w:r>
          </w:p>
        </w:tc>
        <w:tc>
          <w:tcPr>
            <w:tcW w:w="461" w:type="pct"/>
            <w:vAlign w:val="center"/>
          </w:tcPr>
          <w:p w14:paraId="055F3B9C" w14:textId="77777777" w:rsidR="006A1AFC" w:rsidRPr="00885AB3" w:rsidRDefault="006A1AFC" w:rsidP="00120D61">
            <w:pPr>
              <w:pStyle w:val="Tabletext"/>
              <w:keepNext/>
              <w:jc w:val="center"/>
              <w:rPr>
                <w:rFonts w:eastAsia="Calibri"/>
                <w:szCs w:val="20"/>
                <w:lang w:eastAsia="en-US"/>
              </w:rPr>
            </w:pPr>
            <w:r w:rsidRPr="00885AB3">
              <w:rPr>
                <w:szCs w:val="20"/>
              </w:rPr>
              <w:t>36/11,269</w:t>
            </w:r>
          </w:p>
        </w:tc>
        <w:tc>
          <w:tcPr>
            <w:tcW w:w="462" w:type="pct"/>
            <w:vAlign w:val="center"/>
          </w:tcPr>
          <w:p w14:paraId="317E767C" w14:textId="77777777" w:rsidR="006A1AFC" w:rsidRPr="00885AB3" w:rsidRDefault="006A1AFC" w:rsidP="00120D61">
            <w:pPr>
              <w:pStyle w:val="Tabletext"/>
              <w:keepNext/>
              <w:jc w:val="center"/>
              <w:rPr>
                <w:rFonts w:eastAsia="Calibri"/>
                <w:szCs w:val="20"/>
                <w:lang w:eastAsia="en-US"/>
              </w:rPr>
            </w:pPr>
            <w:r w:rsidRPr="00885AB3">
              <w:rPr>
                <w:szCs w:val="20"/>
              </w:rPr>
              <w:t>62/11,238</w:t>
            </w:r>
          </w:p>
        </w:tc>
        <w:tc>
          <w:tcPr>
            <w:tcW w:w="767" w:type="pct"/>
            <w:vAlign w:val="center"/>
          </w:tcPr>
          <w:p w14:paraId="5B945055" w14:textId="77777777" w:rsidR="006A1AFC" w:rsidRPr="00885AB3" w:rsidRDefault="006A1AFC" w:rsidP="00120D61">
            <w:pPr>
              <w:pStyle w:val="Tabletext"/>
              <w:keepNext/>
              <w:jc w:val="center"/>
              <w:rPr>
                <w:rFonts w:eastAsia="Calibri"/>
                <w:b/>
                <w:bCs/>
                <w:szCs w:val="20"/>
                <w:lang w:eastAsia="en-US"/>
              </w:rPr>
            </w:pPr>
            <w:r w:rsidRPr="00885AB3">
              <w:rPr>
                <w:b/>
                <w:bCs/>
                <w:szCs w:val="20"/>
              </w:rPr>
              <w:t>42.5 (13.3, 61.9)</w:t>
            </w:r>
          </w:p>
        </w:tc>
        <w:tc>
          <w:tcPr>
            <w:tcW w:w="457" w:type="pct"/>
            <w:vAlign w:val="center"/>
          </w:tcPr>
          <w:p w14:paraId="63DAAC30" w14:textId="77777777" w:rsidR="006A1AFC" w:rsidRPr="00885AB3" w:rsidRDefault="006A1AFC" w:rsidP="00120D61">
            <w:pPr>
              <w:pStyle w:val="Tabletext"/>
              <w:keepNext/>
              <w:jc w:val="center"/>
              <w:rPr>
                <w:rFonts w:eastAsia="Calibri"/>
                <w:szCs w:val="20"/>
                <w:lang w:eastAsia="en-US"/>
              </w:rPr>
            </w:pPr>
            <w:r w:rsidRPr="00885AB3">
              <w:rPr>
                <w:szCs w:val="20"/>
              </w:rPr>
              <w:t>156/11,269</w:t>
            </w:r>
          </w:p>
        </w:tc>
        <w:tc>
          <w:tcPr>
            <w:tcW w:w="459" w:type="pct"/>
            <w:vAlign w:val="center"/>
          </w:tcPr>
          <w:p w14:paraId="570C8913" w14:textId="77777777" w:rsidR="006A1AFC" w:rsidRPr="00885AB3" w:rsidRDefault="006A1AFC" w:rsidP="00120D61">
            <w:pPr>
              <w:pStyle w:val="Tabletext"/>
              <w:keepNext/>
              <w:jc w:val="center"/>
              <w:rPr>
                <w:rFonts w:eastAsia="Calibri"/>
                <w:szCs w:val="20"/>
                <w:lang w:eastAsia="en-US"/>
              </w:rPr>
            </w:pPr>
            <w:r w:rsidRPr="00885AB3">
              <w:rPr>
                <w:szCs w:val="20"/>
              </w:rPr>
              <w:t>252/11,238</w:t>
            </w:r>
          </w:p>
        </w:tc>
        <w:tc>
          <w:tcPr>
            <w:tcW w:w="506" w:type="pct"/>
            <w:vAlign w:val="center"/>
          </w:tcPr>
          <w:p w14:paraId="16F37D5D" w14:textId="77777777" w:rsidR="006A1AFC" w:rsidRPr="00885AB3" w:rsidRDefault="006A1AFC" w:rsidP="00120D61">
            <w:pPr>
              <w:pStyle w:val="Tabletext"/>
              <w:keepNext/>
              <w:jc w:val="center"/>
              <w:rPr>
                <w:rFonts w:eastAsia="Calibri"/>
                <w:b/>
                <w:bCs/>
                <w:szCs w:val="20"/>
                <w:lang w:eastAsia="en-US"/>
              </w:rPr>
            </w:pPr>
            <w:r w:rsidRPr="00885AB3">
              <w:rPr>
                <w:b/>
                <w:bCs/>
                <w:szCs w:val="20"/>
              </w:rPr>
              <w:t>39.0 (25.5, 50.1)</w:t>
            </w:r>
          </w:p>
        </w:tc>
      </w:tr>
      <w:tr w:rsidR="00116A98" w:rsidRPr="00885AB3" w14:paraId="07895C55" w14:textId="77777777" w:rsidTr="00482586">
        <w:trPr>
          <w:trHeight w:val="227"/>
        </w:trPr>
        <w:tc>
          <w:tcPr>
            <w:tcW w:w="447" w:type="pct"/>
            <w:vAlign w:val="center"/>
          </w:tcPr>
          <w:p w14:paraId="75C7DCDA" w14:textId="77777777" w:rsidR="006A1AFC" w:rsidRPr="00885AB3" w:rsidRDefault="006A1AFC" w:rsidP="00120D61">
            <w:pPr>
              <w:pStyle w:val="Tabletext"/>
              <w:keepNext/>
              <w:rPr>
                <w:rFonts w:eastAsia="Calibri"/>
                <w:szCs w:val="20"/>
                <w:lang w:eastAsia="en-US"/>
              </w:rPr>
            </w:pPr>
            <w:r w:rsidRPr="00885AB3">
              <w:rPr>
                <w:szCs w:val="20"/>
              </w:rPr>
              <w:t>70 to 79 YOA</w:t>
            </w:r>
          </w:p>
        </w:tc>
        <w:tc>
          <w:tcPr>
            <w:tcW w:w="347" w:type="pct"/>
            <w:vAlign w:val="center"/>
          </w:tcPr>
          <w:p w14:paraId="0F708186" w14:textId="77777777" w:rsidR="006A1AFC" w:rsidRPr="00885AB3" w:rsidRDefault="006A1AFC" w:rsidP="00120D61">
            <w:pPr>
              <w:pStyle w:val="Tabletext"/>
              <w:keepNext/>
              <w:jc w:val="center"/>
              <w:rPr>
                <w:rFonts w:eastAsia="Calibri"/>
                <w:szCs w:val="20"/>
                <w:lang w:eastAsia="en-US"/>
              </w:rPr>
            </w:pPr>
            <w:r w:rsidRPr="00885AB3">
              <w:rPr>
                <w:szCs w:val="20"/>
              </w:rPr>
              <w:t>36/5,487</w:t>
            </w:r>
          </w:p>
        </w:tc>
        <w:tc>
          <w:tcPr>
            <w:tcW w:w="398" w:type="pct"/>
            <w:vAlign w:val="center"/>
          </w:tcPr>
          <w:p w14:paraId="6A259B90" w14:textId="77777777" w:rsidR="006A1AFC" w:rsidRPr="00885AB3" w:rsidRDefault="006A1AFC" w:rsidP="00120D61">
            <w:pPr>
              <w:pStyle w:val="Tabletext"/>
              <w:keepNext/>
              <w:jc w:val="center"/>
              <w:rPr>
                <w:rFonts w:eastAsia="Calibri"/>
                <w:szCs w:val="20"/>
                <w:lang w:eastAsia="en-US"/>
              </w:rPr>
            </w:pPr>
            <w:r w:rsidRPr="00885AB3">
              <w:rPr>
                <w:szCs w:val="20"/>
              </w:rPr>
              <w:t>81/5,459</w:t>
            </w:r>
          </w:p>
        </w:tc>
        <w:tc>
          <w:tcPr>
            <w:tcW w:w="697" w:type="pct"/>
            <w:vAlign w:val="center"/>
          </w:tcPr>
          <w:p w14:paraId="3FCDD1C2" w14:textId="77777777" w:rsidR="006A1AFC" w:rsidRPr="00885AB3" w:rsidRDefault="006A1AFC" w:rsidP="00120D61">
            <w:pPr>
              <w:pStyle w:val="Tabletext"/>
              <w:keepNext/>
              <w:jc w:val="center"/>
              <w:rPr>
                <w:rFonts w:eastAsia="Calibri"/>
                <w:b/>
                <w:bCs/>
                <w:szCs w:val="20"/>
                <w:lang w:eastAsia="en-US"/>
              </w:rPr>
            </w:pPr>
            <w:r w:rsidRPr="00885AB3">
              <w:rPr>
                <w:b/>
                <w:bCs/>
                <w:szCs w:val="20"/>
              </w:rPr>
              <w:t>56.0 (34.9, 70.3)</w:t>
            </w:r>
          </w:p>
        </w:tc>
        <w:tc>
          <w:tcPr>
            <w:tcW w:w="461" w:type="pct"/>
            <w:vAlign w:val="center"/>
          </w:tcPr>
          <w:p w14:paraId="55F4CF46" w14:textId="77777777" w:rsidR="006A1AFC" w:rsidRPr="00885AB3" w:rsidRDefault="006A1AFC" w:rsidP="00120D61">
            <w:pPr>
              <w:pStyle w:val="Tabletext"/>
              <w:keepNext/>
              <w:jc w:val="center"/>
              <w:rPr>
                <w:rFonts w:eastAsia="Calibri"/>
                <w:szCs w:val="20"/>
                <w:lang w:eastAsia="en-US"/>
              </w:rPr>
            </w:pPr>
            <w:r w:rsidRPr="00885AB3">
              <w:rPr>
                <w:szCs w:val="20"/>
              </w:rPr>
              <w:t>11/5,487</w:t>
            </w:r>
          </w:p>
        </w:tc>
        <w:tc>
          <w:tcPr>
            <w:tcW w:w="462" w:type="pct"/>
            <w:vAlign w:val="center"/>
          </w:tcPr>
          <w:p w14:paraId="2BC09B6E" w14:textId="77777777" w:rsidR="006A1AFC" w:rsidRPr="00885AB3" w:rsidRDefault="006A1AFC" w:rsidP="00120D61">
            <w:pPr>
              <w:pStyle w:val="Tabletext"/>
              <w:keepNext/>
              <w:jc w:val="center"/>
              <w:rPr>
                <w:rFonts w:eastAsia="Calibri"/>
                <w:szCs w:val="20"/>
                <w:lang w:eastAsia="en-US"/>
              </w:rPr>
            </w:pPr>
            <w:r w:rsidRPr="00885AB3">
              <w:rPr>
                <w:szCs w:val="20"/>
              </w:rPr>
              <w:t>29/5,459</w:t>
            </w:r>
          </w:p>
        </w:tc>
        <w:tc>
          <w:tcPr>
            <w:tcW w:w="767" w:type="pct"/>
            <w:vAlign w:val="center"/>
          </w:tcPr>
          <w:p w14:paraId="17178D20" w14:textId="77777777" w:rsidR="006A1AFC" w:rsidRPr="00885AB3" w:rsidRDefault="006A1AFC" w:rsidP="00120D61">
            <w:pPr>
              <w:pStyle w:val="Tabletext"/>
              <w:keepNext/>
              <w:jc w:val="center"/>
              <w:rPr>
                <w:rFonts w:eastAsia="Calibri"/>
                <w:b/>
                <w:bCs/>
                <w:szCs w:val="20"/>
                <w:lang w:eastAsia="en-US"/>
              </w:rPr>
            </w:pPr>
            <w:r w:rsidRPr="00885AB3">
              <w:rPr>
                <w:b/>
                <w:bCs/>
                <w:szCs w:val="20"/>
              </w:rPr>
              <w:t>62.3 (24.6, 81.2)</w:t>
            </w:r>
          </w:p>
        </w:tc>
        <w:tc>
          <w:tcPr>
            <w:tcW w:w="457" w:type="pct"/>
            <w:vAlign w:val="center"/>
          </w:tcPr>
          <w:p w14:paraId="7D8DC702" w14:textId="77777777" w:rsidR="006A1AFC" w:rsidRPr="00885AB3" w:rsidRDefault="006A1AFC" w:rsidP="00120D61">
            <w:pPr>
              <w:pStyle w:val="Tabletext"/>
              <w:keepNext/>
              <w:jc w:val="center"/>
              <w:rPr>
                <w:rFonts w:eastAsia="Calibri"/>
                <w:szCs w:val="20"/>
                <w:lang w:eastAsia="en-US"/>
              </w:rPr>
            </w:pPr>
            <w:r w:rsidRPr="00885AB3">
              <w:rPr>
                <w:szCs w:val="20"/>
              </w:rPr>
              <w:t>69/5,487</w:t>
            </w:r>
          </w:p>
        </w:tc>
        <w:tc>
          <w:tcPr>
            <w:tcW w:w="459" w:type="pct"/>
            <w:vAlign w:val="center"/>
          </w:tcPr>
          <w:p w14:paraId="43189562" w14:textId="77777777" w:rsidR="006A1AFC" w:rsidRPr="00885AB3" w:rsidRDefault="006A1AFC" w:rsidP="00120D61">
            <w:pPr>
              <w:pStyle w:val="Tabletext"/>
              <w:keepNext/>
              <w:jc w:val="center"/>
              <w:rPr>
                <w:rFonts w:eastAsia="Calibri"/>
                <w:szCs w:val="20"/>
                <w:lang w:eastAsia="en-US"/>
              </w:rPr>
            </w:pPr>
            <w:r w:rsidRPr="00885AB3">
              <w:rPr>
                <w:szCs w:val="20"/>
              </w:rPr>
              <w:t>145/5,459</w:t>
            </w:r>
          </w:p>
        </w:tc>
        <w:tc>
          <w:tcPr>
            <w:tcW w:w="506" w:type="pct"/>
            <w:vAlign w:val="center"/>
          </w:tcPr>
          <w:p w14:paraId="21279B9B" w14:textId="77777777" w:rsidR="006A1AFC" w:rsidRPr="00885AB3" w:rsidRDefault="006A1AFC" w:rsidP="00120D61">
            <w:pPr>
              <w:pStyle w:val="Tabletext"/>
              <w:keepNext/>
              <w:jc w:val="center"/>
              <w:rPr>
                <w:rFonts w:eastAsia="Calibri"/>
                <w:b/>
                <w:bCs/>
                <w:szCs w:val="20"/>
                <w:lang w:eastAsia="en-US"/>
              </w:rPr>
            </w:pPr>
            <w:r w:rsidRPr="00885AB3">
              <w:rPr>
                <w:b/>
                <w:bCs/>
                <w:szCs w:val="20"/>
              </w:rPr>
              <w:t>53.1 (37.5, 64.8)</w:t>
            </w:r>
          </w:p>
        </w:tc>
      </w:tr>
      <w:tr w:rsidR="00116A98" w:rsidRPr="00885AB3" w14:paraId="4429005C" w14:textId="77777777" w:rsidTr="00482586">
        <w:trPr>
          <w:trHeight w:val="227"/>
        </w:trPr>
        <w:tc>
          <w:tcPr>
            <w:tcW w:w="447" w:type="pct"/>
          </w:tcPr>
          <w:p w14:paraId="3BA7E63F" w14:textId="38C70386" w:rsidR="006A1AFC" w:rsidRPr="00885AB3" w:rsidRDefault="00EF2FA4" w:rsidP="00120D61">
            <w:pPr>
              <w:pStyle w:val="Tabletext"/>
              <w:keepNext/>
              <w:rPr>
                <w:rFonts w:eastAsia="Calibri"/>
                <w:szCs w:val="20"/>
                <w:lang w:eastAsia="en-US"/>
              </w:rPr>
            </w:pPr>
            <w:r>
              <w:rPr>
                <w:szCs w:val="20"/>
              </w:rPr>
              <w:t xml:space="preserve">≥ </w:t>
            </w:r>
            <w:r w:rsidR="006A1AFC" w:rsidRPr="00885AB3">
              <w:rPr>
                <w:szCs w:val="20"/>
              </w:rPr>
              <w:t>80 YOA</w:t>
            </w:r>
          </w:p>
        </w:tc>
        <w:tc>
          <w:tcPr>
            <w:tcW w:w="347" w:type="pct"/>
            <w:vAlign w:val="center"/>
          </w:tcPr>
          <w:p w14:paraId="3338CFA9" w14:textId="77777777" w:rsidR="006A1AFC" w:rsidRPr="00885AB3" w:rsidRDefault="006A1AFC" w:rsidP="00120D61">
            <w:pPr>
              <w:pStyle w:val="Tabletext"/>
              <w:keepNext/>
              <w:jc w:val="center"/>
              <w:rPr>
                <w:rFonts w:eastAsia="Calibri"/>
                <w:szCs w:val="20"/>
                <w:lang w:eastAsia="en-US"/>
              </w:rPr>
            </w:pPr>
            <w:r w:rsidRPr="00885AB3">
              <w:rPr>
                <w:szCs w:val="20"/>
              </w:rPr>
              <w:t>13/1,425</w:t>
            </w:r>
          </w:p>
        </w:tc>
        <w:tc>
          <w:tcPr>
            <w:tcW w:w="398" w:type="pct"/>
            <w:vAlign w:val="center"/>
          </w:tcPr>
          <w:p w14:paraId="258358E4" w14:textId="77777777" w:rsidR="006A1AFC" w:rsidRPr="00885AB3" w:rsidRDefault="006A1AFC" w:rsidP="00120D61">
            <w:pPr>
              <w:pStyle w:val="Tabletext"/>
              <w:keepNext/>
              <w:jc w:val="center"/>
              <w:rPr>
                <w:rFonts w:eastAsia="Calibri"/>
                <w:szCs w:val="20"/>
                <w:lang w:eastAsia="en-US"/>
              </w:rPr>
            </w:pPr>
            <w:r w:rsidRPr="00885AB3">
              <w:rPr>
                <w:szCs w:val="20"/>
              </w:rPr>
              <w:t>20/1,435</w:t>
            </w:r>
          </w:p>
        </w:tc>
        <w:tc>
          <w:tcPr>
            <w:tcW w:w="697" w:type="pct"/>
            <w:vAlign w:val="center"/>
          </w:tcPr>
          <w:p w14:paraId="3AF5FC25" w14:textId="77777777" w:rsidR="006A1AFC" w:rsidRPr="00885AB3" w:rsidRDefault="006A1AFC" w:rsidP="00120D61">
            <w:pPr>
              <w:pStyle w:val="Tabletext"/>
              <w:keepNext/>
              <w:jc w:val="center"/>
              <w:rPr>
                <w:rFonts w:eastAsia="Calibri"/>
                <w:szCs w:val="20"/>
                <w:lang w:eastAsia="en-US"/>
              </w:rPr>
            </w:pPr>
            <w:r w:rsidRPr="00885AB3">
              <w:rPr>
                <w:szCs w:val="20"/>
              </w:rPr>
              <w:t>35.3 (-30.1, 67.8)</w:t>
            </w:r>
          </w:p>
        </w:tc>
        <w:tc>
          <w:tcPr>
            <w:tcW w:w="461" w:type="pct"/>
            <w:vAlign w:val="center"/>
          </w:tcPr>
          <w:p w14:paraId="09D6DEB4" w14:textId="77777777" w:rsidR="006A1AFC" w:rsidRPr="00885AB3" w:rsidRDefault="006A1AFC" w:rsidP="00120D61">
            <w:pPr>
              <w:pStyle w:val="Tabletext"/>
              <w:keepNext/>
              <w:jc w:val="center"/>
              <w:rPr>
                <w:rFonts w:eastAsia="Calibri"/>
                <w:szCs w:val="20"/>
                <w:lang w:eastAsia="en-US"/>
              </w:rPr>
            </w:pPr>
            <w:r w:rsidRPr="00885AB3">
              <w:rPr>
                <w:szCs w:val="20"/>
              </w:rPr>
              <w:t>5/1,425</w:t>
            </w:r>
          </w:p>
        </w:tc>
        <w:tc>
          <w:tcPr>
            <w:tcW w:w="462" w:type="pct"/>
            <w:vAlign w:val="center"/>
          </w:tcPr>
          <w:p w14:paraId="132A48E7" w14:textId="77777777" w:rsidR="006A1AFC" w:rsidRPr="00885AB3" w:rsidRDefault="006A1AFC" w:rsidP="00120D61">
            <w:pPr>
              <w:pStyle w:val="Tabletext"/>
              <w:keepNext/>
              <w:jc w:val="center"/>
              <w:rPr>
                <w:rFonts w:eastAsia="Calibri"/>
                <w:szCs w:val="20"/>
                <w:lang w:eastAsia="en-US"/>
              </w:rPr>
            </w:pPr>
            <w:r w:rsidRPr="00885AB3">
              <w:rPr>
                <w:szCs w:val="20"/>
              </w:rPr>
              <w:t>9/1,435</w:t>
            </w:r>
          </w:p>
        </w:tc>
        <w:tc>
          <w:tcPr>
            <w:tcW w:w="767" w:type="pct"/>
            <w:vAlign w:val="center"/>
          </w:tcPr>
          <w:p w14:paraId="583B9185" w14:textId="77777777" w:rsidR="006A1AFC" w:rsidRPr="00885AB3" w:rsidRDefault="006A1AFC" w:rsidP="00120D61">
            <w:pPr>
              <w:pStyle w:val="Tabletext"/>
              <w:keepNext/>
              <w:jc w:val="center"/>
              <w:rPr>
                <w:rFonts w:eastAsia="Calibri"/>
                <w:szCs w:val="20"/>
                <w:lang w:eastAsia="en-US"/>
              </w:rPr>
            </w:pPr>
            <w:r w:rsidRPr="00885AB3">
              <w:rPr>
                <w:szCs w:val="20"/>
              </w:rPr>
              <w:t>44.7 (-65.1, 81.5)</w:t>
            </w:r>
          </w:p>
        </w:tc>
        <w:tc>
          <w:tcPr>
            <w:tcW w:w="457" w:type="pct"/>
            <w:vAlign w:val="center"/>
          </w:tcPr>
          <w:p w14:paraId="004A7FB9" w14:textId="77777777" w:rsidR="006A1AFC" w:rsidRPr="00885AB3" w:rsidRDefault="006A1AFC" w:rsidP="00120D61">
            <w:pPr>
              <w:pStyle w:val="Tabletext"/>
              <w:keepNext/>
              <w:jc w:val="center"/>
              <w:rPr>
                <w:rFonts w:eastAsia="Calibri"/>
                <w:szCs w:val="20"/>
                <w:lang w:eastAsia="en-US"/>
              </w:rPr>
            </w:pPr>
            <w:r w:rsidRPr="00885AB3">
              <w:rPr>
                <w:szCs w:val="20"/>
              </w:rPr>
              <w:t>24/1,425</w:t>
            </w:r>
          </w:p>
        </w:tc>
        <w:tc>
          <w:tcPr>
            <w:tcW w:w="459" w:type="pct"/>
            <w:vAlign w:val="center"/>
          </w:tcPr>
          <w:p w14:paraId="45129EF8" w14:textId="77777777" w:rsidR="006A1AFC" w:rsidRPr="00885AB3" w:rsidRDefault="006A1AFC" w:rsidP="00120D61">
            <w:pPr>
              <w:pStyle w:val="Tabletext"/>
              <w:keepNext/>
              <w:jc w:val="center"/>
              <w:rPr>
                <w:rFonts w:eastAsia="Calibri"/>
                <w:szCs w:val="20"/>
                <w:lang w:eastAsia="en-US"/>
              </w:rPr>
            </w:pPr>
            <w:r w:rsidRPr="00885AB3">
              <w:rPr>
                <w:szCs w:val="20"/>
              </w:rPr>
              <w:t>37/1,435</w:t>
            </w:r>
          </w:p>
        </w:tc>
        <w:tc>
          <w:tcPr>
            <w:tcW w:w="506" w:type="pct"/>
            <w:vAlign w:val="center"/>
          </w:tcPr>
          <w:p w14:paraId="766963DD" w14:textId="77777777" w:rsidR="006A1AFC" w:rsidRPr="00885AB3" w:rsidRDefault="006A1AFC" w:rsidP="00120D61">
            <w:pPr>
              <w:pStyle w:val="Tabletext"/>
              <w:keepNext/>
              <w:jc w:val="center"/>
              <w:rPr>
                <w:rFonts w:eastAsia="Calibri"/>
                <w:szCs w:val="20"/>
                <w:lang w:eastAsia="en-US"/>
              </w:rPr>
            </w:pPr>
            <w:r w:rsidRPr="00885AB3">
              <w:rPr>
                <w:szCs w:val="20"/>
              </w:rPr>
              <w:t>35.4 (-7.9, 61.4)</w:t>
            </w:r>
          </w:p>
        </w:tc>
      </w:tr>
    </w:tbl>
    <w:p w14:paraId="73FF92A0" w14:textId="2E235CAC" w:rsidR="006A1AFC" w:rsidRPr="00885AB3" w:rsidRDefault="006A1AFC" w:rsidP="00120D61">
      <w:pPr>
        <w:pStyle w:val="FooterTableFigure"/>
        <w:keepNext/>
        <w:rPr>
          <w:rFonts w:eastAsia="Calibri"/>
          <w:lang w:eastAsia="en-US"/>
        </w:rPr>
      </w:pPr>
      <w:r w:rsidRPr="00885AB3">
        <w:rPr>
          <w:rFonts w:eastAsia="Calibri"/>
          <w:lang w:eastAsia="en-US"/>
        </w:rPr>
        <w:t>Source: Table presented in Section 2.6.2.1, p146 of the submission and</w:t>
      </w:r>
      <w:r w:rsidRPr="00885AB3">
        <w:t xml:space="preserve"> Table 2-65, p147 of the submission</w:t>
      </w:r>
      <w:r w:rsidRPr="00885AB3">
        <w:rPr>
          <w:rFonts w:eastAsia="Calibri"/>
          <w:lang w:eastAsia="en-US"/>
        </w:rPr>
        <w:t>; Table 32 and Table 38, pp129-139 of the mRNA-1345-P301 CSR for additional analysis (DCO 23 April 2023).</w:t>
      </w:r>
      <w:r w:rsidR="001C78D7">
        <w:rPr>
          <w:rFonts w:eastAsia="Calibri"/>
          <w:lang w:eastAsia="en-US"/>
        </w:rPr>
        <w:t xml:space="preserve"> </w:t>
      </w:r>
    </w:p>
    <w:p w14:paraId="2EA8EFB9" w14:textId="2963226D" w:rsidR="006A1AFC" w:rsidRPr="00885AB3" w:rsidRDefault="006A1AFC" w:rsidP="00120D61">
      <w:pPr>
        <w:pStyle w:val="FooterTableFigure"/>
        <w:keepNext/>
        <w:spacing w:after="0"/>
        <w:rPr>
          <w:rFonts w:eastAsia="Calibri"/>
          <w:lang w:eastAsia="en-US"/>
        </w:rPr>
      </w:pPr>
      <w:r w:rsidRPr="00885AB3">
        <w:rPr>
          <w:rFonts w:eastAsia="Calibri"/>
          <w:lang w:eastAsia="en-US"/>
        </w:rPr>
        <w:t>CI = confidence interval; CSR = clinical study report; DCO = data cut-off; N</w:t>
      </w:r>
      <w:r w:rsidR="00892241" w:rsidRPr="00885AB3">
        <w:rPr>
          <w:rFonts w:eastAsia="Calibri"/>
          <w:lang w:eastAsia="en-US"/>
        </w:rPr>
        <w:t>R</w:t>
      </w:r>
      <w:r w:rsidRPr="00885AB3">
        <w:rPr>
          <w:rFonts w:eastAsia="Calibri"/>
          <w:lang w:eastAsia="en-US"/>
        </w:rPr>
        <w:t xml:space="preserve"> = not </w:t>
      </w:r>
      <w:r w:rsidR="00892241" w:rsidRPr="00885AB3">
        <w:rPr>
          <w:rFonts w:eastAsia="Calibri"/>
          <w:lang w:eastAsia="en-US"/>
        </w:rPr>
        <w:t>reported</w:t>
      </w:r>
      <w:r w:rsidRPr="00885AB3">
        <w:rPr>
          <w:b/>
          <w:iCs/>
          <w:u w:val="single"/>
        </w:rPr>
        <w:t>;</w:t>
      </w:r>
      <w:r w:rsidRPr="00885AB3">
        <w:rPr>
          <w:rFonts w:eastAsia="Calibri"/>
          <w:lang w:eastAsia="en-US"/>
        </w:rPr>
        <w:t xml:space="preserve"> </w:t>
      </w:r>
      <w:r w:rsidR="00586350" w:rsidRPr="00885AB3">
        <w:rPr>
          <w:rFonts w:eastAsia="Calibri"/>
          <w:lang w:eastAsia="en-US"/>
        </w:rPr>
        <w:t xml:space="preserve">PPE = per protocol efficacy; </w:t>
      </w:r>
      <w:r w:rsidRPr="00885AB3">
        <w:rPr>
          <w:rFonts w:eastAsia="Calibri"/>
          <w:lang w:eastAsia="en-US"/>
        </w:rPr>
        <w:t xml:space="preserve">RSV-ARD = respiratory syncytial virus–associated acute respiratory disease; RSV-LRTD = respiratory syncytial virus–associated lower respiratory tract disease; VE = vaccine efficacy; </w:t>
      </w:r>
      <w:r w:rsidRPr="00885AB3">
        <w:rPr>
          <w:rFonts w:eastAsia="Calibri"/>
          <w:szCs w:val="18"/>
          <w:lang w:eastAsia="en-US"/>
        </w:rPr>
        <w:t>YOA</w:t>
      </w:r>
      <w:r w:rsidRPr="00885AB3">
        <w:rPr>
          <w:rFonts w:eastAsia="Calibri"/>
          <w:lang w:eastAsia="en-US"/>
        </w:rPr>
        <w:t xml:space="preserve"> = years </w:t>
      </w:r>
      <w:r w:rsidRPr="00885AB3">
        <w:rPr>
          <w:rFonts w:eastAsia="Calibri"/>
          <w:szCs w:val="18"/>
          <w:lang w:eastAsia="en-US"/>
        </w:rPr>
        <w:t>of age.</w:t>
      </w:r>
      <w:r w:rsidR="001C78D7">
        <w:rPr>
          <w:rFonts w:eastAsia="Calibri"/>
          <w:szCs w:val="18"/>
          <w:lang w:eastAsia="en-US"/>
        </w:rPr>
        <w:t xml:space="preserve"> </w:t>
      </w:r>
    </w:p>
    <w:p w14:paraId="22015FC1" w14:textId="77777777" w:rsidR="006A1AFC" w:rsidRPr="00885AB3" w:rsidRDefault="006A1AFC" w:rsidP="00120D61">
      <w:pPr>
        <w:pStyle w:val="TableText0"/>
        <w:keepNext/>
        <w:jc w:val="both"/>
        <w:rPr>
          <w:sz w:val="18"/>
          <w:szCs w:val="18"/>
          <w:lang w:eastAsia="en-US"/>
        </w:rPr>
      </w:pPr>
      <w:r w:rsidRPr="00885AB3">
        <w:rPr>
          <w:sz w:val="18"/>
          <w:szCs w:val="18"/>
          <w:vertAlign w:val="superscript"/>
        </w:rPr>
        <w:t>a</w:t>
      </w:r>
      <w:r w:rsidRPr="00885AB3">
        <w:rPr>
          <w:sz w:val="18"/>
          <w:szCs w:val="18"/>
          <w:lang w:eastAsia="en-US"/>
        </w:rPr>
        <w:t xml:space="preserve"> Relevant subgroup analyses were not provided for the period up to 12 months at the latest DCO with 18.8 months follow-up. </w:t>
      </w:r>
    </w:p>
    <w:p w14:paraId="29C336E5" w14:textId="531DA7D6" w:rsidR="006A1AFC" w:rsidRPr="00885AB3" w:rsidRDefault="006A1AFC" w:rsidP="00120D61">
      <w:pPr>
        <w:pStyle w:val="TableText0"/>
        <w:keepNext/>
        <w:jc w:val="both"/>
        <w:rPr>
          <w:sz w:val="18"/>
          <w:szCs w:val="18"/>
          <w:lang w:eastAsia="en-US"/>
        </w:rPr>
      </w:pPr>
      <w:r w:rsidRPr="00885AB3">
        <w:rPr>
          <w:sz w:val="18"/>
          <w:szCs w:val="18"/>
          <w:vertAlign w:val="superscript"/>
          <w:lang w:eastAsia="en-US"/>
        </w:rPr>
        <w:t>b</w:t>
      </w:r>
      <w:r w:rsidRPr="00885AB3">
        <w:rPr>
          <w:sz w:val="18"/>
          <w:szCs w:val="18"/>
          <w:lang w:eastAsia="en-US"/>
        </w:rPr>
        <w:t xml:space="preserve"> The CSR defined severe RSV-LRTD as disease presenting with shortness of breath or cases requiring emergency room/urgent care visit.</w:t>
      </w:r>
      <w:r w:rsidR="001C78D7">
        <w:rPr>
          <w:sz w:val="18"/>
          <w:szCs w:val="18"/>
          <w:lang w:eastAsia="en-US"/>
        </w:rPr>
        <w:t xml:space="preserve"> </w:t>
      </w:r>
    </w:p>
    <w:p w14:paraId="411DC97B" w14:textId="77777777" w:rsidR="006A1AFC" w:rsidRPr="00885AB3" w:rsidRDefault="006A1AFC" w:rsidP="00120D61">
      <w:pPr>
        <w:pStyle w:val="FooterTableFigure"/>
        <w:keepNext/>
        <w:rPr>
          <w:i/>
        </w:rPr>
      </w:pPr>
      <w:r w:rsidRPr="00885AB3">
        <w:t xml:space="preserve">Bold indicates that predefined lower bound of the CI around the vaccine efficacy was greater than 20%. </w:t>
      </w:r>
    </w:p>
    <w:p w14:paraId="294B1CC1" w14:textId="77777777" w:rsidR="00A31D4C" w:rsidRPr="00885AB3" w:rsidRDefault="00A31D4C" w:rsidP="00120D61">
      <w:pPr>
        <w:pStyle w:val="3-BodyText"/>
        <w:rPr>
          <w:i/>
          <w:lang w:eastAsia="en-US"/>
        </w:rPr>
        <w:sectPr w:rsidR="00A31D4C" w:rsidRPr="00885AB3" w:rsidSect="00E71A95">
          <w:pgSz w:w="16840" w:h="11907" w:orient="landscape" w:code="9"/>
          <w:pgMar w:top="1440" w:right="1440" w:bottom="1440" w:left="1440" w:header="1440" w:footer="1440" w:gutter="0"/>
          <w:cols w:space="708"/>
          <w:docGrid w:linePitch="360"/>
        </w:sectPr>
      </w:pPr>
    </w:p>
    <w:p w14:paraId="08C222EB" w14:textId="17BD26DE" w:rsidR="00A94E12" w:rsidRPr="00885AB3" w:rsidRDefault="006A1AFC" w:rsidP="00120D61">
      <w:pPr>
        <w:pStyle w:val="3-BodyText"/>
        <w:rPr>
          <w:iCs/>
        </w:rPr>
      </w:pPr>
      <w:r w:rsidRPr="00885AB3">
        <w:rPr>
          <w:iCs/>
          <w:lang w:eastAsia="en-US"/>
        </w:rPr>
        <w:lastRenderedPageBreak/>
        <w:t>The results show that VE is</w:t>
      </w:r>
      <w:r w:rsidR="002E344A" w:rsidRPr="00885AB3">
        <w:rPr>
          <w:iCs/>
          <w:lang w:eastAsia="en-US"/>
        </w:rPr>
        <w:t xml:space="preserve"> </w:t>
      </w:r>
      <w:r w:rsidRPr="00885AB3">
        <w:rPr>
          <w:iCs/>
          <w:lang w:eastAsia="en-US"/>
        </w:rPr>
        <w:t xml:space="preserve">lower in the </w:t>
      </w:r>
      <w:r w:rsidR="00EF2FA4">
        <w:rPr>
          <w:iCs/>
          <w:lang w:eastAsia="en-US"/>
        </w:rPr>
        <w:t xml:space="preserve">≥ </w:t>
      </w:r>
      <w:r w:rsidRPr="00885AB3">
        <w:rPr>
          <w:iCs/>
          <w:lang w:eastAsia="en-US"/>
        </w:rPr>
        <w:t xml:space="preserve">75 and </w:t>
      </w:r>
      <w:r w:rsidR="00EF2FA4">
        <w:rPr>
          <w:iCs/>
          <w:lang w:eastAsia="en-US"/>
        </w:rPr>
        <w:t xml:space="preserve">≥ </w:t>
      </w:r>
      <w:r w:rsidRPr="00885AB3">
        <w:rPr>
          <w:iCs/>
          <w:lang w:eastAsia="en-US"/>
        </w:rPr>
        <w:t>80 YOA subgroups compared with the overall population (</w:t>
      </w:r>
      <w:r w:rsidR="00EF2FA4">
        <w:rPr>
          <w:iCs/>
          <w:lang w:eastAsia="en-US"/>
        </w:rPr>
        <w:t xml:space="preserve">≥ </w:t>
      </w:r>
      <w:r w:rsidRPr="00885AB3">
        <w:rPr>
          <w:iCs/>
          <w:lang w:eastAsia="en-US"/>
        </w:rPr>
        <w:t xml:space="preserve">60 YOA), with the </w:t>
      </w:r>
      <w:r w:rsidR="00C66ED8" w:rsidRPr="00885AB3">
        <w:rPr>
          <w:iCs/>
          <w:lang w:eastAsia="en-US"/>
        </w:rPr>
        <w:t>l</w:t>
      </w:r>
      <w:r w:rsidRPr="00885AB3">
        <w:rPr>
          <w:iCs/>
          <w:lang w:eastAsia="en-US"/>
        </w:rPr>
        <w:t>ower 95% CI being below the 20% threshold for all outcomes</w:t>
      </w:r>
      <w:r w:rsidR="00FB0F51" w:rsidRPr="00885AB3">
        <w:rPr>
          <w:iCs/>
          <w:lang w:eastAsia="en-US"/>
        </w:rPr>
        <w:t xml:space="preserve"> for both</w:t>
      </w:r>
      <w:r w:rsidR="00814960" w:rsidRPr="00885AB3">
        <w:rPr>
          <w:iCs/>
          <w:lang w:eastAsia="en-US"/>
        </w:rPr>
        <w:t xml:space="preserve"> </w:t>
      </w:r>
      <w:r w:rsidR="00EF2FA4">
        <w:rPr>
          <w:iCs/>
          <w:lang w:eastAsia="en-US"/>
        </w:rPr>
        <w:t xml:space="preserve">≥ </w:t>
      </w:r>
      <w:r w:rsidR="00814960" w:rsidRPr="00885AB3">
        <w:rPr>
          <w:iCs/>
          <w:lang w:eastAsia="en-US"/>
        </w:rPr>
        <w:t xml:space="preserve">75 and </w:t>
      </w:r>
      <w:r w:rsidR="00EF2FA4">
        <w:rPr>
          <w:iCs/>
          <w:lang w:eastAsia="en-US"/>
        </w:rPr>
        <w:t xml:space="preserve">≥ </w:t>
      </w:r>
      <w:r w:rsidR="00814960" w:rsidRPr="00885AB3">
        <w:rPr>
          <w:iCs/>
          <w:lang w:eastAsia="en-US"/>
        </w:rPr>
        <w:t>80 YOA</w:t>
      </w:r>
      <w:r w:rsidR="00FB0F51" w:rsidRPr="00885AB3">
        <w:rPr>
          <w:iCs/>
          <w:lang w:eastAsia="en-US"/>
        </w:rPr>
        <w:t xml:space="preserve"> subgroups</w:t>
      </w:r>
      <w:r w:rsidRPr="00885AB3">
        <w:rPr>
          <w:iCs/>
          <w:lang w:eastAsia="en-US"/>
        </w:rPr>
        <w:t xml:space="preserve"> at </w:t>
      </w:r>
      <w:r w:rsidR="00E12E01" w:rsidRPr="00885AB3">
        <w:rPr>
          <w:iCs/>
          <w:lang w:eastAsia="en-US"/>
        </w:rPr>
        <w:t xml:space="preserve">12 and </w:t>
      </w:r>
      <w:r w:rsidRPr="00885AB3">
        <w:rPr>
          <w:iCs/>
          <w:lang w:eastAsia="en-US"/>
        </w:rPr>
        <w:t xml:space="preserve">24 months. This is likely driven by the </w:t>
      </w:r>
      <w:r w:rsidR="00EF2FA4">
        <w:rPr>
          <w:iCs/>
          <w:lang w:eastAsia="en-US"/>
        </w:rPr>
        <w:t xml:space="preserve">≥ </w:t>
      </w:r>
      <w:r w:rsidRPr="00885AB3">
        <w:rPr>
          <w:iCs/>
          <w:lang w:eastAsia="en-US"/>
        </w:rPr>
        <w:t xml:space="preserve">80 YOA subgroup, as the lower 95% CI is </w:t>
      </w:r>
      <w:r w:rsidR="001C78D7">
        <w:rPr>
          <w:iCs/>
          <w:lang w:eastAsia="en-US"/>
        </w:rPr>
        <w:t xml:space="preserve">&gt; </w:t>
      </w:r>
      <w:r w:rsidRPr="00885AB3">
        <w:rPr>
          <w:iCs/>
          <w:lang w:eastAsia="en-US"/>
        </w:rPr>
        <w:t xml:space="preserve">20% in the 70-79 YOA subgroup. </w:t>
      </w:r>
      <w:proofErr w:type="spellStart"/>
      <w:r w:rsidRPr="00885AB3">
        <w:rPr>
          <w:iCs/>
          <w:lang w:eastAsia="en-US"/>
        </w:rPr>
        <w:t>ConquerRSV</w:t>
      </w:r>
      <w:proofErr w:type="spellEnd"/>
      <w:r w:rsidRPr="00885AB3">
        <w:rPr>
          <w:iCs/>
          <w:lang w:eastAsia="en-US"/>
        </w:rPr>
        <w:t xml:space="preserve"> was not powered to assess VE in adults </w:t>
      </w:r>
      <w:r w:rsidR="00EF2FA4">
        <w:rPr>
          <w:iCs/>
          <w:lang w:eastAsia="en-US"/>
        </w:rPr>
        <w:t xml:space="preserve">≥ </w:t>
      </w:r>
      <w:r w:rsidRPr="00885AB3">
        <w:rPr>
          <w:iCs/>
          <w:lang w:eastAsia="en-US"/>
        </w:rPr>
        <w:t xml:space="preserve">75 YOA. </w:t>
      </w:r>
    </w:p>
    <w:p w14:paraId="2E40C780" w14:textId="049676A5" w:rsidR="006A1AFC" w:rsidRPr="00885AB3" w:rsidRDefault="006A1AFC" w:rsidP="00120D61">
      <w:pPr>
        <w:pStyle w:val="3-BodyText"/>
        <w:rPr>
          <w:iCs/>
        </w:rPr>
      </w:pPr>
      <w:r w:rsidRPr="00885AB3">
        <w:rPr>
          <w:rFonts w:eastAsia="Calibri"/>
          <w:iCs/>
          <w:lang w:eastAsia="en-US"/>
        </w:rPr>
        <w:t>In its review of these data ATAGI noted</w:t>
      </w:r>
      <w:r w:rsidR="00B04EBC" w:rsidRPr="00885AB3">
        <w:rPr>
          <w:rFonts w:eastAsia="Calibri"/>
          <w:iCs/>
          <w:lang w:eastAsia="en-US"/>
        </w:rPr>
        <w:t xml:space="preserve"> there was an</w:t>
      </w:r>
      <w:r w:rsidRPr="00885AB3">
        <w:rPr>
          <w:rFonts w:eastAsia="Calibri"/>
          <w:iCs/>
          <w:lang w:eastAsia="en-US"/>
        </w:rPr>
        <w:t>:</w:t>
      </w:r>
    </w:p>
    <w:p w14:paraId="063249FA" w14:textId="56778DC2" w:rsidR="006A1AFC" w:rsidRPr="00885AB3" w:rsidRDefault="006A1AFC" w:rsidP="00120D61">
      <w:pPr>
        <w:pStyle w:val="3-BodyText"/>
        <w:numPr>
          <w:ilvl w:val="0"/>
          <w:numId w:val="0"/>
        </w:numPr>
        <w:ind w:left="720"/>
        <w:rPr>
          <w:rFonts w:eastAsia="Calibri"/>
          <w:iCs/>
          <w:lang w:eastAsia="en-US"/>
        </w:rPr>
      </w:pPr>
      <w:r w:rsidRPr="00885AB3">
        <w:rPr>
          <w:rFonts w:eastAsia="Calibri"/>
          <w:iCs/>
          <w:lang w:eastAsia="en-US"/>
        </w:rPr>
        <w:t xml:space="preserve">“overall lack of evidence presented in the current Request for Advice specific to the target population. Although the VE may be lower for some outcomes in the </w:t>
      </w:r>
      <w:r w:rsidR="00EF2FA4">
        <w:rPr>
          <w:rFonts w:eastAsia="Calibri"/>
          <w:iCs/>
          <w:lang w:eastAsia="en-US"/>
        </w:rPr>
        <w:t xml:space="preserve">≥ </w:t>
      </w:r>
      <w:r w:rsidRPr="00885AB3">
        <w:rPr>
          <w:rFonts w:eastAsia="Calibri"/>
          <w:iCs/>
          <w:lang w:eastAsia="en-US"/>
        </w:rPr>
        <w:t>75-year age group (the main target population), the numbers of RSV cases are small, and it is likely that VE has been established for the target population. The durability of vaccine effectiveness appears to be established for up to 16 months in the intention</w:t>
      </w:r>
      <w:r w:rsidR="00F343DA" w:rsidRPr="00885AB3">
        <w:rPr>
          <w:rFonts w:eastAsia="Calibri"/>
          <w:iCs/>
          <w:lang w:eastAsia="en-US"/>
        </w:rPr>
        <w:t>-</w:t>
      </w:r>
      <w:r w:rsidRPr="00885AB3">
        <w:rPr>
          <w:rFonts w:eastAsia="Calibri"/>
          <w:iCs/>
          <w:lang w:eastAsia="en-US"/>
        </w:rPr>
        <w:t>to</w:t>
      </w:r>
      <w:r w:rsidR="00F343DA" w:rsidRPr="00885AB3">
        <w:rPr>
          <w:rFonts w:eastAsia="Calibri"/>
          <w:iCs/>
          <w:lang w:eastAsia="en-US"/>
        </w:rPr>
        <w:t>-</w:t>
      </w:r>
      <w:r w:rsidRPr="00885AB3">
        <w:rPr>
          <w:rFonts w:eastAsia="Calibri"/>
          <w:iCs/>
          <w:lang w:eastAsia="en-US"/>
        </w:rPr>
        <w:t>treat (ITT) population</w:t>
      </w:r>
      <w:r w:rsidR="00A063AF" w:rsidRPr="00885AB3">
        <w:rPr>
          <w:rFonts w:eastAsia="Calibri"/>
          <w:iCs/>
          <w:lang w:eastAsia="en-US"/>
        </w:rPr>
        <w:t>.</w:t>
      </w:r>
      <w:r w:rsidRPr="00885AB3">
        <w:rPr>
          <w:rFonts w:eastAsia="Calibri"/>
          <w:iCs/>
          <w:lang w:eastAsia="en-US"/>
        </w:rPr>
        <w:t>” (ATAGI Advice, June 2025).</w:t>
      </w:r>
    </w:p>
    <w:p w14:paraId="636682D9" w14:textId="301A9DCE" w:rsidR="006A1AFC" w:rsidRPr="00885AB3" w:rsidRDefault="006A1AFC" w:rsidP="00120D61">
      <w:pPr>
        <w:pStyle w:val="3-BodyText"/>
        <w:numPr>
          <w:ilvl w:val="0"/>
          <w:numId w:val="0"/>
        </w:numPr>
        <w:ind w:left="720" w:hanging="720"/>
        <w:rPr>
          <w:b/>
          <w:u w:val="single"/>
        </w:rPr>
      </w:pPr>
      <w:r w:rsidRPr="00885AB3">
        <w:rPr>
          <w:b/>
          <w:u w:val="single"/>
        </w:rPr>
        <w:t>Immunogenicity</w:t>
      </w:r>
    </w:p>
    <w:p w14:paraId="6EB6AAF3" w14:textId="686D5B52" w:rsidR="006A1AFC" w:rsidRPr="00885AB3" w:rsidRDefault="006A1AFC" w:rsidP="00120D61">
      <w:pPr>
        <w:pStyle w:val="3-BodyText"/>
      </w:pPr>
      <w:r w:rsidRPr="00885AB3">
        <w:t xml:space="preserve">The submission presented immunogenicity outcomes from a subgroup of participants in </w:t>
      </w:r>
      <w:proofErr w:type="spellStart"/>
      <w:r w:rsidRPr="00885AB3">
        <w:t>ConquerRSV</w:t>
      </w:r>
      <w:proofErr w:type="spellEnd"/>
      <w:r w:rsidRPr="00885AB3">
        <w:t xml:space="preserve"> (n=1,893). Results of neutralising antibody (</w:t>
      </w:r>
      <w:proofErr w:type="spellStart"/>
      <w:r w:rsidRPr="00885AB3">
        <w:t>nAb</w:t>
      </w:r>
      <w:proofErr w:type="spellEnd"/>
      <w:r w:rsidRPr="00885AB3">
        <w:t>) levels from serum collected at baseline (pre-immuni</w:t>
      </w:r>
      <w:r w:rsidR="00B04EBC" w:rsidRPr="00885AB3">
        <w:t>s</w:t>
      </w:r>
      <w:r w:rsidRPr="00885AB3">
        <w:t xml:space="preserve">ation), study Day 29 and Day 181 (6 months post vaccination) from the per protocol immunogenicity set are presented in </w:t>
      </w:r>
      <w:r w:rsidRPr="00885AB3">
        <w:fldChar w:fldCharType="begin" w:fldLock="1"/>
      </w:r>
      <w:r w:rsidRPr="00885AB3">
        <w:instrText xml:space="preserve"> REF _Ref206659746 \h </w:instrText>
      </w:r>
      <w:r w:rsidR="00121830" w:rsidRPr="00885AB3">
        <w:instrText xml:space="preserve"> \* MERGEFORMAT </w:instrText>
      </w:r>
      <w:r w:rsidRPr="00885AB3">
        <w:fldChar w:fldCharType="separate"/>
      </w:r>
      <w:r w:rsidR="00515933" w:rsidRPr="00885AB3">
        <w:t>Table 9</w:t>
      </w:r>
      <w:r w:rsidRPr="00885AB3">
        <w:fldChar w:fldCharType="end"/>
      </w:r>
      <w:r w:rsidRPr="00885AB3">
        <w:t>. No immunogenicity data w</w:t>
      </w:r>
      <w:r w:rsidR="00B04EBC" w:rsidRPr="00885AB3">
        <w:t>ere</w:t>
      </w:r>
      <w:r w:rsidRPr="00885AB3">
        <w:t xml:space="preserve"> presented for timepoints beyond 181 days.</w:t>
      </w:r>
      <w:r w:rsidR="001C78D7">
        <w:t xml:space="preserve"> </w:t>
      </w:r>
    </w:p>
    <w:p w14:paraId="70C93099" w14:textId="4DEA4834" w:rsidR="006A1AFC" w:rsidRPr="00885AB3" w:rsidRDefault="006A1AFC" w:rsidP="00120D61">
      <w:pPr>
        <w:pStyle w:val="Caption"/>
      </w:pPr>
      <w:bookmarkStart w:id="71" w:name="_Ref206652267"/>
      <w:bookmarkStart w:id="72" w:name="_Ref206659746"/>
      <w:r w:rsidRPr="00885AB3">
        <w:lastRenderedPageBreak/>
        <w:t>Table</w:t>
      </w:r>
      <w:bookmarkEnd w:id="71"/>
      <w:r w:rsidRPr="00885AB3">
        <w:t xml:space="preserve"> </w:t>
      </w:r>
      <w:r w:rsidR="008A242D" w:rsidRPr="00885AB3">
        <w:fldChar w:fldCharType="begin" w:fldLock="1"/>
      </w:r>
      <w:r w:rsidR="008A242D" w:rsidRPr="00885AB3">
        <w:instrText xml:space="preserve"> SEQ Table \* ARABIC </w:instrText>
      </w:r>
      <w:r w:rsidR="008A242D" w:rsidRPr="00885AB3">
        <w:fldChar w:fldCharType="separate"/>
      </w:r>
      <w:r w:rsidR="00515933" w:rsidRPr="00885AB3">
        <w:t>9</w:t>
      </w:r>
      <w:r w:rsidR="008A242D" w:rsidRPr="00885AB3">
        <w:fldChar w:fldCharType="end"/>
      </w:r>
      <w:bookmarkEnd w:id="72"/>
      <w:r w:rsidRPr="00885AB3">
        <w:t xml:space="preserve">: Summary of </w:t>
      </w:r>
      <w:proofErr w:type="spellStart"/>
      <w:r w:rsidRPr="00885AB3">
        <w:t>nAb</w:t>
      </w:r>
      <w:proofErr w:type="spellEnd"/>
      <w:r w:rsidRPr="00885AB3">
        <w:t xml:space="preserve"> Levels (IU/mL) responses at Day 29 and Day 181 against RSV-A and RSV-B subtypes in a subgroup of </w:t>
      </w:r>
      <w:proofErr w:type="spellStart"/>
      <w:r w:rsidRPr="00885AB3">
        <w:t>ConquerRSV</w:t>
      </w:r>
      <w:proofErr w:type="spellEnd"/>
      <w:r w:rsidRPr="00885AB3">
        <w:t xml:space="preserve"> (single dose, PPI set, 18.8-months median time to follow-up)</w:t>
      </w:r>
    </w:p>
    <w:tbl>
      <w:tblPr>
        <w:tblStyle w:val="TableGrid"/>
        <w:tblW w:w="5000" w:type="pct"/>
        <w:tblLook w:val="04A0" w:firstRow="1" w:lastRow="0" w:firstColumn="1" w:lastColumn="0" w:noHBand="0" w:noVBand="1"/>
        <w:tblCaption w:val="Table 9: Summary of nAb Levels (IU/mL) responses at Day 29 and Day 181 against RSV-A and RSV-B subtypes in a subgroup of ConquerRSV (single dose, PPI set, 18.8-months median time to follow-up)"/>
      </w:tblPr>
      <w:tblGrid>
        <w:gridCol w:w="2156"/>
        <w:gridCol w:w="1756"/>
        <w:gridCol w:w="1757"/>
        <w:gridCol w:w="1757"/>
        <w:gridCol w:w="1591"/>
      </w:tblGrid>
      <w:tr w:rsidR="006A1AFC" w:rsidRPr="00885AB3" w14:paraId="07AB3F91" w14:textId="77777777" w:rsidTr="004F6B3C">
        <w:trPr>
          <w:trHeight w:val="60"/>
        </w:trPr>
        <w:tc>
          <w:tcPr>
            <w:tcW w:w="1196" w:type="pct"/>
            <w:vMerge w:val="restart"/>
            <w:hideMark/>
          </w:tcPr>
          <w:p w14:paraId="715A5564" w14:textId="77777777" w:rsidR="006A1AFC" w:rsidRPr="00885AB3" w:rsidRDefault="006A1AFC" w:rsidP="00120D61">
            <w:pPr>
              <w:pStyle w:val="In-tableHeading"/>
            </w:pPr>
            <w:r w:rsidRPr="00885AB3">
              <w:t> </w:t>
            </w:r>
          </w:p>
          <w:p w14:paraId="318AC841" w14:textId="77777777" w:rsidR="006A1AFC" w:rsidRPr="00885AB3" w:rsidRDefault="006A1AFC" w:rsidP="00120D61">
            <w:pPr>
              <w:pStyle w:val="In-tableHeading"/>
            </w:pPr>
            <w:r w:rsidRPr="00885AB3">
              <w:t> </w:t>
            </w:r>
          </w:p>
        </w:tc>
        <w:tc>
          <w:tcPr>
            <w:tcW w:w="1948" w:type="pct"/>
            <w:gridSpan w:val="2"/>
            <w:vAlign w:val="center"/>
            <w:hideMark/>
          </w:tcPr>
          <w:p w14:paraId="343120E2" w14:textId="77777777" w:rsidR="006A1AFC" w:rsidRPr="00885AB3" w:rsidRDefault="006A1AFC" w:rsidP="00120D61">
            <w:pPr>
              <w:pStyle w:val="In-tableHeading"/>
              <w:jc w:val="center"/>
            </w:pPr>
            <w:r w:rsidRPr="00885AB3">
              <w:t>RSV A</w:t>
            </w:r>
          </w:p>
        </w:tc>
        <w:tc>
          <w:tcPr>
            <w:tcW w:w="1856" w:type="pct"/>
            <w:gridSpan w:val="2"/>
            <w:vAlign w:val="center"/>
            <w:hideMark/>
          </w:tcPr>
          <w:p w14:paraId="5BC74B93" w14:textId="77777777" w:rsidR="006A1AFC" w:rsidRPr="00885AB3" w:rsidRDefault="006A1AFC" w:rsidP="00120D61">
            <w:pPr>
              <w:pStyle w:val="In-tableHeading"/>
              <w:jc w:val="center"/>
            </w:pPr>
            <w:r w:rsidRPr="00885AB3">
              <w:t>RSV B</w:t>
            </w:r>
          </w:p>
        </w:tc>
      </w:tr>
      <w:tr w:rsidR="006A1AFC" w:rsidRPr="00885AB3" w14:paraId="15D34EDE" w14:textId="77777777" w:rsidTr="004F6B3C">
        <w:trPr>
          <w:trHeight w:val="342"/>
        </w:trPr>
        <w:tc>
          <w:tcPr>
            <w:tcW w:w="1196" w:type="pct"/>
            <w:vMerge/>
            <w:hideMark/>
          </w:tcPr>
          <w:p w14:paraId="4FB24623" w14:textId="77777777" w:rsidR="006A1AFC" w:rsidRPr="00885AB3" w:rsidRDefault="006A1AFC" w:rsidP="00120D61">
            <w:pPr>
              <w:pStyle w:val="In-tableHeading"/>
            </w:pPr>
          </w:p>
        </w:tc>
        <w:tc>
          <w:tcPr>
            <w:tcW w:w="974" w:type="pct"/>
            <w:vAlign w:val="center"/>
            <w:hideMark/>
          </w:tcPr>
          <w:p w14:paraId="053989DB" w14:textId="77777777" w:rsidR="006A1AFC" w:rsidRPr="00885AB3" w:rsidRDefault="006A1AFC" w:rsidP="00120D61">
            <w:pPr>
              <w:pStyle w:val="In-tableHeading"/>
              <w:jc w:val="center"/>
            </w:pPr>
            <w:r w:rsidRPr="00885AB3">
              <w:t>mRNA-1345 (n=1,532)</w:t>
            </w:r>
          </w:p>
        </w:tc>
        <w:tc>
          <w:tcPr>
            <w:tcW w:w="974" w:type="pct"/>
            <w:vAlign w:val="center"/>
            <w:hideMark/>
          </w:tcPr>
          <w:p w14:paraId="0B6A4192" w14:textId="77777777" w:rsidR="006A1AFC" w:rsidRPr="00885AB3" w:rsidRDefault="006A1AFC" w:rsidP="00120D61">
            <w:pPr>
              <w:pStyle w:val="In-tableHeading"/>
              <w:jc w:val="center"/>
            </w:pPr>
            <w:r w:rsidRPr="00885AB3">
              <w:t>Placebo (n=341)</w:t>
            </w:r>
          </w:p>
        </w:tc>
        <w:tc>
          <w:tcPr>
            <w:tcW w:w="974" w:type="pct"/>
            <w:vAlign w:val="center"/>
            <w:hideMark/>
          </w:tcPr>
          <w:p w14:paraId="06623B8F" w14:textId="77777777" w:rsidR="006A1AFC" w:rsidRPr="00885AB3" w:rsidRDefault="006A1AFC" w:rsidP="00120D61">
            <w:pPr>
              <w:pStyle w:val="In-tableHeading"/>
              <w:jc w:val="center"/>
            </w:pPr>
            <w:r w:rsidRPr="00885AB3">
              <w:t>mRNA-1345 (n=1,532)</w:t>
            </w:r>
          </w:p>
        </w:tc>
        <w:tc>
          <w:tcPr>
            <w:tcW w:w="882" w:type="pct"/>
            <w:vAlign w:val="center"/>
            <w:hideMark/>
          </w:tcPr>
          <w:p w14:paraId="0193954D" w14:textId="77777777" w:rsidR="006A1AFC" w:rsidRPr="00885AB3" w:rsidRDefault="006A1AFC" w:rsidP="00120D61">
            <w:pPr>
              <w:pStyle w:val="In-tableHeading"/>
              <w:jc w:val="center"/>
            </w:pPr>
            <w:r w:rsidRPr="00885AB3">
              <w:t>Placebo (n=341)</w:t>
            </w:r>
          </w:p>
        </w:tc>
      </w:tr>
      <w:tr w:rsidR="006A1AFC" w:rsidRPr="00885AB3" w14:paraId="231B9E6A" w14:textId="77777777" w:rsidTr="004F6B3C">
        <w:trPr>
          <w:trHeight w:val="60"/>
        </w:trPr>
        <w:tc>
          <w:tcPr>
            <w:tcW w:w="5000" w:type="pct"/>
            <w:gridSpan w:val="5"/>
            <w:vAlign w:val="center"/>
            <w:hideMark/>
          </w:tcPr>
          <w:p w14:paraId="66854E59" w14:textId="77777777" w:rsidR="006A1AFC" w:rsidRPr="00885AB3" w:rsidRDefault="006A1AFC" w:rsidP="00120D61">
            <w:pPr>
              <w:pStyle w:val="TableText0"/>
              <w:keepNext/>
              <w:jc w:val="left"/>
              <w:rPr>
                <w:b/>
                <w:szCs w:val="20"/>
              </w:rPr>
            </w:pPr>
            <w:r w:rsidRPr="00885AB3">
              <w:rPr>
                <w:b/>
                <w:szCs w:val="20"/>
              </w:rPr>
              <w:t>Baseline (Day 1)</w:t>
            </w:r>
          </w:p>
        </w:tc>
      </w:tr>
      <w:tr w:rsidR="006A1AFC" w:rsidRPr="00885AB3" w14:paraId="6B9B263D" w14:textId="77777777" w:rsidTr="004F6B3C">
        <w:trPr>
          <w:trHeight w:val="60"/>
        </w:trPr>
        <w:tc>
          <w:tcPr>
            <w:tcW w:w="1196" w:type="pct"/>
            <w:vAlign w:val="center"/>
            <w:hideMark/>
          </w:tcPr>
          <w:p w14:paraId="7598FDDB" w14:textId="77777777" w:rsidR="006A1AFC" w:rsidRPr="00885AB3" w:rsidRDefault="006A1AFC" w:rsidP="00120D61">
            <w:pPr>
              <w:pStyle w:val="TableText0"/>
              <w:keepNext/>
              <w:jc w:val="left"/>
              <w:rPr>
                <w:szCs w:val="20"/>
              </w:rPr>
            </w:pPr>
            <w:proofErr w:type="spellStart"/>
            <w:r w:rsidRPr="00885AB3">
              <w:rPr>
                <w:szCs w:val="20"/>
              </w:rPr>
              <w:t>n</w:t>
            </w:r>
            <w:r w:rsidRPr="00885AB3">
              <w:rPr>
                <w:szCs w:val="20"/>
                <w:vertAlign w:val="superscript"/>
              </w:rPr>
              <w:t>a</w:t>
            </w:r>
            <w:proofErr w:type="spellEnd"/>
          </w:p>
        </w:tc>
        <w:tc>
          <w:tcPr>
            <w:tcW w:w="974" w:type="pct"/>
            <w:vAlign w:val="center"/>
            <w:hideMark/>
          </w:tcPr>
          <w:p w14:paraId="094FA0FD" w14:textId="1797B667" w:rsidR="006A1AFC" w:rsidRPr="00885AB3" w:rsidRDefault="006A1AFC" w:rsidP="00120D61">
            <w:pPr>
              <w:pStyle w:val="TableText0"/>
              <w:keepNext/>
              <w:rPr>
                <w:szCs w:val="20"/>
              </w:rPr>
            </w:pPr>
            <w:r w:rsidRPr="00885AB3">
              <w:rPr>
                <w:szCs w:val="20"/>
              </w:rPr>
              <w:t>1</w:t>
            </w:r>
            <w:r w:rsidR="00046543" w:rsidRPr="00885AB3">
              <w:rPr>
                <w:szCs w:val="20"/>
              </w:rPr>
              <w:t>,</w:t>
            </w:r>
            <w:r w:rsidRPr="00885AB3">
              <w:rPr>
                <w:szCs w:val="20"/>
              </w:rPr>
              <w:t>531</w:t>
            </w:r>
          </w:p>
        </w:tc>
        <w:tc>
          <w:tcPr>
            <w:tcW w:w="974" w:type="pct"/>
            <w:vAlign w:val="center"/>
            <w:hideMark/>
          </w:tcPr>
          <w:p w14:paraId="4EDFC913" w14:textId="77777777" w:rsidR="006A1AFC" w:rsidRPr="00885AB3" w:rsidRDefault="006A1AFC" w:rsidP="00120D61">
            <w:pPr>
              <w:pStyle w:val="TableText0"/>
              <w:keepNext/>
              <w:rPr>
                <w:szCs w:val="20"/>
              </w:rPr>
            </w:pPr>
            <w:r w:rsidRPr="00885AB3">
              <w:rPr>
                <w:szCs w:val="20"/>
              </w:rPr>
              <w:t>341</w:t>
            </w:r>
          </w:p>
        </w:tc>
        <w:tc>
          <w:tcPr>
            <w:tcW w:w="974" w:type="pct"/>
            <w:vAlign w:val="center"/>
            <w:hideMark/>
          </w:tcPr>
          <w:p w14:paraId="7A31BC75" w14:textId="77777777" w:rsidR="006A1AFC" w:rsidRPr="00885AB3" w:rsidRDefault="006A1AFC" w:rsidP="00120D61">
            <w:pPr>
              <w:pStyle w:val="TableText0"/>
              <w:keepNext/>
              <w:rPr>
                <w:szCs w:val="20"/>
              </w:rPr>
            </w:pPr>
            <w:r w:rsidRPr="00885AB3">
              <w:rPr>
                <w:szCs w:val="20"/>
              </w:rPr>
              <w:t>1,531</w:t>
            </w:r>
          </w:p>
        </w:tc>
        <w:tc>
          <w:tcPr>
            <w:tcW w:w="882" w:type="pct"/>
            <w:vAlign w:val="center"/>
            <w:hideMark/>
          </w:tcPr>
          <w:p w14:paraId="6117DD8C" w14:textId="77777777" w:rsidR="006A1AFC" w:rsidRPr="00885AB3" w:rsidRDefault="006A1AFC" w:rsidP="00120D61">
            <w:pPr>
              <w:pStyle w:val="TableText0"/>
              <w:keepNext/>
              <w:rPr>
                <w:szCs w:val="20"/>
              </w:rPr>
            </w:pPr>
            <w:r w:rsidRPr="00885AB3">
              <w:rPr>
                <w:szCs w:val="20"/>
              </w:rPr>
              <w:t>340</w:t>
            </w:r>
          </w:p>
        </w:tc>
      </w:tr>
      <w:tr w:rsidR="006A1AFC" w:rsidRPr="00885AB3" w14:paraId="1759D035" w14:textId="77777777" w:rsidTr="004F6B3C">
        <w:trPr>
          <w:trHeight w:val="300"/>
        </w:trPr>
        <w:tc>
          <w:tcPr>
            <w:tcW w:w="1196" w:type="pct"/>
            <w:vAlign w:val="center"/>
            <w:hideMark/>
          </w:tcPr>
          <w:p w14:paraId="3A16DEF5" w14:textId="77777777" w:rsidR="006A1AFC" w:rsidRPr="00885AB3" w:rsidRDefault="006A1AFC" w:rsidP="00120D61">
            <w:pPr>
              <w:pStyle w:val="TableText0"/>
              <w:keepNext/>
              <w:jc w:val="left"/>
              <w:rPr>
                <w:szCs w:val="20"/>
              </w:rPr>
            </w:pPr>
            <w:r w:rsidRPr="00885AB3">
              <w:rPr>
                <w:szCs w:val="20"/>
              </w:rPr>
              <w:t xml:space="preserve">GMT (95% </w:t>
            </w:r>
            <w:proofErr w:type="spellStart"/>
            <w:r w:rsidRPr="00885AB3">
              <w:rPr>
                <w:szCs w:val="20"/>
              </w:rPr>
              <w:t>CI</w:t>
            </w:r>
            <w:r w:rsidRPr="00885AB3">
              <w:rPr>
                <w:szCs w:val="20"/>
                <w:vertAlign w:val="superscript"/>
              </w:rPr>
              <w:t>b</w:t>
            </w:r>
            <w:proofErr w:type="spellEnd"/>
            <w:r w:rsidRPr="00885AB3">
              <w:rPr>
                <w:szCs w:val="20"/>
              </w:rPr>
              <w:t>)</w:t>
            </w:r>
          </w:p>
        </w:tc>
        <w:tc>
          <w:tcPr>
            <w:tcW w:w="974" w:type="pct"/>
            <w:vAlign w:val="center"/>
            <w:hideMark/>
          </w:tcPr>
          <w:p w14:paraId="5EB9DC80" w14:textId="77777777" w:rsidR="00FC327A" w:rsidRPr="00885AB3" w:rsidRDefault="006A1AFC" w:rsidP="00120D61">
            <w:pPr>
              <w:pStyle w:val="TableText0"/>
              <w:keepNext/>
              <w:rPr>
                <w:szCs w:val="20"/>
              </w:rPr>
            </w:pPr>
            <w:r w:rsidRPr="00885AB3">
              <w:rPr>
                <w:szCs w:val="20"/>
              </w:rPr>
              <w:t xml:space="preserve">2,554.4 </w:t>
            </w:r>
          </w:p>
          <w:p w14:paraId="1A742CF4" w14:textId="1DC9B88E" w:rsidR="006A1AFC" w:rsidRPr="00885AB3" w:rsidRDefault="006A1AFC" w:rsidP="00120D61">
            <w:pPr>
              <w:pStyle w:val="TableText0"/>
              <w:keepNext/>
              <w:rPr>
                <w:szCs w:val="20"/>
              </w:rPr>
            </w:pPr>
            <w:r w:rsidRPr="00885AB3">
              <w:rPr>
                <w:szCs w:val="20"/>
              </w:rPr>
              <w:t>(2416.9, 2699.8)</w:t>
            </w:r>
          </w:p>
        </w:tc>
        <w:tc>
          <w:tcPr>
            <w:tcW w:w="974" w:type="pct"/>
            <w:vAlign w:val="center"/>
            <w:hideMark/>
          </w:tcPr>
          <w:p w14:paraId="762632A8" w14:textId="77777777" w:rsidR="00FC327A" w:rsidRPr="00885AB3" w:rsidRDefault="006A1AFC" w:rsidP="00120D61">
            <w:pPr>
              <w:pStyle w:val="TableText0"/>
              <w:keepNext/>
              <w:rPr>
                <w:szCs w:val="20"/>
              </w:rPr>
            </w:pPr>
            <w:r w:rsidRPr="00885AB3">
              <w:rPr>
                <w:szCs w:val="20"/>
              </w:rPr>
              <w:t xml:space="preserve">2,399.6 </w:t>
            </w:r>
          </w:p>
          <w:p w14:paraId="75ED5F35" w14:textId="1B4D0E31" w:rsidR="006A1AFC" w:rsidRPr="00885AB3" w:rsidRDefault="006A1AFC" w:rsidP="00120D61">
            <w:pPr>
              <w:pStyle w:val="TableText0"/>
              <w:keepNext/>
              <w:rPr>
                <w:szCs w:val="20"/>
              </w:rPr>
            </w:pPr>
            <w:r w:rsidRPr="00885AB3">
              <w:rPr>
                <w:szCs w:val="20"/>
              </w:rPr>
              <w:t>(2134.0, 2698.3)</w:t>
            </w:r>
          </w:p>
        </w:tc>
        <w:tc>
          <w:tcPr>
            <w:tcW w:w="974" w:type="pct"/>
            <w:vAlign w:val="center"/>
            <w:hideMark/>
          </w:tcPr>
          <w:p w14:paraId="671F0F67" w14:textId="77777777" w:rsidR="00FC327A" w:rsidRPr="00885AB3" w:rsidRDefault="006A1AFC" w:rsidP="00120D61">
            <w:pPr>
              <w:pStyle w:val="TableText0"/>
              <w:keepNext/>
              <w:rPr>
                <w:szCs w:val="20"/>
              </w:rPr>
            </w:pPr>
            <w:r w:rsidRPr="00885AB3">
              <w:rPr>
                <w:szCs w:val="20"/>
              </w:rPr>
              <w:t xml:space="preserve">1,423.3 </w:t>
            </w:r>
          </w:p>
          <w:p w14:paraId="2E6A7AE7" w14:textId="32725476" w:rsidR="006A1AFC" w:rsidRPr="00885AB3" w:rsidRDefault="006A1AFC" w:rsidP="00120D61">
            <w:pPr>
              <w:pStyle w:val="TableText0"/>
              <w:keepNext/>
              <w:rPr>
                <w:szCs w:val="20"/>
              </w:rPr>
            </w:pPr>
            <w:r w:rsidRPr="00885AB3">
              <w:rPr>
                <w:szCs w:val="20"/>
              </w:rPr>
              <w:t>(1351.6, 1498.9)</w:t>
            </w:r>
          </w:p>
        </w:tc>
        <w:tc>
          <w:tcPr>
            <w:tcW w:w="882" w:type="pct"/>
            <w:vAlign w:val="center"/>
            <w:hideMark/>
          </w:tcPr>
          <w:p w14:paraId="3F890C0D" w14:textId="77777777" w:rsidR="00FC327A" w:rsidRPr="00885AB3" w:rsidRDefault="006A1AFC" w:rsidP="00120D61">
            <w:pPr>
              <w:pStyle w:val="TableText0"/>
              <w:keepNext/>
              <w:rPr>
                <w:szCs w:val="20"/>
              </w:rPr>
            </w:pPr>
            <w:r w:rsidRPr="00885AB3">
              <w:rPr>
                <w:szCs w:val="20"/>
              </w:rPr>
              <w:t xml:space="preserve">1,367.0 </w:t>
            </w:r>
          </w:p>
          <w:p w14:paraId="45F9B321" w14:textId="2D9EC8C5" w:rsidR="006A1AFC" w:rsidRPr="00885AB3" w:rsidRDefault="006A1AFC" w:rsidP="00120D61">
            <w:pPr>
              <w:pStyle w:val="TableText0"/>
              <w:keepNext/>
              <w:rPr>
                <w:szCs w:val="20"/>
              </w:rPr>
            </w:pPr>
            <w:r w:rsidRPr="00885AB3">
              <w:rPr>
                <w:szCs w:val="20"/>
              </w:rPr>
              <w:t>(1,218.6, 1,533.5)</w:t>
            </w:r>
          </w:p>
        </w:tc>
      </w:tr>
      <w:tr w:rsidR="006A1AFC" w:rsidRPr="00885AB3" w14:paraId="588D1F27" w14:textId="77777777" w:rsidTr="004F6B3C">
        <w:trPr>
          <w:trHeight w:val="191"/>
        </w:trPr>
        <w:tc>
          <w:tcPr>
            <w:tcW w:w="5000" w:type="pct"/>
            <w:gridSpan w:val="5"/>
            <w:vAlign w:val="center"/>
            <w:hideMark/>
          </w:tcPr>
          <w:p w14:paraId="6B954536" w14:textId="77777777" w:rsidR="006A1AFC" w:rsidRPr="00885AB3" w:rsidRDefault="006A1AFC" w:rsidP="00120D61">
            <w:pPr>
              <w:pStyle w:val="TableText0"/>
              <w:keepNext/>
              <w:jc w:val="left"/>
              <w:rPr>
                <w:b/>
                <w:szCs w:val="20"/>
              </w:rPr>
            </w:pPr>
            <w:r w:rsidRPr="00885AB3">
              <w:rPr>
                <w:b/>
                <w:szCs w:val="20"/>
              </w:rPr>
              <w:t>Day 29</w:t>
            </w:r>
          </w:p>
        </w:tc>
      </w:tr>
      <w:tr w:rsidR="006A1AFC" w:rsidRPr="00885AB3" w14:paraId="1B3856A5" w14:textId="77777777" w:rsidTr="004F6B3C">
        <w:trPr>
          <w:trHeight w:val="60"/>
        </w:trPr>
        <w:tc>
          <w:tcPr>
            <w:tcW w:w="1196" w:type="pct"/>
            <w:vAlign w:val="center"/>
            <w:hideMark/>
          </w:tcPr>
          <w:p w14:paraId="38F102CB" w14:textId="77777777" w:rsidR="006A1AFC" w:rsidRPr="00885AB3" w:rsidRDefault="006A1AFC" w:rsidP="00120D61">
            <w:pPr>
              <w:pStyle w:val="TableText0"/>
              <w:keepNext/>
              <w:jc w:val="left"/>
              <w:rPr>
                <w:szCs w:val="20"/>
              </w:rPr>
            </w:pPr>
            <w:proofErr w:type="spellStart"/>
            <w:r w:rsidRPr="00885AB3">
              <w:rPr>
                <w:szCs w:val="20"/>
              </w:rPr>
              <w:t>n</w:t>
            </w:r>
            <w:r w:rsidRPr="00885AB3">
              <w:rPr>
                <w:szCs w:val="20"/>
                <w:vertAlign w:val="superscript"/>
              </w:rPr>
              <w:t>a</w:t>
            </w:r>
            <w:proofErr w:type="spellEnd"/>
          </w:p>
        </w:tc>
        <w:tc>
          <w:tcPr>
            <w:tcW w:w="974" w:type="pct"/>
            <w:vAlign w:val="center"/>
            <w:hideMark/>
          </w:tcPr>
          <w:p w14:paraId="1105079B" w14:textId="77777777" w:rsidR="006A1AFC" w:rsidRPr="00885AB3" w:rsidRDefault="006A1AFC" w:rsidP="00120D61">
            <w:pPr>
              <w:pStyle w:val="TableText0"/>
              <w:keepNext/>
              <w:rPr>
                <w:szCs w:val="20"/>
              </w:rPr>
            </w:pPr>
            <w:r w:rsidRPr="00885AB3">
              <w:rPr>
                <w:szCs w:val="20"/>
              </w:rPr>
              <w:t>1,512</w:t>
            </w:r>
          </w:p>
        </w:tc>
        <w:tc>
          <w:tcPr>
            <w:tcW w:w="974" w:type="pct"/>
            <w:vAlign w:val="center"/>
            <w:hideMark/>
          </w:tcPr>
          <w:p w14:paraId="09018154" w14:textId="77777777" w:rsidR="006A1AFC" w:rsidRPr="00885AB3" w:rsidRDefault="006A1AFC" w:rsidP="00120D61">
            <w:pPr>
              <w:pStyle w:val="TableText0"/>
              <w:keepNext/>
              <w:rPr>
                <w:szCs w:val="20"/>
              </w:rPr>
            </w:pPr>
            <w:r w:rsidRPr="00885AB3">
              <w:rPr>
                <w:szCs w:val="20"/>
              </w:rPr>
              <w:t>333</w:t>
            </w:r>
          </w:p>
        </w:tc>
        <w:tc>
          <w:tcPr>
            <w:tcW w:w="974" w:type="pct"/>
            <w:vAlign w:val="center"/>
            <w:hideMark/>
          </w:tcPr>
          <w:p w14:paraId="19CB39F3" w14:textId="77777777" w:rsidR="006A1AFC" w:rsidRPr="00885AB3" w:rsidRDefault="006A1AFC" w:rsidP="00120D61">
            <w:pPr>
              <w:pStyle w:val="TableText0"/>
              <w:keepNext/>
              <w:rPr>
                <w:szCs w:val="20"/>
              </w:rPr>
            </w:pPr>
            <w:r w:rsidRPr="00885AB3">
              <w:rPr>
                <w:szCs w:val="20"/>
              </w:rPr>
              <w:t>1,510</w:t>
            </w:r>
          </w:p>
        </w:tc>
        <w:tc>
          <w:tcPr>
            <w:tcW w:w="882" w:type="pct"/>
            <w:vAlign w:val="center"/>
            <w:hideMark/>
          </w:tcPr>
          <w:p w14:paraId="247AEF3A" w14:textId="77777777" w:rsidR="006A1AFC" w:rsidRPr="00885AB3" w:rsidRDefault="006A1AFC" w:rsidP="00120D61">
            <w:pPr>
              <w:pStyle w:val="TableText0"/>
              <w:keepNext/>
              <w:rPr>
                <w:szCs w:val="20"/>
              </w:rPr>
            </w:pPr>
            <w:r w:rsidRPr="00885AB3">
              <w:rPr>
                <w:szCs w:val="20"/>
              </w:rPr>
              <w:t>333</w:t>
            </w:r>
          </w:p>
        </w:tc>
      </w:tr>
      <w:tr w:rsidR="006A1AFC" w:rsidRPr="00885AB3" w14:paraId="73D774C1" w14:textId="77777777" w:rsidTr="004F6B3C">
        <w:trPr>
          <w:trHeight w:val="300"/>
        </w:trPr>
        <w:tc>
          <w:tcPr>
            <w:tcW w:w="1196" w:type="pct"/>
            <w:vAlign w:val="center"/>
            <w:hideMark/>
          </w:tcPr>
          <w:p w14:paraId="5B60B1DC" w14:textId="77777777" w:rsidR="006A1AFC" w:rsidRPr="00885AB3" w:rsidRDefault="006A1AFC" w:rsidP="00120D61">
            <w:pPr>
              <w:pStyle w:val="TableText0"/>
              <w:keepNext/>
              <w:jc w:val="left"/>
              <w:rPr>
                <w:szCs w:val="20"/>
              </w:rPr>
            </w:pPr>
            <w:r w:rsidRPr="00885AB3">
              <w:rPr>
                <w:szCs w:val="20"/>
              </w:rPr>
              <w:t xml:space="preserve">GMT (95% </w:t>
            </w:r>
            <w:proofErr w:type="spellStart"/>
            <w:r w:rsidRPr="00885AB3">
              <w:rPr>
                <w:szCs w:val="20"/>
              </w:rPr>
              <w:t>CI</w:t>
            </w:r>
            <w:r w:rsidRPr="00885AB3">
              <w:rPr>
                <w:szCs w:val="20"/>
                <w:vertAlign w:val="superscript"/>
              </w:rPr>
              <w:t>b</w:t>
            </w:r>
            <w:proofErr w:type="spellEnd"/>
            <w:r w:rsidRPr="00885AB3">
              <w:rPr>
                <w:szCs w:val="20"/>
              </w:rPr>
              <w:t>)</w:t>
            </w:r>
          </w:p>
        </w:tc>
        <w:tc>
          <w:tcPr>
            <w:tcW w:w="974" w:type="pct"/>
            <w:vAlign w:val="center"/>
            <w:hideMark/>
          </w:tcPr>
          <w:p w14:paraId="2688CAC1" w14:textId="77777777" w:rsidR="00FC327A" w:rsidRPr="00885AB3" w:rsidRDefault="006A1AFC" w:rsidP="00120D61">
            <w:pPr>
              <w:pStyle w:val="TableText0"/>
              <w:keepNext/>
              <w:rPr>
                <w:szCs w:val="20"/>
              </w:rPr>
            </w:pPr>
            <w:r w:rsidRPr="00885AB3">
              <w:rPr>
                <w:szCs w:val="20"/>
              </w:rPr>
              <w:t xml:space="preserve">21,275.6 </w:t>
            </w:r>
          </w:p>
          <w:p w14:paraId="27942E6C" w14:textId="07A02A70" w:rsidR="006A1AFC" w:rsidRPr="00885AB3" w:rsidRDefault="006A1AFC" w:rsidP="00120D61">
            <w:pPr>
              <w:pStyle w:val="TableText0"/>
              <w:keepNext/>
              <w:rPr>
                <w:szCs w:val="20"/>
              </w:rPr>
            </w:pPr>
            <w:r w:rsidRPr="00885AB3">
              <w:rPr>
                <w:szCs w:val="20"/>
              </w:rPr>
              <w:t>(20,098.6, 22,521.6)</w:t>
            </w:r>
          </w:p>
        </w:tc>
        <w:tc>
          <w:tcPr>
            <w:tcW w:w="974" w:type="pct"/>
            <w:vAlign w:val="center"/>
            <w:hideMark/>
          </w:tcPr>
          <w:p w14:paraId="1D225B7C" w14:textId="77777777" w:rsidR="00FC327A" w:rsidRPr="00885AB3" w:rsidRDefault="006A1AFC" w:rsidP="00120D61">
            <w:pPr>
              <w:pStyle w:val="TableText0"/>
              <w:keepNext/>
              <w:rPr>
                <w:szCs w:val="20"/>
              </w:rPr>
            </w:pPr>
            <w:r w:rsidRPr="00885AB3">
              <w:rPr>
                <w:szCs w:val="20"/>
              </w:rPr>
              <w:t xml:space="preserve">2,414.4 </w:t>
            </w:r>
          </w:p>
          <w:p w14:paraId="7AC5B57B" w14:textId="68D70D33" w:rsidR="006A1AFC" w:rsidRPr="00885AB3" w:rsidRDefault="006A1AFC" w:rsidP="00120D61">
            <w:pPr>
              <w:pStyle w:val="TableText0"/>
              <w:keepNext/>
              <w:rPr>
                <w:szCs w:val="20"/>
              </w:rPr>
            </w:pPr>
            <w:r w:rsidRPr="00885AB3">
              <w:rPr>
                <w:szCs w:val="20"/>
              </w:rPr>
              <w:t>(2,154.2, 2,706.0)</w:t>
            </w:r>
          </w:p>
        </w:tc>
        <w:tc>
          <w:tcPr>
            <w:tcW w:w="974" w:type="pct"/>
            <w:vAlign w:val="center"/>
            <w:hideMark/>
          </w:tcPr>
          <w:p w14:paraId="3E47CAFB" w14:textId="77777777" w:rsidR="00FC327A" w:rsidRPr="00885AB3" w:rsidRDefault="006A1AFC" w:rsidP="00120D61">
            <w:pPr>
              <w:pStyle w:val="TableText0"/>
              <w:keepNext/>
              <w:rPr>
                <w:szCs w:val="20"/>
              </w:rPr>
            </w:pPr>
            <w:r w:rsidRPr="00885AB3">
              <w:rPr>
                <w:szCs w:val="20"/>
              </w:rPr>
              <w:t xml:space="preserve">7,227.7 </w:t>
            </w:r>
          </w:p>
          <w:p w14:paraId="0DD01E22" w14:textId="4A1C647C" w:rsidR="006A1AFC" w:rsidRPr="00885AB3" w:rsidRDefault="006A1AFC" w:rsidP="00120D61">
            <w:pPr>
              <w:pStyle w:val="TableText0"/>
              <w:keepNext/>
              <w:rPr>
                <w:szCs w:val="20"/>
              </w:rPr>
            </w:pPr>
            <w:r w:rsidRPr="00885AB3">
              <w:rPr>
                <w:szCs w:val="20"/>
              </w:rPr>
              <w:t>(6,848.5, 7,627.9)</w:t>
            </w:r>
          </w:p>
        </w:tc>
        <w:tc>
          <w:tcPr>
            <w:tcW w:w="882" w:type="pct"/>
            <w:vAlign w:val="center"/>
            <w:hideMark/>
          </w:tcPr>
          <w:p w14:paraId="131FD44D" w14:textId="77777777" w:rsidR="00FC327A" w:rsidRPr="00885AB3" w:rsidRDefault="006A1AFC" w:rsidP="00120D61">
            <w:pPr>
              <w:pStyle w:val="TableText0"/>
              <w:keepNext/>
              <w:rPr>
                <w:szCs w:val="20"/>
              </w:rPr>
            </w:pPr>
            <w:r w:rsidRPr="00885AB3">
              <w:rPr>
                <w:szCs w:val="20"/>
              </w:rPr>
              <w:t xml:space="preserve">1,305.0 </w:t>
            </w:r>
          </w:p>
          <w:p w14:paraId="0420A7F1" w14:textId="6342C22B" w:rsidR="006A1AFC" w:rsidRPr="00885AB3" w:rsidRDefault="006A1AFC" w:rsidP="00120D61">
            <w:pPr>
              <w:pStyle w:val="TableText0"/>
              <w:keepNext/>
              <w:rPr>
                <w:szCs w:val="20"/>
              </w:rPr>
            </w:pPr>
            <w:r w:rsidRPr="00885AB3">
              <w:rPr>
                <w:szCs w:val="20"/>
              </w:rPr>
              <w:t>(1,160.6, 1,467.4)</w:t>
            </w:r>
          </w:p>
        </w:tc>
      </w:tr>
      <w:tr w:rsidR="006A1AFC" w:rsidRPr="00885AB3" w14:paraId="780ADD76" w14:textId="77777777" w:rsidTr="004F6B3C">
        <w:trPr>
          <w:trHeight w:val="123"/>
        </w:trPr>
        <w:tc>
          <w:tcPr>
            <w:tcW w:w="1196" w:type="pct"/>
            <w:vAlign w:val="center"/>
            <w:hideMark/>
          </w:tcPr>
          <w:p w14:paraId="2BA716C3" w14:textId="77777777" w:rsidR="006A1AFC" w:rsidRPr="00885AB3" w:rsidRDefault="006A1AFC" w:rsidP="00120D61">
            <w:pPr>
              <w:pStyle w:val="TableText0"/>
              <w:keepNext/>
              <w:jc w:val="left"/>
              <w:rPr>
                <w:szCs w:val="20"/>
              </w:rPr>
            </w:pPr>
            <w:r w:rsidRPr="00885AB3">
              <w:rPr>
                <w:szCs w:val="20"/>
              </w:rPr>
              <w:t xml:space="preserve">GMFR (95% </w:t>
            </w:r>
            <w:proofErr w:type="spellStart"/>
            <w:r w:rsidRPr="00885AB3">
              <w:rPr>
                <w:szCs w:val="20"/>
              </w:rPr>
              <w:t>CI</w:t>
            </w:r>
            <w:r w:rsidRPr="00885AB3">
              <w:rPr>
                <w:szCs w:val="20"/>
                <w:vertAlign w:val="superscript"/>
              </w:rPr>
              <w:t>b</w:t>
            </w:r>
            <w:proofErr w:type="spellEnd"/>
            <w:r w:rsidRPr="00885AB3">
              <w:rPr>
                <w:szCs w:val="20"/>
              </w:rPr>
              <w:t>)</w:t>
            </w:r>
          </w:p>
        </w:tc>
        <w:tc>
          <w:tcPr>
            <w:tcW w:w="974" w:type="pct"/>
            <w:vAlign w:val="center"/>
            <w:hideMark/>
          </w:tcPr>
          <w:p w14:paraId="4420FA0D" w14:textId="77777777" w:rsidR="006A1AFC" w:rsidRPr="00885AB3" w:rsidRDefault="006A1AFC" w:rsidP="00120D61">
            <w:pPr>
              <w:pStyle w:val="TableText0"/>
              <w:keepNext/>
              <w:rPr>
                <w:szCs w:val="20"/>
              </w:rPr>
            </w:pPr>
            <w:r w:rsidRPr="00885AB3">
              <w:rPr>
                <w:szCs w:val="20"/>
              </w:rPr>
              <w:t>8.34 (7.89, 8.81)</w:t>
            </w:r>
          </w:p>
        </w:tc>
        <w:tc>
          <w:tcPr>
            <w:tcW w:w="974" w:type="pct"/>
            <w:vAlign w:val="center"/>
            <w:hideMark/>
          </w:tcPr>
          <w:p w14:paraId="40259BF1" w14:textId="77777777" w:rsidR="006A1AFC" w:rsidRPr="00885AB3" w:rsidRDefault="006A1AFC" w:rsidP="00120D61">
            <w:pPr>
              <w:pStyle w:val="TableText0"/>
              <w:keepNext/>
              <w:rPr>
                <w:szCs w:val="20"/>
              </w:rPr>
            </w:pPr>
            <w:r w:rsidRPr="00885AB3">
              <w:rPr>
                <w:szCs w:val="20"/>
              </w:rPr>
              <w:t>1.00 (0.95, 1.05)</w:t>
            </w:r>
          </w:p>
        </w:tc>
        <w:tc>
          <w:tcPr>
            <w:tcW w:w="974" w:type="pct"/>
            <w:vAlign w:val="center"/>
            <w:hideMark/>
          </w:tcPr>
          <w:p w14:paraId="7DDC3082" w14:textId="77777777" w:rsidR="006A1AFC" w:rsidRPr="00885AB3" w:rsidRDefault="006A1AFC" w:rsidP="00120D61">
            <w:pPr>
              <w:pStyle w:val="TableText0"/>
              <w:keepNext/>
              <w:rPr>
                <w:szCs w:val="20"/>
              </w:rPr>
            </w:pPr>
            <w:r w:rsidRPr="00885AB3">
              <w:rPr>
                <w:szCs w:val="20"/>
              </w:rPr>
              <w:t>5.10 (4.86, 5.36)</w:t>
            </w:r>
          </w:p>
        </w:tc>
        <w:tc>
          <w:tcPr>
            <w:tcW w:w="882" w:type="pct"/>
            <w:vAlign w:val="center"/>
            <w:hideMark/>
          </w:tcPr>
          <w:p w14:paraId="033DE1C4" w14:textId="77777777" w:rsidR="006A1AFC" w:rsidRPr="00885AB3" w:rsidRDefault="006A1AFC" w:rsidP="00120D61">
            <w:pPr>
              <w:pStyle w:val="TableText0"/>
              <w:keepNext/>
              <w:rPr>
                <w:szCs w:val="20"/>
              </w:rPr>
            </w:pPr>
            <w:r w:rsidRPr="00885AB3">
              <w:rPr>
                <w:szCs w:val="20"/>
              </w:rPr>
              <w:t>0.96 (0.91, 1.03)</w:t>
            </w:r>
          </w:p>
        </w:tc>
      </w:tr>
      <w:tr w:rsidR="006A1AFC" w:rsidRPr="00885AB3" w14:paraId="2B71EA4F" w14:textId="77777777" w:rsidTr="004F6B3C">
        <w:trPr>
          <w:trHeight w:val="117"/>
        </w:trPr>
        <w:tc>
          <w:tcPr>
            <w:tcW w:w="1196" w:type="pct"/>
            <w:vAlign w:val="center"/>
            <w:hideMark/>
          </w:tcPr>
          <w:p w14:paraId="53DF0017" w14:textId="77777777" w:rsidR="006A1AFC" w:rsidRPr="00885AB3" w:rsidRDefault="006A1AFC" w:rsidP="00120D61">
            <w:pPr>
              <w:pStyle w:val="TableText0"/>
              <w:keepNext/>
              <w:jc w:val="left"/>
              <w:rPr>
                <w:szCs w:val="20"/>
              </w:rPr>
            </w:pPr>
            <w:proofErr w:type="spellStart"/>
            <w:r w:rsidRPr="00885AB3">
              <w:rPr>
                <w:szCs w:val="20"/>
              </w:rPr>
              <w:t>SRR%</w:t>
            </w:r>
            <w:r w:rsidRPr="00885AB3">
              <w:rPr>
                <w:szCs w:val="20"/>
                <w:vertAlign w:val="superscript"/>
              </w:rPr>
              <w:t>bc</w:t>
            </w:r>
            <w:proofErr w:type="spellEnd"/>
            <w:r w:rsidRPr="00885AB3">
              <w:rPr>
                <w:szCs w:val="20"/>
              </w:rPr>
              <w:t xml:space="preserve"> (95% </w:t>
            </w:r>
            <w:proofErr w:type="spellStart"/>
            <w:r w:rsidRPr="00885AB3">
              <w:rPr>
                <w:szCs w:val="20"/>
              </w:rPr>
              <w:t>CI</w:t>
            </w:r>
            <w:r w:rsidRPr="00885AB3">
              <w:rPr>
                <w:szCs w:val="20"/>
                <w:vertAlign w:val="superscript"/>
              </w:rPr>
              <w:t>e</w:t>
            </w:r>
            <w:proofErr w:type="spellEnd"/>
            <w:r w:rsidRPr="00885AB3">
              <w:rPr>
                <w:szCs w:val="20"/>
              </w:rPr>
              <w:t>)</w:t>
            </w:r>
          </w:p>
        </w:tc>
        <w:tc>
          <w:tcPr>
            <w:tcW w:w="974" w:type="pct"/>
            <w:vAlign w:val="center"/>
            <w:hideMark/>
          </w:tcPr>
          <w:p w14:paraId="2D134574" w14:textId="77777777" w:rsidR="006A1AFC" w:rsidRPr="00885AB3" w:rsidRDefault="006A1AFC" w:rsidP="00120D61">
            <w:pPr>
              <w:pStyle w:val="TableText0"/>
              <w:keepNext/>
              <w:rPr>
                <w:szCs w:val="20"/>
              </w:rPr>
            </w:pPr>
            <w:r w:rsidRPr="00885AB3">
              <w:rPr>
                <w:szCs w:val="20"/>
              </w:rPr>
              <w:t>74.0% (71.7, 76.2)</w:t>
            </w:r>
          </w:p>
        </w:tc>
        <w:tc>
          <w:tcPr>
            <w:tcW w:w="974" w:type="pct"/>
            <w:vAlign w:val="center"/>
            <w:hideMark/>
          </w:tcPr>
          <w:p w14:paraId="575C3779" w14:textId="77777777" w:rsidR="006A1AFC" w:rsidRPr="00885AB3" w:rsidRDefault="006A1AFC" w:rsidP="00120D61">
            <w:pPr>
              <w:pStyle w:val="TableText0"/>
              <w:keepNext/>
              <w:rPr>
                <w:szCs w:val="20"/>
              </w:rPr>
            </w:pPr>
            <w:r w:rsidRPr="00885AB3">
              <w:rPr>
                <w:szCs w:val="20"/>
              </w:rPr>
              <w:t>0.6% (0.1, 2.2)</w:t>
            </w:r>
          </w:p>
        </w:tc>
        <w:tc>
          <w:tcPr>
            <w:tcW w:w="974" w:type="pct"/>
            <w:vAlign w:val="center"/>
            <w:hideMark/>
          </w:tcPr>
          <w:p w14:paraId="07C90FFA" w14:textId="77777777" w:rsidR="006A1AFC" w:rsidRPr="00885AB3" w:rsidRDefault="006A1AFC" w:rsidP="00120D61">
            <w:pPr>
              <w:pStyle w:val="TableText0"/>
              <w:keepNext/>
              <w:rPr>
                <w:szCs w:val="20"/>
              </w:rPr>
            </w:pPr>
            <w:r w:rsidRPr="00885AB3">
              <w:rPr>
                <w:szCs w:val="20"/>
              </w:rPr>
              <w:t>56.5% (54.0, 59.0)</w:t>
            </w:r>
          </w:p>
        </w:tc>
        <w:tc>
          <w:tcPr>
            <w:tcW w:w="882" w:type="pct"/>
            <w:vAlign w:val="center"/>
            <w:hideMark/>
          </w:tcPr>
          <w:p w14:paraId="47769654" w14:textId="77777777" w:rsidR="006A1AFC" w:rsidRPr="00885AB3" w:rsidRDefault="006A1AFC" w:rsidP="00120D61">
            <w:pPr>
              <w:pStyle w:val="TableText0"/>
              <w:keepNext/>
              <w:rPr>
                <w:szCs w:val="20"/>
              </w:rPr>
            </w:pPr>
            <w:r w:rsidRPr="00885AB3">
              <w:rPr>
                <w:szCs w:val="20"/>
              </w:rPr>
              <w:t>1.5% (0.5, 3.5)</w:t>
            </w:r>
          </w:p>
        </w:tc>
      </w:tr>
      <w:tr w:rsidR="006A1AFC" w:rsidRPr="00885AB3" w14:paraId="5E83B6CA" w14:textId="77777777" w:rsidTr="004F6B3C">
        <w:trPr>
          <w:trHeight w:val="387"/>
        </w:trPr>
        <w:tc>
          <w:tcPr>
            <w:tcW w:w="1196" w:type="pct"/>
            <w:vAlign w:val="center"/>
            <w:hideMark/>
          </w:tcPr>
          <w:p w14:paraId="4C36B1B7" w14:textId="0CBCC151" w:rsidR="006A1AFC" w:rsidRPr="00885AB3" w:rsidRDefault="00EF2FA4" w:rsidP="00120D61">
            <w:pPr>
              <w:pStyle w:val="TableText0"/>
              <w:keepNext/>
              <w:jc w:val="left"/>
              <w:rPr>
                <w:szCs w:val="20"/>
              </w:rPr>
            </w:pPr>
            <w:r>
              <w:rPr>
                <w:szCs w:val="20"/>
              </w:rPr>
              <w:t xml:space="preserve">≥ </w:t>
            </w:r>
            <w:r w:rsidR="006A1AFC" w:rsidRPr="00885AB3">
              <w:rPr>
                <w:szCs w:val="20"/>
              </w:rPr>
              <w:t>2-fold increase from baseline, %</w:t>
            </w:r>
            <w:proofErr w:type="spellStart"/>
            <w:r w:rsidR="006A1AFC" w:rsidRPr="00885AB3">
              <w:rPr>
                <w:szCs w:val="20"/>
                <w:vertAlign w:val="superscript"/>
              </w:rPr>
              <w:t>f,d</w:t>
            </w:r>
            <w:proofErr w:type="spellEnd"/>
            <w:r w:rsidR="006A1AFC" w:rsidRPr="00885AB3">
              <w:rPr>
                <w:szCs w:val="20"/>
              </w:rPr>
              <w:t xml:space="preserve"> (95% </w:t>
            </w:r>
            <w:proofErr w:type="spellStart"/>
            <w:r w:rsidR="006A1AFC" w:rsidRPr="00885AB3">
              <w:rPr>
                <w:szCs w:val="20"/>
              </w:rPr>
              <w:t>CI</w:t>
            </w:r>
            <w:r w:rsidR="006A1AFC" w:rsidRPr="00885AB3">
              <w:rPr>
                <w:szCs w:val="20"/>
                <w:vertAlign w:val="superscript"/>
              </w:rPr>
              <w:t>e</w:t>
            </w:r>
            <w:proofErr w:type="spellEnd"/>
            <w:r w:rsidR="006A1AFC" w:rsidRPr="00885AB3">
              <w:rPr>
                <w:szCs w:val="20"/>
              </w:rPr>
              <w:t>)</w:t>
            </w:r>
          </w:p>
        </w:tc>
        <w:tc>
          <w:tcPr>
            <w:tcW w:w="974" w:type="pct"/>
            <w:vAlign w:val="center"/>
            <w:hideMark/>
          </w:tcPr>
          <w:p w14:paraId="694C8B3A" w14:textId="77777777" w:rsidR="006A1AFC" w:rsidRPr="00885AB3" w:rsidRDefault="006A1AFC" w:rsidP="00120D61">
            <w:pPr>
              <w:pStyle w:val="TableText0"/>
              <w:keepNext/>
              <w:rPr>
                <w:szCs w:val="20"/>
              </w:rPr>
            </w:pPr>
            <w:r w:rsidRPr="00885AB3">
              <w:rPr>
                <w:szCs w:val="20"/>
              </w:rPr>
              <w:t>91.2% (89.7, 92.6)</w:t>
            </w:r>
          </w:p>
        </w:tc>
        <w:tc>
          <w:tcPr>
            <w:tcW w:w="974" w:type="pct"/>
            <w:vAlign w:val="center"/>
            <w:hideMark/>
          </w:tcPr>
          <w:p w14:paraId="3886106E" w14:textId="77777777" w:rsidR="006A1AFC" w:rsidRPr="00885AB3" w:rsidRDefault="006A1AFC" w:rsidP="00120D61">
            <w:pPr>
              <w:pStyle w:val="TableText0"/>
              <w:keepNext/>
              <w:rPr>
                <w:szCs w:val="20"/>
              </w:rPr>
            </w:pPr>
            <w:r w:rsidRPr="00885AB3">
              <w:rPr>
                <w:szCs w:val="20"/>
              </w:rPr>
              <w:t>4.5% (2.5, 7.3)</w:t>
            </w:r>
          </w:p>
        </w:tc>
        <w:tc>
          <w:tcPr>
            <w:tcW w:w="974" w:type="pct"/>
            <w:vAlign w:val="center"/>
            <w:hideMark/>
          </w:tcPr>
          <w:p w14:paraId="0A311612" w14:textId="77777777" w:rsidR="006A1AFC" w:rsidRPr="00885AB3" w:rsidRDefault="006A1AFC" w:rsidP="00120D61">
            <w:pPr>
              <w:pStyle w:val="TableText0"/>
              <w:keepNext/>
              <w:rPr>
                <w:szCs w:val="20"/>
              </w:rPr>
            </w:pPr>
            <w:r w:rsidRPr="00885AB3">
              <w:rPr>
                <w:szCs w:val="20"/>
              </w:rPr>
              <w:t>84.2% (82.2, 86.0)</w:t>
            </w:r>
          </w:p>
        </w:tc>
        <w:tc>
          <w:tcPr>
            <w:tcW w:w="882" w:type="pct"/>
            <w:vAlign w:val="center"/>
            <w:hideMark/>
          </w:tcPr>
          <w:p w14:paraId="1828564E" w14:textId="77777777" w:rsidR="006A1AFC" w:rsidRPr="00885AB3" w:rsidRDefault="006A1AFC" w:rsidP="00120D61">
            <w:pPr>
              <w:pStyle w:val="TableText0"/>
              <w:keepNext/>
              <w:rPr>
                <w:szCs w:val="20"/>
              </w:rPr>
            </w:pPr>
            <w:r w:rsidRPr="00885AB3">
              <w:rPr>
                <w:szCs w:val="20"/>
              </w:rPr>
              <w:t>5.4% (3.2, 8.4)</w:t>
            </w:r>
          </w:p>
        </w:tc>
      </w:tr>
      <w:tr w:rsidR="006A1AFC" w:rsidRPr="00885AB3" w14:paraId="20D8FA93" w14:textId="77777777" w:rsidTr="004F6B3C">
        <w:trPr>
          <w:trHeight w:val="60"/>
        </w:trPr>
        <w:tc>
          <w:tcPr>
            <w:tcW w:w="5000" w:type="pct"/>
            <w:gridSpan w:val="5"/>
            <w:vAlign w:val="center"/>
            <w:hideMark/>
          </w:tcPr>
          <w:p w14:paraId="7E085605" w14:textId="77777777" w:rsidR="006A1AFC" w:rsidRPr="00885AB3" w:rsidRDefault="006A1AFC" w:rsidP="00120D61">
            <w:pPr>
              <w:pStyle w:val="TableText0"/>
              <w:keepNext/>
              <w:jc w:val="left"/>
              <w:rPr>
                <w:b/>
                <w:szCs w:val="20"/>
              </w:rPr>
            </w:pPr>
            <w:r w:rsidRPr="00885AB3">
              <w:rPr>
                <w:b/>
                <w:szCs w:val="20"/>
              </w:rPr>
              <w:t>Day 181</w:t>
            </w:r>
          </w:p>
        </w:tc>
      </w:tr>
      <w:tr w:rsidR="006A1AFC" w:rsidRPr="00885AB3" w14:paraId="4EB26247" w14:textId="77777777" w:rsidTr="004F6B3C">
        <w:trPr>
          <w:trHeight w:val="60"/>
        </w:trPr>
        <w:tc>
          <w:tcPr>
            <w:tcW w:w="1196" w:type="pct"/>
            <w:vAlign w:val="center"/>
            <w:hideMark/>
          </w:tcPr>
          <w:p w14:paraId="3F119D83" w14:textId="77777777" w:rsidR="006A1AFC" w:rsidRPr="00885AB3" w:rsidRDefault="006A1AFC" w:rsidP="00120D61">
            <w:pPr>
              <w:pStyle w:val="TableText0"/>
              <w:keepNext/>
              <w:jc w:val="left"/>
              <w:rPr>
                <w:szCs w:val="20"/>
              </w:rPr>
            </w:pPr>
            <w:proofErr w:type="spellStart"/>
            <w:r w:rsidRPr="00885AB3">
              <w:rPr>
                <w:szCs w:val="20"/>
              </w:rPr>
              <w:t>n</w:t>
            </w:r>
            <w:r w:rsidRPr="00885AB3">
              <w:rPr>
                <w:szCs w:val="20"/>
                <w:vertAlign w:val="superscript"/>
              </w:rPr>
              <w:t>a</w:t>
            </w:r>
            <w:proofErr w:type="spellEnd"/>
          </w:p>
        </w:tc>
        <w:tc>
          <w:tcPr>
            <w:tcW w:w="974" w:type="pct"/>
            <w:vAlign w:val="center"/>
            <w:hideMark/>
          </w:tcPr>
          <w:p w14:paraId="21D488B4" w14:textId="77777777" w:rsidR="006A1AFC" w:rsidRPr="00885AB3" w:rsidRDefault="006A1AFC" w:rsidP="00120D61">
            <w:pPr>
              <w:pStyle w:val="TableText0"/>
              <w:keepNext/>
              <w:rPr>
                <w:szCs w:val="20"/>
              </w:rPr>
            </w:pPr>
            <w:r w:rsidRPr="00885AB3">
              <w:rPr>
                <w:szCs w:val="20"/>
              </w:rPr>
              <w:t>1,421</w:t>
            </w:r>
          </w:p>
        </w:tc>
        <w:tc>
          <w:tcPr>
            <w:tcW w:w="974" w:type="pct"/>
            <w:vAlign w:val="center"/>
            <w:hideMark/>
          </w:tcPr>
          <w:p w14:paraId="718D1A42" w14:textId="77777777" w:rsidR="006A1AFC" w:rsidRPr="00885AB3" w:rsidRDefault="006A1AFC" w:rsidP="00120D61">
            <w:pPr>
              <w:pStyle w:val="TableText0"/>
              <w:keepNext/>
              <w:rPr>
                <w:szCs w:val="20"/>
              </w:rPr>
            </w:pPr>
            <w:r w:rsidRPr="00885AB3">
              <w:rPr>
                <w:szCs w:val="20"/>
              </w:rPr>
              <w:t>318</w:t>
            </w:r>
          </w:p>
        </w:tc>
        <w:tc>
          <w:tcPr>
            <w:tcW w:w="974" w:type="pct"/>
            <w:vAlign w:val="center"/>
            <w:hideMark/>
          </w:tcPr>
          <w:p w14:paraId="4D355102" w14:textId="77777777" w:rsidR="006A1AFC" w:rsidRPr="00885AB3" w:rsidRDefault="006A1AFC" w:rsidP="00120D61">
            <w:pPr>
              <w:pStyle w:val="TableText0"/>
              <w:keepNext/>
              <w:rPr>
                <w:szCs w:val="20"/>
              </w:rPr>
            </w:pPr>
            <w:r w:rsidRPr="00885AB3">
              <w:rPr>
                <w:szCs w:val="20"/>
              </w:rPr>
              <w:t>1,421</w:t>
            </w:r>
          </w:p>
        </w:tc>
        <w:tc>
          <w:tcPr>
            <w:tcW w:w="882" w:type="pct"/>
            <w:vAlign w:val="center"/>
            <w:hideMark/>
          </w:tcPr>
          <w:p w14:paraId="11719D76" w14:textId="77777777" w:rsidR="006A1AFC" w:rsidRPr="00885AB3" w:rsidRDefault="006A1AFC" w:rsidP="00120D61">
            <w:pPr>
              <w:pStyle w:val="TableText0"/>
              <w:keepNext/>
              <w:rPr>
                <w:szCs w:val="20"/>
              </w:rPr>
            </w:pPr>
            <w:r w:rsidRPr="00885AB3">
              <w:rPr>
                <w:szCs w:val="20"/>
              </w:rPr>
              <w:t>318</w:t>
            </w:r>
          </w:p>
        </w:tc>
      </w:tr>
      <w:tr w:rsidR="006A1AFC" w:rsidRPr="00885AB3" w14:paraId="0A603127" w14:textId="77777777" w:rsidTr="004F6B3C">
        <w:trPr>
          <w:trHeight w:val="300"/>
        </w:trPr>
        <w:tc>
          <w:tcPr>
            <w:tcW w:w="1196" w:type="pct"/>
            <w:vAlign w:val="center"/>
            <w:hideMark/>
          </w:tcPr>
          <w:p w14:paraId="2C71104A" w14:textId="77777777" w:rsidR="006A1AFC" w:rsidRPr="00885AB3" w:rsidRDefault="006A1AFC" w:rsidP="00120D61">
            <w:pPr>
              <w:pStyle w:val="TableText0"/>
              <w:keepNext/>
              <w:jc w:val="left"/>
              <w:rPr>
                <w:szCs w:val="20"/>
              </w:rPr>
            </w:pPr>
            <w:r w:rsidRPr="00885AB3">
              <w:rPr>
                <w:szCs w:val="20"/>
              </w:rPr>
              <w:t xml:space="preserve">GMT (95% </w:t>
            </w:r>
            <w:proofErr w:type="spellStart"/>
            <w:r w:rsidRPr="00885AB3">
              <w:rPr>
                <w:szCs w:val="20"/>
              </w:rPr>
              <w:t>CI</w:t>
            </w:r>
            <w:r w:rsidRPr="00885AB3">
              <w:rPr>
                <w:szCs w:val="20"/>
                <w:vertAlign w:val="superscript"/>
              </w:rPr>
              <w:t>b</w:t>
            </w:r>
            <w:proofErr w:type="spellEnd"/>
            <w:r w:rsidRPr="00885AB3">
              <w:rPr>
                <w:szCs w:val="20"/>
              </w:rPr>
              <w:t>)</w:t>
            </w:r>
          </w:p>
        </w:tc>
        <w:tc>
          <w:tcPr>
            <w:tcW w:w="974" w:type="pct"/>
            <w:vAlign w:val="center"/>
            <w:hideMark/>
          </w:tcPr>
          <w:p w14:paraId="5BA556C2" w14:textId="77777777" w:rsidR="004F6B3C" w:rsidRPr="00885AB3" w:rsidRDefault="006A1AFC" w:rsidP="00120D61">
            <w:pPr>
              <w:pStyle w:val="TableText0"/>
              <w:keepNext/>
              <w:rPr>
                <w:szCs w:val="20"/>
              </w:rPr>
            </w:pPr>
            <w:r w:rsidRPr="00885AB3">
              <w:rPr>
                <w:szCs w:val="20"/>
              </w:rPr>
              <w:t xml:space="preserve">7,083.8 </w:t>
            </w:r>
          </w:p>
          <w:p w14:paraId="088AC033" w14:textId="280179AB" w:rsidR="006A1AFC" w:rsidRPr="00885AB3" w:rsidRDefault="006A1AFC" w:rsidP="00120D61">
            <w:pPr>
              <w:pStyle w:val="TableText0"/>
              <w:keepNext/>
              <w:rPr>
                <w:szCs w:val="20"/>
              </w:rPr>
            </w:pPr>
            <w:r w:rsidRPr="00885AB3">
              <w:rPr>
                <w:szCs w:val="20"/>
              </w:rPr>
              <w:t>(6,678.5, 7,513.7)</w:t>
            </w:r>
          </w:p>
        </w:tc>
        <w:tc>
          <w:tcPr>
            <w:tcW w:w="974" w:type="pct"/>
            <w:vAlign w:val="center"/>
            <w:hideMark/>
          </w:tcPr>
          <w:p w14:paraId="645B921E" w14:textId="77777777" w:rsidR="004F6B3C" w:rsidRPr="00885AB3" w:rsidRDefault="006A1AFC" w:rsidP="00120D61">
            <w:pPr>
              <w:pStyle w:val="TableText0"/>
              <w:keepNext/>
              <w:rPr>
                <w:szCs w:val="20"/>
              </w:rPr>
            </w:pPr>
            <w:r w:rsidRPr="00885AB3">
              <w:rPr>
                <w:szCs w:val="20"/>
              </w:rPr>
              <w:t xml:space="preserve">2,113.2 </w:t>
            </w:r>
          </w:p>
          <w:p w14:paraId="4DFC2BC9" w14:textId="76A6496B" w:rsidR="006A1AFC" w:rsidRPr="00885AB3" w:rsidRDefault="006A1AFC" w:rsidP="00120D61">
            <w:pPr>
              <w:pStyle w:val="TableText0"/>
              <w:keepNext/>
              <w:rPr>
                <w:szCs w:val="20"/>
              </w:rPr>
            </w:pPr>
            <w:r w:rsidRPr="00885AB3">
              <w:rPr>
                <w:szCs w:val="20"/>
              </w:rPr>
              <w:t>(1,874.8, 2,381.9)</w:t>
            </w:r>
          </w:p>
        </w:tc>
        <w:tc>
          <w:tcPr>
            <w:tcW w:w="974" w:type="pct"/>
            <w:vAlign w:val="center"/>
            <w:hideMark/>
          </w:tcPr>
          <w:p w14:paraId="63D4D2C2" w14:textId="77777777" w:rsidR="004F6B3C" w:rsidRPr="00885AB3" w:rsidRDefault="006A1AFC" w:rsidP="00120D61">
            <w:pPr>
              <w:pStyle w:val="TableText0"/>
              <w:keepNext/>
              <w:rPr>
                <w:szCs w:val="20"/>
              </w:rPr>
            </w:pPr>
            <w:r w:rsidRPr="00885AB3">
              <w:rPr>
                <w:szCs w:val="20"/>
              </w:rPr>
              <w:t xml:space="preserve">2,795.3 </w:t>
            </w:r>
          </w:p>
          <w:p w14:paraId="5E288DE4" w14:textId="4071ABB3" w:rsidR="006A1AFC" w:rsidRPr="00885AB3" w:rsidRDefault="006A1AFC" w:rsidP="00120D61">
            <w:pPr>
              <w:pStyle w:val="TableText0"/>
              <w:keepNext/>
              <w:rPr>
                <w:szCs w:val="20"/>
              </w:rPr>
            </w:pPr>
            <w:r w:rsidRPr="00885AB3">
              <w:rPr>
                <w:szCs w:val="20"/>
              </w:rPr>
              <w:t>(2,651.3, 2,947.1)</w:t>
            </w:r>
          </w:p>
        </w:tc>
        <w:tc>
          <w:tcPr>
            <w:tcW w:w="882" w:type="pct"/>
            <w:vAlign w:val="center"/>
            <w:hideMark/>
          </w:tcPr>
          <w:p w14:paraId="6E9E0D50" w14:textId="77777777" w:rsidR="004F6B3C" w:rsidRPr="00885AB3" w:rsidRDefault="006A1AFC" w:rsidP="00120D61">
            <w:pPr>
              <w:pStyle w:val="TableText0"/>
              <w:keepNext/>
              <w:rPr>
                <w:szCs w:val="20"/>
              </w:rPr>
            </w:pPr>
            <w:r w:rsidRPr="00885AB3">
              <w:rPr>
                <w:szCs w:val="20"/>
              </w:rPr>
              <w:t xml:space="preserve">1,124.4 </w:t>
            </w:r>
          </w:p>
          <w:p w14:paraId="54D855CB" w14:textId="3A6277E3" w:rsidR="006A1AFC" w:rsidRPr="00885AB3" w:rsidRDefault="006A1AFC" w:rsidP="00120D61">
            <w:pPr>
              <w:pStyle w:val="TableText0"/>
              <w:keepNext/>
              <w:rPr>
                <w:szCs w:val="20"/>
              </w:rPr>
            </w:pPr>
            <w:r w:rsidRPr="00885AB3">
              <w:rPr>
                <w:szCs w:val="20"/>
              </w:rPr>
              <w:t>(1,003.6, 1,259.7)</w:t>
            </w:r>
          </w:p>
        </w:tc>
      </w:tr>
      <w:tr w:rsidR="006A1AFC" w:rsidRPr="00885AB3" w14:paraId="1B32EC91" w14:textId="77777777" w:rsidTr="004F6B3C">
        <w:trPr>
          <w:trHeight w:val="273"/>
        </w:trPr>
        <w:tc>
          <w:tcPr>
            <w:tcW w:w="1196" w:type="pct"/>
            <w:vAlign w:val="center"/>
            <w:hideMark/>
          </w:tcPr>
          <w:p w14:paraId="274A67EE" w14:textId="77777777" w:rsidR="006A1AFC" w:rsidRPr="00885AB3" w:rsidRDefault="006A1AFC" w:rsidP="00120D61">
            <w:pPr>
              <w:pStyle w:val="TableText0"/>
              <w:keepNext/>
              <w:jc w:val="left"/>
              <w:rPr>
                <w:szCs w:val="20"/>
              </w:rPr>
            </w:pPr>
            <w:r w:rsidRPr="00885AB3">
              <w:rPr>
                <w:szCs w:val="20"/>
              </w:rPr>
              <w:t xml:space="preserve">GMFR (95% </w:t>
            </w:r>
            <w:proofErr w:type="spellStart"/>
            <w:r w:rsidRPr="00885AB3">
              <w:rPr>
                <w:szCs w:val="20"/>
              </w:rPr>
              <w:t>CI</w:t>
            </w:r>
            <w:r w:rsidRPr="00885AB3">
              <w:rPr>
                <w:szCs w:val="20"/>
                <w:vertAlign w:val="superscript"/>
              </w:rPr>
              <w:t>b</w:t>
            </w:r>
            <w:proofErr w:type="spellEnd"/>
            <w:r w:rsidRPr="00885AB3">
              <w:rPr>
                <w:szCs w:val="20"/>
              </w:rPr>
              <w:t>)</w:t>
            </w:r>
          </w:p>
        </w:tc>
        <w:tc>
          <w:tcPr>
            <w:tcW w:w="974" w:type="pct"/>
            <w:vAlign w:val="center"/>
            <w:hideMark/>
          </w:tcPr>
          <w:p w14:paraId="6C81E93A" w14:textId="77777777" w:rsidR="006A1AFC" w:rsidRPr="00885AB3" w:rsidRDefault="006A1AFC" w:rsidP="00120D61">
            <w:pPr>
              <w:pStyle w:val="TableText0"/>
              <w:keepNext/>
              <w:rPr>
                <w:szCs w:val="20"/>
              </w:rPr>
            </w:pPr>
            <w:r w:rsidRPr="00885AB3">
              <w:rPr>
                <w:szCs w:val="20"/>
              </w:rPr>
              <w:t>2.80 (2.66, 2.96)</w:t>
            </w:r>
          </w:p>
        </w:tc>
        <w:tc>
          <w:tcPr>
            <w:tcW w:w="974" w:type="pct"/>
            <w:vAlign w:val="center"/>
            <w:hideMark/>
          </w:tcPr>
          <w:p w14:paraId="4EDD591F" w14:textId="77777777" w:rsidR="006A1AFC" w:rsidRPr="00885AB3" w:rsidRDefault="006A1AFC" w:rsidP="00120D61">
            <w:pPr>
              <w:pStyle w:val="TableText0"/>
              <w:keepNext/>
              <w:rPr>
                <w:szCs w:val="20"/>
              </w:rPr>
            </w:pPr>
            <w:r w:rsidRPr="00885AB3">
              <w:rPr>
                <w:szCs w:val="20"/>
              </w:rPr>
              <w:t>0.88 (0.82, 0.95)</w:t>
            </w:r>
          </w:p>
        </w:tc>
        <w:tc>
          <w:tcPr>
            <w:tcW w:w="974" w:type="pct"/>
            <w:vAlign w:val="center"/>
            <w:hideMark/>
          </w:tcPr>
          <w:p w14:paraId="1CB0C844" w14:textId="77777777" w:rsidR="006A1AFC" w:rsidRPr="00885AB3" w:rsidRDefault="006A1AFC" w:rsidP="00120D61">
            <w:pPr>
              <w:pStyle w:val="TableText0"/>
              <w:keepNext/>
              <w:rPr>
                <w:szCs w:val="20"/>
              </w:rPr>
            </w:pPr>
            <w:r w:rsidRPr="00885AB3">
              <w:rPr>
                <w:szCs w:val="20"/>
              </w:rPr>
              <w:t>1.99 (1.89, 2.08)</w:t>
            </w:r>
          </w:p>
        </w:tc>
        <w:tc>
          <w:tcPr>
            <w:tcW w:w="882" w:type="pct"/>
            <w:vAlign w:val="center"/>
            <w:hideMark/>
          </w:tcPr>
          <w:p w14:paraId="44FF8F8D" w14:textId="77777777" w:rsidR="006A1AFC" w:rsidRPr="00885AB3" w:rsidRDefault="006A1AFC" w:rsidP="00120D61">
            <w:pPr>
              <w:pStyle w:val="TableText0"/>
              <w:keepNext/>
              <w:rPr>
                <w:szCs w:val="20"/>
              </w:rPr>
            </w:pPr>
            <w:r w:rsidRPr="00885AB3">
              <w:rPr>
                <w:szCs w:val="20"/>
              </w:rPr>
              <w:t>0.83 (0.77, 0.90)</w:t>
            </w:r>
          </w:p>
        </w:tc>
      </w:tr>
      <w:tr w:rsidR="006A1AFC" w:rsidRPr="00885AB3" w14:paraId="05EA44B9" w14:textId="77777777" w:rsidTr="004F6B3C">
        <w:trPr>
          <w:trHeight w:val="125"/>
        </w:trPr>
        <w:tc>
          <w:tcPr>
            <w:tcW w:w="1196" w:type="pct"/>
            <w:vAlign w:val="center"/>
            <w:hideMark/>
          </w:tcPr>
          <w:p w14:paraId="0BAA3013" w14:textId="77777777" w:rsidR="006A1AFC" w:rsidRPr="00885AB3" w:rsidRDefault="006A1AFC" w:rsidP="00120D61">
            <w:pPr>
              <w:pStyle w:val="TableText0"/>
              <w:keepNext/>
              <w:jc w:val="left"/>
              <w:rPr>
                <w:szCs w:val="20"/>
              </w:rPr>
            </w:pPr>
            <w:proofErr w:type="spellStart"/>
            <w:r w:rsidRPr="00885AB3">
              <w:rPr>
                <w:szCs w:val="20"/>
              </w:rPr>
              <w:t>SRR%</w:t>
            </w:r>
            <w:r w:rsidRPr="00885AB3">
              <w:rPr>
                <w:szCs w:val="20"/>
                <w:vertAlign w:val="superscript"/>
              </w:rPr>
              <w:t>bc</w:t>
            </w:r>
            <w:proofErr w:type="spellEnd"/>
            <w:r w:rsidRPr="00885AB3">
              <w:rPr>
                <w:szCs w:val="20"/>
              </w:rPr>
              <w:t xml:space="preserve"> (95% </w:t>
            </w:r>
            <w:proofErr w:type="spellStart"/>
            <w:r w:rsidRPr="00885AB3">
              <w:rPr>
                <w:szCs w:val="20"/>
              </w:rPr>
              <w:t>CI</w:t>
            </w:r>
            <w:r w:rsidRPr="00885AB3">
              <w:rPr>
                <w:szCs w:val="20"/>
                <w:vertAlign w:val="superscript"/>
              </w:rPr>
              <w:t>e</w:t>
            </w:r>
            <w:proofErr w:type="spellEnd"/>
            <w:r w:rsidRPr="00885AB3">
              <w:rPr>
                <w:szCs w:val="20"/>
              </w:rPr>
              <w:t>)</w:t>
            </w:r>
          </w:p>
        </w:tc>
        <w:tc>
          <w:tcPr>
            <w:tcW w:w="974" w:type="pct"/>
            <w:vAlign w:val="center"/>
            <w:hideMark/>
          </w:tcPr>
          <w:p w14:paraId="1B0301A0" w14:textId="77777777" w:rsidR="006A1AFC" w:rsidRPr="00885AB3" w:rsidRDefault="006A1AFC" w:rsidP="00120D61">
            <w:pPr>
              <w:pStyle w:val="TableText0"/>
              <w:keepNext/>
              <w:rPr>
                <w:szCs w:val="20"/>
              </w:rPr>
            </w:pPr>
            <w:r w:rsidRPr="00885AB3">
              <w:rPr>
                <w:szCs w:val="20"/>
              </w:rPr>
              <w:t>32.8% (30.4, 35.3)</w:t>
            </w:r>
          </w:p>
        </w:tc>
        <w:tc>
          <w:tcPr>
            <w:tcW w:w="974" w:type="pct"/>
            <w:vAlign w:val="center"/>
            <w:hideMark/>
          </w:tcPr>
          <w:p w14:paraId="5D621DDB" w14:textId="77777777" w:rsidR="006A1AFC" w:rsidRPr="00885AB3" w:rsidRDefault="006A1AFC" w:rsidP="00120D61">
            <w:pPr>
              <w:pStyle w:val="TableText0"/>
              <w:keepNext/>
              <w:rPr>
                <w:szCs w:val="20"/>
              </w:rPr>
            </w:pPr>
            <w:r w:rsidRPr="00885AB3">
              <w:rPr>
                <w:szCs w:val="20"/>
              </w:rPr>
              <w:t>3.5% (1.7, 6.1)</w:t>
            </w:r>
          </w:p>
        </w:tc>
        <w:tc>
          <w:tcPr>
            <w:tcW w:w="974" w:type="pct"/>
            <w:vAlign w:val="center"/>
            <w:hideMark/>
          </w:tcPr>
          <w:p w14:paraId="18204662" w14:textId="77777777" w:rsidR="006A1AFC" w:rsidRPr="00885AB3" w:rsidRDefault="006A1AFC" w:rsidP="00120D61">
            <w:pPr>
              <w:pStyle w:val="TableText0"/>
              <w:keepNext/>
              <w:rPr>
                <w:szCs w:val="20"/>
              </w:rPr>
            </w:pPr>
            <w:r w:rsidRPr="00885AB3">
              <w:rPr>
                <w:szCs w:val="20"/>
              </w:rPr>
              <w:t>19.9% (17.8, 22.0)</w:t>
            </w:r>
          </w:p>
        </w:tc>
        <w:tc>
          <w:tcPr>
            <w:tcW w:w="882" w:type="pct"/>
            <w:vAlign w:val="center"/>
            <w:hideMark/>
          </w:tcPr>
          <w:p w14:paraId="2938DFB1" w14:textId="77777777" w:rsidR="006A1AFC" w:rsidRPr="00885AB3" w:rsidRDefault="006A1AFC" w:rsidP="00120D61">
            <w:pPr>
              <w:pStyle w:val="TableText0"/>
              <w:keepNext/>
              <w:rPr>
                <w:szCs w:val="20"/>
              </w:rPr>
            </w:pPr>
            <w:r w:rsidRPr="00885AB3">
              <w:rPr>
                <w:szCs w:val="20"/>
              </w:rPr>
              <w:t>3.2% (1.5, 5.7)</w:t>
            </w:r>
          </w:p>
        </w:tc>
      </w:tr>
      <w:tr w:rsidR="006A1AFC" w:rsidRPr="00885AB3" w14:paraId="2F0F380E" w14:textId="77777777" w:rsidTr="004F6B3C">
        <w:trPr>
          <w:trHeight w:val="402"/>
        </w:trPr>
        <w:tc>
          <w:tcPr>
            <w:tcW w:w="1196" w:type="pct"/>
            <w:vAlign w:val="center"/>
            <w:hideMark/>
          </w:tcPr>
          <w:p w14:paraId="075B2243" w14:textId="7CBDD5AE" w:rsidR="006A1AFC" w:rsidRPr="00885AB3" w:rsidRDefault="00EF2FA4" w:rsidP="00120D61">
            <w:pPr>
              <w:pStyle w:val="TableText0"/>
              <w:keepNext/>
              <w:jc w:val="left"/>
              <w:rPr>
                <w:szCs w:val="20"/>
              </w:rPr>
            </w:pPr>
            <w:r>
              <w:rPr>
                <w:szCs w:val="20"/>
              </w:rPr>
              <w:t xml:space="preserve">≥ </w:t>
            </w:r>
            <w:r w:rsidR="006A1AFC" w:rsidRPr="00885AB3">
              <w:rPr>
                <w:szCs w:val="20"/>
              </w:rPr>
              <w:t>2-fold increase from baseline, %</w:t>
            </w:r>
            <w:proofErr w:type="spellStart"/>
            <w:r w:rsidR="006A1AFC" w:rsidRPr="00885AB3">
              <w:rPr>
                <w:szCs w:val="20"/>
                <w:vertAlign w:val="superscript"/>
              </w:rPr>
              <w:t>f,d</w:t>
            </w:r>
            <w:proofErr w:type="spellEnd"/>
            <w:r w:rsidR="006A1AFC" w:rsidRPr="00885AB3">
              <w:rPr>
                <w:szCs w:val="20"/>
                <w:vertAlign w:val="superscript"/>
              </w:rPr>
              <w:t xml:space="preserve"> </w:t>
            </w:r>
            <w:r w:rsidR="006A1AFC" w:rsidRPr="00885AB3">
              <w:rPr>
                <w:szCs w:val="20"/>
              </w:rPr>
              <w:t xml:space="preserve">(95% </w:t>
            </w:r>
            <w:proofErr w:type="spellStart"/>
            <w:r w:rsidR="006A1AFC" w:rsidRPr="00885AB3">
              <w:rPr>
                <w:szCs w:val="20"/>
              </w:rPr>
              <w:t>CI</w:t>
            </w:r>
            <w:r w:rsidR="006A1AFC" w:rsidRPr="00885AB3">
              <w:rPr>
                <w:szCs w:val="20"/>
                <w:vertAlign w:val="superscript"/>
              </w:rPr>
              <w:t>e</w:t>
            </w:r>
            <w:proofErr w:type="spellEnd"/>
            <w:r w:rsidR="006A1AFC" w:rsidRPr="00885AB3">
              <w:rPr>
                <w:szCs w:val="20"/>
              </w:rPr>
              <w:t>)</w:t>
            </w:r>
          </w:p>
        </w:tc>
        <w:tc>
          <w:tcPr>
            <w:tcW w:w="974" w:type="pct"/>
            <w:vAlign w:val="center"/>
            <w:hideMark/>
          </w:tcPr>
          <w:p w14:paraId="4E3E0888" w14:textId="77777777" w:rsidR="006A1AFC" w:rsidRPr="00885AB3" w:rsidRDefault="006A1AFC" w:rsidP="00120D61">
            <w:pPr>
              <w:pStyle w:val="TableText0"/>
              <w:keepNext/>
              <w:rPr>
                <w:szCs w:val="20"/>
              </w:rPr>
            </w:pPr>
            <w:r w:rsidRPr="00885AB3">
              <w:rPr>
                <w:szCs w:val="20"/>
              </w:rPr>
              <w:t>61.0% (58.4, 63.5)</w:t>
            </w:r>
          </w:p>
        </w:tc>
        <w:tc>
          <w:tcPr>
            <w:tcW w:w="974" w:type="pct"/>
            <w:vAlign w:val="center"/>
            <w:hideMark/>
          </w:tcPr>
          <w:p w14:paraId="3CDA18FB" w14:textId="77777777" w:rsidR="006A1AFC" w:rsidRPr="00885AB3" w:rsidRDefault="006A1AFC" w:rsidP="00120D61">
            <w:pPr>
              <w:pStyle w:val="TableText0"/>
              <w:keepNext/>
              <w:rPr>
                <w:szCs w:val="20"/>
              </w:rPr>
            </w:pPr>
            <w:r w:rsidRPr="00885AB3">
              <w:rPr>
                <w:szCs w:val="20"/>
              </w:rPr>
              <w:t>8.2% (5.4, 11.8)</w:t>
            </w:r>
          </w:p>
        </w:tc>
        <w:tc>
          <w:tcPr>
            <w:tcW w:w="974" w:type="pct"/>
            <w:vAlign w:val="center"/>
            <w:hideMark/>
          </w:tcPr>
          <w:p w14:paraId="15FD2B47" w14:textId="77777777" w:rsidR="006A1AFC" w:rsidRPr="00885AB3" w:rsidRDefault="006A1AFC" w:rsidP="00120D61">
            <w:pPr>
              <w:pStyle w:val="TableText0"/>
              <w:keepNext/>
              <w:rPr>
                <w:szCs w:val="20"/>
              </w:rPr>
            </w:pPr>
            <w:r w:rsidRPr="00885AB3">
              <w:rPr>
                <w:szCs w:val="20"/>
              </w:rPr>
              <w:t>46.7% (44.1, 49.3)</w:t>
            </w:r>
          </w:p>
        </w:tc>
        <w:tc>
          <w:tcPr>
            <w:tcW w:w="882" w:type="pct"/>
            <w:vAlign w:val="center"/>
            <w:hideMark/>
          </w:tcPr>
          <w:p w14:paraId="2C721152" w14:textId="77777777" w:rsidR="006A1AFC" w:rsidRPr="00885AB3" w:rsidRDefault="006A1AFC" w:rsidP="00120D61">
            <w:pPr>
              <w:pStyle w:val="TableText0"/>
              <w:keepNext/>
              <w:rPr>
                <w:szCs w:val="20"/>
              </w:rPr>
            </w:pPr>
            <w:r w:rsidRPr="00885AB3">
              <w:rPr>
                <w:szCs w:val="20"/>
              </w:rPr>
              <w:t>9.1% (6.2, 12.9)</w:t>
            </w:r>
          </w:p>
        </w:tc>
      </w:tr>
    </w:tbl>
    <w:p w14:paraId="75E62C93" w14:textId="77777777" w:rsidR="006A1AFC" w:rsidRPr="00885AB3" w:rsidRDefault="006A1AFC" w:rsidP="00120D61">
      <w:pPr>
        <w:pStyle w:val="TableFigureFooter"/>
        <w:keepNext/>
      </w:pPr>
      <w:r w:rsidRPr="00885AB3">
        <w:t xml:space="preserve">Source: Table 2-42, p122 of the submission; Table 8, pp20-21 of the Extended Analysis CSR (median follow-up 18.8 months). </w:t>
      </w:r>
    </w:p>
    <w:p w14:paraId="1A490C26" w14:textId="77777777" w:rsidR="006A1AFC" w:rsidRPr="00885AB3" w:rsidRDefault="006A1AFC" w:rsidP="00120D61">
      <w:pPr>
        <w:pStyle w:val="TableFigureFooter"/>
        <w:keepNext/>
      </w:pPr>
      <w:r w:rsidRPr="00885AB3">
        <w:t xml:space="preserve">CI = confidence interval; GM = geometric mean; GMFR = geometric mean fold-rise; GMT = geometric mean titre; LLOQ = lower limit of quantification; max = maximum; min = minimum; </w:t>
      </w:r>
      <w:proofErr w:type="spellStart"/>
      <w:r w:rsidRPr="00885AB3">
        <w:t>nAb</w:t>
      </w:r>
      <w:proofErr w:type="spellEnd"/>
      <w:r w:rsidRPr="00885AB3">
        <w:t xml:space="preserve"> = neutralizing antibody; PPI = per-protocol immunogenicity; RSV-A = respiratory syncytial virus subtype A; RSV-B = respiratory syncytial virus subtype B; SRR = </w:t>
      </w:r>
      <w:proofErr w:type="spellStart"/>
      <w:r w:rsidRPr="00885AB3">
        <w:t>seroresponse</w:t>
      </w:r>
      <w:proofErr w:type="spellEnd"/>
      <w:r w:rsidRPr="00885AB3">
        <w:t xml:space="preserve"> rate; ULOQ = upper limit of</w:t>
      </w:r>
    </w:p>
    <w:p w14:paraId="7F63D44F" w14:textId="77777777" w:rsidR="006A1AFC" w:rsidRPr="00885AB3" w:rsidRDefault="006A1AFC" w:rsidP="00120D61">
      <w:pPr>
        <w:pStyle w:val="TableFigureFooter"/>
        <w:keepNext/>
      </w:pPr>
      <w:r w:rsidRPr="00885AB3">
        <w:t>quantification.</w:t>
      </w:r>
    </w:p>
    <w:p w14:paraId="33D4D7FB" w14:textId="2B26E95A" w:rsidR="006A1AFC" w:rsidRPr="00885AB3" w:rsidRDefault="007362D2" w:rsidP="00120D61">
      <w:pPr>
        <w:pStyle w:val="TableFigureFooter"/>
        <w:keepNext/>
      </w:pPr>
      <w:r w:rsidRPr="00885AB3">
        <w:t xml:space="preserve">Note: </w:t>
      </w:r>
      <w:r w:rsidR="006A1AFC" w:rsidRPr="00885AB3">
        <w:t>One participant had missing data for GMFR and SRR and were therefore excluded from analyses.</w:t>
      </w:r>
    </w:p>
    <w:p w14:paraId="076E86A3" w14:textId="77777777" w:rsidR="006A1AFC" w:rsidRPr="00885AB3" w:rsidRDefault="006A1AFC" w:rsidP="00120D61">
      <w:pPr>
        <w:pStyle w:val="TableFigureFooter"/>
        <w:keepNext/>
      </w:pPr>
      <w:proofErr w:type="gramStart"/>
      <w:r w:rsidRPr="00885AB3">
        <w:rPr>
          <w:vertAlign w:val="superscript"/>
        </w:rPr>
        <w:t>a</w:t>
      </w:r>
      <w:r w:rsidRPr="00885AB3">
        <w:t xml:space="preserve"> Number of</w:t>
      </w:r>
      <w:proofErr w:type="gramEnd"/>
      <w:r w:rsidRPr="00885AB3">
        <w:t xml:space="preserve"> participants with non-missing data at the visit (baseline or post-baseline).</w:t>
      </w:r>
    </w:p>
    <w:p w14:paraId="362FD583" w14:textId="77777777" w:rsidR="006A1AFC" w:rsidRPr="00885AB3" w:rsidRDefault="006A1AFC" w:rsidP="00120D61">
      <w:pPr>
        <w:pStyle w:val="TableFigureFooter"/>
        <w:keepNext/>
      </w:pPr>
      <w:r w:rsidRPr="00885AB3">
        <w:rPr>
          <w:vertAlign w:val="superscript"/>
        </w:rPr>
        <w:t>b</w:t>
      </w:r>
      <w:r w:rsidRPr="00885AB3">
        <w:t xml:space="preserve"> 95% CI was calculated based on the t-distribution of the log-transformed values or the difference in the log-transformed values for GM value and GM fold-rise, respectively, then back transformed to the original scale for presentation.</w:t>
      </w:r>
    </w:p>
    <w:p w14:paraId="641EC234" w14:textId="77777777" w:rsidR="006A1AFC" w:rsidRPr="00885AB3" w:rsidRDefault="006A1AFC" w:rsidP="00120D61">
      <w:pPr>
        <w:pStyle w:val="TableFigureFooter"/>
        <w:keepNext/>
      </w:pPr>
      <w:r w:rsidRPr="00885AB3">
        <w:rPr>
          <w:vertAlign w:val="superscript"/>
        </w:rPr>
        <w:t>c</w:t>
      </w:r>
      <w:r w:rsidRPr="00885AB3">
        <w:t xml:space="preserve"> </w:t>
      </w:r>
      <w:proofErr w:type="spellStart"/>
      <w:r w:rsidRPr="00885AB3">
        <w:t>Seroresponse</w:t>
      </w:r>
      <w:proofErr w:type="spellEnd"/>
      <w:r w:rsidRPr="00885AB3">
        <w:t xml:space="preserve"> at a participant level was defined as a change from below the LLOQ to equal or above 4 x LLOQ, or at least a 4-fold increase if baseline was equal to or above the LLOQ. For RSV-A, LLOQ: 13 IU/mL, ULOQ: 259,061 UL/mL; for RSV-B, LLOQ: 10 IU/mL, ULOQ: 112,476 IU/mL.</w:t>
      </w:r>
    </w:p>
    <w:p w14:paraId="0B0D26E6" w14:textId="77777777" w:rsidR="006A1AFC" w:rsidRPr="00885AB3" w:rsidRDefault="006A1AFC" w:rsidP="00120D61">
      <w:pPr>
        <w:pStyle w:val="TableFigureFooter"/>
        <w:keepNext/>
      </w:pPr>
      <w:r w:rsidRPr="00885AB3">
        <w:rPr>
          <w:vertAlign w:val="superscript"/>
        </w:rPr>
        <w:t>d</w:t>
      </w:r>
      <w:r w:rsidRPr="00885AB3">
        <w:t xml:space="preserve"> Number of participants meeting the criterion at the timepoint.</w:t>
      </w:r>
    </w:p>
    <w:p w14:paraId="129A0F83" w14:textId="77777777" w:rsidR="006A1AFC" w:rsidRPr="00885AB3" w:rsidRDefault="006A1AFC" w:rsidP="00120D61">
      <w:pPr>
        <w:pStyle w:val="TableFigureFooter"/>
        <w:keepNext/>
      </w:pPr>
      <w:r w:rsidRPr="00885AB3">
        <w:rPr>
          <w:vertAlign w:val="superscript"/>
        </w:rPr>
        <w:t>e</w:t>
      </w:r>
      <w:r w:rsidRPr="00885AB3">
        <w:t xml:space="preserve"> 95% CI was calculated using the Clopper-Pearson method.</w:t>
      </w:r>
    </w:p>
    <w:p w14:paraId="3B51D2C8" w14:textId="48C9A888" w:rsidR="006A1AFC" w:rsidRPr="00885AB3" w:rsidRDefault="006A1AFC" w:rsidP="00120D61">
      <w:pPr>
        <w:pStyle w:val="TableFigureFooter"/>
        <w:keepNext/>
      </w:pPr>
      <w:r w:rsidRPr="00885AB3">
        <w:rPr>
          <w:vertAlign w:val="superscript"/>
        </w:rPr>
        <w:t>f</w:t>
      </w:r>
      <w:r w:rsidRPr="00885AB3">
        <w:t xml:space="preserve"> </w:t>
      </w:r>
      <w:r w:rsidR="00EF2FA4">
        <w:rPr>
          <w:rFonts w:eastAsia="TimesNewRomanPSMT"/>
        </w:rPr>
        <w:t xml:space="preserve">≥ </w:t>
      </w:r>
      <w:r w:rsidRPr="00885AB3">
        <w:t xml:space="preserve">z-fold increase from baseline at participant level was defined as a change from below the LLOQ to equal or above z x LLOQ, or at least </w:t>
      </w:r>
    </w:p>
    <w:p w14:paraId="4D10135B" w14:textId="77777777" w:rsidR="006A1AFC" w:rsidRPr="00885AB3" w:rsidRDefault="006A1AFC" w:rsidP="00120D61">
      <w:pPr>
        <w:pStyle w:val="3-BodyText"/>
        <w:rPr>
          <w:iCs/>
        </w:rPr>
      </w:pPr>
      <w:r w:rsidRPr="00885AB3">
        <w:t xml:space="preserve">The submission stated that all parameters of immunogenicity measured at Day 181 postinjection remain elevated relative to baseline. At Day 29 the GMT demonstrated an 8.3-fold increase above baseline, which then reduced to a 2.8-fold increase by Day 181 </w:t>
      </w:r>
      <w:r w:rsidRPr="00885AB3">
        <w:rPr>
          <w:iCs/>
        </w:rPr>
        <w:t>(66% reduction).</w:t>
      </w:r>
    </w:p>
    <w:p w14:paraId="7CC35595" w14:textId="01ABAB35" w:rsidR="006A1AFC" w:rsidRPr="00885AB3" w:rsidRDefault="006A1AFC" w:rsidP="00120D61">
      <w:pPr>
        <w:pStyle w:val="3-BodyText"/>
        <w:rPr>
          <w:rFonts w:eastAsia="Calibri"/>
          <w:iCs/>
        </w:rPr>
      </w:pPr>
      <w:r w:rsidRPr="00885AB3">
        <w:rPr>
          <w:iCs/>
        </w:rPr>
        <w:t>The</w:t>
      </w:r>
      <w:r w:rsidR="00217E5B" w:rsidRPr="00885AB3">
        <w:rPr>
          <w:iCs/>
        </w:rPr>
        <w:t xml:space="preserve"> evaluation considered that the</w:t>
      </w:r>
      <w:r w:rsidRPr="00885AB3">
        <w:rPr>
          <w:iCs/>
        </w:rPr>
        <w:t xml:space="preserve"> decline from </w:t>
      </w:r>
      <w:r w:rsidR="0050396B" w:rsidRPr="00885AB3">
        <w:rPr>
          <w:iCs/>
        </w:rPr>
        <w:t>Day 29</w:t>
      </w:r>
      <w:r w:rsidRPr="00885AB3">
        <w:rPr>
          <w:iCs/>
        </w:rPr>
        <w:t xml:space="preserve"> to Day 181 should be interpreted with caution, as higher titres do not necessarily equate to greater efficacy. While higher titres may prolong protection, the key is maintaining levels above a protective threshold, noting that an immunological correlate of protection for RSV has not yet been established. </w:t>
      </w:r>
      <w:r w:rsidRPr="00885AB3">
        <w:rPr>
          <w:rFonts w:eastAsia="Calibri"/>
          <w:iCs/>
        </w:rPr>
        <w:t>Therefore, it is unknown whether, or at what point, immunity conferred by mRNA-1345 is likely to decline to a point below a protective threshold.</w:t>
      </w:r>
    </w:p>
    <w:p w14:paraId="153727E7" w14:textId="1AB8FBC5" w:rsidR="006A1AFC" w:rsidRPr="00885AB3" w:rsidRDefault="005C3A8C" w:rsidP="00120D61">
      <w:pPr>
        <w:pStyle w:val="5-SubsectionSubheading"/>
        <w:rPr>
          <w:rFonts w:ascii="Calibri" w:hAnsi="Calibri" w:cs="Calibri"/>
          <w:lang w:eastAsia="en-US"/>
        </w:rPr>
      </w:pPr>
      <w:bookmarkStart w:id="73" w:name="_Toc205822154"/>
      <w:bookmarkStart w:id="74" w:name="_Toc208998507"/>
      <w:r w:rsidRPr="00885AB3">
        <w:rPr>
          <w:rFonts w:ascii="Calibri" w:hAnsi="Calibri" w:cs="Calibri"/>
          <w:lang w:eastAsia="en-US"/>
        </w:rPr>
        <w:lastRenderedPageBreak/>
        <w:t xml:space="preserve">Indirect treatment comparison: </w:t>
      </w:r>
      <w:r w:rsidR="006A1AFC" w:rsidRPr="00885AB3">
        <w:rPr>
          <w:rFonts w:ascii="Calibri" w:hAnsi="Calibri" w:cs="Calibri"/>
          <w:lang w:eastAsia="en-US"/>
        </w:rPr>
        <w:t xml:space="preserve">mRNA-1345 versus </w:t>
      </w:r>
      <w:proofErr w:type="spellStart"/>
      <w:r w:rsidR="006A1AFC" w:rsidRPr="00885AB3">
        <w:rPr>
          <w:rFonts w:ascii="Calibri" w:hAnsi="Calibri" w:cs="Calibri"/>
          <w:lang w:eastAsia="en-US"/>
        </w:rPr>
        <w:t>RSVPreF</w:t>
      </w:r>
      <w:proofErr w:type="spellEnd"/>
      <w:r w:rsidR="006A1AFC" w:rsidRPr="00885AB3">
        <w:rPr>
          <w:rFonts w:ascii="Calibri" w:hAnsi="Calibri" w:cs="Calibri"/>
          <w:lang w:eastAsia="en-US"/>
        </w:rPr>
        <w:t xml:space="preserve"> and RSVPreF3 OA</w:t>
      </w:r>
      <w:bookmarkEnd w:id="73"/>
      <w:bookmarkEnd w:id="74"/>
    </w:p>
    <w:p w14:paraId="000273C8" w14:textId="311D04F1" w:rsidR="006A1AFC" w:rsidRPr="00885AB3" w:rsidRDefault="006A1AFC" w:rsidP="00120D61">
      <w:pPr>
        <w:pStyle w:val="3-BodyText"/>
        <w:rPr>
          <w:iCs/>
        </w:rPr>
      </w:pPr>
      <w:r w:rsidRPr="00885AB3">
        <w:t xml:space="preserve">The submission provided an </w:t>
      </w:r>
      <w:r w:rsidRPr="00885AB3">
        <w:rPr>
          <w:snapToGrid w:val="0"/>
        </w:rPr>
        <w:t>anchored (placebo) ITC for mRNA-1345 (</w:t>
      </w:r>
      <w:proofErr w:type="spellStart"/>
      <w:r w:rsidRPr="00885AB3">
        <w:rPr>
          <w:snapToGrid w:val="0"/>
        </w:rPr>
        <w:t>ConquerRSV</w:t>
      </w:r>
      <w:proofErr w:type="spellEnd"/>
      <w:r w:rsidRPr="00885AB3">
        <w:rPr>
          <w:snapToGrid w:val="0"/>
        </w:rPr>
        <w:t xml:space="preserve">) against </w:t>
      </w:r>
      <w:proofErr w:type="spellStart"/>
      <w:r w:rsidRPr="00885AB3">
        <w:t>RSVPreF</w:t>
      </w:r>
      <w:proofErr w:type="spellEnd"/>
      <w:r w:rsidRPr="00885AB3">
        <w:t xml:space="preserve"> (RENOIR) and RSVPreF3 OA (AReSVi-006) </w:t>
      </w:r>
      <w:r w:rsidRPr="00885AB3">
        <w:rPr>
          <w:snapToGrid w:val="0"/>
        </w:rPr>
        <w:t xml:space="preserve">for VE assessed as RSV-LRTD </w:t>
      </w:r>
      <w:r w:rsidR="00EF2FA4">
        <w:t xml:space="preserve">≥ </w:t>
      </w:r>
      <w:r w:rsidRPr="00885AB3">
        <w:rPr>
          <w:snapToGrid w:val="0"/>
        </w:rPr>
        <w:t>2</w:t>
      </w:r>
      <w:r w:rsidRPr="00885AB3" w:rsidDel="008E1C8E">
        <w:rPr>
          <w:snapToGrid w:val="0"/>
        </w:rPr>
        <w:t xml:space="preserve"> </w:t>
      </w:r>
      <w:r w:rsidRPr="00885AB3">
        <w:rPr>
          <w:snapToGrid w:val="0"/>
        </w:rPr>
        <w:t xml:space="preserve">symptoms, RSV-LRTD with </w:t>
      </w:r>
      <w:r w:rsidR="00EF2FA4">
        <w:t xml:space="preserve">≥ </w:t>
      </w:r>
      <w:r w:rsidRPr="00885AB3">
        <w:rPr>
          <w:snapToGrid w:val="0"/>
        </w:rPr>
        <w:t>3 symptoms</w:t>
      </w:r>
      <w:r w:rsidRPr="00885AB3" w:rsidDel="008E1C8E">
        <w:rPr>
          <w:snapToGrid w:val="0"/>
        </w:rPr>
        <w:t xml:space="preserve"> </w:t>
      </w:r>
      <w:r w:rsidRPr="00885AB3">
        <w:rPr>
          <w:snapToGrid w:val="0"/>
        </w:rPr>
        <w:t>and ARD in</w:t>
      </w:r>
      <w:r w:rsidRPr="00885AB3">
        <w:t xml:space="preserve"> </w:t>
      </w:r>
      <w:r w:rsidRPr="00885AB3">
        <w:rPr>
          <w:snapToGrid w:val="0"/>
        </w:rPr>
        <w:t xml:space="preserve">the </w:t>
      </w:r>
      <w:r w:rsidR="00EF2FA4">
        <w:t xml:space="preserve">≥ </w:t>
      </w:r>
      <w:r w:rsidRPr="00885AB3">
        <w:t xml:space="preserve">75 YOA </w:t>
      </w:r>
      <w:r w:rsidRPr="00885AB3">
        <w:rPr>
          <w:snapToGrid w:val="0"/>
        </w:rPr>
        <w:t xml:space="preserve">population. </w:t>
      </w:r>
      <w:r w:rsidR="00F6240F" w:rsidRPr="00885AB3">
        <w:rPr>
          <w:iCs/>
          <w:snapToGrid w:val="0"/>
        </w:rPr>
        <w:t xml:space="preserve">No </w:t>
      </w:r>
      <w:r w:rsidR="007C5F4D" w:rsidRPr="00885AB3">
        <w:rPr>
          <w:iCs/>
          <w:snapToGrid w:val="0"/>
        </w:rPr>
        <w:t xml:space="preserve">comparative </w:t>
      </w:r>
      <w:r w:rsidR="00F6240F" w:rsidRPr="00885AB3">
        <w:rPr>
          <w:iCs/>
          <w:snapToGrid w:val="0"/>
        </w:rPr>
        <w:t xml:space="preserve">results were presented </w:t>
      </w:r>
      <w:r w:rsidR="00BF4757" w:rsidRPr="00885AB3">
        <w:rPr>
          <w:iCs/>
          <w:snapToGrid w:val="0"/>
        </w:rPr>
        <w:t xml:space="preserve">in the submission </w:t>
      </w:r>
      <w:r w:rsidR="001D4D7E" w:rsidRPr="00885AB3">
        <w:rPr>
          <w:iCs/>
          <w:snapToGrid w:val="0"/>
        </w:rPr>
        <w:t xml:space="preserve">for the </w:t>
      </w:r>
      <w:r w:rsidR="00EF2FA4">
        <w:rPr>
          <w:iCs/>
          <w:snapToGrid w:val="0"/>
        </w:rPr>
        <w:t xml:space="preserve">≥ </w:t>
      </w:r>
      <w:r w:rsidR="00F6240F" w:rsidRPr="00885AB3">
        <w:rPr>
          <w:iCs/>
          <w:snapToGrid w:val="0"/>
        </w:rPr>
        <w:t xml:space="preserve">60 YOA </w:t>
      </w:r>
      <w:r w:rsidR="001D4D7E" w:rsidRPr="00885AB3">
        <w:rPr>
          <w:iCs/>
          <w:snapToGrid w:val="0"/>
        </w:rPr>
        <w:t>population</w:t>
      </w:r>
      <w:r w:rsidR="00BF4757" w:rsidRPr="00885AB3">
        <w:rPr>
          <w:iCs/>
          <w:snapToGrid w:val="0"/>
        </w:rPr>
        <w:t>, however, an ITC for this population was included in the request for advice submitted to ATAGI</w:t>
      </w:r>
      <w:r w:rsidR="003C199C" w:rsidRPr="00885AB3">
        <w:rPr>
          <w:iCs/>
          <w:snapToGrid w:val="0"/>
        </w:rPr>
        <w:t xml:space="preserve"> (ATAGI </w:t>
      </w:r>
      <w:r w:rsidR="00BE3825" w:rsidRPr="00885AB3">
        <w:rPr>
          <w:iCs/>
          <w:snapToGrid w:val="0"/>
        </w:rPr>
        <w:t>advice, June 2025)</w:t>
      </w:r>
      <w:r w:rsidR="001D4D7E" w:rsidRPr="00885AB3">
        <w:rPr>
          <w:iCs/>
          <w:snapToGrid w:val="0"/>
        </w:rPr>
        <w:t xml:space="preserve">. </w:t>
      </w:r>
    </w:p>
    <w:p w14:paraId="79206F3C" w14:textId="35B3AAE0" w:rsidR="006A1AFC" w:rsidRPr="00885AB3" w:rsidRDefault="006A1AFC" w:rsidP="00120D61">
      <w:pPr>
        <w:pStyle w:val="3-BodyText"/>
      </w:pPr>
      <w:bookmarkStart w:id="75" w:name="_Ref206098506"/>
      <w:r w:rsidRPr="00885AB3">
        <w:t xml:space="preserve">Results of the anchored ITC presented in the submission for the </w:t>
      </w:r>
      <w:r w:rsidR="00EF2FA4">
        <w:t xml:space="preserve">≥ </w:t>
      </w:r>
      <w:r w:rsidRPr="00885AB3">
        <w:t>75 YOA population included:</w:t>
      </w:r>
      <w:bookmarkEnd w:id="75"/>
    </w:p>
    <w:p w14:paraId="6C5837BF" w14:textId="1CBD58B3" w:rsidR="006A1AFC" w:rsidRPr="00885AB3" w:rsidRDefault="006A1AFC" w:rsidP="00120D61">
      <w:pPr>
        <w:pStyle w:val="ListParagraph"/>
        <w:numPr>
          <w:ilvl w:val="0"/>
          <w:numId w:val="16"/>
        </w:numPr>
        <w:jc w:val="both"/>
      </w:pPr>
      <w:r w:rsidRPr="00885AB3">
        <w:rPr>
          <w:u w:val="single"/>
        </w:rPr>
        <w:t>Base case</w:t>
      </w:r>
      <w:r w:rsidRPr="00885AB3">
        <w:t xml:space="preserve">: </w:t>
      </w:r>
      <w:r w:rsidR="003801BE" w:rsidRPr="00885AB3">
        <w:t>U</w:t>
      </w:r>
      <w:r w:rsidRPr="00885AB3">
        <w:t>sed the primary analysis with the first available data point from each trial. Given the short follow-up periods (3.7, 7.1</w:t>
      </w:r>
      <w:r w:rsidR="00E2745F" w:rsidRPr="00885AB3">
        <w:t>,</w:t>
      </w:r>
      <w:r w:rsidRPr="00885AB3">
        <w:t xml:space="preserve"> and 6.7 months median time to follow</w:t>
      </w:r>
      <w:r w:rsidR="00637ECA" w:rsidRPr="00885AB3">
        <w:t>-</w:t>
      </w:r>
      <w:r w:rsidRPr="00885AB3">
        <w:t xml:space="preserve">up in </w:t>
      </w:r>
      <w:proofErr w:type="spellStart"/>
      <w:r w:rsidRPr="00885AB3">
        <w:t>ConquerRSV</w:t>
      </w:r>
      <w:proofErr w:type="spellEnd"/>
      <w:r w:rsidRPr="00885AB3">
        <w:t>, RENOIR and AReSVi-006, respectively)</w:t>
      </w:r>
      <w:r w:rsidR="00062AFD" w:rsidRPr="00885AB3">
        <w:t>,</w:t>
      </w:r>
      <w:r w:rsidRPr="00885AB3">
        <w:t xml:space="preserve"> </w:t>
      </w:r>
      <w:r w:rsidR="00130842" w:rsidRPr="00885AB3">
        <w:t>the eval</w:t>
      </w:r>
      <w:r w:rsidR="00062AFD" w:rsidRPr="00885AB3">
        <w:t xml:space="preserve">uation considered that </w:t>
      </w:r>
      <w:r w:rsidRPr="00885AB3">
        <w:t xml:space="preserve">this comparison is vulnerable to confounding due to the differences in the timing of vaccination relative to the incidence of RSV. </w:t>
      </w:r>
      <w:r w:rsidR="001206B8" w:rsidRPr="00885AB3">
        <w:t>Furthermore, t</w:t>
      </w:r>
      <w:r w:rsidR="00076426" w:rsidRPr="00885AB3">
        <w:t>he shorter follow-up duration for mRNA-1</w:t>
      </w:r>
      <w:r w:rsidR="005E257A" w:rsidRPr="00885AB3">
        <w:t>3</w:t>
      </w:r>
      <w:r w:rsidR="00076426" w:rsidRPr="00885AB3">
        <w:t>45 likely captures vaccine efficacy closer to its peak, before waning effects become more pronounced</w:t>
      </w:r>
      <w:r w:rsidR="007C3670" w:rsidRPr="00885AB3">
        <w:t xml:space="preserve"> compared to RENOIR and AReSVi-006</w:t>
      </w:r>
      <w:r w:rsidR="00076426" w:rsidRPr="00885AB3">
        <w:t>.</w:t>
      </w:r>
      <w:r w:rsidR="007C3670" w:rsidRPr="00885AB3">
        <w:t xml:space="preserve"> </w:t>
      </w:r>
      <w:r w:rsidRPr="00885AB3">
        <w:t xml:space="preserve">VE against RSV-LRTD with </w:t>
      </w:r>
      <w:r w:rsidR="00EF2FA4">
        <w:t xml:space="preserve">≥ </w:t>
      </w:r>
      <w:r w:rsidRPr="00885AB3">
        <w:t xml:space="preserve">2 symptoms in </w:t>
      </w:r>
      <w:proofErr w:type="spellStart"/>
      <w:r w:rsidRPr="00885AB3">
        <w:t>ConquerRSV</w:t>
      </w:r>
      <w:proofErr w:type="spellEnd"/>
      <w:r w:rsidRPr="00885AB3">
        <w:t xml:space="preserve"> was substantially higher at 3.7 months follow-up (83.7%) than at 8.6 months follow-up (63.3%), which is more closely aligned with the follow-up periods in RENOIR and AReSVi-006.</w:t>
      </w:r>
    </w:p>
    <w:p w14:paraId="0F5F9832" w14:textId="35D1436E" w:rsidR="006A1AFC" w:rsidRPr="00885AB3" w:rsidRDefault="006A1AFC" w:rsidP="00120D61">
      <w:pPr>
        <w:pStyle w:val="ListParagraph"/>
        <w:numPr>
          <w:ilvl w:val="0"/>
          <w:numId w:val="16"/>
        </w:numPr>
        <w:jc w:val="both"/>
      </w:pPr>
      <w:r w:rsidRPr="00885AB3">
        <w:rPr>
          <w:u w:val="single"/>
        </w:rPr>
        <w:t>Scenario 1</w:t>
      </w:r>
      <w:r w:rsidRPr="00885AB3">
        <w:t>: Matched the 8.6-month median time to follow-up data from mRNA</w:t>
      </w:r>
      <w:r w:rsidR="005B2F81" w:rsidRPr="00885AB3">
        <w:noBreakHyphen/>
      </w:r>
      <w:r w:rsidRPr="00885AB3">
        <w:t xml:space="preserve">1345 with combined Season 1 and 2 data from </w:t>
      </w:r>
      <w:proofErr w:type="spellStart"/>
      <w:r w:rsidRPr="00885AB3">
        <w:t>RSVPreF</w:t>
      </w:r>
      <w:proofErr w:type="spellEnd"/>
      <w:r w:rsidRPr="00885AB3">
        <w:t xml:space="preserve"> (16.4 months, Walsh et al. 2024) and RSVPreF3 OA (17.8 months, Ison et al. 2024). The submission stated that</w:t>
      </w:r>
      <w:r w:rsidRPr="00885AB3" w:rsidDel="002844DC">
        <w:t xml:space="preserve"> </w:t>
      </w:r>
      <w:proofErr w:type="spellStart"/>
      <w:r w:rsidRPr="00885AB3">
        <w:t>ConquerRSV</w:t>
      </w:r>
      <w:proofErr w:type="spellEnd"/>
      <w:r w:rsidRPr="00885AB3">
        <w:t xml:space="preserve"> was initiated at the tail-end of the 2021-2022 RSV season, </w:t>
      </w:r>
      <w:r w:rsidR="00986AB3" w:rsidRPr="00885AB3">
        <w:t xml:space="preserve">and </w:t>
      </w:r>
      <w:r w:rsidRPr="00885AB3">
        <w:t xml:space="preserve">the additional analysis completed at a median follow-up of 8.6 months included </w:t>
      </w:r>
      <w:proofErr w:type="gramStart"/>
      <w:r w:rsidRPr="00885AB3">
        <w:t>a large number of</w:t>
      </w:r>
      <w:proofErr w:type="gramEnd"/>
      <w:r w:rsidRPr="00885AB3">
        <w:t xml:space="preserve"> subjects who were exposed to two RSV seasons</w:t>
      </w:r>
      <w:r w:rsidRPr="00885AB3" w:rsidDel="00AC6013">
        <w:t xml:space="preserve">. </w:t>
      </w:r>
      <w:r w:rsidRPr="00885AB3">
        <w:t>T</w:t>
      </w:r>
      <w:r w:rsidR="00AF1133" w:rsidRPr="00885AB3">
        <w:t>he evaluation considered that t</w:t>
      </w:r>
      <w:r w:rsidRPr="00885AB3">
        <w:t xml:space="preserve">his claim was not supported by the </w:t>
      </w:r>
      <w:r w:rsidR="0001285A" w:rsidRPr="00885AB3">
        <w:t xml:space="preserve">data in the </w:t>
      </w:r>
      <w:r w:rsidRPr="00885AB3">
        <w:t>submission</w:t>
      </w:r>
      <w:r w:rsidR="00CA2D19" w:rsidRPr="00885AB3">
        <w:t>,</w:t>
      </w:r>
      <w:r w:rsidRPr="00885AB3">
        <w:t xml:space="preserve"> given that only 28.1% of participants were exposed to 2 RSV seasons in </w:t>
      </w:r>
      <w:proofErr w:type="spellStart"/>
      <w:r w:rsidRPr="00885AB3">
        <w:t>ConquerRSV</w:t>
      </w:r>
      <w:proofErr w:type="spellEnd"/>
      <w:r w:rsidR="00AC5CBD" w:rsidRPr="00885AB3">
        <w:t xml:space="preserve"> at this timepoint</w:t>
      </w:r>
      <w:r w:rsidRPr="00885AB3">
        <w:t xml:space="preserve">. </w:t>
      </w:r>
      <w:r w:rsidR="00673648" w:rsidRPr="00885AB3">
        <w:t>T</w:t>
      </w:r>
      <w:r w:rsidRPr="00885AB3">
        <w:t xml:space="preserve">he timing of recruitment was unclear, making it difficult to determine the level of exposure to RSV among participants. Additionally, waning VE of </w:t>
      </w:r>
      <w:proofErr w:type="spellStart"/>
      <w:r w:rsidRPr="00885AB3">
        <w:t>RSVPreF</w:t>
      </w:r>
      <w:proofErr w:type="spellEnd"/>
      <w:r w:rsidRPr="00885AB3">
        <w:t xml:space="preserve"> and RSVPreF3 OA with longer follow-up could result in relatively higher apparent effectiveness of mRNA-1345.</w:t>
      </w:r>
    </w:p>
    <w:p w14:paraId="615E68BD" w14:textId="55AF90B4" w:rsidR="006A1AFC" w:rsidRPr="00885AB3" w:rsidRDefault="006A1AFC" w:rsidP="00120D61">
      <w:pPr>
        <w:pStyle w:val="ListParagraph"/>
        <w:numPr>
          <w:ilvl w:val="0"/>
          <w:numId w:val="16"/>
        </w:numPr>
        <w:ind w:left="1077" w:hanging="357"/>
        <w:jc w:val="both"/>
      </w:pPr>
      <w:r w:rsidRPr="00885AB3">
        <w:rPr>
          <w:u w:val="single"/>
        </w:rPr>
        <w:t>Scenario 2</w:t>
      </w:r>
      <w:r w:rsidRPr="00885AB3">
        <w:t xml:space="preserve">: Applied 8.6-month data for mRNA-1345, 7.6-month data for </w:t>
      </w:r>
      <w:proofErr w:type="spellStart"/>
      <w:r w:rsidRPr="00885AB3">
        <w:t>RSVPreF</w:t>
      </w:r>
      <w:proofErr w:type="spellEnd"/>
      <w:r w:rsidRPr="00885AB3">
        <w:t xml:space="preserve"> (Season 2 only), and 6.7-month data for RSVPreF3 OA.</w:t>
      </w:r>
      <w:r w:rsidRPr="00885AB3">
        <w:rPr>
          <w:i/>
          <w:iCs/>
        </w:rPr>
        <w:t xml:space="preserve"> </w:t>
      </w:r>
      <w:r w:rsidRPr="00885AB3">
        <w:t xml:space="preserve">The evaluation </w:t>
      </w:r>
      <w:proofErr w:type="gramStart"/>
      <w:r w:rsidRPr="00885AB3">
        <w:t>was not able to</w:t>
      </w:r>
      <w:proofErr w:type="gramEnd"/>
      <w:r w:rsidRPr="00885AB3">
        <w:t xml:space="preserve"> verify the ITC presented comparing mRNA-1345 with </w:t>
      </w:r>
      <w:proofErr w:type="spellStart"/>
      <w:r w:rsidRPr="00885AB3">
        <w:t>RSVPreF</w:t>
      </w:r>
      <w:proofErr w:type="spellEnd"/>
      <w:r w:rsidRPr="00885AB3">
        <w:t xml:space="preserve"> for this scenario as source data was not presented by the submission. The evaluation extracted the relevant source data from the PSD (Table 9, </w:t>
      </w:r>
      <w:proofErr w:type="spellStart"/>
      <w:r w:rsidRPr="00885AB3">
        <w:t>RSVPreF</w:t>
      </w:r>
      <w:proofErr w:type="spellEnd"/>
      <w:r w:rsidRPr="00885AB3">
        <w:t xml:space="preserve"> PSD, November 2024) and the ITC results based on these data are reported in</w:t>
      </w:r>
      <w:r w:rsidR="007025F2" w:rsidRPr="00885AB3">
        <w:t xml:space="preserve"> </w:t>
      </w:r>
      <w:r w:rsidR="007025F2" w:rsidRPr="00885AB3">
        <w:fldChar w:fldCharType="begin" w:fldLock="1"/>
      </w:r>
      <w:r w:rsidR="007025F2" w:rsidRPr="00885AB3">
        <w:instrText xml:space="preserve"> REF _Ref206749859 \h  \* MERGEFORMAT </w:instrText>
      </w:r>
      <w:r w:rsidR="007025F2" w:rsidRPr="00885AB3">
        <w:fldChar w:fldCharType="separate"/>
      </w:r>
      <w:r w:rsidR="00515933" w:rsidRPr="00885AB3">
        <w:t>Figure 3</w:t>
      </w:r>
      <w:r w:rsidR="007025F2" w:rsidRPr="00885AB3">
        <w:fldChar w:fldCharType="end"/>
      </w:r>
      <w:r w:rsidRPr="00885AB3">
        <w:t>.</w:t>
      </w:r>
      <w:r w:rsidR="00917469" w:rsidRPr="00885AB3">
        <w:t xml:space="preserve"> ATAGI noted that the comparison of </w:t>
      </w:r>
      <w:proofErr w:type="spellStart"/>
      <w:r w:rsidR="00917469" w:rsidRPr="00885AB3">
        <w:t>ConquerRSV</w:t>
      </w:r>
      <w:proofErr w:type="spellEnd"/>
      <w:r w:rsidR="00917469" w:rsidRPr="00885AB3">
        <w:t xml:space="preserve"> at 8.6 months of follow up versus </w:t>
      </w:r>
      <w:r w:rsidR="00CC10CA" w:rsidRPr="00885AB3">
        <w:t>S</w:t>
      </w:r>
      <w:r w:rsidR="00917469" w:rsidRPr="00885AB3">
        <w:t xml:space="preserve">eason 2 of RENOIR was inappropriate </w:t>
      </w:r>
      <w:r w:rsidR="007E50BC" w:rsidRPr="00885AB3">
        <w:t xml:space="preserve">as participants in the RENOIR cohort were followed up for 7.6 </w:t>
      </w:r>
      <w:r w:rsidR="007E50BC" w:rsidRPr="00885AB3">
        <w:lastRenderedPageBreak/>
        <w:t xml:space="preserve">months for their second season, which does not represent 7.6 months from injection </w:t>
      </w:r>
      <w:r w:rsidR="00917469" w:rsidRPr="00885AB3">
        <w:t>(</w:t>
      </w:r>
      <w:r w:rsidR="007E50BC" w:rsidRPr="00885AB3">
        <w:t>ATAGI advi</w:t>
      </w:r>
      <w:r w:rsidR="00EF66D8" w:rsidRPr="00885AB3">
        <w:t>c</w:t>
      </w:r>
      <w:r w:rsidR="007E50BC" w:rsidRPr="00885AB3">
        <w:t xml:space="preserve">e, </w:t>
      </w:r>
      <w:r w:rsidR="0066547F" w:rsidRPr="00885AB3">
        <w:t xml:space="preserve">June </w:t>
      </w:r>
      <w:r w:rsidR="007E50BC" w:rsidRPr="00885AB3">
        <w:t>202</w:t>
      </w:r>
      <w:r w:rsidR="0066547F" w:rsidRPr="00885AB3">
        <w:t>5</w:t>
      </w:r>
      <w:r w:rsidR="007E50BC" w:rsidRPr="00885AB3">
        <w:t>).</w:t>
      </w:r>
    </w:p>
    <w:p w14:paraId="7DE50BCC" w14:textId="1F89D3F6" w:rsidR="006A1AFC" w:rsidRPr="00885AB3" w:rsidRDefault="006A1AFC" w:rsidP="00120D61">
      <w:pPr>
        <w:pStyle w:val="ListParagraph"/>
        <w:numPr>
          <w:ilvl w:val="0"/>
          <w:numId w:val="16"/>
        </w:numPr>
        <w:ind w:left="1077" w:hanging="357"/>
        <w:jc w:val="both"/>
      </w:pPr>
      <w:r w:rsidRPr="00885AB3">
        <w:rPr>
          <w:u w:val="single"/>
        </w:rPr>
        <w:t>Scenario 3</w:t>
      </w:r>
      <w:r w:rsidRPr="00885AB3">
        <w:t xml:space="preserve">: Applied 18.8 months data for mRNA-1345 (reporting VE up to 24 months) and the combined Season 1 and 2 data for </w:t>
      </w:r>
      <w:proofErr w:type="spellStart"/>
      <w:r w:rsidRPr="00885AB3">
        <w:t>RSVPreF</w:t>
      </w:r>
      <w:proofErr w:type="spellEnd"/>
      <w:r w:rsidRPr="00885AB3">
        <w:t xml:space="preserve"> and RSVPreF3 OA (16.4 months follow-up and 17.8 months follow-up, respectively). T</w:t>
      </w:r>
      <w:r w:rsidR="008C1852" w:rsidRPr="00885AB3">
        <w:t>he evaluation noted that t</w:t>
      </w:r>
      <w:r w:rsidRPr="00885AB3">
        <w:t>his scenario</w:t>
      </w:r>
      <w:r w:rsidRPr="00885AB3" w:rsidDel="0007415D">
        <w:t xml:space="preserve"> </w:t>
      </w:r>
      <w:r w:rsidRPr="00885AB3">
        <w:t xml:space="preserve">provided the longest-term follow-up evidence and </w:t>
      </w:r>
      <w:r w:rsidR="0001285A" w:rsidRPr="00885AB3">
        <w:t xml:space="preserve">considered it </w:t>
      </w:r>
      <w:r w:rsidRPr="00885AB3">
        <w:t>is the most relevant to inform long-term comparative efficacy</w:t>
      </w:r>
      <w:r w:rsidR="00342271" w:rsidRPr="00885AB3">
        <w:t xml:space="preserve">, noting that very few participants (2.1%) </w:t>
      </w:r>
      <w:r w:rsidR="005B27DE" w:rsidRPr="00885AB3">
        <w:t xml:space="preserve">in </w:t>
      </w:r>
      <w:proofErr w:type="spellStart"/>
      <w:r w:rsidR="005B27DE" w:rsidRPr="00885AB3">
        <w:t>ConquerRSV</w:t>
      </w:r>
      <w:proofErr w:type="spellEnd"/>
      <w:r w:rsidR="005B27DE" w:rsidRPr="00885AB3">
        <w:t xml:space="preserve"> </w:t>
      </w:r>
      <w:r w:rsidR="00342271" w:rsidRPr="00885AB3">
        <w:t>remain at risk at 24</w:t>
      </w:r>
      <w:r w:rsidR="00536395" w:rsidRPr="00885AB3">
        <w:t xml:space="preserve"> months (paragraph </w:t>
      </w:r>
      <w:r w:rsidR="00021799" w:rsidRPr="00885AB3">
        <w:fldChar w:fldCharType="begin" w:fldLock="1"/>
      </w:r>
      <w:r w:rsidR="00021799" w:rsidRPr="00885AB3">
        <w:instrText xml:space="preserve"> REF _Ref207657153 \r \h </w:instrText>
      </w:r>
      <w:r w:rsidR="00E3786B" w:rsidRPr="00885AB3">
        <w:instrText xml:space="preserve"> \* MERGEFORMAT </w:instrText>
      </w:r>
      <w:r w:rsidR="00021799" w:rsidRPr="00885AB3">
        <w:fldChar w:fldCharType="separate"/>
      </w:r>
      <w:r w:rsidR="00515933" w:rsidRPr="00885AB3">
        <w:t>6.20</w:t>
      </w:r>
      <w:r w:rsidR="00021799" w:rsidRPr="00885AB3">
        <w:fldChar w:fldCharType="end"/>
      </w:r>
      <w:r w:rsidR="00021799" w:rsidRPr="00885AB3">
        <w:t>)</w:t>
      </w:r>
      <w:r w:rsidR="00A23A13" w:rsidRPr="00885AB3">
        <w:t>.</w:t>
      </w:r>
      <w:r w:rsidR="007B354A" w:rsidRPr="00885AB3">
        <w:t xml:space="preserve"> </w:t>
      </w:r>
      <w:r w:rsidRPr="00885AB3">
        <w:t>ATAGI recommended that</w:t>
      </w:r>
      <w:r w:rsidR="00644D31" w:rsidRPr="00885AB3">
        <w:t xml:space="preserve"> a</w:t>
      </w:r>
      <w:r w:rsidRPr="00885AB3">
        <w:t xml:space="preserve"> comparison of results at longer follow</w:t>
      </w:r>
      <w:r w:rsidR="00EC73E7" w:rsidRPr="00885AB3">
        <w:t>-</w:t>
      </w:r>
      <w:r w:rsidRPr="00885AB3">
        <w:t xml:space="preserve">up be provided as they are likely to be the most informative (ATAGI Advice, June 2025). </w:t>
      </w:r>
    </w:p>
    <w:p w14:paraId="57029BF3" w14:textId="4A80E6A5" w:rsidR="006A1AFC" w:rsidRPr="00885AB3" w:rsidRDefault="006A1AFC" w:rsidP="00120D61">
      <w:pPr>
        <w:pStyle w:val="3-BodyText"/>
        <w:spacing w:before="0"/>
        <w:rPr>
          <w:rFonts w:cs="Calibri"/>
        </w:rPr>
      </w:pPr>
      <w:bookmarkStart w:id="76" w:name="_Ref206496725"/>
      <w:bookmarkStart w:id="77" w:name="_Ref211333924"/>
      <w:r w:rsidRPr="00885AB3">
        <w:rPr>
          <w:rFonts w:cs="Calibri"/>
        </w:rPr>
        <w:t xml:space="preserve">Differences between </w:t>
      </w:r>
      <w:proofErr w:type="spellStart"/>
      <w:r w:rsidRPr="00885AB3">
        <w:rPr>
          <w:rFonts w:cs="Calibri"/>
        </w:rPr>
        <w:t>ConquerRSV</w:t>
      </w:r>
      <w:proofErr w:type="spellEnd"/>
      <w:r w:rsidRPr="00885AB3">
        <w:rPr>
          <w:rFonts w:cs="Calibri"/>
        </w:rPr>
        <w:t xml:space="preserve">, RENOIR and AReSVi-006 in terms of their study design and patient characteristics that are likely to affect the transitivity of the ITC have been described in paragraph </w:t>
      </w:r>
      <w:r w:rsidRPr="00885AB3">
        <w:rPr>
          <w:rFonts w:cs="Calibri"/>
        </w:rPr>
        <w:fldChar w:fldCharType="begin" w:fldLock="1"/>
      </w:r>
      <w:r w:rsidRPr="00885AB3">
        <w:rPr>
          <w:rFonts w:cs="Calibri"/>
        </w:rPr>
        <w:instrText xml:space="preserve"> REF _Ref206098408 \r \h  \* MERGEFORMAT </w:instrText>
      </w:r>
      <w:r w:rsidRPr="00885AB3">
        <w:rPr>
          <w:rFonts w:cs="Calibri"/>
        </w:rPr>
      </w:r>
      <w:r w:rsidRPr="00885AB3">
        <w:rPr>
          <w:rFonts w:cs="Calibri"/>
        </w:rPr>
        <w:fldChar w:fldCharType="separate"/>
      </w:r>
      <w:r w:rsidR="00515933" w:rsidRPr="00885AB3">
        <w:rPr>
          <w:rFonts w:cs="Calibri"/>
        </w:rPr>
        <w:t>6.15</w:t>
      </w:r>
      <w:r w:rsidRPr="00885AB3">
        <w:rPr>
          <w:rFonts w:cs="Calibri"/>
        </w:rPr>
        <w:fldChar w:fldCharType="end"/>
      </w:r>
      <w:r w:rsidRPr="00885AB3">
        <w:rPr>
          <w:rFonts w:cs="Calibri"/>
        </w:rPr>
        <w:t xml:space="preserve">. </w:t>
      </w:r>
      <w:r w:rsidR="00B1439D" w:rsidRPr="00885AB3">
        <w:rPr>
          <w:rFonts w:cs="Calibri"/>
        </w:rPr>
        <w:t>The evaluation noted that o</w:t>
      </w:r>
      <w:r w:rsidRPr="00885AB3">
        <w:rPr>
          <w:rFonts w:cs="Calibri"/>
        </w:rPr>
        <w:t xml:space="preserve">ther issues that may limit the interpretation of the results </w:t>
      </w:r>
      <w:bookmarkEnd w:id="76"/>
      <w:r w:rsidRPr="00885AB3">
        <w:rPr>
          <w:rFonts w:cs="Calibri"/>
        </w:rPr>
        <w:t>include:</w:t>
      </w:r>
      <w:bookmarkEnd w:id="77"/>
    </w:p>
    <w:p w14:paraId="1A25A973" w14:textId="5B7A5015" w:rsidR="006A1AFC" w:rsidRPr="00885AB3" w:rsidRDefault="006A1AFC" w:rsidP="00120D61">
      <w:pPr>
        <w:pStyle w:val="ListParagraph"/>
        <w:numPr>
          <w:ilvl w:val="0"/>
          <w:numId w:val="16"/>
        </w:numPr>
        <w:ind w:left="1077" w:hanging="357"/>
        <w:jc w:val="both"/>
        <w:rPr>
          <w:rFonts w:cs="Calibri"/>
        </w:rPr>
      </w:pPr>
      <w:r w:rsidRPr="00885AB3">
        <w:rPr>
          <w:rFonts w:cs="Calibri"/>
        </w:rPr>
        <w:t xml:space="preserve">The results </w:t>
      </w:r>
      <w:r w:rsidR="00513050" w:rsidRPr="00885AB3">
        <w:rPr>
          <w:rFonts w:cs="Calibri"/>
        </w:rPr>
        <w:t xml:space="preserve">presented in the submission </w:t>
      </w:r>
      <w:r w:rsidR="006E341F" w:rsidRPr="00885AB3">
        <w:rPr>
          <w:rFonts w:cs="Calibri"/>
        </w:rPr>
        <w:t xml:space="preserve">and relied upon for the clinical claim </w:t>
      </w:r>
      <w:r w:rsidRPr="00885AB3">
        <w:rPr>
          <w:rFonts w:cs="Calibri"/>
        </w:rPr>
        <w:t xml:space="preserve">were based on sub-group analyses of those </w:t>
      </w:r>
      <w:r w:rsidR="00EF2FA4">
        <w:rPr>
          <w:rFonts w:cs="Calibri"/>
        </w:rPr>
        <w:t xml:space="preserve">≥ </w:t>
      </w:r>
      <w:r w:rsidRPr="00885AB3">
        <w:rPr>
          <w:rFonts w:cs="Calibri"/>
        </w:rPr>
        <w:t xml:space="preserve">75 YOA from all 3 trials. These subgroups represented a small proportion of the relevant trials; 18% in </w:t>
      </w:r>
      <w:proofErr w:type="spellStart"/>
      <w:r w:rsidRPr="00885AB3">
        <w:rPr>
          <w:rFonts w:cs="Calibri"/>
        </w:rPr>
        <w:t>ConquerRSV</w:t>
      </w:r>
      <w:proofErr w:type="spellEnd"/>
      <w:r w:rsidRPr="00885AB3">
        <w:rPr>
          <w:rFonts w:cs="Calibri"/>
        </w:rPr>
        <w:t>, 16% in RENOIR</w:t>
      </w:r>
      <w:r w:rsidR="000F6B5F" w:rsidRPr="00885AB3">
        <w:rPr>
          <w:rFonts w:cs="Calibri"/>
        </w:rPr>
        <w:t>,</w:t>
      </w:r>
      <w:r w:rsidRPr="00885AB3">
        <w:rPr>
          <w:rFonts w:cs="Calibri"/>
        </w:rPr>
        <w:t xml:space="preserve"> and 21% in AReSVi-006. The small sample sizes and limited number of cases observed resulted in wide confidence intervals, precluding robust conclusions and raising concerns about statistical reliability of the ITCs.</w:t>
      </w:r>
    </w:p>
    <w:p w14:paraId="31E25108" w14:textId="4F9DA3FA" w:rsidR="006A1AFC" w:rsidRPr="00885AB3" w:rsidRDefault="006A1AFC" w:rsidP="00120D61">
      <w:pPr>
        <w:pStyle w:val="ListParagraph"/>
        <w:numPr>
          <w:ilvl w:val="0"/>
          <w:numId w:val="16"/>
        </w:numPr>
        <w:jc w:val="both"/>
        <w:rPr>
          <w:rFonts w:cs="Calibri"/>
        </w:rPr>
      </w:pPr>
      <w:r w:rsidRPr="00885AB3">
        <w:rPr>
          <w:rFonts w:cs="Calibri"/>
        </w:rPr>
        <w:t>The outcomes reported and used in the ITC for</w:t>
      </w:r>
      <w:r w:rsidR="004830D1" w:rsidRPr="00885AB3">
        <w:rPr>
          <w:rFonts w:cs="Calibri"/>
        </w:rPr>
        <w:t xml:space="preserve"> the </w:t>
      </w:r>
      <w:r w:rsidR="00EF2FA4">
        <w:rPr>
          <w:rFonts w:cs="Calibri"/>
        </w:rPr>
        <w:t xml:space="preserve">≥ </w:t>
      </w:r>
      <w:r w:rsidRPr="00885AB3">
        <w:rPr>
          <w:rFonts w:cs="Calibri"/>
        </w:rPr>
        <w:t>75 YOA population in RENOIR were based on the subset of outcomes that were medically attended</w:t>
      </w:r>
      <w:r w:rsidR="00833DDF" w:rsidRPr="00885AB3">
        <w:rPr>
          <w:rFonts w:cs="Calibri"/>
        </w:rPr>
        <w:t xml:space="preserve"> (</w:t>
      </w:r>
      <w:r w:rsidR="005B6A46" w:rsidRPr="00885AB3">
        <w:rPr>
          <w:rFonts w:cs="Calibri"/>
        </w:rPr>
        <w:t xml:space="preserve">medically attended events in RENOIR </w:t>
      </w:r>
      <w:r w:rsidR="00554A5F" w:rsidRPr="00885AB3">
        <w:rPr>
          <w:rFonts w:cs="Calibri"/>
        </w:rPr>
        <w:t>included:</w:t>
      </w:r>
      <w:r w:rsidR="005B6A46" w:rsidRPr="00885AB3">
        <w:rPr>
          <w:rFonts w:cs="Calibri"/>
        </w:rPr>
        <w:t xml:space="preserve"> telephone consultation with a medical practitioner, doctors visit, emergency room visit, or hospitali</w:t>
      </w:r>
      <w:r w:rsidR="0019394E" w:rsidRPr="00885AB3">
        <w:rPr>
          <w:rFonts w:cs="Calibri"/>
        </w:rPr>
        <w:t>s</w:t>
      </w:r>
      <w:r w:rsidR="005B6A46" w:rsidRPr="00885AB3">
        <w:rPr>
          <w:rFonts w:cs="Calibri"/>
        </w:rPr>
        <w:t>ation)</w:t>
      </w:r>
      <w:r w:rsidRPr="00885AB3">
        <w:rPr>
          <w:rFonts w:cs="Calibri"/>
        </w:rPr>
        <w:t xml:space="preserve">. These outcome definitions were narrower than the corresponding outcomes reported in </w:t>
      </w:r>
      <w:proofErr w:type="spellStart"/>
      <w:r w:rsidRPr="00885AB3">
        <w:rPr>
          <w:rFonts w:cs="Calibri"/>
        </w:rPr>
        <w:t>ConquerRSV</w:t>
      </w:r>
      <w:proofErr w:type="spellEnd"/>
      <w:r w:rsidRPr="00885AB3">
        <w:rPr>
          <w:rFonts w:cs="Calibri"/>
        </w:rPr>
        <w:t xml:space="preserve"> which were not restricted to those that were medically attended.</w:t>
      </w:r>
      <w:r w:rsidR="001C78D7">
        <w:rPr>
          <w:rFonts w:cs="Calibri"/>
        </w:rPr>
        <w:t xml:space="preserve"> </w:t>
      </w:r>
      <w:r w:rsidRPr="00885AB3">
        <w:t xml:space="preserve">The reason for the inclusion of data relating to medically attended cases in RENOIR in the ITC was not addressed by the submission. The direction and magnitude of any bias </w:t>
      </w:r>
      <w:r w:rsidR="00680CC2" w:rsidRPr="00885AB3">
        <w:t xml:space="preserve">is </w:t>
      </w:r>
      <w:r w:rsidRPr="00885AB3">
        <w:t>uncertain.</w:t>
      </w:r>
    </w:p>
    <w:p w14:paraId="3467E79D" w14:textId="4B1975D2" w:rsidR="006A1AFC" w:rsidRPr="00885AB3" w:rsidRDefault="00B02545" w:rsidP="00120D61">
      <w:pPr>
        <w:pStyle w:val="3-BodyText"/>
        <w:rPr>
          <w:rFonts w:cs="Calibri"/>
        </w:rPr>
      </w:pPr>
      <w:r w:rsidRPr="00885AB3">
        <w:rPr>
          <w:rFonts w:eastAsia="Calibri"/>
          <w:lang w:eastAsia="en-US"/>
        </w:rPr>
        <w:t xml:space="preserve">Data extracted from the 3 trials and used to inform the ITC for participants who were </w:t>
      </w:r>
      <w:r w:rsidR="001C78D7">
        <w:rPr>
          <w:rFonts w:eastAsia="Calibri"/>
          <w:u w:val="single"/>
          <w:lang w:eastAsia="en-US"/>
        </w:rPr>
        <w:t xml:space="preserve">&gt; </w:t>
      </w:r>
      <w:r w:rsidRPr="00885AB3">
        <w:rPr>
          <w:rFonts w:eastAsia="Calibri"/>
          <w:lang w:eastAsia="en-US"/>
        </w:rPr>
        <w:t>75 YOA are shown in</w:t>
      </w:r>
      <w:r w:rsidR="00E12D25" w:rsidRPr="00885AB3">
        <w:rPr>
          <w:rFonts w:eastAsia="Calibri"/>
          <w:lang w:eastAsia="en-US"/>
        </w:rPr>
        <w:t xml:space="preserve"> </w:t>
      </w:r>
      <w:r w:rsidR="00E12D25" w:rsidRPr="00885AB3">
        <w:rPr>
          <w:rFonts w:eastAsia="Calibri"/>
          <w:lang w:eastAsia="en-US"/>
        </w:rPr>
        <w:fldChar w:fldCharType="begin" w:fldLock="1"/>
      </w:r>
      <w:r w:rsidR="00E12D25" w:rsidRPr="00885AB3">
        <w:rPr>
          <w:rFonts w:eastAsia="Calibri"/>
          <w:lang w:eastAsia="en-US"/>
        </w:rPr>
        <w:instrText xml:space="preserve"> REF _Ref211800828 \h </w:instrText>
      </w:r>
      <w:r w:rsidR="005F5B2F" w:rsidRPr="00885AB3">
        <w:rPr>
          <w:rFonts w:eastAsia="Calibri"/>
          <w:lang w:eastAsia="en-US"/>
        </w:rPr>
        <w:instrText xml:space="preserve"> \* MERGEFORMAT </w:instrText>
      </w:r>
      <w:r w:rsidR="00E12D25" w:rsidRPr="00885AB3">
        <w:rPr>
          <w:rFonts w:eastAsia="Calibri"/>
          <w:lang w:eastAsia="en-US"/>
        </w:rPr>
      </w:r>
      <w:r w:rsidR="00E12D25" w:rsidRPr="00885AB3">
        <w:rPr>
          <w:rFonts w:eastAsia="Calibri"/>
          <w:lang w:eastAsia="en-US"/>
        </w:rPr>
        <w:fldChar w:fldCharType="separate"/>
      </w:r>
      <w:r w:rsidR="00515933" w:rsidRPr="00885AB3">
        <w:t>Table 10</w:t>
      </w:r>
      <w:r w:rsidR="00E12D25" w:rsidRPr="00885AB3">
        <w:rPr>
          <w:rFonts w:eastAsia="Calibri"/>
          <w:lang w:eastAsia="en-US"/>
        </w:rPr>
        <w:fldChar w:fldCharType="end"/>
      </w:r>
      <w:r w:rsidR="00E12D25" w:rsidRPr="00885AB3">
        <w:rPr>
          <w:rFonts w:eastAsia="Calibri"/>
          <w:lang w:eastAsia="en-US"/>
        </w:rPr>
        <w:t xml:space="preserve">. </w:t>
      </w:r>
      <w:r w:rsidR="004830D1" w:rsidRPr="00885AB3">
        <w:t xml:space="preserve">A summary of the ITC results for the base case and scenarios in participants aged </w:t>
      </w:r>
      <w:r w:rsidR="001C78D7">
        <w:rPr>
          <w:rFonts w:eastAsia="Calibri"/>
          <w:u w:val="single"/>
          <w:lang w:eastAsia="en-US"/>
        </w:rPr>
        <w:t xml:space="preserve">&gt; </w:t>
      </w:r>
      <w:r w:rsidR="004830D1" w:rsidRPr="00885AB3">
        <w:rPr>
          <w:rFonts w:cs="Calibri"/>
        </w:rPr>
        <w:t xml:space="preserve">75 YOA </w:t>
      </w:r>
      <w:r w:rsidR="0079422E" w:rsidRPr="00885AB3">
        <w:rPr>
          <w:rFonts w:cs="Calibri"/>
        </w:rPr>
        <w:t xml:space="preserve">is provided in </w:t>
      </w:r>
      <w:r w:rsidR="0079422E" w:rsidRPr="00885AB3">
        <w:rPr>
          <w:rFonts w:cs="Calibri"/>
        </w:rPr>
        <w:fldChar w:fldCharType="begin" w:fldLock="1"/>
      </w:r>
      <w:r w:rsidR="0079422E" w:rsidRPr="00885AB3">
        <w:rPr>
          <w:rFonts w:cs="Calibri"/>
        </w:rPr>
        <w:instrText xml:space="preserve"> REF _Ref206749859 \h  \* MERGEFORMAT </w:instrText>
      </w:r>
      <w:r w:rsidR="0079422E" w:rsidRPr="00885AB3">
        <w:rPr>
          <w:rFonts w:cs="Calibri"/>
        </w:rPr>
      </w:r>
      <w:r w:rsidR="0079422E" w:rsidRPr="00885AB3">
        <w:rPr>
          <w:rFonts w:cs="Calibri"/>
        </w:rPr>
        <w:fldChar w:fldCharType="separate"/>
      </w:r>
      <w:r w:rsidR="00515933" w:rsidRPr="00885AB3">
        <w:t>Figure 3</w:t>
      </w:r>
      <w:r w:rsidR="0079422E" w:rsidRPr="00885AB3">
        <w:rPr>
          <w:rFonts w:cs="Calibri"/>
        </w:rPr>
        <w:fldChar w:fldCharType="end"/>
      </w:r>
      <w:r w:rsidR="0079422E" w:rsidRPr="00885AB3">
        <w:rPr>
          <w:rFonts w:cs="Calibri"/>
        </w:rPr>
        <w:t xml:space="preserve"> </w:t>
      </w:r>
      <w:r w:rsidR="006A1AFC" w:rsidRPr="00885AB3">
        <w:t xml:space="preserve">and </w:t>
      </w:r>
      <w:r w:rsidR="00211C8A" w:rsidRPr="00885AB3">
        <w:fldChar w:fldCharType="begin" w:fldLock="1"/>
      </w:r>
      <w:r w:rsidR="00211C8A" w:rsidRPr="00885AB3">
        <w:instrText xml:space="preserve"> REF _Ref208304196 \h </w:instrText>
      </w:r>
      <w:r w:rsidR="00121830" w:rsidRPr="00885AB3">
        <w:instrText xml:space="preserve"> \* MERGEFORMAT </w:instrText>
      </w:r>
      <w:r w:rsidR="00211C8A" w:rsidRPr="00885AB3">
        <w:fldChar w:fldCharType="separate"/>
      </w:r>
      <w:r w:rsidR="00515933" w:rsidRPr="00885AB3">
        <w:t>Table 11</w:t>
      </w:r>
      <w:r w:rsidR="00211C8A" w:rsidRPr="00885AB3">
        <w:fldChar w:fldCharType="end"/>
      </w:r>
      <w:r w:rsidR="006A1AFC" w:rsidRPr="00885AB3">
        <w:t xml:space="preserve">. ITC results relating to RSV-LRTD </w:t>
      </w:r>
      <w:r w:rsidR="00EF2FA4">
        <w:rPr>
          <w:rFonts w:cs="Calibri"/>
        </w:rPr>
        <w:t xml:space="preserve">≥ </w:t>
      </w:r>
      <w:r w:rsidR="006A1AFC" w:rsidRPr="00885AB3">
        <w:t>3</w:t>
      </w:r>
      <w:r w:rsidR="006A1AFC" w:rsidRPr="00885AB3">
        <w:rPr>
          <w:rFonts w:cs="Calibri"/>
        </w:rPr>
        <w:t xml:space="preserve"> symptoms for all scenarios could not be replicated during the evaluation and it was not clear from the submission which outcomes were used to derive these results. </w:t>
      </w:r>
      <w:r w:rsidR="00BC0411" w:rsidRPr="00885AB3">
        <w:rPr>
          <w:rFonts w:cs="Calibri"/>
        </w:rPr>
        <w:t xml:space="preserve">A range of errors in the results of the ITC were identified by the evaluation. </w:t>
      </w:r>
      <w:r w:rsidR="006A1AFC" w:rsidRPr="00885AB3">
        <w:rPr>
          <w:rFonts w:cs="Calibri"/>
        </w:rPr>
        <w:t xml:space="preserve">The </w:t>
      </w:r>
      <w:r w:rsidR="00944A94" w:rsidRPr="00885AB3">
        <w:rPr>
          <w:rFonts w:cs="Calibri"/>
        </w:rPr>
        <w:t xml:space="preserve">results </w:t>
      </w:r>
      <w:r w:rsidR="006A1AFC" w:rsidRPr="00885AB3">
        <w:rPr>
          <w:rFonts w:cs="Calibri"/>
        </w:rPr>
        <w:t>presented in</w:t>
      </w:r>
      <w:r w:rsidR="00E07EE5" w:rsidRPr="00885AB3">
        <w:rPr>
          <w:rFonts w:cs="Calibri"/>
        </w:rPr>
        <w:t xml:space="preserve"> </w:t>
      </w:r>
      <w:r w:rsidR="00211C8A" w:rsidRPr="00885AB3">
        <w:fldChar w:fldCharType="begin" w:fldLock="1"/>
      </w:r>
      <w:r w:rsidR="00211C8A" w:rsidRPr="00885AB3">
        <w:instrText xml:space="preserve"> REF _Ref208304196 \h </w:instrText>
      </w:r>
      <w:r w:rsidR="000B4765" w:rsidRPr="00885AB3">
        <w:instrText xml:space="preserve"> \* MERGEFORMAT </w:instrText>
      </w:r>
      <w:r w:rsidR="00211C8A" w:rsidRPr="00885AB3">
        <w:fldChar w:fldCharType="separate"/>
      </w:r>
      <w:r w:rsidR="00515933" w:rsidRPr="00885AB3">
        <w:t>Table 11</w:t>
      </w:r>
      <w:r w:rsidR="00211C8A" w:rsidRPr="00885AB3">
        <w:fldChar w:fldCharType="end"/>
      </w:r>
      <w:r w:rsidR="00E07EE5" w:rsidRPr="00885AB3">
        <w:t xml:space="preserve"> and</w:t>
      </w:r>
      <w:r w:rsidR="006A1AFC" w:rsidRPr="00885AB3">
        <w:rPr>
          <w:rFonts w:cs="Calibri"/>
        </w:rPr>
        <w:t xml:space="preserve"> Figure 3 were </w:t>
      </w:r>
      <w:r w:rsidR="00E12D25" w:rsidRPr="00885AB3">
        <w:rPr>
          <w:rFonts w:cs="Calibri"/>
        </w:rPr>
        <w:t>corrected</w:t>
      </w:r>
      <w:r w:rsidR="006A1AFC" w:rsidRPr="00885AB3">
        <w:rPr>
          <w:rFonts w:cs="Calibri"/>
        </w:rPr>
        <w:t xml:space="preserve"> during the evaluation using the data consistent with the scenarios proposed in the submission. </w:t>
      </w:r>
    </w:p>
    <w:p w14:paraId="7F6F0080" w14:textId="77777777" w:rsidR="0078132A" w:rsidRPr="00885AB3" w:rsidRDefault="0078132A" w:rsidP="00120D61">
      <w:pPr>
        <w:pStyle w:val="TableHeading"/>
        <w:spacing w:before="0" w:after="0"/>
        <w:sectPr w:rsidR="0078132A" w:rsidRPr="00885AB3" w:rsidSect="00E71A95">
          <w:pgSz w:w="11907" w:h="16840" w:code="9"/>
          <w:pgMar w:top="1440" w:right="1440" w:bottom="1440" w:left="1440" w:header="1440" w:footer="1440" w:gutter="0"/>
          <w:cols w:space="708"/>
          <w:docGrid w:linePitch="360"/>
        </w:sectPr>
      </w:pPr>
      <w:bookmarkStart w:id="78" w:name="_Ref208215080"/>
    </w:p>
    <w:p w14:paraId="3169B5AA" w14:textId="77777777" w:rsidR="00BB71E5" w:rsidRPr="00885AB3" w:rsidRDefault="00BB71E5" w:rsidP="00120D61"/>
    <w:p w14:paraId="3346DD52" w14:textId="1EFCF813" w:rsidR="007B7E9D" w:rsidRPr="00885AB3" w:rsidRDefault="007B7E9D" w:rsidP="00120D61">
      <w:pPr>
        <w:pStyle w:val="TableHeading"/>
        <w:spacing w:before="0" w:after="0"/>
      </w:pPr>
      <w:bookmarkStart w:id="79" w:name="_Ref211800828"/>
      <w:r w:rsidRPr="00885AB3">
        <w:t xml:space="preserve">Table </w:t>
      </w:r>
      <w:r w:rsidR="008A242D" w:rsidRPr="00885AB3">
        <w:fldChar w:fldCharType="begin" w:fldLock="1"/>
      </w:r>
      <w:r w:rsidR="008A242D" w:rsidRPr="00885AB3">
        <w:instrText xml:space="preserve"> SEQ Table \* ARABIC </w:instrText>
      </w:r>
      <w:r w:rsidR="008A242D" w:rsidRPr="00885AB3">
        <w:fldChar w:fldCharType="separate"/>
      </w:r>
      <w:r w:rsidR="00515933" w:rsidRPr="00885AB3">
        <w:t>10</w:t>
      </w:r>
      <w:r w:rsidR="008A242D" w:rsidRPr="00885AB3">
        <w:fldChar w:fldCharType="end"/>
      </w:r>
      <w:bookmarkEnd w:id="78"/>
      <w:bookmarkEnd w:id="79"/>
      <w:r w:rsidR="006C3D19" w:rsidRPr="00885AB3">
        <w:t xml:space="preserve">: Trial observations used as part of the </w:t>
      </w:r>
      <w:r w:rsidR="00EF2FA4">
        <w:t xml:space="preserve">≥ </w:t>
      </w:r>
      <w:r w:rsidR="006C3D19" w:rsidRPr="00885AB3">
        <w:t>75 YOA ITC</w:t>
      </w:r>
    </w:p>
    <w:tbl>
      <w:tblPr>
        <w:tblStyle w:val="TableGrid"/>
        <w:tblW w:w="5000" w:type="pct"/>
        <w:tblLook w:val="04A0" w:firstRow="1" w:lastRow="0" w:firstColumn="1" w:lastColumn="0" w:noHBand="0" w:noVBand="1"/>
        <w:tblCaption w:val="Table 10: Trial observations used as part of the ≥75 YOA ITC"/>
      </w:tblPr>
      <w:tblGrid>
        <w:gridCol w:w="1580"/>
        <w:gridCol w:w="1303"/>
        <w:gridCol w:w="1230"/>
        <w:gridCol w:w="1641"/>
        <w:gridCol w:w="1353"/>
        <w:gridCol w:w="1353"/>
        <w:gridCol w:w="1593"/>
        <w:gridCol w:w="1230"/>
        <w:gridCol w:w="1230"/>
        <w:gridCol w:w="1437"/>
      </w:tblGrid>
      <w:tr w:rsidR="007B7E9D" w:rsidRPr="00885AB3" w14:paraId="66F351F3" w14:textId="77777777" w:rsidTr="00203FC7">
        <w:tc>
          <w:tcPr>
            <w:tcW w:w="566" w:type="pct"/>
            <w:vMerge w:val="restart"/>
            <w:tcMar>
              <w:left w:w="57" w:type="dxa"/>
              <w:right w:w="57" w:type="dxa"/>
            </w:tcMar>
          </w:tcPr>
          <w:p w14:paraId="39EA7952" w14:textId="77777777" w:rsidR="007B7E9D" w:rsidRPr="00885AB3" w:rsidRDefault="007B7E9D" w:rsidP="00120D61">
            <w:pPr>
              <w:pStyle w:val="TableText0"/>
              <w:keepNext/>
              <w:rPr>
                <w:snapToGrid w:val="0"/>
                <w:szCs w:val="20"/>
              </w:rPr>
            </w:pPr>
          </w:p>
        </w:tc>
        <w:tc>
          <w:tcPr>
            <w:tcW w:w="1496" w:type="pct"/>
            <w:gridSpan w:val="3"/>
            <w:tcMar>
              <w:left w:w="57" w:type="dxa"/>
              <w:right w:w="57" w:type="dxa"/>
            </w:tcMar>
            <w:vAlign w:val="center"/>
          </w:tcPr>
          <w:p w14:paraId="733D1FD2" w14:textId="77777777" w:rsidR="007B7E9D" w:rsidRPr="00885AB3" w:rsidRDefault="007B7E9D" w:rsidP="00120D61">
            <w:pPr>
              <w:pStyle w:val="TableText0"/>
              <w:keepNext/>
              <w:rPr>
                <w:b/>
                <w:snapToGrid w:val="0"/>
                <w:szCs w:val="20"/>
              </w:rPr>
            </w:pPr>
            <w:proofErr w:type="spellStart"/>
            <w:r w:rsidRPr="00885AB3">
              <w:rPr>
                <w:b/>
                <w:szCs w:val="20"/>
              </w:rPr>
              <w:t>ConquerRSV</w:t>
            </w:r>
            <w:proofErr w:type="spellEnd"/>
          </w:p>
        </w:tc>
        <w:tc>
          <w:tcPr>
            <w:tcW w:w="1541" w:type="pct"/>
            <w:gridSpan w:val="3"/>
            <w:tcMar>
              <w:left w:w="57" w:type="dxa"/>
              <w:right w:w="57" w:type="dxa"/>
            </w:tcMar>
            <w:vAlign w:val="center"/>
          </w:tcPr>
          <w:p w14:paraId="0AFA9DC0" w14:textId="77777777" w:rsidR="007B7E9D" w:rsidRPr="00885AB3" w:rsidRDefault="007B7E9D" w:rsidP="00120D61">
            <w:pPr>
              <w:pStyle w:val="TableText0"/>
              <w:keepNext/>
              <w:rPr>
                <w:b/>
                <w:snapToGrid w:val="0"/>
                <w:szCs w:val="20"/>
              </w:rPr>
            </w:pPr>
            <w:r w:rsidRPr="00885AB3">
              <w:rPr>
                <w:b/>
                <w:szCs w:val="20"/>
              </w:rPr>
              <w:t>RENOIR</w:t>
            </w:r>
          </w:p>
        </w:tc>
        <w:tc>
          <w:tcPr>
            <w:tcW w:w="1397" w:type="pct"/>
            <w:gridSpan w:val="3"/>
            <w:tcMar>
              <w:left w:w="57" w:type="dxa"/>
              <w:right w:w="57" w:type="dxa"/>
            </w:tcMar>
            <w:vAlign w:val="center"/>
          </w:tcPr>
          <w:p w14:paraId="4B8275F0" w14:textId="77777777" w:rsidR="007B7E9D" w:rsidRPr="00885AB3" w:rsidRDefault="007B7E9D" w:rsidP="00120D61">
            <w:pPr>
              <w:pStyle w:val="TableText0"/>
              <w:keepNext/>
              <w:rPr>
                <w:b/>
                <w:snapToGrid w:val="0"/>
                <w:szCs w:val="20"/>
              </w:rPr>
            </w:pPr>
            <w:r w:rsidRPr="00885AB3">
              <w:rPr>
                <w:b/>
                <w:szCs w:val="20"/>
              </w:rPr>
              <w:t>AreSVi-006</w:t>
            </w:r>
          </w:p>
        </w:tc>
      </w:tr>
      <w:tr w:rsidR="00203FC7" w:rsidRPr="00885AB3" w14:paraId="790274F3" w14:textId="77777777" w:rsidTr="00203FC7">
        <w:tc>
          <w:tcPr>
            <w:tcW w:w="566" w:type="pct"/>
            <w:vMerge/>
            <w:tcMar>
              <w:left w:w="57" w:type="dxa"/>
              <w:right w:w="57" w:type="dxa"/>
            </w:tcMar>
          </w:tcPr>
          <w:p w14:paraId="1F9BC859" w14:textId="77777777" w:rsidR="007B7E9D" w:rsidRPr="00885AB3" w:rsidRDefault="007B7E9D" w:rsidP="00120D61">
            <w:pPr>
              <w:pStyle w:val="TableText0"/>
              <w:keepNext/>
              <w:rPr>
                <w:snapToGrid w:val="0"/>
                <w:szCs w:val="20"/>
              </w:rPr>
            </w:pPr>
          </w:p>
        </w:tc>
        <w:tc>
          <w:tcPr>
            <w:tcW w:w="467" w:type="pct"/>
            <w:tcMar>
              <w:left w:w="57" w:type="dxa"/>
              <w:right w:w="57" w:type="dxa"/>
            </w:tcMar>
          </w:tcPr>
          <w:p w14:paraId="3661B57B" w14:textId="77777777" w:rsidR="007B7E9D" w:rsidRPr="00885AB3" w:rsidRDefault="007B7E9D" w:rsidP="00120D61">
            <w:pPr>
              <w:pStyle w:val="TableText0"/>
              <w:keepNext/>
              <w:rPr>
                <w:b/>
                <w:snapToGrid w:val="0"/>
                <w:szCs w:val="20"/>
              </w:rPr>
            </w:pPr>
            <w:r w:rsidRPr="00885AB3">
              <w:rPr>
                <w:b/>
                <w:szCs w:val="20"/>
              </w:rPr>
              <w:t>Placebo </w:t>
            </w:r>
            <w:r w:rsidRPr="00885AB3">
              <w:rPr>
                <w:b/>
                <w:szCs w:val="20"/>
              </w:rPr>
              <w:br/>
              <w:t>cases, n/N</w:t>
            </w:r>
          </w:p>
        </w:tc>
        <w:tc>
          <w:tcPr>
            <w:tcW w:w="441" w:type="pct"/>
            <w:tcMar>
              <w:left w:w="57" w:type="dxa"/>
              <w:right w:w="57" w:type="dxa"/>
            </w:tcMar>
            <w:vAlign w:val="center"/>
          </w:tcPr>
          <w:p w14:paraId="5D7BFD88" w14:textId="77777777" w:rsidR="007B7E9D" w:rsidRPr="00885AB3" w:rsidRDefault="007B7E9D" w:rsidP="00120D61">
            <w:pPr>
              <w:pStyle w:val="TableText0"/>
              <w:keepNext/>
              <w:rPr>
                <w:b/>
                <w:snapToGrid w:val="0"/>
                <w:szCs w:val="20"/>
              </w:rPr>
            </w:pPr>
            <w:r w:rsidRPr="00885AB3">
              <w:rPr>
                <w:b/>
                <w:szCs w:val="20"/>
              </w:rPr>
              <w:t>mRNA-1345 </w:t>
            </w:r>
            <w:r w:rsidRPr="00885AB3">
              <w:rPr>
                <w:b/>
                <w:szCs w:val="20"/>
              </w:rPr>
              <w:br/>
              <w:t>cases, n/N</w:t>
            </w:r>
          </w:p>
        </w:tc>
        <w:tc>
          <w:tcPr>
            <w:tcW w:w="588" w:type="pct"/>
            <w:tcMar>
              <w:left w:w="57" w:type="dxa"/>
              <w:right w:w="57" w:type="dxa"/>
            </w:tcMar>
            <w:vAlign w:val="center"/>
          </w:tcPr>
          <w:p w14:paraId="78BA400A" w14:textId="77777777" w:rsidR="007B7E9D" w:rsidRPr="00885AB3" w:rsidRDefault="007B7E9D" w:rsidP="00120D61">
            <w:pPr>
              <w:pStyle w:val="TableText0"/>
              <w:keepNext/>
              <w:rPr>
                <w:b/>
                <w:snapToGrid w:val="0"/>
                <w:szCs w:val="20"/>
              </w:rPr>
            </w:pPr>
            <w:r w:rsidRPr="00885AB3">
              <w:rPr>
                <w:b/>
                <w:szCs w:val="20"/>
              </w:rPr>
              <w:t>VE, % </w:t>
            </w:r>
            <w:r w:rsidRPr="00885AB3">
              <w:rPr>
                <w:b/>
                <w:szCs w:val="20"/>
              </w:rPr>
              <w:br/>
              <w:t>(95% CI)</w:t>
            </w:r>
          </w:p>
        </w:tc>
        <w:tc>
          <w:tcPr>
            <w:tcW w:w="485" w:type="pct"/>
            <w:tcMar>
              <w:left w:w="57" w:type="dxa"/>
              <w:right w:w="57" w:type="dxa"/>
            </w:tcMar>
            <w:vAlign w:val="center"/>
          </w:tcPr>
          <w:p w14:paraId="1C37C695" w14:textId="77777777" w:rsidR="007B7E9D" w:rsidRPr="00885AB3" w:rsidRDefault="007B7E9D" w:rsidP="00120D61">
            <w:pPr>
              <w:pStyle w:val="TableText0"/>
              <w:keepNext/>
              <w:rPr>
                <w:b/>
                <w:snapToGrid w:val="0"/>
                <w:szCs w:val="20"/>
              </w:rPr>
            </w:pPr>
            <w:r w:rsidRPr="00885AB3">
              <w:rPr>
                <w:b/>
                <w:szCs w:val="20"/>
              </w:rPr>
              <w:t>Placebo </w:t>
            </w:r>
            <w:r w:rsidRPr="00885AB3">
              <w:rPr>
                <w:b/>
                <w:szCs w:val="20"/>
              </w:rPr>
              <w:br/>
              <w:t>cases, n/N</w:t>
            </w:r>
          </w:p>
        </w:tc>
        <w:tc>
          <w:tcPr>
            <w:tcW w:w="485" w:type="pct"/>
            <w:tcMar>
              <w:left w:w="57" w:type="dxa"/>
              <w:right w:w="57" w:type="dxa"/>
            </w:tcMar>
            <w:vAlign w:val="center"/>
          </w:tcPr>
          <w:p w14:paraId="22C9FADA" w14:textId="77777777" w:rsidR="007B7E9D" w:rsidRPr="00885AB3" w:rsidRDefault="007B7E9D" w:rsidP="00120D61">
            <w:pPr>
              <w:pStyle w:val="TableText0"/>
              <w:keepNext/>
              <w:rPr>
                <w:b/>
                <w:snapToGrid w:val="0"/>
                <w:szCs w:val="20"/>
              </w:rPr>
            </w:pPr>
            <w:proofErr w:type="spellStart"/>
            <w:r w:rsidRPr="00885AB3">
              <w:rPr>
                <w:b/>
                <w:szCs w:val="20"/>
              </w:rPr>
              <w:t>RSVPreF</w:t>
            </w:r>
            <w:proofErr w:type="spellEnd"/>
            <w:r w:rsidRPr="00885AB3">
              <w:rPr>
                <w:b/>
                <w:szCs w:val="20"/>
              </w:rPr>
              <w:t xml:space="preserve"> </w:t>
            </w:r>
            <w:r w:rsidRPr="00885AB3">
              <w:rPr>
                <w:b/>
                <w:szCs w:val="20"/>
              </w:rPr>
              <w:br/>
              <w:t>cases, n/N</w:t>
            </w:r>
          </w:p>
        </w:tc>
        <w:tc>
          <w:tcPr>
            <w:tcW w:w="571" w:type="pct"/>
            <w:tcMar>
              <w:left w:w="57" w:type="dxa"/>
              <w:right w:w="57" w:type="dxa"/>
            </w:tcMar>
            <w:vAlign w:val="center"/>
          </w:tcPr>
          <w:p w14:paraId="39A943EE" w14:textId="77777777" w:rsidR="007B7E9D" w:rsidRPr="00885AB3" w:rsidRDefault="007B7E9D" w:rsidP="00120D61">
            <w:pPr>
              <w:pStyle w:val="TableText0"/>
              <w:keepNext/>
              <w:rPr>
                <w:b/>
                <w:snapToGrid w:val="0"/>
                <w:szCs w:val="20"/>
              </w:rPr>
            </w:pPr>
            <w:r w:rsidRPr="00885AB3">
              <w:rPr>
                <w:b/>
                <w:szCs w:val="20"/>
              </w:rPr>
              <w:t>VE, % </w:t>
            </w:r>
            <w:r w:rsidRPr="00885AB3">
              <w:rPr>
                <w:b/>
                <w:szCs w:val="20"/>
              </w:rPr>
              <w:br/>
              <w:t>(95% CI)</w:t>
            </w:r>
          </w:p>
        </w:tc>
        <w:tc>
          <w:tcPr>
            <w:tcW w:w="441" w:type="pct"/>
            <w:tcMar>
              <w:left w:w="57" w:type="dxa"/>
              <w:right w:w="57" w:type="dxa"/>
            </w:tcMar>
            <w:vAlign w:val="center"/>
          </w:tcPr>
          <w:p w14:paraId="2D9FC6EC" w14:textId="77777777" w:rsidR="007B7E9D" w:rsidRPr="00885AB3" w:rsidRDefault="007B7E9D" w:rsidP="00120D61">
            <w:pPr>
              <w:pStyle w:val="TableText0"/>
              <w:keepNext/>
              <w:rPr>
                <w:b/>
                <w:snapToGrid w:val="0"/>
                <w:szCs w:val="20"/>
              </w:rPr>
            </w:pPr>
            <w:r w:rsidRPr="00885AB3">
              <w:rPr>
                <w:b/>
                <w:szCs w:val="20"/>
              </w:rPr>
              <w:t>Placebo </w:t>
            </w:r>
            <w:r w:rsidRPr="00885AB3">
              <w:rPr>
                <w:b/>
                <w:szCs w:val="20"/>
              </w:rPr>
              <w:br/>
              <w:t>cases, n/N</w:t>
            </w:r>
          </w:p>
        </w:tc>
        <w:tc>
          <w:tcPr>
            <w:tcW w:w="441" w:type="pct"/>
            <w:tcMar>
              <w:left w:w="57" w:type="dxa"/>
              <w:right w:w="57" w:type="dxa"/>
            </w:tcMar>
            <w:vAlign w:val="center"/>
          </w:tcPr>
          <w:p w14:paraId="659F0DD2" w14:textId="77777777" w:rsidR="007B7E9D" w:rsidRPr="00885AB3" w:rsidRDefault="007B7E9D" w:rsidP="00120D61">
            <w:pPr>
              <w:pStyle w:val="TableText0"/>
              <w:keepNext/>
              <w:rPr>
                <w:b/>
                <w:snapToGrid w:val="0"/>
                <w:szCs w:val="20"/>
              </w:rPr>
            </w:pPr>
            <w:r w:rsidRPr="00885AB3">
              <w:rPr>
                <w:b/>
                <w:szCs w:val="20"/>
              </w:rPr>
              <w:t xml:space="preserve">RSVPreF3 OA </w:t>
            </w:r>
            <w:r w:rsidRPr="00885AB3">
              <w:rPr>
                <w:b/>
                <w:szCs w:val="20"/>
              </w:rPr>
              <w:br/>
              <w:t>cases, n/N</w:t>
            </w:r>
          </w:p>
        </w:tc>
        <w:tc>
          <w:tcPr>
            <w:tcW w:w="515" w:type="pct"/>
            <w:tcMar>
              <w:left w:w="57" w:type="dxa"/>
              <w:right w:w="57" w:type="dxa"/>
            </w:tcMar>
            <w:vAlign w:val="center"/>
          </w:tcPr>
          <w:p w14:paraId="21E21313" w14:textId="77777777" w:rsidR="007B7E9D" w:rsidRPr="00885AB3" w:rsidRDefault="007B7E9D" w:rsidP="00120D61">
            <w:pPr>
              <w:pStyle w:val="TableText0"/>
              <w:keepNext/>
              <w:rPr>
                <w:b/>
                <w:snapToGrid w:val="0"/>
                <w:szCs w:val="20"/>
              </w:rPr>
            </w:pPr>
            <w:r w:rsidRPr="00885AB3">
              <w:rPr>
                <w:b/>
                <w:szCs w:val="20"/>
              </w:rPr>
              <w:t>VE, % </w:t>
            </w:r>
            <w:r w:rsidRPr="00885AB3">
              <w:rPr>
                <w:b/>
                <w:szCs w:val="20"/>
              </w:rPr>
              <w:br/>
              <w:t>(95% CI)</w:t>
            </w:r>
          </w:p>
        </w:tc>
      </w:tr>
      <w:tr w:rsidR="007B7E9D" w:rsidRPr="00885AB3" w14:paraId="2E1570D0" w14:textId="77777777" w:rsidTr="00203FC7">
        <w:tc>
          <w:tcPr>
            <w:tcW w:w="5000" w:type="pct"/>
            <w:gridSpan w:val="10"/>
            <w:tcMar>
              <w:left w:w="57" w:type="dxa"/>
              <w:right w:w="57" w:type="dxa"/>
            </w:tcMar>
            <w:vAlign w:val="center"/>
          </w:tcPr>
          <w:p w14:paraId="6E4D7F31" w14:textId="77777777" w:rsidR="007B7E9D" w:rsidRPr="00885AB3" w:rsidRDefault="007B7E9D" w:rsidP="00120D61">
            <w:pPr>
              <w:pStyle w:val="TableText0"/>
              <w:keepNext/>
              <w:jc w:val="left"/>
              <w:rPr>
                <w:b/>
                <w:snapToGrid w:val="0"/>
                <w:szCs w:val="20"/>
              </w:rPr>
            </w:pPr>
            <w:r w:rsidRPr="00885AB3">
              <w:rPr>
                <w:b/>
                <w:snapToGrid w:val="0"/>
                <w:szCs w:val="20"/>
              </w:rPr>
              <w:t xml:space="preserve">Outcome: </w:t>
            </w:r>
            <w:r w:rsidRPr="00885AB3">
              <w:rPr>
                <w:b/>
                <w:bCs/>
                <w:snapToGrid w:val="0"/>
                <w:szCs w:val="20"/>
              </w:rPr>
              <w:t>RSV-</w:t>
            </w:r>
            <w:r w:rsidRPr="00885AB3">
              <w:rPr>
                <w:b/>
                <w:snapToGrid w:val="0"/>
                <w:szCs w:val="20"/>
              </w:rPr>
              <w:t>ARD</w:t>
            </w:r>
          </w:p>
        </w:tc>
      </w:tr>
      <w:tr w:rsidR="00203FC7" w:rsidRPr="00885AB3" w14:paraId="13527C97" w14:textId="77777777" w:rsidTr="00203FC7">
        <w:tc>
          <w:tcPr>
            <w:tcW w:w="566" w:type="pct"/>
            <w:tcMar>
              <w:left w:w="57" w:type="dxa"/>
              <w:right w:w="57" w:type="dxa"/>
            </w:tcMar>
            <w:vAlign w:val="center"/>
          </w:tcPr>
          <w:p w14:paraId="0795B8B4" w14:textId="77777777" w:rsidR="007B7E9D" w:rsidRPr="00885AB3" w:rsidRDefault="007B7E9D" w:rsidP="00120D61">
            <w:pPr>
              <w:pStyle w:val="TableText0"/>
              <w:keepNext/>
              <w:jc w:val="left"/>
              <w:rPr>
                <w:snapToGrid w:val="0"/>
                <w:szCs w:val="20"/>
              </w:rPr>
            </w:pPr>
            <w:r w:rsidRPr="00885AB3">
              <w:rPr>
                <w:snapToGrid w:val="0"/>
                <w:szCs w:val="20"/>
              </w:rPr>
              <w:t>Primary analysis</w:t>
            </w:r>
          </w:p>
        </w:tc>
        <w:tc>
          <w:tcPr>
            <w:tcW w:w="467" w:type="pct"/>
            <w:tcMar>
              <w:left w:w="57" w:type="dxa"/>
              <w:right w:w="57" w:type="dxa"/>
            </w:tcMar>
            <w:vAlign w:val="center"/>
          </w:tcPr>
          <w:p w14:paraId="15DB7C67" w14:textId="30D6738D" w:rsidR="007B7E9D" w:rsidRPr="00885AB3" w:rsidRDefault="007B7E9D" w:rsidP="00120D61">
            <w:pPr>
              <w:pStyle w:val="TableText0"/>
              <w:keepNext/>
              <w:rPr>
                <w:snapToGrid w:val="0"/>
                <w:szCs w:val="20"/>
              </w:rPr>
            </w:pPr>
            <w:r w:rsidRPr="00885AB3">
              <w:rPr>
                <w:snapToGrid w:val="0"/>
                <w:szCs w:val="20"/>
              </w:rPr>
              <w:t>11/2,815</w:t>
            </w:r>
          </w:p>
        </w:tc>
        <w:tc>
          <w:tcPr>
            <w:tcW w:w="441" w:type="pct"/>
            <w:tcMar>
              <w:left w:w="57" w:type="dxa"/>
              <w:right w:w="57" w:type="dxa"/>
            </w:tcMar>
            <w:vAlign w:val="center"/>
          </w:tcPr>
          <w:p w14:paraId="204038F0" w14:textId="7AC567E9" w:rsidR="007B7E9D" w:rsidRPr="00885AB3" w:rsidRDefault="007B7E9D" w:rsidP="00120D61">
            <w:pPr>
              <w:pStyle w:val="TableText0"/>
              <w:keepNext/>
              <w:rPr>
                <w:snapToGrid w:val="0"/>
                <w:szCs w:val="20"/>
              </w:rPr>
            </w:pPr>
            <w:r w:rsidRPr="00885AB3">
              <w:rPr>
                <w:snapToGrid w:val="0"/>
                <w:szCs w:val="20"/>
              </w:rPr>
              <w:t>1/2,809</w:t>
            </w:r>
          </w:p>
        </w:tc>
        <w:tc>
          <w:tcPr>
            <w:tcW w:w="588" w:type="pct"/>
            <w:tcMar>
              <w:left w:w="57" w:type="dxa"/>
              <w:right w:w="57" w:type="dxa"/>
            </w:tcMar>
            <w:vAlign w:val="center"/>
          </w:tcPr>
          <w:p w14:paraId="5AD50788" w14:textId="77777777" w:rsidR="007B7E9D" w:rsidRPr="00885AB3" w:rsidRDefault="007B7E9D" w:rsidP="00120D61">
            <w:pPr>
              <w:pStyle w:val="TableText0"/>
              <w:keepNext/>
              <w:rPr>
                <w:snapToGrid w:val="0"/>
                <w:szCs w:val="20"/>
              </w:rPr>
            </w:pPr>
            <w:r w:rsidRPr="00885AB3">
              <w:rPr>
                <w:snapToGrid w:val="0"/>
                <w:szCs w:val="20"/>
              </w:rPr>
              <w:t xml:space="preserve">90.9 </w:t>
            </w:r>
          </w:p>
          <w:p w14:paraId="398EDD06" w14:textId="77777777" w:rsidR="007B7E9D" w:rsidRPr="00885AB3" w:rsidRDefault="007B7E9D" w:rsidP="00120D61">
            <w:pPr>
              <w:pStyle w:val="TableText0"/>
              <w:keepNext/>
              <w:rPr>
                <w:snapToGrid w:val="0"/>
                <w:szCs w:val="20"/>
              </w:rPr>
            </w:pPr>
            <w:r w:rsidRPr="00885AB3">
              <w:rPr>
                <w:snapToGrid w:val="0"/>
                <w:szCs w:val="20"/>
              </w:rPr>
              <w:t>(29.3, 98.8)</w:t>
            </w:r>
          </w:p>
        </w:tc>
        <w:tc>
          <w:tcPr>
            <w:tcW w:w="485" w:type="pct"/>
            <w:tcMar>
              <w:left w:w="57" w:type="dxa"/>
              <w:right w:w="57" w:type="dxa"/>
            </w:tcMar>
            <w:vAlign w:val="center"/>
          </w:tcPr>
          <w:p w14:paraId="38C2093F" w14:textId="6B15B81A" w:rsidR="007B7E9D" w:rsidRPr="00885AB3" w:rsidRDefault="007B7E9D" w:rsidP="00120D61">
            <w:pPr>
              <w:pStyle w:val="TableText0"/>
              <w:keepNext/>
              <w:rPr>
                <w:snapToGrid w:val="0"/>
                <w:szCs w:val="20"/>
              </w:rPr>
            </w:pPr>
            <w:r w:rsidRPr="00885AB3">
              <w:rPr>
                <w:snapToGrid w:val="0"/>
                <w:szCs w:val="20"/>
              </w:rPr>
              <w:t>8/2,904</w:t>
            </w:r>
          </w:p>
        </w:tc>
        <w:tc>
          <w:tcPr>
            <w:tcW w:w="485" w:type="pct"/>
            <w:tcMar>
              <w:left w:w="57" w:type="dxa"/>
              <w:right w:w="57" w:type="dxa"/>
            </w:tcMar>
            <w:vAlign w:val="center"/>
          </w:tcPr>
          <w:p w14:paraId="06E9761B" w14:textId="562F666E" w:rsidR="007B7E9D" w:rsidRPr="00885AB3" w:rsidRDefault="007B7E9D" w:rsidP="00120D61">
            <w:pPr>
              <w:pStyle w:val="TableText0"/>
              <w:keepNext/>
              <w:rPr>
                <w:snapToGrid w:val="0"/>
                <w:szCs w:val="20"/>
              </w:rPr>
            </w:pPr>
            <w:r w:rsidRPr="00885AB3">
              <w:rPr>
                <w:snapToGrid w:val="0"/>
                <w:szCs w:val="20"/>
              </w:rPr>
              <w:t>1/2,892</w:t>
            </w:r>
          </w:p>
        </w:tc>
        <w:tc>
          <w:tcPr>
            <w:tcW w:w="571" w:type="pct"/>
            <w:tcMar>
              <w:left w:w="57" w:type="dxa"/>
              <w:right w:w="57" w:type="dxa"/>
            </w:tcMar>
            <w:vAlign w:val="center"/>
          </w:tcPr>
          <w:p w14:paraId="45649079" w14:textId="77777777" w:rsidR="007B7E9D" w:rsidRPr="00885AB3" w:rsidRDefault="007B7E9D" w:rsidP="00120D61">
            <w:pPr>
              <w:pStyle w:val="TableText0"/>
              <w:keepNext/>
              <w:rPr>
                <w:snapToGrid w:val="0"/>
                <w:szCs w:val="20"/>
              </w:rPr>
            </w:pPr>
            <w:r w:rsidRPr="00885AB3">
              <w:rPr>
                <w:snapToGrid w:val="0"/>
                <w:szCs w:val="20"/>
              </w:rPr>
              <w:t xml:space="preserve">87.5 </w:t>
            </w:r>
          </w:p>
          <w:p w14:paraId="3E07414E" w14:textId="77777777" w:rsidR="007B7E9D" w:rsidRPr="00885AB3" w:rsidRDefault="007B7E9D" w:rsidP="00120D61">
            <w:pPr>
              <w:pStyle w:val="TableText0"/>
              <w:keepNext/>
              <w:rPr>
                <w:snapToGrid w:val="0"/>
                <w:szCs w:val="20"/>
              </w:rPr>
            </w:pPr>
            <w:r w:rsidRPr="00885AB3">
              <w:rPr>
                <w:snapToGrid w:val="0"/>
                <w:szCs w:val="20"/>
              </w:rPr>
              <w:t>(6.8, 99.7)</w:t>
            </w:r>
          </w:p>
        </w:tc>
        <w:tc>
          <w:tcPr>
            <w:tcW w:w="441" w:type="pct"/>
            <w:tcMar>
              <w:left w:w="57" w:type="dxa"/>
              <w:right w:w="57" w:type="dxa"/>
            </w:tcMar>
            <w:vAlign w:val="center"/>
          </w:tcPr>
          <w:p w14:paraId="376134E3" w14:textId="77777777" w:rsidR="007B7E9D" w:rsidRPr="00885AB3" w:rsidRDefault="007B7E9D" w:rsidP="00120D61">
            <w:pPr>
              <w:pStyle w:val="TableText0"/>
              <w:keepNext/>
              <w:rPr>
                <w:snapToGrid w:val="0"/>
                <w:szCs w:val="20"/>
              </w:rPr>
            </w:pPr>
            <w:r w:rsidRPr="00885AB3">
              <w:rPr>
                <w:snapToGrid w:val="0"/>
                <w:szCs w:val="20"/>
              </w:rPr>
              <w:t>NR</w:t>
            </w:r>
          </w:p>
        </w:tc>
        <w:tc>
          <w:tcPr>
            <w:tcW w:w="441" w:type="pct"/>
            <w:tcMar>
              <w:left w:w="57" w:type="dxa"/>
              <w:right w:w="57" w:type="dxa"/>
            </w:tcMar>
            <w:vAlign w:val="center"/>
          </w:tcPr>
          <w:p w14:paraId="2736C35B" w14:textId="77777777" w:rsidR="007B7E9D" w:rsidRPr="00885AB3" w:rsidRDefault="007B7E9D" w:rsidP="00120D61">
            <w:pPr>
              <w:pStyle w:val="TableText0"/>
              <w:keepNext/>
              <w:rPr>
                <w:snapToGrid w:val="0"/>
                <w:szCs w:val="20"/>
              </w:rPr>
            </w:pPr>
            <w:r w:rsidRPr="00885AB3">
              <w:rPr>
                <w:snapToGrid w:val="0"/>
                <w:szCs w:val="20"/>
              </w:rPr>
              <w:t>NR</w:t>
            </w:r>
          </w:p>
        </w:tc>
        <w:tc>
          <w:tcPr>
            <w:tcW w:w="515" w:type="pct"/>
            <w:tcMar>
              <w:left w:w="57" w:type="dxa"/>
              <w:right w:w="57" w:type="dxa"/>
            </w:tcMar>
            <w:vAlign w:val="center"/>
          </w:tcPr>
          <w:p w14:paraId="7AF13A32" w14:textId="77777777" w:rsidR="007B7E9D" w:rsidRPr="00885AB3" w:rsidRDefault="007B7E9D" w:rsidP="00120D61">
            <w:pPr>
              <w:pStyle w:val="TableText0"/>
              <w:keepNext/>
              <w:rPr>
                <w:snapToGrid w:val="0"/>
                <w:szCs w:val="20"/>
              </w:rPr>
            </w:pPr>
            <w:r w:rsidRPr="00885AB3">
              <w:rPr>
                <w:snapToGrid w:val="0"/>
                <w:szCs w:val="20"/>
              </w:rPr>
              <w:t>NR</w:t>
            </w:r>
          </w:p>
        </w:tc>
      </w:tr>
      <w:tr w:rsidR="00203FC7" w:rsidRPr="00885AB3" w14:paraId="3EF069A8" w14:textId="77777777" w:rsidTr="00203FC7">
        <w:tc>
          <w:tcPr>
            <w:tcW w:w="566" w:type="pct"/>
            <w:tcMar>
              <w:left w:w="57" w:type="dxa"/>
              <w:right w:w="57" w:type="dxa"/>
            </w:tcMar>
            <w:vAlign w:val="center"/>
          </w:tcPr>
          <w:p w14:paraId="5E825A09" w14:textId="77777777" w:rsidR="007B7E9D" w:rsidRPr="00885AB3" w:rsidRDefault="007B7E9D" w:rsidP="00120D61">
            <w:pPr>
              <w:pStyle w:val="TableText0"/>
              <w:keepNext/>
              <w:jc w:val="left"/>
              <w:rPr>
                <w:snapToGrid w:val="0"/>
                <w:szCs w:val="20"/>
              </w:rPr>
            </w:pPr>
            <w:r w:rsidRPr="00885AB3">
              <w:rPr>
                <w:snapToGrid w:val="0"/>
                <w:szCs w:val="20"/>
              </w:rPr>
              <w:t>Additional Analysis</w:t>
            </w:r>
          </w:p>
        </w:tc>
        <w:tc>
          <w:tcPr>
            <w:tcW w:w="467" w:type="pct"/>
            <w:tcMar>
              <w:left w:w="57" w:type="dxa"/>
              <w:right w:w="57" w:type="dxa"/>
            </w:tcMar>
            <w:vAlign w:val="center"/>
          </w:tcPr>
          <w:p w14:paraId="49C4F96A" w14:textId="65C98112" w:rsidR="007B7E9D" w:rsidRPr="00885AB3" w:rsidRDefault="007B7E9D" w:rsidP="00120D61">
            <w:pPr>
              <w:pStyle w:val="TableText0"/>
              <w:keepNext/>
              <w:rPr>
                <w:snapToGrid w:val="0"/>
                <w:szCs w:val="20"/>
              </w:rPr>
            </w:pPr>
            <w:r w:rsidRPr="00885AB3">
              <w:rPr>
                <w:snapToGrid w:val="0"/>
                <w:szCs w:val="20"/>
              </w:rPr>
              <w:t>28/3,280</w:t>
            </w:r>
          </w:p>
        </w:tc>
        <w:tc>
          <w:tcPr>
            <w:tcW w:w="441" w:type="pct"/>
            <w:tcMar>
              <w:left w:w="57" w:type="dxa"/>
              <w:right w:w="57" w:type="dxa"/>
            </w:tcMar>
            <w:vAlign w:val="center"/>
          </w:tcPr>
          <w:p w14:paraId="24A131CC" w14:textId="1393B4FF" w:rsidR="007B7E9D" w:rsidRPr="00885AB3" w:rsidRDefault="007B7E9D" w:rsidP="00120D61">
            <w:pPr>
              <w:pStyle w:val="TableText0"/>
              <w:keepNext/>
              <w:rPr>
                <w:snapToGrid w:val="0"/>
                <w:szCs w:val="20"/>
              </w:rPr>
            </w:pPr>
            <w:r w:rsidRPr="00885AB3">
              <w:rPr>
                <w:snapToGrid w:val="0"/>
                <w:szCs w:val="20"/>
              </w:rPr>
              <w:t>15/3,282</w:t>
            </w:r>
          </w:p>
        </w:tc>
        <w:tc>
          <w:tcPr>
            <w:tcW w:w="588" w:type="pct"/>
            <w:tcMar>
              <w:left w:w="57" w:type="dxa"/>
              <w:right w:w="57" w:type="dxa"/>
            </w:tcMar>
            <w:vAlign w:val="center"/>
          </w:tcPr>
          <w:p w14:paraId="5700343A" w14:textId="77777777" w:rsidR="007B7E9D" w:rsidRPr="00885AB3" w:rsidRDefault="007B7E9D" w:rsidP="00120D61">
            <w:pPr>
              <w:pStyle w:val="TableText0"/>
              <w:keepNext/>
              <w:rPr>
                <w:snapToGrid w:val="0"/>
                <w:szCs w:val="20"/>
              </w:rPr>
            </w:pPr>
            <w:r w:rsidRPr="00885AB3">
              <w:rPr>
                <w:snapToGrid w:val="0"/>
                <w:szCs w:val="20"/>
              </w:rPr>
              <w:t xml:space="preserve">46.7 </w:t>
            </w:r>
          </w:p>
          <w:p w14:paraId="3DE07C19" w14:textId="77777777" w:rsidR="007B7E9D" w:rsidRPr="00885AB3" w:rsidRDefault="007B7E9D" w:rsidP="00120D61">
            <w:pPr>
              <w:pStyle w:val="TableText0"/>
              <w:keepNext/>
              <w:rPr>
                <w:snapToGrid w:val="0"/>
                <w:szCs w:val="20"/>
              </w:rPr>
            </w:pPr>
            <w:r w:rsidRPr="00885AB3">
              <w:rPr>
                <w:snapToGrid w:val="0"/>
                <w:szCs w:val="20"/>
              </w:rPr>
              <w:t>(0.1, 71.5)</w:t>
            </w:r>
          </w:p>
        </w:tc>
        <w:tc>
          <w:tcPr>
            <w:tcW w:w="485" w:type="pct"/>
            <w:tcMar>
              <w:left w:w="57" w:type="dxa"/>
              <w:right w:w="57" w:type="dxa"/>
            </w:tcMar>
            <w:vAlign w:val="center"/>
          </w:tcPr>
          <w:p w14:paraId="68059B8E" w14:textId="2EA7BE3F" w:rsidR="007B7E9D" w:rsidRPr="00885AB3" w:rsidRDefault="007B7E9D" w:rsidP="00120D61">
            <w:pPr>
              <w:pStyle w:val="TableText0"/>
              <w:keepNext/>
              <w:rPr>
                <w:iCs/>
                <w:snapToGrid w:val="0"/>
                <w:szCs w:val="20"/>
              </w:rPr>
            </w:pPr>
            <w:r w:rsidRPr="00885AB3">
              <w:rPr>
                <w:iCs/>
                <w:snapToGrid w:val="0"/>
                <w:szCs w:val="20"/>
              </w:rPr>
              <w:t>12/2,477</w:t>
            </w:r>
            <w:r w:rsidR="005E6ED5" w:rsidRPr="00885AB3">
              <w:rPr>
                <w:iCs/>
                <w:snapToGrid w:val="0"/>
                <w:szCs w:val="20"/>
              </w:rPr>
              <w:t xml:space="preserve"> </w:t>
            </w:r>
            <w:r w:rsidRPr="00885AB3">
              <w:rPr>
                <w:iCs/>
                <w:snapToGrid w:val="0"/>
                <w:szCs w:val="20"/>
                <w:vertAlign w:val="superscript"/>
              </w:rPr>
              <w:t>a</w:t>
            </w:r>
          </w:p>
        </w:tc>
        <w:tc>
          <w:tcPr>
            <w:tcW w:w="485" w:type="pct"/>
            <w:tcMar>
              <w:left w:w="57" w:type="dxa"/>
              <w:right w:w="57" w:type="dxa"/>
            </w:tcMar>
            <w:vAlign w:val="center"/>
          </w:tcPr>
          <w:p w14:paraId="3A2D7393" w14:textId="77777777" w:rsidR="007B7E9D" w:rsidRPr="00885AB3" w:rsidRDefault="007B7E9D" w:rsidP="00120D61">
            <w:pPr>
              <w:pStyle w:val="TableText0"/>
              <w:keepNext/>
              <w:rPr>
                <w:iCs/>
                <w:snapToGrid w:val="0"/>
                <w:szCs w:val="20"/>
              </w:rPr>
            </w:pPr>
            <w:r w:rsidRPr="00885AB3">
              <w:rPr>
                <w:iCs/>
                <w:snapToGrid w:val="0"/>
                <w:szCs w:val="20"/>
              </w:rPr>
              <w:t>6/2,486</w:t>
            </w:r>
            <w:r w:rsidRPr="00885AB3">
              <w:rPr>
                <w:iCs/>
                <w:snapToGrid w:val="0"/>
                <w:szCs w:val="20"/>
                <w:vertAlign w:val="superscript"/>
              </w:rPr>
              <w:t xml:space="preserve"> a</w:t>
            </w:r>
          </w:p>
        </w:tc>
        <w:tc>
          <w:tcPr>
            <w:tcW w:w="571" w:type="pct"/>
            <w:tcMar>
              <w:left w:w="57" w:type="dxa"/>
              <w:right w:w="57" w:type="dxa"/>
            </w:tcMar>
            <w:vAlign w:val="center"/>
          </w:tcPr>
          <w:p w14:paraId="7CB791D6" w14:textId="77777777" w:rsidR="007B7E9D" w:rsidRPr="00885AB3" w:rsidRDefault="007B7E9D" w:rsidP="00120D61">
            <w:pPr>
              <w:pStyle w:val="TableText0"/>
              <w:keepNext/>
              <w:rPr>
                <w:iCs/>
                <w:snapToGrid w:val="0"/>
                <w:szCs w:val="20"/>
              </w:rPr>
            </w:pPr>
            <w:r w:rsidRPr="00885AB3">
              <w:rPr>
                <w:iCs/>
                <w:snapToGrid w:val="0"/>
                <w:szCs w:val="20"/>
              </w:rPr>
              <w:t xml:space="preserve">50.0 </w:t>
            </w:r>
          </w:p>
          <w:p w14:paraId="2962AADE" w14:textId="77777777" w:rsidR="007B7E9D" w:rsidRPr="00885AB3" w:rsidRDefault="007B7E9D" w:rsidP="00120D61">
            <w:pPr>
              <w:pStyle w:val="TableText0"/>
              <w:keepNext/>
              <w:rPr>
                <w:iCs/>
                <w:snapToGrid w:val="0"/>
                <w:szCs w:val="20"/>
              </w:rPr>
            </w:pPr>
            <w:r w:rsidRPr="00885AB3">
              <w:rPr>
                <w:iCs/>
                <w:snapToGrid w:val="0"/>
                <w:szCs w:val="20"/>
              </w:rPr>
              <w:t>(-43.9,84.6)</w:t>
            </w:r>
            <w:r w:rsidRPr="00885AB3">
              <w:rPr>
                <w:iCs/>
                <w:snapToGrid w:val="0"/>
                <w:szCs w:val="20"/>
                <w:vertAlign w:val="superscript"/>
              </w:rPr>
              <w:t xml:space="preserve"> a</w:t>
            </w:r>
          </w:p>
        </w:tc>
        <w:tc>
          <w:tcPr>
            <w:tcW w:w="441" w:type="pct"/>
            <w:tcMar>
              <w:left w:w="57" w:type="dxa"/>
              <w:right w:w="57" w:type="dxa"/>
            </w:tcMar>
            <w:vAlign w:val="center"/>
          </w:tcPr>
          <w:p w14:paraId="4941BE52" w14:textId="77777777" w:rsidR="007B7E9D" w:rsidRPr="00885AB3" w:rsidRDefault="007B7E9D" w:rsidP="00120D61">
            <w:pPr>
              <w:pStyle w:val="TableText0"/>
              <w:keepNext/>
              <w:rPr>
                <w:snapToGrid w:val="0"/>
                <w:szCs w:val="20"/>
              </w:rPr>
            </w:pPr>
            <w:r w:rsidRPr="00885AB3">
              <w:rPr>
                <w:snapToGrid w:val="0"/>
                <w:szCs w:val="20"/>
              </w:rPr>
              <w:t>NR</w:t>
            </w:r>
          </w:p>
        </w:tc>
        <w:tc>
          <w:tcPr>
            <w:tcW w:w="441" w:type="pct"/>
            <w:tcMar>
              <w:left w:w="57" w:type="dxa"/>
              <w:right w:w="57" w:type="dxa"/>
            </w:tcMar>
            <w:vAlign w:val="center"/>
          </w:tcPr>
          <w:p w14:paraId="7A2F280D" w14:textId="77777777" w:rsidR="007B7E9D" w:rsidRPr="00885AB3" w:rsidRDefault="007B7E9D" w:rsidP="00120D61">
            <w:pPr>
              <w:pStyle w:val="TableText0"/>
              <w:keepNext/>
              <w:rPr>
                <w:snapToGrid w:val="0"/>
                <w:szCs w:val="20"/>
              </w:rPr>
            </w:pPr>
            <w:r w:rsidRPr="00885AB3">
              <w:rPr>
                <w:snapToGrid w:val="0"/>
                <w:szCs w:val="20"/>
              </w:rPr>
              <w:t>NR</w:t>
            </w:r>
          </w:p>
        </w:tc>
        <w:tc>
          <w:tcPr>
            <w:tcW w:w="515" w:type="pct"/>
            <w:tcMar>
              <w:left w:w="57" w:type="dxa"/>
              <w:right w:w="57" w:type="dxa"/>
            </w:tcMar>
            <w:vAlign w:val="center"/>
          </w:tcPr>
          <w:p w14:paraId="7E2079DF" w14:textId="77777777" w:rsidR="007B7E9D" w:rsidRPr="00885AB3" w:rsidRDefault="007B7E9D" w:rsidP="00120D61">
            <w:pPr>
              <w:pStyle w:val="TableText0"/>
              <w:keepNext/>
              <w:rPr>
                <w:snapToGrid w:val="0"/>
                <w:szCs w:val="20"/>
              </w:rPr>
            </w:pPr>
            <w:r w:rsidRPr="00885AB3">
              <w:rPr>
                <w:snapToGrid w:val="0"/>
                <w:szCs w:val="20"/>
              </w:rPr>
              <w:t>NR</w:t>
            </w:r>
          </w:p>
        </w:tc>
      </w:tr>
      <w:tr w:rsidR="00203FC7" w:rsidRPr="00885AB3" w14:paraId="442ACC18" w14:textId="77777777" w:rsidTr="00203FC7">
        <w:tc>
          <w:tcPr>
            <w:tcW w:w="566" w:type="pct"/>
            <w:tcMar>
              <w:left w:w="57" w:type="dxa"/>
              <w:right w:w="57" w:type="dxa"/>
            </w:tcMar>
            <w:vAlign w:val="center"/>
          </w:tcPr>
          <w:p w14:paraId="28121F6F" w14:textId="77777777" w:rsidR="007B7E9D" w:rsidRPr="00885AB3" w:rsidRDefault="007B7E9D" w:rsidP="00120D61">
            <w:pPr>
              <w:pStyle w:val="TableText0"/>
              <w:keepNext/>
              <w:jc w:val="left"/>
              <w:rPr>
                <w:snapToGrid w:val="0"/>
                <w:szCs w:val="20"/>
              </w:rPr>
            </w:pPr>
            <w:r w:rsidRPr="00885AB3">
              <w:rPr>
                <w:snapToGrid w:val="0"/>
                <w:szCs w:val="20"/>
              </w:rPr>
              <w:t>Extended Analysis / Season 1&amp;2</w:t>
            </w:r>
          </w:p>
        </w:tc>
        <w:tc>
          <w:tcPr>
            <w:tcW w:w="467" w:type="pct"/>
            <w:tcMar>
              <w:left w:w="57" w:type="dxa"/>
              <w:right w:w="57" w:type="dxa"/>
            </w:tcMar>
            <w:vAlign w:val="center"/>
          </w:tcPr>
          <w:p w14:paraId="5A4CB126" w14:textId="6F852DB9" w:rsidR="007B7E9D" w:rsidRPr="00885AB3" w:rsidRDefault="007B7E9D" w:rsidP="00120D61">
            <w:pPr>
              <w:pStyle w:val="TableText0"/>
              <w:keepNext/>
              <w:rPr>
                <w:snapToGrid w:val="0"/>
                <w:szCs w:val="20"/>
              </w:rPr>
            </w:pPr>
            <w:r w:rsidRPr="00885AB3">
              <w:rPr>
                <w:snapToGrid w:val="0"/>
                <w:szCs w:val="20"/>
              </w:rPr>
              <w:t>81/3,283</w:t>
            </w:r>
          </w:p>
        </w:tc>
        <w:tc>
          <w:tcPr>
            <w:tcW w:w="441" w:type="pct"/>
            <w:tcMar>
              <w:left w:w="57" w:type="dxa"/>
              <w:right w:w="57" w:type="dxa"/>
            </w:tcMar>
            <w:vAlign w:val="center"/>
          </w:tcPr>
          <w:p w14:paraId="4B34F81D" w14:textId="424835CA" w:rsidR="007B7E9D" w:rsidRPr="00885AB3" w:rsidRDefault="007B7E9D" w:rsidP="00120D61">
            <w:pPr>
              <w:pStyle w:val="TableText0"/>
              <w:keepNext/>
              <w:rPr>
                <w:snapToGrid w:val="0"/>
                <w:szCs w:val="20"/>
              </w:rPr>
            </w:pPr>
            <w:r w:rsidRPr="00885AB3">
              <w:rPr>
                <w:snapToGrid w:val="0"/>
                <w:szCs w:val="20"/>
              </w:rPr>
              <w:t>49/3,282</w:t>
            </w:r>
          </w:p>
        </w:tc>
        <w:tc>
          <w:tcPr>
            <w:tcW w:w="588" w:type="pct"/>
            <w:tcMar>
              <w:left w:w="57" w:type="dxa"/>
              <w:right w:w="57" w:type="dxa"/>
            </w:tcMar>
            <w:vAlign w:val="center"/>
          </w:tcPr>
          <w:p w14:paraId="4A1F4D4C" w14:textId="77777777" w:rsidR="007B7E9D" w:rsidRPr="00885AB3" w:rsidRDefault="007B7E9D" w:rsidP="00120D61">
            <w:pPr>
              <w:pStyle w:val="TableText0"/>
              <w:keepNext/>
              <w:rPr>
                <w:snapToGrid w:val="0"/>
                <w:szCs w:val="20"/>
              </w:rPr>
            </w:pPr>
            <w:r w:rsidRPr="00885AB3">
              <w:rPr>
                <w:snapToGrid w:val="0"/>
                <w:szCs w:val="20"/>
              </w:rPr>
              <w:t xml:space="preserve">40.1 </w:t>
            </w:r>
          </w:p>
          <w:p w14:paraId="2DE53181" w14:textId="77777777" w:rsidR="007B7E9D" w:rsidRPr="00885AB3" w:rsidRDefault="007B7E9D" w:rsidP="00120D61">
            <w:pPr>
              <w:pStyle w:val="TableText0"/>
              <w:keepNext/>
              <w:rPr>
                <w:snapToGrid w:val="0"/>
                <w:szCs w:val="20"/>
              </w:rPr>
            </w:pPr>
            <w:r w:rsidRPr="00885AB3">
              <w:rPr>
                <w:snapToGrid w:val="0"/>
                <w:szCs w:val="20"/>
              </w:rPr>
              <w:t>(15.5, 58.0)</w:t>
            </w:r>
          </w:p>
        </w:tc>
        <w:tc>
          <w:tcPr>
            <w:tcW w:w="485" w:type="pct"/>
            <w:tcMar>
              <w:left w:w="57" w:type="dxa"/>
              <w:right w:w="57" w:type="dxa"/>
            </w:tcMar>
            <w:vAlign w:val="center"/>
          </w:tcPr>
          <w:p w14:paraId="4CA8F3FC" w14:textId="42B3D8D5" w:rsidR="007B7E9D" w:rsidRPr="00885AB3" w:rsidRDefault="007B7E9D" w:rsidP="00120D61">
            <w:pPr>
              <w:pStyle w:val="TableText0"/>
              <w:keepNext/>
              <w:rPr>
                <w:snapToGrid w:val="0"/>
                <w:szCs w:val="20"/>
              </w:rPr>
            </w:pPr>
            <w:r w:rsidRPr="00885AB3">
              <w:rPr>
                <w:snapToGrid w:val="0"/>
                <w:szCs w:val="20"/>
              </w:rPr>
              <w:t>20/2,904</w:t>
            </w:r>
          </w:p>
        </w:tc>
        <w:tc>
          <w:tcPr>
            <w:tcW w:w="485" w:type="pct"/>
            <w:tcMar>
              <w:left w:w="57" w:type="dxa"/>
              <w:right w:w="57" w:type="dxa"/>
            </w:tcMar>
            <w:vAlign w:val="center"/>
          </w:tcPr>
          <w:p w14:paraId="08A4E763" w14:textId="168B77E4" w:rsidR="007B7E9D" w:rsidRPr="00885AB3" w:rsidRDefault="007B7E9D" w:rsidP="00120D61">
            <w:pPr>
              <w:pStyle w:val="TableText0"/>
              <w:keepNext/>
              <w:rPr>
                <w:snapToGrid w:val="0"/>
                <w:szCs w:val="20"/>
              </w:rPr>
            </w:pPr>
            <w:r w:rsidRPr="00885AB3">
              <w:rPr>
                <w:snapToGrid w:val="0"/>
                <w:szCs w:val="20"/>
              </w:rPr>
              <w:t>7/2,892</w:t>
            </w:r>
          </w:p>
        </w:tc>
        <w:tc>
          <w:tcPr>
            <w:tcW w:w="571" w:type="pct"/>
            <w:tcMar>
              <w:left w:w="57" w:type="dxa"/>
              <w:right w:w="57" w:type="dxa"/>
            </w:tcMar>
            <w:vAlign w:val="center"/>
          </w:tcPr>
          <w:p w14:paraId="394D7677" w14:textId="77777777" w:rsidR="007B7E9D" w:rsidRPr="00885AB3" w:rsidRDefault="007B7E9D" w:rsidP="00120D61">
            <w:pPr>
              <w:pStyle w:val="TableText0"/>
              <w:keepNext/>
              <w:rPr>
                <w:snapToGrid w:val="0"/>
                <w:szCs w:val="20"/>
              </w:rPr>
            </w:pPr>
            <w:r w:rsidRPr="00885AB3">
              <w:rPr>
                <w:snapToGrid w:val="0"/>
                <w:szCs w:val="20"/>
              </w:rPr>
              <w:t xml:space="preserve">65.0 </w:t>
            </w:r>
          </w:p>
          <w:p w14:paraId="6BC6813A" w14:textId="77777777" w:rsidR="007B7E9D" w:rsidRPr="00885AB3" w:rsidRDefault="007B7E9D" w:rsidP="00120D61">
            <w:pPr>
              <w:pStyle w:val="TableText0"/>
              <w:keepNext/>
              <w:rPr>
                <w:snapToGrid w:val="0"/>
                <w:szCs w:val="20"/>
              </w:rPr>
            </w:pPr>
            <w:r w:rsidRPr="00885AB3">
              <w:rPr>
                <w:snapToGrid w:val="0"/>
                <w:szCs w:val="20"/>
              </w:rPr>
              <w:t>(13.8, 87.5)</w:t>
            </w:r>
          </w:p>
        </w:tc>
        <w:tc>
          <w:tcPr>
            <w:tcW w:w="441" w:type="pct"/>
            <w:tcMar>
              <w:left w:w="57" w:type="dxa"/>
              <w:right w:w="57" w:type="dxa"/>
            </w:tcMar>
            <w:vAlign w:val="center"/>
          </w:tcPr>
          <w:p w14:paraId="395891A5" w14:textId="77777777" w:rsidR="007B7E9D" w:rsidRPr="00885AB3" w:rsidRDefault="007B7E9D" w:rsidP="00120D61">
            <w:pPr>
              <w:pStyle w:val="TableText0"/>
              <w:keepNext/>
              <w:rPr>
                <w:snapToGrid w:val="0"/>
                <w:szCs w:val="20"/>
              </w:rPr>
            </w:pPr>
            <w:r w:rsidRPr="00885AB3">
              <w:rPr>
                <w:snapToGrid w:val="0"/>
                <w:szCs w:val="20"/>
              </w:rPr>
              <w:t>NR</w:t>
            </w:r>
          </w:p>
        </w:tc>
        <w:tc>
          <w:tcPr>
            <w:tcW w:w="441" w:type="pct"/>
            <w:tcMar>
              <w:left w:w="57" w:type="dxa"/>
              <w:right w:w="57" w:type="dxa"/>
            </w:tcMar>
            <w:vAlign w:val="center"/>
          </w:tcPr>
          <w:p w14:paraId="15D83F49" w14:textId="77777777" w:rsidR="007B7E9D" w:rsidRPr="00885AB3" w:rsidRDefault="007B7E9D" w:rsidP="00120D61">
            <w:pPr>
              <w:pStyle w:val="TableText0"/>
              <w:keepNext/>
              <w:rPr>
                <w:snapToGrid w:val="0"/>
                <w:szCs w:val="20"/>
              </w:rPr>
            </w:pPr>
            <w:r w:rsidRPr="00885AB3">
              <w:rPr>
                <w:snapToGrid w:val="0"/>
                <w:szCs w:val="20"/>
              </w:rPr>
              <w:t>NR</w:t>
            </w:r>
          </w:p>
        </w:tc>
        <w:tc>
          <w:tcPr>
            <w:tcW w:w="515" w:type="pct"/>
            <w:tcMar>
              <w:left w:w="57" w:type="dxa"/>
              <w:right w:w="57" w:type="dxa"/>
            </w:tcMar>
            <w:vAlign w:val="center"/>
          </w:tcPr>
          <w:p w14:paraId="24008CEB" w14:textId="77777777" w:rsidR="007B7E9D" w:rsidRPr="00885AB3" w:rsidRDefault="007B7E9D" w:rsidP="00120D61">
            <w:pPr>
              <w:pStyle w:val="TableText0"/>
              <w:keepNext/>
              <w:rPr>
                <w:snapToGrid w:val="0"/>
                <w:szCs w:val="20"/>
              </w:rPr>
            </w:pPr>
            <w:r w:rsidRPr="00885AB3">
              <w:rPr>
                <w:snapToGrid w:val="0"/>
                <w:szCs w:val="20"/>
              </w:rPr>
              <w:t>NR</w:t>
            </w:r>
          </w:p>
        </w:tc>
      </w:tr>
      <w:tr w:rsidR="007B7E9D" w:rsidRPr="00885AB3" w14:paraId="3060D69A" w14:textId="77777777" w:rsidTr="00203FC7">
        <w:tc>
          <w:tcPr>
            <w:tcW w:w="5000" w:type="pct"/>
            <w:gridSpan w:val="10"/>
            <w:tcMar>
              <w:left w:w="57" w:type="dxa"/>
              <w:right w:w="57" w:type="dxa"/>
            </w:tcMar>
            <w:vAlign w:val="center"/>
          </w:tcPr>
          <w:p w14:paraId="38E47B74" w14:textId="5EA76A41" w:rsidR="007B7E9D" w:rsidRPr="00885AB3" w:rsidRDefault="007B7E9D" w:rsidP="00120D61">
            <w:pPr>
              <w:pStyle w:val="TableText0"/>
              <w:keepNext/>
              <w:jc w:val="left"/>
              <w:rPr>
                <w:b/>
                <w:snapToGrid w:val="0"/>
                <w:szCs w:val="20"/>
              </w:rPr>
            </w:pPr>
            <w:r w:rsidRPr="00885AB3">
              <w:rPr>
                <w:b/>
                <w:snapToGrid w:val="0"/>
                <w:szCs w:val="20"/>
              </w:rPr>
              <w:t xml:space="preserve">Outcome: </w:t>
            </w:r>
            <w:r w:rsidRPr="00885AB3">
              <w:rPr>
                <w:b/>
                <w:bCs/>
                <w:snapToGrid w:val="0"/>
                <w:szCs w:val="20"/>
              </w:rPr>
              <w:t>RSV</w:t>
            </w:r>
            <w:r w:rsidRPr="00885AB3">
              <w:rPr>
                <w:b/>
                <w:snapToGrid w:val="0"/>
                <w:szCs w:val="20"/>
              </w:rPr>
              <w:t xml:space="preserve">-LRTD </w:t>
            </w:r>
            <w:r w:rsidR="00EF2FA4">
              <w:rPr>
                <w:rFonts w:cs="Calibri"/>
                <w:b/>
                <w:szCs w:val="20"/>
              </w:rPr>
              <w:t xml:space="preserve">≥ </w:t>
            </w:r>
            <w:r w:rsidRPr="00885AB3">
              <w:rPr>
                <w:rFonts w:cs="Calibri"/>
                <w:b/>
                <w:szCs w:val="20"/>
              </w:rPr>
              <w:t>2 symptoms</w:t>
            </w:r>
          </w:p>
        </w:tc>
      </w:tr>
      <w:tr w:rsidR="00203FC7" w:rsidRPr="00885AB3" w14:paraId="46247693" w14:textId="77777777" w:rsidTr="00203FC7">
        <w:tc>
          <w:tcPr>
            <w:tcW w:w="566" w:type="pct"/>
            <w:tcMar>
              <w:left w:w="57" w:type="dxa"/>
              <w:right w:w="57" w:type="dxa"/>
            </w:tcMar>
            <w:vAlign w:val="center"/>
          </w:tcPr>
          <w:p w14:paraId="0E159409" w14:textId="77777777" w:rsidR="007B7E9D" w:rsidRPr="00885AB3" w:rsidRDefault="007B7E9D" w:rsidP="00120D61">
            <w:pPr>
              <w:pStyle w:val="TableText0"/>
              <w:keepNext/>
              <w:jc w:val="left"/>
              <w:rPr>
                <w:snapToGrid w:val="0"/>
                <w:szCs w:val="20"/>
              </w:rPr>
            </w:pPr>
            <w:r w:rsidRPr="00885AB3">
              <w:rPr>
                <w:snapToGrid w:val="0"/>
                <w:szCs w:val="20"/>
              </w:rPr>
              <w:t>Primary analysis</w:t>
            </w:r>
          </w:p>
        </w:tc>
        <w:tc>
          <w:tcPr>
            <w:tcW w:w="467" w:type="pct"/>
            <w:tcMar>
              <w:left w:w="57" w:type="dxa"/>
              <w:right w:w="57" w:type="dxa"/>
            </w:tcMar>
            <w:vAlign w:val="center"/>
          </w:tcPr>
          <w:p w14:paraId="6CDCD8AF" w14:textId="5D7D92B8" w:rsidR="007B7E9D" w:rsidRPr="00885AB3" w:rsidRDefault="007B7E9D" w:rsidP="00120D61">
            <w:pPr>
              <w:pStyle w:val="TableText0"/>
              <w:keepNext/>
              <w:rPr>
                <w:snapToGrid w:val="0"/>
                <w:szCs w:val="20"/>
              </w:rPr>
            </w:pPr>
            <w:r w:rsidRPr="00885AB3">
              <w:rPr>
                <w:snapToGrid w:val="0"/>
                <w:szCs w:val="20"/>
              </w:rPr>
              <w:t>6/2,815</w:t>
            </w:r>
          </w:p>
        </w:tc>
        <w:tc>
          <w:tcPr>
            <w:tcW w:w="441" w:type="pct"/>
            <w:tcMar>
              <w:left w:w="57" w:type="dxa"/>
              <w:right w:w="57" w:type="dxa"/>
            </w:tcMar>
            <w:vAlign w:val="center"/>
          </w:tcPr>
          <w:p w14:paraId="6F71B359" w14:textId="5C38553D" w:rsidR="007B7E9D" w:rsidRPr="00885AB3" w:rsidRDefault="007B7E9D" w:rsidP="00120D61">
            <w:pPr>
              <w:pStyle w:val="TableText0"/>
              <w:keepNext/>
              <w:rPr>
                <w:snapToGrid w:val="0"/>
                <w:szCs w:val="20"/>
              </w:rPr>
            </w:pPr>
            <w:r w:rsidRPr="00885AB3">
              <w:rPr>
                <w:snapToGrid w:val="0"/>
                <w:szCs w:val="20"/>
              </w:rPr>
              <w:t>1/2,809</w:t>
            </w:r>
          </w:p>
        </w:tc>
        <w:tc>
          <w:tcPr>
            <w:tcW w:w="588" w:type="pct"/>
            <w:tcMar>
              <w:left w:w="57" w:type="dxa"/>
              <w:right w:w="57" w:type="dxa"/>
            </w:tcMar>
            <w:vAlign w:val="center"/>
          </w:tcPr>
          <w:p w14:paraId="77FA4E3F" w14:textId="77777777" w:rsidR="007B7E9D" w:rsidRPr="00885AB3" w:rsidRDefault="007B7E9D" w:rsidP="00120D61">
            <w:pPr>
              <w:pStyle w:val="TableText0"/>
              <w:keepNext/>
              <w:rPr>
                <w:snapToGrid w:val="0"/>
                <w:szCs w:val="20"/>
              </w:rPr>
            </w:pPr>
            <w:r w:rsidRPr="00885AB3">
              <w:rPr>
                <w:snapToGrid w:val="0"/>
                <w:szCs w:val="20"/>
              </w:rPr>
              <w:t xml:space="preserve">83.3 </w:t>
            </w:r>
          </w:p>
          <w:p w14:paraId="5898BCE6" w14:textId="77777777" w:rsidR="007B7E9D" w:rsidRPr="00885AB3" w:rsidRDefault="007B7E9D" w:rsidP="00120D61">
            <w:pPr>
              <w:pStyle w:val="TableText0"/>
              <w:keepNext/>
              <w:rPr>
                <w:snapToGrid w:val="0"/>
                <w:szCs w:val="20"/>
              </w:rPr>
            </w:pPr>
            <w:r w:rsidRPr="00885AB3">
              <w:rPr>
                <w:snapToGrid w:val="0"/>
                <w:szCs w:val="20"/>
              </w:rPr>
              <w:t>(-38.9, 98.0)</w:t>
            </w:r>
          </w:p>
        </w:tc>
        <w:tc>
          <w:tcPr>
            <w:tcW w:w="485" w:type="pct"/>
            <w:tcMar>
              <w:left w:w="57" w:type="dxa"/>
              <w:right w:w="57" w:type="dxa"/>
            </w:tcMar>
            <w:vAlign w:val="center"/>
          </w:tcPr>
          <w:p w14:paraId="7693A0B0" w14:textId="6580D17A" w:rsidR="007B7E9D" w:rsidRPr="00885AB3" w:rsidRDefault="007B7E9D" w:rsidP="00120D61">
            <w:pPr>
              <w:pStyle w:val="TableText0"/>
              <w:keepNext/>
              <w:rPr>
                <w:snapToGrid w:val="0"/>
                <w:szCs w:val="20"/>
              </w:rPr>
            </w:pPr>
            <w:r w:rsidRPr="00885AB3">
              <w:rPr>
                <w:snapToGrid w:val="0"/>
                <w:szCs w:val="20"/>
              </w:rPr>
              <w:t>7/2,904</w:t>
            </w:r>
          </w:p>
        </w:tc>
        <w:tc>
          <w:tcPr>
            <w:tcW w:w="485" w:type="pct"/>
            <w:tcMar>
              <w:left w:w="57" w:type="dxa"/>
              <w:right w:w="57" w:type="dxa"/>
            </w:tcMar>
            <w:vAlign w:val="center"/>
          </w:tcPr>
          <w:p w14:paraId="188877AD" w14:textId="5399BEA1" w:rsidR="007B7E9D" w:rsidRPr="00885AB3" w:rsidRDefault="007B7E9D" w:rsidP="00120D61">
            <w:pPr>
              <w:pStyle w:val="TableText0"/>
              <w:keepNext/>
              <w:rPr>
                <w:snapToGrid w:val="0"/>
                <w:szCs w:val="20"/>
              </w:rPr>
            </w:pPr>
            <w:r w:rsidRPr="00885AB3">
              <w:rPr>
                <w:snapToGrid w:val="0"/>
                <w:szCs w:val="20"/>
              </w:rPr>
              <w:t>1/2,892</w:t>
            </w:r>
          </w:p>
        </w:tc>
        <w:tc>
          <w:tcPr>
            <w:tcW w:w="571" w:type="pct"/>
            <w:tcMar>
              <w:left w:w="57" w:type="dxa"/>
              <w:right w:w="57" w:type="dxa"/>
            </w:tcMar>
            <w:vAlign w:val="center"/>
          </w:tcPr>
          <w:p w14:paraId="4663E583" w14:textId="77777777" w:rsidR="007B7E9D" w:rsidRPr="00885AB3" w:rsidRDefault="007B7E9D" w:rsidP="00120D61">
            <w:pPr>
              <w:pStyle w:val="TableText0"/>
              <w:keepNext/>
              <w:rPr>
                <w:snapToGrid w:val="0"/>
                <w:szCs w:val="20"/>
              </w:rPr>
            </w:pPr>
            <w:r w:rsidRPr="00885AB3">
              <w:rPr>
                <w:snapToGrid w:val="0"/>
                <w:szCs w:val="20"/>
              </w:rPr>
              <w:t xml:space="preserve">85.7 </w:t>
            </w:r>
          </w:p>
          <w:p w14:paraId="0168BF3D" w14:textId="77777777" w:rsidR="007B7E9D" w:rsidRPr="00885AB3" w:rsidRDefault="007B7E9D" w:rsidP="00120D61">
            <w:pPr>
              <w:pStyle w:val="TableText0"/>
              <w:keepNext/>
              <w:rPr>
                <w:snapToGrid w:val="0"/>
                <w:szCs w:val="20"/>
              </w:rPr>
            </w:pPr>
            <w:r w:rsidRPr="00885AB3">
              <w:rPr>
                <w:snapToGrid w:val="0"/>
                <w:szCs w:val="20"/>
              </w:rPr>
              <w:t>(-11.2, 99.7)</w:t>
            </w:r>
          </w:p>
        </w:tc>
        <w:tc>
          <w:tcPr>
            <w:tcW w:w="441" w:type="pct"/>
            <w:tcMar>
              <w:left w:w="57" w:type="dxa"/>
              <w:right w:w="57" w:type="dxa"/>
            </w:tcMar>
            <w:vAlign w:val="center"/>
          </w:tcPr>
          <w:p w14:paraId="2A7D492C" w14:textId="625FB459" w:rsidR="007B7E9D" w:rsidRPr="00885AB3" w:rsidRDefault="007B7E9D" w:rsidP="00120D61">
            <w:pPr>
              <w:pStyle w:val="TableText0"/>
              <w:keepNext/>
              <w:rPr>
                <w:snapToGrid w:val="0"/>
                <w:szCs w:val="20"/>
              </w:rPr>
            </w:pPr>
            <w:r w:rsidRPr="00885AB3">
              <w:rPr>
                <w:snapToGrid w:val="0"/>
                <w:szCs w:val="20"/>
              </w:rPr>
              <w:t>6/2,646</w:t>
            </w:r>
          </w:p>
        </w:tc>
        <w:tc>
          <w:tcPr>
            <w:tcW w:w="441" w:type="pct"/>
            <w:tcMar>
              <w:left w:w="57" w:type="dxa"/>
              <w:right w:w="57" w:type="dxa"/>
            </w:tcMar>
            <w:vAlign w:val="center"/>
          </w:tcPr>
          <w:p w14:paraId="236CF7CD" w14:textId="0C8D764F" w:rsidR="007B7E9D" w:rsidRPr="00885AB3" w:rsidRDefault="007B7E9D" w:rsidP="00120D61">
            <w:pPr>
              <w:pStyle w:val="TableText0"/>
              <w:keepNext/>
              <w:rPr>
                <w:snapToGrid w:val="0"/>
                <w:szCs w:val="20"/>
              </w:rPr>
            </w:pPr>
            <w:r w:rsidRPr="00885AB3">
              <w:rPr>
                <w:snapToGrid w:val="0"/>
                <w:szCs w:val="20"/>
              </w:rPr>
              <w:t>3/2,671</w:t>
            </w:r>
          </w:p>
        </w:tc>
        <w:tc>
          <w:tcPr>
            <w:tcW w:w="515" w:type="pct"/>
            <w:tcMar>
              <w:left w:w="57" w:type="dxa"/>
              <w:right w:w="57" w:type="dxa"/>
            </w:tcMar>
            <w:vAlign w:val="center"/>
          </w:tcPr>
          <w:p w14:paraId="266B3825" w14:textId="77777777" w:rsidR="007B7E9D" w:rsidRPr="00885AB3" w:rsidRDefault="007B7E9D" w:rsidP="00120D61">
            <w:pPr>
              <w:pStyle w:val="TableText0"/>
              <w:keepNext/>
              <w:rPr>
                <w:snapToGrid w:val="0"/>
                <w:szCs w:val="20"/>
              </w:rPr>
            </w:pPr>
            <w:r w:rsidRPr="00885AB3">
              <w:rPr>
                <w:snapToGrid w:val="0"/>
                <w:szCs w:val="20"/>
              </w:rPr>
              <w:t xml:space="preserve">52.5 </w:t>
            </w:r>
          </w:p>
          <w:p w14:paraId="7A55BC44" w14:textId="77777777" w:rsidR="007B7E9D" w:rsidRPr="00885AB3" w:rsidRDefault="007B7E9D" w:rsidP="00120D61">
            <w:pPr>
              <w:pStyle w:val="TableText0"/>
              <w:keepNext/>
              <w:rPr>
                <w:snapToGrid w:val="0"/>
                <w:szCs w:val="20"/>
              </w:rPr>
            </w:pPr>
            <w:r w:rsidRPr="00885AB3">
              <w:rPr>
                <w:snapToGrid w:val="0"/>
                <w:szCs w:val="20"/>
              </w:rPr>
              <w:t>(-122.5, 92.3)</w:t>
            </w:r>
          </w:p>
        </w:tc>
      </w:tr>
      <w:tr w:rsidR="00203FC7" w:rsidRPr="00885AB3" w14:paraId="3D827DD5" w14:textId="77777777" w:rsidTr="00203FC7">
        <w:tc>
          <w:tcPr>
            <w:tcW w:w="566" w:type="pct"/>
            <w:tcMar>
              <w:left w:w="57" w:type="dxa"/>
              <w:right w:w="57" w:type="dxa"/>
            </w:tcMar>
            <w:vAlign w:val="center"/>
          </w:tcPr>
          <w:p w14:paraId="7FE5BCFD" w14:textId="77777777" w:rsidR="007B7E9D" w:rsidRPr="00885AB3" w:rsidRDefault="007B7E9D" w:rsidP="00120D61">
            <w:pPr>
              <w:pStyle w:val="TableText0"/>
              <w:keepNext/>
              <w:jc w:val="left"/>
              <w:rPr>
                <w:snapToGrid w:val="0"/>
                <w:szCs w:val="20"/>
              </w:rPr>
            </w:pPr>
            <w:r w:rsidRPr="00885AB3">
              <w:rPr>
                <w:snapToGrid w:val="0"/>
                <w:szCs w:val="20"/>
              </w:rPr>
              <w:t>Additional Analysis</w:t>
            </w:r>
          </w:p>
        </w:tc>
        <w:tc>
          <w:tcPr>
            <w:tcW w:w="467" w:type="pct"/>
            <w:tcMar>
              <w:left w:w="57" w:type="dxa"/>
              <w:right w:w="57" w:type="dxa"/>
            </w:tcMar>
            <w:vAlign w:val="center"/>
          </w:tcPr>
          <w:p w14:paraId="2B904314" w14:textId="0425DEE7" w:rsidR="007B7E9D" w:rsidRPr="00885AB3" w:rsidRDefault="007B7E9D" w:rsidP="00120D61">
            <w:pPr>
              <w:pStyle w:val="TableText0"/>
              <w:keepNext/>
              <w:rPr>
                <w:snapToGrid w:val="0"/>
                <w:szCs w:val="20"/>
              </w:rPr>
            </w:pPr>
            <w:r w:rsidRPr="00885AB3">
              <w:rPr>
                <w:snapToGrid w:val="0"/>
                <w:szCs w:val="20"/>
              </w:rPr>
              <w:t>17/3,280</w:t>
            </w:r>
          </w:p>
        </w:tc>
        <w:tc>
          <w:tcPr>
            <w:tcW w:w="441" w:type="pct"/>
            <w:tcMar>
              <w:left w:w="57" w:type="dxa"/>
              <w:right w:w="57" w:type="dxa"/>
            </w:tcMar>
            <w:vAlign w:val="center"/>
          </w:tcPr>
          <w:p w14:paraId="586A11D5" w14:textId="21634189" w:rsidR="007B7E9D" w:rsidRPr="00885AB3" w:rsidRDefault="007B7E9D" w:rsidP="00120D61">
            <w:pPr>
              <w:pStyle w:val="TableText0"/>
              <w:keepNext/>
              <w:rPr>
                <w:snapToGrid w:val="0"/>
                <w:szCs w:val="20"/>
              </w:rPr>
            </w:pPr>
            <w:r w:rsidRPr="00885AB3">
              <w:rPr>
                <w:snapToGrid w:val="0"/>
                <w:szCs w:val="20"/>
              </w:rPr>
              <w:t>11/3,282</w:t>
            </w:r>
          </w:p>
        </w:tc>
        <w:tc>
          <w:tcPr>
            <w:tcW w:w="588" w:type="pct"/>
            <w:tcMar>
              <w:left w:w="57" w:type="dxa"/>
              <w:right w:w="57" w:type="dxa"/>
            </w:tcMar>
            <w:vAlign w:val="center"/>
          </w:tcPr>
          <w:p w14:paraId="783B01BA" w14:textId="77777777" w:rsidR="007B7E9D" w:rsidRPr="00885AB3" w:rsidRDefault="007B7E9D" w:rsidP="00120D61">
            <w:pPr>
              <w:pStyle w:val="TableText0"/>
              <w:keepNext/>
              <w:rPr>
                <w:snapToGrid w:val="0"/>
                <w:szCs w:val="20"/>
              </w:rPr>
            </w:pPr>
            <w:r w:rsidRPr="00885AB3">
              <w:rPr>
                <w:snapToGrid w:val="0"/>
                <w:szCs w:val="20"/>
              </w:rPr>
              <w:t xml:space="preserve">35.3 </w:t>
            </w:r>
          </w:p>
          <w:p w14:paraId="0ABE2540" w14:textId="77777777" w:rsidR="007B7E9D" w:rsidRPr="00885AB3" w:rsidRDefault="007B7E9D" w:rsidP="00120D61">
            <w:pPr>
              <w:pStyle w:val="TableText0"/>
              <w:keepNext/>
              <w:rPr>
                <w:snapToGrid w:val="0"/>
                <w:szCs w:val="20"/>
              </w:rPr>
            </w:pPr>
            <w:r w:rsidRPr="00885AB3">
              <w:rPr>
                <w:snapToGrid w:val="0"/>
                <w:szCs w:val="20"/>
              </w:rPr>
              <w:t>(-38.1, 69.7)</w:t>
            </w:r>
          </w:p>
        </w:tc>
        <w:tc>
          <w:tcPr>
            <w:tcW w:w="485" w:type="pct"/>
            <w:tcMar>
              <w:left w:w="57" w:type="dxa"/>
              <w:right w:w="57" w:type="dxa"/>
            </w:tcMar>
            <w:vAlign w:val="center"/>
          </w:tcPr>
          <w:p w14:paraId="3BA7B249" w14:textId="77777777" w:rsidR="007B7E9D" w:rsidRPr="00885AB3" w:rsidRDefault="007B7E9D" w:rsidP="00120D61">
            <w:pPr>
              <w:pStyle w:val="TableText0"/>
              <w:keepNext/>
              <w:rPr>
                <w:iCs/>
                <w:snapToGrid w:val="0"/>
                <w:szCs w:val="20"/>
              </w:rPr>
            </w:pPr>
            <w:r w:rsidRPr="00885AB3">
              <w:rPr>
                <w:iCs/>
                <w:snapToGrid w:val="0"/>
                <w:szCs w:val="20"/>
              </w:rPr>
              <w:t>5/2,477</w:t>
            </w:r>
            <w:r w:rsidRPr="00885AB3">
              <w:rPr>
                <w:iCs/>
                <w:snapToGrid w:val="0"/>
                <w:szCs w:val="20"/>
                <w:vertAlign w:val="superscript"/>
              </w:rPr>
              <w:t xml:space="preserve"> a</w:t>
            </w:r>
          </w:p>
        </w:tc>
        <w:tc>
          <w:tcPr>
            <w:tcW w:w="485" w:type="pct"/>
            <w:tcMar>
              <w:left w:w="57" w:type="dxa"/>
              <w:right w:w="57" w:type="dxa"/>
            </w:tcMar>
            <w:vAlign w:val="center"/>
          </w:tcPr>
          <w:p w14:paraId="2B6F708A" w14:textId="67962728" w:rsidR="007B7E9D" w:rsidRPr="00885AB3" w:rsidRDefault="007B7E9D" w:rsidP="00120D61">
            <w:pPr>
              <w:pStyle w:val="TableText0"/>
              <w:keepNext/>
              <w:rPr>
                <w:iCs/>
                <w:snapToGrid w:val="0"/>
                <w:szCs w:val="20"/>
              </w:rPr>
            </w:pPr>
            <w:r w:rsidRPr="00885AB3">
              <w:rPr>
                <w:iCs/>
                <w:snapToGrid w:val="0"/>
                <w:szCs w:val="20"/>
              </w:rPr>
              <w:t>3/2</w:t>
            </w:r>
            <w:r w:rsidR="00890C3E" w:rsidRPr="00885AB3">
              <w:rPr>
                <w:iCs/>
                <w:snapToGrid w:val="0"/>
                <w:szCs w:val="20"/>
              </w:rPr>
              <w:t>,</w:t>
            </w:r>
            <w:r w:rsidRPr="00885AB3">
              <w:rPr>
                <w:iCs/>
                <w:snapToGrid w:val="0"/>
                <w:szCs w:val="20"/>
              </w:rPr>
              <w:t>486</w:t>
            </w:r>
            <w:r w:rsidRPr="00885AB3">
              <w:rPr>
                <w:iCs/>
                <w:snapToGrid w:val="0"/>
                <w:szCs w:val="20"/>
                <w:vertAlign w:val="superscript"/>
              </w:rPr>
              <w:t xml:space="preserve"> a</w:t>
            </w:r>
          </w:p>
        </w:tc>
        <w:tc>
          <w:tcPr>
            <w:tcW w:w="571" w:type="pct"/>
            <w:tcMar>
              <w:left w:w="57" w:type="dxa"/>
              <w:right w:w="57" w:type="dxa"/>
            </w:tcMar>
            <w:vAlign w:val="center"/>
          </w:tcPr>
          <w:p w14:paraId="6D3D25B0" w14:textId="77777777" w:rsidR="007B7E9D" w:rsidRPr="00885AB3" w:rsidRDefault="007B7E9D" w:rsidP="00120D61">
            <w:pPr>
              <w:pStyle w:val="TableText0"/>
              <w:keepNext/>
              <w:rPr>
                <w:iCs/>
                <w:snapToGrid w:val="0"/>
                <w:szCs w:val="20"/>
              </w:rPr>
            </w:pPr>
            <w:r w:rsidRPr="00885AB3">
              <w:rPr>
                <w:iCs/>
                <w:snapToGrid w:val="0"/>
                <w:szCs w:val="20"/>
              </w:rPr>
              <w:t xml:space="preserve">40.0 </w:t>
            </w:r>
          </w:p>
          <w:p w14:paraId="5DDBBCAF" w14:textId="77777777" w:rsidR="007B7E9D" w:rsidRPr="00885AB3" w:rsidRDefault="007B7E9D" w:rsidP="00120D61">
            <w:pPr>
              <w:pStyle w:val="TableText0"/>
              <w:keepNext/>
              <w:rPr>
                <w:iCs/>
                <w:snapToGrid w:val="0"/>
                <w:szCs w:val="20"/>
              </w:rPr>
            </w:pPr>
            <w:r w:rsidRPr="00885AB3">
              <w:rPr>
                <w:iCs/>
                <w:snapToGrid w:val="0"/>
                <w:szCs w:val="20"/>
              </w:rPr>
              <w:t>(-208.4,90.7)</w:t>
            </w:r>
            <w:r w:rsidRPr="00885AB3">
              <w:rPr>
                <w:iCs/>
                <w:snapToGrid w:val="0"/>
                <w:szCs w:val="20"/>
                <w:vertAlign w:val="superscript"/>
              </w:rPr>
              <w:t xml:space="preserve"> a</w:t>
            </w:r>
          </w:p>
        </w:tc>
        <w:tc>
          <w:tcPr>
            <w:tcW w:w="441" w:type="pct"/>
            <w:tcMar>
              <w:left w:w="57" w:type="dxa"/>
              <w:right w:w="57" w:type="dxa"/>
            </w:tcMar>
            <w:vAlign w:val="center"/>
          </w:tcPr>
          <w:p w14:paraId="51E26734" w14:textId="77777777" w:rsidR="007B7E9D" w:rsidRPr="00885AB3" w:rsidRDefault="007B7E9D" w:rsidP="00120D61">
            <w:pPr>
              <w:pStyle w:val="TableText0"/>
              <w:keepNext/>
              <w:rPr>
                <w:snapToGrid w:val="0"/>
                <w:szCs w:val="20"/>
              </w:rPr>
            </w:pPr>
            <w:r w:rsidRPr="00885AB3">
              <w:rPr>
                <w:snapToGrid w:val="0"/>
                <w:szCs w:val="20"/>
              </w:rPr>
              <w:t>NR</w:t>
            </w:r>
          </w:p>
        </w:tc>
        <w:tc>
          <w:tcPr>
            <w:tcW w:w="441" w:type="pct"/>
            <w:tcMar>
              <w:left w:w="57" w:type="dxa"/>
              <w:right w:w="57" w:type="dxa"/>
            </w:tcMar>
            <w:vAlign w:val="center"/>
          </w:tcPr>
          <w:p w14:paraId="759E29BA" w14:textId="77777777" w:rsidR="007B7E9D" w:rsidRPr="00885AB3" w:rsidRDefault="007B7E9D" w:rsidP="00120D61">
            <w:pPr>
              <w:pStyle w:val="TableText0"/>
              <w:keepNext/>
              <w:rPr>
                <w:snapToGrid w:val="0"/>
                <w:szCs w:val="20"/>
              </w:rPr>
            </w:pPr>
            <w:r w:rsidRPr="00885AB3">
              <w:rPr>
                <w:snapToGrid w:val="0"/>
                <w:szCs w:val="20"/>
              </w:rPr>
              <w:t>NR</w:t>
            </w:r>
          </w:p>
        </w:tc>
        <w:tc>
          <w:tcPr>
            <w:tcW w:w="515" w:type="pct"/>
            <w:tcMar>
              <w:left w:w="57" w:type="dxa"/>
              <w:right w:w="57" w:type="dxa"/>
            </w:tcMar>
            <w:vAlign w:val="center"/>
          </w:tcPr>
          <w:p w14:paraId="4FB3BDBB" w14:textId="77777777" w:rsidR="007B7E9D" w:rsidRPr="00885AB3" w:rsidRDefault="007B7E9D" w:rsidP="00120D61">
            <w:pPr>
              <w:pStyle w:val="TableText0"/>
              <w:keepNext/>
              <w:rPr>
                <w:snapToGrid w:val="0"/>
                <w:szCs w:val="20"/>
              </w:rPr>
            </w:pPr>
            <w:r w:rsidRPr="00885AB3">
              <w:rPr>
                <w:snapToGrid w:val="0"/>
                <w:szCs w:val="20"/>
              </w:rPr>
              <w:t>NR</w:t>
            </w:r>
          </w:p>
        </w:tc>
      </w:tr>
      <w:tr w:rsidR="00203FC7" w:rsidRPr="00885AB3" w14:paraId="0DF1520F" w14:textId="77777777" w:rsidTr="00203FC7">
        <w:tc>
          <w:tcPr>
            <w:tcW w:w="566" w:type="pct"/>
            <w:tcMar>
              <w:left w:w="57" w:type="dxa"/>
              <w:right w:w="57" w:type="dxa"/>
            </w:tcMar>
            <w:vAlign w:val="center"/>
          </w:tcPr>
          <w:p w14:paraId="5222387B" w14:textId="77777777" w:rsidR="007B7E9D" w:rsidRPr="00885AB3" w:rsidRDefault="007B7E9D" w:rsidP="00120D61">
            <w:pPr>
              <w:pStyle w:val="TableText0"/>
              <w:keepNext/>
              <w:jc w:val="left"/>
              <w:rPr>
                <w:snapToGrid w:val="0"/>
                <w:szCs w:val="20"/>
              </w:rPr>
            </w:pPr>
            <w:r w:rsidRPr="00885AB3">
              <w:rPr>
                <w:snapToGrid w:val="0"/>
                <w:szCs w:val="20"/>
              </w:rPr>
              <w:t>Extended Analysis / Season 1&amp;2</w:t>
            </w:r>
          </w:p>
        </w:tc>
        <w:tc>
          <w:tcPr>
            <w:tcW w:w="467" w:type="pct"/>
            <w:tcMar>
              <w:left w:w="57" w:type="dxa"/>
              <w:right w:w="57" w:type="dxa"/>
            </w:tcMar>
            <w:vAlign w:val="center"/>
          </w:tcPr>
          <w:p w14:paraId="05DDBA4D" w14:textId="7398B02D" w:rsidR="007B7E9D" w:rsidRPr="00885AB3" w:rsidRDefault="007B7E9D" w:rsidP="00120D61">
            <w:pPr>
              <w:pStyle w:val="TableText0"/>
              <w:keepNext/>
              <w:rPr>
                <w:snapToGrid w:val="0"/>
                <w:szCs w:val="20"/>
              </w:rPr>
            </w:pPr>
            <w:r w:rsidRPr="00885AB3">
              <w:rPr>
                <w:snapToGrid w:val="0"/>
                <w:szCs w:val="20"/>
              </w:rPr>
              <w:t>47/3,283</w:t>
            </w:r>
          </w:p>
        </w:tc>
        <w:tc>
          <w:tcPr>
            <w:tcW w:w="441" w:type="pct"/>
            <w:tcMar>
              <w:left w:w="57" w:type="dxa"/>
              <w:right w:w="57" w:type="dxa"/>
            </w:tcMar>
            <w:vAlign w:val="center"/>
          </w:tcPr>
          <w:p w14:paraId="2640D9DE" w14:textId="295D4B1D" w:rsidR="007B7E9D" w:rsidRPr="00885AB3" w:rsidRDefault="007B7E9D" w:rsidP="00120D61">
            <w:pPr>
              <w:pStyle w:val="TableText0"/>
              <w:keepNext/>
              <w:rPr>
                <w:snapToGrid w:val="0"/>
                <w:szCs w:val="20"/>
              </w:rPr>
            </w:pPr>
            <w:r w:rsidRPr="00885AB3">
              <w:rPr>
                <w:snapToGrid w:val="0"/>
                <w:szCs w:val="20"/>
              </w:rPr>
              <w:t>28/3,282</w:t>
            </w:r>
          </w:p>
        </w:tc>
        <w:tc>
          <w:tcPr>
            <w:tcW w:w="588" w:type="pct"/>
            <w:tcMar>
              <w:left w:w="57" w:type="dxa"/>
              <w:right w:w="57" w:type="dxa"/>
            </w:tcMar>
            <w:vAlign w:val="center"/>
          </w:tcPr>
          <w:p w14:paraId="20F2CE7A" w14:textId="77777777" w:rsidR="007B7E9D" w:rsidRPr="00885AB3" w:rsidRDefault="007B7E9D" w:rsidP="00120D61">
            <w:pPr>
              <w:pStyle w:val="TableText0"/>
              <w:keepNext/>
              <w:rPr>
                <w:snapToGrid w:val="0"/>
                <w:szCs w:val="20"/>
              </w:rPr>
            </w:pPr>
            <w:r w:rsidRPr="00885AB3">
              <w:rPr>
                <w:snapToGrid w:val="0"/>
                <w:szCs w:val="20"/>
              </w:rPr>
              <w:t xml:space="preserve">40.8 </w:t>
            </w:r>
          </w:p>
          <w:p w14:paraId="1DE7D3F9" w14:textId="77777777" w:rsidR="007B7E9D" w:rsidRPr="00885AB3" w:rsidRDefault="007B7E9D" w:rsidP="00120D61">
            <w:pPr>
              <w:pStyle w:val="TableText0"/>
              <w:keepNext/>
              <w:rPr>
                <w:snapToGrid w:val="0"/>
                <w:szCs w:val="20"/>
              </w:rPr>
            </w:pPr>
            <w:r w:rsidRPr="00885AB3">
              <w:rPr>
                <w:snapToGrid w:val="0"/>
                <w:szCs w:val="20"/>
              </w:rPr>
              <w:t>(5.4, 62.9)</w:t>
            </w:r>
          </w:p>
        </w:tc>
        <w:tc>
          <w:tcPr>
            <w:tcW w:w="485" w:type="pct"/>
            <w:tcMar>
              <w:left w:w="57" w:type="dxa"/>
              <w:right w:w="57" w:type="dxa"/>
            </w:tcMar>
            <w:vAlign w:val="center"/>
          </w:tcPr>
          <w:p w14:paraId="61BBAD07" w14:textId="4AB080B7" w:rsidR="007B7E9D" w:rsidRPr="00885AB3" w:rsidRDefault="007B7E9D" w:rsidP="00120D61">
            <w:pPr>
              <w:pStyle w:val="TableText0"/>
              <w:keepNext/>
              <w:rPr>
                <w:snapToGrid w:val="0"/>
                <w:szCs w:val="20"/>
              </w:rPr>
            </w:pPr>
            <w:r w:rsidRPr="00885AB3">
              <w:rPr>
                <w:snapToGrid w:val="0"/>
                <w:szCs w:val="20"/>
              </w:rPr>
              <w:t>12/2,904</w:t>
            </w:r>
          </w:p>
        </w:tc>
        <w:tc>
          <w:tcPr>
            <w:tcW w:w="485" w:type="pct"/>
            <w:tcMar>
              <w:left w:w="57" w:type="dxa"/>
              <w:right w:w="57" w:type="dxa"/>
            </w:tcMar>
            <w:vAlign w:val="center"/>
          </w:tcPr>
          <w:p w14:paraId="77E9E0DF" w14:textId="687F6DFE" w:rsidR="007B7E9D" w:rsidRPr="00885AB3" w:rsidRDefault="007B7E9D" w:rsidP="00120D61">
            <w:pPr>
              <w:pStyle w:val="TableText0"/>
              <w:keepNext/>
              <w:rPr>
                <w:snapToGrid w:val="0"/>
                <w:szCs w:val="20"/>
              </w:rPr>
            </w:pPr>
            <w:r w:rsidRPr="00885AB3">
              <w:rPr>
                <w:snapToGrid w:val="0"/>
                <w:szCs w:val="20"/>
              </w:rPr>
              <w:t>4/2,892</w:t>
            </w:r>
          </w:p>
        </w:tc>
        <w:tc>
          <w:tcPr>
            <w:tcW w:w="571" w:type="pct"/>
            <w:tcMar>
              <w:left w:w="57" w:type="dxa"/>
              <w:right w:w="57" w:type="dxa"/>
            </w:tcMar>
            <w:vAlign w:val="center"/>
          </w:tcPr>
          <w:p w14:paraId="6264CA77" w14:textId="77777777" w:rsidR="007B7E9D" w:rsidRPr="00885AB3" w:rsidRDefault="007B7E9D" w:rsidP="00120D61">
            <w:pPr>
              <w:pStyle w:val="TableText0"/>
              <w:keepNext/>
              <w:rPr>
                <w:snapToGrid w:val="0"/>
                <w:szCs w:val="20"/>
              </w:rPr>
            </w:pPr>
            <w:r w:rsidRPr="00885AB3">
              <w:rPr>
                <w:snapToGrid w:val="0"/>
                <w:szCs w:val="20"/>
              </w:rPr>
              <w:t xml:space="preserve">66.7 </w:t>
            </w:r>
          </w:p>
          <w:p w14:paraId="4FB81005" w14:textId="77777777" w:rsidR="007B7E9D" w:rsidRPr="00885AB3" w:rsidRDefault="007B7E9D" w:rsidP="00120D61">
            <w:pPr>
              <w:pStyle w:val="TableText0"/>
              <w:keepNext/>
              <w:rPr>
                <w:snapToGrid w:val="0"/>
                <w:szCs w:val="20"/>
              </w:rPr>
            </w:pPr>
            <w:r w:rsidRPr="00885AB3">
              <w:rPr>
                <w:snapToGrid w:val="0"/>
                <w:szCs w:val="20"/>
              </w:rPr>
              <w:t>(-10.0, 92.2)</w:t>
            </w:r>
          </w:p>
        </w:tc>
        <w:tc>
          <w:tcPr>
            <w:tcW w:w="441" w:type="pct"/>
            <w:tcMar>
              <w:left w:w="57" w:type="dxa"/>
              <w:right w:w="57" w:type="dxa"/>
            </w:tcMar>
            <w:vAlign w:val="center"/>
          </w:tcPr>
          <w:p w14:paraId="634B7305" w14:textId="06734DC6" w:rsidR="007B7E9D" w:rsidRPr="00885AB3" w:rsidRDefault="007B7E9D" w:rsidP="00120D61">
            <w:pPr>
              <w:pStyle w:val="TableText0"/>
              <w:keepNext/>
              <w:rPr>
                <w:snapToGrid w:val="0"/>
                <w:szCs w:val="20"/>
              </w:rPr>
            </w:pPr>
            <w:r w:rsidRPr="00885AB3">
              <w:rPr>
                <w:snapToGrid w:val="0"/>
                <w:szCs w:val="20"/>
              </w:rPr>
              <w:t>24/2,647</w:t>
            </w:r>
          </w:p>
        </w:tc>
        <w:tc>
          <w:tcPr>
            <w:tcW w:w="441" w:type="pct"/>
            <w:tcMar>
              <w:left w:w="57" w:type="dxa"/>
              <w:right w:w="57" w:type="dxa"/>
            </w:tcMar>
            <w:vAlign w:val="center"/>
          </w:tcPr>
          <w:p w14:paraId="60887389" w14:textId="6CBA973E" w:rsidR="007B7E9D" w:rsidRPr="00885AB3" w:rsidRDefault="007B7E9D" w:rsidP="00120D61">
            <w:pPr>
              <w:pStyle w:val="TableText0"/>
              <w:keepNext/>
              <w:rPr>
                <w:snapToGrid w:val="0"/>
                <w:szCs w:val="20"/>
              </w:rPr>
            </w:pPr>
            <w:r w:rsidRPr="00885AB3">
              <w:rPr>
                <w:snapToGrid w:val="0"/>
                <w:szCs w:val="20"/>
              </w:rPr>
              <w:t>8/2,672</w:t>
            </w:r>
          </w:p>
        </w:tc>
        <w:tc>
          <w:tcPr>
            <w:tcW w:w="515" w:type="pct"/>
            <w:tcMar>
              <w:left w:w="57" w:type="dxa"/>
              <w:right w:w="57" w:type="dxa"/>
            </w:tcMar>
            <w:vAlign w:val="center"/>
          </w:tcPr>
          <w:p w14:paraId="6DC53E1C" w14:textId="77777777" w:rsidR="007B7E9D" w:rsidRPr="00885AB3" w:rsidRDefault="007B7E9D" w:rsidP="00120D61">
            <w:pPr>
              <w:pStyle w:val="TableText0"/>
              <w:keepNext/>
              <w:rPr>
                <w:snapToGrid w:val="0"/>
                <w:szCs w:val="20"/>
              </w:rPr>
            </w:pPr>
            <w:r w:rsidRPr="00885AB3">
              <w:rPr>
                <w:snapToGrid w:val="0"/>
                <w:szCs w:val="20"/>
              </w:rPr>
              <w:t xml:space="preserve">49.3 </w:t>
            </w:r>
          </w:p>
          <w:p w14:paraId="42ECB53A" w14:textId="77777777" w:rsidR="007B7E9D" w:rsidRPr="00885AB3" w:rsidRDefault="007B7E9D" w:rsidP="00120D61">
            <w:pPr>
              <w:pStyle w:val="TableText0"/>
              <w:keepNext/>
              <w:rPr>
                <w:snapToGrid w:val="0"/>
                <w:szCs w:val="20"/>
              </w:rPr>
            </w:pPr>
            <w:r w:rsidRPr="00885AB3">
              <w:rPr>
                <w:snapToGrid w:val="0"/>
                <w:szCs w:val="20"/>
              </w:rPr>
              <w:t>(-18.2, 80.6)</w:t>
            </w:r>
          </w:p>
        </w:tc>
      </w:tr>
      <w:tr w:rsidR="007B7E9D" w:rsidRPr="00885AB3" w14:paraId="6FB916D9" w14:textId="77777777" w:rsidTr="00203FC7">
        <w:tc>
          <w:tcPr>
            <w:tcW w:w="5000" w:type="pct"/>
            <w:gridSpan w:val="10"/>
            <w:tcMar>
              <w:left w:w="57" w:type="dxa"/>
              <w:right w:w="57" w:type="dxa"/>
            </w:tcMar>
            <w:vAlign w:val="center"/>
          </w:tcPr>
          <w:p w14:paraId="7DE5B0B5" w14:textId="4E2380CB" w:rsidR="007B7E9D" w:rsidRPr="00885AB3" w:rsidRDefault="007B7E9D" w:rsidP="00120D61">
            <w:pPr>
              <w:pStyle w:val="TableText0"/>
              <w:keepNext/>
              <w:jc w:val="left"/>
              <w:rPr>
                <w:b/>
                <w:snapToGrid w:val="0"/>
                <w:szCs w:val="20"/>
              </w:rPr>
            </w:pPr>
            <w:r w:rsidRPr="00885AB3">
              <w:rPr>
                <w:b/>
                <w:bCs/>
                <w:snapToGrid w:val="0"/>
                <w:szCs w:val="20"/>
              </w:rPr>
              <w:t xml:space="preserve">RSV-LRTD </w:t>
            </w:r>
            <w:r w:rsidR="00EF2FA4">
              <w:rPr>
                <w:rFonts w:cs="Calibri"/>
                <w:b/>
                <w:bCs/>
                <w:szCs w:val="20"/>
              </w:rPr>
              <w:t xml:space="preserve">≥ </w:t>
            </w:r>
            <w:r w:rsidRPr="00885AB3">
              <w:rPr>
                <w:rFonts w:cs="Calibri"/>
                <w:b/>
                <w:bCs/>
                <w:szCs w:val="20"/>
              </w:rPr>
              <w:t>3 symptoms</w:t>
            </w:r>
          </w:p>
        </w:tc>
      </w:tr>
      <w:tr w:rsidR="00203FC7" w:rsidRPr="00885AB3" w14:paraId="203733F1" w14:textId="77777777" w:rsidTr="00203FC7">
        <w:tc>
          <w:tcPr>
            <w:tcW w:w="566" w:type="pct"/>
            <w:tcMar>
              <w:left w:w="57" w:type="dxa"/>
              <w:right w:w="57" w:type="dxa"/>
            </w:tcMar>
            <w:vAlign w:val="center"/>
          </w:tcPr>
          <w:p w14:paraId="04599BE0" w14:textId="77777777" w:rsidR="00EF7C34" w:rsidRPr="00885AB3" w:rsidRDefault="00EF7C34" w:rsidP="00120D61">
            <w:pPr>
              <w:pStyle w:val="TableText0"/>
              <w:keepNext/>
              <w:jc w:val="left"/>
              <w:rPr>
                <w:snapToGrid w:val="0"/>
                <w:szCs w:val="20"/>
              </w:rPr>
            </w:pPr>
            <w:r w:rsidRPr="00885AB3">
              <w:rPr>
                <w:snapToGrid w:val="0"/>
                <w:szCs w:val="20"/>
              </w:rPr>
              <w:t>Primary analysis</w:t>
            </w:r>
          </w:p>
        </w:tc>
        <w:tc>
          <w:tcPr>
            <w:tcW w:w="467" w:type="pct"/>
            <w:tcMar>
              <w:left w:w="57" w:type="dxa"/>
              <w:right w:w="57" w:type="dxa"/>
            </w:tcMar>
            <w:vAlign w:val="center"/>
          </w:tcPr>
          <w:p w14:paraId="7CBD88C2" w14:textId="4550E4D9" w:rsidR="00EF7C34" w:rsidRPr="00885AB3" w:rsidRDefault="00EF7C34" w:rsidP="00120D61">
            <w:pPr>
              <w:pStyle w:val="TableText0"/>
              <w:keepNext/>
              <w:rPr>
                <w:snapToGrid w:val="0"/>
                <w:szCs w:val="20"/>
              </w:rPr>
            </w:pPr>
            <w:r w:rsidRPr="00885AB3">
              <w:rPr>
                <w:snapToGrid w:val="0"/>
                <w:szCs w:val="20"/>
              </w:rPr>
              <w:t>1/2,815</w:t>
            </w:r>
          </w:p>
        </w:tc>
        <w:tc>
          <w:tcPr>
            <w:tcW w:w="441" w:type="pct"/>
            <w:tcMar>
              <w:left w:w="57" w:type="dxa"/>
              <w:right w:w="57" w:type="dxa"/>
            </w:tcMar>
            <w:vAlign w:val="center"/>
          </w:tcPr>
          <w:p w14:paraId="0E347703" w14:textId="251EA34A" w:rsidR="00EF7C34" w:rsidRPr="00885AB3" w:rsidRDefault="00EF7C34" w:rsidP="00120D61">
            <w:pPr>
              <w:pStyle w:val="TableText0"/>
              <w:keepNext/>
              <w:rPr>
                <w:snapToGrid w:val="0"/>
                <w:szCs w:val="20"/>
              </w:rPr>
            </w:pPr>
            <w:r w:rsidRPr="00885AB3">
              <w:rPr>
                <w:snapToGrid w:val="0"/>
                <w:szCs w:val="20"/>
              </w:rPr>
              <w:t>0/2,809</w:t>
            </w:r>
          </w:p>
        </w:tc>
        <w:tc>
          <w:tcPr>
            <w:tcW w:w="588" w:type="pct"/>
            <w:tcMar>
              <w:left w:w="57" w:type="dxa"/>
              <w:right w:w="57" w:type="dxa"/>
            </w:tcMar>
            <w:vAlign w:val="center"/>
          </w:tcPr>
          <w:p w14:paraId="0DC65D5F" w14:textId="77777777" w:rsidR="00EF7C34" w:rsidRPr="00885AB3" w:rsidRDefault="00EF7C34" w:rsidP="00120D61">
            <w:pPr>
              <w:pStyle w:val="TableText0"/>
              <w:keepNext/>
              <w:rPr>
                <w:snapToGrid w:val="0"/>
                <w:szCs w:val="20"/>
              </w:rPr>
            </w:pPr>
            <w:r w:rsidRPr="00885AB3">
              <w:rPr>
                <w:snapToGrid w:val="0"/>
                <w:szCs w:val="20"/>
              </w:rPr>
              <w:t xml:space="preserve">100 </w:t>
            </w:r>
          </w:p>
          <w:p w14:paraId="0DF8D098" w14:textId="77777777" w:rsidR="00EF7C34" w:rsidRPr="00885AB3" w:rsidRDefault="00EF7C34" w:rsidP="00120D61">
            <w:pPr>
              <w:pStyle w:val="TableText0"/>
              <w:keepNext/>
              <w:rPr>
                <w:snapToGrid w:val="0"/>
                <w:szCs w:val="20"/>
              </w:rPr>
            </w:pPr>
            <w:r w:rsidRPr="00885AB3">
              <w:rPr>
                <w:snapToGrid w:val="0"/>
                <w:szCs w:val="20"/>
              </w:rPr>
              <w:t>(NE, 100)</w:t>
            </w:r>
          </w:p>
        </w:tc>
        <w:tc>
          <w:tcPr>
            <w:tcW w:w="485" w:type="pct"/>
            <w:tcMar>
              <w:left w:w="57" w:type="dxa"/>
              <w:right w:w="57" w:type="dxa"/>
            </w:tcMar>
            <w:vAlign w:val="center"/>
          </w:tcPr>
          <w:p w14:paraId="1D670AD9" w14:textId="2FDC6D84" w:rsidR="00EF7C34" w:rsidRPr="00885AB3" w:rsidRDefault="00EF7C34" w:rsidP="00120D61">
            <w:pPr>
              <w:pStyle w:val="TableText0"/>
              <w:keepNext/>
              <w:rPr>
                <w:snapToGrid w:val="0"/>
                <w:szCs w:val="20"/>
              </w:rPr>
            </w:pPr>
            <w:r w:rsidRPr="00885AB3">
              <w:rPr>
                <w:snapToGrid w:val="0"/>
                <w:szCs w:val="20"/>
              </w:rPr>
              <w:t>3/2904</w:t>
            </w:r>
          </w:p>
        </w:tc>
        <w:tc>
          <w:tcPr>
            <w:tcW w:w="485" w:type="pct"/>
            <w:tcMar>
              <w:left w:w="57" w:type="dxa"/>
              <w:right w:w="57" w:type="dxa"/>
            </w:tcMar>
            <w:vAlign w:val="center"/>
          </w:tcPr>
          <w:p w14:paraId="1517E015" w14:textId="70C6F74E" w:rsidR="00EF7C34" w:rsidRPr="00885AB3" w:rsidRDefault="00EF7C34" w:rsidP="00120D61">
            <w:pPr>
              <w:pStyle w:val="TableText0"/>
              <w:keepNext/>
              <w:rPr>
                <w:snapToGrid w:val="0"/>
                <w:szCs w:val="20"/>
              </w:rPr>
            </w:pPr>
            <w:r w:rsidRPr="00885AB3">
              <w:rPr>
                <w:snapToGrid w:val="0"/>
                <w:szCs w:val="20"/>
              </w:rPr>
              <w:t>0/2892</w:t>
            </w:r>
          </w:p>
        </w:tc>
        <w:tc>
          <w:tcPr>
            <w:tcW w:w="571" w:type="pct"/>
            <w:tcMar>
              <w:left w:w="57" w:type="dxa"/>
              <w:right w:w="57" w:type="dxa"/>
            </w:tcMar>
            <w:vAlign w:val="center"/>
          </w:tcPr>
          <w:p w14:paraId="4274D18F" w14:textId="77777777" w:rsidR="00BF5BAF" w:rsidRPr="00885AB3" w:rsidRDefault="00EF7C34" w:rsidP="00120D61">
            <w:pPr>
              <w:pStyle w:val="TableText0"/>
              <w:keepNext/>
              <w:rPr>
                <w:iCs/>
                <w:snapToGrid w:val="0"/>
                <w:szCs w:val="20"/>
              </w:rPr>
            </w:pPr>
            <w:r w:rsidRPr="00885AB3">
              <w:rPr>
                <w:iCs/>
                <w:snapToGrid w:val="0"/>
                <w:szCs w:val="20"/>
              </w:rPr>
              <w:t xml:space="preserve">100 </w:t>
            </w:r>
          </w:p>
          <w:p w14:paraId="4FFC306A" w14:textId="67870918" w:rsidR="00EF7C34" w:rsidRPr="00885AB3" w:rsidRDefault="00EF7C34" w:rsidP="00120D61">
            <w:pPr>
              <w:pStyle w:val="TableText0"/>
              <w:keepNext/>
              <w:rPr>
                <w:iCs/>
                <w:snapToGrid w:val="0"/>
                <w:szCs w:val="20"/>
              </w:rPr>
            </w:pPr>
            <w:r w:rsidRPr="00885AB3">
              <w:rPr>
                <w:iCs/>
                <w:snapToGrid w:val="0"/>
                <w:szCs w:val="20"/>
              </w:rPr>
              <w:t>(-142,100)</w:t>
            </w:r>
          </w:p>
        </w:tc>
        <w:tc>
          <w:tcPr>
            <w:tcW w:w="441" w:type="pct"/>
            <w:tcMar>
              <w:left w:w="57" w:type="dxa"/>
              <w:right w:w="57" w:type="dxa"/>
            </w:tcMar>
            <w:vAlign w:val="center"/>
          </w:tcPr>
          <w:p w14:paraId="18DA217C" w14:textId="30268C0D" w:rsidR="00EF7C34" w:rsidRPr="00885AB3" w:rsidRDefault="00EF7C34" w:rsidP="00120D61">
            <w:pPr>
              <w:pStyle w:val="TableText0"/>
              <w:keepNext/>
              <w:rPr>
                <w:snapToGrid w:val="0"/>
                <w:szCs w:val="20"/>
              </w:rPr>
            </w:pPr>
            <w:r w:rsidRPr="00885AB3">
              <w:rPr>
                <w:snapToGrid w:val="0"/>
                <w:szCs w:val="20"/>
              </w:rPr>
              <w:t>NR</w:t>
            </w:r>
          </w:p>
        </w:tc>
        <w:tc>
          <w:tcPr>
            <w:tcW w:w="441" w:type="pct"/>
            <w:tcMar>
              <w:left w:w="57" w:type="dxa"/>
              <w:right w:w="57" w:type="dxa"/>
            </w:tcMar>
            <w:vAlign w:val="center"/>
          </w:tcPr>
          <w:p w14:paraId="034356C3" w14:textId="58C9753A" w:rsidR="00EF7C34" w:rsidRPr="00885AB3" w:rsidRDefault="00EF7C34" w:rsidP="00120D61">
            <w:pPr>
              <w:pStyle w:val="TableText0"/>
              <w:keepNext/>
              <w:rPr>
                <w:snapToGrid w:val="0"/>
                <w:szCs w:val="20"/>
              </w:rPr>
            </w:pPr>
            <w:r w:rsidRPr="00885AB3">
              <w:rPr>
                <w:snapToGrid w:val="0"/>
                <w:szCs w:val="20"/>
              </w:rPr>
              <w:t>NR</w:t>
            </w:r>
          </w:p>
        </w:tc>
        <w:tc>
          <w:tcPr>
            <w:tcW w:w="515" w:type="pct"/>
            <w:tcMar>
              <w:left w:w="57" w:type="dxa"/>
              <w:right w:w="57" w:type="dxa"/>
            </w:tcMar>
            <w:vAlign w:val="center"/>
          </w:tcPr>
          <w:p w14:paraId="4964199B" w14:textId="61127B0E" w:rsidR="00EF7C34" w:rsidRPr="00885AB3" w:rsidRDefault="00EF7C34" w:rsidP="00120D61">
            <w:pPr>
              <w:pStyle w:val="TableText0"/>
              <w:keepNext/>
              <w:rPr>
                <w:snapToGrid w:val="0"/>
                <w:szCs w:val="20"/>
              </w:rPr>
            </w:pPr>
            <w:r w:rsidRPr="00885AB3">
              <w:rPr>
                <w:snapToGrid w:val="0"/>
                <w:szCs w:val="20"/>
              </w:rPr>
              <w:t>NR</w:t>
            </w:r>
          </w:p>
        </w:tc>
      </w:tr>
      <w:tr w:rsidR="00203FC7" w:rsidRPr="00885AB3" w14:paraId="0E515D2C" w14:textId="77777777" w:rsidTr="00203FC7">
        <w:tc>
          <w:tcPr>
            <w:tcW w:w="566" w:type="pct"/>
            <w:tcMar>
              <w:left w:w="57" w:type="dxa"/>
              <w:right w:w="57" w:type="dxa"/>
            </w:tcMar>
            <w:vAlign w:val="center"/>
          </w:tcPr>
          <w:p w14:paraId="00D06CDC" w14:textId="77777777" w:rsidR="00EF7C34" w:rsidRPr="00885AB3" w:rsidRDefault="00EF7C34" w:rsidP="00120D61">
            <w:pPr>
              <w:pStyle w:val="TableText0"/>
              <w:keepNext/>
              <w:jc w:val="left"/>
              <w:rPr>
                <w:snapToGrid w:val="0"/>
                <w:szCs w:val="20"/>
              </w:rPr>
            </w:pPr>
            <w:r w:rsidRPr="00885AB3">
              <w:rPr>
                <w:snapToGrid w:val="0"/>
                <w:szCs w:val="20"/>
              </w:rPr>
              <w:t>Additional Analysis</w:t>
            </w:r>
          </w:p>
        </w:tc>
        <w:tc>
          <w:tcPr>
            <w:tcW w:w="467" w:type="pct"/>
            <w:tcMar>
              <w:left w:w="57" w:type="dxa"/>
              <w:right w:w="57" w:type="dxa"/>
            </w:tcMar>
            <w:vAlign w:val="center"/>
          </w:tcPr>
          <w:p w14:paraId="56ECF243" w14:textId="79722AE0" w:rsidR="00EF7C34" w:rsidRPr="00885AB3" w:rsidRDefault="00EF7C34" w:rsidP="00120D61">
            <w:pPr>
              <w:pStyle w:val="TableText0"/>
              <w:keepNext/>
              <w:rPr>
                <w:snapToGrid w:val="0"/>
                <w:szCs w:val="20"/>
              </w:rPr>
            </w:pPr>
            <w:r w:rsidRPr="00885AB3">
              <w:rPr>
                <w:snapToGrid w:val="0"/>
                <w:szCs w:val="20"/>
              </w:rPr>
              <w:t>5/3,280</w:t>
            </w:r>
          </w:p>
        </w:tc>
        <w:tc>
          <w:tcPr>
            <w:tcW w:w="441" w:type="pct"/>
            <w:tcMar>
              <w:left w:w="57" w:type="dxa"/>
              <w:right w:w="57" w:type="dxa"/>
            </w:tcMar>
            <w:vAlign w:val="center"/>
          </w:tcPr>
          <w:p w14:paraId="5B16D2F9" w14:textId="60C5D70B" w:rsidR="00EF7C34" w:rsidRPr="00885AB3" w:rsidRDefault="00EF7C34" w:rsidP="00120D61">
            <w:pPr>
              <w:pStyle w:val="TableText0"/>
              <w:keepNext/>
              <w:rPr>
                <w:snapToGrid w:val="0"/>
                <w:szCs w:val="20"/>
              </w:rPr>
            </w:pPr>
            <w:r w:rsidRPr="00885AB3">
              <w:rPr>
                <w:snapToGrid w:val="0"/>
                <w:szCs w:val="20"/>
              </w:rPr>
              <w:t>3/3,282</w:t>
            </w:r>
          </w:p>
        </w:tc>
        <w:tc>
          <w:tcPr>
            <w:tcW w:w="588" w:type="pct"/>
            <w:tcMar>
              <w:left w:w="57" w:type="dxa"/>
              <w:right w:w="57" w:type="dxa"/>
            </w:tcMar>
            <w:vAlign w:val="center"/>
          </w:tcPr>
          <w:p w14:paraId="15A88F93" w14:textId="77777777" w:rsidR="00EF7C34" w:rsidRPr="00885AB3" w:rsidRDefault="00EF7C34" w:rsidP="00120D61">
            <w:pPr>
              <w:pStyle w:val="TableText0"/>
              <w:keepNext/>
              <w:rPr>
                <w:snapToGrid w:val="0"/>
                <w:szCs w:val="20"/>
              </w:rPr>
            </w:pPr>
            <w:r w:rsidRPr="00885AB3">
              <w:rPr>
                <w:snapToGrid w:val="0"/>
                <w:szCs w:val="20"/>
              </w:rPr>
              <w:t xml:space="preserve">40.1 </w:t>
            </w:r>
          </w:p>
          <w:p w14:paraId="7E98AA34" w14:textId="77777777" w:rsidR="00EF7C34" w:rsidRPr="00885AB3" w:rsidRDefault="00EF7C34" w:rsidP="00120D61">
            <w:pPr>
              <w:pStyle w:val="TableText0"/>
              <w:keepNext/>
              <w:rPr>
                <w:snapToGrid w:val="0"/>
                <w:szCs w:val="20"/>
              </w:rPr>
            </w:pPr>
            <w:r w:rsidRPr="00885AB3">
              <w:rPr>
                <w:snapToGrid w:val="0"/>
                <w:szCs w:val="20"/>
              </w:rPr>
              <w:t>(-150.8, 85.7)</w:t>
            </w:r>
          </w:p>
        </w:tc>
        <w:tc>
          <w:tcPr>
            <w:tcW w:w="485" w:type="pct"/>
            <w:tcMar>
              <w:left w:w="57" w:type="dxa"/>
              <w:right w:w="57" w:type="dxa"/>
            </w:tcMar>
            <w:vAlign w:val="center"/>
          </w:tcPr>
          <w:p w14:paraId="41C688BF" w14:textId="1A1585A6" w:rsidR="00EF7C34" w:rsidRPr="00885AB3" w:rsidRDefault="00EF7C34" w:rsidP="00120D61">
            <w:pPr>
              <w:pStyle w:val="TableText0"/>
              <w:keepNext/>
              <w:rPr>
                <w:snapToGrid w:val="0"/>
                <w:szCs w:val="20"/>
              </w:rPr>
            </w:pPr>
            <w:r w:rsidRPr="00885AB3">
              <w:rPr>
                <w:snapToGrid w:val="0"/>
                <w:szCs w:val="20"/>
              </w:rPr>
              <w:t>3/2477</w:t>
            </w:r>
          </w:p>
        </w:tc>
        <w:tc>
          <w:tcPr>
            <w:tcW w:w="485" w:type="pct"/>
            <w:tcMar>
              <w:left w:w="57" w:type="dxa"/>
              <w:right w:w="57" w:type="dxa"/>
            </w:tcMar>
            <w:vAlign w:val="center"/>
          </w:tcPr>
          <w:p w14:paraId="7878EAF7" w14:textId="25E770C0" w:rsidR="00EF7C34" w:rsidRPr="00885AB3" w:rsidRDefault="00EF7C34" w:rsidP="00120D61">
            <w:pPr>
              <w:pStyle w:val="TableText0"/>
              <w:keepNext/>
              <w:rPr>
                <w:snapToGrid w:val="0"/>
                <w:szCs w:val="20"/>
              </w:rPr>
            </w:pPr>
            <w:r w:rsidRPr="00885AB3">
              <w:rPr>
                <w:snapToGrid w:val="0"/>
                <w:szCs w:val="20"/>
              </w:rPr>
              <w:t>2/2486</w:t>
            </w:r>
          </w:p>
        </w:tc>
        <w:tc>
          <w:tcPr>
            <w:tcW w:w="571" w:type="pct"/>
            <w:tcMar>
              <w:left w:w="57" w:type="dxa"/>
              <w:right w:w="57" w:type="dxa"/>
            </w:tcMar>
            <w:vAlign w:val="center"/>
          </w:tcPr>
          <w:p w14:paraId="5596D8CC" w14:textId="77777777" w:rsidR="00EF7C34" w:rsidRPr="00885AB3" w:rsidRDefault="00EF7C34" w:rsidP="00120D61">
            <w:pPr>
              <w:pStyle w:val="TableText0"/>
              <w:keepNext/>
              <w:rPr>
                <w:iCs/>
                <w:snapToGrid w:val="0"/>
                <w:szCs w:val="20"/>
              </w:rPr>
            </w:pPr>
            <w:r w:rsidRPr="00885AB3">
              <w:rPr>
                <w:iCs/>
                <w:snapToGrid w:val="0"/>
                <w:szCs w:val="20"/>
              </w:rPr>
              <w:t xml:space="preserve">33.3 </w:t>
            </w:r>
          </w:p>
          <w:p w14:paraId="570CFB33" w14:textId="1707E3BA" w:rsidR="00EF7C34" w:rsidRPr="00885AB3" w:rsidRDefault="00EF7C34" w:rsidP="00120D61">
            <w:pPr>
              <w:pStyle w:val="TableText0"/>
              <w:keepNext/>
              <w:rPr>
                <w:iCs/>
                <w:snapToGrid w:val="0"/>
                <w:szCs w:val="20"/>
              </w:rPr>
            </w:pPr>
            <w:r w:rsidRPr="00885AB3">
              <w:rPr>
                <w:iCs/>
                <w:snapToGrid w:val="0"/>
                <w:szCs w:val="20"/>
              </w:rPr>
              <w:t>(-482.0-94.4)</w:t>
            </w:r>
          </w:p>
        </w:tc>
        <w:tc>
          <w:tcPr>
            <w:tcW w:w="441" w:type="pct"/>
            <w:tcMar>
              <w:left w:w="57" w:type="dxa"/>
              <w:right w:w="57" w:type="dxa"/>
            </w:tcMar>
            <w:vAlign w:val="center"/>
          </w:tcPr>
          <w:p w14:paraId="280DAC18" w14:textId="4D4E1F8E" w:rsidR="00EF7C34" w:rsidRPr="00885AB3" w:rsidRDefault="00EF7C34" w:rsidP="00120D61">
            <w:pPr>
              <w:pStyle w:val="TableText0"/>
              <w:keepNext/>
              <w:rPr>
                <w:snapToGrid w:val="0"/>
                <w:szCs w:val="20"/>
              </w:rPr>
            </w:pPr>
            <w:r w:rsidRPr="00885AB3">
              <w:rPr>
                <w:snapToGrid w:val="0"/>
                <w:szCs w:val="20"/>
              </w:rPr>
              <w:t>NR</w:t>
            </w:r>
          </w:p>
        </w:tc>
        <w:tc>
          <w:tcPr>
            <w:tcW w:w="441" w:type="pct"/>
            <w:tcMar>
              <w:left w:w="57" w:type="dxa"/>
              <w:right w:w="57" w:type="dxa"/>
            </w:tcMar>
            <w:vAlign w:val="center"/>
          </w:tcPr>
          <w:p w14:paraId="2F8FE305" w14:textId="0A379D87" w:rsidR="00EF7C34" w:rsidRPr="00885AB3" w:rsidRDefault="00EF7C34" w:rsidP="00120D61">
            <w:pPr>
              <w:pStyle w:val="TableText0"/>
              <w:keepNext/>
              <w:rPr>
                <w:snapToGrid w:val="0"/>
                <w:szCs w:val="20"/>
              </w:rPr>
            </w:pPr>
            <w:r w:rsidRPr="00885AB3">
              <w:rPr>
                <w:snapToGrid w:val="0"/>
                <w:szCs w:val="20"/>
              </w:rPr>
              <w:t>NR</w:t>
            </w:r>
          </w:p>
        </w:tc>
        <w:tc>
          <w:tcPr>
            <w:tcW w:w="515" w:type="pct"/>
            <w:tcMar>
              <w:left w:w="57" w:type="dxa"/>
              <w:right w:w="57" w:type="dxa"/>
            </w:tcMar>
            <w:vAlign w:val="center"/>
          </w:tcPr>
          <w:p w14:paraId="624BBAFD" w14:textId="129C685E" w:rsidR="00EF7C34" w:rsidRPr="00885AB3" w:rsidRDefault="00EF7C34" w:rsidP="00120D61">
            <w:pPr>
              <w:pStyle w:val="TableText0"/>
              <w:keepNext/>
              <w:rPr>
                <w:snapToGrid w:val="0"/>
                <w:szCs w:val="20"/>
              </w:rPr>
            </w:pPr>
            <w:r w:rsidRPr="00885AB3">
              <w:rPr>
                <w:snapToGrid w:val="0"/>
                <w:szCs w:val="20"/>
              </w:rPr>
              <w:t>NR</w:t>
            </w:r>
          </w:p>
        </w:tc>
      </w:tr>
      <w:tr w:rsidR="00203FC7" w:rsidRPr="00885AB3" w14:paraId="4CB07C11" w14:textId="77777777" w:rsidTr="00203FC7">
        <w:tc>
          <w:tcPr>
            <w:tcW w:w="566" w:type="pct"/>
            <w:tcMar>
              <w:left w:w="57" w:type="dxa"/>
              <w:right w:w="57" w:type="dxa"/>
            </w:tcMar>
            <w:vAlign w:val="center"/>
          </w:tcPr>
          <w:p w14:paraId="62700B9E" w14:textId="77777777" w:rsidR="00EF7C34" w:rsidRPr="00885AB3" w:rsidRDefault="00EF7C34" w:rsidP="00120D61">
            <w:pPr>
              <w:pStyle w:val="TableText0"/>
              <w:keepNext/>
              <w:jc w:val="left"/>
              <w:rPr>
                <w:snapToGrid w:val="0"/>
                <w:szCs w:val="20"/>
              </w:rPr>
            </w:pPr>
            <w:r w:rsidRPr="00885AB3">
              <w:rPr>
                <w:snapToGrid w:val="0"/>
                <w:szCs w:val="20"/>
              </w:rPr>
              <w:t>Extended Analysis / Season 1&amp;2</w:t>
            </w:r>
          </w:p>
        </w:tc>
        <w:tc>
          <w:tcPr>
            <w:tcW w:w="467" w:type="pct"/>
            <w:tcMar>
              <w:left w:w="57" w:type="dxa"/>
              <w:right w:w="57" w:type="dxa"/>
            </w:tcMar>
            <w:vAlign w:val="center"/>
          </w:tcPr>
          <w:p w14:paraId="7F7A93CC" w14:textId="5C38FD88" w:rsidR="00EF7C34" w:rsidRPr="00885AB3" w:rsidRDefault="00EF7C34" w:rsidP="00120D61">
            <w:pPr>
              <w:pStyle w:val="TableText0"/>
              <w:keepNext/>
              <w:rPr>
                <w:snapToGrid w:val="0"/>
                <w:szCs w:val="20"/>
              </w:rPr>
            </w:pPr>
            <w:r w:rsidRPr="00885AB3">
              <w:rPr>
                <w:snapToGrid w:val="0"/>
                <w:szCs w:val="20"/>
              </w:rPr>
              <w:t>16/3,283</w:t>
            </w:r>
          </w:p>
        </w:tc>
        <w:tc>
          <w:tcPr>
            <w:tcW w:w="441" w:type="pct"/>
            <w:tcMar>
              <w:left w:w="57" w:type="dxa"/>
              <w:right w:w="57" w:type="dxa"/>
            </w:tcMar>
            <w:vAlign w:val="center"/>
          </w:tcPr>
          <w:p w14:paraId="1C84EC6D" w14:textId="0A19B864" w:rsidR="00EF7C34" w:rsidRPr="00885AB3" w:rsidRDefault="00EF7C34" w:rsidP="00120D61">
            <w:pPr>
              <w:pStyle w:val="TableText0"/>
              <w:keepNext/>
              <w:rPr>
                <w:snapToGrid w:val="0"/>
                <w:szCs w:val="20"/>
              </w:rPr>
            </w:pPr>
            <w:r w:rsidRPr="00885AB3">
              <w:rPr>
                <w:snapToGrid w:val="0"/>
                <w:szCs w:val="20"/>
              </w:rPr>
              <w:t>9/3,282</w:t>
            </w:r>
          </w:p>
        </w:tc>
        <w:tc>
          <w:tcPr>
            <w:tcW w:w="588" w:type="pct"/>
            <w:tcMar>
              <w:left w:w="57" w:type="dxa"/>
              <w:right w:w="57" w:type="dxa"/>
            </w:tcMar>
            <w:vAlign w:val="center"/>
          </w:tcPr>
          <w:p w14:paraId="326EDA0E" w14:textId="77777777" w:rsidR="00EF7C34" w:rsidRPr="00885AB3" w:rsidRDefault="00EF7C34" w:rsidP="00120D61">
            <w:pPr>
              <w:pStyle w:val="TableText0"/>
              <w:keepNext/>
              <w:rPr>
                <w:snapToGrid w:val="0"/>
                <w:szCs w:val="20"/>
              </w:rPr>
            </w:pPr>
            <w:r w:rsidRPr="00885AB3">
              <w:rPr>
                <w:snapToGrid w:val="0"/>
                <w:szCs w:val="20"/>
              </w:rPr>
              <w:t xml:space="preserve">43.8 </w:t>
            </w:r>
          </w:p>
          <w:p w14:paraId="61B0175C" w14:textId="77777777" w:rsidR="00EF7C34" w:rsidRPr="00885AB3" w:rsidRDefault="00EF7C34" w:rsidP="00120D61">
            <w:pPr>
              <w:pStyle w:val="TableText0"/>
              <w:keepNext/>
              <w:rPr>
                <w:snapToGrid w:val="0"/>
                <w:szCs w:val="20"/>
              </w:rPr>
            </w:pPr>
            <w:r w:rsidRPr="00885AB3">
              <w:rPr>
                <w:snapToGrid w:val="0"/>
                <w:szCs w:val="20"/>
              </w:rPr>
              <w:t>(-27.1, 75.2)</w:t>
            </w:r>
          </w:p>
        </w:tc>
        <w:tc>
          <w:tcPr>
            <w:tcW w:w="485" w:type="pct"/>
            <w:tcMar>
              <w:left w:w="57" w:type="dxa"/>
              <w:right w:w="57" w:type="dxa"/>
            </w:tcMar>
            <w:vAlign w:val="center"/>
          </w:tcPr>
          <w:p w14:paraId="3B7D212E" w14:textId="44CAAFFF" w:rsidR="00EF7C34" w:rsidRPr="00885AB3" w:rsidRDefault="00EF7C34" w:rsidP="00120D61">
            <w:pPr>
              <w:pStyle w:val="TableText0"/>
              <w:keepNext/>
              <w:rPr>
                <w:snapToGrid w:val="0"/>
                <w:szCs w:val="20"/>
              </w:rPr>
            </w:pPr>
            <w:r w:rsidRPr="00885AB3">
              <w:rPr>
                <w:snapToGrid w:val="0"/>
                <w:szCs w:val="20"/>
              </w:rPr>
              <w:t>6/2904</w:t>
            </w:r>
          </w:p>
        </w:tc>
        <w:tc>
          <w:tcPr>
            <w:tcW w:w="485" w:type="pct"/>
            <w:tcMar>
              <w:left w:w="57" w:type="dxa"/>
              <w:right w:w="57" w:type="dxa"/>
            </w:tcMar>
            <w:vAlign w:val="center"/>
          </w:tcPr>
          <w:p w14:paraId="4A6EA5BF" w14:textId="4679A6FA" w:rsidR="00EF7C34" w:rsidRPr="00885AB3" w:rsidRDefault="00EF7C34" w:rsidP="00120D61">
            <w:pPr>
              <w:pStyle w:val="TableText0"/>
              <w:keepNext/>
              <w:rPr>
                <w:snapToGrid w:val="0"/>
                <w:szCs w:val="20"/>
              </w:rPr>
            </w:pPr>
            <w:r w:rsidRPr="00885AB3" w:rsidDel="000C09E1">
              <w:rPr>
                <w:snapToGrid w:val="0"/>
                <w:szCs w:val="20"/>
              </w:rPr>
              <w:t>2</w:t>
            </w:r>
            <w:r w:rsidRPr="00885AB3">
              <w:rPr>
                <w:snapToGrid w:val="0"/>
                <w:szCs w:val="20"/>
              </w:rPr>
              <w:t>/2892</w:t>
            </w:r>
          </w:p>
        </w:tc>
        <w:tc>
          <w:tcPr>
            <w:tcW w:w="571" w:type="pct"/>
            <w:tcMar>
              <w:left w:w="57" w:type="dxa"/>
              <w:right w:w="57" w:type="dxa"/>
            </w:tcMar>
            <w:vAlign w:val="center"/>
          </w:tcPr>
          <w:p w14:paraId="2023107E" w14:textId="77777777" w:rsidR="0051091C" w:rsidRPr="00885AB3" w:rsidRDefault="00EF7C34" w:rsidP="00120D61">
            <w:pPr>
              <w:pStyle w:val="TableText0"/>
              <w:keepNext/>
              <w:rPr>
                <w:iCs/>
                <w:snapToGrid w:val="0"/>
                <w:szCs w:val="20"/>
              </w:rPr>
            </w:pPr>
            <w:r w:rsidRPr="00885AB3">
              <w:rPr>
                <w:iCs/>
                <w:snapToGrid w:val="0"/>
                <w:szCs w:val="20"/>
              </w:rPr>
              <w:t xml:space="preserve">66.7 </w:t>
            </w:r>
          </w:p>
          <w:p w14:paraId="5C658965" w14:textId="7D1B6C9F" w:rsidR="00EF7C34" w:rsidRPr="00885AB3" w:rsidRDefault="00EF7C34" w:rsidP="00120D61">
            <w:pPr>
              <w:pStyle w:val="TableText0"/>
              <w:keepNext/>
              <w:rPr>
                <w:iCs/>
                <w:snapToGrid w:val="0"/>
                <w:szCs w:val="20"/>
              </w:rPr>
            </w:pPr>
            <w:r w:rsidRPr="00885AB3">
              <w:rPr>
                <w:iCs/>
                <w:snapToGrid w:val="0"/>
                <w:szCs w:val="20"/>
              </w:rPr>
              <w:t xml:space="preserve">(-86.4,96.7) </w:t>
            </w:r>
          </w:p>
        </w:tc>
        <w:tc>
          <w:tcPr>
            <w:tcW w:w="441" w:type="pct"/>
            <w:tcMar>
              <w:left w:w="57" w:type="dxa"/>
              <w:right w:w="57" w:type="dxa"/>
            </w:tcMar>
            <w:vAlign w:val="center"/>
          </w:tcPr>
          <w:p w14:paraId="3E54E259" w14:textId="1E481666" w:rsidR="00EF7C34" w:rsidRPr="00885AB3" w:rsidRDefault="00EF7C34" w:rsidP="00120D61">
            <w:pPr>
              <w:pStyle w:val="TableText0"/>
              <w:keepNext/>
              <w:rPr>
                <w:snapToGrid w:val="0"/>
                <w:szCs w:val="20"/>
              </w:rPr>
            </w:pPr>
            <w:r w:rsidRPr="00885AB3">
              <w:rPr>
                <w:snapToGrid w:val="0"/>
                <w:szCs w:val="20"/>
              </w:rPr>
              <w:t>NR</w:t>
            </w:r>
          </w:p>
        </w:tc>
        <w:tc>
          <w:tcPr>
            <w:tcW w:w="441" w:type="pct"/>
            <w:tcMar>
              <w:left w:w="57" w:type="dxa"/>
              <w:right w:w="57" w:type="dxa"/>
            </w:tcMar>
            <w:vAlign w:val="center"/>
          </w:tcPr>
          <w:p w14:paraId="597C576F" w14:textId="06EC69AA" w:rsidR="00EF7C34" w:rsidRPr="00885AB3" w:rsidRDefault="00EF7C34" w:rsidP="00120D61">
            <w:pPr>
              <w:pStyle w:val="TableText0"/>
              <w:keepNext/>
              <w:rPr>
                <w:snapToGrid w:val="0"/>
                <w:szCs w:val="20"/>
              </w:rPr>
            </w:pPr>
            <w:r w:rsidRPr="00885AB3">
              <w:rPr>
                <w:snapToGrid w:val="0"/>
                <w:szCs w:val="20"/>
              </w:rPr>
              <w:t>NR</w:t>
            </w:r>
          </w:p>
        </w:tc>
        <w:tc>
          <w:tcPr>
            <w:tcW w:w="515" w:type="pct"/>
            <w:tcMar>
              <w:left w:w="57" w:type="dxa"/>
              <w:right w:w="57" w:type="dxa"/>
            </w:tcMar>
            <w:vAlign w:val="center"/>
          </w:tcPr>
          <w:p w14:paraId="123314C5" w14:textId="7401CB3D" w:rsidR="00EF7C34" w:rsidRPr="00885AB3" w:rsidRDefault="00EF7C34" w:rsidP="00120D61">
            <w:pPr>
              <w:pStyle w:val="TableText0"/>
              <w:keepNext/>
              <w:rPr>
                <w:snapToGrid w:val="0"/>
                <w:szCs w:val="20"/>
              </w:rPr>
            </w:pPr>
            <w:r w:rsidRPr="00885AB3">
              <w:rPr>
                <w:snapToGrid w:val="0"/>
                <w:szCs w:val="20"/>
              </w:rPr>
              <w:t>NR</w:t>
            </w:r>
          </w:p>
        </w:tc>
      </w:tr>
    </w:tbl>
    <w:p w14:paraId="2994825A" w14:textId="77777777" w:rsidR="007B7E9D" w:rsidRPr="00885AB3" w:rsidRDefault="007B7E9D" w:rsidP="00120D61">
      <w:pPr>
        <w:pStyle w:val="TableFigureFooter"/>
        <w:keepNext/>
        <w:rPr>
          <w:rFonts w:eastAsia="Calibri"/>
          <w:lang w:eastAsia="en-US"/>
        </w:rPr>
      </w:pPr>
      <w:r w:rsidRPr="00885AB3">
        <w:rPr>
          <w:rFonts w:eastAsia="Calibri"/>
          <w:lang w:eastAsia="en-US"/>
        </w:rPr>
        <w:t xml:space="preserve">Source: Table 2-124, p204 of the submission. Table 9, p19 of </w:t>
      </w:r>
      <w:proofErr w:type="spellStart"/>
      <w:r w:rsidRPr="00885AB3">
        <w:rPr>
          <w:rFonts w:eastAsia="Calibri"/>
          <w:lang w:eastAsia="en-US"/>
        </w:rPr>
        <w:t>RSVPreF</w:t>
      </w:r>
      <w:proofErr w:type="spellEnd"/>
      <w:r w:rsidRPr="00885AB3">
        <w:rPr>
          <w:rFonts w:eastAsia="Calibri"/>
          <w:lang w:eastAsia="en-US"/>
        </w:rPr>
        <w:t xml:space="preserve"> PSD, November 2024 PBAC meeting.</w:t>
      </w:r>
    </w:p>
    <w:p w14:paraId="415978EF" w14:textId="38F589AC" w:rsidR="007B7E9D" w:rsidRPr="00885AB3" w:rsidRDefault="007B7E9D" w:rsidP="00120D61">
      <w:pPr>
        <w:pStyle w:val="TableFigureFooter"/>
        <w:keepNext/>
        <w:rPr>
          <w:rFonts w:eastAsia="Calibri"/>
          <w:lang w:eastAsia="en-US"/>
        </w:rPr>
      </w:pPr>
      <w:r w:rsidRPr="00885AB3">
        <w:rPr>
          <w:rFonts w:eastAsia="Calibri"/>
          <w:lang w:eastAsia="en-US"/>
        </w:rPr>
        <w:t xml:space="preserve">CI = confidence interval; ITC = indirect treatment comparison; RSV-ARD = </w:t>
      </w:r>
      <w:r w:rsidRPr="00885AB3">
        <w:t>respiratory syncytial virus</w:t>
      </w:r>
      <w:r w:rsidRPr="00885AB3">
        <w:rPr>
          <w:rFonts w:eastAsia="Calibri"/>
          <w:lang w:eastAsia="en-US"/>
        </w:rPr>
        <w:t xml:space="preserve"> acute respiratory disease; RSV-LRTD = </w:t>
      </w:r>
      <w:r w:rsidRPr="00885AB3">
        <w:t>respiratory syncytial virus related</w:t>
      </w:r>
      <w:r w:rsidRPr="00885AB3">
        <w:rPr>
          <w:rFonts w:eastAsia="Calibri"/>
          <w:lang w:eastAsia="en-US"/>
        </w:rPr>
        <w:t xml:space="preserve"> lower respiratory track disease; NE = not estimable; NR = not reported; VE = vaccine efficacy; YOA = years of age.</w:t>
      </w:r>
      <w:r w:rsidR="000B4765" w:rsidRPr="00885AB3">
        <w:rPr>
          <w:rFonts w:eastAsia="Calibri"/>
          <w:lang w:eastAsia="en-US"/>
        </w:rPr>
        <w:t xml:space="preserve"> </w:t>
      </w:r>
      <w:r w:rsidRPr="00885AB3">
        <w:rPr>
          <w:rFonts w:eastAsia="Calibri"/>
          <w:lang w:eastAsia="en-US"/>
        </w:rPr>
        <w:t xml:space="preserve">Several errors were noted in the submission Table 2-124 and have been corrected in </w:t>
      </w:r>
      <w:r w:rsidR="00827C81" w:rsidRPr="00885AB3">
        <w:rPr>
          <w:rFonts w:eastAsia="Calibri"/>
          <w:lang w:eastAsia="en-US"/>
        </w:rPr>
        <w:t>this table</w:t>
      </w:r>
      <w:r w:rsidRPr="00885AB3">
        <w:rPr>
          <w:rFonts w:eastAsia="Calibri"/>
          <w:lang w:eastAsia="en-US"/>
        </w:rPr>
        <w:t>.</w:t>
      </w:r>
    </w:p>
    <w:p w14:paraId="4C6323EE" w14:textId="74D696A9" w:rsidR="00B71D4A" w:rsidRPr="00885AB3" w:rsidRDefault="007B7E9D" w:rsidP="00120D61">
      <w:pPr>
        <w:pStyle w:val="TableFigureFooter"/>
        <w:keepNext/>
        <w:rPr>
          <w:vertAlign w:val="superscript"/>
        </w:rPr>
      </w:pPr>
      <w:r w:rsidRPr="00885AB3">
        <w:rPr>
          <w:vertAlign w:val="superscript"/>
        </w:rPr>
        <w:t xml:space="preserve">a </w:t>
      </w:r>
      <w:r w:rsidRPr="00885AB3">
        <w:t xml:space="preserve">Sourced during the evaluation from Table 9, </w:t>
      </w:r>
      <w:proofErr w:type="spellStart"/>
      <w:r w:rsidRPr="00885AB3">
        <w:t>RSVPreF</w:t>
      </w:r>
      <w:proofErr w:type="spellEnd"/>
      <w:r w:rsidRPr="00885AB3">
        <w:t xml:space="preserve"> PSD, November 2024.</w:t>
      </w:r>
      <w:r w:rsidR="001C78D7">
        <w:t xml:space="preserve"> </w:t>
      </w:r>
    </w:p>
    <w:p w14:paraId="3699C5CC" w14:textId="77777777" w:rsidR="00360BA3" w:rsidRPr="00885AB3" w:rsidRDefault="00360BA3" w:rsidP="00120D61">
      <w:pPr>
        <w:pStyle w:val="3-BodyText"/>
        <w:numPr>
          <w:ilvl w:val="0"/>
          <w:numId w:val="0"/>
        </w:numPr>
        <w:ind w:left="720" w:hanging="720"/>
        <w:rPr>
          <w:rFonts w:cs="Calibri"/>
          <w:i/>
          <w:iCs/>
        </w:rPr>
        <w:sectPr w:rsidR="00360BA3" w:rsidRPr="00885AB3" w:rsidSect="0078132A">
          <w:pgSz w:w="16840" w:h="11907" w:orient="landscape" w:code="9"/>
          <w:pgMar w:top="1440" w:right="1440" w:bottom="1440" w:left="1440" w:header="1440" w:footer="1440" w:gutter="0"/>
          <w:cols w:space="708"/>
          <w:docGrid w:linePitch="360"/>
        </w:sectPr>
      </w:pPr>
    </w:p>
    <w:p w14:paraId="5DAA99D1" w14:textId="77777777" w:rsidR="007B7E9D" w:rsidRPr="00885AB3" w:rsidRDefault="007B7E9D" w:rsidP="00120D61">
      <w:pPr>
        <w:pStyle w:val="3-BodyText"/>
        <w:numPr>
          <w:ilvl w:val="0"/>
          <w:numId w:val="0"/>
        </w:numPr>
        <w:ind w:left="720" w:hanging="720"/>
        <w:rPr>
          <w:rFonts w:cs="Calibri"/>
          <w:i/>
          <w:iCs/>
        </w:rPr>
      </w:pPr>
    </w:p>
    <w:p w14:paraId="112D3027" w14:textId="775BC76F" w:rsidR="006A1AFC" w:rsidRPr="00885AB3" w:rsidRDefault="006A1AFC" w:rsidP="00120D61">
      <w:pPr>
        <w:pStyle w:val="TableFigureHeading"/>
      </w:pPr>
      <w:bookmarkStart w:id="80" w:name="_Ref208304196"/>
      <w:r w:rsidRPr="00885AB3">
        <w:t xml:space="preserve">Table </w:t>
      </w:r>
      <w:r w:rsidR="008A242D" w:rsidRPr="00885AB3">
        <w:fldChar w:fldCharType="begin" w:fldLock="1"/>
      </w:r>
      <w:r w:rsidR="008A242D" w:rsidRPr="00885AB3">
        <w:instrText xml:space="preserve"> SEQ Table \* ARABIC </w:instrText>
      </w:r>
      <w:r w:rsidR="008A242D" w:rsidRPr="00885AB3">
        <w:fldChar w:fldCharType="separate"/>
      </w:r>
      <w:r w:rsidR="00515933" w:rsidRPr="00885AB3">
        <w:t>11</w:t>
      </w:r>
      <w:r w:rsidR="008A242D" w:rsidRPr="00885AB3">
        <w:fldChar w:fldCharType="end"/>
      </w:r>
      <w:bookmarkEnd w:id="80"/>
      <w:r w:rsidRPr="00885AB3">
        <w:t xml:space="preserve">: Bucher ITC results in participants </w:t>
      </w:r>
      <w:r w:rsidR="00EF2FA4">
        <w:t xml:space="preserve">≥ </w:t>
      </w:r>
      <w:r w:rsidRPr="00885AB3">
        <w:t>75 YOA</w:t>
      </w:r>
      <w:r w:rsidR="008705AA" w:rsidRPr="00885AB3">
        <w:t xml:space="preserve"> (after correction during evaluation)</w:t>
      </w:r>
    </w:p>
    <w:tbl>
      <w:tblPr>
        <w:tblStyle w:val="TableGrid"/>
        <w:tblW w:w="5000" w:type="pct"/>
        <w:tblLook w:val="04A0" w:firstRow="1" w:lastRow="0" w:firstColumn="1" w:lastColumn="0" w:noHBand="0" w:noVBand="1"/>
        <w:tblCaption w:val="Table 11: Bucher ITC results in participants ≥75 YOA (after correction during evaluation)"/>
      </w:tblPr>
      <w:tblGrid>
        <w:gridCol w:w="2181"/>
        <w:gridCol w:w="3279"/>
        <w:gridCol w:w="1300"/>
        <w:gridCol w:w="1127"/>
        <w:gridCol w:w="1130"/>
      </w:tblGrid>
      <w:tr w:rsidR="006A1AFC" w:rsidRPr="00885AB3" w14:paraId="2E47B7F9" w14:textId="77777777" w:rsidTr="001C7F31">
        <w:trPr>
          <w:trHeight w:val="300"/>
        </w:trPr>
        <w:tc>
          <w:tcPr>
            <w:tcW w:w="1255" w:type="pct"/>
            <w:noWrap/>
            <w:vAlign w:val="center"/>
          </w:tcPr>
          <w:p w14:paraId="0D9D11E7" w14:textId="14C388CF" w:rsidR="006A1AFC" w:rsidRPr="00885AB3" w:rsidRDefault="006A1AFC" w:rsidP="00120D61">
            <w:pPr>
              <w:keepNext/>
              <w:keepLines/>
              <w:jc w:val="center"/>
              <w:rPr>
                <w:rFonts w:ascii="Arial Narrow" w:eastAsia="MS Gothic" w:hAnsi="Arial Narrow"/>
                <w:b/>
                <w:sz w:val="20"/>
                <w:szCs w:val="20"/>
              </w:rPr>
            </w:pPr>
            <w:r w:rsidRPr="00885AB3">
              <w:rPr>
                <w:rFonts w:ascii="Arial Narrow" w:eastAsia="MS Gothic" w:hAnsi="Arial Narrow"/>
                <w:b/>
                <w:sz w:val="20"/>
                <w:szCs w:val="20"/>
              </w:rPr>
              <w:t>Outcome</w:t>
            </w:r>
          </w:p>
        </w:tc>
        <w:tc>
          <w:tcPr>
            <w:tcW w:w="1415" w:type="pct"/>
            <w:noWrap/>
            <w:vAlign w:val="center"/>
          </w:tcPr>
          <w:p w14:paraId="5DC47434" w14:textId="7624C6E9" w:rsidR="006A1AFC" w:rsidRPr="00885AB3" w:rsidRDefault="006A1AFC" w:rsidP="00120D61">
            <w:pPr>
              <w:keepNext/>
              <w:keepLines/>
              <w:jc w:val="center"/>
              <w:rPr>
                <w:rFonts w:ascii="Arial Narrow" w:eastAsia="MS Gothic" w:hAnsi="Arial Narrow"/>
                <w:b/>
                <w:sz w:val="20"/>
                <w:szCs w:val="20"/>
              </w:rPr>
            </w:pPr>
            <w:r w:rsidRPr="00885AB3">
              <w:rPr>
                <w:rFonts w:ascii="Arial Narrow" w:eastAsia="MS Gothic" w:hAnsi="Arial Narrow"/>
                <w:b/>
                <w:sz w:val="20"/>
                <w:szCs w:val="20"/>
              </w:rPr>
              <w:t>Comparison</w:t>
            </w:r>
          </w:p>
        </w:tc>
        <w:tc>
          <w:tcPr>
            <w:tcW w:w="877" w:type="pct"/>
            <w:vAlign w:val="center"/>
          </w:tcPr>
          <w:p w14:paraId="54AACBF3" w14:textId="2C642E50" w:rsidR="006A1AFC" w:rsidRPr="00885AB3" w:rsidRDefault="006A1AFC" w:rsidP="00120D61">
            <w:pPr>
              <w:keepNext/>
              <w:keepLines/>
              <w:jc w:val="center"/>
              <w:rPr>
                <w:rFonts w:ascii="Arial Narrow" w:eastAsia="MS Gothic" w:hAnsi="Arial Narrow"/>
                <w:b/>
                <w:sz w:val="20"/>
                <w:szCs w:val="20"/>
              </w:rPr>
            </w:pPr>
            <w:r w:rsidRPr="00885AB3">
              <w:rPr>
                <w:rFonts w:ascii="Arial Narrow" w:eastAsia="MS Gothic" w:hAnsi="Arial Narrow"/>
                <w:b/>
                <w:sz w:val="20"/>
                <w:szCs w:val="20"/>
              </w:rPr>
              <w:t>RR (incidence rate)</w:t>
            </w:r>
          </w:p>
        </w:tc>
        <w:tc>
          <w:tcPr>
            <w:tcW w:w="726" w:type="pct"/>
            <w:vAlign w:val="center"/>
          </w:tcPr>
          <w:p w14:paraId="375F1A0C" w14:textId="77777777" w:rsidR="006A1AFC" w:rsidRPr="00885AB3" w:rsidRDefault="006A1AFC" w:rsidP="00120D61">
            <w:pPr>
              <w:keepNext/>
              <w:keepLines/>
              <w:jc w:val="center"/>
              <w:rPr>
                <w:rFonts w:ascii="Arial Narrow" w:eastAsia="MS Gothic" w:hAnsi="Arial Narrow"/>
                <w:b/>
                <w:sz w:val="20"/>
                <w:szCs w:val="20"/>
              </w:rPr>
            </w:pPr>
            <w:r w:rsidRPr="00885AB3">
              <w:rPr>
                <w:rFonts w:ascii="Arial Narrow" w:eastAsia="MS Gothic" w:hAnsi="Arial Narrow"/>
                <w:b/>
                <w:sz w:val="20"/>
                <w:szCs w:val="20"/>
              </w:rPr>
              <w:t>95% CI</w:t>
            </w:r>
          </w:p>
        </w:tc>
        <w:tc>
          <w:tcPr>
            <w:tcW w:w="727" w:type="pct"/>
            <w:vAlign w:val="center"/>
          </w:tcPr>
          <w:p w14:paraId="5676FFFF" w14:textId="77777777" w:rsidR="006A1AFC" w:rsidRPr="00885AB3" w:rsidRDefault="006A1AFC" w:rsidP="00120D61">
            <w:pPr>
              <w:keepNext/>
              <w:keepLines/>
              <w:jc w:val="center"/>
              <w:rPr>
                <w:rFonts w:ascii="Arial Narrow" w:eastAsia="MS Gothic" w:hAnsi="Arial Narrow"/>
                <w:b/>
                <w:sz w:val="20"/>
                <w:szCs w:val="20"/>
              </w:rPr>
            </w:pPr>
            <w:r w:rsidRPr="00885AB3">
              <w:rPr>
                <w:rFonts w:ascii="Arial Narrow" w:eastAsia="MS Gothic" w:hAnsi="Arial Narrow"/>
                <w:b/>
                <w:sz w:val="20"/>
                <w:szCs w:val="20"/>
              </w:rPr>
              <w:t>p-value</w:t>
            </w:r>
          </w:p>
        </w:tc>
      </w:tr>
      <w:tr w:rsidR="006A1AFC" w:rsidRPr="00885AB3" w14:paraId="3E285B1A" w14:textId="77777777" w:rsidTr="00F44A0A">
        <w:trPr>
          <w:trHeight w:val="300"/>
        </w:trPr>
        <w:tc>
          <w:tcPr>
            <w:tcW w:w="5000" w:type="pct"/>
            <w:gridSpan w:val="5"/>
            <w:noWrap/>
          </w:tcPr>
          <w:p w14:paraId="1069993C" w14:textId="77777777" w:rsidR="006A1AFC" w:rsidRPr="00885AB3" w:rsidRDefault="006A1AFC" w:rsidP="00120D61">
            <w:pPr>
              <w:keepNext/>
              <w:keepLines/>
              <w:rPr>
                <w:rFonts w:ascii="Arial Narrow" w:eastAsia="MS Gothic" w:hAnsi="Arial Narrow"/>
                <w:b/>
                <w:sz w:val="20"/>
                <w:szCs w:val="20"/>
              </w:rPr>
            </w:pPr>
            <w:r w:rsidRPr="00885AB3">
              <w:rPr>
                <w:rFonts w:ascii="Arial Narrow" w:eastAsia="MS Gothic" w:hAnsi="Arial Narrow"/>
                <w:b/>
                <w:sz w:val="20"/>
                <w:szCs w:val="20"/>
              </w:rPr>
              <w:t>Base case</w:t>
            </w:r>
          </w:p>
        </w:tc>
      </w:tr>
      <w:tr w:rsidR="006A1AFC" w:rsidRPr="00885AB3" w14:paraId="464E43CD" w14:textId="77777777" w:rsidTr="001C7F31">
        <w:trPr>
          <w:trHeight w:val="56"/>
        </w:trPr>
        <w:tc>
          <w:tcPr>
            <w:tcW w:w="1255" w:type="pct"/>
            <w:noWrap/>
            <w:vAlign w:val="center"/>
          </w:tcPr>
          <w:p w14:paraId="2D3BD927" w14:textId="77777777" w:rsidR="006A1AFC" w:rsidRPr="00885AB3" w:rsidRDefault="006A1AFC" w:rsidP="00120D61">
            <w:pPr>
              <w:keepNext/>
              <w:keepLines/>
              <w:rPr>
                <w:rFonts w:ascii="Arial Narrow" w:eastAsia="MS Gothic" w:hAnsi="Arial Narrow"/>
                <w:sz w:val="20"/>
                <w:szCs w:val="20"/>
              </w:rPr>
            </w:pPr>
            <w:r w:rsidRPr="00885AB3">
              <w:rPr>
                <w:rFonts w:ascii="Arial Narrow" w:eastAsia="MS Gothic" w:hAnsi="Arial Narrow"/>
                <w:sz w:val="20"/>
                <w:szCs w:val="20"/>
              </w:rPr>
              <w:t>RSV-ARD</w:t>
            </w:r>
          </w:p>
        </w:tc>
        <w:tc>
          <w:tcPr>
            <w:tcW w:w="1415" w:type="pct"/>
            <w:noWrap/>
            <w:vAlign w:val="center"/>
          </w:tcPr>
          <w:p w14:paraId="6C066570" w14:textId="77777777" w:rsidR="006A1AFC" w:rsidRPr="00885AB3" w:rsidRDefault="006A1AFC" w:rsidP="00120D61">
            <w:pPr>
              <w:keepNext/>
              <w:keepLines/>
              <w:rPr>
                <w:rFonts w:ascii="Arial Narrow" w:eastAsia="MS Gothic" w:hAnsi="Arial Narrow"/>
                <w:sz w:val="20"/>
                <w:szCs w:val="20"/>
              </w:rPr>
            </w:pPr>
            <w:r w:rsidRPr="00885AB3">
              <w:rPr>
                <w:rFonts w:ascii="Arial Narrow" w:eastAsia="MS Gothic" w:hAnsi="Arial Narrow"/>
                <w:sz w:val="20"/>
                <w:szCs w:val="20"/>
              </w:rPr>
              <w:t xml:space="preserve">mRNA-1345 vs </w:t>
            </w:r>
            <w:proofErr w:type="spellStart"/>
            <w:r w:rsidRPr="00885AB3">
              <w:rPr>
                <w:rFonts w:ascii="Arial Narrow" w:eastAsia="MS Gothic" w:hAnsi="Arial Narrow"/>
                <w:sz w:val="20"/>
                <w:szCs w:val="20"/>
              </w:rPr>
              <w:t>RSVPreF</w:t>
            </w:r>
            <w:proofErr w:type="spellEnd"/>
          </w:p>
        </w:tc>
        <w:tc>
          <w:tcPr>
            <w:tcW w:w="877" w:type="pct"/>
            <w:vAlign w:val="center"/>
          </w:tcPr>
          <w:p w14:paraId="4C6E6356" w14:textId="77777777" w:rsidR="006A1AFC" w:rsidRPr="00885AB3" w:rsidRDefault="006A1AFC" w:rsidP="00120D61">
            <w:pPr>
              <w:keepNext/>
              <w:keepLines/>
              <w:jc w:val="center"/>
              <w:rPr>
                <w:rFonts w:ascii="Arial Narrow" w:eastAsia="MS Gothic" w:hAnsi="Arial Narrow"/>
                <w:sz w:val="20"/>
                <w:szCs w:val="20"/>
              </w:rPr>
            </w:pPr>
            <w:r w:rsidRPr="00885AB3">
              <w:rPr>
                <w:rFonts w:ascii="Arial Narrow" w:eastAsia="MS Gothic" w:hAnsi="Arial Narrow"/>
                <w:sz w:val="20"/>
                <w:szCs w:val="20"/>
              </w:rPr>
              <w:t>0.73</w:t>
            </w:r>
          </w:p>
        </w:tc>
        <w:tc>
          <w:tcPr>
            <w:tcW w:w="726" w:type="pct"/>
            <w:vAlign w:val="center"/>
          </w:tcPr>
          <w:p w14:paraId="41E5B894" w14:textId="77777777" w:rsidR="006A1AFC" w:rsidRPr="00885AB3" w:rsidRDefault="006A1AFC" w:rsidP="00120D61">
            <w:pPr>
              <w:keepNext/>
              <w:keepLines/>
              <w:jc w:val="center"/>
              <w:rPr>
                <w:rFonts w:ascii="Arial Narrow" w:eastAsia="MS Gothic" w:hAnsi="Arial Narrow"/>
                <w:sz w:val="20"/>
                <w:szCs w:val="20"/>
              </w:rPr>
            </w:pPr>
            <w:r w:rsidRPr="00885AB3">
              <w:rPr>
                <w:rFonts w:ascii="Arial Narrow" w:eastAsia="MS Gothic" w:hAnsi="Arial Narrow"/>
                <w:sz w:val="20"/>
                <w:szCs w:val="20"/>
              </w:rPr>
              <w:t>0.04, 13.41</w:t>
            </w:r>
          </w:p>
        </w:tc>
        <w:tc>
          <w:tcPr>
            <w:tcW w:w="727" w:type="pct"/>
            <w:vAlign w:val="center"/>
          </w:tcPr>
          <w:p w14:paraId="24E6D38B" w14:textId="77777777" w:rsidR="006A1AFC" w:rsidRPr="00885AB3" w:rsidRDefault="006A1AFC" w:rsidP="00120D61">
            <w:pPr>
              <w:keepNext/>
              <w:keepLines/>
              <w:jc w:val="center"/>
              <w:rPr>
                <w:rFonts w:ascii="Arial Narrow" w:eastAsia="MS Gothic" w:hAnsi="Arial Narrow"/>
                <w:sz w:val="20"/>
                <w:szCs w:val="20"/>
              </w:rPr>
            </w:pPr>
            <w:r w:rsidRPr="00885AB3">
              <w:rPr>
                <w:rFonts w:ascii="Arial Narrow" w:eastAsia="MS Gothic" w:hAnsi="Arial Narrow"/>
                <w:sz w:val="20"/>
                <w:szCs w:val="20"/>
              </w:rPr>
              <w:t>0.830</w:t>
            </w:r>
          </w:p>
        </w:tc>
      </w:tr>
      <w:tr w:rsidR="006A1AFC" w:rsidRPr="00885AB3" w14:paraId="68126D48" w14:textId="77777777" w:rsidTr="001C7F31">
        <w:trPr>
          <w:trHeight w:val="56"/>
        </w:trPr>
        <w:tc>
          <w:tcPr>
            <w:tcW w:w="1255" w:type="pct"/>
            <w:vMerge w:val="restart"/>
            <w:noWrap/>
            <w:vAlign w:val="center"/>
          </w:tcPr>
          <w:p w14:paraId="438BF42D" w14:textId="4C94E9AB" w:rsidR="006A1AFC" w:rsidRPr="00885AB3" w:rsidRDefault="006A1AFC" w:rsidP="00120D61">
            <w:pPr>
              <w:keepNext/>
              <w:keepLines/>
              <w:rPr>
                <w:rFonts w:ascii="Arial Narrow" w:eastAsia="MS Gothic" w:hAnsi="Arial Narrow"/>
                <w:sz w:val="20"/>
                <w:szCs w:val="20"/>
              </w:rPr>
            </w:pPr>
            <w:r w:rsidRPr="00885AB3">
              <w:rPr>
                <w:rFonts w:ascii="Arial Narrow" w:eastAsia="MS Gothic" w:hAnsi="Arial Narrow"/>
                <w:sz w:val="20"/>
                <w:szCs w:val="20"/>
              </w:rPr>
              <w:t xml:space="preserve">RSV-LRTD </w:t>
            </w:r>
            <w:r w:rsidR="00EF2FA4">
              <w:rPr>
                <w:rFonts w:ascii="Arial Narrow" w:eastAsia="MS Gothic" w:hAnsi="Arial Narrow" w:cs="Calibri"/>
                <w:sz w:val="20"/>
                <w:szCs w:val="20"/>
              </w:rPr>
              <w:t xml:space="preserve">≥ </w:t>
            </w:r>
            <w:r w:rsidRPr="00885AB3">
              <w:rPr>
                <w:rFonts w:ascii="Arial Narrow" w:eastAsia="MS Gothic" w:hAnsi="Arial Narrow" w:cs="Calibri"/>
                <w:sz w:val="20"/>
                <w:szCs w:val="20"/>
              </w:rPr>
              <w:t>2 symptoms</w:t>
            </w:r>
          </w:p>
        </w:tc>
        <w:tc>
          <w:tcPr>
            <w:tcW w:w="1415" w:type="pct"/>
            <w:noWrap/>
            <w:vAlign w:val="center"/>
          </w:tcPr>
          <w:p w14:paraId="6B2340FB" w14:textId="77777777" w:rsidR="006A1AFC" w:rsidRPr="00885AB3" w:rsidRDefault="006A1AFC" w:rsidP="00120D61">
            <w:pPr>
              <w:keepNext/>
              <w:keepLines/>
              <w:rPr>
                <w:rFonts w:ascii="Arial Narrow" w:eastAsia="MS Gothic" w:hAnsi="Arial Narrow"/>
                <w:sz w:val="20"/>
                <w:szCs w:val="20"/>
              </w:rPr>
            </w:pPr>
            <w:r w:rsidRPr="00885AB3">
              <w:rPr>
                <w:rFonts w:ascii="Arial Narrow" w:eastAsia="MS Gothic" w:hAnsi="Arial Narrow"/>
                <w:sz w:val="20"/>
                <w:szCs w:val="20"/>
              </w:rPr>
              <w:t>mRNA-1345 vs RSVPreF3 OA</w:t>
            </w:r>
          </w:p>
        </w:tc>
        <w:tc>
          <w:tcPr>
            <w:tcW w:w="877" w:type="pct"/>
            <w:vAlign w:val="center"/>
          </w:tcPr>
          <w:p w14:paraId="4280C6D5" w14:textId="77777777" w:rsidR="006A1AFC" w:rsidRPr="00885AB3" w:rsidRDefault="006A1AFC" w:rsidP="00120D61">
            <w:pPr>
              <w:keepNext/>
              <w:keepLines/>
              <w:jc w:val="center"/>
              <w:rPr>
                <w:rFonts w:ascii="Arial Narrow" w:eastAsia="MS Gothic" w:hAnsi="Arial Narrow"/>
                <w:sz w:val="20"/>
                <w:szCs w:val="20"/>
              </w:rPr>
            </w:pPr>
            <w:r w:rsidRPr="00885AB3">
              <w:rPr>
                <w:rFonts w:ascii="Arial Narrow" w:eastAsia="MS Gothic" w:hAnsi="Arial Narrow"/>
                <w:sz w:val="20"/>
                <w:szCs w:val="20"/>
              </w:rPr>
              <w:t>0.34</w:t>
            </w:r>
          </w:p>
        </w:tc>
        <w:tc>
          <w:tcPr>
            <w:tcW w:w="726" w:type="pct"/>
            <w:vAlign w:val="center"/>
          </w:tcPr>
          <w:p w14:paraId="6158B7B6" w14:textId="77777777" w:rsidR="006A1AFC" w:rsidRPr="00885AB3" w:rsidRDefault="006A1AFC" w:rsidP="00120D61">
            <w:pPr>
              <w:keepNext/>
              <w:keepLines/>
              <w:jc w:val="center"/>
              <w:rPr>
                <w:rFonts w:ascii="Arial Narrow" w:eastAsia="MS Gothic" w:hAnsi="Arial Narrow"/>
                <w:sz w:val="20"/>
                <w:szCs w:val="20"/>
              </w:rPr>
            </w:pPr>
            <w:r w:rsidRPr="00885AB3">
              <w:rPr>
                <w:rFonts w:ascii="Arial Narrow" w:eastAsia="MS Gothic" w:hAnsi="Arial Narrow"/>
                <w:sz w:val="20"/>
                <w:szCs w:val="20"/>
              </w:rPr>
              <w:t>0.03, 4.23</w:t>
            </w:r>
          </w:p>
        </w:tc>
        <w:tc>
          <w:tcPr>
            <w:tcW w:w="727" w:type="pct"/>
            <w:vAlign w:val="center"/>
          </w:tcPr>
          <w:p w14:paraId="238CB542" w14:textId="77777777" w:rsidR="006A1AFC" w:rsidRPr="00885AB3" w:rsidRDefault="006A1AFC" w:rsidP="00120D61">
            <w:pPr>
              <w:keepNext/>
              <w:keepLines/>
              <w:jc w:val="center"/>
              <w:rPr>
                <w:rFonts w:ascii="Arial Narrow" w:eastAsia="MS Gothic" w:hAnsi="Arial Narrow"/>
                <w:sz w:val="20"/>
                <w:szCs w:val="20"/>
              </w:rPr>
            </w:pPr>
            <w:r w:rsidRPr="00885AB3">
              <w:rPr>
                <w:rFonts w:ascii="Arial Narrow" w:eastAsia="MS Gothic" w:hAnsi="Arial Narrow"/>
                <w:sz w:val="20"/>
                <w:szCs w:val="20"/>
              </w:rPr>
              <w:t>0.400</w:t>
            </w:r>
          </w:p>
        </w:tc>
      </w:tr>
      <w:tr w:rsidR="006A1AFC" w:rsidRPr="00885AB3" w14:paraId="4A489683" w14:textId="77777777" w:rsidTr="001C7F31">
        <w:trPr>
          <w:trHeight w:val="56"/>
        </w:trPr>
        <w:tc>
          <w:tcPr>
            <w:tcW w:w="1255" w:type="pct"/>
            <w:vMerge/>
            <w:noWrap/>
            <w:vAlign w:val="center"/>
          </w:tcPr>
          <w:p w14:paraId="25F747DD" w14:textId="77777777" w:rsidR="006A1AFC" w:rsidRPr="00885AB3" w:rsidRDefault="006A1AFC" w:rsidP="00120D61">
            <w:pPr>
              <w:keepNext/>
              <w:keepLines/>
              <w:rPr>
                <w:rFonts w:ascii="Arial Narrow" w:eastAsia="MS Gothic" w:hAnsi="Arial Narrow"/>
                <w:sz w:val="20"/>
                <w:szCs w:val="20"/>
              </w:rPr>
            </w:pPr>
          </w:p>
        </w:tc>
        <w:tc>
          <w:tcPr>
            <w:tcW w:w="1415" w:type="pct"/>
            <w:noWrap/>
            <w:vAlign w:val="center"/>
          </w:tcPr>
          <w:p w14:paraId="1A8CA18F" w14:textId="77777777" w:rsidR="006A1AFC" w:rsidRPr="00885AB3" w:rsidRDefault="006A1AFC" w:rsidP="00120D61">
            <w:pPr>
              <w:keepNext/>
              <w:keepLines/>
              <w:rPr>
                <w:rFonts w:ascii="Arial Narrow" w:eastAsia="MS Gothic" w:hAnsi="Arial Narrow"/>
                <w:sz w:val="20"/>
                <w:szCs w:val="20"/>
              </w:rPr>
            </w:pPr>
            <w:r w:rsidRPr="00885AB3">
              <w:rPr>
                <w:rFonts w:ascii="Arial Narrow" w:eastAsia="MS Gothic" w:hAnsi="Arial Narrow"/>
                <w:sz w:val="20"/>
                <w:szCs w:val="20"/>
              </w:rPr>
              <w:t xml:space="preserve">mRNA-1345 vs </w:t>
            </w:r>
            <w:proofErr w:type="spellStart"/>
            <w:r w:rsidRPr="00885AB3">
              <w:rPr>
                <w:rFonts w:ascii="Arial Narrow" w:eastAsia="MS Gothic" w:hAnsi="Arial Narrow"/>
                <w:sz w:val="20"/>
                <w:szCs w:val="20"/>
              </w:rPr>
              <w:t>RSVPreF</w:t>
            </w:r>
            <w:proofErr w:type="spellEnd"/>
          </w:p>
        </w:tc>
        <w:tc>
          <w:tcPr>
            <w:tcW w:w="877" w:type="pct"/>
            <w:vAlign w:val="center"/>
          </w:tcPr>
          <w:p w14:paraId="201EAE3D" w14:textId="77777777" w:rsidR="006A1AFC" w:rsidRPr="00885AB3" w:rsidRDefault="006A1AFC" w:rsidP="00120D61">
            <w:pPr>
              <w:keepNext/>
              <w:keepLines/>
              <w:jc w:val="center"/>
              <w:rPr>
                <w:rFonts w:ascii="Arial Narrow" w:eastAsia="MS Gothic" w:hAnsi="Arial Narrow"/>
                <w:sz w:val="20"/>
                <w:szCs w:val="20"/>
              </w:rPr>
            </w:pPr>
            <w:r w:rsidRPr="00885AB3">
              <w:rPr>
                <w:rFonts w:ascii="Arial Narrow" w:eastAsia="MS Gothic" w:hAnsi="Arial Narrow"/>
                <w:sz w:val="20"/>
                <w:szCs w:val="20"/>
              </w:rPr>
              <w:t>1.16</w:t>
            </w:r>
          </w:p>
        </w:tc>
        <w:tc>
          <w:tcPr>
            <w:tcW w:w="726" w:type="pct"/>
            <w:vAlign w:val="center"/>
          </w:tcPr>
          <w:p w14:paraId="540F11FB" w14:textId="77777777" w:rsidR="006A1AFC" w:rsidRPr="00885AB3" w:rsidRDefault="006A1AFC" w:rsidP="00120D61">
            <w:pPr>
              <w:keepNext/>
              <w:keepLines/>
              <w:jc w:val="center"/>
              <w:rPr>
                <w:rFonts w:ascii="Arial Narrow" w:eastAsia="MS Gothic" w:hAnsi="Arial Narrow"/>
                <w:sz w:val="20"/>
                <w:szCs w:val="20"/>
              </w:rPr>
            </w:pPr>
            <w:r w:rsidRPr="00885AB3">
              <w:rPr>
                <w:rFonts w:ascii="Arial Narrow" w:eastAsia="MS Gothic" w:hAnsi="Arial Narrow"/>
                <w:sz w:val="20"/>
                <w:szCs w:val="20"/>
              </w:rPr>
              <w:t>0.06, 22.87</w:t>
            </w:r>
          </w:p>
        </w:tc>
        <w:tc>
          <w:tcPr>
            <w:tcW w:w="727" w:type="pct"/>
            <w:vAlign w:val="center"/>
          </w:tcPr>
          <w:p w14:paraId="6131B062" w14:textId="77777777" w:rsidR="006A1AFC" w:rsidRPr="00885AB3" w:rsidRDefault="006A1AFC" w:rsidP="00120D61">
            <w:pPr>
              <w:keepNext/>
              <w:keepLines/>
              <w:jc w:val="center"/>
              <w:rPr>
                <w:rFonts w:ascii="Arial Narrow" w:eastAsia="MS Gothic" w:hAnsi="Arial Narrow"/>
                <w:sz w:val="20"/>
                <w:szCs w:val="20"/>
              </w:rPr>
            </w:pPr>
            <w:r w:rsidRPr="00885AB3">
              <w:rPr>
                <w:rFonts w:ascii="Arial Narrow" w:eastAsia="MS Gothic" w:hAnsi="Arial Narrow"/>
                <w:sz w:val="20"/>
                <w:szCs w:val="20"/>
              </w:rPr>
              <w:t>0.920</w:t>
            </w:r>
          </w:p>
        </w:tc>
      </w:tr>
      <w:tr w:rsidR="006A1AFC" w:rsidRPr="00885AB3" w14:paraId="7EBAF05B" w14:textId="77777777" w:rsidTr="001C7F31">
        <w:trPr>
          <w:trHeight w:val="56"/>
        </w:trPr>
        <w:tc>
          <w:tcPr>
            <w:tcW w:w="1255" w:type="pct"/>
            <w:noWrap/>
            <w:vAlign w:val="center"/>
          </w:tcPr>
          <w:p w14:paraId="5DC3038B" w14:textId="18535B0C" w:rsidR="006A1AFC" w:rsidRPr="00885AB3" w:rsidRDefault="006A1AFC" w:rsidP="00120D61">
            <w:pPr>
              <w:keepNext/>
              <w:keepLines/>
              <w:rPr>
                <w:rFonts w:ascii="Arial Narrow" w:eastAsia="MS Gothic" w:hAnsi="Arial Narrow"/>
                <w:sz w:val="20"/>
                <w:szCs w:val="20"/>
              </w:rPr>
            </w:pPr>
            <w:r w:rsidRPr="00885AB3">
              <w:rPr>
                <w:rFonts w:ascii="Arial Narrow" w:eastAsia="MS Gothic" w:hAnsi="Arial Narrow"/>
                <w:sz w:val="20"/>
                <w:szCs w:val="20"/>
              </w:rPr>
              <w:t xml:space="preserve">RSV-LRTD </w:t>
            </w:r>
            <w:r w:rsidR="00EF2FA4">
              <w:rPr>
                <w:rFonts w:ascii="Arial Narrow" w:eastAsia="MS Gothic" w:hAnsi="Arial Narrow" w:cs="Calibri"/>
                <w:sz w:val="20"/>
                <w:szCs w:val="20"/>
              </w:rPr>
              <w:t xml:space="preserve">≥ </w:t>
            </w:r>
            <w:r w:rsidRPr="00885AB3">
              <w:rPr>
                <w:rFonts w:ascii="Arial Narrow" w:eastAsia="MS Gothic" w:hAnsi="Arial Narrow"/>
                <w:sz w:val="20"/>
                <w:szCs w:val="20"/>
              </w:rPr>
              <w:t>3</w:t>
            </w:r>
            <w:r w:rsidRPr="00885AB3">
              <w:rPr>
                <w:rFonts w:ascii="Arial Narrow" w:eastAsia="MS Gothic" w:hAnsi="Arial Narrow" w:cs="Calibri"/>
                <w:sz w:val="20"/>
                <w:szCs w:val="20"/>
              </w:rPr>
              <w:t xml:space="preserve"> symptoms</w:t>
            </w:r>
          </w:p>
        </w:tc>
        <w:tc>
          <w:tcPr>
            <w:tcW w:w="1415" w:type="pct"/>
            <w:noWrap/>
            <w:vAlign w:val="center"/>
          </w:tcPr>
          <w:p w14:paraId="1D6BD12D" w14:textId="77777777" w:rsidR="006A1AFC" w:rsidRPr="00885AB3" w:rsidRDefault="006A1AFC" w:rsidP="00120D61">
            <w:pPr>
              <w:keepNext/>
              <w:keepLines/>
              <w:rPr>
                <w:rFonts w:ascii="Arial Narrow" w:eastAsia="MS Gothic" w:hAnsi="Arial Narrow"/>
                <w:sz w:val="20"/>
                <w:szCs w:val="20"/>
              </w:rPr>
            </w:pPr>
            <w:r w:rsidRPr="00885AB3">
              <w:rPr>
                <w:rFonts w:ascii="Arial Narrow" w:eastAsia="MS Gothic" w:hAnsi="Arial Narrow"/>
                <w:sz w:val="20"/>
                <w:szCs w:val="20"/>
              </w:rPr>
              <w:t xml:space="preserve">mRNA-1345 vs </w:t>
            </w:r>
            <w:proofErr w:type="spellStart"/>
            <w:r w:rsidRPr="00885AB3">
              <w:rPr>
                <w:rFonts w:ascii="Arial Narrow" w:eastAsia="MS Gothic" w:hAnsi="Arial Narrow"/>
                <w:sz w:val="20"/>
                <w:szCs w:val="20"/>
              </w:rPr>
              <w:t>RSVPreF</w:t>
            </w:r>
            <w:proofErr w:type="spellEnd"/>
          </w:p>
        </w:tc>
        <w:tc>
          <w:tcPr>
            <w:tcW w:w="877" w:type="pct"/>
            <w:vAlign w:val="center"/>
          </w:tcPr>
          <w:p w14:paraId="4C44717B" w14:textId="77777777" w:rsidR="006A1AFC" w:rsidRPr="00885AB3" w:rsidRDefault="006A1AFC" w:rsidP="00120D61">
            <w:pPr>
              <w:keepNext/>
              <w:keepLines/>
              <w:jc w:val="center"/>
              <w:rPr>
                <w:rFonts w:ascii="Arial Narrow" w:eastAsia="MS Gothic" w:hAnsi="Arial Narrow"/>
                <w:sz w:val="20"/>
                <w:szCs w:val="20"/>
              </w:rPr>
            </w:pPr>
            <w:r w:rsidRPr="00885AB3">
              <w:rPr>
                <w:rFonts w:ascii="Arial Narrow" w:eastAsia="MS Gothic" w:hAnsi="Arial Narrow"/>
                <w:sz w:val="20"/>
                <w:szCs w:val="20"/>
              </w:rPr>
              <w:t>2.33</w:t>
            </w:r>
            <w:r w:rsidRPr="00885AB3">
              <w:rPr>
                <w:rFonts w:ascii="Arial Narrow" w:eastAsia="MS Gothic" w:hAnsi="Arial Narrow"/>
                <w:sz w:val="20"/>
                <w:szCs w:val="20"/>
                <w:vertAlign w:val="superscript"/>
              </w:rPr>
              <w:t>c</w:t>
            </w:r>
          </w:p>
        </w:tc>
        <w:tc>
          <w:tcPr>
            <w:tcW w:w="726" w:type="pct"/>
            <w:vAlign w:val="center"/>
          </w:tcPr>
          <w:p w14:paraId="78C2561E" w14:textId="77777777" w:rsidR="006A1AFC" w:rsidRPr="00885AB3" w:rsidRDefault="006A1AFC" w:rsidP="00120D61">
            <w:pPr>
              <w:keepNext/>
              <w:keepLines/>
              <w:jc w:val="center"/>
              <w:rPr>
                <w:rFonts w:ascii="Arial Narrow" w:eastAsia="MS Gothic" w:hAnsi="Arial Narrow"/>
                <w:sz w:val="20"/>
                <w:szCs w:val="20"/>
              </w:rPr>
            </w:pPr>
            <w:r w:rsidRPr="00885AB3">
              <w:rPr>
                <w:rFonts w:ascii="Arial Narrow" w:eastAsia="MS Gothic" w:hAnsi="Arial Narrow"/>
                <w:sz w:val="20"/>
                <w:szCs w:val="20"/>
              </w:rPr>
              <w:t>0.03, 182.43</w:t>
            </w:r>
            <w:r w:rsidRPr="00885AB3">
              <w:rPr>
                <w:rFonts w:ascii="Arial Narrow" w:eastAsia="MS Gothic" w:hAnsi="Arial Narrow"/>
                <w:sz w:val="20"/>
                <w:szCs w:val="20"/>
                <w:vertAlign w:val="superscript"/>
              </w:rPr>
              <w:t xml:space="preserve"> c</w:t>
            </w:r>
          </w:p>
        </w:tc>
        <w:tc>
          <w:tcPr>
            <w:tcW w:w="727" w:type="pct"/>
            <w:vAlign w:val="center"/>
          </w:tcPr>
          <w:p w14:paraId="526EC651" w14:textId="77777777" w:rsidR="006A1AFC" w:rsidRPr="00885AB3" w:rsidRDefault="006A1AFC" w:rsidP="00120D61">
            <w:pPr>
              <w:keepNext/>
              <w:keepLines/>
              <w:jc w:val="center"/>
              <w:rPr>
                <w:rFonts w:ascii="Arial Narrow" w:eastAsia="MS Gothic" w:hAnsi="Arial Narrow"/>
                <w:sz w:val="20"/>
                <w:szCs w:val="20"/>
              </w:rPr>
            </w:pPr>
            <w:r w:rsidRPr="00885AB3">
              <w:rPr>
                <w:rFonts w:ascii="Arial Narrow" w:eastAsia="MS Gothic" w:hAnsi="Arial Narrow"/>
                <w:sz w:val="20"/>
                <w:szCs w:val="20"/>
              </w:rPr>
              <w:t>0.704</w:t>
            </w:r>
            <w:r w:rsidRPr="00885AB3">
              <w:rPr>
                <w:rFonts w:ascii="Arial Narrow" w:eastAsia="MS Gothic" w:hAnsi="Arial Narrow"/>
                <w:sz w:val="20"/>
                <w:szCs w:val="20"/>
                <w:vertAlign w:val="superscript"/>
              </w:rPr>
              <w:t xml:space="preserve"> c</w:t>
            </w:r>
          </w:p>
        </w:tc>
      </w:tr>
      <w:tr w:rsidR="006A1AFC" w:rsidRPr="00885AB3" w14:paraId="70E0CEE8" w14:textId="77777777" w:rsidTr="001C7F31">
        <w:trPr>
          <w:trHeight w:val="50"/>
        </w:trPr>
        <w:tc>
          <w:tcPr>
            <w:tcW w:w="1255" w:type="pct"/>
            <w:noWrap/>
            <w:vAlign w:val="center"/>
          </w:tcPr>
          <w:p w14:paraId="64A3D894" w14:textId="77777777" w:rsidR="006A1AFC" w:rsidRPr="00885AB3" w:rsidRDefault="006A1AFC" w:rsidP="00120D61">
            <w:pPr>
              <w:keepNext/>
              <w:keepLines/>
              <w:rPr>
                <w:rFonts w:ascii="Arial Narrow" w:eastAsia="MS Gothic" w:hAnsi="Arial Narrow"/>
                <w:b/>
                <w:bCs/>
                <w:sz w:val="20"/>
                <w:szCs w:val="20"/>
              </w:rPr>
            </w:pPr>
            <w:r w:rsidRPr="00885AB3">
              <w:rPr>
                <w:rFonts w:ascii="Arial Narrow" w:eastAsia="MS Gothic" w:hAnsi="Arial Narrow"/>
                <w:b/>
                <w:bCs/>
                <w:sz w:val="20"/>
                <w:szCs w:val="20"/>
              </w:rPr>
              <w:t>Scenario 1</w:t>
            </w:r>
            <w:r w:rsidRPr="00885AB3">
              <w:rPr>
                <w:rFonts w:ascii="Arial Narrow" w:eastAsia="MS Gothic" w:hAnsi="Arial Narrow"/>
                <w:b/>
                <w:bCs/>
                <w:sz w:val="20"/>
                <w:szCs w:val="20"/>
                <w:vertAlign w:val="superscript"/>
              </w:rPr>
              <w:t>b</w:t>
            </w:r>
          </w:p>
        </w:tc>
        <w:tc>
          <w:tcPr>
            <w:tcW w:w="1415" w:type="pct"/>
            <w:noWrap/>
            <w:vAlign w:val="center"/>
          </w:tcPr>
          <w:p w14:paraId="7CB899FA" w14:textId="77777777" w:rsidR="006A1AFC" w:rsidRPr="00885AB3" w:rsidRDefault="006A1AFC" w:rsidP="00120D61">
            <w:pPr>
              <w:keepNext/>
              <w:keepLines/>
              <w:rPr>
                <w:rFonts w:ascii="Arial Narrow" w:eastAsia="MS Gothic" w:hAnsi="Arial Narrow"/>
                <w:sz w:val="20"/>
                <w:szCs w:val="20"/>
              </w:rPr>
            </w:pPr>
          </w:p>
        </w:tc>
        <w:tc>
          <w:tcPr>
            <w:tcW w:w="877" w:type="pct"/>
            <w:vAlign w:val="center"/>
          </w:tcPr>
          <w:p w14:paraId="50F80175" w14:textId="77777777" w:rsidR="006A1AFC" w:rsidRPr="00885AB3" w:rsidRDefault="006A1AFC" w:rsidP="00120D61">
            <w:pPr>
              <w:keepNext/>
              <w:keepLines/>
              <w:jc w:val="center"/>
              <w:rPr>
                <w:rFonts w:ascii="Arial Narrow" w:eastAsia="MS Gothic" w:hAnsi="Arial Narrow"/>
                <w:sz w:val="20"/>
                <w:szCs w:val="20"/>
              </w:rPr>
            </w:pPr>
          </w:p>
        </w:tc>
        <w:tc>
          <w:tcPr>
            <w:tcW w:w="726" w:type="pct"/>
            <w:vAlign w:val="center"/>
          </w:tcPr>
          <w:p w14:paraId="555CC63C" w14:textId="77777777" w:rsidR="006A1AFC" w:rsidRPr="00885AB3" w:rsidRDefault="006A1AFC" w:rsidP="00120D61">
            <w:pPr>
              <w:keepNext/>
              <w:keepLines/>
              <w:jc w:val="center"/>
              <w:rPr>
                <w:rFonts w:ascii="Arial Narrow" w:eastAsia="MS Gothic" w:hAnsi="Arial Narrow"/>
                <w:sz w:val="20"/>
                <w:szCs w:val="20"/>
              </w:rPr>
            </w:pPr>
          </w:p>
        </w:tc>
        <w:tc>
          <w:tcPr>
            <w:tcW w:w="727" w:type="pct"/>
            <w:vAlign w:val="center"/>
          </w:tcPr>
          <w:p w14:paraId="632DD8BE" w14:textId="77777777" w:rsidR="006A1AFC" w:rsidRPr="00885AB3" w:rsidRDefault="006A1AFC" w:rsidP="00120D61">
            <w:pPr>
              <w:keepNext/>
              <w:keepLines/>
              <w:jc w:val="center"/>
              <w:rPr>
                <w:rFonts w:ascii="Arial Narrow" w:eastAsia="MS Gothic" w:hAnsi="Arial Narrow"/>
                <w:sz w:val="20"/>
                <w:szCs w:val="20"/>
              </w:rPr>
            </w:pPr>
          </w:p>
        </w:tc>
      </w:tr>
      <w:tr w:rsidR="006A1AFC" w:rsidRPr="00885AB3" w14:paraId="6F472B26" w14:textId="77777777" w:rsidTr="001C7F31">
        <w:trPr>
          <w:trHeight w:val="50"/>
        </w:trPr>
        <w:tc>
          <w:tcPr>
            <w:tcW w:w="1255" w:type="pct"/>
            <w:noWrap/>
            <w:vAlign w:val="center"/>
          </w:tcPr>
          <w:p w14:paraId="7B6E8AF8" w14:textId="77777777" w:rsidR="006A1AFC" w:rsidRPr="00885AB3" w:rsidRDefault="006A1AFC" w:rsidP="00120D61">
            <w:pPr>
              <w:keepNext/>
              <w:keepLines/>
              <w:rPr>
                <w:rFonts w:ascii="Arial Narrow" w:eastAsia="MS Gothic" w:hAnsi="Arial Narrow"/>
                <w:sz w:val="20"/>
                <w:szCs w:val="20"/>
              </w:rPr>
            </w:pPr>
            <w:r w:rsidRPr="00885AB3">
              <w:rPr>
                <w:rFonts w:ascii="Arial Narrow" w:eastAsia="MS Gothic" w:hAnsi="Arial Narrow"/>
                <w:sz w:val="20"/>
                <w:szCs w:val="20"/>
              </w:rPr>
              <w:t>RSV-ARD</w:t>
            </w:r>
          </w:p>
        </w:tc>
        <w:tc>
          <w:tcPr>
            <w:tcW w:w="1415" w:type="pct"/>
            <w:noWrap/>
            <w:vAlign w:val="center"/>
          </w:tcPr>
          <w:p w14:paraId="5AD6537D" w14:textId="5A1E1C0C" w:rsidR="006A1AFC" w:rsidRPr="00885AB3" w:rsidRDefault="006A1AFC" w:rsidP="00120D61">
            <w:pPr>
              <w:keepNext/>
              <w:keepLines/>
              <w:rPr>
                <w:rFonts w:ascii="Arial Narrow" w:eastAsia="MS Gothic" w:hAnsi="Arial Narrow"/>
                <w:sz w:val="20"/>
                <w:szCs w:val="20"/>
              </w:rPr>
            </w:pPr>
            <w:r w:rsidRPr="00885AB3">
              <w:rPr>
                <w:rFonts w:ascii="Arial Narrow" w:eastAsia="MS Gothic" w:hAnsi="Arial Narrow"/>
                <w:sz w:val="20"/>
                <w:szCs w:val="20"/>
              </w:rPr>
              <w:t xml:space="preserve">mRNA-1345 vs </w:t>
            </w:r>
            <w:proofErr w:type="spellStart"/>
            <w:r w:rsidRPr="00885AB3">
              <w:rPr>
                <w:rFonts w:ascii="Arial Narrow" w:eastAsia="MS Gothic" w:hAnsi="Arial Narrow"/>
                <w:sz w:val="20"/>
                <w:szCs w:val="20"/>
              </w:rPr>
              <w:t>RSVPreF</w:t>
            </w:r>
            <w:proofErr w:type="spellEnd"/>
            <w:r w:rsidR="00DA49C8" w:rsidRPr="00885AB3">
              <w:rPr>
                <w:rFonts w:ascii="Arial Narrow" w:eastAsia="MS Gothic" w:hAnsi="Arial Narrow"/>
                <w:sz w:val="20"/>
                <w:szCs w:val="20"/>
              </w:rPr>
              <w:t xml:space="preserve"> (corrected)</w:t>
            </w:r>
          </w:p>
        </w:tc>
        <w:tc>
          <w:tcPr>
            <w:tcW w:w="877" w:type="pct"/>
            <w:vAlign w:val="center"/>
          </w:tcPr>
          <w:p w14:paraId="218925EC" w14:textId="6FA1CCE5" w:rsidR="006A1AFC" w:rsidRPr="00885AB3" w:rsidRDefault="006A1AFC" w:rsidP="00120D61">
            <w:pPr>
              <w:keepNext/>
              <w:keepLines/>
              <w:jc w:val="center"/>
              <w:rPr>
                <w:rFonts w:ascii="Arial Narrow" w:eastAsia="MS Gothic" w:hAnsi="Arial Narrow"/>
                <w:iCs/>
                <w:sz w:val="20"/>
                <w:szCs w:val="20"/>
              </w:rPr>
            </w:pPr>
            <w:r w:rsidRPr="00885AB3">
              <w:rPr>
                <w:rFonts w:ascii="Arial Narrow" w:eastAsia="MS Gothic" w:hAnsi="Arial Narrow"/>
                <w:iCs/>
                <w:sz w:val="20"/>
                <w:szCs w:val="20"/>
              </w:rPr>
              <w:t>1.52</w:t>
            </w:r>
          </w:p>
        </w:tc>
        <w:tc>
          <w:tcPr>
            <w:tcW w:w="726" w:type="pct"/>
            <w:vAlign w:val="center"/>
          </w:tcPr>
          <w:p w14:paraId="511E001D" w14:textId="3E75E140" w:rsidR="006A1AFC" w:rsidRPr="00885AB3" w:rsidRDefault="006A1AFC" w:rsidP="00120D61">
            <w:pPr>
              <w:keepNext/>
              <w:keepLines/>
              <w:jc w:val="center"/>
              <w:rPr>
                <w:rFonts w:ascii="Arial Narrow" w:eastAsia="MS Gothic" w:hAnsi="Arial Narrow"/>
                <w:iCs/>
                <w:sz w:val="20"/>
                <w:szCs w:val="20"/>
              </w:rPr>
            </w:pPr>
            <w:r w:rsidRPr="00885AB3">
              <w:rPr>
                <w:rFonts w:ascii="Arial Narrow" w:eastAsia="MS Gothic" w:hAnsi="Arial Narrow"/>
                <w:iCs/>
                <w:sz w:val="20"/>
                <w:szCs w:val="20"/>
              </w:rPr>
              <w:t>0.53, 4.41</w:t>
            </w:r>
          </w:p>
        </w:tc>
        <w:tc>
          <w:tcPr>
            <w:tcW w:w="727" w:type="pct"/>
            <w:vAlign w:val="center"/>
          </w:tcPr>
          <w:p w14:paraId="53012DCE" w14:textId="1F3C0514" w:rsidR="006A1AFC" w:rsidRPr="00885AB3" w:rsidRDefault="006A1AFC" w:rsidP="00120D61">
            <w:pPr>
              <w:keepNext/>
              <w:keepLines/>
              <w:jc w:val="center"/>
              <w:rPr>
                <w:rFonts w:ascii="Arial Narrow" w:eastAsia="MS Gothic" w:hAnsi="Arial Narrow"/>
                <w:iCs/>
                <w:sz w:val="20"/>
                <w:szCs w:val="20"/>
              </w:rPr>
            </w:pPr>
            <w:r w:rsidRPr="00885AB3">
              <w:rPr>
                <w:rFonts w:ascii="Arial Narrow" w:eastAsia="MS Gothic" w:hAnsi="Arial Narrow"/>
                <w:iCs/>
                <w:sz w:val="20"/>
                <w:szCs w:val="20"/>
              </w:rPr>
              <w:t>0.438</w:t>
            </w:r>
          </w:p>
        </w:tc>
      </w:tr>
      <w:tr w:rsidR="006A1AFC" w:rsidRPr="00885AB3" w14:paraId="758A99A2" w14:textId="77777777" w:rsidTr="001C7F31">
        <w:trPr>
          <w:trHeight w:val="50"/>
        </w:trPr>
        <w:tc>
          <w:tcPr>
            <w:tcW w:w="1255" w:type="pct"/>
            <w:vMerge w:val="restart"/>
            <w:noWrap/>
            <w:vAlign w:val="center"/>
          </w:tcPr>
          <w:p w14:paraId="184F3F8D" w14:textId="2133FF2A" w:rsidR="006A1AFC" w:rsidRPr="00885AB3" w:rsidRDefault="006A1AFC" w:rsidP="00120D61">
            <w:pPr>
              <w:keepNext/>
              <w:keepLines/>
              <w:rPr>
                <w:rFonts w:ascii="Arial Narrow" w:eastAsia="MS Gothic" w:hAnsi="Arial Narrow"/>
                <w:sz w:val="20"/>
                <w:szCs w:val="20"/>
              </w:rPr>
            </w:pPr>
            <w:r w:rsidRPr="00885AB3">
              <w:rPr>
                <w:rFonts w:ascii="Arial Narrow" w:eastAsia="MS Gothic" w:hAnsi="Arial Narrow"/>
                <w:sz w:val="20"/>
                <w:szCs w:val="20"/>
              </w:rPr>
              <w:t xml:space="preserve">RSV-LRTD </w:t>
            </w:r>
            <w:r w:rsidR="00EF2FA4">
              <w:rPr>
                <w:rFonts w:ascii="Arial Narrow" w:eastAsia="MS Gothic" w:hAnsi="Arial Narrow" w:cs="Calibri"/>
                <w:sz w:val="20"/>
                <w:szCs w:val="20"/>
              </w:rPr>
              <w:t xml:space="preserve">≥ </w:t>
            </w:r>
            <w:r w:rsidRPr="00885AB3">
              <w:rPr>
                <w:rFonts w:ascii="Arial Narrow" w:eastAsia="MS Gothic" w:hAnsi="Arial Narrow" w:cs="Calibri"/>
                <w:sz w:val="20"/>
                <w:szCs w:val="20"/>
              </w:rPr>
              <w:t>2 symptoms</w:t>
            </w:r>
          </w:p>
        </w:tc>
        <w:tc>
          <w:tcPr>
            <w:tcW w:w="1415" w:type="pct"/>
            <w:noWrap/>
            <w:vAlign w:val="center"/>
          </w:tcPr>
          <w:p w14:paraId="3345C9AF" w14:textId="0B7B7530" w:rsidR="006A1AFC" w:rsidRPr="00885AB3" w:rsidRDefault="006A1AFC" w:rsidP="00120D61">
            <w:pPr>
              <w:keepNext/>
              <w:keepLines/>
              <w:rPr>
                <w:rFonts w:ascii="Arial Narrow" w:eastAsia="MS Gothic" w:hAnsi="Arial Narrow"/>
                <w:sz w:val="20"/>
                <w:szCs w:val="20"/>
              </w:rPr>
            </w:pPr>
            <w:r w:rsidRPr="00885AB3">
              <w:rPr>
                <w:rFonts w:ascii="Arial Narrow" w:eastAsia="MS Gothic" w:hAnsi="Arial Narrow"/>
                <w:sz w:val="20"/>
                <w:szCs w:val="20"/>
              </w:rPr>
              <w:t>mRNA-1345 vs RSVPreF3 OA</w:t>
            </w:r>
            <w:r w:rsidR="00DA49C8" w:rsidRPr="00885AB3">
              <w:rPr>
                <w:rFonts w:ascii="Arial Narrow" w:eastAsia="MS Gothic" w:hAnsi="Arial Narrow"/>
                <w:sz w:val="20"/>
                <w:szCs w:val="20"/>
              </w:rPr>
              <w:t xml:space="preserve"> (corrected)</w:t>
            </w:r>
          </w:p>
        </w:tc>
        <w:tc>
          <w:tcPr>
            <w:tcW w:w="877" w:type="pct"/>
            <w:vAlign w:val="center"/>
          </w:tcPr>
          <w:p w14:paraId="7FC1352C" w14:textId="3882D143" w:rsidR="006A1AFC" w:rsidRPr="00885AB3" w:rsidRDefault="006A1AFC" w:rsidP="00120D61">
            <w:pPr>
              <w:keepNext/>
              <w:keepLines/>
              <w:jc w:val="center"/>
              <w:rPr>
                <w:rFonts w:ascii="Arial Narrow" w:eastAsia="MS Gothic" w:hAnsi="Arial Narrow"/>
                <w:iCs/>
                <w:sz w:val="20"/>
                <w:szCs w:val="20"/>
              </w:rPr>
            </w:pPr>
            <w:r w:rsidRPr="00885AB3">
              <w:rPr>
                <w:rFonts w:ascii="Arial Narrow" w:eastAsia="MS Gothic" w:hAnsi="Arial Narrow"/>
                <w:iCs/>
                <w:sz w:val="20"/>
                <w:szCs w:val="20"/>
              </w:rPr>
              <w:t>1.96</w:t>
            </w:r>
          </w:p>
        </w:tc>
        <w:tc>
          <w:tcPr>
            <w:tcW w:w="726" w:type="pct"/>
            <w:vAlign w:val="center"/>
          </w:tcPr>
          <w:p w14:paraId="57D23564" w14:textId="50B7C6AA" w:rsidR="006A1AFC" w:rsidRPr="00885AB3" w:rsidRDefault="006A1AFC" w:rsidP="00120D61">
            <w:pPr>
              <w:keepNext/>
              <w:keepLines/>
              <w:jc w:val="center"/>
              <w:rPr>
                <w:rFonts w:ascii="Arial Narrow" w:eastAsia="MS Gothic" w:hAnsi="Arial Narrow"/>
                <w:iCs/>
                <w:sz w:val="20"/>
                <w:szCs w:val="20"/>
              </w:rPr>
            </w:pPr>
            <w:r w:rsidRPr="00885AB3">
              <w:rPr>
                <w:rFonts w:ascii="Arial Narrow" w:eastAsia="MS Gothic" w:hAnsi="Arial Narrow"/>
                <w:iCs/>
                <w:sz w:val="20"/>
                <w:szCs w:val="20"/>
              </w:rPr>
              <w:t>0.65, 5.88</w:t>
            </w:r>
          </w:p>
        </w:tc>
        <w:tc>
          <w:tcPr>
            <w:tcW w:w="727" w:type="pct"/>
            <w:vAlign w:val="center"/>
          </w:tcPr>
          <w:p w14:paraId="4A568DCC" w14:textId="55D7D0A9" w:rsidR="006A1AFC" w:rsidRPr="00885AB3" w:rsidRDefault="006A1AFC" w:rsidP="00120D61">
            <w:pPr>
              <w:keepNext/>
              <w:keepLines/>
              <w:jc w:val="center"/>
              <w:rPr>
                <w:rFonts w:ascii="Arial Narrow" w:eastAsia="MS Gothic" w:hAnsi="Arial Narrow"/>
                <w:iCs/>
                <w:sz w:val="20"/>
                <w:szCs w:val="20"/>
              </w:rPr>
            </w:pPr>
            <w:r w:rsidRPr="00885AB3">
              <w:rPr>
                <w:rFonts w:ascii="Arial Narrow" w:eastAsia="MS Gothic" w:hAnsi="Arial Narrow"/>
                <w:iCs/>
                <w:sz w:val="20"/>
                <w:szCs w:val="20"/>
              </w:rPr>
              <w:t>0.231</w:t>
            </w:r>
          </w:p>
        </w:tc>
      </w:tr>
      <w:tr w:rsidR="006A1AFC" w:rsidRPr="00885AB3" w14:paraId="70DC3876" w14:textId="77777777" w:rsidTr="001C7F31">
        <w:trPr>
          <w:trHeight w:val="300"/>
        </w:trPr>
        <w:tc>
          <w:tcPr>
            <w:tcW w:w="1255" w:type="pct"/>
            <w:vMerge/>
            <w:noWrap/>
            <w:vAlign w:val="center"/>
          </w:tcPr>
          <w:p w14:paraId="6134C37A" w14:textId="77777777" w:rsidR="006A1AFC" w:rsidRPr="00885AB3" w:rsidRDefault="006A1AFC" w:rsidP="00120D61">
            <w:pPr>
              <w:keepNext/>
              <w:keepLines/>
              <w:rPr>
                <w:rFonts w:ascii="Arial Narrow" w:eastAsia="MS Gothic" w:hAnsi="Arial Narrow"/>
                <w:sz w:val="20"/>
                <w:szCs w:val="20"/>
              </w:rPr>
            </w:pPr>
          </w:p>
        </w:tc>
        <w:tc>
          <w:tcPr>
            <w:tcW w:w="1415" w:type="pct"/>
            <w:noWrap/>
            <w:vAlign w:val="center"/>
          </w:tcPr>
          <w:p w14:paraId="403C0140" w14:textId="2E097A90" w:rsidR="006A1AFC" w:rsidRPr="00885AB3" w:rsidRDefault="006A1AFC" w:rsidP="00120D61">
            <w:pPr>
              <w:keepNext/>
              <w:keepLines/>
              <w:rPr>
                <w:rFonts w:ascii="Arial Narrow" w:eastAsia="MS Gothic" w:hAnsi="Arial Narrow"/>
                <w:sz w:val="20"/>
                <w:szCs w:val="20"/>
              </w:rPr>
            </w:pPr>
            <w:r w:rsidRPr="00885AB3">
              <w:rPr>
                <w:rFonts w:ascii="Arial Narrow" w:eastAsia="MS Gothic" w:hAnsi="Arial Narrow"/>
                <w:sz w:val="20"/>
                <w:szCs w:val="20"/>
              </w:rPr>
              <w:t xml:space="preserve">mRNA-1345 vs </w:t>
            </w:r>
            <w:proofErr w:type="spellStart"/>
            <w:r w:rsidRPr="00885AB3">
              <w:rPr>
                <w:rFonts w:ascii="Arial Narrow" w:eastAsia="MS Gothic" w:hAnsi="Arial Narrow"/>
                <w:sz w:val="20"/>
                <w:szCs w:val="20"/>
              </w:rPr>
              <w:t>RSVPreF</w:t>
            </w:r>
            <w:proofErr w:type="spellEnd"/>
            <w:r w:rsidR="00DA49C8" w:rsidRPr="00885AB3">
              <w:rPr>
                <w:rFonts w:ascii="Arial Narrow" w:eastAsia="MS Gothic" w:hAnsi="Arial Narrow"/>
                <w:sz w:val="20"/>
                <w:szCs w:val="20"/>
              </w:rPr>
              <w:t xml:space="preserve"> (corrected)</w:t>
            </w:r>
          </w:p>
        </w:tc>
        <w:tc>
          <w:tcPr>
            <w:tcW w:w="877" w:type="pct"/>
            <w:vAlign w:val="center"/>
          </w:tcPr>
          <w:p w14:paraId="442A1F42" w14:textId="45E9304E" w:rsidR="006A1AFC" w:rsidRPr="00885AB3" w:rsidRDefault="006A1AFC" w:rsidP="00120D61">
            <w:pPr>
              <w:keepNext/>
              <w:keepLines/>
              <w:jc w:val="center"/>
              <w:rPr>
                <w:rFonts w:ascii="Arial Narrow" w:eastAsia="MS Gothic" w:hAnsi="Arial Narrow"/>
                <w:sz w:val="20"/>
                <w:szCs w:val="20"/>
              </w:rPr>
            </w:pPr>
            <w:r w:rsidRPr="00885AB3">
              <w:rPr>
                <w:rFonts w:ascii="Arial Narrow" w:eastAsia="MS Gothic" w:hAnsi="Arial Narrow"/>
                <w:sz w:val="20"/>
                <w:szCs w:val="20"/>
              </w:rPr>
              <w:t>1.93</w:t>
            </w:r>
          </w:p>
        </w:tc>
        <w:tc>
          <w:tcPr>
            <w:tcW w:w="726" w:type="pct"/>
            <w:vAlign w:val="center"/>
          </w:tcPr>
          <w:p w14:paraId="10051406" w14:textId="05ED7739" w:rsidR="006A1AFC" w:rsidRPr="00885AB3" w:rsidRDefault="006A1AFC" w:rsidP="00120D61">
            <w:pPr>
              <w:keepNext/>
              <w:keepLines/>
              <w:jc w:val="center"/>
              <w:rPr>
                <w:rFonts w:ascii="Arial Narrow" w:eastAsia="MS Gothic" w:hAnsi="Arial Narrow"/>
                <w:sz w:val="20"/>
                <w:szCs w:val="20"/>
              </w:rPr>
            </w:pPr>
            <w:r w:rsidRPr="00885AB3">
              <w:rPr>
                <w:rFonts w:ascii="Arial Narrow" w:eastAsia="MS Gothic" w:hAnsi="Arial Narrow"/>
                <w:sz w:val="20"/>
                <w:szCs w:val="20"/>
              </w:rPr>
              <w:t>0.5, 7.53</w:t>
            </w:r>
          </w:p>
        </w:tc>
        <w:tc>
          <w:tcPr>
            <w:tcW w:w="727" w:type="pct"/>
            <w:vAlign w:val="center"/>
          </w:tcPr>
          <w:p w14:paraId="372DBDEF" w14:textId="3E91A204" w:rsidR="006A1AFC" w:rsidRPr="00885AB3" w:rsidRDefault="006A1AFC" w:rsidP="00120D61">
            <w:pPr>
              <w:keepNext/>
              <w:keepLines/>
              <w:jc w:val="center"/>
              <w:rPr>
                <w:rFonts w:ascii="Arial Narrow" w:eastAsia="MS Gothic" w:hAnsi="Arial Narrow"/>
                <w:sz w:val="20"/>
                <w:szCs w:val="20"/>
              </w:rPr>
            </w:pPr>
            <w:r w:rsidRPr="00885AB3">
              <w:rPr>
                <w:rFonts w:ascii="Arial Narrow" w:eastAsia="MS Gothic" w:hAnsi="Arial Narrow"/>
                <w:sz w:val="20"/>
                <w:szCs w:val="20"/>
              </w:rPr>
              <w:t>0.342</w:t>
            </w:r>
          </w:p>
        </w:tc>
      </w:tr>
      <w:tr w:rsidR="006A1AFC" w:rsidRPr="00885AB3" w14:paraId="570043C1" w14:textId="77777777" w:rsidTr="001C7F31">
        <w:trPr>
          <w:trHeight w:val="198"/>
        </w:trPr>
        <w:tc>
          <w:tcPr>
            <w:tcW w:w="1255" w:type="pct"/>
            <w:noWrap/>
            <w:vAlign w:val="center"/>
          </w:tcPr>
          <w:p w14:paraId="4B6F0160" w14:textId="79E4CEF0" w:rsidR="006A1AFC" w:rsidRPr="00885AB3" w:rsidRDefault="006A1AFC" w:rsidP="00120D61">
            <w:pPr>
              <w:keepNext/>
              <w:keepLines/>
              <w:rPr>
                <w:rFonts w:ascii="Arial Narrow" w:eastAsia="MS Gothic" w:hAnsi="Arial Narrow"/>
                <w:sz w:val="20"/>
                <w:szCs w:val="20"/>
              </w:rPr>
            </w:pPr>
            <w:r w:rsidRPr="00885AB3">
              <w:rPr>
                <w:rFonts w:ascii="Arial Narrow" w:eastAsia="MS Gothic" w:hAnsi="Arial Narrow"/>
                <w:sz w:val="20"/>
                <w:szCs w:val="20"/>
              </w:rPr>
              <w:t xml:space="preserve">RSV-LRTD </w:t>
            </w:r>
            <w:r w:rsidR="00EF2FA4">
              <w:rPr>
                <w:rFonts w:ascii="Arial Narrow" w:eastAsia="MS Gothic" w:hAnsi="Arial Narrow" w:cs="Calibri"/>
                <w:sz w:val="20"/>
                <w:szCs w:val="20"/>
              </w:rPr>
              <w:t xml:space="preserve">≥ </w:t>
            </w:r>
            <w:r w:rsidRPr="00885AB3">
              <w:rPr>
                <w:rFonts w:ascii="Arial Narrow" w:eastAsia="MS Gothic" w:hAnsi="Arial Narrow" w:cs="Calibri"/>
                <w:sz w:val="20"/>
                <w:szCs w:val="20"/>
              </w:rPr>
              <w:t xml:space="preserve">3 </w:t>
            </w:r>
            <w:proofErr w:type="spellStart"/>
            <w:r w:rsidRPr="00885AB3">
              <w:rPr>
                <w:rFonts w:ascii="Arial Narrow" w:eastAsia="MS Gothic" w:hAnsi="Arial Narrow" w:cs="Calibri"/>
                <w:sz w:val="20"/>
                <w:szCs w:val="20"/>
              </w:rPr>
              <w:t>symptoms</w:t>
            </w:r>
            <w:r w:rsidRPr="00885AB3">
              <w:rPr>
                <w:rFonts w:ascii="Arial Narrow" w:eastAsia="MS Gothic" w:hAnsi="Arial Narrow"/>
                <w:sz w:val="20"/>
                <w:szCs w:val="20"/>
                <w:vertAlign w:val="superscript"/>
              </w:rPr>
              <w:t>a</w:t>
            </w:r>
            <w:proofErr w:type="spellEnd"/>
          </w:p>
        </w:tc>
        <w:tc>
          <w:tcPr>
            <w:tcW w:w="1415" w:type="pct"/>
            <w:noWrap/>
            <w:vAlign w:val="center"/>
          </w:tcPr>
          <w:p w14:paraId="7C94991C" w14:textId="27E3076F" w:rsidR="006A1AFC" w:rsidRPr="00885AB3" w:rsidRDefault="006A1AFC" w:rsidP="00120D61">
            <w:pPr>
              <w:keepNext/>
              <w:keepLines/>
              <w:rPr>
                <w:rFonts w:ascii="Arial Narrow" w:eastAsia="MS Gothic" w:hAnsi="Arial Narrow"/>
                <w:sz w:val="20"/>
                <w:szCs w:val="20"/>
              </w:rPr>
            </w:pPr>
            <w:r w:rsidRPr="00885AB3">
              <w:rPr>
                <w:rFonts w:ascii="Arial Narrow" w:eastAsia="MS Gothic" w:hAnsi="Arial Narrow"/>
                <w:sz w:val="20"/>
                <w:szCs w:val="20"/>
              </w:rPr>
              <w:t xml:space="preserve">mRNA-1345 vs </w:t>
            </w:r>
            <w:proofErr w:type="spellStart"/>
            <w:r w:rsidRPr="00885AB3">
              <w:rPr>
                <w:rFonts w:ascii="Arial Narrow" w:eastAsia="MS Gothic" w:hAnsi="Arial Narrow"/>
                <w:sz w:val="20"/>
                <w:szCs w:val="20"/>
              </w:rPr>
              <w:t>RSVPreF</w:t>
            </w:r>
            <w:proofErr w:type="spellEnd"/>
            <w:r w:rsidR="00DA49C8" w:rsidRPr="00885AB3">
              <w:rPr>
                <w:rFonts w:ascii="Arial Narrow" w:eastAsia="MS Gothic" w:hAnsi="Arial Narrow"/>
                <w:sz w:val="20"/>
                <w:szCs w:val="20"/>
              </w:rPr>
              <w:t xml:space="preserve"> (corrected)</w:t>
            </w:r>
          </w:p>
        </w:tc>
        <w:tc>
          <w:tcPr>
            <w:tcW w:w="877" w:type="pct"/>
            <w:vAlign w:val="center"/>
          </w:tcPr>
          <w:p w14:paraId="2C530995" w14:textId="1C3AAAE6" w:rsidR="006A1AFC" w:rsidRPr="00885AB3" w:rsidRDefault="006A1AFC" w:rsidP="00120D61">
            <w:pPr>
              <w:keepNext/>
              <w:keepLines/>
              <w:jc w:val="center"/>
              <w:rPr>
                <w:rFonts w:ascii="Arial Narrow" w:eastAsia="MS Gothic" w:hAnsi="Arial Narrow"/>
                <w:iCs/>
                <w:sz w:val="20"/>
                <w:szCs w:val="20"/>
                <w:vertAlign w:val="superscript"/>
              </w:rPr>
            </w:pPr>
            <w:r w:rsidRPr="00885AB3">
              <w:rPr>
                <w:rFonts w:ascii="Arial Narrow" w:eastAsia="MS Gothic" w:hAnsi="Arial Narrow"/>
                <w:iCs/>
                <w:sz w:val="20"/>
                <w:szCs w:val="20"/>
              </w:rPr>
              <w:t>1.79</w:t>
            </w:r>
            <w:r w:rsidRPr="00885AB3">
              <w:rPr>
                <w:rFonts w:ascii="Arial Narrow" w:eastAsia="MS Gothic" w:hAnsi="Arial Narrow"/>
                <w:iCs/>
                <w:sz w:val="20"/>
                <w:szCs w:val="20"/>
                <w:vertAlign w:val="superscript"/>
              </w:rPr>
              <w:t xml:space="preserve"> e</w:t>
            </w:r>
          </w:p>
        </w:tc>
        <w:tc>
          <w:tcPr>
            <w:tcW w:w="726" w:type="pct"/>
            <w:vAlign w:val="center"/>
          </w:tcPr>
          <w:p w14:paraId="016766CE" w14:textId="5BD7D30A" w:rsidR="006A1AFC" w:rsidRPr="00885AB3" w:rsidRDefault="006A1AFC" w:rsidP="00120D61">
            <w:pPr>
              <w:keepNext/>
              <w:keepLines/>
              <w:jc w:val="center"/>
              <w:rPr>
                <w:rFonts w:ascii="Arial Narrow" w:eastAsia="MS Gothic" w:hAnsi="Arial Narrow"/>
                <w:iCs/>
                <w:sz w:val="20"/>
                <w:szCs w:val="20"/>
                <w:vertAlign w:val="superscript"/>
              </w:rPr>
            </w:pPr>
            <w:r w:rsidRPr="00885AB3">
              <w:rPr>
                <w:rFonts w:ascii="Arial Narrow" w:eastAsia="MS Gothic" w:hAnsi="Arial Narrow"/>
                <w:iCs/>
                <w:sz w:val="20"/>
                <w:szCs w:val="20"/>
              </w:rPr>
              <w:t>0.21, 15.32</w:t>
            </w:r>
            <w:r w:rsidRPr="00885AB3">
              <w:rPr>
                <w:rFonts w:ascii="Arial Narrow" w:eastAsia="MS Gothic" w:hAnsi="Arial Narrow"/>
                <w:iCs/>
                <w:sz w:val="20"/>
                <w:szCs w:val="20"/>
                <w:vertAlign w:val="superscript"/>
              </w:rPr>
              <w:t xml:space="preserve"> e</w:t>
            </w:r>
          </w:p>
        </w:tc>
        <w:tc>
          <w:tcPr>
            <w:tcW w:w="727" w:type="pct"/>
            <w:vAlign w:val="center"/>
          </w:tcPr>
          <w:p w14:paraId="7B35B8D2" w14:textId="60511EC1" w:rsidR="006A1AFC" w:rsidRPr="00885AB3" w:rsidRDefault="006A1AFC" w:rsidP="00120D61">
            <w:pPr>
              <w:keepNext/>
              <w:keepLines/>
              <w:jc w:val="center"/>
              <w:rPr>
                <w:rFonts w:ascii="Arial Narrow" w:eastAsia="MS Gothic" w:hAnsi="Arial Narrow"/>
                <w:iCs/>
                <w:sz w:val="20"/>
                <w:szCs w:val="20"/>
                <w:vertAlign w:val="superscript"/>
              </w:rPr>
            </w:pPr>
            <w:r w:rsidRPr="00885AB3">
              <w:rPr>
                <w:rFonts w:ascii="Arial Narrow" w:eastAsia="MS Gothic" w:hAnsi="Arial Narrow"/>
                <w:iCs/>
                <w:sz w:val="20"/>
                <w:szCs w:val="20"/>
              </w:rPr>
              <w:t>0.594</w:t>
            </w:r>
            <w:r w:rsidRPr="00885AB3">
              <w:rPr>
                <w:rFonts w:ascii="Arial Narrow" w:eastAsia="MS Gothic" w:hAnsi="Arial Narrow"/>
                <w:iCs/>
                <w:sz w:val="20"/>
                <w:szCs w:val="20"/>
                <w:vertAlign w:val="superscript"/>
              </w:rPr>
              <w:t xml:space="preserve"> e</w:t>
            </w:r>
          </w:p>
        </w:tc>
      </w:tr>
      <w:tr w:rsidR="006A1AFC" w:rsidRPr="00885AB3" w14:paraId="3255ED34" w14:textId="77777777" w:rsidTr="001C7F31">
        <w:trPr>
          <w:trHeight w:val="300"/>
        </w:trPr>
        <w:tc>
          <w:tcPr>
            <w:tcW w:w="1255" w:type="pct"/>
            <w:noWrap/>
            <w:vAlign w:val="center"/>
          </w:tcPr>
          <w:p w14:paraId="40341982" w14:textId="77777777" w:rsidR="006A1AFC" w:rsidRPr="00885AB3" w:rsidRDefault="006A1AFC" w:rsidP="00120D61">
            <w:pPr>
              <w:keepNext/>
              <w:keepLines/>
              <w:rPr>
                <w:rFonts w:ascii="Arial Narrow" w:eastAsia="MS Gothic" w:hAnsi="Arial Narrow"/>
                <w:b/>
                <w:bCs/>
                <w:sz w:val="20"/>
                <w:szCs w:val="20"/>
              </w:rPr>
            </w:pPr>
            <w:r w:rsidRPr="00885AB3">
              <w:rPr>
                <w:rFonts w:ascii="Arial Narrow" w:eastAsia="MS Gothic" w:hAnsi="Arial Narrow"/>
                <w:b/>
                <w:bCs/>
                <w:sz w:val="20"/>
                <w:szCs w:val="20"/>
              </w:rPr>
              <w:t>Scenario 2</w:t>
            </w:r>
            <w:r w:rsidRPr="00885AB3">
              <w:rPr>
                <w:rFonts w:ascii="Arial Narrow" w:eastAsia="MS Gothic" w:hAnsi="Arial Narrow"/>
                <w:b/>
                <w:bCs/>
                <w:sz w:val="20"/>
                <w:szCs w:val="20"/>
                <w:vertAlign w:val="superscript"/>
              </w:rPr>
              <w:t>b</w:t>
            </w:r>
          </w:p>
        </w:tc>
        <w:tc>
          <w:tcPr>
            <w:tcW w:w="1415" w:type="pct"/>
            <w:noWrap/>
            <w:vAlign w:val="center"/>
          </w:tcPr>
          <w:p w14:paraId="29C35443" w14:textId="77777777" w:rsidR="006A1AFC" w:rsidRPr="00885AB3" w:rsidRDefault="006A1AFC" w:rsidP="00120D61">
            <w:pPr>
              <w:keepNext/>
              <w:keepLines/>
              <w:rPr>
                <w:rFonts w:ascii="Arial Narrow" w:eastAsia="MS Gothic" w:hAnsi="Arial Narrow"/>
                <w:sz w:val="20"/>
                <w:szCs w:val="20"/>
              </w:rPr>
            </w:pPr>
          </w:p>
        </w:tc>
        <w:tc>
          <w:tcPr>
            <w:tcW w:w="877" w:type="pct"/>
            <w:vAlign w:val="center"/>
          </w:tcPr>
          <w:p w14:paraId="4584657B" w14:textId="77777777" w:rsidR="006A1AFC" w:rsidRPr="00885AB3" w:rsidRDefault="006A1AFC" w:rsidP="00120D61">
            <w:pPr>
              <w:keepNext/>
              <w:keepLines/>
              <w:jc w:val="center"/>
              <w:rPr>
                <w:rFonts w:ascii="Arial Narrow" w:eastAsia="MS Gothic" w:hAnsi="Arial Narrow"/>
                <w:iCs/>
                <w:sz w:val="20"/>
                <w:szCs w:val="20"/>
              </w:rPr>
            </w:pPr>
          </w:p>
        </w:tc>
        <w:tc>
          <w:tcPr>
            <w:tcW w:w="726" w:type="pct"/>
            <w:vAlign w:val="center"/>
          </w:tcPr>
          <w:p w14:paraId="0336030B" w14:textId="77777777" w:rsidR="006A1AFC" w:rsidRPr="00885AB3" w:rsidRDefault="006A1AFC" w:rsidP="00120D61">
            <w:pPr>
              <w:keepNext/>
              <w:keepLines/>
              <w:jc w:val="center"/>
              <w:rPr>
                <w:rFonts w:ascii="Arial Narrow" w:eastAsia="MS Gothic" w:hAnsi="Arial Narrow"/>
                <w:iCs/>
                <w:sz w:val="20"/>
                <w:szCs w:val="20"/>
              </w:rPr>
            </w:pPr>
          </w:p>
        </w:tc>
        <w:tc>
          <w:tcPr>
            <w:tcW w:w="727" w:type="pct"/>
            <w:vAlign w:val="center"/>
          </w:tcPr>
          <w:p w14:paraId="4A1F6AED" w14:textId="77777777" w:rsidR="006A1AFC" w:rsidRPr="00885AB3" w:rsidRDefault="006A1AFC" w:rsidP="00120D61">
            <w:pPr>
              <w:keepNext/>
              <w:keepLines/>
              <w:jc w:val="center"/>
              <w:rPr>
                <w:rFonts w:ascii="Arial Narrow" w:eastAsia="MS Gothic" w:hAnsi="Arial Narrow"/>
                <w:iCs/>
                <w:sz w:val="20"/>
                <w:szCs w:val="20"/>
              </w:rPr>
            </w:pPr>
          </w:p>
        </w:tc>
      </w:tr>
      <w:tr w:rsidR="006A1AFC" w:rsidRPr="00885AB3" w14:paraId="44B320F2" w14:textId="77777777" w:rsidTr="001C7F31">
        <w:trPr>
          <w:trHeight w:val="121"/>
        </w:trPr>
        <w:tc>
          <w:tcPr>
            <w:tcW w:w="1255" w:type="pct"/>
            <w:noWrap/>
            <w:vAlign w:val="center"/>
          </w:tcPr>
          <w:p w14:paraId="2579ABF9" w14:textId="77777777" w:rsidR="006A1AFC" w:rsidRPr="00885AB3" w:rsidRDefault="006A1AFC" w:rsidP="00120D61">
            <w:pPr>
              <w:keepNext/>
              <w:keepLines/>
              <w:rPr>
                <w:rFonts w:ascii="Arial Narrow" w:eastAsia="MS Gothic" w:hAnsi="Arial Narrow"/>
                <w:sz w:val="20"/>
                <w:szCs w:val="20"/>
              </w:rPr>
            </w:pPr>
            <w:r w:rsidRPr="00885AB3">
              <w:rPr>
                <w:rFonts w:ascii="Arial Narrow" w:eastAsia="MS Gothic" w:hAnsi="Arial Narrow"/>
                <w:sz w:val="20"/>
                <w:szCs w:val="20"/>
              </w:rPr>
              <w:t>RSV-ARD</w:t>
            </w:r>
          </w:p>
        </w:tc>
        <w:tc>
          <w:tcPr>
            <w:tcW w:w="1415" w:type="pct"/>
            <w:noWrap/>
            <w:vAlign w:val="center"/>
          </w:tcPr>
          <w:p w14:paraId="47C73F41" w14:textId="7CF7E7DB" w:rsidR="006A1AFC" w:rsidRPr="00885AB3" w:rsidRDefault="006A1AFC" w:rsidP="00120D61">
            <w:pPr>
              <w:keepNext/>
              <w:keepLines/>
              <w:rPr>
                <w:rFonts w:ascii="Arial Narrow" w:eastAsia="MS Gothic" w:hAnsi="Arial Narrow"/>
                <w:sz w:val="20"/>
                <w:szCs w:val="20"/>
              </w:rPr>
            </w:pPr>
            <w:r w:rsidRPr="00885AB3">
              <w:rPr>
                <w:rFonts w:ascii="Arial Narrow" w:eastAsia="MS Gothic" w:hAnsi="Arial Narrow"/>
                <w:sz w:val="20"/>
                <w:szCs w:val="20"/>
              </w:rPr>
              <w:t xml:space="preserve">mRNA-1345 vs </w:t>
            </w:r>
            <w:proofErr w:type="spellStart"/>
            <w:r w:rsidRPr="00885AB3">
              <w:rPr>
                <w:rFonts w:ascii="Arial Narrow" w:eastAsia="MS Gothic" w:hAnsi="Arial Narrow"/>
                <w:sz w:val="20"/>
                <w:szCs w:val="20"/>
              </w:rPr>
              <w:t>RSVPreF</w:t>
            </w:r>
            <w:proofErr w:type="spellEnd"/>
            <w:r w:rsidR="00DA49C8" w:rsidRPr="00885AB3">
              <w:rPr>
                <w:rFonts w:ascii="Arial Narrow" w:eastAsia="MS Gothic" w:hAnsi="Arial Narrow"/>
                <w:sz w:val="20"/>
                <w:szCs w:val="20"/>
              </w:rPr>
              <w:t xml:space="preserve"> (corrected)</w:t>
            </w:r>
          </w:p>
        </w:tc>
        <w:tc>
          <w:tcPr>
            <w:tcW w:w="877" w:type="pct"/>
            <w:vAlign w:val="center"/>
          </w:tcPr>
          <w:p w14:paraId="4542C832" w14:textId="305F90BD" w:rsidR="006A1AFC" w:rsidRPr="00885AB3" w:rsidRDefault="006A1AFC" w:rsidP="00120D61">
            <w:pPr>
              <w:keepNext/>
              <w:keepLines/>
              <w:jc w:val="center"/>
              <w:rPr>
                <w:rFonts w:ascii="Arial Narrow" w:eastAsia="MS Gothic" w:hAnsi="Arial Narrow"/>
                <w:iCs/>
                <w:sz w:val="20"/>
                <w:szCs w:val="20"/>
              </w:rPr>
            </w:pPr>
            <w:r w:rsidRPr="00885AB3">
              <w:rPr>
                <w:rFonts w:ascii="Arial Narrow" w:eastAsia="MS Gothic" w:hAnsi="Arial Narrow"/>
                <w:iCs/>
                <w:sz w:val="20"/>
                <w:szCs w:val="20"/>
              </w:rPr>
              <w:t>1.08</w:t>
            </w:r>
            <w:r w:rsidRPr="00885AB3">
              <w:rPr>
                <w:rFonts w:ascii="Arial Narrow" w:eastAsia="MS Gothic" w:hAnsi="Arial Narrow"/>
                <w:iCs/>
                <w:sz w:val="20"/>
                <w:szCs w:val="20"/>
                <w:vertAlign w:val="superscript"/>
              </w:rPr>
              <w:t>d</w:t>
            </w:r>
          </w:p>
        </w:tc>
        <w:tc>
          <w:tcPr>
            <w:tcW w:w="726" w:type="pct"/>
            <w:vAlign w:val="center"/>
          </w:tcPr>
          <w:p w14:paraId="5FD3FE4C" w14:textId="41C16463" w:rsidR="006A1AFC" w:rsidRPr="00885AB3" w:rsidRDefault="006A1AFC" w:rsidP="00120D61">
            <w:pPr>
              <w:keepNext/>
              <w:keepLines/>
              <w:jc w:val="center"/>
              <w:rPr>
                <w:rFonts w:ascii="Arial Narrow" w:eastAsia="MS Gothic" w:hAnsi="Arial Narrow"/>
                <w:iCs/>
                <w:sz w:val="20"/>
                <w:szCs w:val="20"/>
              </w:rPr>
            </w:pPr>
            <w:r w:rsidRPr="00885AB3">
              <w:rPr>
                <w:rFonts w:ascii="Arial Narrow" w:eastAsia="MS Gothic" w:hAnsi="Arial Narrow"/>
                <w:iCs/>
                <w:sz w:val="20"/>
                <w:szCs w:val="20"/>
              </w:rPr>
              <w:t>0.34, 3.44</w:t>
            </w:r>
            <w:r w:rsidRPr="00885AB3">
              <w:rPr>
                <w:rFonts w:ascii="Arial Narrow" w:eastAsia="MS Gothic" w:hAnsi="Arial Narrow"/>
                <w:iCs/>
                <w:sz w:val="20"/>
                <w:szCs w:val="20"/>
                <w:vertAlign w:val="superscript"/>
              </w:rPr>
              <w:t xml:space="preserve"> d</w:t>
            </w:r>
          </w:p>
        </w:tc>
        <w:tc>
          <w:tcPr>
            <w:tcW w:w="727" w:type="pct"/>
            <w:vAlign w:val="center"/>
          </w:tcPr>
          <w:p w14:paraId="51765BF8" w14:textId="23DAE09E" w:rsidR="006A1AFC" w:rsidRPr="00885AB3" w:rsidRDefault="006A1AFC" w:rsidP="00120D61">
            <w:pPr>
              <w:keepNext/>
              <w:keepLines/>
              <w:jc w:val="center"/>
              <w:rPr>
                <w:rFonts w:ascii="Arial Narrow" w:eastAsia="MS Gothic" w:hAnsi="Arial Narrow"/>
                <w:iCs/>
                <w:sz w:val="20"/>
                <w:szCs w:val="20"/>
              </w:rPr>
            </w:pPr>
            <w:r w:rsidRPr="00885AB3">
              <w:rPr>
                <w:rFonts w:ascii="Arial Narrow" w:eastAsia="MS Gothic" w:hAnsi="Arial Narrow"/>
                <w:iCs/>
                <w:sz w:val="20"/>
                <w:szCs w:val="20"/>
              </w:rPr>
              <w:t>0.902</w:t>
            </w:r>
            <w:r w:rsidRPr="00885AB3">
              <w:rPr>
                <w:rFonts w:ascii="Arial Narrow" w:eastAsia="MS Gothic" w:hAnsi="Arial Narrow"/>
                <w:iCs/>
                <w:sz w:val="20"/>
                <w:szCs w:val="20"/>
                <w:vertAlign w:val="superscript"/>
              </w:rPr>
              <w:t xml:space="preserve"> d</w:t>
            </w:r>
          </w:p>
        </w:tc>
      </w:tr>
      <w:tr w:rsidR="006A1AFC" w:rsidRPr="00885AB3" w14:paraId="78DFD846" w14:textId="77777777" w:rsidTr="001C7F31">
        <w:trPr>
          <w:trHeight w:val="56"/>
        </w:trPr>
        <w:tc>
          <w:tcPr>
            <w:tcW w:w="1255" w:type="pct"/>
            <w:vMerge w:val="restart"/>
            <w:noWrap/>
            <w:vAlign w:val="center"/>
          </w:tcPr>
          <w:p w14:paraId="2703B450" w14:textId="13486748" w:rsidR="006A1AFC" w:rsidRPr="00885AB3" w:rsidRDefault="006A1AFC" w:rsidP="00120D61">
            <w:pPr>
              <w:keepNext/>
              <w:keepLines/>
              <w:rPr>
                <w:rFonts w:ascii="Arial Narrow" w:eastAsia="MS Gothic" w:hAnsi="Arial Narrow"/>
                <w:sz w:val="20"/>
                <w:szCs w:val="20"/>
              </w:rPr>
            </w:pPr>
            <w:r w:rsidRPr="00885AB3">
              <w:rPr>
                <w:rFonts w:ascii="Arial Narrow" w:eastAsia="MS Gothic" w:hAnsi="Arial Narrow"/>
                <w:sz w:val="20"/>
                <w:szCs w:val="20"/>
              </w:rPr>
              <w:t xml:space="preserve">RSV-LRTD </w:t>
            </w:r>
            <w:r w:rsidR="00EF2FA4">
              <w:rPr>
                <w:rFonts w:ascii="Arial Narrow" w:eastAsia="MS Gothic" w:hAnsi="Arial Narrow" w:cs="Calibri"/>
                <w:sz w:val="20"/>
                <w:szCs w:val="20"/>
              </w:rPr>
              <w:t xml:space="preserve">≥ </w:t>
            </w:r>
            <w:r w:rsidRPr="00885AB3">
              <w:rPr>
                <w:rFonts w:ascii="Arial Narrow" w:eastAsia="MS Gothic" w:hAnsi="Arial Narrow" w:cs="Calibri"/>
                <w:sz w:val="20"/>
                <w:szCs w:val="20"/>
              </w:rPr>
              <w:t>2 symptoms</w:t>
            </w:r>
          </w:p>
        </w:tc>
        <w:tc>
          <w:tcPr>
            <w:tcW w:w="1415" w:type="pct"/>
            <w:noWrap/>
            <w:vAlign w:val="center"/>
          </w:tcPr>
          <w:p w14:paraId="54293714" w14:textId="1D81F08E" w:rsidR="006A1AFC" w:rsidRPr="00885AB3" w:rsidRDefault="006A1AFC" w:rsidP="00120D61">
            <w:pPr>
              <w:keepNext/>
              <w:keepLines/>
              <w:rPr>
                <w:rFonts w:ascii="Arial Narrow" w:eastAsia="MS Gothic" w:hAnsi="Arial Narrow"/>
                <w:sz w:val="20"/>
                <w:szCs w:val="20"/>
              </w:rPr>
            </w:pPr>
            <w:r w:rsidRPr="00885AB3">
              <w:rPr>
                <w:rFonts w:ascii="Arial Narrow" w:eastAsia="MS Gothic" w:hAnsi="Arial Narrow"/>
                <w:sz w:val="20"/>
                <w:szCs w:val="20"/>
              </w:rPr>
              <w:t>mRNA-1345 vs RSVPreF3 OA</w:t>
            </w:r>
            <w:r w:rsidR="00DA49C8" w:rsidRPr="00885AB3">
              <w:rPr>
                <w:rFonts w:ascii="Arial Narrow" w:eastAsia="MS Gothic" w:hAnsi="Arial Narrow"/>
                <w:sz w:val="20"/>
                <w:szCs w:val="20"/>
              </w:rPr>
              <w:t xml:space="preserve"> (corrected)</w:t>
            </w:r>
          </w:p>
        </w:tc>
        <w:tc>
          <w:tcPr>
            <w:tcW w:w="877" w:type="pct"/>
            <w:vAlign w:val="center"/>
          </w:tcPr>
          <w:p w14:paraId="58023ED2" w14:textId="2AEBE743" w:rsidR="006A1AFC" w:rsidRPr="00885AB3" w:rsidRDefault="006A1AFC" w:rsidP="00120D61">
            <w:pPr>
              <w:keepNext/>
              <w:keepLines/>
              <w:jc w:val="center"/>
              <w:rPr>
                <w:rFonts w:ascii="Arial Narrow" w:eastAsia="MS Gothic" w:hAnsi="Arial Narrow"/>
                <w:iCs/>
                <w:sz w:val="20"/>
                <w:szCs w:val="20"/>
                <w:vertAlign w:val="superscript"/>
              </w:rPr>
            </w:pPr>
            <w:r w:rsidRPr="00885AB3">
              <w:rPr>
                <w:rFonts w:ascii="Arial Narrow" w:eastAsia="MS Gothic" w:hAnsi="Arial Narrow"/>
                <w:iCs/>
                <w:sz w:val="20"/>
                <w:szCs w:val="20"/>
              </w:rPr>
              <w:t>1.31</w:t>
            </w:r>
          </w:p>
        </w:tc>
        <w:tc>
          <w:tcPr>
            <w:tcW w:w="726" w:type="pct"/>
            <w:vAlign w:val="center"/>
          </w:tcPr>
          <w:p w14:paraId="13056E79" w14:textId="0E53C72C" w:rsidR="006A1AFC" w:rsidRPr="00885AB3" w:rsidRDefault="006A1AFC" w:rsidP="00120D61">
            <w:pPr>
              <w:keepNext/>
              <w:keepLines/>
              <w:jc w:val="center"/>
              <w:rPr>
                <w:rFonts w:ascii="Arial Narrow" w:eastAsia="MS Gothic" w:hAnsi="Arial Narrow"/>
                <w:iCs/>
                <w:sz w:val="20"/>
                <w:szCs w:val="20"/>
              </w:rPr>
            </w:pPr>
            <w:r w:rsidRPr="00885AB3">
              <w:rPr>
                <w:rFonts w:ascii="Arial Narrow" w:eastAsia="MS Gothic" w:hAnsi="Arial Narrow"/>
                <w:iCs/>
                <w:sz w:val="20"/>
                <w:szCs w:val="20"/>
              </w:rPr>
              <w:t>0.27, 6.33</w:t>
            </w:r>
            <w:r w:rsidRPr="00885AB3">
              <w:rPr>
                <w:rFonts w:ascii="Arial Narrow" w:eastAsia="MS Gothic" w:hAnsi="Arial Narrow"/>
                <w:iCs/>
                <w:sz w:val="20"/>
                <w:szCs w:val="20"/>
                <w:vertAlign w:val="superscript"/>
              </w:rPr>
              <w:t xml:space="preserve"> </w:t>
            </w:r>
          </w:p>
        </w:tc>
        <w:tc>
          <w:tcPr>
            <w:tcW w:w="727" w:type="pct"/>
            <w:vAlign w:val="center"/>
          </w:tcPr>
          <w:p w14:paraId="0C9630EE" w14:textId="696616AF" w:rsidR="006A1AFC" w:rsidRPr="00885AB3" w:rsidRDefault="006A1AFC" w:rsidP="00120D61">
            <w:pPr>
              <w:keepNext/>
              <w:keepLines/>
              <w:jc w:val="center"/>
              <w:rPr>
                <w:rFonts w:ascii="Arial Narrow" w:eastAsia="MS Gothic" w:hAnsi="Arial Narrow"/>
                <w:iCs/>
                <w:sz w:val="20"/>
                <w:szCs w:val="20"/>
                <w:vertAlign w:val="superscript"/>
              </w:rPr>
            </w:pPr>
            <w:r w:rsidRPr="00885AB3">
              <w:rPr>
                <w:rFonts w:ascii="Arial Narrow" w:eastAsia="MS Gothic" w:hAnsi="Arial Narrow"/>
                <w:iCs/>
                <w:sz w:val="20"/>
                <w:szCs w:val="20"/>
              </w:rPr>
              <w:t>0.740</w:t>
            </w:r>
            <w:r w:rsidRPr="00885AB3">
              <w:rPr>
                <w:rFonts w:ascii="Arial Narrow" w:eastAsia="MS Gothic" w:hAnsi="Arial Narrow"/>
                <w:iCs/>
                <w:sz w:val="20"/>
                <w:szCs w:val="20"/>
                <w:vertAlign w:val="superscript"/>
              </w:rPr>
              <w:t xml:space="preserve"> </w:t>
            </w:r>
          </w:p>
        </w:tc>
      </w:tr>
      <w:tr w:rsidR="006A1AFC" w:rsidRPr="00885AB3" w14:paraId="27789C79" w14:textId="77777777" w:rsidTr="001C7F31">
        <w:trPr>
          <w:trHeight w:val="131"/>
        </w:trPr>
        <w:tc>
          <w:tcPr>
            <w:tcW w:w="1255" w:type="pct"/>
            <w:vMerge/>
            <w:noWrap/>
            <w:vAlign w:val="center"/>
          </w:tcPr>
          <w:p w14:paraId="3E78F003" w14:textId="77777777" w:rsidR="006A1AFC" w:rsidRPr="00885AB3" w:rsidRDefault="006A1AFC" w:rsidP="00120D61">
            <w:pPr>
              <w:keepNext/>
              <w:keepLines/>
              <w:rPr>
                <w:rFonts w:ascii="Arial Narrow" w:eastAsia="MS Gothic" w:hAnsi="Arial Narrow"/>
                <w:sz w:val="20"/>
                <w:szCs w:val="20"/>
              </w:rPr>
            </w:pPr>
          </w:p>
        </w:tc>
        <w:tc>
          <w:tcPr>
            <w:tcW w:w="1415" w:type="pct"/>
            <w:noWrap/>
            <w:vAlign w:val="center"/>
          </w:tcPr>
          <w:p w14:paraId="409C8339" w14:textId="6F6B365C" w:rsidR="006A1AFC" w:rsidRPr="00885AB3" w:rsidRDefault="006A1AFC" w:rsidP="00120D61">
            <w:pPr>
              <w:keepNext/>
              <w:keepLines/>
              <w:rPr>
                <w:rFonts w:ascii="Arial Narrow" w:eastAsia="MS Gothic" w:hAnsi="Arial Narrow"/>
                <w:sz w:val="20"/>
                <w:szCs w:val="20"/>
              </w:rPr>
            </w:pPr>
            <w:r w:rsidRPr="00885AB3">
              <w:rPr>
                <w:rFonts w:ascii="Arial Narrow" w:eastAsia="MS Gothic" w:hAnsi="Arial Narrow"/>
                <w:sz w:val="20"/>
                <w:szCs w:val="20"/>
              </w:rPr>
              <w:t xml:space="preserve">mRNA-1345 vs </w:t>
            </w:r>
            <w:proofErr w:type="spellStart"/>
            <w:r w:rsidRPr="00885AB3">
              <w:rPr>
                <w:rFonts w:ascii="Arial Narrow" w:eastAsia="MS Gothic" w:hAnsi="Arial Narrow"/>
                <w:sz w:val="20"/>
                <w:szCs w:val="20"/>
              </w:rPr>
              <w:t>RSVPreF</w:t>
            </w:r>
            <w:proofErr w:type="spellEnd"/>
            <w:r w:rsidR="00DA49C8" w:rsidRPr="00885AB3">
              <w:rPr>
                <w:rFonts w:ascii="Arial Narrow" w:eastAsia="MS Gothic" w:hAnsi="Arial Narrow"/>
                <w:sz w:val="20"/>
                <w:szCs w:val="20"/>
              </w:rPr>
              <w:t xml:space="preserve"> (corrected)</w:t>
            </w:r>
          </w:p>
        </w:tc>
        <w:tc>
          <w:tcPr>
            <w:tcW w:w="877" w:type="pct"/>
            <w:vAlign w:val="center"/>
          </w:tcPr>
          <w:p w14:paraId="239B188F" w14:textId="74D4C2C7" w:rsidR="006A1AFC" w:rsidRPr="00885AB3" w:rsidRDefault="006A1AFC" w:rsidP="00120D61">
            <w:pPr>
              <w:keepNext/>
              <w:keepLines/>
              <w:jc w:val="center"/>
              <w:rPr>
                <w:rFonts w:ascii="Arial Narrow" w:eastAsia="MS Gothic" w:hAnsi="Arial Narrow"/>
                <w:iCs/>
                <w:sz w:val="20"/>
                <w:szCs w:val="20"/>
                <w:vertAlign w:val="superscript"/>
              </w:rPr>
            </w:pPr>
            <w:r w:rsidRPr="00885AB3">
              <w:rPr>
                <w:rFonts w:ascii="Arial Narrow" w:eastAsia="MS Gothic" w:hAnsi="Arial Narrow"/>
                <w:iCs/>
                <w:sz w:val="20"/>
                <w:szCs w:val="20"/>
              </w:rPr>
              <w:t>1.08</w:t>
            </w:r>
            <w:r w:rsidRPr="00885AB3">
              <w:rPr>
                <w:rFonts w:ascii="Arial Narrow" w:eastAsia="MS Gothic" w:hAnsi="Arial Narrow"/>
                <w:iCs/>
                <w:sz w:val="20"/>
                <w:szCs w:val="20"/>
                <w:vertAlign w:val="superscript"/>
              </w:rPr>
              <w:t xml:space="preserve"> d</w:t>
            </w:r>
          </w:p>
        </w:tc>
        <w:tc>
          <w:tcPr>
            <w:tcW w:w="726" w:type="pct"/>
            <w:vAlign w:val="center"/>
          </w:tcPr>
          <w:p w14:paraId="67E0B9FF" w14:textId="22DA2811" w:rsidR="006A1AFC" w:rsidRPr="00885AB3" w:rsidRDefault="006A1AFC" w:rsidP="00120D61">
            <w:pPr>
              <w:keepNext/>
              <w:keepLines/>
              <w:jc w:val="center"/>
              <w:rPr>
                <w:rFonts w:ascii="Arial Narrow" w:eastAsia="MS Gothic" w:hAnsi="Arial Narrow"/>
                <w:iCs/>
                <w:sz w:val="20"/>
                <w:szCs w:val="20"/>
                <w:vertAlign w:val="superscript"/>
              </w:rPr>
            </w:pPr>
            <w:r w:rsidRPr="00885AB3">
              <w:rPr>
                <w:rFonts w:ascii="Arial Narrow" w:eastAsia="MS Gothic" w:hAnsi="Arial Narrow"/>
                <w:iCs/>
                <w:sz w:val="20"/>
                <w:szCs w:val="20"/>
              </w:rPr>
              <w:t>0.21, 5.46</w:t>
            </w:r>
            <w:r w:rsidRPr="00885AB3">
              <w:rPr>
                <w:rFonts w:ascii="Arial Narrow" w:eastAsia="MS Gothic" w:hAnsi="Arial Narrow"/>
                <w:iCs/>
                <w:sz w:val="20"/>
                <w:szCs w:val="20"/>
                <w:vertAlign w:val="superscript"/>
              </w:rPr>
              <w:t xml:space="preserve"> d</w:t>
            </w:r>
          </w:p>
        </w:tc>
        <w:tc>
          <w:tcPr>
            <w:tcW w:w="727" w:type="pct"/>
            <w:vAlign w:val="center"/>
          </w:tcPr>
          <w:p w14:paraId="1311A877" w14:textId="401AC8F1" w:rsidR="006A1AFC" w:rsidRPr="00885AB3" w:rsidRDefault="006A1AFC" w:rsidP="00120D61">
            <w:pPr>
              <w:keepNext/>
              <w:keepLines/>
              <w:jc w:val="center"/>
              <w:rPr>
                <w:rFonts w:ascii="Arial Narrow" w:eastAsia="MS Gothic" w:hAnsi="Arial Narrow"/>
                <w:iCs/>
                <w:sz w:val="20"/>
                <w:szCs w:val="20"/>
                <w:vertAlign w:val="superscript"/>
              </w:rPr>
            </w:pPr>
            <w:r w:rsidRPr="00885AB3">
              <w:rPr>
                <w:rFonts w:ascii="Arial Narrow" w:eastAsia="MS Gothic" w:hAnsi="Arial Narrow"/>
                <w:iCs/>
                <w:sz w:val="20"/>
                <w:szCs w:val="20"/>
              </w:rPr>
              <w:t>0.923</w:t>
            </w:r>
            <w:r w:rsidRPr="00885AB3">
              <w:rPr>
                <w:rFonts w:ascii="Arial Narrow" w:eastAsia="MS Gothic" w:hAnsi="Arial Narrow"/>
                <w:iCs/>
                <w:sz w:val="20"/>
                <w:szCs w:val="20"/>
                <w:vertAlign w:val="superscript"/>
              </w:rPr>
              <w:t xml:space="preserve"> d</w:t>
            </w:r>
          </w:p>
        </w:tc>
      </w:tr>
      <w:tr w:rsidR="006A1AFC" w:rsidRPr="00885AB3" w14:paraId="5CA21E99" w14:textId="77777777" w:rsidTr="001C7F31">
        <w:trPr>
          <w:trHeight w:val="155"/>
        </w:trPr>
        <w:tc>
          <w:tcPr>
            <w:tcW w:w="1255" w:type="pct"/>
            <w:noWrap/>
            <w:vAlign w:val="center"/>
          </w:tcPr>
          <w:p w14:paraId="59178D1F" w14:textId="62C2E221" w:rsidR="006A1AFC" w:rsidRPr="00885AB3" w:rsidRDefault="006A1AFC" w:rsidP="00120D61">
            <w:pPr>
              <w:keepNext/>
              <w:keepLines/>
              <w:rPr>
                <w:rFonts w:ascii="Arial Narrow" w:eastAsia="MS Gothic" w:hAnsi="Arial Narrow"/>
                <w:sz w:val="20"/>
                <w:szCs w:val="20"/>
              </w:rPr>
            </w:pPr>
            <w:r w:rsidRPr="00885AB3">
              <w:rPr>
                <w:rFonts w:ascii="Arial Narrow" w:eastAsia="MS Gothic" w:hAnsi="Arial Narrow"/>
                <w:sz w:val="20"/>
                <w:szCs w:val="20"/>
              </w:rPr>
              <w:t xml:space="preserve">RSV-LRTD </w:t>
            </w:r>
            <w:r w:rsidR="00EF2FA4">
              <w:rPr>
                <w:rFonts w:ascii="Arial Narrow" w:eastAsia="MS Gothic" w:hAnsi="Arial Narrow" w:cs="Calibri"/>
                <w:sz w:val="20"/>
                <w:szCs w:val="20"/>
              </w:rPr>
              <w:t xml:space="preserve">≥ </w:t>
            </w:r>
            <w:r w:rsidRPr="00885AB3">
              <w:rPr>
                <w:rFonts w:ascii="Arial Narrow" w:eastAsia="MS Gothic" w:hAnsi="Arial Narrow" w:cs="Calibri"/>
                <w:sz w:val="20"/>
                <w:szCs w:val="20"/>
              </w:rPr>
              <w:t xml:space="preserve">3 </w:t>
            </w:r>
            <w:proofErr w:type="spellStart"/>
            <w:r w:rsidRPr="00885AB3">
              <w:rPr>
                <w:rFonts w:ascii="Arial Narrow" w:eastAsia="MS Gothic" w:hAnsi="Arial Narrow" w:cs="Calibri"/>
                <w:sz w:val="20"/>
                <w:szCs w:val="20"/>
              </w:rPr>
              <w:t>symptoms</w:t>
            </w:r>
            <w:r w:rsidRPr="00885AB3">
              <w:rPr>
                <w:rFonts w:ascii="Arial Narrow" w:eastAsia="MS Gothic" w:hAnsi="Arial Narrow"/>
                <w:sz w:val="20"/>
                <w:szCs w:val="20"/>
                <w:vertAlign w:val="superscript"/>
              </w:rPr>
              <w:t>a</w:t>
            </w:r>
            <w:proofErr w:type="spellEnd"/>
          </w:p>
        </w:tc>
        <w:tc>
          <w:tcPr>
            <w:tcW w:w="1415" w:type="pct"/>
            <w:noWrap/>
            <w:vAlign w:val="center"/>
          </w:tcPr>
          <w:p w14:paraId="778DBCD1" w14:textId="6095730F" w:rsidR="006A1AFC" w:rsidRPr="00885AB3" w:rsidRDefault="006A1AFC" w:rsidP="00120D61">
            <w:pPr>
              <w:keepNext/>
              <w:keepLines/>
              <w:rPr>
                <w:rFonts w:ascii="Arial Narrow" w:eastAsia="MS Gothic" w:hAnsi="Arial Narrow"/>
                <w:sz w:val="20"/>
                <w:szCs w:val="20"/>
              </w:rPr>
            </w:pPr>
            <w:r w:rsidRPr="00885AB3">
              <w:rPr>
                <w:rFonts w:ascii="Arial Narrow" w:eastAsia="MS Gothic" w:hAnsi="Arial Narrow"/>
                <w:sz w:val="20"/>
                <w:szCs w:val="20"/>
              </w:rPr>
              <w:t xml:space="preserve">mRNA-1345 vs </w:t>
            </w:r>
            <w:proofErr w:type="spellStart"/>
            <w:r w:rsidRPr="00885AB3">
              <w:rPr>
                <w:rFonts w:ascii="Arial Narrow" w:eastAsia="MS Gothic" w:hAnsi="Arial Narrow"/>
                <w:sz w:val="20"/>
                <w:szCs w:val="20"/>
              </w:rPr>
              <w:t>RSVPreF</w:t>
            </w:r>
            <w:proofErr w:type="spellEnd"/>
            <w:r w:rsidR="00DA49C8" w:rsidRPr="00885AB3">
              <w:rPr>
                <w:rFonts w:ascii="Arial Narrow" w:eastAsia="MS Gothic" w:hAnsi="Arial Narrow"/>
                <w:sz w:val="20"/>
                <w:szCs w:val="20"/>
              </w:rPr>
              <w:t xml:space="preserve"> (corrected) </w:t>
            </w:r>
          </w:p>
        </w:tc>
        <w:tc>
          <w:tcPr>
            <w:tcW w:w="877" w:type="pct"/>
            <w:vAlign w:val="center"/>
          </w:tcPr>
          <w:p w14:paraId="55BF5A79" w14:textId="7770EAC8" w:rsidR="006A1AFC" w:rsidRPr="00885AB3" w:rsidRDefault="006A1AFC" w:rsidP="00120D61">
            <w:pPr>
              <w:keepNext/>
              <w:keepLines/>
              <w:jc w:val="center"/>
              <w:rPr>
                <w:rFonts w:ascii="Arial Narrow" w:eastAsia="MS Gothic" w:hAnsi="Arial Narrow"/>
                <w:iCs/>
                <w:sz w:val="20"/>
                <w:szCs w:val="20"/>
                <w:vertAlign w:val="superscript"/>
              </w:rPr>
            </w:pPr>
            <w:r w:rsidRPr="00885AB3">
              <w:rPr>
                <w:rFonts w:ascii="Arial Narrow" w:eastAsia="MS Gothic" w:hAnsi="Arial Narrow"/>
                <w:iCs/>
                <w:sz w:val="20"/>
                <w:szCs w:val="20"/>
              </w:rPr>
              <w:t>0.90</w:t>
            </w:r>
            <w:r w:rsidRPr="00885AB3">
              <w:rPr>
                <w:rFonts w:ascii="Arial Narrow" w:eastAsia="MS Gothic" w:hAnsi="Arial Narrow"/>
                <w:iCs/>
                <w:sz w:val="20"/>
                <w:szCs w:val="20"/>
                <w:vertAlign w:val="superscript"/>
              </w:rPr>
              <w:t>e</w:t>
            </w:r>
          </w:p>
        </w:tc>
        <w:tc>
          <w:tcPr>
            <w:tcW w:w="726" w:type="pct"/>
            <w:vAlign w:val="center"/>
          </w:tcPr>
          <w:p w14:paraId="50357C10" w14:textId="6F1D5E8B" w:rsidR="006A1AFC" w:rsidRPr="00885AB3" w:rsidRDefault="006A1AFC" w:rsidP="00120D61">
            <w:pPr>
              <w:keepNext/>
              <w:keepLines/>
              <w:jc w:val="center"/>
              <w:rPr>
                <w:rFonts w:ascii="Arial Narrow" w:eastAsia="MS Gothic" w:hAnsi="Arial Narrow"/>
                <w:iCs/>
                <w:sz w:val="20"/>
                <w:szCs w:val="20"/>
                <w:vertAlign w:val="superscript"/>
              </w:rPr>
            </w:pPr>
            <w:r w:rsidRPr="00885AB3">
              <w:rPr>
                <w:rFonts w:ascii="Arial Narrow" w:eastAsia="MS Gothic" w:hAnsi="Arial Narrow"/>
                <w:iCs/>
                <w:sz w:val="20"/>
                <w:szCs w:val="20"/>
              </w:rPr>
              <w:t>0.09, 8.92</w:t>
            </w:r>
            <w:r w:rsidRPr="00885AB3">
              <w:rPr>
                <w:rFonts w:ascii="Arial Narrow" w:eastAsia="MS Gothic" w:hAnsi="Arial Narrow"/>
                <w:iCs/>
                <w:sz w:val="20"/>
                <w:szCs w:val="20"/>
                <w:vertAlign w:val="superscript"/>
              </w:rPr>
              <w:t>e</w:t>
            </w:r>
          </w:p>
        </w:tc>
        <w:tc>
          <w:tcPr>
            <w:tcW w:w="727" w:type="pct"/>
            <w:vAlign w:val="center"/>
          </w:tcPr>
          <w:p w14:paraId="2C7D43E3" w14:textId="1E0DC79B" w:rsidR="006A1AFC" w:rsidRPr="00885AB3" w:rsidRDefault="006A1AFC" w:rsidP="00120D61">
            <w:pPr>
              <w:keepNext/>
              <w:keepLines/>
              <w:jc w:val="center"/>
              <w:rPr>
                <w:rFonts w:ascii="Arial Narrow" w:eastAsia="MS Gothic" w:hAnsi="Arial Narrow"/>
                <w:iCs/>
                <w:sz w:val="20"/>
                <w:szCs w:val="20"/>
                <w:vertAlign w:val="superscript"/>
              </w:rPr>
            </w:pPr>
            <w:r w:rsidRPr="00885AB3">
              <w:rPr>
                <w:rFonts w:ascii="Arial Narrow" w:eastAsia="MS Gothic" w:hAnsi="Arial Narrow"/>
                <w:iCs/>
                <w:sz w:val="20"/>
                <w:szCs w:val="20"/>
              </w:rPr>
              <w:t>0.931</w:t>
            </w:r>
            <w:r w:rsidRPr="00885AB3">
              <w:rPr>
                <w:rFonts w:ascii="Arial Narrow" w:eastAsia="MS Gothic" w:hAnsi="Arial Narrow"/>
                <w:iCs/>
                <w:sz w:val="20"/>
                <w:szCs w:val="20"/>
                <w:vertAlign w:val="superscript"/>
              </w:rPr>
              <w:t xml:space="preserve"> e</w:t>
            </w:r>
          </w:p>
        </w:tc>
      </w:tr>
      <w:tr w:rsidR="006A1AFC" w:rsidRPr="00885AB3" w14:paraId="2EF02E10" w14:textId="77777777" w:rsidTr="001C7F31">
        <w:trPr>
          <w:trHeight w:val="300"/>
        </w:trPr>
        <w:tc>
          <w:tcPr>
            <w:tcW w:w="1255" w:type="pct"/>
            <w:noWrap/>
            <w:vAlign w:val="center"/>
          </w:tcPr>
          <w:p w14:paraId="527CCA31" w14:textId="77777777" w:rsidR="006A1AFC" w:rsidRPr="00885AB3" w:rsidRDefault="006A1AFC" w:rsidP="00120D61">
            <w:pPr>
              <w:keepNext/>
              <w:keepLines/>
              <w:rPr>
                <w:rFonts w:ascii="Arial Narrow" w:eastAsia="MS Gothic" w:hAnsi="Arial Narrow"/>
                <w:b/>
                <w:bCs/>
                <w:sz w:val="20"/>
                <w:szCs w:val="20"/>
              </w:rPr>
            </w:pPr>
            <w:r w:rsidRPr="00885AB3">
              <w:rPr>
                <w:rFonts w:ascii="Arial Narrow" w:eastAsia="MS Gothic" w:hAnsi="Arial Narrow"/>
                <w:b/>
                <w:bCs/>
                <w:sz w:val="20"/>
                <w:szCs w:val="20"/>
              </w:rPr>
              <w:t>Scenario 3</w:t>
            </w:r>
          </w:p>
        </w:tc>
        <w:tc>
          <w:tcPr>
            <w:tcW w:w="1415" w:type="pct"/>
            <w:noWrap/>
            <w:vAlign w:val="center"/>
          </w:tcPr>
          <w:p w14:paraId="1865A83F" w14:textId="77777777" w:rsidR="006A1AFC" w:rsidRPr="00885AB3" w:rsidRDefault="006A1AFC" w:rsidP="00120D61">
            <w:pPr>
              <w:keepNext/>
              <w:keepLines/>
              <w:rPr>
                <w:rFonts w:ascii="Arial Narrow" w:eastAsia="MS Gothic" w:hAnsi="Arial Narrow"/>
                <w:sz w:val="20"/>
                <w:szCs w:val="20"/>
              </w:rPr>
            </w:pPr>
          </w:p>
        </w:tc>
        <w:tc>
          <w:tcPr>
            <w:tcW w:w="877" w:type="pct"/>
            <w:vAlign w:val="center"/>
          </w:tcPr>
          <w:p w14:paraId="0EF448B0" w14:textId="77777777" w:rsidR="006A1AFC" w:rsidRPr="00885AB3" w:rsidRDefault="006A1AFC" w:rsidP="00120D61">
            <w:pPr>
              <w:keepNext/>
              <w:keepLines/>
              <w:jc w:val="center"/>
              <w:rPr>
                <w:rFonts w:ascii="Arial Narrow" w:eastAsia="MS Gothic" w:hAnsi="Arial Narrow"/>
                <w:iCs/>
                <w:sz w:val="20"/>
                <w:szCs w:val="20"/>
              </w:rPr>
            </w:pPr>
          </w:p>
        </w:tc>
        <w:tc>
          <w:tcPr>
            <w:tcW w:w="726" w:type="pct"/>
            <w:vAlign w:val="center"/>
          </w:tcPr>
          <w:p w14:paraId="4C954C92" w14:textId="77777777" w:rsidR="006A1AFC" w:rsidRPr="00885AB3" w:rsidRDefault="006A1AFC" w:rsidP="00120D61">
            <w:pPr>
              <w:keepNext/>
              <w:keepLines/>
              <w:jc w:val="center"/>
              <w:rPr>
                <w:rFonts w:ascii="Arial Narrow" w:eastAsia="MS Gothic" w:hAnsi="Arial Narrow"/>
                <w:iCs/>
                <w:sz w:val="20"/>
                <w:szCs w:val="20"/>
              </w:rPr>
            </w:pPr>
          </w:p>
        </w:tc>
        <w:tc>
          <w:tcPr>
            <w:tcW w:w="727" w:type="pct"/>
            <w:vAlign w:val="center"/>
          </w:tcPr>
          <w:p w14:paraId="16A76591" w14:textId="77777777" w:rsidR="006A1AFC" w:rsidRPr="00885AB3" w:rsidRDefault="006A1AFC" w:rsidP="00120D61">
            <w:pPr>
              <w:keepNext/>
              <w:keepLines/>
              <w:jc w:val="center"/>
              <w:rPr>
                <w:rFonts w:ascii="Arial Narrow" w:eastAsia="MS Gothic" w:hAnsi="Arial Narrow"/>
                <w:iCs/>
                <w:sz w:val="20"/>
                <w:szCs w:val="20"/>
              </w:rPr>
            </w:pPr>
          </w:p>
        </w:tc>
      </w:tr>
      <w:tr w:rsidR="006A1AFC" w:rsidRPr="00885AB3" w14:paraId="4AFA21CA" w14:textId="77777777" w:rsidTr="001C7F31">
        <w:trPr>
          <w:trHeight w:val="121"/>
        </w:trPr>
        <w:tc>
          <w:tcPr>
            <w:tcW w:w="1255" w:type="pct"/>
            <w:noWrap/>
            <w:vAlign w:val="center"/>
          </w:tcPr>
          <w:p w14:paraId="4F23F31A" w14:textId="77777777" w:rsidR="006A1AFC" w:rsidRPr="00885AB3" w:rsidRDefault="006A1AFC" w:rsidP="00120D61">
            <w:pPr>
              <w:keepNext/>
              <w:keepLines/>
              <w:rPr>
                <w:rFonts w:ascii="Arial Narrow" w:eastAsia="MS Gothic" w:hAnsi="Arial Narrow"/>
                <w:sz w:val="20"/>
                <w:szCs w:val="20"/>
              </w:rPr>
            </w:pPr>
            <w:r w:rsidRPr="00885AB3">
              <w:rPr>
                <w:rFonts w:ascii="Arial Narrow" w:eastAsia="MS Gothic" w:hAnsi="Arial Narrow"/>
                <w:sz w:val="20"/>
                <w:szCs w:val="20"/>
              </w:rPr>
              <w:t>RSV-ARD</w:t>
            </w:r>
          </w:p>
        </w:tc>
        <w:tc>
          <w:tcPr>
            <w:tcW w:w="1415" w:type="pct"/>
            <w:noWrap/>
            <w:vAlign w:val="center"/>
          </w:tcPr>
          <w:p w14:paraId="31321DBD" w14:textId="77777777" w:rsidR="006A1AFC" w:rsidRPr="00885AB3" w:rsidRDefault="006A1AFC" w:rsidP="00120D61">
            <w:pPr>
              <w:keepNext/>
              <w:keepLines/>
              <w:rPr>
                <w:rFonts w:ascii="Arial Narrow" w:eastAsia="MS Gothic" w:hAnsi="Arial Narrow"/>
                <w:sz w:val="20"/>
                <w:szCs w:val="20"/>
              </w:rPr>
            </w:pPr>
            <w:r w:rsidRPr="00885AB3">
              <w:rPr>
                <w:rFonts w:ascii="Arial Narrow" w:eastAsia="MS Gothic" w:hAnsi="Arial Narrow"/>
                <w:sz w:val="20"/>
                <w:szCs w:val="20"/>
              </w:rPr>
              <w:t xml:space="preserve">mRNA-1345 vs </w:t>
            </w:r>
            <w:proofErr w:type="spellStart"/>
            <w:r w:rsidRPr="00885AB3">
              <w:rPr>
                <w:rFonts w:ascii="Arial Narrow" w:eastAsia="MS Gothic" w:hAnsi="Arial Narrow"/>
                <w:sz w:val="20"/>
                <w:szCs w:val="20"/>
              </w:rPr>
              <w:t>RSVPreF</w:t>
            </w:r>
            <w:proofErr w:type="spellEnd"/>
          </w:p>
        </w:tc>
        <w:tc>
          <w:tcPr>
            <w:tcW w:w="877" w:type="pct"/>
            <w:vAlign w:val="center"/>
          </w:tcPr>
          <w:p w14:paraId="6AABA7B6" w14:textId="77777777" w:rsidR="006A1AFC" w:rsidRPr="00885AB3" w:rsidRDefault="006A1AFC" w:rsidP="00120D61">
            <w:pPr>
              <w:keepNext/>
              <w:keepLines/>
              <w:jc w:val="center"/>
              <w:rPr>
                <w:rFonts w:ascii="Arial Narrow" w:eastAsia="MS Gothic" w:hAnsi="Arial Narrow"/>
                <w:iCs/>
                <w:sz w:val="20"/>
                <w:szCs w:val="20"/>
              </w:rPr>
            </w:pPr>
            <w:r w:rsidRPr="00885AB3">
              <w:rPr>
                <w:rFonts w:ascii="Arial Narrow" w:eastAsia="MS Gothic" w:hAnsi="Arial Narrow"/>
                <w:iCs/>
                <w:sz w:val="20"/>
                <w:szCs w:val="20"/>
              </w:rPr>
              <w:t>1.72</w:t>
            </w:r>
          </w:p>
        </w:tc>
        <w:tc>
          <w:tcPr>
            <w:tcW w:w="726" w:type="pct"/>
            <w:vAlign w:val="center"/>
          </w:tcPr>
          <w:p w14:paraId="564DD8F7" w14:textId="77777777" w:rsidR="006A1AFC" w:rsidRPr="00885AB3" w:rsidRDefault="006A1AFC" w:rsidP="00120D61">
            <w:pPr>
              <w:keepNext/>
              <w:keepLines/>
              <w:jc w:val="center"/>
              <w:rPr>
                <w:rFonts w:ascii="Arial Narrow" w:eastAsia="MS Gothic" w:hAnsi="Arial Narrow"/>
                <w:iCs/>
                <w:sz w:val="20"/>
                <w:szCs w:val="20"/>
              </w:rPr>
            </w:pPr>
            <w:r w:rsidRPr="00885AB3">
              <w:rPr>
                <w:rFonts w:ascii="Arial Narrow" w:eastAsia="MS Gothic" w:hAnsi="Arial Narrow"/>
                <w:iCs/>
                <w:sz w:val="20"/>
                <w:szCs w:val="20"/>
              </w:rPr>
              <w:t>0.68, 4.36</w:t>
            </w:r>
          </w:p>
        </w:tc>
        <w:tc>
          <w:tcPr>
            <w:tcW w:w="727" w:type="pct"/>
            <w:vAlign w:val="center"/>
          </w:tcPr>
          <w:p w14:paraId="0389727F" w14:textId="77777777" w:rsidR="006A1AFC" w:rsidRPr="00885AB3" w:rsidRDefault="006A1AFC" w:rsidP="00120D61">
            <w:pPr>
              <w:keepNext/>
              <w:keepLines/>
              <w:jc w:val="center"/>
              <w:rPr>
                <w:rFonts w:ascii="Arial Narrow" w:eastAsia="MS Gothic" w:hAnsi="Arial Narrow"/>
                <w:iCs/>
                <w:sz w:val="20"/>
                <w:szCs w:val="20"/>
              </w:rPr>
            </w:pPr>
            <w:r w:rsidRPr="00885AB3">
              <w:rPr>
                <w:rFonts w:ascii="Arial Narrow" w:eastAsia="MS Gothic" w:hAnsi="Arial Narrow"/>
                <w:iCs/>
                <w:sz w:val="20"/>
                <w:szCs w:val="20"/>
              </w:rPr>
              <w:t>0.251</w:t>
            </w:r>
          </w:p>
        </w:tc>
      </w:tr>
      <w:tr w:rsidR="006A1AFC" w:rsidRPr="00885AB3" w14:paraId="64DD5CD8" w14:textId="77777777" w:rsidTr="001C7F31">
        <w:trPr>
          <w:trHeight w:val="56"/>
        </w:trPr>
        <w:tc>
          <w:tcPr>
            <w:tcW w:w="1255" w:type="pct"/>
            <w:vMerge w:val="restart"/>
            <w:noWrap/>
            <w:vAlign w:val="center"/>
          </w:tcPr>
          <w:p w14:paraId="78EF304D" w14:textId="22E9F66B" w:rsidR="006A1AFC" w:rsidRPr="00885AB3" w:rsidRDefault="006A1AFC" w:rsidP="00120D61">
            <w:pPr>
              <w:keepNext/>
              <w:keepLines/>
              <w:rPr>
                <w:rFonts w:ascii="Arial Narrow" w:eastAsia="MS Gothic" w:hAnsi="Arial Narrow"/>
                <w:sz w:val="20"/>
                <w:szCs w:val="20"/>
              </w:rPr>
            </w:pPr>
            <w:r w:rsidRPr="00885AB3">
              <w:rPr>
                <w:rFonts w:ascii="Arial Narrow" w:eastAsia="MS Gothic" w:hAnsi="Arial Narrow"/>
                <w:sz w:val="20"/>
                <w:szCs w:val="20"/>
              </w:rPr>
              <w:t xml:space="preserve">RSV-LRTD </w:t>
            </w:r>
            <w:r w:rsidR="00EF2FA4">
              <w:rPr>
                <w:rFonts w:ascii="Arial Narrow" w:eastAsia="MS Gothic" w:hAnsi="Arial Narrow" w:cs="Calibri"/>
                <w:sz w:val="20"/>
                <w:szCs w:val="20"/>
              </w:rPr>
              <w:t xml:space="preserve">≥ </w:t>
            </w:r>
            <w:r w:rsidRPr="00885AB3">
              <w:rPr>
                <w:rFonts w:ascii="Arial Narrow" w:eastAsia="MS Gothic" w:hAnsi="Arial Narrow" w:cs="Calibri"/>
                <w:sz w:val="20"/>
                <w:szCs w:val="20"/>
              </w:rPr>
              <w:t>2 symptoms</w:t>
            </w:r>
          </w:p>
        </w:tc>
        <w:tc>
          <w:tcPr>
            <w:tcW w:w="1415" w:type="pct"/>
            <w:noWrap/>
            <w:vAlign w:val="center"/>
          </w:tcPr>
          <w:p w14:paraId="0B1CE5B9" w14:textId="77777777" w:rsidR="006A1AFC" w:rsidRPr="00885AB3" w:rsidRDefault="006A1AFC" w:rsidP="00120D61">
            <w:pPr>
              <w:keepNext/>
              <w:keepLines/>
              <w:rPr>
                <w:rFonts w:ascii="Arial Narrow" w:eastAsia="MS Gothic" w:hAnsi="Arial Narrow"/>
                <w:sz w:val="20"/>
                <w:szCs w:val="20"/>
              </w:rPr>
            </w:pPr>
            <w:r w:rsidRPr="00885AB3">
              <w:rPr>
                <w:rFonts w:ascii="Arial Narrow" w:eastAsia="MS Gothic" w:hAnsi="Arial Narrow"/>
                <w:sz w:val="20"/>
                <w:szCs w:val="20"/>
              </w:rPr>
              <w:t>mRNA-1345 vs RSVPreF3 OA</w:t>
            </w:r>
          </w:p>
        </w:tc>
        <w:tc>
          <w:tcPr>
            <w:tcW w:w="877" w:type="pct"/>
            <w:vAlign w:val="center"/>
          </w:tcPr>
          <w:p w14:paraId="6EA5A579" w14:textId="77777777" w:rsidR="006A1AFC" w:rsidRPr="00885AB3" w:rsidRDefault="006A1AFC" w:rsidP="00120D61">
            <w:pPr>
              <w:keepNext/>
              <w:keepLines/>
              <w:jc w:val="center"/>
              <w:rPr>
                <w:rFonts w:ascii="Arial Narrow" w:eastAsia="MS Gothic" w:hAnsi="Arial Narrow"/>
                <w:iCs/>
                <w:sz w:val="20"/>
                <w:szCs w:val="20"/>
              </w:rPr>
            </w:pPr>
            <w:r w:rsidRPr="00885AB3">
              <w:rPr>
                <w:rFonts w:ascii="Arial Narrow" w:eastAsia="MS Gothic" w:hAnsi="Arial Narrow"/>
                <w:iCs/>
                <w:sz w:val="20"/>
                <w:szCs w:val="20"/>
              </w:rPr>
              <w:t>1.80</w:t>
            </w:r>
          </w:p>
        </w:tc>
        <w:tc>
          <w:tcPr>
            <w:tcW w:w="726" w:type="pct"/>
            <w:vAlign w:val="center"/>
          </w:tcPr>
          <w:p w14:paraId="63CA06CB" w14:textId="77777777" w:rsidR="006A1AFC" w:rsidRPr="00885AB3" w:rsidRDefault="006A1AFC" w:rsidP="00120D61">
            <w:pPr>
              <w:keepNext/>
              <w:keepLines/>
              <w:jc w:val="center"/>
              <w:rPr>
                <w:rFonts w:ascii="Arial Narrow" w:eastAsia="MS Gothic" w:hAnsi="Arial Narrow"/>
                <w:iCs/>
                <w:sz w:val="20"/>
                <w:szCs w:val="20"/>
              </w:rPr>
            </w:pPr>
            <w:r w:rsidRPr="00885AB3">
              <w:rPr>
                <w:rFonts w:ascii="Arial Narrow" w:eastAsia="MS Gothic" w:hAnsi="Arial Narrow"/>
                <w:iCs/>
                <w:sz w:val="20"/>
                <w:szCs w:val="20"/>
              </w:rPr>
              <w:t>0.72, 4.55</w:t>
            </w:r>
          </w:p>
        </w:tc>
        <w:tc>
          <w:tcPr>
            <w:tcW w:w="727" w:type="pct"/>
            <w:vAlign w:val="center"/>
          </w:tcPr>
          <w:p w14:paraId="5873930E" w14:textId="77777777" w:rsidR="006A1AFC" w:rsidRPr="00885AB3" w:rsidRDefault="006A1AFC" w:rsidP="00120D61">
            <w:pPr>
              <w:keepNext/>
              <w:keepLines/>
              <w:jc w:val="center"/>
              <w:rPr>
                <w:rFonts w:ascii="Arial Narrow" w:eastAsia="MS Gothic" w:hAnsi="Arial Narrow"/>
                <w:iCs/>
                <w:sz w:val="20"/>
                <w:szCs w:val="20"/>
              </w:rPr>
            </w:pPr>
            <w:r w:rsidRPr="00885AB3">
              <w:rPr>
                <w:rFonts w:ascii="Arial Narrow" w:eastAsia="MS Gothic" w:hAnsi="Arial Narrow"/>
                <w:iCs/>
                <w:sz w:val="20"/>
                <w:szCs w:val="20"/>
              </w:rPr>
              <w:t>0.211</w:t>
            </w:r>
          </w:p>
        </w:tc>
      </w:tr>
      <w:tr w:rsidR="006A1AFC" w:rsidRPr="00885AB3" w14:paraId="2114F041" w14:textId="77777777" w:rsidTr="001C7F31">
        <w:trPr>
          <w:trHeight w:val="131"/>
        </w:trPr>
        <w:tc>
          <w:tcPr>
            <w:tcW w:w="1255" w:type="pct"/>
            <w:vMerge/>
            <w:noWrap/>
            <w:vAlign w:val="center"/>
          </w:tcPr>
          <w:p w14:paraId="1B3FC5BA" w14:textId="77777777" w:rsidR="006A1AFC" w:rsidRPr="00885AB3" w:rsidRDefault="006A1AFC" w:rsidP="00120D61">
            <w:pPr>
              <w:keepNext/>
              <w:keepLines/>
              <w:rPr>
                <w:rFonts w:ascii="Arial Narrow" w:eastAsia="MS Gothic" w:hAnsi="Arial Narrow"/>
                <w:sz w:val="20"/>
                <w:szCs w:val="20"/>
              </w:rPr>
            </w:pPr>
          </w:p>
        </w:tc>
        <w:tc>
          <w:tcPr>
            <w:tcW w:w="1415" w:type="pct"/>
            <w:noWrap/>
            <w:vAlign w:val="center"/>
          </w:tcPr>
          <w:p w14:paraId="789142B0" w14:textId="77777777" w:rsidR="006A1AFC" w:rsidRPr="00885AB3" w:rsidRDefault="006A1AFC" w:rsidP="00120D61">
            <w:pPr>
              <w:keepNext/>
              <w:keepLines/>
              <w:rPr>
                <w:rFonts w:ascii="Arial Narrow" w:eastAsia="MS Gothic" w:hAnsi="Arial Narrow"/>
                <w:sz w:val="20"/>
                <w:szCs w:val="20"/>
              </w:rPr>
            </w:pPr>
            <w:r w:rsidRPr="00885AB3">
              <w:rPr>
                <w:rFonts w:ascii="Arial Narrow" w:eastAsia="MS Gothic" w:hAnsi="Arial Narrow"/>
                <w:sz w:val="20"/>
                <w:szCs w:val="20"/>
              </w:rPr>
              <w:t xml:space="preserve">mRNA-1345 vs </w:t>
            </w:r>
            <w:proofErr w:type="spellStart"/>
            <w:r w:rsidRPr="00885AB3">
              <w:rPr>
                <w:rFonts w:ascii="Arial Narrow" w:eastAsia="MS Gothic" w:hAnsi="Arial Narrow"/>
                <w:sz w:val="20"/>
                <w:szCs w:val="20"/>
              </w:rPr>
              <w:t>RSVPreF</w:t>
            </w:r>
            <w:proofErr w:type="spellEnd"/>
          </w:p>
        </w:tc>
        <w:tc>
          <w:tcPr>
            <w:tcW w:w="877" w:type="pct"/>
            <w:vAlign w:val="center"/>
          </w:tcPr>
          <w:p w14:paraId="77B85D22" w14:textId="77777777" w:rsidR="006A1AFC" w:rsidRPr="00885AB3" w:rsidRDefault="006A1AFC" w:rsidP="00120D61">
            <w:pPr>
              <w:keepNext/>
              <w:keepLines/>
              <w:jc w:val="center"/>
              <w:rPr>
                <w:rFonts w:ascii="Arial Narrow" w:eastAsia="MS Gothic" w:hAnsi="Arial Narrow"/>
                <w:iCs/>
                <w:sz w:val="20"/>
                <w:szCs w:val="20"/>
              </w:rPr>
            </w:pPr>
            <w:r w:rsidRPr="00885AB3">
              <w:rPr>
                <w:rFonts w:ascii="Arial Narrow" w:eastAsia="MS Gothic" w:hAnsi="Arial Narrow"/>
                <w:iCs/>
                <w:sz w:val="20"/>
                <w:szCs w:val="20"/>
              </w:rPr>
              <w:t>1.78</w:t>
            </w:r>
          </w:p>
        </w:tc>
        <w:tc>
          <w:tcPr>
            <w:tcW w:w="726" w:type="pct"/>
            <w:vAlign w:val="center"/>
          </w:tcPr>
          <w:p w14:paraId="76D9E3A6" w14:textId="77777777" w:rsidR="006A1AFC" w:rsidRPr="00885AB3" w:rsidRDefault="006A1AFC" w:rsidP="00120D61">
            <w:pPr>
              <w:keepNext/>
              <w:keepLines/>
              <w:jc w:val="center"/>
              <w:rPr>
                <w:rFonts w:ascii="Arial Narrow" w:eastAsia="MS Gothic" w:hAnsi="Arial Narrow"/>
                <w:iCs/>
                <w:sz w:val="20"/>
                <w:szCs w:val="20"/>
              </w:rPr>
            </w:pPr>
            <w:r w:rsidRPr="00885AB3">
              <w:rPr>
                <w:rFonts w:ascii="Arial Narrow" w:eastAsia="MS Gothic" w:hAnsi="Arial Narrow"/>
                <w:iCs/>
                <w:sz w:val="20"/>
                <w:szCs w:val="20"/>
              </w:rPr>
              <w:t>0.52, 6.05</w:t>
            </w:r>
          </w:p>
        </w:tc>
        <w:tc>
          <w:tcPr>
            <w:tcW w:w="727" w:type="pct"/>
            <w:vAlign w:val="center"/>
          </w:tcPr>
          <w:p w14:paraId="1FFF52B7" w14:textId="77777777" w:rsidR="006A1AFC" w:rsidRPr="00885AB3" w:rsidRDefault="006A1AFC" w:rsidP="00120D61">
            <w:pPr>
              <w:keepNext/>
              <w:keepLines/>
              <w:jc w:val="center"/>
              <w:rPr>
                <w:rFonts w:ascii="Arial Narrow" w:eastAsia="MS Gothic" w:hAnsi="Arial Narrow"/>
                <w:iCs/>
                <w:sz w:val="20"/>
                <w:szCs w:val="20"/>
              </w:rPr>
            </w:pPr>
            <w:r w:rsidRPr="00885AB3">
              <w:rPr>
                <w:rFonts w:ascii="Arial Narrow" w:eastAsia="MS Gothic" w:hAnsi="Arial Narrow"/>
                <w:iCs/>
                <w:sz w:val="20"/>
                <w:szCs w:val="20"/>
              </w:rPr>
              <w:t>0.355</w:t>
            </w:r>
          </w:p>
        </w:tc>
      </w:tr>
      <w:tr w:rsidR="006A1AFC" w:rsidRPr="00885AB3" w14:paraId="16A4213E" w14:textId="77777777" w:rsidTr="001C7F31">
        <w:trPr>
          <w:trHeight w:val="155"/>
        </w:trPr>
        <w:tc>
          <w:tcPr>
            <w:tcW w:w="1255" w:type="pct"/>
            <w:noWrap/>
            <w:vAlign w:val="center"/>
          </w:tcPr>
          <w:p w14:paraId="3B51A2D0" w14:textId="671BB5FE" w:rsidR="006A1AFC" w:rsidRPr="00885AB3" w:rsidRDefault="006A1AFC" w:rsidP="00120D61">
            <w:pPr>
              <w:keepNext/>
              <w:keepLines/>
              <w:rPr>
                <w:rFonts w:ascii="Arial Narrow" w:eastAsia="MS Gothic" w:hAnsi="Arial Narrow"/>
                <w:sz w:val="20"/>
                <w:szCs w:val="20"/>
              </w:rPr>
            </w:pPr>
            <w:r w:rsidRPr="00885AB3">
              <w:rPr>
                <w:rFonts w:ascii="Arial Narrow" w:eastAsia="MS Gothic" w:hAnsi="Arial Narrow"/>
                <w:sz w:val="20"/>
                <w:szCs w:val="20"/>
              </w:rPr>
              <w:t xml:space="preserve">RSV-LRTD </w:t>
            </w:r>
            <w:r w:rsidR="00EF2FA4">
              <w:rPr>
                <w:rFonts w:ascii="Arial Narrow" w:eastAsia="MS Gothic" w:hAnsi="Arial Narrow" w:cs="Calibri"/>
                <w:sz w:val="20"/>
                <w:szCs w:val="20"/>
              </w:rPr>
              <w:t xml:space="preserve">≥ </w:t>
            </w:r>
            <w:r w:rsidRPr="00885AB3">
              <w:rPr>
                <w:rFonts w:ascii="Arial Narrow" w:eastAsia="MS Gothic" w:hAnsi="Arial Narrow" w:cs="Calibri"/>
                <w:sz w:val="20"/>
                <w:szCs w:val="20"/>
              </w:rPr>
              <w:t xml:space="preserve">3 </w:t>
            </w:r>
            <w:proofErr w:type="spellStart"/>
            <w:r w:rsidRPr="00885AB3">
              <w:rPr>
                <w:rFonts w:ascii="Arial Narrow" w:eastAsia="MS Gothic" w:hAnsi="Arial Narrow" w:cs="Calibri"/>
                <w:sz w:val="20"/>
                <w:szCs w:val="20"/>
              </w:rPr>
              <w:t>symptoms</w:t>
            </w:r>
            <w:r w:rsidRPr="00885AB3">
              <w:rPr>
                <w:rFonts w:ascii="Arial Narrow" w:eastAsia="MS Gothic" w:hAnsi="Arial Narrow"/>
                <w:sz w:val="20"/>
                <w:szCs w:val="20"/>
                <w:vertAlign w:val="superscript"/>
              </w:rPr>
              <w:t>a</w:t>
            </w:r>
            <w:proofErr w:type="spellEnd"/>
          </w:p>
        </w:tc>
        <w:tc>
          <w:tcPr>
            <w:tcW w:w="1415" w:type="pct"/>
            <w:noWrap/>
            <w:vAlign w:val="center"/>
          </w:tcPr>
          <w:p w14:paraId="45DFDE0E" w14:textId="56102809" w:rsidR="006A1AFC" w:rsidRPr="00885AB3" w:rsidRDefault="006A1AFC" w:rsidP="00120D61">
            <w:pPr>
              <w:keepNext/>
              <w:keepLines/>
              <w:rPr>
                <w:rFonts w:ascii="Arial Narrow" w:eastAsia="MS Gothic" w:hAnsi="Arial Narrow"/>
                <w:sz w:val="20"/>
                <w:szCs w:val="20"/>
              </w:rPr>
            </w:pPr>
            <w:r w:rsidRPr="00885AB3">
              <w:rPr>
                <w:rFonts w:ascii="Arial Narrow" w:eastAsia="MS Gothic" w:hAnsi="Arial Narrow"/>
                <w:sz w:val="20"/>
                <w:szCs w:val="20"/>
              </w:rPr>
              <w:t xml:space="preserve">mRNA-1345 vs </w:t>
            </w:r>
            <w:proofErr w:type="spellStart"/>
            <w:r w:rsidRPr="00885AB3">
              <w:rPr>
                <w:rFonts w:ascii="Arial Narrow" w:eastAsia="MS Gothic" w:hAnsi="Arial Narrow"/>
                <w:sz w:val="20"/>
                <w:szCs w:val="20"/>
              </w:rPr>
              <w:t>RSVPreF</w:t>
            </w:r>
            <w:proofErr w:type="spellEnd"/>
            <w:r w:rsidR="008705AA" w:rsidRPr="00885AB3">
              <w:rPr>
                <w:rFonts w:ascii="Arial Narrow" w:eastAsia="MS Gothic" w:hAnsi="Arial Narrow"/>
                <w:sz w:val="20"/>
                <w:szCs w:val="20"/>
              </w:rPr>
              <w:t xml:space="preserve"> (corrected) </w:t>
            </w:r>
          </w:p>
        </w:tc>
        <w:tc>
          <w:tcPr>
            <w:tcW w:w="877" w:type="pct"/>
          </w:tcPr>
          <w:p w14:paraId="6A6F8DB6" w14:textId="5FD96D5C" w:rsidR="006A1AFC" w:rsidRPr="00885AB3" w:rsidRDefault="006A1AFC" w:rsidP="00120D61">
            <w:pPr>
              <w:keepNext/>
              <w:keepLines/>
              <w:jc w:val="center"/>
              <w:rPr>
                <w:rFonts w:ascii="Arial Narrow" w:eastAsia="MS Gothic" w:hAnsi="Arial Narrow"/>
                <w:iCs/>
                <w:sz w:val="20"/>
                <w:szCs w:val="20"/>
                <w:vertAlign w:val="superscript"/>
              </w:rPr>
            </w:pPr>
            <w:r w:rsidRPr="00885AB3">
              <w:rPr>
                <w:rFonts w:ascii="Arial Narrow" w:eastAsia="MS Gothic" w:hAnsi="Arial Narrow"/>
                <w:iCs/>
                <w:sz w:val="20"/>
                <w:szCs w:val="20"/>
              </w:rPr>
              <w:t>1.68</w:t>
            </w:r>
            <w:r w:rsidRPr="00885AB3">
              <w:rPr>
                <w:rFonts w:ascii="Arial Narrow" w:eastAsia="MS Gothic" w:hAnsi="Arial Narrow"/>
                <w:iCs/>
                <w:sz w:val="20"/>
                <w:szCs w:val="20"/>
                <w:vertAlign w:val="superscript"/>
              </w:rPr>
              <w:t xml:space="preserve"> e</w:t>
            </w:r>
          </w:p>
        </w:tc>
        <w:tc>
          <w:tcPr>
            <w:tcW w:w="726" w:type="pct"/>
          </w:tcPr>
          <w:p w14:paraId="100CFE26" w14:textId="7832648F" w:rsidR="006A1AFC" w:rsidRPr="00885AB3" w:rsidRDefault="006A1AFC" w:rsidP="00120D61">
            <w:pPr>
              <w:keepNext/>
              <w:keepLines/>
              <w:jc w:val="center"/>
              <w:rPr>
                <w:rFonts w:ascii="Arial Narrow" w:eastAsia="MS Gothic" w:hAnsi="Arial Narrow"/>
                <w:iCs/>
                <w:sz w:val="20"/>
                <w:szCs w:val="20"/>
                <w:vertAlign w:val="superscript"/>
              </w:rPr>
            </w:pPr>
            <w:r w:rsidRPr="00885AB3">
              <w:rPr>
                <w:rFonts w:ascii="Arial Narrow" w:eastAsia="MS Gothic" w:hAnsi="Arial Narrow"/>
                <w:iCs/>
                <w:sz w:val="20"/>
                <w:szCs w:val="20"/>
              </w:rPr>
              <w:t>0.28, 10.12</w:t>
            </w:r>
            <w:r w:rsidRPr="00885AB3">
              <w:rPr>
                <w:rFonts w:ascii="Arial Narrow" w:eastAsia="MS Gothic" w:hAnsi="Arial Narrow"/>
                <w:iCs/>
                <w:sz w:val="20"/>
                <w:szCs w:val="20"/>
                <w:vertAlign w:val="superscript"/>
              </w:rPr>
              <w:t xml:space="preserve"> e</w:t>
            </w:r>
          </w:p>
        </w:tc>
        <w:tc>
          <w:tcPr>
            <w:tcW w:w="727" w:type="pct"/>
          </w:tcPr>
          <w:p w14:paraId="61410686" w14:textId="045522C5" w:rsidR="006A1AFC" w:rsidRPr="00885AB3" w:rsidRDefault="006A1AFC" w:rsidP="00120D61">
            <w:pPr>
              <w:keepNext/>
              <w:keepLines/>
              <w:jc w:val="center"/>
              <w:rPr>
                <w:rFonts w:ascii="Arial Narrow" w:eastAsia="MS Gothic" w:hAnsi="Arial Narrow"/>
                <w:iCs/>
                <w:sz w:val="20"/>
                <w:szCs w:val="20"/>
                <w:vertAlign w:val="superscript"/>
              </w:rPr>
            </w:pPr>
            <w:r w:rsidRPr="00885AB3">
              <w:rPr>
                <w:rFonts w:ascii="Arial Narrow" w:eastAsia="MS Gothic" w:hAnsi="Arial Narrow"/>
                <w:iCs/>
                <w:sz w:val="20"/>
                <w:szCs w:val="20"/>
              </w:rPr>
              <w:t>0.570</w:t>
            </w:r>
            <w:r w:rsidRPr="00885AB3">
              <w:rPr>
                <w:rFonts w:ascii="Arial Narrow" w:eastAsia="MS Gothic" w:hAnsi="Arial Narrow"/>
                <w:iCs/>
                <w:sz w:val="20"/>
                <w:szCs w:val="20"/>
                <w:vertAlign w:val="superscript"/>
              </w:rPr>
              <w:t xml:space="preserve"> e</w:t>
            </w:r>
          </w:p>
        </w:tc>
      </w:tr>
    </w:tbl>
    <w:p w14:paraId="319C03D8" w14:textId="77777777" w:rsidR="006A1AFC" w:rsidRPr="00885AB3" w:rsidRDefault="006A1AFC" w:rsidP="00120D61">
      <w:pPr>
        <w:pStyle w:val="TableFigureFooter"/>
        <w:keepNext/>
        <w:rPr>
          <w:i/>
          <w:iCs/>
        </w:rPr>
      </w:pPr>
      <w:r w:rsidRPr="00885AB3">
        <w:t>Source: Table 2-125, p205 of the submission.</w:t>
      </w:r>
    </w:p>
    <w:p w14:paraId="494C3169" w14:textId="77777777" w:rsidR="006A1AFC" w:rsidRPr="00885AB3" w:rsidRDefault="006A1AFC" w:rsidP="00120D61">
      <w:pPr>
        <w:pStyle w:val="TableFigureFooter"/>
        <w:keepNext/>
      </w:pPr>
      <w:r w:rsidRPr="00885AB3">
        <w:t xml:space="preserve">CI = confidence interval; ITC = indirect treatment comparison; RSV-ARD = respiratory syncytial virus related acute respiratory disease; RSV-LRTD = respiratory syncytial virus related lower respiratory tract disease; RR = risk ratio; YOA = years of age. </w:t>
      </w:r>
    </w:p>
    <w:p w14:paraId="79739B4C" w14:textId="65CB0B63" w:rsidR="003C07F3" w:rsidRPr="00885AB3" w:rsidRDefault="003C07F3" w:rsidP="00120D61">
      <w:pPr>
        <w:pStyle w:val="TableFigureFooter"/>
        <w:keepNext/>
      </w:pPr>
      <w:r w:rsidRPr="00885AB3">
        <w:t xml:space="preserve">RR </w:t>
      </w:r>
      <w:r w:rsidR="001C78D7">
        <w:t xml:space="preserve">&lt; </w:t>
      </w:r>
      <w:r w:rsidRPr="00885AB3">
        <w:t>1 favours mRNA-1345.</w:t>
      </w:r>
    </w:p>
    <w:p w14:paraId="6319A399" w14:textId="5884BE52" w:rsidR="003C07F3" w:rsidRPr="00885AB3" w:rsidRDefault="003C07F3" w:rsidP="00120D61">
      <w:pPr>
        <w:pStyle w:val="TableFigureFooter"/>
        <w:keepNext/>
        <w:rPr>
          <w:i/>
          <w:iCs/>
        </w:rPr>
      </w:pPr>
      <w:r w:rsidRPr="00885AB3">
        <w:t xml:space="preserve">Outcomes for participants aged </w:t>
      </w:r>
      <w:r w:rsidR="00EF2FA4">
        <w:t xml:space="preserve">≥ </w:t>
      </w:r>
      <w:r w:rsidRPr="00885AB3">
        <w:t xml:space="preserve">75 years for </w:t>
      </w:r>
      <w:proofErr w:type="spellStart"/>
      <w:r w:rsidRPr="00885AB3">
        <w:t>RSVPreF</w:t>
      </w:r>
      <w:proofErr w:type="spellEnd"/>
      <w:r w:rsidRPr="00885AB3">
        <w:t xml:space="preserve"> include RSV-LRTI with </w:t>
      </w:r>
      <w:r w:rsidR="00EF2FA4">
        <w:t xml:space="preserve">≥ </w:t>
      </w:r>
      <w:r w:rsidRPr="00885AB3">
        <w:t xml:space="preserve">2 symptoms, RSV-LRTI with </w:t>
      </w:r>
      <w:r w:rsidR="00EF2FA4">
        <w:t xml:space="preserve">≥ </w:t>
      </w:r>
      <w:r w:rsidRPr="00885AB3">
        <w:t xml:space="preserve">3 symptoms, and RSV-ARD defined as medically attended RSV requiring any healthcare visit. These results are not directly comparable with the outcomes reported for mRNA-1345 and RSVPreF3 OA. </w:t>
      </w:r>
    </w:p>
    <w:p w14:paraId="0011B086" w14:textId="71A9488E" w:rsidR="00DE1AEE" w:rsidRPr="00885AB3" w:rsidRDefault="00DE1AEE" w:rsidP="00120D61">
      <w:pPr>
        <w:pStyle w:val="TableFigureFooter"/>
        <w:keepNext/>
        <w:rPr>
          <w:vertAlign w:val="superscript"/>
        </w:rPr>
      </w:pPr>
      <w:r w:rsidRPr="00885AB3">
        <w:rPr>
          <w:rFonts w:eastAsia="Calibri"/>
          <w:lang w:eastAsia="en-US"/>
        </w:rPr>
        <w:t>Several errors were noted in the submission and were corrected during the evaluation.</w:t>
      </w:r>
    </w:p>
    <w:p w14:paraId="107E1A88" w14:textId="0E822600" w:rsidR="006A1AFC" w:rsidRPr="00885AB3" w:rsidRDefault="006A1AFC" w:rsidP="00120D61">
      <w:pPr>
        <w:pStyle w:val="TableFigureFooter"/>
        <w:keepNext/>
      </w:pPr>
      <w:r w:rsidRPr="00885AB3">
        <w:rPr>
          <w:vertAlign w:val="superscript"/>
        </w:rPr>
        <w:t xml:space="preserve">a </w:t>
      </w:r>
      <w:r w:rsidRPr="00885AB3">
        <w:t xml:space="preserve">ITC conducted during the evaluation used RSV-LRTD </w:t>
      </w:r>
      <w:r w:rsidR="00EF2FA4">
        <w:t xml:space="preserve">≥ </w:t>
      </w:r>
      <w:r w:rsidRPr="00885AB3">
        <w:t xml:space="preserve">3 symptoms reported in </w:t>
      </w:r>
      <w:proofErr w:type="spellStart"/>
      <w:r w:rsidRPr="00885AB3">
        <w:t>ConquerRSV</w:t>
      </w:r>
      <w:proofErr w:type="spellEnd"/>
      <w:r w:rsidRPr="00885AB3">
        <w:t xml:space="preserve"> and RENOIR and RSV-LRTD </w:t>
      </w:r>
      <w:r w:rsidR="00EF2FA4">
        <w:t xml:space="preserve">≥ </w:t>
      </w:r>
      <w:r w:rsidRPr="00885AB3">
        <w:t>3 symptoms as reported in AreSVi-006</w:t>
      </w:r>
    </w:p>
    <w:p w14:paraId="50CC7F3D" w14:textId="77777777" w:rsidR="006A1AFC" w:rsidRPr="00885AB3" w:rsidRDefault="006A1AFC" w:rsidP="00120D61">
      <w:pPr>
        <w:pStyle w:val="TableFigureFooter"/>
        <w:keepNext/>
        <w:rPr>
          <w:vertAlign w:val="superscript"/>
        </w:rPr>
      </w:pPr>
      <w:r w:rsidRPr="00885AB3">
        <w:rPr>
          <w:vertAlign w:val="superscript"/>
        </w:rPr>
        <w:t xml:space="preserve">b </w:t>
      </w:r>
      <w:r w:rsidRPr="00885AB3">
        <w:t xml:space="preserve">Results in the Table 2-125 of the submission incorrectly reported Scenario 2 results as Scenario 1, and Scenario 1 results as Scenario 2. </w:t>
      </w:r>
    </w:p>
    <w:p w14:paraId="503A2AF7" w14:textId="77777777" w:rsidR="006A1AFC" w:rsidRPr="00885AB3" w:rsidRDefault="006A1AFC" w:rsidP="00120D61">
      <w:pPr>
        <w:pStyle w:val="TableFigureFooter"/>
        <w:keepNext/>
      </w:pPr>
      <w:r w:rsidRPr="00885AB3">
        <w:rPr>
          <w:vertAlign w:val="superscript"/>
        </w:rPr>
        <w:t>c</w:t>
      </w:r>
      <w:r w:rsidRPr="00885AB3">
        <w:t xml:space="preserve"> Could not be verified as there were 0 cases in both mRNA-1345 and </w:t>
      </w:r>
      <w:proofErr w:type="spellStart"/>
      <w:r w:rsidRPr="00885AB3">
        <w:t>RSVPreF</w:t>
      </w:r>
      <w:proofErr w:type="spellEnd"/>
      <w:r w:rsidRPr="00885AB3">
        <w:t xml:space="preserve">. </w:t>
      </w:r>
    </w:p>
    <w:p w14:paraId="628F1D78" w14:textId="14F82C2D" w:rsidR="006A1AFC" w:rsidRPr="00885AB3" w:rsidRDefault="006A1AFC" w:rsidP="00120D61">
      <w:pPr>
        <w:pStyle w:val="TableFigureFooter"/>
        <w:keepNext/>
      </w:pPr>
      <w:r w:rsidRPr="00885AB3">
        <w:rPr>
          <w:vertAlign w:val="superscript"/>
        </w:rPr>
        <w:t>d</w:t>
      </w:r>
      <w:r w:rsidRPr="00885AB3">
        <w:t xml:space="preserve"> The submission did not provide the source data for </w:t>
      </w:r>
      <w:proofErr w:type="spellStart"/>
      <w:r w:rsidRPr="00885AB3">
        <w:t>RSVPreF</w:t>
      </w:r>
      <w:proofErr w:type="spellEnd"/>
      <w:r w:rsidRPr="00885AB3">
        <w:t xml:space="preserve"> for these comparisons in Table 2-124. During the evaluation, the results reported </w:t>
      </w:r>
      <w:r w:rsidR="00D158C7" w:rsidRPr="00885AB3">
        <w:t xml:space="preserve">in the submission </w:t>
      </w:r>
      <w:r w:rsidRPr="00885AB3">
        <w:t xml:space="preserve">could not be replicated. </w:t>
      </w:r>
    </w:p>
    <w:p w14:paraId="276A7955" w14:textId="67CB2803" w:rsidR="006A1AFC" w:rsidRPr="00885AB3" w:rsidRDefault="006A1AFC" w:rsidP="00120D61">
      <w:pPr>
        <w:pStyle w:val="TableFigureFooter"/>
        <w:keepNext/>
      </w:pPr>
      <w:r w:rsidRPr="00885AB3">
        <w:rPr>
          <w:vertAlign w:val="superscript"/>
        </w:rPr>
        <w:t>e</w:t>
      </w:r>
      <w:r w:rsidRPr="00885AB3">
        <w:t xml:space="preserve"> The source data for </w:t>
      </w:r>
      <w:proofErr w:type="spellStart"/>
      <w:r w:rsidRPr="00885AB3">
        <w:t>RSVPreF</w:t>
      </w:r>
      <w:proofErr w:type="spellEnd"/>
      <w:r w:rsidRPr="00885AB3">
        <w:t xml:space="preserve"> were incorrectly reported in Table</w:t>
      </w:r>
      <w:r w:rsidR="0033725B" w:rsidRPr="00885AB3">
        <w:t xml:space="preserve"> </w:t>
      </w:r>
      <w:r w:rsidRPr="00885AB3">
        <w:t>2-124</w:t>
      </w:r>
      <w:r w:rsidR="0033725B" w:rsidRPr="00885AB3">
        <w:t xml:space="preserve"> of the submission</w:t>
      </w:r>
      <w:r w:rsidRPr="00885AB3">
        <w:t xml:space="preserve">. During the evaluation, the results reported </w:t>
      </w:r>
      <w:r w:rsidR="00D158C7" w:rsidRPr="00885AB3">
        <w:t xml:space="preserve">in the submission </w:t>
      </w:r>
      <w:r w:rsidRPr="00885AB3">
        <w:t xml:space="preserve">could not be replicated. </w:t>
      </w:r>
    </w:p>
    <w:p w14:paraId="071B263C" w14:textId="77777777" w:rsidR="00757DE0" w:rsidRPr="00885AB3" w:rsidRDefault="00757DE0" w:rsidP="00120D61">
      <w:bookmarkStart w:id="81" w:name="_Ref206099160"/>
    </w:p>
    <w:p w14:paraId="25E7D7B9" w14:textId="77777777" w:rsidR="00757DE0" w:rsidRPr="00885AB3" w:rsidRDefault="00757DE0" w:rsidP="00120D61"/>
    <w:p w14:paraId="4F0E5155" w14:textId="77777777" w:rsidR="00757DE0" w:rsidRPr="00885AB3" w:rsidRDefault="00757DE0" w:rsidP="00120D61"/>
    <w:p w14:paraId="523881B9" w14:textId="77777777" w:rsidR="00757DE0" w:rsidRPr="00885AB3" w:rsidRDefault="00757DE0" w:rsidP="00120D61"/>
    <w:p w14:paraId="5E89448F" w14:textId="23C2EB8F" w:rsidR="006A1AFC" w:rsidRPr="00885AB3" w:rsidRDefault="006A1AFC" w:rsidP="00120D61">
      <w:pPr>
        <w:pStyle w:val="Caption"/>
      </w:pPr>
      <w:bookmarkStart w:id="82" w:name="_Ref206749859"/>
      <w:r w:rsidRPr="00885AB3">
        <w:lastRenderedPageBreak/>
        <w:t xml:space="preserve">Figure </w:t>
      </w:r>
      <w:r w:rsidR="008A242D" w:rsidRPr="00885AB3">
        <w:fldChar w:fldCharType="begin" w:fldLock="1"/>
      </w:r>
      <w:r w:rsidR="008A242D" w:rsidRPr="00885AB3">
        <w:instrText xml:space="preserve"> SEQ Figure \* ARABIC </w:instrText>
      </w:r>
      <w:r w:rsidR="008A242D" w:rsidRPr="00885AB3">
        <w:fldChar w:fldCharType="separate"/>
      </w:r>
      <w:r w:rsidR="00515933" w:rsidRPr="00885AB3">
        <w:t>3</w:t>
      </w:r>
      <w:r w:rsidR="008A242D" w:rsidRPr="00885AB3">
        <w:fldChar w:fldCharType="end"/>
      </w:r>
      <w:bookmarkEnd w:id="81"/>
      <w:bookmarkEnd w:id="82"/>
      <w:r w:rsidRPr="00885AB3">
        <w:t xml:space="preserve">: Forest plot of the anchored ITC for </w:t>
      </w:r>
      <w:r w:rsidR="00EF2FA4">
        <w:t xml:space="preserve">≥ </w:t>
      </w:r>
      <w:r w:rsidRPr="00885AB3">
        <w:t xml:space="preserve">75 YOA in </w:t>
      </w:r>
      <w:proofErr w:type="spellStart"/>
      <w:r w:rsidRPr="00885AB3">
        <w:t>ConquerRSV</w:t>
      </w:r>
      <w:proofErr w:type="spellEnd"/>
      <w:r w:rsidRPr="00885AB3">
        <w:t>, RENOIR and AreSVi-006</w:t>
      </w:r>
    </w:p>
    <w:p w14:paraId="531815CA" w14:textId="77777777" w:rsidR="006A1AFC" w:rsidRPr="00885AB3" w:rsidRDefault="006A1AFC" w:rsidP="00120D61">
      <w:pPr>
        <w:keepNext/>
        <w:keepLines/>
      </w:pPr>
      <w:r w:rsidRPr="00885AB3">
        <w:rPr>
          <w:noProof/>
        </w:rPr>
        <w:drawing>
          <wp:inline distT="0" distB="0" distL="0" distR="0" wp14:anchorId="0442F62B" wp14:editId="260CC278">
            <wp:extent cx="5695315" cy="2901298"/>
            <wp:effectExtent l="0" t="0" r="635" b="0"/>
            <wp:docPr id="1112885502" name="Picture 8" descr="Figure 3: Forest plot of the anchored ITC for ≥75 YOA in ConquerRSV, RENOIR and AreSVi-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2885502" name="Picture 8" descr="Figure 3: Forest plot of the anchored ITC for ≥75 YOA in ConquerRSV, RENOIR and AreSVi-006"/>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l="2568" t="5553"/>
                    <a:stretch>
                      <a:fillRect/>
                    </a:stretch>
                  </pic:blipFill>
                  <pic:spPr bwMode="auto">
                    <a:xfrm>
                      <a:off x="0" y="0"/>
                      <a:ext cx="5712545" cy="2910075"/>
                    </a:xfrm>
                    <a:prstGeom prst="rect">
                      <a:avLst/>
                    </a:prstGeom>
                    <a:noFill/>
                    <a:ln>
                      <a:noFill/>
                    </a:ln>
                    <a:extLst>
                      <a:ext uri="{53640926-AAD7-44D8-BBD7-CCE9431645EC}">
                        <a14:shadowObscured xmlns:a14="http://schemas.microsoft.com/office/drawing/2010/main"/>
                      </a:ext>
                    </a:extLst>
                  </pic:spPr>
                </pic:pic>
              </a:graphicData>
            </a:graphic>
          </wp:inline>
        </w:drawing>
      </w:r>
    </w:p>
    <w:p w14:paraId="5E08B92D" w14:textId="4B367363" w:rsidR="006A1AFC" w:rsidRPr="00885AB3" w:rsidRDefault="006A1AFC" w:rsidP="00120D61">
      <w:pPr>
        <w:pStyle w:val="TableFigureFooter"/>
        <w:keepNext/>
      </w:pPr>
      <w:r w:rsidRPr="00885AB3">
        <w:t>Source: Produced during the evaluation using the amended results from</w:t>
      </w:r>
      <w:r w:rsidR="002103EC" w:rsidRPr="00885AB3">
        <w:t xml:space="preserve"> </w:t>
      </w:r>
      <w:r w:rsidR="002103EC" w:rsidRPr="00885AB3">
        <w:fldChar w:fldCharType="begin" w:fldLock="1"/>
      </w:r>
      <w:r w:rsidR="002103EC" w:rsidRPr="00885AB3">
        <w:instrText xml:space="preserve"> REF _Ref208304196 \h </w:instrText>
      </w:r>
      <w:r w:rsidR="006A6EC7" w:rsidRPr="00885AB3">
        <w:instrText xml:space="preserve"> \* MERGEFORMAT </w:instrText>
      </w:r>
      <w:r w:rsidR="002103EC" w:rsidRPr="00885AB3">
        <w:fldChar w:fldCharType="separate"/>
      </w:r>
      <w:r w:rsidR="00515933" w:rsidRPr="00885AB3">
        <w:t>Table 11</w:t>
      </w:r>
      <w:r w:rsidR="002103EC" w:rsidRPr="00885AB3">
        <w:fldChar w:fldCharType="end"/>
      </w:r>
      <w:r w:rsidR="002103EC" w:rsidRPr="00885AB3">
        <w:t>.</w:t>
      </w:r>
      <w:r w:rsidRPr="00885AB3">
        <w:t xml:space="preserve"> </w:t>
      </w:r>
    </w:p>
    <w:p w14:paraId="0FB4E88A" w14:textId="22E9DCD4" w:rsidR="006A1AFC" w:rsidRPr="00885AB3" w:rsidRDefault="006A1AFC" w:rsidP="00120D61">
      <w:pPr>
        <w:pStyle w:val="TableFigureFooter"/>
        <w:keepNext/>
      </w:pPr>
      <w:r w:rsidRPr="00885AB3">
        <w:t xml:space="preserve">ARD = acute respiratory diseases; ITC = indirect treatment comparison; LRTD= lower respiratory track diseases; </w:t>
      </w:r>
      <w:r w:rsidR="0014127B" w:rsidRPr="00885AB3">
        <w:t>LRTD2 =</w:t>
      </w:r>
      <w:r w:rsidR="003E1E96" w:rsidRPr="00885AB3">
        <w:t xml:space="preserve"> </w:t>
      </w:r>
      <w:r w:rsidR="0014127B" w:rsidRPr="00885AB3">
        <w:t xml:space="preserve">lower respiratory track diseases with </w:t>
      </w:r>
      <w:r w:rsidR="00EF2FA4">
        <w:rPr>
          <w:rFonts w:ascii="Times New Roman" w:hAnsi="Times New Roman" w:cs="Times New Roman"/>
        </w:rPr>
        <w:t xml:space="preserve">≥ </w:t>
      </w:r>
      <w:r w:rsidR="0014127B" w:rsidRPr="00885AB3">
        <w:t xml:space="preserve">2 symptoms; LRTD3 = lower respiratory track diseases with </w:t>
      </w:r>
      <w:r w:rsidR="00EF2FA4">
        <w:rPr>
          <w:rFonts w:ascii="Times New Roman" w:hAnsi="Times New Roman" w:cs="Times New Roman"/>
        </w:rPr>
        <w:t xml:space="preserve">≥ </w:t>
      </w:r>
      <w:r w:rsidR="0014127B" w:rsidRPr="00885AB3">
        <w:t xml:space="preserve">3 symptoms; </w:t>
      </w:r>
      <w:r w:rsidRPr="00885AB3">
        <w:t>RR= relative risk; YOA = years of age.</w:t>
      </w:r>
    </w:p>
    <w:p w14:paraId="2A49ACE8" w14:textId="1C56BD20" w:rsidR="006A1AFC" w:rsidRPr="00885AB3" w:rsidRDefault="006A1AFC" w:rsidP="00120D61">
      <w:pPr>
        <w:pStyle w:val="TableFigureFooter"/>
        <w:keepNext/>
      </w:pPr>
      <w:r w:rsidRPr="00885AB3">
        <w:t xml:space="preserve">RR </w:t>
      </w:r>
      <w:r w:rsidR="001C78D7">
        <w:t xml:space="preserve">&lt; </w:t>
      </w:r>
      <w:r w:rsidRPr="00885AB3">
        <w:t>1 favours mRNA-1345.</w:t>
      </w:r>
    </w:p>
    <w:p w14:paraId="677B11A7" w14:textId="7F35FFCE" w:rsidR="006A1AFC" w:rsidRPr="00885AB3" w:rsidRDefault="00CB7C1B" w:rsidP="00120D61">
      <w:pPr>
        <w:pStyle w:val="TableFigureFooter"/>
        <w:keepNext/>
      </w:pPr>
      <w:r w:rsidRPr="00885AB3">
        <w:t xml:space="preserve">Note: </w:t>
      </w:r>
      <w:r w:rsidR="006A1AFC" w:rsidRPr="00885AB3">
        <w:t xml:space="preserve">Outcomes for participants aged </w:t>
      </w:r>
      <w:r w:rsidR="00EF2FA4">
        <w:t xml:space="preserve">≥ </w:t>
      </w:r>
      <w:r w:rsidR="006A1AFC" w:rsidRPr="00885AB3">
        <w:t xml:space="preserve">75 years for </w:t>
      </w:r>
      <w:proofErr w:type="spellStart"/>
      <w:r w:rsidR="006A1AFC" w:rsidRPr="00885AB3">
        <w:t>RSVPreF</w:t>
      </w:r>
      <w:proofErr w:type="spellEnd"/>
      <w:r w:rsidR="006A1AFC" w:rsidRPr="00885AB3">
        <w:t xml:space="preserve"> include RSV-LRTI with </w:t>
      </w:r>
      <w:r w:rsidR="00EF2FA4">
        <w:t xml:space="preserve">≥ </w:t>
      </w:r>
      <w:r w:rsidR="006A1AFC" w:rsidRPr="00885AB3">
        <w:t xml:space="preserve">2 symptoms, RSV-LRTI with </w:t>
      </w:r>
      <w:r w:rsidR="00EF2FA4">
        <w:t xml:space="preserve">≥ </w:t>
      </w:r>
      <w:r w:rsidR="006A1AFC" w:rsidRPr="00885AB3">
        <w:t xml:space="preserve">3 symptoms, and RSV-ARD defined as medically attended RSV requiring any healthcare visit. These results are not directly comparable with the outcomes reported for mRNA-1345 and RSVPreF3 OA. </w:t>
      </w:r>
    </w:p>
    <w:p w14:paraId="7761178B" w14:textId="7DC8FF7A" w:rsidR="006A1AFC" w:rsidRPr="00885AB3" w:rsidRDefault="006A1AFC" w:rsidP="00120D61">
      <w:pPr>
        <w:pStyle w:val="3-BodyText"/>
        <w:rPr>
          <w:iCs/>
          <w:color w:val="0066FF"/>
        </w:rPr>
      </w:pPr>
      <w:r w:rsidRPr="00885AB3">
        <w:t>Across all scenarios for all outcomes</w:t>
      </w:r>
      <w:r w:rsidR="00CB767E" w:rsidRPr="00885AB3">
        <w:t xml:space="preserve"> for </w:t>
      </w:r>
      <w:r w:rsidR="00CB767E" w:rsidRPr="00885AB3">
        <w:rPr>
          <w:iCs/>
        </w:rPr>
        <w:t xml:space="preserve">the </w:t>
      </w:r>
      <w:r w:rsidR="00EF2FA4">
        <w:rPr>
          <w:iCs/>
        </w:rPr>
        <w:t xml:space="preserve">≥ </w:t>
      </w:r>
      <w:r w:rsidR="00CB767E" w:rsidRPr="00885AB3">
        <w:rPr>
          <w:iCs/>
        </w:rPr>
        <w:t>75 YOA group</w:t>
      </w:r>
      <w:r w:rsidRPr="00885AB3">
        <w:t>, no statistically significant differences were observed between</w:t>
      </w:r>
      <w:r w:rsidR="00B31FDA" w:rsidRPr="00885AB3">
        <w:t xml:space="preserve"> the</w:t>
      </w:r>
      <w:r w:rsidRPr="00885AB3">
        <w:t xml:space="preserve"> mRNA-1345, RSVPreF3 OA, or </w:t>
      </w:r>
      <w:proofErr w:type="spellStart"/>
      <w:r w:rsidRPr="00885AB3">
        <w:t>RSVPreF</w:t>
      </w:r>
      <w:proofErr w:type="spellEnd"/>
      <w:r w:rsidR="00B31FDA" w:rsidRPr="00885AB3">
        <w:t xml:space="preserve"> vaccines</w:t>
      </w:r>
      <w:r w:rsidRPr="00885AB3">
        <w:t xml:space="preserve">. </w:t>
      </w:r>
      <w:r w:rsidRPr="00885AB3">
        <w:rPr>
          <w:iCs/>
        </w:rPr>
        <w:t xml:space="preserve">The submission did not establish a formal non-inferiority margin. While no statistically significant differences were observed, the relative risk estimates consistently indicated a trend favouring </w:t>
      </w:r>
      <w:proofErr w:type="spellStart"/>
      <w:r w:rsidRPr="00885AB3">
        <w:rPr>
          <w:iCs/>
        </w:rPr>
        <w:t>RSVPreF</w:t>
      </w:r>
      <w:proofErr w:type="spellEnd"/>
      <w:r w:rsidRPr="00885AB3">
        <w:rPr>
          <w:iCs/>
        </w:rPr>
        <w:t xml:space="preserve"> and RSVPreF3 OA over mRNA-1345, particularly for Scenario 3. As such, the</w:t>
      </w:r>
      <w:r w:rsidR="00662E4C" w:rsidRPr="00885AB3">
        <w:rPr>
          <w:iCs/>
        </w:rPr>
        <w:t xml:space="preserve"> evaluation considered that the</w:t>
      </w:r>
      <w:r w:rsidRPr="00885AB3">
        <w:rPr>
          <w:iCs/>
        </w:rPr>
        <w:t xml:space="preserve"> possibility that mRNA-1345 provides less protection against the presented outcomes cannot be ruled out, noting that the ITC lacks sufficient power to demonstrate statistical</w:t>
      </w:r>
      <w:r w:rsidR="009D6721" w:rsidRPr="00885AB3">
        <w:rPr>
          <w:iCs/>
        </w:rPr>
        <w:t xml:space="preserve"> superiority of any vaccine.</w:t>
      </w:r>
    </w:p>
    <w:p w14:paraId="7F35EF7F" w14:textId="03E7D27F" w:rsidR="006A1AFC" w:rsidRPr="00885AB3" w:rsidRDefault="006A1AFC" w:rsidP="00120D61">
      <w:pPr>
        <w:pStyle w:val="3-BodyText"/>
        <w:rPr>
          <w:iCs/>
        </w:rPr>
      </w:pPr>
      <w:bookmarkStart w:id="83" w:name="_Ref206412177"/>
      <w:r w:rsidRPr="00885AB3">
        <w:t xml:space="preserve">The submission presented evidence of a waning effect </w:t>
      </w:r>
      <w:r w:rsidR="00C44D84" w:rsidRPr="00885AB3">
        <w:t xml:space="preserve">for </w:t>
      </w:r>
      <w:r w:rsidRPr="00885AB3">
        <w:t xml:space="preserve">mRNA-1345 </w:t>
      </w:r>
      <w:r w:rsidR="00C44D84" w:rsidRPr="00885AB3">
        <w:t>(Das 202</w:t>
      </w:r>
      <w:r w:rsidR="009C7782" w:rsidRPr="00885AB3">
        <w:t>4</w:t>
      </w:r>
      <w:r w:rsidR="00C44D84" w:rsidRPr="00885AB3">
        <w:t xml:space="preserve">) </w:t>
      </w:r>
      <w:r w:rsidRPr="00885AB3">
        <w:t xml:space="preserve">and RSVPreF3 OA </w:t>
      </w:r>
      <w:r w:rsidR="00FC6151" w:rsidRPr="00885AB3">
        <w:t xml:space="preserve">(Papi 2023) </w:t>
      </w:r>
      <w:r w:rsidRPr="00885AB3">
        <w:t xml:space="preserve">conducted in the overall population </w:t>
      </w:r>
      <w:r w:rsidR="00EF2FA4">
        <w:rPr>
          <w:i/>
        </w:rPr>
        <w:t xml:space="preserve">≥ </w:t>
      </w:r>
      <w:r w:rsidRPr="00885AB3">
        <w:t>60 YOA</w:t>
      </w:r>
      <w:r w:rsidR="003A301D" w:rsidRPr="00885AB3">
        <w:t xml:space="preserve"> (data not shown)</w:t>
      </w:r>
      <w:r w:rsidRPr="00885AB3">
        <w:t>.</w:t>
      </w:r>
      <w:r w:rsidRPr="00885AB3">
        <w:rPr>
          <w:i/>
        </w:rPr>
        <w:t xml:space="preserve"> </w:t>
      </w:r>
      <w:r w:rsidRPr="00885AB3">
        <w:t>Both vaccines</w:t>
      </w:r>
      <w:r w:rsidRPr="00885AB3" w:rsidDel="00875602">
        <w:t xml:space="preserve"> </w:t>
      </w:r>
      <w:r w:rsidRPr="00885AB3">
        <w:t>exhibit waning over time; the rate of waning for mRNA-1345 was calculated at approximately 2.4% per month and 2.1% per month for RSVPreF3 OA.</w:t>
      </w:r>
      <w:r w:rsidR="00D73302" w:rsidRPr="00885AB3">
        <w:t xml:space="preserve"> The submission stated that the sponsor </w:t>
      </w:r>
      <w:proofErr w:type="gramStart"/>
      <w:r w:rsidR="00D73302" w:rsidRPr="00885AB3">
        <w:t>was not able to</w:t>
      </w:r>
      <w:proofErr w:type="gramEnd"/>
      <w:r w:rsidR="00D73302" w:rsidRPr="00885AB3">
        <w:t xml:space="preserve"> identify a similar calculation of waning for </w:t>
      </w:r>
      <w:proofErr w:type="spellStart"/>
      <w:r w:rsidR="00D73302" w:rsidRPr="00885AB3">
        <w:t>RSV</w:t>
      </w:r>
      <w:r w:rsidR="00E3192F" w:rsidRPr="00885AB3">
        <w:t>P</w:t>
      </w:r>
      <w:r w:rsidR="00D73302" w:rsidRPr="00885AB3">
        <w:t>reF</w:t>
      </w:r>
      <w:proofErr w:type="spellEnd"/>
      <w:r w:rsidR="00D73302" w:rsidRPr="00885AB3">
        <w:t xml:space="preserve">. </w:t>
      </w:r>
      <w:r w:rsidRPr="00885AB3">
        <w:rPr>
          <w:iCs/>
        </w:rPr>
        <w:t xml:space="preserve">These findings </w:t>
      </w:r>
      <w:r w:rsidR="00D73302" w:rsidRPr="00885AB3">
        <w:rPr>
          <w:iCs/>
        </w:rPr>
        <w:t xml:space="preserve">suggest </w:t>
      </w:r>
      <w:r w:rsidRPr="00885AB3">
        <w:rPr>
          <w:iCs/>
        </w:rPr>
        <w:t>that mRNA-1345 wanes at a faster rate than RSVPreF3 OA.</w:t>
      </w:r>
      <w:bookmarkEnd w:id="83"/>
      <w:r w:rsidR="00316C19" w:rsidRPr="00885AB3">
        <w:rPr>
          <w:iCs/>
        </w:rPr>
        <w:t xml:space="preserve"> T</w:t>
      </w:r>
      <w:r w:rsidR="00682360" w:rsidRPr="00885AB3">
        <w:rPr>
          <w:iCs/>
        </w:rPr>
        <w:t xml:space="preserve">he evaluation considered that </w:t>
      </w:r>
      <w:r w:rsidR="00D73302" w:rsidRPr="00885AB3">
        <w:rPr>
          <w:iCs/>
        </w:rPr>
        <w:t xml:space="preserve">this comparison should be viewed with caution, as both estimates of waning </w:t>
      </w:r>
      <w:r w:rsidR="00CB4B32" w:rsidRPr="00885AB3">
        <w:rPr>
          <w:iCs/>
        </w:rPr>
        <w:t>are unvalidated projections and are therefore uncertain.</w:t>
      </w:r>
    </w:p>
    <w:p w14:paraId="5331CC0E" w14:textId="3ED3EA1F" w:rsidR="006A1AFC" w:rsidRPr="00885AB3" w:rsidRDefault="006A1AFC" w:rsidP="00120D61">
      <w:pPr>
        <w:pStyle w:val="3-BodyText"/>
        <w:rPr>
          <w:iCs/>
        </w:rPr>
      </w:pPr>
      <w:r w:rsidRPr="00885AB3">
        <w:rPr>
          <w:iCs/>
        </w:rPr>
        <w:t xml:space="preserve">The ATAGI advised that evidence on “waning of vaccine efficacy in the target population (aged 75 years and above) would be most informative. </w:t>
      </w:r>
      <w:r w:rsidR="00961227" w:rsidRPr="00885AB3">
        <w:rPr>
          <w:iCs/>
        </w:rPr>
        <w:t xml:space="preserve">The evaluation noted that </w:t>
      </w:r>
      <w:r w:rsidR="00F33C1D" w:rsidRPr="00885AB3">
        <w:rPr>
          <w:iCs/>
        </w:rPr>
        <w:t>w</w:t>
      </w:r>
      <w:r w:rsidRPr="00885AB3">
        <w:rPr>
          <w:iCs/>
        </w:rPr>
        <w:t xml:space="preserve">here data are insufficient for subgroup analyses, evidence to support the </w:t>
      </w:r>
      <w:r w:rsidRPr="00885AB3">
        <w:rPr>
          <w:iCs/>
        </w:rPr>
        <w:lastRenderedPageBreak/>
        <w:t xml:space="preserve">generalisability of vaccine waning from the whole trial population to the target population would be required. Where waning of vaccine efficacy for mRNA-1345 is different to that for </w:t>
      </w:r>
      <w:proofErr w:type="spellStart"/>
      <w:r w:rsidRPr="00885AB3">
        <w:rPr>
          <w:iCs/>
        </w:rPr>
        <w:t>RSVPreF</w:t>
      </w:r>
      <w:proofErr w:type="spellEnd"/>
      <w:r w:rsidRPr="00885AB3">
        <w:rPr>
          <w:iCs/>
        </w:rPr>
        <w:t xml:space="preserve">, the Sponsor should clearly describe how </w:t>
      </w:r>
      <w:r w:rsidR="001674FD" w:rsidRPr="00885AB3">
        <w:rPr>
          <w:iCs/>
        </w:rPr>
        <w:t>non-inferiority</w:t>
      </w:r>
      <w:r w:rsidRPr="00885AB3">
        <w:rPr>
          <w:iCs/>
        </w:rPr>
        <w:t xml:space="preserve"> is maintained” (ATAGI Advice, June 2025). </w:t>
      </w:r>
      <w:r w:rsidR="00473AAF" w:rsidRPr="00885AB3">
        <w:rPr>
          <w:iCs/>
        </w:rPr>
        <w:t>The submission did not discuss the waning profile in</w:t>
      </w:r>
      <w:r w:rsidR="00473AAF" w:rsidRPr="00885AB3" w:rsidDel="00CA1ADD">
        <w:rPr>
          <w:iCs/>
        </w:rPr>
        <w:t xml:space="preserve"> </w:t>
      </w:r>
      <w:r w:rsidR="00473AAF" w:rsidRPr="00885AB3">
        <w:rPr>
          <w:iCs/>
        </w:rPr>
        <w:t xml:space="preserve">participants </w:t>
      </w:r>
      <w:r w:rsidR="00EF2FA4">
        <w:rPr>
          <w:rFonts w:cs="Calibri"/>
          <w:iCs/>
        </w:rPr>
        <w:t xml:space="preserve">≥ </w:t>
      </w:r>
      <w:r w:rsidR="00473AAF" w:rsidRPr="00885AB3">
        <w:rPr>
          <w:iCs/>
        </w:rPr>
        <w:t>75 YOA.</w:t>
      </w:r>
    </w:p>
    <w:p w14:paraId="386E04BC" w14:textId="77777777" w:rsidR="006A1AFC" w:rsidRPr="00885AB3" w:rsidRDefault="006A1AFC" w:rsidP="00120D61">
      <w:pPr>
        <w:pStyle w:val="4-SubsectionHeading"/>
      </w:pPr>
      <w:bookmarkStart w:id="84" w:name="_Toc22897642"/>
      <w:bookmarkStart w:id="85" w:name="_Toc205822155"/>
      <w:bookmarkStart w:id="86" w:name="_Toc208998508"/>
      <w:r w:rsidRPr="00885AB3">
        <w:t>Comparative harms</w:t>
      </w:r>
      <w:bookmarkEnd w:id="84"/>
      <w:bookmarkEnd w:id="85"/>
      <w:bookmarkEnd w:id="86"/>
    </w:p>
    <w:p w14:paraId="6FB87D5B" w14:textId="77777777" w:rsidR="006A1AFC" w:rsidRPr="00885AB3" w:rsidRDefault="006A1AFC" w:rsidP="00120D61">
      <w:pPr>
        <w:pStyle w:val="5-SubsectionSubheading"/>
        <w:rPr>
          <w:lang w:eastAsia="en-US"/>
        </w:rPr>
      </w:pPr>
      <w:bookmarkStart w:id="87" w:name="_Toc208998509"/>
      <w:r w:rsidRPr="00885AB3">
        <w:rPr>
          <w:lang w:eastAsia="en-US"/>
        </w:rPr>
        <w:t xml:space="preserve">mRNA-1345 versus </w:t>
      </w:r>
      <w:r w:rsidRPr="00885AB3">
        <w:t>placebo</w:t>
      </w:r>
      <w:bookmarkEnd w:id="87"/>
    </w:p>
    <w:p w14:paraId="13ADFCD4" w14:textId="7099721B" w:rsidR="006A1AFC" w:rsidRPr="00885AB3" w:rsidRDefault="006A1AFC" w:rsidP="00120D61">
      <w:pPr>
        <w:pStyle w:val="3-BodyText"/>
        <w:rPr>
          <w:color w:val="0066FF"/>
        </w:rPr>
      </w:pPr>
      <w:r w:rsidRPr="00885AB3">
        <w:t>The Clinical Study Report for the latest follow-up did not report solicited adverse reactions (ARs), therefore the solicited ARs reported at the 8.6 months</w:t>
      </w:r>
      <w:r w:rsidRPr="00885AB3" w:rsidDel="00E35149">
        <w:t xml:space="preserve"> median time to </w:t>
      </w:r>
      <w:r w:rsidRPr="00885AB3">
        <w:t>follow-up</w:t>
      </w:r>
      <w:r w:rsidRPr="00885AB3">
        <w:rPr>
          <w:rFonts w:cs="Calibri"/>
        </w:rPr>
        <w:t xml:space="preserve"> </w:t>
      </w:r>
      <w:r w:rsidR="001B3D4F" w:rsidRPr="00885AB3">
        <w:rPr>
          <w:rFonts w:cs="Calibri"/>
        </w:rPr>
        <w:t xml:space="preserve">are shown in </w:t>
      </w:r>
      <w:r w:rsidRPr="00885AB3">
        <w:rPr>
          <w:rFonts w:cs="Calibri"/>
        </w:rPr>
        <w:fldChar w:fldCharType="begin" w:fldLock="1"/>
      </w:r>
      <w:r w:rsidRPr="00885AB3">
        <w:rPr>
          <w:rFonts w:cs="Calibri"/>
        </w:rPr>
        <w:instrText xml:space="preserve"> REF _Ref205301558 \h </w:instrText>
      </w:r>
      <w:r w:rsidR="005F5B2F" w:rsidRPr="00885AB3">
        <w:rPr>
          <w:rFonts w:cs="Calibri"/>
        </w:rPr>
        <w:instrText xml:space="preserve"> \* MERGEFORMAT </w:instrText>
      </w:r>
      <w:r w:rsidRPr="00885AB3">
        <w:rPr>
          <w:rFonts w:cs="Calibri"/>
        </w:rPr>
      </w:r>
      <w:r w:rsidRPr="00885AB3">
        <w:rPr>
          <w:rFonts w:cs="Calibri"/>
        </w:rPr>
        <w:fldChar w:fldCharType="separate"/>
      </w:r>
      <w:r w:rsidR="00515933" w:rsidRPr="00885AB3">
        <w:t>Table 12</w:t>
      </w:r>
      <w:r w:rsidRPr="00885AB3">
        <w:rPr>
          <w:rFonts w:cs="Calibri"/>
        </w:rPr>
        <w:fldChar w:fldCharType="end"/>
      </w:r>
      <w:r w:rsidRPr="00885AB3">
        <w:rPr>
          <w:rFonts w:cs="Calibri"/>
        </w:rPr>
        <w:t>.</w:t>
      </w:r>
    </w:p>
    <w:p w14:paraId="14C912BB" w14:textId="36CFBB8F" w:rsidR="006A1AFC" w:rsidRPr="00885AB3" w:rsidRDefault="006A1AFC" w:rsidP="00120D61">
      <w:pPr>
        <w:pStyle w:val="Caption"/>
      </w:pPr>
      <w:bookmarkStart w:id="88" w:name="_Ref205301558"/>
      <w:r w:rsidRPr="00885AB3">
        <w:t xml:space="preserve">Table </w:t>
      </w:r>
      <w:r w:rsidR="008A242D" w:rsidRPr="00885AB3">
        <w:fldChar w:fldCharType="begin" w:fldLock="1"/>
      </w:r>
      <w:r w:rsidR="008A242D" w:rsidRPr="00885AB3">
        <w:instrText xml:space="preserve"> SEQ Table \* ARABIC </w:instrText>
      </w:r>
      <w:r w:rsidR="008A242D" w:rsidRPr="00885AB3">
        <w:fldChar w:fldCharType="separate"/>
      </w:r>
      <w:r w:rsidR="00515933" w:rsidRPr="00885AB3">
        <w:t>12</w:t>
      </w:r>
      <w:r w:rsidR="008A242D" w:rsidRPr="00885AB3">
        <w:fldChar w:fldCharType="end"/>
      </w:r>
      <w:bookmarkEnd w:id="88"/>
      <w:r w:rsidRPr="00885AB3">
        <w:t xml:space="preserve">: Summary of participants with solicited ARs within 7 days after injection in </w:t>
      </w:r>
      <w:proofErr w:type="spellStart"/>
      <w:r w:rsidRPr="00885AB3">
        <w:t>ConquerRSV</w:t>
      </w:r>
      <w:proofErr w:type="spellEnd"/>
      <w:r w:rsidRPr="00885AB3">
        <w:t xml:space="preserve"> (single dose, solicited safety set, 8.6 months median time to follow-up)</w:t>
      </w:r>
    </w:p>
    <w:tbl>
      <w:tblPr>
        <w:tblStyle w:val="TableGrid"/>
        <w:tblW w:w="5000" w:type="pct"/>
        <w:tblLook w:val="04A0" w:firstRow="1" w:lastRow="0" w:firstColumn="1" w:lastColumn="0" w:noHBand="0" w:noVBand="1"/>
        <w:tblCaption w:val="Table 12: Summary of participants with solicited ARs within 7 days after injection in ConquerRSV (single dose, solicited safety set, 8.6 months median time to follow-up)"/>
      </w:tblPr>
      <w:tblGrid>
        <w:gridCol w:w="4249"/>
        <w:gridCol w:w="2406"/>
        <w:gridCol w:w="2362"/>
      </w:tblGrid>
      <w:tr w:rsidR="006A1AFC" w:rsidRPr="00885AB3" w14:paraId="035F8F24" w14:textId="77777777" w:rsidTr="001F70A2">
        <w:trPr>
          <w:trHeight w:val="167"/>
        </w:trPr>
        <w:tc>
          <w:tcPr>
            <w:tcW w:w="2356" w:type="pct"/>
          </w:tcPr>
          <w:p w14:paraId="00E04EE1" w14:textId="77777777" w:rsidR="006A1AFC" w:rsidRPr="00885AB3" w:rsidRDefault="006A1AFC" w:rsidP="00120D61">
            <w:pPr>
              <w:pStyle w:val="In-tableHeading"/>
            </w:pPr>
            <w:r w:rsidRPr="00885AB3">
              <w:t>AR category</w:t>
            </w:r>
          </w:p>
        </w:tc>
        <w:tc>
          <w:tcPr>
            <w:tcW w:w="1334" w:type="pct"/>
            <w:vAlign w:val="center"/>
          </w:tcPr>
          <w:p w14:paraId="4D33021D" w14:textId="63283077" w:rsidR="00E2666A" w:rsidRPr="00885AB3" w:rsidRDefault="006A1AFC" w:rsidP="00120D61">
            <w:pPr>
              <w:pStyle w:val="In-tableHeading"/>
              <w:jc w:val="center"/>
            </w:pPr>
            <w:r w:rsidRPr="00885AB3">
              <w:t>mRNA-1345 (N=18,174)</w:t>
            </w:r>
          </w:p>
          <w:p w14:paraId="383EB108" w14:textId="3956ACE1" w:rsidR="006A1AFC" w:rsidRPr="00885AB3" w:rsidRDefault="006A1AFC" w:rsidP="00120D61">
            <w:pPr>
              <w:pStyle w:val="In-tableHeading"/>
              <w:jc w:val="center"/>
            </w:pPr>
            <w:r w:rsidRPr="00885AB3">
              <w:t>n (%)</w:t>
            </w:r>
          </w:p>
        </w:tc>
        <w:tc>
          <w:tcPr>
            <w:tcW w:w="1311" w:type="pct"/>
            <w:vAlign w:val="center"/>
          </w:tcPr>
          <w:p w14:paraId="414730CE" w14:textId="17D83913" w:rsidR="00E2666A" w:rsidRPr="00885AB3" w:rsidRDefault="006A1AFC" w:rsidP="00120D61">
            <w:pPr>
              <w:pStyle w:val="In-tableHeading"/>
              <w:jc w:val="center"/>
            </w:pPr>
            <w:r w:rsidRPr="00885AB3">
              <w:t>Placebo (N=18,102)</w:t>
            </w:r>
          </w:p>
          <w:p w14:paraId="581A4896" w14:textId="38E4EC3A" w:rsidR="006A1AFC" w:rsidRPr="00885AB3" w:rsidRDefault="006A1AFC" w:rsidP="00120D61">
            <w:pPr>
              <w:pStyle w:val="In-tableHeading"/>
              <w:jc w:val="center"/>
            </w:pPr>
            <w:r w:rsidRPr="00885AB3">
              <w:t>n (%)</w:t>
            </w:r>
          </w:p>
        </w:tc>
      </w:tr>
      <w:tr w:rsidR="006A1AFC" w:rsidRPr="00885AB3" w14:paraId="060CBF2C" w14:textId="77777777" w:rsidTr="007C1EF5">
        <w:trPr>
          <w:trHeight w:val="242"/>
        </w:trPr>
        <w:tc>
          <w:tcPr>
            <w:tcW w:w="5000" w:type="pct"/>
            <w:gridSpan w:val="3"/>
          </w:tcPr>
          <w:p w14:paraId="04031A18" w14:textId="77777777" w:rsidR="006A1AFC" w:rsidRPr="00885AB3" w:rsidRDefault="006A1AFC" w:rsidP="00120D61">
            <w:pPr>
              <w:pStyle w:val="Tabletext"/>
              <w:rPr>
                <w:b/>
                <w:bCs/>
                <w:szCs w:val="20"/>
                <w:vertAlign w:val="superscript"/>
              </w:rPr>
            </w:pPr>
            <w:r w:rsidRPr="00885AB3">
              <w:rPr>
                <w:b/>
                <w:bCs/>
                <w:szCs w:val="20"/>
              </w:rPr>
              <w:t xml:space="preserve">Solicited adverse </w:t>
            </w:r>
            <w:proofErr w:type="spellStart"/>
            <w:r w:rsidRPr="00885AB3">
              <w:rPr>
                <w:b/>
                <w:bCs/>
                <w:szCs w:val="20"/>
              </w:rPr>
              <w:t>reactions</w:t>
            </w:r>
            <w:r w:rsidRPr="00885AB3">
              <w:rPr>
                <w:b/>
                <w:bCs/>
                <w:szCs w:val="20"/>
                <w:vertAlign w:val="superscript"/>
              </w:rPr>
              <w:t>a</w:t>
            </w:r>
            <w:proofErr w:type="spellEnd"/>
          </w:p>
        </w:tc>
      </w:tr>
      <w:tr w:rsidR="006A1AFC" w:rsidRPr="00885AB3" w14:paraId="16ACA365" w14:textId="77777777" w:rsidTr="001F70A2">
        <w:trPr>
          <w:trHeight w:val="228"/>
        </w:trPr>
        <w:tc>
          <w:tcPr>
            <w:tcW w:w="2356" w:type="pct"/>
          </w:tcPr>
          <w:p w14:paraId="320EB428" w14:textId="77777777" w:rsidR="006A1AFC" w:rsidRPr="00885AB3" w:rsidRDefault="006A1AFC" w:rsidP="00120D61">
            <w:pPr>
              <w:pStyle w:val="Tabletext"/>
              <w:rPr>
                <w:szCs w:val="20"/>
              </w:rPr>
            </w:pPr>
            <w:r w:rsidRPr="00885AB3">
              <w:rPr>
                <w:szCs w:val="20"/>
              </w:rPr>
              <w:t xml:space="preserve">Any ARs (local or systemic) </w:t>
            </w:r>
          </w:p>
        </w:tc>
        <w:tc>
          <w:tcPr>
            <w:tcW w:w="1334" w:type="pct"/>
            <w:vAlign w:val="center"/>
          </w:tcPr>
          <w:p w14:paraId="79222CB5" w14:textId="77777777" w:rsidR="006A1AFC" w:rsidRPr="00885AB3" w:rsidRDefault="006A1AFC" w:rsidP="00120D61">
            <w:pPr>
              <w:pStyle w:val="Tabletext"/>
              <w:jc w:val="center"/>
              <w:rPr>
                <w:szCs w:val="20"/>
              </w:rPr>
            </w:pPr>
            <w:r w:rsidRPr="00885AB3">
              <w:rPr>
                <w:szCs w:val="20"/>
              </w:rPr>
              <w:t>12,119 (68.6)</w:t>
            </w:r>
          </w:p>
        </w:tc>
        <w:tc>
          <w:tcPr>
            <w:tcW w:w="1311" w:type="pct"/>
            <w:vAlign w:val="center"/>
          </w:tcPr>
          <w:p w14:paraId="2F1A1537" w14:textId="77777777" w:rsidR="006A1AFC" w:rsidRPr="00885AB3" w:rsidRDefault="006A1AFC" w:rsidP="00120D61">
            <w:pPr>
              <w:pStyle w:val="Tabletext"/>
              <w:jc w:val="center"/>
              <w:rPr>
                <w:szCs w:val="20"/>
              </w:rPr>
            </w:pPr>
            <w:r w:rsidRPr="00885AB3">
              <w:rPr>
                <w:szCs w:val="20"/>
              </w:rPr>
              <w:t>6,782 (38.5)</w:t>
            </w:r>
          </w:p>
        </w:tc>
      </w:tr>
      <w:tr w:rsidR="006A1AFC" w:rsidRPr="00885AB3" w14:paraId="6D45F48E" w14:textId="77777777" w:rsidTr="001F70A2">
        <w:trPr>
          <w:trHeight w:val="228"/>
        </w:trPr>
        <w:tc>
          <w:tcPr>
            <w:tcW w:w="2356" w:type="pct"/>
          </w:tcPr>
          <w:p w14:paraId="780506F2" w14:textId="77777777" w:rsidR="006A1AFC" w:rsidRPr="00885AB3" w:rsidRDefault="006A1AFC" w:rsidP="00120D61">
            <w:pPr>
              <w:pStyle w:val="Tabletext"/>
              <w:rPr>
                <w:szCs w:val="20"/>
              </w:rPr>
            </w:pPr>
            <w:r w:rsidRPr="00885AB3">
              <w:rPr>
                <w:szCs w:val="20"/>
              </w:rPr>
              <w:t>Grade 3</w:t>
            </w:r>
          </w:p>
        </w:tc>
        <w:tc>
          <w:tcPr>
            <w:tcW w:w="1334" w:type="pct"/>
            <w:vAlign w:val="center"/>
          </w:tcPr>
          <w:p w14:paraId="73E86706" w14:textId="77777777" w:rsidR="006A1AFC" w:rsidRPr="00885AB3" w:rsidRDefault="006A1AFC" w:rsidP="00120D61">
            <w:pPr>
              <w:pStyle w:val="Tabletext"/>
              <w:jc w:val="center"/>
              <w:rPr>
                <w:szCs w:val="20"/>
              </w:rPr>
            </w:pPr>
            <w:r w:rsidRPr="00885AB3">
              <w:rPr>
                <w:szCs w:val="20"/>
              </w:rPr>
              <w:t>1,069 (6.1)</w:t>
            </w:r>
          </w:p>
        </w:tc>
        <w:tc>
          <w:tcPr>
            <w:tcW w:w="1311" w:type="pct"/>
            <w:vAlign w:val="center"/>
          </w:tcPr>
          <w:p w14:paraId="35C54DC9" w14:textId="77777777" w:rsidR="006A1AFC" w:rsidRPr="00885AB3" w:rsidRDefault="006A1AFC" w:rsidP="00120D61">
            <w:pPr>
              <w:pStyle w:val="Tabletext"/>
              <w:jc w:val="center"/>
              <w:rPr>
                <w:szCs w:val="20"/>
              </w:rPr>
            </w:pPr>
            <w:r w:rsidRPr="00885AB3">
              <w:rPr>
                <w:szCs w:val="20"/>
              </w:rPr>
              <w:t>685 (3.9)</w:t>
            </w:r>
          </w:p>
        </w:tc>
      </w:tr>
      <w:tr w:rsidR="006A1AFC" w:rsidRPr="00885AB3" w14:paraId="0F696460" w14:textId="77777777" w:rsidTr="001F70A2">
        <w:trPr>
          <w:trHeight w:val="228"/>
        </w:trPr>
        <w:tc>
          <w:tcPr>
            <w:tcW w:w="2356" w:type="pct"/>
          </w:tcPr>
          <w:p w14:paraId="2FC3D1F0" w14:textId="77777777" w:rsidR="006A1AFC" w:rsidRPr="00885AB3" w:rsidRDefault="006A1AFC" w:rsidP="00120D61">
            <w:pPr>
              <w:pStyle w:val="Tabletext"/>
              <w:rPr>
                <w:szCs w:val="20"/>
              </w:rPr>
            </w:pPr>
            <w:r w:rsidRPr="00885AB3">
              <w:rPr>
                <w:szCs w:val="20"/>
              </w:rPr>
              <w:t>Grade 4</w:t>
            </w:r>
          </w:p>
        </w:tc>
        <w:tc>
          <w:tcPr>
            <w:tcW w:w="1334" w:type="pct"/>
            <w:vAlign w:val="center"/>
          </w:tcPr>
          <w:p w14:paraId="0659C2D3" w14:textId="77777777" w:rsidR="006A1AFC" w:rsidRPr="00885AB3" w:rsidRDefault="006A1AFC" w:rsidP="00120D61">
            <w:pPr>
              <w:pStyle w:val="Tabletext"/>
              <w:jc w:val="center"/>
              <w:rPr>
                <w:szCs w:val="20"/>
              </w:rPr>
            </w:pPr>
            <w:r w:rsidRPr="00885AB3">
              <w:rPr>
                <w:szCs w:val="20"/>
              </w:rPr>
              <w:t>35 (0.2)</w:t>
            </w:r>
          </w:p>
        </w:tc>
        <w:tc>
          <w:tcPr>
            <w:tcW w:w="1311" w:type="pct"/>
            <w:vAlign w:val="center"/>
          </w:tcPr>
          <w:p w14:paraId="3C93DBF0" w14:textId="77777777" w:rsidR="006A1AFC" w:rsidRPr="00885AB3" w:rsidRDefault="006A1AFC" w:rsidP="00120D61">
            <w:pPr>
              <w:pStyle w:val="Tabletext"/>
              <w:jc w:val="center"/>
              <w:rPr>
                <w:szCs w:val="20"/>
              </w:rPr>
            </w:pPr>
            <w:r w:rsidRPr="00885AB3">
              <w:rPr>
                <w:szCs w:val="20"/>
              </w:rPr>
              <w:t>29 (0.2)</w:t>
            </w:r>
          </w:p>
        </w:tc>
      </w:tr>
      <w:tr w:rsidR="006A1AFC" w:rsidRPr="00885AB3" w14:paraId="47CF50F7" w14:textId="77777777" w:rsidTr="001F70A2">
        <w:trPr>
          <w:trHeight w:val="228"/>
        </w:trPr>
        <w:tc>
          <w:tcPr>
            <w:tcW w:w="2356" w:type="pct"/>
          </w:tcPr>
          <w:p w14:paraId="593C76B6" w14:textId="77777777" w:rsidR="006A1AFC" w:rsidRPr="00885AB3" w:rsidRDefault="006A1AFC" w:rsidP="00120D61">
            <w:pPr>
              <w:pStyle w:val="Tabletext"/>
              <w:rPr>
                <w:szCs w:val="20"/>
              </w:rPr>
            </w:pPr>
            <w:r w:rsidRPr="00885AB3">
              <w:rPr>
                <w:szCs w:val="20"/>
              </w:rPr>
              <w:t>Grade 3 or 4</w:t>
            </w:r>
          </w:p>
        </w:tc>
        <w:tc>
          <w:tcPr>
            <w:tcW w:w="1334" w:type="pct"/>
            <w:vAlign w:val="center"/>
          </w:tcPr>
          <w:p w14:paraId="7FA31B06" w14:textId="77777777" w:rsidR="006A1AFC" w:rsidRPr="00885AB3" w:rsidRDefault="006A1AFC" w:rsidP="00120D61">
            <w:pPr>
              <w:pStyle w:val="Tabletext"/>
              <w:jc w:val="center"/>
              <w:rPr>
                <w:szCs w:val="20"/>
              </w:rPr>
            </w:pPr>
            <w:r w:rsidRPr="00885AB3">
              <w:rPr>
                <w:szCs w:val="20"/>
              </w:rPr>
              <w:t>1,104 (6.2)</w:t>
            </w:r>
          </w:p>
        </w:tc>
        <w:tc>
          <w:tcPr>
            <w:tcW w:w="1311" w:type="pct"/>
            <w:vAlign w:val="center"/>
          </w:tcPr>
          <w:p w14:paraId="2F50BF80" w14:textId="77777777" w:rsidR="006A1AFC" w:rsidRPr="00885AB3" w:rsidRDefault="006A1AFC" w:rsidP="00120D61">
            <w:pPr>
              <w:pStyle w:val="Tabletext"/>
              <w:jc w:val="center"/>
              <w:rPr>
                <w:szCs w:val="20"/>
              </w:rPr>
            </w:pPr>
            <w:r w:rsidRPr="00885AB3">
              <w:rPr>
                <w:szCs w:val="20"/>
              </w:rPr>
              <w:t>714 (4.1)</w:t>
            </w:r>
          </w:p>
        </w:tc>
      </w:tr>
      <w:tr w:rsidR="006A1AFC" w:rsidRPr="00885AB3" w14:paraId="020675AC" w14:textId="77777777" w:rsidTr="007C1EF5">
        <w:trPr>
          <w:trHeight w:val="228"/>
        </w:trPr>
        <w:tc>
          <w:tcPr>
            <w:tcW w:w="5000" w:type="pct"/>
            <w:gridSpan w:val="3"/>
          </w:tcPr>
          <w:p w14:paraId="7761E7CC" w14:textId="77777777" w:rsidR="006A1AFC" w:rsidRPr="00885AB3" w:rsidRDefault="006A1AFC" w:rsidP="00120D61">
            <w:pPr>
              <w:pStyle w:val="Tabletext"/>
              <w:rPr>
                <w:b/>
                <w:bCs/>
                <w:szCs w:val="20"/>
              </w:rPr>
            </w:pPr>
            <w:r w:rsidRPr="00885AB3">
              <w:rPr>
                <w:b/>
                <w:bCs/>
                <w:szCs w:val="20"/>
              </w:rPr>
              <w:t>Local ARs</w:t>
            </w:r>
          </w:p>
        </w:tc>
      </w:tr>
      <w:tr w:rsidR="006A1AFC" w:rsidRPr="00885AB3" w14:paraId="18B4C5E0" w14:textId="77777777" w:rsidTr="001F70A2">
        <w:trPr>
          <w:trHeight w:val="228"/>
        </w:trPr>
        <w:tc>
          <w:tcPr>
            <w:tcW w:w="2356" w:type="pct"/>
          </w:tcPr>
          <w:p w14:paraId="4CDD0500" w14:textId="77777777" w:rsidR="006A1AFC" w:rsidRPr="00885AB3" w:rsidRDefault="006A1AFC" w:rsidP="00120D61">
            <w:pPr>
              <w:pStyle w:val="Tabletext"/>
              <w:rPr>
                <w:szCs w:val="20"/>
              </w:rPr>
            </w:pPr>
            <w:r w:rsidRPr="00885AB3">
              <w:rPr>
                <w:szCs w:val="20"/>
              </w:rPr>
              <w:t>Administration site (local)</w:t>
            </w:r>
          </w:p>
        </w:tc>
        <w:tc>
          <w:tcPr>
            <w:tcW w:w="1334" w:type="pct"/>
            <w:vAlign w:val="center"/>
          </w:tcPr>
          <w:p w14:paraId="5615AFB6" w14:textId="77777777" w:rsidR="006A1AFC" w:rsidRPr="00885AB3" w:rsidRDefault="006A1AFC" w:rsidP="00120D61">
            <w:pPr>
              <w:pStyle w:val="Tabletext"/>
              <w:jc w:val="center"/>
              <w:rPr>
                <w:szCs w:val="20"/>
              </w:rPr>
            </w:pPr>
            <w:r w:rsidRPr="00885AB3">
              <w:rPr>
                <w:szCs w:val="20"/>
              </w:rPr>
              <w:t>10,367 (58.7)</w:t>
            </w:r>
          </w:p>
        </w:tc>
        <w:tc>
          <w:tcPr>
            <w:tcW w:w="1311" w:type="pct"/>
            <w:vAlign w:val="center"/>
          </w:tcPr>
          <w:p w14:paraId="1902BA60" w14:textId="77777777" w:rsidR="006A1AFC" w:rsidRPr="00885AB3" w:rsidRDefault="006A1AFC" w:rsidP="00120D61">
            <w:pPr>
              <w:pStyle w:val="Tabletext"/>
              <w:jc w:val="center"/>
              <w:rPr>
                <w:szCs w:val="20"/>
              </w:rPr>
            </w:pPr>
            <w:r w:rsidRPr="00885AB3">
              <w:rPr>
                <w:szCs w:val="20"/>
              </w:rPr>
              <w:t>2,845 (16.2)</w:t>
            </w:r>
          </w:p>
        </w:tc>
      </w:tr>
      <w:tr w:rsidR="006A1AFC" w:rsidRPr="00885AB3" w14:paraId="57596D8F" w14:textId="77777777" w:rsidTr="001F70A2">
        <w:trPr>
          <w:trHeight w:val="228"/>
        </w:trPr>
        <w:tc>
          <w:tcPr>
            <w:tcW w:w="2356" w:type="pct"/>
          </w:tcPr>
          <w:p w14:paraId="6A17E369" w14:textId="77777777" w:rsidR="006A1AFC" w:rsidRPr="00885AB3" w:rsidRDefault="006A1AFC" w:rsidP="00120D61">
            <w:pPr>
              <w:pStyle w:val="Tabletext"/>
              <w:rPr>
                <w:szCs w:val="20"/>
              </w:rPr>
            </w:pPr>
            <w:r w:rsidRPr="00885AB3">
              <w:rPr>
                <w:szCs w:val="20"/>
              </w:rPr>
              <w:t>Pain, any grade</w:t>
            </w:r>
          </w:p>
        </w:tc>
        <w:tc>
          <w:tcPr>
            <w:tcW w:w="1334" w:type="pct"/>
            <w:vAlign w:val="center"/>
          </w:tcPr>
          <w:p w14:paraId="317C2676" w14:textId="77777777" w:rsidR="006A1AFC" w:rsidRPr="00885AB3" w:rsidRDefault="006A1AFC" w:rsidP="00120D61">
            <w:pPr>
              <w:pStyle w:val="Tabletext"/>
              <w:jc w:val="center"/>
              <w:rPr>
                <w:szCs w:val="20"/>
              </w:rPr>
            </w:pPr>
            <w:r w:rsidRPr="00885AB3">
              <w:rPr>
                <w:szCs w:val="20"/>
              </w:rPr>
              <w:t>9,942 (56.3)</w:t>
            </w:r>
          </w:p>
        </w:tc>
        <w:tc>
          <w:tcPr>
            <w:tcW w:w="1311" w:type="pct"/>
            <w:vAlign w:val="center"/>
          </w:tcPr>
          <w:p w14:paraId="02DC4541" w14:textId="77777777" w:rsidR="006A1AFC" w:rsidRPr="00885AB3" w:rsidRDefault="006A1AFC" w:rsidP="00120D61">
            <w:pPr>
              <w:pStyle w:val="Tabletext"/>
              <w:jc w:val="center"/>
              <w:rPr>
                <w:szCs w:val="20"/>
              </w:rPr>
            </w:pPr>
            <w:r w:rsidRPr="00885AB3">
              <w:rPr>
                <w:szCs w:val="20"/>
              </w:rPr>
              <w:t>2,407 (13.7)</w:t>
            </w:r>
          </w:p>
        </w:tc>
      </w:tr>
      <w:tr w:rsidR="006A1AFC" w:rsidRPr="00885AB3" w14:paraId="10693DE2" w14:textId="77777777" w:rsidTr="001F70A2">
        <w:trPr>
          <w:trHeight w:val="228"/>
        </w:trPr>
        <w:tc>
          <w:tcPr>
            <w:tcW w:w="2356" w:type="pct"/>
          </w:tcPr>
          <w:p w14:paraId="1CCCE178" w14:textId="77777777" w:rsidR="006A1AFC" w:rsidRPr="00885AB3" w:rsidRDefault="006A1AFC" w:rsidP="00120D61">
            <w:pPr>
              <w:pStyle w:val="Tabletext"/>
              <w:rPr>
                <w:szCs w:val="20"/>
              </w:rPr>
            </w:pPr>
            <w:r w:rsidRPr="00885AB3">
              <w:rPr>
                <w:szCs w:val="20"/>
              </w:rPr>
              <w:t>Any local AR, Grade 3 or 4</w:t>
            </w:r>
          </w:p>
        </w:tc>
        <w:tc>
          <w:tcPr>
            <w:tcW w:w="1334" w:type="pct"/>
            <w:vAlign w:val="center"/>
          </w:tcPr>
          <w:p w14:paraId="7AF26CE4" w14:textId="77777777" w:rsidR="006A1AFC" w:rsidRPr="00885AB3" w:rsidRDefault="006A1AFC" w:rsidP="00120D61">
            <w:pPr>
              <w:pStyle w:val="Tabletext"/>
              <w:jc w:val="center"/>
              <w:rPr>
                <w:szCs w:val="20"/>
              </w:rPr>
            </w:pPr>
            <w:r w:rsidRPr="00885AB3">
              <w:rPr>
                <w:szCs w:val="20"/>
              </w:rPr>
              <w:t>558 (3.2)</w:t>
            </w:r>
          </w:p>
        </w:tc>
        <w:tc>
          <w:tcPr>
            <w:tcW w:w="1311" w:type="pct"/>
            <w:vAlign w:val="center"/>
          </w:tcPr>
          <w:p w14:paraId="41485ECA" w14:textId="77777777" w:rsidR="006A1AFC" w:rsidRPr="00885AB3" w:rsidRDefault="006A1AFC" w:rsidP="00120D61">
            <w:pPr>
              <w:pStyle w:val="Tabletext"/>
              <w:jc w:val="center"/>
              <w:rPr>
                <w:szCs w:val="20"/>
              </w:rPr>
            </w:pPr>
            <w:r w:rsidRPr="00885AB3">
              <w:rPr>
                <w:szCs w:val="20"/>
              </w:rPr>
              <w:t>305 (1.7)</w:t>
            </w:r>
          </w:p>
        </w:tc>
      </w:tr>
      <w:tr w:rsidR="006A1AFC" w:rsidRPr="00885AB3" w14:paraId="7C297257" w14:textId="77777777" w:rsidTr="007C1EF5">
        <w:trPr>
          <w:trHeight w:val="63"/>
        </w:trPr>
        <w:tc>
          <w:tcPr>
            <w:tcW w:w="5000" w:type="pct"/>
            <w:gridSpan w:val="3"/>
          </w:tcPr>
          <w:p w14:paraId="3077BA0E" w14:textId="77777777" w:rsidR="006A1AFC" w:rsidRPr="00885AB3" w:rsidRDefault="006A1AFC" w:rsidP="00120D61">
            <w:pPr>
              <w:pStyle w:val="Tabletext"/>
              <w:rPr>
                <w:b/>
                <w:bCs/>
                <w:szCs w:val="20"/>
              </w:rPr>
            </w:pPr>
            <w:r w:rsidRPr="00885AB3">
              <w:rPr>
                <w:b/>
                <w:bCs/>
                <w:szCs w:val="20"/>
              </w:rPr>
              <w:t>Systemic ARs</w:t>
            </w:r>
          </w:p>
        </w:tc>
      </w:tr>
      <w:tr w:rsidR="006A1AFC" w:rsidRPr="00885AB3" w14:paraId="6F915F9B" w14:textId="77777777" w:rsidTr="001F70A2">
        <w:trPr>
          <w:trHeight w:val="242"/>
        </w:trPr>
        <w:tc>
          <w:tcPr>
            <w:tcW w:w="2356" w:type="pct"/>
          </w:tcPr>
          <w:p w14:paraId="5D1469D7" w14:textId="77777777" w:rsidR="006A1AFC" w:rsidRPr="00885AB3" w:rsidRDefault="006A1AFC" w:rsidP="00120D61">
            <w:pPr>
              <w:pStyle w:val="Tabletext"/>
              <w:rPr>
                <w:szCs w:val="20"/>
              </w:rPr>
            </w:pPr>
            <w:r w:rsidRPr="00885AB3">
              <w:rPr>
                <w:szCs w:val="20"/>
              </w:rPr>
              <w:t>Any systemic AR</w:t>
            </w:r>
          </w:p>
        </w:tc>
        <w:tc>
          <w:tcPr>
            <w:tcW w:w="1334" w:type="pct"/>
            <w:vAlign w:val="center"/>
          </w:tcPr>
          <w:p w14:paraId="732D4F38" w14:textId="77777777" w:rsidR="006A1AFC" w:rsidRPr="00885AB3" w:rsidRDefault="006A1AFC" w:rsidP="00120D61">
            <w:pPr>
              <w:pStyle w:val="Tabletext"/>
              <w:jc w:val="center"/>
              <w:rPr>
                <w:szCs w:val="20"/>
              </w:rPr>
            </w:pPr>
            <w:r w:rsidRPr="00885AB3">
              <w:rPr>
                <w:szCs w:val="20"/>
              </w:rPr>
              <w:t>8,432 (47.7)</w:t>
            </w:r>
          </w:p>
        </w:tc>
        <w:tc>
          <w:tcPr>
            <w:tcW w:w="1311" w:type="pct"/>
            <w:vAlign w:val="center"/>
          </w:tcPr>
          <w:p w14:paraId="2C4509B0" w14:textId="77777777" w:rsidR="006A1AFC" w:rsidRPr="00885AB3" w:rsidRDefault="006A1AFC" w:rsidP="00120D61">
            <w:pPr>
              <w:pStyle w:val="Tabletext"/>
              <w:jc w:val="center"/>
              <w:rPr>
                <w:szCs w:val="20"/>
              </w:rPr>
            </w:pPr>
            <w:r w:rsidRPr="00885AB3">
              <w:rPr>
                <w:szCs w:val="20"/>
              </w:rPr>
              <w:t>5,798 (32.9)</w:t>
            </w:r>
          </w:p>
        </w:tc>
      </w:tr>
      <w:tr w:rsidR="006A1AFC" w:rsidRPr="00885AB3" w14:paraId="3BADBA71" w14:textId="77777777" w:rsidTr="001F70A2">
        <w:trPr>
          <w:trHeight w:val="242"/>
        </w:trPr>
        <w:tc>
          <w:tcPr>
            <w:tcW w:w="2356" w:type="pct"/>
          </w:tcPr>
          <w:p w14:paraId="370D9FC4" w14:textId="77777777" w:rsidR="006A1AFC" w:rsidRPr="00885AB3" w:rsidRDefault="006A1AFC" w:rsidP="00120D61">
            <w:pPr>
              <w:pStyle w:val="Tabletext"/>
              <w:rPr>
                <w:szCs w:val="20"/>
              </w:rPr>
            </w:pPr>
            <w:r w:rsidRPr="00885AB3">
              <w:rPr>
                <w:szCs w:val="20"/>
              </w:rPr>
              <w:t>Fatigue, any grade</w:t>
            </w:r>
          </w:p>
        </w:tc>
        <w:tc>
          <w:tcPr>
            <w:tcW w:w="1334" w:type="pct"/>
            <w:vAlign w:val="center"/>
          </w:tcPr>
          <w:p w14:paraId="20B6EFC2" w14:textId="77777777" w:rsidR="006A1AFC" w:rsidRPr="00885AB3" w:rsidRDefault="006A1AFC" w:rsidP="00120D61">
            <w:pPr>
              <w:pStyle w:val="Tabletext"/>
              <w:jc w:val="center"/>
              <w:rPr>
                <w:szCs w:val="20"/>
              </w:rPr>
            </w:pPr>
            <w:r w:rsidRPr="00885AB3">
              <w:rPr>
                <w:szCs w:val="20"/>
              </w:rPr>
              <w:t>5,470 (31.0)</w:t>
            </w:r>
          </w:p>
        </w:tc>
        <w:tc>
          <w:tcPr>
            <w:tcW w:w="1311" w:type="pct"/>
            <w:vAlign w:val="center"/>
          </w:tcPr>
          <w:p w14:paraId="251898E1" w14:textId="77777777" w:rsidR="006A1AFC" w:rsidRPr="00885AB3" w:rsidRDefault="006A1AFC" w:rsidP="00120D61">
            <w:pPr>
              <w:pStyle w:val="Tabletext"/>
              <w:jc w:val="center"/>
              <w:rPr>
                <w:szCs w:val="20"/>
              </w:rPr>
            </w:pPr>
            <w:r w:rsidRPr="00885AB3">
              <w:rPr>
                <w:szCs w:val="20"/>
              </w:rPr>
              <w:t>3,518 (20.0)</w:t>
            </w:r>
          </w:p>
        </w:tc>
      </w:tr>
      <w:tr w:rsidR="006A1AFC" w:rsidRPr="00885AB3" w14:paraId="66E67BFD" w14:textId="77777777" w:rsidTr="001F70A2">
        <w:trPr>
          <w:trHeight w:val="242"/>
        </w:trPr>
        <w:tc>
          <w:tcPr>
            <w:tcW w:w="2356" w:type="pct"/>
          </w:tcPr>
          <w:p w14:paraId="12D65E90" w14:textId="77777777" w:rsidR="006A1AFC" w:rsidRPr="00885AB3" w:rsidRDefault="006A1AFC" w:rsidP="00120D61">
            <w:pPr>
              <w:pStyle w:val="Tabletext"/>
              <w:rPr>
                <w:szCs w:val="20"/>
              </w:rPr>
            </w:pPr>
            <w:r w:rsidRPr="00885AB3">
              <w:rPr>
                <w:szCs w:val="20"/>
              </w:rPr>
              <w:t>Headache, any grade</w:t>
            </w:r>
          </w:p>
        </w:tc>
        <w:tc>
          <w:tcPr>
            <w:tcW w:w="1334" w:type="pct"/>
            <w:vAlign w:val="center"/>
          </w:tcPr>
          <w:p w14:paraId="44F6882A" w14:textId="77777777" w:rsidR="006A1AFC" w:rsidRPr="00885AB3" w:rsidRDefault="006A1AFC" w:rsidP="00120D61">
            <w:pPr>
              <w:pStyle w:val="Tabletext"/>
              <w:jc w:val="center"/>
              <w:rPr>
                <w:szCs w:val="20"/>
              </w:rPr>
            </w:pPr>
            <w:r w:rsidRPr="00885AB3">
              <w:rPr>
                <w:szCs w:val="20"/>
              </w:rPr>
              <w:t>4,764 (27.0)</w:t>
            </w:r>
          </w:p>
        </w:tc>
        <w:tc>
          <w:tcPr>
            <w:tcW w:w="1311" w:type="pct"/>
            <w:vAlign w:val="center"/>
          </w:tcPr>
          <w:p w14:paraId="40D28288" w14:textId="77777777" w:rsidR="006A1AFC" w:rsidRPr="00885AB3" w:rsidRDefault="006A1AFC" w:rsidP="00120D61">
            <w:pPr>
              <w:pStyle w:val="Tabletext"/>
              <w:jc w:val="center"/>
              <w:rPr>
                <w:szCs w:val="20"/>
              </w:rPr>
            </w:pPr>
            <w:r w:rsidRPr="00885AB3">
              <w:rPr>
                <w:szCs w:val="20"/>
              </w:rPr>
              <w:t>3,332 (18.9)</w:t>
            </w:r>
          </w:p>
        </w:tc>
      </w:tr>
      <w:tr w:rsidR="006A1AFC" w:rsidRPr="00885AB3" w14:paraId="5F921757" w14:textId="77777777" w:rsidTr="001F70A2">
        <w:trPr>
          <w:trHeight w:val="242"/>
        </w:trPr>
        <w:tc>
          <w:tcPr>
            <w:tcW w:w="2356" w:type="pct"/>
          </w:tcPr>
          <w:p w14:paraId="332F77EC" w14:textId="77777777" w:rsidR="006A1AFC" w:rsidRPr="00885AB3" w:rsidRDefault="006A1AFC" w:rsidP="00120D61">
            <w:pPr>
              <w:pStyle w:val="Tabletext"/>
              <w:rPr>
                <w:szCs w:val="20"/>
              </w:rPr>
            </w:pPr>
            <w:r w:rsidRPr="00885AB3">
              <w:rPr>
                <w:szCs w:val="20"/>
              </w:rPr>
              <w:t>Myalgia, any grade</w:t>
            </w:r>
          </w:p>
        </w:tc>
        <w:tc>
          <w:tcPr>
            <w:tcW w:w="1334" w:type="pct"/>
            <w:vAlign w:val="center"/>
          </w:tcPr>
          <w:p w14:paraId="3F185880" w14:textId="77777777" w:rsidR="006A1AFC" w:rsidRPr="00885AB3" w:rsidRDefault="006A1AFC" w:rsidP="00120D61">
            <w:pPr>
              <w:pStyle w:val="Tabletext"/>
              <w:jc w:val="center"/>
              <w:rPr>
                <w:szCs w:val="20"/>
              </w:rPr>
            </w:pPr>
            <w:r w:rsidRPr="00885AB3">
              <w:rPr>
                <w:szCs w:val="20"/>
              </w:rPr>
              <w:t>4,574 (25.9)</w:t>
            </w:r>
          </w:p>
        </w:tc>
        <w:tc>
          <w:tcPr>
            <w:tcW w:w="1311" w:type="pct"/>
            <w:vAlign w:val="center"/>
          </w:tcPr>
          <w:p w14:paraId="2407F015" w14:textId="77777777" w:rsidR="006A1AFC" w:rsidRPr="00885AB3" w:rsidRDefault="006A1AFC" w:rsidP="00120D61">
            <w:pPr>
              <w:pStyle w:val="Tabletext"/>
              <w:jc w:val="center"/>
              <w:rPr>
                <w:szCs w:val="20"/>
              </w:rPr>
            </w:pPr>
            <w:r w:rsidRPr="00885AB3">
              <w:rPr>
                <w:szCs w:val="20"/>
              </w:rPr>
              <w:t>2,542 (14.4)</w:t>
            </w:r>
          </w:p>
        </w:tc>
      </w:tr>
      <w:tr w:rsidR="006A1AFC" w:rsidRPr="00885AB3" w14:paraId="0C7789DB" w14:textId="77777777" w:rsidTr="001F70A2">
        <w:trPr>
          <w:trHeight w:val="242"/>
        </w:trPr>
        <w:tc>
          <w:tcPr>
            <w:tcW w:w="2356" w:type="pct"/>
          </w:tcPr>
          <w:p w14:paraId="029649EA" w14:textId="77777777" w:rsidR="006A1AFC" w:rsidRPr="00885AB3" w:rsidRDefault="006A1AFC" w:rsidP="00120D61">
            <w:pPr>
              <w:pStyle w:val="Tabletext"/>
              <w:rPr>
                <w:szCs w:val="20"/>
              </w:rPr>
            </w:pPr>
            <w:r w:rsidRPr="00885AB3">
              <w:rPr>
                <w:szCs w:val="20"/>
              </w:rPr>
              <w:t>Arthralgia, any grade</w:t>
            </w:r>
          </w:p>
        </w:tc>
        <w:tc>
          <w:tcPr>
            <w:tcW w:w="1334" w:type="pct"/>
            <w:vAlign w:val="center"/>
          </w:tcPr>
          <w:p w14:paraId="5A9E394C" w14:textId="77777777" w:rsidR="006A1AFC" w:rsidRPr="00885AB3" w:rsidRDefault="006A1AFC" w:rsidP="00120D61">
            <w:pPr>
              <w:pStyle w:val="Tabletext"/>
              <w:jc w:val="center"/>
              <w:rPr>
                <w:szCs w:val="20"/>
              </w:rPr>
            </w:pPr>
            <w:r w:rsidRPr="00885AB3">
              <w:rPr>
                <w:szCs w:val="20"/>
              </w:rPr>
              <w:t>3,867 (21.9)</w:t>
            </w:r>
          </w:p>
        </w:tc>
        <w:tc>
          <w:tcPr>
            <w:tcW w:w="1311" w:type="pct"/>
            <w:vAlign w:val="center"/>
          </w:tcPr>
          <w:p w14:paraId="030907A9" w14:textId="77777777" w:rsidR="006A1AFC" w:rsidRPr="00885AB3" w:rsidRDefault="006A1AFC" w:rsidP="00120D61">
            <w:pPr>
              <w:pStyle w:val="Tabletext"/>
              <w:jc w:val="center"/>
              <w:rPr>
                <w:szCs w:val="20"/>
              </w:rPr>
            </w:pPr>
            <w:r w:rsidRPr="00885AB3">
              <w:rPr>
                <w:szCs w:val="20"/>
              </w:rPr>
              <w:t>2,477 (14.1)</w:t>
            </w:r>
          </w:p>
        </w:tc>
      </w:tr>
      <w:tr w:rsidR="006A1AFC" w:rsidRPr="00885AB3" w14:paraId="68703584" w14:textId="77777777" w:rsidTr="001F70A2">
        <w:trPr>
          <w:trHeight w:val="242"/>
        </w:trPr>
        <w:tc>
          <w:tcPr>
            <w:tcW w:w="2356" w:type="pct"/>
          </w:tcPr>
          <w:p w14:paraId="60F05786" w14:textId="77777777" w:rsidR="006A1AFC" w:rsidRPr="00885AB3" w:rsidRDefault="006A1AFC" w:rsidP="00120D61">
            <w:pPr>
              <w:pStyle w:val="Tabletext"/>
              <w:rPr>
                <w:szCs w:val="20"/>
              </w:rPr>
            </w:pPr>
            <w:r w:rsidRPr="00885AB3">
              <w:rPr>
                <w:szCs w:val="20"/>
              </w:rPr>
              <w:t>Grade 3</w:t>
            </w:r>
          </w:p>
        </w:tc>
        <w:tc>
          <w:tcPr>
            <w:tcW w:w="1334" w:type="pct"/>
            <w:vAlign w:val="center"/>
          </w:tcPr>
          <w:p w14:paraId="7F5A8CA7" w14:textId="77777777" w:rsidR="006A1AFC" w:rsidRPr="00885AB3" w:rsidRDefault="006A1AFC" w:rsidP="00120D61">
            <w:pPr>
              <w:pStyle w:val="Tabletext"/>
              <w:jc w:val="center"/>
              <w:rPr>
                <w:szCs w:val="20"/>
              </w:rPr>
            </w:pPr>
            <w:r w:rsidRPr="00885AB3">
              <w:rPr>
                <w:szCs w:val="20"/>
              </w:rPr>
              <w:t>77 (0.4)</w:t>
            </w:r>
          </w:p>
        </w:tc>
        <w:tc>
          <w:tcPr>
            <w:tcW w:w="1311" w:type="pct"/>
            <w:vAlign w:val="center"/>
          </w:tcPr>
          <w:p w14:paraId="4FD2E38B" w14:textId="77777777" w:rsidR="006A1AFC" w:rsidRPr="00885AB3" w:rsidRDefault="006A1AFC" w:rsidP="00120D61">
            <w:pPr>
              <w:pStyle w:val="Tabletext"/>
              <w:jc w:val="center"/>
              <w:rPr>
                <w:szCs w:val="20"/>
              </w:rPr>
            </w:pPr>
            <w:r w:rsidRPr="00885AB3">
              <w:rPr>
                <w:szCs w:val="20"/>
              </w:rPr>
              <w:t>41 (0.2)</w:t>
            </w:r>
          </w:p>
        </w:tc>
      </w:tr>
      <w:tr w:rsidR="006A1AFC" w:rsidRPr="00885AB3" w14:paraId="005E1B9E" w14:textId="77777777" w:rsidTr="001F70A2">
        <w:trPr>
          <w:trHeight w:val="242"/>
        </w:trPr>
        <w:tc>
          <w:tcPr>
            <w:tcW w:w="2356" w:type="pct"/>
          </w:tcPr>
          <w:p w14:paraId="33C209FB" w14:textId="77777777" w:rsidR="006A1AFC" w:rsidRPr="00885AB3" w:rsidRDefault="006A1AFC" w:rsidP="00120D61">
            <w:pPr>
              <w:pStyle w:val="Tabletext"/>
              <w:rPr>
                <w:szCs w:val="20"/>
              </w:rPr>
            </w:pPr>
            <w:r w:rsidRPr="00885AB3">
              <w:rPr>
                <w:szCs w:val="20"/>
              </w:rPr>
              <w:t>Grade 4</w:t>
            </w:r>
          </w:p>
        </w:tc>
        <w:tc>
          <w:tcPr>
            <w:tcW w:w="1334" w:type="pct"/>
            <w:vAlign w:val="center"/>
          </w:tcPr>
          <w:p w14:paraId="3605B3C8" w14:textId="77777777" w:rsidR="006A1AFC" w:rsidRPr="00885AB3" w:rsidRDefault="006A1AFC" w:rsidP="00120D61">
            <w:pPr>
              <w:pStyle w:val="Tabletext"/>
              <w:jc w:val="center"/>
              <w:rPr>
                <w:szCs w:val="20"/>
              </w:rPr>
            </w:pPr>
            <w:r w:rsidRPr="00885AB3">
              <w:rPr>
                <w:szCs w:val="20"/>
              </w:rPr>
              <w:t>35 (0.2)</w:t>
            </w:r>
          </w:p>
        </w:tc>
        <w:tc>
          <w:tcPr>
            <w:tcW w:w="1311" w:type="pct"/>
            <w:vAlign w:val="center"/>
          </w:tcPr>
          <w:p w14:paraId="13CED215" w14:textId="77777777" w:rsidR="006A1AFC" w:rsidRPr="00885AB3" w:rsidRDefault="006A1AFC" w:rsidP="00120D61">
            <w:pPr>
              <w:pStyle w:val="Tabletext"/>
              <w:jc w:val="center"/>
              <w:rPr>
                <w:szCs w:val="20"/>
              </w:rPr>
            </w:pPr>
            <w:r w:rsidRPr="00885AB3">
              <w:rPr>
                <w:szCs w:val="20"/>
              </w:rPr>
              <w:t>29 (0.2)</w:t>
            </w:r>
          </w:p>
        </w:tc>
      </w:tr>
      <w:tr w:rsidR="006A1AFC" w:rsidRPr="00885AB3" w14:paraId="31829B03" w14:textId="77777777" w:rsidTr="001F70A2">
        <w:trPr>
          <w:trHeight w:val="242"/>
        </w:trPr>
        <w:tc>
          <w:tcPr>
            <w:tcW w:w="2356" w:type="pct"/>
          </w:tcPr>
          <w:p w14:paraId="3556216A" w14:textId="77777777" w:rsidR="006A1AFC" w:rsidRPr="00885AB3" w:rsidRDefault="006A1AFC" w:rsidP="00120D61">
            <w:pPr>
              <w:pStyle w:val="Tabletext"/>
              <w:rPr>
                <w:szCs w:val="20"/>
              </w:rPr>
            </w:pPr>
            <w:r w:rsidRPr="00885AB3">
              <w:rPr>
                <w:szCs w:val="20"/>
              </w:rPr>
              <w:t>Any systemic AR, Grade 3/4</w:t>
            </w:r>
          </w:p>
        </w:tc>
        <w:tc>
          <w:tcPr>
            <w:tcW w:w="1334" w:type="pct"/>
            <w:vAlign w:val="center"/>
          </w:tcPr>
          <w:p w14:paraId="444CAF02" w14:textId="77777777" w:rsidR="006A1AFC" w:rsidRPr="00885AB3" w:rsidRDefault="006A1AFC" w:rsidP="00120D61">
            <w:pPr>
              <w:pStyle w:val="Tabletext"/>
              <w:jc w:val="center"/>
              <w:rPr>
                <w:szCs w:val="20"/>
              </w:rPr>
            </w:pPr>
            <w:r w:rsidRPr="00885AB3">
              <w:rPr>
                <w:szCs w:val="20"/>
              </w:rPr>
              <w:t>710 (4.0)</w:t>
            </w:r>
          </w:p>
        </w:tc>
        <w:tc>
          <w:tcPr>
            <w:tcW w:w="1311" w:type="pct"/>
            <w:vAlign w:val="center"/>
          </w:tcPr>
          <w:p w14:paraId="4CE2BD3D" w14:textId="77777777" w:rsidR="006A1AFC" w:rsidRPr="00885AB3" w:rsidRDefault="006A1AFC" w:rsidP="00120D61">
            <w:pPr>
              <w:pStyle w:val="Tabletext"/>
              <w:jc w:val="center"/>
              <w:rPr>
                <w:szCs w:val="20"/>
              </w:rPr>
            </w:pPr>
            <w:r w:rsidRPr="00885AB3">
              <w:rPr>
                <w:szCs w:val="20"/>
              </w:rPr>
              <w:t>508 (2.9)</w:t>
            </w:r>
          </w:p>
        </w:tc>
      </w:tr>
    </w:tbl>
    <w:p w14:paraId="7A81915C" w14:textId="77777777" w:rsidR="006A1AFC" w:rsidRPr="00885AB3" w:rsidRDefault="006A1AFC" w:rsidP="00120D61">
      <w:pPr>
        <w:pStyle w:val="TableFigureFooter"/>
      </w:pPr>
      <w:r w:rsidRPr="00885AB3">
        <w:t xml:space="preserve">Source: Table 2-57, Table 2-58 and Table 2-59 pp137-139 of the submission. </w:t>
      </w:r>
    </w:p>
    <w:p w14:paraId="57B27D5E" w14:textId="77777777" w:rsidR="006A1AFC" w:rsidRPr="00885AB3" w:rsidRDefault="006A1AFC" w:rsidP="00120D61">
      <w:pPr>
        <w:pStyle w:val="TableFigureFooter"/>
      </w:pPr>
      <w:r w:rsidRPr="00885AB3">
        <w:t>AR = adverse reaction.</w:t>
      </w:r>
    </w:p>
    <w:p w14:paraId="75805E3B" w14:textId="1DEEE102" w:rsidR="006A1AFC" w:rsidRPr="00885AB3" w:rsidRDefault="006A1AFC" w:rsidP="00120D61">
      <w:pPr>
        <w:pStyle w:val="TableFigureFooter"/>
      </w:pPr>
      <w:r w:rsidRPr="00885AB3">
        <w:rPr>
          <w:vertAlign w:val="superscript"/>
        </w:rPr>
        <w:t>a</w:t>
      </w:r>
      <w:r w:rsidR="00C315C8" w:rsidRPr="00885AB3">
        <w:t xml:space="preserve"> s</w:t>
      </w:r>
      <w:r w:rsidRPr="00885AB3">
        <w:t xml:space="preserve">olicited events collected were solicited administration site events (pain, erythema, and swelling, axillary swelling or tenderness) and solicited systemic events (fever, headache, fatigue, myalgia, arthralgia nausea/vomiting and chills). </w:t>
      </w:r>
    </w:p>
    <w:p w14:paraId="58ABEA87" w14:textId="77777777" w:rsidR="006A1AFC" w:rsidRPr="00885AB3" w:rsidDel="00A418F3" w:rsidRDefault="006A1AFC" w:rsidP="00120D61">
      <w:pPr>
        <w:pStyle w:val="3-BodyText"/>
      </w:pPr>
      <w:r w:rsidRPr="00885AB3">
        <w:t xml:space="preserve">Whilst a higher incidence of ARs was generally observed in the mRNA-1345 arm compared to placebo, the solicited events were transient and generally mild to moderate in reactogenicity (Grade 1 and Grade 2). </w:t>
      </w:r>
    </w:p>
    <w:p w14:paraId="565128DD" w14:textId="04D8A355" w:rsidR="006A1AFC" w:rsidRPr="00885AB3" w:rsidRDefault="006A1AFC" w:rsidP="00120D61">
      <w:pPr>
        <w:pStyle w:val="3-BodyText"/>
        <w:rPr>
          <w:i/>
        </w:rPr>
      </w:pPr>
      <w:r w:rsidRPr="00885AB3">
        <w:t xml:space="preserve">A summary of unsolicited treatment-emergent adverse events (TEAEs) up to 28 days and up to the latest DCO after injection is presented in </w:t>
      </w:r>
      <w:r w:rsidRPr="00885AB3">
        <w:fldChar w:fldCharType="begin" w:fldLock="1"/>
      </w:r>
      <w:r w:rsidRPr="00885AB3">
        <w:instrText xml:space="preserve"> REF _Ref206148833 \h </w:instrText>
      </w:r>
      <w:r w:rsidR="005F5B2F" w:rsidRPr="00885AB3">
        <w:instrText xml:space="preserve"> \* MERGEFORMAT </w:instrText>
      </w:r>
      <w:r w:rsidRPr="00885AB3">
        <w:fldChar w:fldCharType="separate"/>
      </w:r>
      <w:r w:rsidR="00515933" w:rsidRPr="00885AB3">
        <w:t>Table 13</w:t>
      </w:r>
      <w:r w:rsidRPr="00885AB3">
        <w:fldChar w:fldCharType="end"/>
      </w:r>
      <w:r w:rsidRPr="00885AB3">
        <w:t>.</w:t>
      </w:r>
    </w:p>
    <w:p w14:paraId="02998EBD" w14:textId="67B81434" w:rsidR="006A1AFC" w:rsidRPr="00885AB3" w:rsidRDefault="006A1AFC" w:rsidP="00120D61">
      <w:pPr>
        <w:pStyle w:val="Caption"/>
      </w:pPr>
      <w:bookmarkStart w:id="89" w:name="_Ref206148833"/>
      <w:r w:rsidRPr="00885AB3">
        <w:lastRenderedPageBreak/>
        <w:t xml:space="preserve">Table </w:t>
      </w:r>
      <w:r w:rsidR="008A242D" w:rsidRPr="00885AB3">
        <w:fldChar w:fldCharType="begin" w:fldLock="1"/>
      </w:r>
      <w:r w:rsidR="008A242D" w:rsidRPr="00885AB3">
        <w:instrText xml:space="preserve"> SEQ Table \* ARABIC </w:instrText>
      </w:r>
      <w:r w:rsidR="008A242D" w:rsidRPr="00885AB3">
        <w:fldChar w:fldCharType="separate"/>
      </w:r>
      <w:r w:rsidR="00515933" w:rsidRPr="00885AB3">
        <w:t>13</w:t>
      </w:r>
      <w:r w:rsidR="008A242D" w:rsidRPr="00885AB3">
        <w:fldChar w:fldCharType="end"/>
      </w:r>
      <w:bookmarkEnd w:id="89"/>
      <w:r w:rsidRPr="00885AB3">
        <w:rPr>
          <w:i/>
        </w:rPr>
        <w:t xml:space="preserve">: </w:t>
      </w:r>
      <w:r w:rsidRPr="00885AB3">
        <w:t xml:space="preserve">Summary of unsolicited TEAEs in </w:t>
      </w:r>
      <w:proofErr w:type="spellStart"/>
      <w:r w:rsidRPr="00885AB3">
        <w:t>ConquerRSV</w:t>
      </w:r>
      <w:proofErr w:type="spellEnd"/>
      <w:r w:rsidRPr="00885AB3">
        <w:t xml:space="preserve"> (cumulative from study start) (safety set, 28-day post vaccination, 18.8 median follow-up)</w:t>
      </w:r>
    </w:p>
    <w:tbl>
      <w:tblPr>
        <w:tblStyle w:val="TableGrid"/>
        <w:tblW w:w="5000" w:type="pct"/>
        <w:tblLook w:val="04A0" w:firstRow="1" w:lastRow="0" w:firstColumn="1" w:lastColumn="0" w:noHBand="0" w:noVBand="1"/>
        <w:tblCaption w:val="Table 13: Summary of unsolicited TEAEs in ConquerRSV (cumulative from study start) (safety set, 28-day post vaccination, 18.8 median follow-up)"/>
      </w:tblPr>
      <w:tblGrid>
        <w:gridCol w:w="3316"/>
        <w:gridCol w:w="2853"/>
        <w:gridCol w:w="2848"/>
      </w:tblGrid>
      <w:tr w:rsidR="006A1AFC" w:rsidRPr="00885AB3" w14:paraId="476CCB64" w14:textId="77777777" w:rsidTr="6F43945D">
        <w:trPr>
          <w:trHeight w:val="115"/>
        </w:trPr>
        <w:tc>
          <w:tcPr>
            <w:tcW w:w="1839" w:type="pct"/>
          </w:tcPr>
          <w:p w14:paraId="5805A414" w14:textId="77777777" w:rsidR="006A1AFC" w:rsidRPr="00885AB3" w:rsidRDefault="006A1AFC" w:rsidP="00120D61">
            <w:pPr>
              <w:pStyle w:val="In-tableHeading"/>
            </w:pPr>
            <w:r w:rsidRPr="00885AB3">
              <w:t>AE Category</w:t>
            </w:r>
          </w:p>
        </w:tc>
        <w:tc>
          <w:tcPr>
            <w:tcW w:w="1582" w:type="pct"/>
            <w:vAlign w:val="center"/>
          </w:tcPr>
          <w:p w14:paraId="6B746EAE" w14:textId="77777777" w:rsidR="006A1AFC" w:rsidRPr="00885AB3" w:rsidRDefault="006A1AFC" w:rsidP="00120D61">
            <w:pPr>
              <w:pStyle w:val="In-tableHeading"/>
              <w:jc w:val="center"/>
            </w:pPr>
            <w:r w:rsidRPr="00885AB3">
              <w:t>mRNA-1345 (N=18,369)</w:t>
            </w:r>
          </w:p>
          <w:p w14:paraId="6CC6EAC4" w14:textId="77777777" w:rsidR="006A1AFC" w:rsidRPr="00885AB3" w:rsidRDefault="006A1AFC" w:rsidP="00120D61">
            <w:pPr>
              <w:pStyle w:val="In-tableHeading"/>
              <w:jc w:val="center"/>
            </w:pPr>
            <w:r w:rsidRPr="00885AB3">
              <w:t>n (%)</w:t>
            </w:r>
          </w:p>
        </w:tc>
        <w:tc>
          <w:tcPr>
            <w:tcW w:w="1579" w:type="pct"/>
            <w:vAlign w:val="center"/>
          </w:tcPr>
          <w:p w14:paraId="26294E3A" w14:textId="6CB323A5" w:rsidR="006A1AFC" w:rsidRPr="00885AB3" w:rsidRDefault="006A1AFC" w:rsidP="00120D61">
            <w:pPr>
              <w:pStyle w:val="In-tableHeading"/>
              <w:jc w:val="center"/>
            </w:pPr>
            <w:r>
              <w:t>Placebo (N=18,31</w:t>
            </w:r>
            <w:r w:rsidR="00B1A42D">
              <w:t>A</w:t>
            </w:r>
            <w:r>
              <w:t>6)</w:t>
            </w:r>
          </w:p>
          <w:p w14:paraId="19AAC5A3" w14:textId="77777777" w:rsidR="006A1AFC" w:rsidRPr="00885AB3" w:rsidRDefault="006A1AFC" w:rsidP="00120D61">
            <w:pPr>
              <w:pStyle w:val="In-tableHeading"/>
              <w:jc w:val="center"/>
            </w:pPr>
            <w:r w:rsidRPr="00885AB3">
              <w:t>n (%)</w:t>
            </w:r>
          </w:p>
        </w:tc>
      </w:tr>
      <w:tr w:rsidR="006A1AFC" w:rsidRPr="00885AB3" w14:paraId="71C29E57" w14:textId="77777777" w:rsidTr="6F43945D">
        <w:trPr>
          <w:trHeight w:val="115"/>
        </w:trPr>
        <w:tc>
          <w:tcPr>
            <w:tcW w:w="5000" w:type="pct"/>
            <w:gridSpan w:val="3"/>
          </w:tcPr>
          <w:p w14:paraId="33C3989D" w14:textId="77777777" w:rsidR="006A1AFC" w:rsidRPr="00885AB3" w:rsidRDefault="006A1AFC" w:rsidP="00120D61">
            <w:pPr>
              <w:pStyle w:val="Tabletext"/>
              <w:keepNext/>
              <w:rPr>
                <w:szCs w:val="20"/>
              </w:rPr>
            </w:pPr>
            <w:r w:rsidRPr="00885AB3">
              <w:rPr>
                <w:b/>
                <w:bCs/>
                <w:szCs w:val="20"/>
              </w:rPr>
              <w:t>Unsolicited TEAEs up to 28 days after injection, regardless of relationship to study injection</w:t>
            </w:r>
          </w:p>
        </w:tc>
      </w:tr>
      <w:tr w:rsidR="006A1AFC" w:rsidRPr="00885AB3" w14:paraId="29D91167" w14:textId="77777777" w:rsidTr="6F43945D">
        <w:trPr>
          <w:trHeight w:val="115"/>
        </w:trPr>
        <w:tc>
          <w:tcPr>
            <w:tcW w:w="1839" w:type="pct"/>
          </w:tcPr>
          <w:p w14:paraId="5241719B" w14:textId="77777777" w:rsidR="006A1AFC" w:rsidRPr="00885AB3" w:rsidRDefault="006A1AFC" w:rsidP="00120D61">
            <w:pPr>
              <w:pStyle w:val="Tabletext"/>
              <w:keepNext/>
              <w:rPr>
                <w:szCs w:val="20"/>
              </w:rPr>
            </w:pPr>
            <w:r w:rsidRPr="00885AB3">
              <w:rPr>
                <w:szCs w:val="20"/>
              </w:rPr>
              <w:t>All</w:t>
            </w:r>
          </w:p>
        </w:tc>
        <w:tc>
          <w:tcPr>
            <w:tcW w:w="1582" w:type="pct"/>
            <w:vAlign w:val="center"/>
          </w:tcPr>
          <w:p w14:paraId="33B026D8" w14:textId="77777777" w:rsidR="006A1AFC" w:rsidRPr="00885AB3" w:rsidRDefault="006A1AFC" w:rsidP="00120D61">
            <w:pPr>
              <w:pStyle w:val="Tabletext"/>
              <w:keepNext/>
              <w:jc w:val="center"/>
              <w:rPr>
                <w:szCs w:val="20"/>
              </w:rPr>
            </w:pPr>
            <w:r w:rsidRPr="00885AB3">
              <w:rPr>
                <w:szCs w:val="20"/>
              </w:rPr>
              <w:t>3,823 (20.8)</w:t>
            </w:r>
          </w:p>
        </w:tc>
        <w:tc>
          <w:tcPr>
            <w:tcW w:w="1579" w:type="pct"/>
            <w:vAlign w:val="center"/>
          </w:tcPr>
          <w:p w14:paraId="07CEF6A7" w14:textId="77777777" w:rsidR="006A1AFC" w:rsidRPr="00885AB3" w:rsidRDefault="006A1AFC" w:rsidP="00120D61">
            <w:pPr>
              <w:pStyle w:val="Tabletext"/>
              <w:keepNext/>
              <w:jc w:val="center"/>
              <w:rPr>
                <w:szCs w:val="20"/>
              </w:rPr>
            </w:pPr>
            <w:r w:rsidRPr="00885AB3">
              <w:rPr>
                <w:szCs w:val="20"/>
              </w:rPr>
              <w:t>3,467 (18.9)</w:t>
            </w:r>
          </w:p>
        </w:tc>
      </w:tr>
      <w:tr w:rsidR="006A1AFC" w:rsidRPr="00885AB3" w14:paraId="5DDC30D8" w14:textId="77777777" w:rsidTr="6F43945D">
        <w:trPr>
          <w:trHeight w:val="115"/>
        </w:trPr>
        <w:tc>
          <w:tcPr>
            <w:tcW w:w="1839" w:type="pct"/>
          </w:tcPr>
          <w:p w14:paraId="077D60C2" w14:textId="77777777" w:rsidR="006A1AFC" w:rsidRPr="00885AB3" w:rsidRDefault="006A1AFC" w:rsidP="00120D61">
            <w:pPr>
              <w:pStyle w:val="Tabletext"/>
              <w:keepNext/>
              <w:rPr>
                <w:szCs w:val="20"/>
              </w:rPr>
            </w:pPr>
            <w:r w:rsidRPr="00885AB3">
              <w:rPr>
                <w:szCs w:val="20"/>
              </w:rPr>
              <w:t>Serious</w:t>
            </w:r>
          </w:p>
        </w:tc>
        <w:tc>
          <w:tcPr>
            <w:tcW w:w="1582" w:type="pct"/>
            <w:vAlign w:val="center"/>
          </w:tcPr>
          <w:p w14:paraId="6FF598C3" w14:textId="77777777" w:rsidR="006A1AFC" w:rsidRPr="00885AB3" w:rsidRDefault="006A1AFC" w:rsidP="00120D61">
            <w:pPr>
              <w:pStyle w:val="Tabletext"/>
              <w:keepNext/>
              <w:jc w:val="center"/>
              <w:rPr>
                <w:szCs w:val="20"/>
              </w:rPr>
            </w:pPr>
            <w:r w:rsidRPr="00885AB3">
              <w:rPr>
                <w:szCs w:val="20"/>
              </w:rPr>
              <w:t>126 (0.7)</w:t>
            </w:r>
          </w:p>
        </w:tc>
        <w:tc>
          <w:tcPr>
            <w:tcW w:w="1579" w:type="pct"/>
            <w:vAlign w:val="center"/>
          </w:tcPr>
          <w:p w14:paraId="3BF26A13" w14:textId="77777777" w:rsidR="006A1AFC" w:rsidRPr="00885AB3" w:rsidRDefault="006A1AFC" w:rsidP="00120D61">
            <w:pPr>
              <w:pStyle w:val="Tabletext"/>
              <w:keepNext/>
              <w:jc w:val="center"/>
              <w:rPr>
                <w:szCs w:val="20"/>
              </w:rPr>
            </w:pPr>
            <w:r w:rsidRPr="00885AB3">
              <w:rPr>
                <w:szCs w:val="20"/>
              </w:rPr>
              <w:t>114 (0.6)</w:t>
            </w:r>
          </w:p>
        </w:tc>
      </w:tr>
      <w:tr w:rsidR="006A1AFC" w:rsidRPr="00885AB3" w14:paraId="486810A1" w14:textId="77777777" w:rsidTr="6F43945D">
        <w:trPr>
          <w:trHeight w:val="115"/>
        </w:trPr>
        <w:tc>
          <w:tcPr>
            <w:tcW w:w="1839" w:type="pct"/>
          </w:tcPr>
          <w:p w14:paraId="634AB56B" w14:textId="77777777" w:rsidR="006A1AFC" w:rsidRPr="00885AB3" w:rsidRDefault="006A1AFC" w:rsidP="00120D61">
            <w:pPr>
              <w:pStyle w:val="Tabletext"/>
              <w:keepNext/>
              <w:rPr>
                <w:szCs w:val="20"/>
              </w:rPr>
            </w:pPr>
            <w:r w:rsidRPr="00885AB3">
              <w:rPr>
                <w:szCs w:val="20"/>
              </w:rPr>
              <w:t>Fatal</w:t>
            </w:r>
          </w:p>
        </w:tc>
        <w:tc>
          <w:tcPr>
            <w:tcW w:w="1582" w:type="pct"/>
            <w:vAlign w:val="center"/>
          </w:tcPr>
          <w:p w14:paraId="441EB9BD" w14:textId="596FD682" w:rsidR="006A1AFC" w:rsidRPr="00885AB3" w:rsidRDefault="006A1AFC" w:rsidP="00120D61">
            <w:pPr>
              <w:pStyle w:val="Tabletext"/>
              <w:keepNext/>
              <w:jc w:val="center"/>
              <w:rPr>
                <w:szCs w:val="20"/>
              </w:rPr>
            </w:pPr>
            <w:r w:rsidRPr="00885AB3">
              <w:rPr>
                <w:szCs w:val="20"/>
              </w:rPr>
              <w:t>2 (</w:t>
            </w:r>
            <w:r w:rsidR="001C78D7">
              <w:rPr>
                <w:szCs w:val="20"/>
              </w:rPr>
              <w:t xml:space="preserve">&lt; </w:t>
            </w:r>
            <w:r w:rsidRPr="00885AB3">
              <w:rPr>
                <w:szCs w:val="20"/>
              </w:rPr>
              <w:t>0.1)</w:t>
            </w:r>
          </w:p>
        </w:tc>
        <w:tc>
          <w:tcPr>
            <w:tcW w:w="1579" w:type="pct"/>
            <w:vAlign w:val="center"/>
          </w:tcPr>
          <w:p w14:paraId="69C868C4" w14:textId="37B4B3C7" w:rsidR="006A1AFC" w:rsidRPr="00885AB3" w:rsidRDefault="006A1AFC" w:rsidP="00120D61">
            <w:pPr>
              <w:pStyle w:val="Tabletext"/>
              <w:keepNext/>
              <w:jc w:val="center"/>
              <w:rPr>
                <w:szCs w:val="20"/>
              </w:rPr>
            </w:pPr>
            <w:r w:rsidRPr="00885AB3">
              <w:rPr>
                <w:szCs w:val="20"/>
              </w:rPr>
              <w:t>6 (</w:t>
            </w:r>
            <w:r w:rsidR="001C78D7">
              <w:rPr>
                <w:szCs w:val="20"/>
              </w:rPr>
              <w:t xml:space="preserve">&lt; </w:t>
            </w:r>
            <w:r w:rsidRPr="00885AB3">
              <w:rPr>
                <w:szCs w:val="20"/>
              </w:rPr>
              <w:t>0.1)</w:t>
            </w:r>
          </w:p>
        </w:tc>
      </w:tr>
      <w:tr w:rsidR="006A1AFC" w:rsidRPr="00885AB3" w14:paraId="2737926E" w14:textId="77777777" w:rsidTr="6F43945D">
        <w:trPr>
          <w:trHeight w:val="115"/>
        </w:trPr>
        <w:tc>
          <w:tcPr>
            <w:tcW w:w="1839" w:type="pct"/>
          </w:tcPr>
          <w:p w14:paraId="5B52B9C4" w14:textId="77777777" w:rsidR="006A1AFC" w:rsidRPr="00885AB3" w:rsidRDefault="006A1AFC" w:rsidP="00120D61">
            <w:pPr>
              <w:pStyle w:val="Tabletext"/>
              <w:keepNext/>
              <w:rPr>
                <w:szCs w:val="20"/>
              </w:rPr>
            </w:pPr>
            <w:r w:rsidRPr="00885AB3">
              <w:rPr>
                <w:szCs w:val="20"/>
              </w:rPr>
              <w:t>Medically attended</w:t>
            </w:r>
          </w:p>
        </w:tc>
        <w:tc>
          <w:tcPr>
            <w:tcW w:w="1582" w:type="pct"/>
            <w:vAlign w:val="center"/>
          </w:tcPr>
          <w:p w14:paraId="0FAD86C6" w14:textId="77777777" w:rsidR="006A1AFC" w:rsidRPr="00885AB3" w:rsidRDefault="006A1AFC" w:rsidP="00120D61">
            <w:pPr>
              <w:pStyle w:val="Tabletext"/>
              <w:keepNext/>
              <w:jc w:val="center"/>
              <w:rPr>
                <w:szCs w:val="20"/>
              </w:rPr>
            </w:pPr>
            <w:r w:rsidRPr="00885AB3">
              <w:rPr>
                <w:szCs w:val="20"/>
              </w:rPr>
              <w:t>1,664 (9.1)</w:t>
            </w:r>
          </w:p>
        </w:tc>
        <w:tc>
          <w:tcPr>
            <w:tcW w:w="1579" w:type="pct"/>
            <w:vAlign w:val="center"/>
          </w:tcPr>
          <w:p w14:paraId="0F1802FE" w14:textId="77777777" w:rsidR="006A1AFC" w:rsidRPr="00885AB3" w:rsidRDefault="006A1AFC" w:rsidP="00120D61">
            <w:pPr>
              <w:pStyle w:val="Tabletext"/>
              <w:keepNext/>
              <w:jc w:val="center"/>
              <w:rPr>
                <w:szCs w:val="20"/>
              </w:rPr>
            </w:pPr>
            <w:r w:rsidRPr="00885AB3">
              <w:rPr>
                <w:szCs w:val="20"/>
              </w:rPr>
              <w:t>1,587 (8.7)</w:t>
            </w:r>
          </w:p>
        </w:tc>
      </w:tr>
      <w:tr w:rsidR="006A1AFC" w:rsidRPr="00885AB3" w14:paraId="35A26A4B" w14:textId="77777777" w:rsidTr="6F43945D">
        <w:trPr>
          <w:trHeight w:val="115"/>
        </w:trPr>
        <w:tc>
          <w:tcPr>
            <w:tcW w:w="1839" w:type="pct"/>
          </w:tcPr>
          <w:p w14:paraId="19F95CBB" w14:textId="77777777" w:rsidR="006A1AFC" w:rsidRPr="00885AB3" w:rsidRDefault="006A1AFC" w:rsidP="00120D61">
            <w:pPr>
              <w:pStyle w:val="Tabletext"/>
              <w:keepNext/>
              <w:rPr>
                <w:szCs w:val="20"/>
              </w:rPr>
            </w:pPr>
            <w:r w:rsidRPr="00885AB3">
              <w:rPr>
                <w:szCs w:val="20"/>
              </w:rPr>
              <w:t>Leading to study discontinuation</w:t>
            </w:r>
          </w:p>
        </w:tc>
        <w:tc>
          <w:tcPr>
            <w:tcW w:w="1582" w:type="pct"/>
            <w:vAlign w:val="center"/>
          </w:tcPr>
          <w:p w14:paraId="0E673273" w14:textId="00083DB4" w:rsidR="006A1AFC" w:rsidRPr="00885AB3" w:rsidRDefault="006A1AFC" w:rsidP="00120D61">
            <w:pPr>
              <w:pStyle w:val="Tabletext"/>
              <w:keepNext/>
              <w:jc w:val="center"/>
              <w:rPr>
                <w:szCs w:val="20"/>
              </w:rPr>
            </w:pPr>
            <w:r w:rsidRPr="00885AB3">
              <w:rPr>
                <w:szCs w:val="20"/>
              </w:rPr>
              <w:t>2 (</w:t>
            </w:r>
            <w:r w:rsidR="001C78D7">
              <w:rPr>
                <w:szCs w:val="20"/>
              </w:rPr>
              <w:t xml:space="preserve">&lt; </w:t>
            </w:r>
            <w:r w:rsidRPr="00885AB3">
              <w:rPr>
                <w:szCs w:val="20"/>
              </w:rPr>
              <w:t>0.1)</w:t>
            </w:r>
          </w:p>
        </w:tc>
        <w:tc>
          <w:tcPr>
            <w:tcW w:w="1579" w:type="pct"/>
            <w:vAlign w:val="center"/>
          </w:tcPr>
          <w:p w14:paraId="28072851" w14:textId="77D79764" w:rsidR="006A1AFC" w:rsidRPr="00885AB3" w:rsidRDefault="006A1AFC" w:rsidP="00120D61">
            <w:pPr>
              <w:pStyle w:val="Tabletext"/>
              <w:keepNext/>
              <w:jc w:val="center"/>
              <w:rPr>
                <w:szCs w:val="20"/>
              </w:rPr>
            </w:pPr>
            <w:r w:rsidRPr="00885AB3">
              <w:rPr>
                <w:szCs w:val="20"/>
              </w:rPr>
              <w:t>11 (</w:t>
            </w:r>
            <w:r w:rsidR="001C78D7">
              <w:rPr>
                <w:szCs w:val="20"/>
              </w:rPr>
              <w:t xml:space="preserve">&lt; </w:t>
            </w:r>
            <w:r w:rsidRPr="00885AB3">
              <w:rPr>
                <w:szCs w:val="20"/>
              </w:rPr>
              <w:t>0.1)</w:t>
            </w:r>
          </w:p>
        </w:tc>
      </w:tr>
      <w:tr w:rsidR="006A1AFC" w:rsidRPr="00885AB3" w14:paraId="25F29A60" w14:textId="77777777" w:rsidTr="6F43945D">
        <w:trPr>
          <w:trHeight w:val="115"/>
        </w:trPr>
        <w:tc>
          <w:tcPr>
            <w:tcW w:w="1839" w:type="pct"/>
          </w:tcPr>
          <w:p w14:paraId="32D481EF" w14:textId="689B4668" w:rsidR="006A1AFC" w:rsidRPr="00885AB3" w:rsidRDefault="006A1AFC" w:rsidP="00120D61">
            <w:pPr>
              <w:pStyle w:val="Tabletext"/>
              <w:keepNext/>
              <w:rPr>
                <w:szCs w:val="20"/>
              </w:rPr>
            </w:pPr>
            <w:r w:rsidRPr="00885AB3">
              <w:rPr>
                <w:szCs w:val="20"/>
              </w:rPr>
              <w:t xml:space="preserve">Severe </w:t>
            </w:r>
            <w:r w:rsidR="00EF2FA4">
              <w:rPr>
                <w:szCs w:val="20"/>
              </w:rPr>
              <w:t xml:space="preserve">≥ </w:t>
            </w:r>
            <w:r w:rsidRPr="00885AB3">
              <w:rPr>
                <w:szCs w:val="20"/>
              </w:rPr>
              <w:t>Grade 3</w:t>
            </w:r>
          </w:p>
        </w:tc>
        <w:tc>
          <w:tcPr>
            <w:tcW w:w="1582" w:type="pct"/>
            <w:vAlign w:val="center"/>
          </w:tcPr>
          <w:p w14:paraId="1D897AA1" w14:textId="77777777" w:rsidR="006A1AFC" w:rsidRPr="00885AB3" w:rsidRDefault="006A1AFC" w:rsidP="00120D61">
            <w:pPr>
              <w:pStyle w:val="Tabletext"/>
              <w:keepNext/>
              <w:jc w:val="center"/>
              <w:rPr>
                <w:szCs w:val="20"/>
              </w:rPr>
            </w:pPr>
            <w:r w:rsidRPr="00885AB3">
              <w:rPr>
                <w:szCs w:val="20"/>
              </w:rPr>
              <w:t>138 (0.8)</w:t>
            </w:r>
          </w:p>
        </w:tc>
        <w:tc>
          <w:tcPr>
            <w:tcW w:w="1579" w:type="pct"/>
            <w:vAlign w:val="center"/>
          </w:tcPr>
          <w:p w14:paraId="3E322CEF" w14:textId="77777777" w:rsidR="006A1AFC" w:rsidRPr="00885AB3" w:rsidRDefault="006A1AFC" w:rsidP="00120D61">
            <w:pPr>
              <w:pStyle w:val="Tabletext"/>
              <w:keepNext/>
              <w:jc w:val="center"/>
              <w:rPr>
                <w:szCs w:val="20"/>
              </w:rPr>
            </w:pPr>
            <w:r w:rsidRPr="00885AB3">
              <w:rPr>
                <w:szCs w:val="20"/>
              </w:rPr>
              <w:t>138 (0.8)</w:t>
            </w:r>
          </w:p>
        </w:tc>
      </w:tr>
      <w:tr w:rsidR="006A1AFC" w:rsidRPr="00885AB3" w14:paraId="17B2CCF9" w14:textId="77777777" w:rsidTr="6F43945D">
        <w:trPr>
          <w:trHeight w:val="115"/>
        </w:trPr>
        <w:tc>
          <w:tcPr>
            <w:tcW w:w="1839" w:type="pct"/>
          </w:tcPr>
          <w:p w14:paraId="67192EA3" w14:textId="77777777" w:rsidR="006A1AFC" w:rsidRPr="00885AB3" w:rsidRDefault="006A1AFC" w:rsidP="00120D61">
            <w:pPr>
              <w:pStyle w:val="Tabletext"/>
              <w:keepNext/>
              <w:rPr>
                <w:szCs w:val="20"/>
              </w:rPr>
            </w:pPr>
            <w:r w:rsidRPr="00885AB3">
              <w:rPr>
                <w:szCs w:val="20"/>
              </w:rPr>
              <w:t>Any AESI</w:t>
            </w:r>
          </w:p>
        </w:tc>
        <w:tc>
          <w:tcPr>
            <w:tcW w:w="1582" w:type="pct"/>
            <w:vAlign w:val="center"/>
          </w:tcPr>
          <w:p w14:paraId="4C1F1448" w14:textId="075D4F31" w:rsidR="006A1AFC" w:rsidRPr="00885AB3" w:rsidRDefault="006A1AFC" w:rsidP="00120D61">
            <w:pPr>
              <w:pStyle w:val="Tabletext"/>
              <w:keepNext/>
              <w:jc w:val="center"/>
              <w:rPr>
                <w:szCs w:val="20"/>
              </w:rPr>
            </w:pPr>
            <w:r w:rsidRPr="00885AB3">
              <w:rPr>
                <w:szCs w:val="20"/>
              </w:rPr>
              <w:t>3 (</w:t>
            </w:r>
            <w:r w:rsidR="001C78D7">
              <w:rPr>
                <w:szCs w:val="20"/>
              </w:rPr>
              <w:t xml:space="preserve">&lt; </w:t>
            </w:r>
            <w:r w:rsidRPr="00885AB3">
              <w:rPr>
                <w:szCs w:val="20"/>
              </w:rPr>
              <w:t>0.1)</w:t>
            </w:r>
          </w:p>
        </w:tc>
        <w:tc>
          <w:tcPr>
            <w:tcW w:w="1579" w:type="pct"/>
            <w:vAlign w:val="center"/>
          </w:tcPr>
          <w:p w14:paraId="5F59EBAA" w14:textId="07C29987" w:rsidR="006A1AFC" w:rsidRPr="00885AB3" w:rsidRDefault="006A1AFC" w:rsidP="00120D61">
            <w:pPr>
              <w:pStyle w:val="Tabletext"/>
              <w:keepNext/>
              <w:jc w:val="center"/>
              <w:rPr>
                <w:szCs w:val="20"/>
              </w:rPr>
            </w:pPr>
            <w:r w:rsidRPr="00885AB3">
              <w:rPr>
                <w:szCs w:val="20"/>
              </w:rPr>
              <w:t>9 (</w:t>
            </w:r>
            <w:r w:rsidR="001C78D7">
              <w:rPr>
                <w:szCs w:val="20"/>
              </w:rPr>
              <w:t xml:space="preserve">&lt; </w:t>
            </w:r>
            <w:r w:rsidRPr="00885AB3">
              <w:rPr>
                <w:szCs w:val="20"/>
              </w:rPr>
              <w:t>0.1)</w:t>
            </w:r>
          </w:p>
        </w:tc>
      </w:tr>
      <w:tr w:rsidR="006A1AFC" w:rsidRPr="00885AB3" w14:paraId="3CF65584" w14:textId="77777777" w:rsidTr="6F43945D">
        <w:trPr>
          <w:trHeight w:val="115"/>
        </w:trPr>
        <w:tc>
          <w:tcPr>
            <w:tcW w:w="5000" w:type="pct"/>
            <w:gridSpan w:val="3"/>
          </w:tcPr>
          <w:p w14:paraId="416E3BBB" w14:textId="77777777" w:rsidR="006A1AFC" w:rsidRPr="00885AB3" w:rsidRDefault="006A1AFC" w:rsidP="00120D61">
            <w:pPr>
              <w:pStyle w:val="Tabletext"/>
              <w:keepNext/>
              <w:rPr>
                <w:szCs w:val="20"/>
              </w:rPr>
            </w:pPr>
            <w:r w:rsidRPr="00885AB3">
              <w:rPr>
                <w:b/>
                <w:bCs/>
                <w:szCs w:val="20"/>
              </w:rPr>
              <w:t>Unsolicited TEAEs up to 28 days after injection, related to study injection</w:t>
            </w:r>
          </w:p>
        </w:tc>
      </w:tr>
      <w:tr w:rsidR="006A1AFC" w:rsidRPr="00885AB3" w14:paraId="1F67FFB5" w14:textId="77777777" w:rsidTr="6F43945D">
        <w:trPr>
          <w:trHeight w:val="115"/>
        </w:trPr>
        <w:tc>
          <w:tcPr>
            <w:tcW w:w="1839" w:type="pct"/>
          </w:tcPr>
          <w:p w14:paraId="513B87F6" w14:textId="77777777" w:rsidR="006A1AFC" w:rsidRPr="00885AB3" w:rsidRDefault="006A1AFC" w:rsidP="00120D61">
            <w:pPr>
              <w:pStyle w:val="Tabletext"/>
              <w:keepNext/>
              <w:rPr>
                <w:szCs w:val="20"/>
              </w:rPr>
            </w:pPr>
            <w:r w:rsidRPr="00885AB3">
              <w:rPr>
                <w:szCs w:val="20"/>
              </w:rPr>
              <w:t>All</w:t>
            </w:r>
          </w:p>
        </w:tc>
        <w:tc>
          <w:tcPr>
            <w:tcW w:w="1582" w:type="pct"/>
            <w:vAlign w:val="center"/>
          </w:tcPr>
          <w:p w14:paraId="73DBCE7E" w14:textId="77777777" w:rsidR="006A1AFC" w:rsidRPr="00885AB3" w:rsidRDefault="006A1AFC" w:rsidP="00120D61">
            <w:pPr>
              <w:pStyle w:val="Tabletext"/>
              <w:keepNext/>
              <w:jc w:val="center"/>
              <w:rPr>
                <w:szCs w:val="20"/>
              </w:rPr>
            </w:pPr>
            <w:r w:rsidRPr="00885AB3">
              <w:rPr>
                <w:szCs w:val="20"/>
              </w:rPr>
              <w:t>1,050 (5.7)</w:t>
            </w:r>
          </w:p>
        </w:tc>
        <w:tc>
          <w:tcPr>
            <w:tcW w:w="1579" w:type="pct"/>
            <w:vAlign w:val="center"/>
          </w:tcPr>
          <w:p w14:paraId="528DA7B7" w14:textId="77777777" w:rsidR="006A1AFC" w:rsidRPr="00885AB3" w:rsidRDefault="006A1AFC" w:rsidP="00120D61">
            <w:pPr>
              <w:pStyle w:val="Tabletext"/>
              <w:keepNext/>
              <w:jc w:val="center"/>
              <w:rPr>
                <w:szCs w:val="20"/>
              </w:rPr>
            </w:pPr>
            <w:r w:rsidRPr="00885AB3">
              <w:rPr>
                <w:szCs w:val="20"/>
              </w:rPr>
              <w:t>807 (4.4)</w:t>
            </w:r>
          </w:p>
        </w:tc>
      </w:tr>
      <w:tr w:rsidR="006A1AFC" w:rsidRPr="00885AB3" w14:paraId="122CB75D" w14:textId="77777777" w:rsidTr="6F43945D">
        <w:trPr>
          <w:trHeight w:val="115"/>
        </w:trPr>
        <w:tc>
          <w:tcPr>
            <w:tcW w:w="1839" w:type="pct"/>
          </w:tcPr>
          <w:p w14:paraId="73C98FA1" w14:textId="77777777" w:rsidR="006A1AFC" w:rsidRPr="00885AB3" w:rsidRDefault="006A1AFC" w:rsidP="00120D61">
            <w:pPr>
              <w:pStyle w:val="Tabletext"/>
              <w:keepNext/>
              <w:rPr>
                <w:szCs w:val="20"/>
              </w:rPr>
            </w:pPr>
            <w:r w:rsidRPr="00885AB3">
              <w:rPr>
                <w:szCs w:val="20"/>
              </w:rPr>
              <w:t>Serious</w:t>
            </w:r>
          </w:p>
        </w:tc>
        <w:tc>
          <w:tcPr>
            <w:tcW w:w="1582" w:type="pct"/>
            <w:vAlign w:val="center"/>
          </w:tcPr>
          <w:p w14:paraId="1697FB44" w14:textId="45551E07" w:rsidR="006A1AFC" w:rsidRPr="00885AB3" w:rsidRDefault="006A1AFC" w:rsidP="00120D61">
            <w:pPr>
              <w:pStyle w:val="Tabletext"/>
              <w:keepNext/>
              <w:jc w:val="center"/>
              <w:rPr>
                <w:szCs w:val="20"/>
              </w:rPr>
            </w:pPr>
            <w:r w:rsidRPr="00885AB3">
              <w:rPr>
                <w:szCs w:val="20"/>
              </w:rPr>
              <w:t>4 (</w:t>
            </w:r>
            <w:r w:rsidR="001C78D7">
              <w:rPr>
                <w:szCs w:val="20"/>
              </w:rPr>
              <w:t xml:space="preserve">&lt; </w:t>
            </w:r>
            <w:r w:rsidRPr="00885AB3">
              <w:rPr>
                <w:szCs w:val="20"/>
              </w:rPr>
              <w:t>0.1)</w:t>
            </w:r>
          </w:p>
        </w:tc>
        <w:tc>
          <w:tcPr>
            <w:tcW w:w="1579" w:type="pct"/>
            <w:vAlign w:val="center"/>
          </w:tcPr>
          <w:p w14:paraId="5F8F2935" w14:textId="29BF2C55" w:rsidR="006A1AFC" w:rsidRPr="00885AB3" w:rsidRDefault="006A1AFC" w:rsidP="00120D61">
            <w:pPr>
              <w:pStyle w:val="Tabletext"/>
              <w:keepNext/>
              <w:jc w:val="center"/>
              <w:rPr>
                <w:szCs w:val="20"/>
              </w:rPr>
            </w:pPr>
            <w:r w:rsidRPr="00885AB3">
              <w:rPr>
                <w:szCs w:val="20"/>
              </w:rPr>
              <w:t>2 (</w:t>
            </w:r>
            <w:r w:rsidR="001C78D7">
              <w:rPr>
                <w:szCs w:val="20"/>
              </w:rPr>
              <w:t xml:space="preserve">&lt; </w:t>
            </w:r>
            <w:r w:rsidRPr="00885AB3">
              <w:rPr>
                <w:szCs w:val="20"/>
              </w:rPr>
              <w:t>0.1)</w:t>
            </w:r>
          </w:p>
        </w:tc>
      </w:tr>
      <w:tr w:rsidR="006A1AFC" w:rsidRPr="00885AB3" w14:paraId="439B5516" w14:textId="77777777" w:rsidTr="6F43945D">
        <w:trPr>
          <w:trHeight w:val="115"/>
        </w:trPr>
        <w:tc>
          <w:tcPr>
            <w:tcW w:w="1839" w:type="pct"/>
          </w:tcPr>
          <w:p w14:paraId="58832DD8" w14:textId="77777777" w:rsidR="006A1AFC" w:rsidRPr="00885AB3" w:rsidRDefault="006A1AFC" w:rsidP="00120D61">
            <w:pPr>
              <w:pStyle w:val="Tabletext"/>
              <w:keepNext/>
              <w:rPr>
                <w:szCs w:val="20"/>
              </w:rPr>
            </w:pPr>
            <w:r w:rsidRPr="00885AB3">
              <w:rPr>
                <w:szCs w:val="20"/>
              </w:rPr>
              <w:t>Fatal</w:t>
            </w:r>
          </w:p>
        </w:tc>
        <w:tc>
          <w:tcPr>
            <w:tcW w:w="1582" w:type="pct"/>
            <w:vAlign w:val="center"/>
          </w:tcPr>
          <w:p w14:paraId="3B82A71D" w14:textId="77777777" w:rsidR="006A1AFC" w:rsidRPr="00885AB3" w:rsidRDefault="006A1AFC" w:rsidP="00120D61">
            <w:pPr>
              <w:pStyle w:val="Tabletext"/>
              <w:keepNext/>
              <w:jc w:val="center"/>
              <w:rPr>
                <w:szCs w:val="20"/>
              </w:rPr>
            </w:pPr>
            <w:r w:rsidRPr="00885AB3">
              <w:rPr>
                <w:szCs w:val="20"/>
              </w:rPr>
              <w:t>0</w:t>
            </w:r>
          </w:p>
        </w:tc>
        <w:tc>
          <w:tcPr>
            <w:tcW w:w="1579" w:type="pct"/>
            <w:vAlign w:val="center"/>
          </w:tcPr>
          <w:p w14:paraId="1E51CFBD" w14:textId="77777777" w:rsidR="006A1AFC" w:rsidRPr="00885AB3" w:rsidRDefault="006A1AFC" w:rsidP="00120D61">
            <w:pPr>
              <w:pStyle w:val="Tabletext"/>
              <w:keepNext/>
              <w:jc w:val="center"/>
              <w:rPr>
                <w:szCs w:val="20"/>
              </w:rPr>
            </w:pPr>
            <w:r w:rsidRPr="00885AB3">
              <w:rPr>
                <w:szCs w:val="20"/>
              </w:rPr>
              <w:t>0</w:t>
            </w:r>
          </w:p>
        </w:tc>
      </w:tr>
      <w:tr w:rsidR="006A1AFC" w:rsidRPr="00885AB3" w14:paraId="6C44D5E8" w14:textId="77777777" w:rsidTr="6F43945D">
        <w:trPr>
          <w:trHeight w:val="115"/>
        </w:trPr>
        <w:tc>
          <w:tcPr>
            <w:tcW w:w="1839" w:type="pct"/>
          </w:tcPr>
          <w:p w14:paraId="391BF526" w14:textId="77777777" w:rsidR="006A1AFC" w:rsidRPr="00885AB3" w:rsidRDefault="006A1AFC" w:rsidP="00120D61">
            <w:pPr>
              <w:pStyle w:val="Tabletext"/>
              <w:keepNext/>
              <w:rPr>
                <w:szCs w:val="20"/>
                <w:vertAlign w:val="superscript"/>
              </w:rPr>
            </w:pPr>
            <w:r w:rsidRPr="00885AB3">
              <w:rPr>
                <w:szCs w:val="20"/>
              </w:rPr>
              <w:t xml:space="preserve">Medically </w:t>
            </w:r>
            <w:proofErr w:type="spellStart"/>
            <w:r w:rsidRPr="00885AB3">
              <w:rPr>
                <w:szCs w:val="20"/>
              </w:rPr>
              <w:t>attended</w:t>
            </w:r>
            <w:r w:rsidRPr="00885AB3">
              <w:rPr>
                <w:szCs w:val="20"/>
                <w:vertAlign w:val="superscript"/>
              </w:rPr>
              <w:t>a</w:t>
            </w:r>
            <w:proofErr w:type="spellEnd"/>
          </w:p>
        </w:tc>
        <w:tc>
          <w:tcPr>
            <w:tcW w:w="1582" w:type="pct"/>
            <w:vAlign w:val="center"/>
          </w:tcPr>
          <w:p w14:paraId="00988993" w14:textId="77777777" w:rsidR="006A1AFC" w:rsidRPr="00885AB3" w:rsidRDefault="006A1AFC" w:rsidP="00120D61">
            <w:pPr>
              <w:pStyle w:val="Tabletext"/>
              <w:keepNext/>
              <w:jc w:val="center"/>
              <w:rPr>
                <w:szCs w:val="20"/>
              </w:rPr>
            </w:pPr>
            <w:r w:rsidRPr="00885AB3">
              <w:rPr>
                <w:szCs w:val="20"/>
              </w:rPr>
              <w:t>67 (0.4)</w:t>
            </w:r>
          </w:p>
        </w:tc>
        <w:tc>
          <w:tcPr>
            <w:tcW w:w="1579" w:type="pct"/>
            <w:vAlign w:val="center"/>
          </w:tcPr>
          <w:p w14:paraId="76E28CEA" w14:textId="77777777" w:rsidR="006A1AFC" w:rsidRPr="00885AB3" w:rsidRDefault="006A1AFC" w:rsidP="00120D61">
            <w:pPr>
              <w:pStyle w:val="Tabletext"/>
              <w:keepNext/>
              <w:jc w:val="center"/>
              <w:rPr>
                <w:szCs w:val="20"/>
              </w:rPr>
            </w:pPr>
            <w:r w:rsidRPr="00885AB3">
              <w:rPr>
                <w:szCs w:val="20"/>
              </w:rPr>
              <w:t>51 (0.3)</w:t>
            </w:r>
          </w:p>
        </w:tc>
      </w:tr>
      <w:tr w:rsidR="006A1AFC" w:rsidRPr="00885AB3" w14:paraId="6E93B724" w14:textId="77777777" w:rsidTr="6F43945D">
        <w:trPr>
          <w:trHeight w:val="115"/>
        </w:trPr>
        <w:tc>
          <w:tcPr>
            <w:tcW w:w="1839" w:type="pct"/>
          </w:tcPr>
          <w:p w14:paraId="27CF160D" w14:textId="77777777" w:rsidR="006A1AFC" w:rsidRPr="00885AB3" w:rsidRDefault="006A1AFC" w:rsidP="00120D61">
            <w:pPr>
              <w:pStyle w:val="Tabletext"/>
              <w:keepNext/>
              <w:rPr>
                <w:szCs w:val="20"/>
              </w:rPr>
            </w:pPr>
            <w:r w:rsidRPr="00885AB3">
              <w:rPr>
                <w:szCs w:val="20"/>
              </w:rPr>
              <w:t>Leading to study discontinuation</w:t>
            </w:r>
          </w:p>
        </w:tc>
        <w:tc>
          <w:tcPr>
            <w:tcW w:w="1582" w:type="pct"/>
            <w:vAlign w:val="center"/>
          </w:tcPr>
          <w:p w14:paraId="4E8DB26F" w14:textId="77777777" w:rsidR="006A1AFC" w:rsidRPr="00885AB3" w:rsidRDefault="006A1AFC" w:rsidP="00120D61">
            <w:pPr>
              <w:pStyle w:val="Tabletext"/>
              <w:keepNext/>
              <w:jc w:val="center"/>
              <w:rPr>
                <w:szCs w:val="20"/>
              </w:rPr>
            </w:pPr>
            <w:r w:rsidRPr="00885AB3">
              <w:rPr>
                <w:szCs w:val="20"/>
              </w:rPr>
              <w:t>0</w:t>
            </w:r>
          </w:p>
        </w:tc>
        <w:tc>
          <w:tcPr>
            <w:tcW w:w="1579" w:type="pct"/>
            <w:vAlign w:val="center"/>
          </w:tcPr>
          <w:p w14:paraId="2D0331A1" w14:textId="77777777" w:rsidR="006A1AFC" w:rsidRPr="00885AB3" w:rsidRDefault="006A1AFC" w:rsidP="00120D61">
            <w:pPr>
              <w:pStyle w:val="Tabletext"/>
              <w:keepNext/>
              <w:jc w:val="center"/>
              <w:rPr>
                <w:szCs w:val="20"/>
              </w:rPr>
            </w:pPr>
            <w:r w:rsidRPr="00885AB3">
              <w:rPr>
                <w:szCs w:val="20"/>
              </w:rPr>
              <w:t>0</w:t>
            </w:r>
          </w:p>
        </w:tc>
      </w:tr>
      <w:tr w:rsidR="006A1AFC" w:rsidRPr="00885AB3" w14:paraId="1583F25B" w14:textId="77777777" w:rsidTr="6F43945D">
        <w:trPr>
          <w:trHeight w:val="115"/>
        </w:trPr>
        <w:tc>
          <w:tcPr>
            <w:tcW w:w="1839" w:type="pct"/>
          </w:tcPr>
          <w:p w14:paraId="33E5CF1F" w14:textId="2F00469A" w:rsidR="006A1AFC" w:rsidRPr="00885AB3" w:rsidRDefault="006A1AFC" w:rsidP="00120D61">
            <w:pPr>
              <w:pStyle w:val="Tabletext"/>
              <w:keepNext/>
              <w:rPr>
                <w:szCs w:val="20"/>
              </w:rPr>
            </w:pPr>
            <w:r w:rsidRPr="00885AB3">
              <w:rPr>
                <w:szCs w:val="20"/>
              </w:rPr>
              <w:t xml:space="preserve">Severe </w:t>
            </w:r>
            <w:r w:rsidR="00EF2FA4">
              <w:rPr>
                <w:szCs w:val="20"/>
              </w:rPr>
              <w:t xml:space="preserve">≥ </w:t>
            </w:r>
            <w:r w:rsidRPr="00885AB3">
              <w:rPr>
                <w:szCs w:val="20"/>
              </w:rPr>
              <w:t>Grade 3</w:t>
            </w:r>
          </w:p>
        </w:tc>
        <w:tc>
          <w:tcPr>
            <w:tcW w:w="1582" w:type="pct"/>
            <w:vAlign w:val="center"/>
          </w:tcPr>
          <w:p w14:paraId="1247B999" w14:textId="77777777" w:rsidR="006A1AFC" w:rsidRPr="00885AB3" w:rsidRDefault="006A1AFC" w:rsidP="00120D61">
            <w:pPr>
              <w:pStyle w:val="Tabletext"/>
              <w:keepNext/>
              <w:jc w:val="center"/>
              <w:rPr>
                <w:szCs w:val="20"/>
              </w:rPr>
            </w:pPr>
            <w:r w:rsidRPr="00885AB3">
              <w:rPr>
                <w:szCs w:val="20"/>
              </w:rPr>
              <w:t>54 (0.3)</w:t>
            </w:r>
          </w:p>
        </w:tc>
        <w:tc>
          <w:tcPr>
            <w:tcW w:w="1579" w:type="pct"/>
            <w:vAlign w:val="center"/>
          </w:tcPr>
          <w:p w14:paraId="64A7D42F" w14:textId="77777777" w:rsidR="006A1AFC" w:rsidRPr="00885AB3" w:rsidRDefault="006A1AFC" w:rsidP="00120D61">
            <w:pPr>
              <w:pStyle w:val="Tabletext"/>
              <w:keepNext/>
              <w:jc w:val="center"/>
              <w:rPr>
                <w:szCs w:val="20"/>
              </w:rPr>
            </w:pPr>
            <w:r w:rsidRPr="00885AB3">
              <w:rPr>
                <w:szCs w:val="20"/>
              </w:rPr>
              <w:t>53 (0.3)</w:t>
            </w:r>
          </w:p>
        </w:tc>
      </w:tr>
      <w:tr w:rsidR="006A1AFC" w:rsidRPr="00885AB3" w14:paraId="0925B33D" w14:textId="77777777" w:rsidTr="6F43945D">
        <w:trPr>
          <w:trHeight w:val="115"/>
        </w:trPr>
        <w:tc>
          <w:tcPr>
            <w:tcW w:w="1839" w:type="pct"/>
          </w:tcPr>
          <w:p w14:paraId="01F55A64" w14:textId="77777777" w:rsidR="006A1AFC" w:rsidRPr="00885AB3" w:rsidRDefault="006A1AFC" w:rsidP="00120D61">
            <w:pPr>
              <w:pStyle w:val="Tabletext"/>
              <w:keepNext/>
              <w:rPr>
                <w:szCs w:val="20"/>
              </w:rPr>
            </w:pPr>
            <w:r w:rsidRPr="00885AB3">
              <w:rPr>
                <w:szCs w:val="20"/>
              </w:rPr>
              <w:t>Any AESI</w:t>
            </w:r>
          </w:p>
        </w:tc>
        <w:tc>
          <w:tcPr>
            <w:tcW w:w="1582" w:type="pct"/>
            <w:vAlign w:val="center"/>
          </w:tcPr>
          <w:p w14:paraId="3C994CD3" w14:textId="7DD4B3F2" w:rsidR="006A1AFC" w:rsidRPr="00885AB3" w:rsidRDefault="006A1AFC" w:rsidP="00120D61">
            <w:pPr>
              <w:pStyle w:val="Tabletext"/>
              <w:keepNext/>
              <w:jc w:val="center"/>
              <w:rPr>
                <w:szCs w:val="20"/>
              </w:rPr>
            </w:pPr>
            <w:r w:rsidRPr="00885AB3">
              <w:rPr>
                <w:szCs w:val="20"/>
              </w:rPr>
              <w:t>1 (</w:t>
            </w:r>
            <w:r w:rsidR="001C78D7">
              <w:rPr>
                <w:szCs w:val="20"/>
              </w:rPr>
              <w:t xml:space="preserve">&lt; </w:t>
            </w:r>
            <w:r w:rsidRPr="00885AB3">
              <w:rPr>
                <w:szCs w:val="20"/>
              </w:rPr>
              <w:t>0.1)</w:t>
            </w:r>
          </w:p>
        </w:tc>
        <w:tc>
          <w:tcPr>
            <w:tcW w:w="1579" w:type="pct"/>
            <w:vAlign w:val="center"/>
          </w:tcPr>
          <w:p w14:paraId="602511B8" w14:textId="2A56B0C1" w:rsidR="006A1AFC" w:rsidRPr="00885AB3" w:rsidRDefault="006A1AFC" w:rsidP="00120D61">
            <w:pPr>
              <w:pStyle w:val="Tabletext"/>
              <w:keepNext/>
              <w:jc w:val="center"/>
              <w:rPr>
                <w:szCs w:val="20"/>
              </w:rPr>
            </w:pPr>
            <w:r w:rsidRPr="00885AB3">
              <w:rPr>
                <w:szCs w:val="20"/>
              </w:rPr>
              <w:t>2 (</w:t>
            </w:r>
            <w:r w:rsidR="001C78D7">
              <w:rPr>
                <w:szCs w:val="20"/>
              </w:rPr>
              <w:t xml:space="preserve">&lt; </w:t>
            </w:r>
            <w:r w:rsidRPr="00885AB3">
              <w:rPr>
                <w:szCs w:val="20"/>
              </w:rPr>
              <w:t>0.1)</w:t>
            </w:r>
          </w:p>
        </w:tc>
      </w:tr>
      <w:tr w:rsidR="006A1AFC" w:rsidRPr="00885AB3" w14:paraId="3F2C76FE" w14:textId="77777777" w:rsidTr="6F43945D">
        <w:trPr>
          <w:trHeight w:val="115"/>
        </w:trPr>
        <w:tc>
          <w:tcPr>
            <w:tcW w:w="5000" w:type="pct"/>
            <w:gridSpan w:val="3"/>
          </w:tcPr>
          <w:p w14:paraId="0659D426" w14:textId="77777777" w:rsidR="006A1AFC" w:rsidRPr="00885AB3" w:rsidRDefault="006A1AFC" w:rsidP="00120D61">
            <w:pPr>
              <w:pStyle w:val="Tabletext"/>
              <w:keepNext/>
              <w:rPr>
                <w:szCs w:val="20"/>
              </w:rPr>
            </w:pPr>
            <w:r w:rsidRPr="00885AB3">
              <w:rPr>
                <w:b/>
                <w:bCs/>
                <w:szCs w:val="20"/>
              </w:rPr>
              <w:t>Unsolicited TEAEs up to data cutoff date (08 Mar 2024), regardless of relationship to study injection</w:t>
            </w:r>
          </w:p>
        </w:tc>
      </w:tr>
      <w:tr w:rsidR="006A1AFC" w:rsidRPr="00885AB3" w14:paraId="5BEC2F02" w14:textId="77777777" w:rsidTr="6F43945D">
        <w:trPr>
          <w:trHeight w:val="115"/>
        </w:trPr>
        <w:tc>
          <w:tcPr>
            <w:tcW w:w="1839" w:type="pct"/>
          </w:tcPr>
          <w:p w14:paraId="27DDC92A" w14:textId="77777777" w:rsidR="006A1AFC" w:rsidRPr="00885AB3" w:rsidRDefault="006A1AFC" w:rsidP="00120D61">
            <w:pPr>
              <w:pStyle w:val="Tabletext"/>
              <w:keepNext/>
              <w:rPr>
                <w:szCs w:val="20"/>
              </w:rPr>
            </w:pPr>
            <w:r w:rsidRPr="00885AB3">
              <w:rPr>
                <w:szCs w:val="20"/>
              </w:rPr>
              <w:t>Serious</w:t>
            </w:r>
          </w:p>
        </w:tc>
        <w:tc>
          <w:tcPr>
            <w:tcW w:w="1582" w:type="pct"/>
            <w:vAlign w:val="center"/>
          </w:tcPr>
          <w:p w14:paraId="027B1067" w14:textId="77777777" w:rsidR="006A1AFC" w:rsidRPr="00885AB3" w:rsidRDefault="006A1AFC" w:rsidP="00120D61">
            <w:pPr>
              <w:pStyle w:val="Tabletext"/>
              <w:keepNext/>
              <w:jc w:val="center"/>
              <w:rPr>
                <w:szCs w:val="20"/>
              </w:rPr>
            </w:pPr>
            <w:r w:rsidRPr="00885AB3">
              <w:rPr>
                <w:szCs w:val="20"/>
              </w:rPr>
              <w:t>2,296 (12.5)</w:t>
            </w:r>
          </w:p>
        </w:tc>
        <w:tc>
          <w:tcPr>
            <w:tcW w:w="1579" w:type="pct"/>
            <w:vAlign w:val="center"/>
          </w:tcPr>
          <w:p w14:paraId="4630DF1D" w14:textId="77777777" w:rsidR="006A1AFC" w:rsidRPr="00885AB3" w:rsidRDefault="006A1AFC" w:rsidP="00120D61">
            <w:pPr>
              <w:pStyle w:val="Tabletext"/>
              <w:keepNext/>
              <w:jc w:val="center"/>
              <w:rPr>
                <w:szCs w:val="20"/>
              </w:rPr>
            </w:pPr>
            <w:r w:rsidRPr="00885AB3">
              <w:rPr>
                <w:szCs w:val="20"/>
              </w:rPr>
              <w:t>2,298 (12.5)</w:t>
            </w:r>
          </w:p>
        </w:tc>
      </w:tr>
      <w:tr w:rsidR="006A1AFC" w:rsidRPr="00885AB3" w14:paraId="52C22E1B" w14:textId="77777777" w:rsidTr="6F43945D">
        <w:trPr>
          <w:trHeight w:val="115"/>
        </w:trPr>
        <w:tc>
          <w:tcPr>
            <w:tcW w:w="1839" w:type="pct"/>
          </w:tcPr>
          <w:p w14:paraId="0ED4378C" w14:textId="77777777" w:rsidR="006A1AFC" w:rsidRPr="00885AB3" w:rsidRDefault="006A1AFC" w:rsidP="00120D61">
            <w:pPr>
              <w:pStyle w:val="Tabletext"/>
              <w:keepNext/>
              <w:rPr>
                <w:szCs w:val="20"/>
              </w:rPr>
            </w:pPr>
            <w:r w:rsidRPr="00885AB3">
              <w:rPr>
                <w:szCs w:val="20"/>
              </w:rPr>
              <w:t>Fatal</w:t>
            </w:r>
          </w:p>
        </w:tc>
        <w:tc>
          <w:tcPr>
            <w:tcW w:w="1582" w:type="pct"/>
            <w:vAlign w:val="center"/>
          </w:tcPr>
          <w:p w14:paraId="7E63A4D6" w14:textId="77777777" w:rsidR="006A1AFC" w:rsidRPr="00885AB3" w:rsidRDefault="006A1AFC" w:rsidP="00120D61">
            <w:pPr>
              <w:pStyle w:val="Tabletext"/>
              <w:keepNext/>
              <w:jc w:val="center"/>
              <w:rPr>
                <w:szCs w:val="20"/>
              </w:rPr>
            </w:pPr>
            <w:r w:rsidRPr="00885AB3">
              <w:rPr>
                <w:szCs w:val="20"/>
              </w:rPr>
              <w:t>211 (1.1)</w:t>
            </w:r>
          </w:p>
        </w:tc>
        <w:tc>
          <w:tcPr>
            <w:tcW w:w="1579" w:type="pct"/>
            <w:vAlign w:val="center"/>
          </w:tcPr>
          <w:p w14:paraId="4FB7A1AC" w14:textId="77777777" w:rsidR="006A1AFC" w:rsidRPr="00885AB3" w:rsidRDefault="006A1AFC" w:rsidP="00120D61">
            <w:pPr>
              <w:pStyle w:val="Tabletext"/>
              <w:keepNext/>
              <w:jc w:val="center"/>
              <w:rPr>
                <w:szCs w:val="20"/>
              </w:rPr>
            </w:pPr>
            <w:r w:rsidRPr="00885AB3">
              <w:rPr>
                <w:szCs w:val="20"/>
              </w:rPr>
              <w:t>223 (1.2)</w:t>
            </w:r>
          </w:p>
        </w:tc>
      </w:tr>
      <w:tr w:rsidR="006A1AFC" w:rsidRPr="00885AB3" w14:paraId="3339F6FD" w14:textId="77777777" w:rsidTr="6F43945D">
        <w:trPr>
          <w:trHeight w:val="115"/>
        </w:trPr>
        <w:tc>
          <w:tcPr>
            <w:tcW w:w="1839" w:type="pct"/>
          </w:tcPr>
          <w:p w14:paraId="7E6FADDA" w14:textId="77777777" w:rsidR="006A1AFC" w:rsidRPr="00885AB3" w:rsidRDefault="006A1AFC" w:rsidP="00120D61">
            <w:pPr>
              <w:pStyle w:val="Tabletext"/>
              <w:keepNext/>
              <w:rPr>
                <w:szCs w:val="20"/>
              </w:rPr>
            </w:pPr>
            <w:r w:rsidRPr="00885AB3">
              <w:rPr>
                <w:szCs w:val="20"/>
              </w:rPr>
              <w:t>Medically attended</w:t>
            </w:r>
          </w:p>
        </w:tc>
        <w:tc>
          <w:tcPr>
            <w:tcW w:w="1582" w:type="pct"/>
            <w:vAlign w:val="center"/>
          </w:tcPr>
          <w:p w14:paraId="1D6D818E" w14:textId="77777777" w:rsidR="006A1AFC" w:rsidRPr="00885AB3" w:rsidRDefault="006A1AFC" w:rsidP="00120D61">
            <w:pPr>
              <w:pStyle w:val="Tabletext"/>
              <w:keepNext/>
              <w:jc w:val="center"/>
              <w:rPr>
                <w:szCs w:val="20"/>
              </w:rPr>
            </w:pPr>
            <w:r w:rsidRPr="00885AB3">
              <w:rPr>
                <w:szCs w:val="20"/>
              </w:rPr>
              <w:t>10,476 (57.0)</w:t>
            </w:r>
          </w:p>
        </w:tc>
        <w:tc>
          <w:tcPr>
            <w:tcW w:w="1579" w:type="pct"/>
            <w:vAlign w:val="center"/>
          </w:tcPr>
          <w:p w14:paraId="0D0FD3B8" w14:textId="77777777" w:rsidR="006A1AFC" w:rsidRPr="00885AB3" w:rsidRDefault="006A1AFC" w:rsidP="00120D61">
            <w:pPr>
              <w:pStyle w:val="Tabletext"/>
              <w:keepNext/>
              <w:jc w:val="center"/>
              <w:rPr>
                <w:szCs w:val="20"/>
              </w:rPr>
            </w:pPr>
            <w:r w:rsidRPr="00885AB3">
              <w:rPr>
                <w:szCs w:val="20"/>
              </w:rPr>
              <w:t>10,227 (55.8)</w:t>
            </w:r>
          </w:p>
        </w:tc>
      </w:tr>
      <w:tr w:rsidR="006A1AFC" w:rsidRPr="00885AB3" w14:paraId="1B67933F" w14:textId="77777777" w:rsidTr="6F43945D">
        <w:trPr>
          <w:trHeight w:val="115"/>
        </w:trPr>
        <w:tc>
          <w:tcPr>
            <w:tcW w:w="1839" w:type="pct"/>
          </w:tcPr>
          <w:p w14:paraId="51C503C7" w14:textId="77777777" w:rsidR="006A1AFC" w:rsidRPr="00885AB3" w:rsidRDefault="006A1AFC" w:rsidP="00120D61">
            <w:pPr>
              <w:pStyle w:val="Tabletext"/>
              <w:keepNext/>
              <w:rPr>
                <w:szCs w:val="20"/>
              </w:rPr>
            </w:pPr>
            <w:r w:rsidRPr="00885AB3">
              <w:rPr>
                <w:szCs w:val="20"/>
              </w:rPr>
              <w:t>Leading to study discontinuation</w:t>
            </w:r>
          </w:p>
        </w:tc>
        <w:tc>
          <w:tcPr>
            <w:tcW w:w="1582" w:type="pct"/>
            <w:vAlign w:val="center"/>
          </w:tcPr>
          <w:p w14:paraId="0E2EC828" w14:textId="77777777" w:rsidR="006A1AFC" w:rsidRPr="00885AB3" w:rsidRDefault="006A1AFC" w:rsidP="00120D61">
            <w:pPr>
              <w:pStyle w:val="Tabletext"/>
              <w:keepNext/>
              <w:jc w:val="center"/>
              <w:rPr>
                <w:szCs w:val="20"/>
              </w:rPr>
            </w:pPr>
            <w:r w:rsidRPr="00885AB3">
              <w:rPr>
                <w:szCs w:val="20"/>
              </w:rPr>
              <w:t>233 (1.3)</w:t>
            </w:r>
          </w:p>
        </w:tc>
        <w:tc>
          <w:tcPr>
            <w:tcW w:w="1579" w:type="pct"/>
            <w:vAlign w:val="center"/>
          </w:tcPr>
          <w:p w14:paraId="33C1585C" w14:textId="77777777" w:rsidR="006A1AFC" w:rsidRPr="00885AB3" w:rsidRDefault="006A1AFC" w:rsidP="00120D61">
            <w:pPr>
              <w:pStyle w:val="Tabletext"/>
              <w:keepNext/>
              <w:jc w:val="center"/>
              <w:rPr>
                <w:szCs w:val="20"/>
              </w:rPr>
            </w:pPr>
            <w:r w:rsidRPr="00885AB3">
              <w:rPr>
                <w:szCs w:val="20"/>
              </w:rPr>
              <w:t>256 (1.4)</w:t>
            </w:r>
          </w:p>
        </w:tc>
      </w:tr>
      <w:tr w:rsidR="006A1AFC" w:rsidRPr="00885AB3" w14:paraId="3C0DC0A8" w14:textId="77777777" w:rsidTr="6F43945D">
        <w:trPr>
          <w:trHeight w:val="179"/>
        </w:trPr>
        <w:tc>
          <w:tcPr>
            <w:tcW w:w="1839" w:type="pct"/>
          </w:tcPr>
          <w:p w14:paraId="6F8898D9" w14:textId="77777777" w:rsidR="006A1AFC" w:rsidRPr="00885AB3" w:rsidRDefault="006A1AFC" w:rsidP="00120D61">
            <w:pPr>
              <w:pStyle w:val="Tabletext"/>
              <w:keepNext/>
              <w:rPr>
                <w:szCs w:val="20"/>
              </w:rPr>
            </w:pPr>
            <w:r w:rsidRPr="00885AB3">
              <w:rPr>
                <w:szCs w:val="20"/>
              </w:rPr>
              <w:t>Any AESI</w:t>
            </w:r>
          </w:p>
        </w:tc>
        <w:tc>
          <w:tcPr>
            <w:tcW w:w="1582" w:type="pct"/>
            <w:vAlign w:val="center"/>
          </w:tcPr>
          <w:p w14:paraId="665CA92D" w14:textId="77777777" w:rsidR="006A1AFC" w:rsidRPr="00885AB3" w:rsidRDefault="006A1AFC" w:rsidP="00120D61">
            <w:pPr>
              <w:pStyle w:val="Tabletext"/>
              <w:keepNext/>
              <w:jc w:val="center"/>
              <w:rPr>
                <w:szCs w:val="20"/>
              </w:rPr>
            </w:pPr>
            <w:r w:rsidRPr="00885AB3">
              <w:rPr>
                <w:szCs w:val="20"/>
              </w:rPr>
              <w:t>102 (0.6)</w:t>
            </w:r>
          </w:p>
        </w:tc>
        <w:tc>
          <w:tcPr>
            <w:tcW w:w="1579" w:type="pct"/>
            <w:vAlign w:val="center"/>
          </w:tcPr>
          <w:p w14:paraId="0BD3165E" w14:textId="77777777" w:rsidR="006A1AFC" w:rsidRPr="00885AB3" w:rsidRDefault="006A1AFC" w:rsidP="00120D61">
            <w:pPr>
              <w:pStyle w:val="Tabletext"/>
              <w:keepNext/>
              <w:jc w:val="center"/>
              <w:rPr>
                <w:szCs w:val="20"/>
              </w:rPr>
            </w:pPr>
            <w:r w:rsidRPr="00885AB3">
              <w:rPr>
                <w:szCs w:val="20"/>
              </w:rPr>
              <w:t>115 (0.6)</w:t>
            </w:r>
          </w:p>
        </w:tc>
      </w:tr>
    </w:tbl>
    <w:p w14:paraId="76A4C2D2" w14:textId="77777777" w:rsidR="006A1AFC" w:rsidRPr="00885AB3" w:rsidRDefault="006A1AFC" w:rsidP="00120D61">
      <w:pPr>
        <w:pStyle w:val="TableFigureFooter"/>
        <w:keepNext/>
      </w:pPr>
      <w:r w:rsidRPr="00885AB3">
        <w:t xml:space="preserve">Source: Table 2-43, p123 of the submission. </w:t>
      </w:r>
    </w:p>
    <w:p w14:paraId="29D2F1AB" w14:textId="77777777" w:rsidR="006A1AFC" w:rsidRPr="00885AB3" w:rsidRDefault="006A1AFC" w:rsidP="00120D61">
      <w:pPr>
        <w:pStyle w:val="TableFigureFooter"/>
        <w:keepNext/>
      </w:pPr>
      <w:r w:rsidRPr="00885AB3">
        <w:t xml:space="preserve">AESI = adverse event of special interest; TEAE = treatment-emergent adverse event. </w:t>
      </w:r>
    </w:p>
    <w:p w14:paraId="1C8DFEDF" w14:textId="186AE636" w:rsidR="006A1AFC" w:rsidRPr="00885AB3" w:rsidRDefault="006A1AFC" w:rsidP="00120D61">
      <w:pPr>
        <w:pStyle w:val="TableFigureFooter"/>
        <w:keepNext/>
      </w:pPr>
      <w:r w:rsidRPr="00885AB3">
        <w:rPr>
          <w:vertAlign w:val="superscript"/>
        </w:rPr>
        <w:t>a</w:t>
      </w:r>
      <w:r w:rsidRPr="00885AB3">
        <w:t xml:space="preserve"> </w:t>
      </w:r>
      <w:r w:rsidR="00C315C8" w:rsidRPr="00885AB3">
        <w:t>m</w:t>
      </w:r>
      <w:r w:rsidRPr="00885AB3">
        <w:t>edically attended TEAEs included emergency room/urgent care, outpatient physician visits and per-protocol illness visits.</w:t>
      </w:r>
    </w:p>
    <w:p w14:paraId="0E776B02" w14:textId="16DD3108" w:rsidR="006A1AFC" w:rsidRPr="00885AB3" w:rsidRDefault="006A1AFC" w:rsidP="00120D61">
      <w:pPr>
        <w:pStyle w:val="3-BodyText"/>
      </w:pPr>
      <w:r w:rsidRPr="00885AB3">
        <w:t xml:space="preserve">Overall, the incidence of unsolicited TEAEs, serious adverse events, fatal events, medically attended adverse events, severe TEAEs, adverse events of special interest (AESIs) and TEAEs leading to study discontinuation, including those considered to be related to study injection per investigator, was balanced between the groups. Most events occurred between 28 days and 6 months after injection and no fatal events were considered related to study injection by the investigator. </w:t>
      </w:r>
    </w:p>
    <w:p w14:paraId="1650F5D5" w14:textId="388DCF82" w:rsidR="006A1AFC" w:rsidRPr="00885AB3" w:rsidRDefault="006A1AFC" w:rsidP="00120D61">
      <w:pPr>
        <w:pStyle w:val="3-BodyText"/>
      </w:pPr>
      <w:r w:rsidRPr="00885AB3">
        <w:t>The submission presented additional data on AESIs for which ATAGI had raised concerns, in particular acute pericarditis. Investigator-reported events of myocarditis or pericarditis were reviewed by a Cardiac Event Adjudication Committee (CEAC). Review of cumulative safety data showed that no CEAC adjudicated events of acute myocarditis or acute pericarditis were reported within a 42-day risk window. For the period beyond 42 days postinjection,</w:t>
      </w:r>
      <w:r w:rsidRPr="00885AB3" w:rsidDel="00CE429D">
        <w:t xml:space="preserve"> </w:t>
      </w:r>
      <w:r w:rsidRPr="00885AB3">
        <w:t>there were 3 participants in the mRNA-1345 group and 2 participants in the placebo group with CEAC adjudicated events of acute pericarditis. None were assessed by the investigator to be related to study injection. No CEAC adjudicated cases of acute myocarditis were reported in either group.</w:t>
      </w:r>
      <w:r w:rsidR="001C78D7">
        <w:t xml:space="preserve"> </w:t>
      </w:r>
    </w:p>
    <w:p w14:paraId="3AF3B882" w14:textId="77777777" w:rsidR="006A1AFC" w:rsidRPr="00885AB3" w:rsidRDefault="006A1AFC" w:rsidP="00120D61"/>
    <w:p w14:paraId="32FA1BAF" w14:textId="77777777" w:rsidR="006A1AFC" w:rsidRPr="00885AB3" w:rsidRDefault="006A1AFC" w:rsidP="00120D61">
      <w:pPr>
        <w:pStyle w:val="5-SubsectionSubheading"/>
      </w:pPr>
      <w:bookmarkStart w:id="90" w:name="_Toc208998510"/>
      <w:r w:rsidRPr="00885AB3">
        <w:lastRenderedPageBreak/>
        <w:t xml:space="preserve">mRNA-1345 versus </w:t>
      </w:r>
      <w:proofErr w:type="spellStart"/>
      <w:r w:rsidRPr="00885AB3">
        <w:t>RSVPreF</w:t>
      </w:r>
      <w:proofErr w:type="spellEnd"/>
      <w:r w:rsidRPr="00885AB3">
        <w:t xml:space="preserve"> and RSVPreF3 OA</w:t>
      </w:r>
      <w:bookmarkEnd w:id="90"/>
    </w:p>
    <w:p w14:paraId="4004D4DA" w14:textId="42564602" w:rsidR="006A1AFC" w:rsidRPr="00885AB3" w:rsidRDefault="006A1AFC" w:rsidP="00120D61">
      <w:pPr>
        <w:pStyle w:val="3-BodyText"/>
        <w:rPr>
          <w:iCs/>
        </w:rPr>
      </w:pPr>
      <w:r w:rsidRPr="00885AB3">
        <w:t>Due to the difference in safety outcome definitions and time to follow-up across trials, the submission did not provide an anchored ITC for safety outcomes.</w:t>
      </w:r>
      <w:r w:rsidRPr="00885AB3">
        <w:rPr>
          <w:i/>
        </w:rPr>
        <w:t xml:space="preserve"> </w:t>
      </w:r>
      <w:r w:rsidRPr="00885AB3">
        <w:rPr>
          <w:iCs/>
        </w:rPr>
        <w:t>Th</w:t>
      </w:r>
      <w:r w:rsidR="005600C5" w:rsidRPr="00885AB3">
        <w:rPr>
          <w:iCs/>
        </w:rPr>
        <w:t xml:space="preserve">e evaluation considered that </w:t>
      </w:r>
      <w:r w:rsidR="00380AE0" w:rsidRPr="00885AB3">
        <w:rPr>
          <w:iCs/>
        </w:rPr>
        <w:t>th</w:t>
      </w:r>
      <w:r w:rsidRPr="00885AB3">
        <w:rPr>
          <w:iCs/>
        </w:rPr>
        <w:t>is was reasonable and</w:t>
      </w:r>
      <w:r w:rsidR="001735E8" w:rsidRPr="00885AB3">
        <w:rPr>
          <w:iCs/>
        </w:rPr>
        <w:t xml:space="preserve"> </w:t>
      </w:r>
      <w:r w:rsidRPr="00885AB3">
        <w:rPr>
          <w:iCs/>
        </w:rPr>
        <w:t xml:space="preserve">consistent with ATAGI's view (ATAGI Advice, June 2025). </w:t>
      </w:r>
    </w:p>
    <w:p w14:paraId="37263208" w14:textId="49130E54" w:rsidR="000F2167" w:rsidRPr="00885AB3" w:rsidRDefault="006A1AFC" w:rsidP="00120D61">
      <w:pPr>
        <w:pStyle w:val="3-BodyText"/>
        <w:rPr>
          <w:iCs/>
        </w:rPr>
      </w:pPr>
      <w:r w:rsidRPr="00885AB3">
        <w:rPr>
          <w:iCs/>
        </w:rPr>
        <w:t xml:space="preserve">The submission presented a comparison of safety data for mRNA-1345 with </w:t>
      </w:r>
      <w:proofErr w:type="spellStart"/>
      <w:r w:rsidRPr="00885AB3">
        <w:rPr>
          <w:iCs/>
        </w:rPr>
        <w:t>RSVPreF</w:t>
      </w:r>
      <w:proofErr w:type="spellEnd"/>
      <w:r w:rsidRPr="00885AB3">
        <w:rPr>
          <w:iCs/>
        </w:rPr>
        <w:t xml:space="preserve"> and RSVPreF3 OA</w:t>
      </w:r>
      <w:r w:rsidR="00690D2D" w:rsidRPr="00885AB3">
        <w:rPr>
          <w:iCs/>
        </w:rPr>
        <w:t xml:space="preserve"> by calculating a crude</w:t>
      </w:r>
      <w:r w:rsidR="00B979B2" w:rsidRPr="00885AB3">
        <w:rPr>
          <w:iCs/>
        </w:rPr>
        <w:t xml:space="preserve"> incidence</w:t>
      </w:r>
      <w:r w:rsidR="00690D2D" w:rsidRPr="00885AB3">
        <w:rPr>
          <w:iCs/>
        </w:rPr>
        <w:t xml:space="preserve"> ratio </w:t>
      </w:r>
      <w:r w:rsidR="007F7100" w:rsidRPr="00885AB3">
        <w:rPr>
          <w:iCs/>
        </w:rPr>
        <w:t>between</w:t>
      </w:r>
      <w:r w:rsidR="00931BD8" w:rsidRPr="00885AB3">
        <w:rPr>
          <w:iCs/>
        </w:rPr>
        <w:t xml:space="preserve"> the</w:t>
      </w:r>
      <w:r w:rsidR="00F9196B" w:rsidRPr="00885AB3">
        <w:rPr>
          <w:iCs/>
        </w:rPr>
        <w:t xml:space="preserve"> vaccine and placebo arms of the</w:t>
      </w:r>
      <w:r w:rsidR="007F7100" w:rsidRPr="00885AB3">
        <w:rPr>
          <w:iCs/>
        </w:rPr>
        <w:t xml:space="preserve"> individual</w:t>
      </w:r>
      <w:r w:rsidR="00931BD8" w:rsidRPr="00885AB3">
        <w:rPr>
          <w:iCs/>
        </w:rPr>
        <w:t xml:space="preserve"> trial</w:t>
      </w:r>
      <w:r w:rsidR="00F9196B" w:rsidRPr="00885AB3">
        <w:rPr>
          <w:iCs/>
        </w:rPr>
        <w:t>s</w:t>
      </w:r>
      <w:r w:rsidR="002D475C" w:rsidRPr="00885AB3">
        <w:rPr>
          <w:iCs/>
        </w:rPr>
        <w:t xml:space="preserve"> and then comparing the ratio between the trials</w:t>
      </w:r>
      <w:r w:rsidRPr="00885AB3">
        <w:rPr>
          <w:iCs/>
        </w:rPr>
        <w:t xml:space="preserve"> (see </w:t>
      </w:r>
      <w:r w:rsidRPr="00885AB3">
        <w:rPr>
          <w:iCs/>
        </w:rPr>
        <w:fldChar w:fldCharType="begin" w:fldLock="1"/>
      </w:r>
      <w:r w:rsidRPr="00885AB3">
        <w:rPr>
          <w:iCs/>
        </w:rPr>
        <w:instrText xml:space="preserve"> REF _Ref206078276 \h </w:instrText>
      </w:r>
      <w:r w:rsidR="007C1EF5" w:rsidRPr="00885AB3">
        <w:rPr>
          <w:iCs/>
        </w:rPr>
        <w:instrText xml:space="preserve"> \* MERGEFORMAT </w:instrText>
      </w:r>
      <w:r w:rsidRPr="00885AB3">
        <w:rPr>
          <w:iCs/>
        </w:rPr>
      </w:r>
      <w:r w:rsidRPr="00885AB3">
        <w:rPr>
          <w:iCs/>
        </w:rPr>
        <w:fldChar w:fldCharType="separate"/>
      </w:r>
      <w:r w:rsidR="00515933" w:rsidRPr="00885AB3">
        <w:rPr>
          <w:iCs/>
        </w:rPr>
        <w:t>Table 14</w:t>
      </w:r>
      <w:r w:rsidRPr="00885AB3">
        <w:rPr>
          <w:iCs/>
        </w:rPr>
        <w:fldChar w:fldCharType="end"/>
      </w:r>
      <w:r w:rsidRPr="00885AB3">
        <w:rPr>
          <w:iCs/>
        </w:rPr>
        <w:t>; differences in the types of events presented across comparisons reflect variations in how outcomes were defined and reported in the pivotal trials, rather than the analytical approach applied).</w:t>
      </w:r>
      <w:r w:rsidR="001C78D7">
        <w:rPr>
          <w:iCs/>
        </w:rPr>
        <w:t xml:space="preserve"> </w:t>
      </w:r>
      <w:r w:rsidRPr="00885AB3">
        <w:rPr>
          <w:iCs/>
        </w:rPr>
        <w:t xml:space="preserve">While unsolicited AEs were reported at a higher rate in </w:t>
      </w:r>
      <w:proofErr w:type="spellStart"/>
      <w:r w:rsidRPr="00885AB3">
        <w:rPr>
          <w:iCs/>
        </w:rPr>
        <w:t>ConquerRSV</w:t>
      </w:r>
      <w:proofErr w:type="spellEnd"/>
      <w:r w:rsidRPr="00885AB3">
        <w:rPr>
          <w:iCs/>
        </w:rPr>
        <w:t xml:space="preserve"> than RENOIR, the incidence ratio</w:t>
      </w:r>
      <w:r w:rsidR="00523BC3" w:rsidRPr="00885AB3">
        <w:rPr>
          <w:iCs/>
        </w:rPr>
        <w:t xml:space="preserve"> between the trials</w:t>
      </w:r>
      <w:r w:rsidRPr="00885AB3">
        <w:rPr>
          <w:iCs/>
        </w:rPr>
        <w:t xml:space="preserve"> is comparable. The submission claimed that based on the data presented, RSVPreF3 OA appears to be more reactogenic than mRNA-1345, noting that most events in both trials were mild in severity. </w:t>
      </w:r>
    </w:p>
    <w:p w14:paraId="14668597" w14:textId="4152876B" w:rsidR="006A1AFC" w:rsidRPr="00885AB3" w:rsidRDefault="006A1AFC" w:rsidP="00120D61">
      <w:pPr>
        <w:pStyle w:val="3-BodyText"/>
        <w:rPr>
          <w:iCs/>
        </w:rPr>
      </w:pPr>
      <w:r w:rsidRPr="00885AB3">
        <w:rPr>
          <w:iCs/>
        </w:rPr>
        <w:t>ATAGI considered that a claim of non-inferiority in safety is unlikely to be sufficiently supported by the naïve</w:t>
      </w:r>
      <w:r w:rsidR="00740687" w:rsidRPr="00885AB3">
        <w:rPr>
          <w:iCs/>
        </w:rPr>
        <w:t xml:space="preserve"> (unanchored, unadjusted)</w:t>
      </w:r>
      <w:r w:rsidRPr="00885AB3">
        <w:rPr>
          <w:iCs/>
        </w:rPr>
        <w:t xml:space="preserve"> comparison as there were no data regarding the type of event symptoms (ATAGI Advice, June 2025). While the data presented by the submission did not preclude a difference in the type of event symptoms between vaccines, </w:t>
      </w:r>
      <w:r w:rsidR="00E6639C" w:rsidRPr="00885AB3">
        <w:rPr>
          <w:iCs/>
        </w:rPr>
        <w:t xml:space="preserve">the evaluation considered that </w:t>
      </w:r>
      <w:r w:rsidRPr="00885AB3">
        <w:rPr>
          <w:iCs/>
        </w:rPr>
        <w:t xml:space="preserve">there do not appear to be substantial differences in the overall adverse event profiles between mRNA-1345 and </w:t>
      </w:r>
      <w:proofErr w:type="spellStart"/>
      <w:r w:rsidRPr="00885AB3">
        <w:rPr>
          <w:iCs/>
        </w:rPr>
        <w:t>RSVPreF</w:t>
      </w:r>
      <w:proofErr w:type="spellEnd"/>
      <w:r w:rsidRPr="00885AB3">
        <w:rPr>
          <w:iCs/>
        </w:rPr>
        <w:t xml:space="preserve"> and RSVPref3 OA. </w:t>
      </w:r>
    </w:p>
    <w:p w14:paraId="3C1FB5E4" w14:textId="20BB4629" w:rsidR="006A1AFC" w:rsidRPr="00885AB3" w:rsidRDefault="006A1AFC" w:rsidP="00120D61">
      <w:pPr>
        <w:pStyle w:val="TableFigureHeading"/>
      </w:pPr>
      <w:bookmarkStart w:id="91" w:name="_Ref206078276"/>
      <w:r w:rsidRPr="00885AB3">
        <w:lastRenderedPageBreak/>
        <w:t xml:space="preserve">Table </w:t>
      </w:r>
      <w:r w:rsidR="008A242D" w:rsidRPr="00885AB3">
        <w:fldChar w:fldCharType="begin" w:fldLock="1"/>
      </w:r>
      <w:r w:rsidR="008A242D" w:rsidRPr="00885AB3">
        <w:instrText xml:space="preserve"> SEQ Table \* ARABIC </w:instrText>
      </w:r>
      <w:r w:rsidR="008A242D" w:rsidRPr="00885AB3">
        <w:fldChar w:fldCharType="separate"/>
      </w:r>
      <w:r w:rsidR="00515933" w:rsidRPr="00885AB3">
        <w:t>14</w:t>
      </w:r>
      <w:r w:rsidR="008A242D" w:rsidRPr="00885AB3">
        <w:fldChar w:fldCharType="end"/>
      </w:r>
      <w:bookmarkEnd w:id="91"/>
      <w:r w:rsidRPr="00885AB3">
        <w:t xml:space="preserve">: Crude comparison of solicited local and systemic ARs with </w:t>
      </w:r>
      <w:proofErr w:type="spellStart"/>
      <w:r w:rsidRPr="00885AB3">
        <w:t>RSVPreF</w:t>
      </w:r>
      <w:proofErr w:type="spellEnd"/>
      <w:r w:rsidRPr="00885AB3">
        <w:t>, RSVPreF3 OA and mRNA-1345</w:t>
      </w:r>
      <w:r w:rsidR="007A492B" w:rsidRPr="00885AB3">
        <w:t xml:space="preserve"> (</w:t>
      </w:r>
      <w:r w:rsidR="00F30DD9" w:rsidRPr="00885AB3">
        <w:rPr>
          <w:szCs w:val="20"/>
        </w:rPr>
        <w:t xml:space="preserve">adults </w:t>
      </w:r>
      <w:r w:rsidR="00EF2FA4">
        <w:rPr>
          <w:szCs w:val="20"/>
        </w:rPr>
        <w:t xml:space="preserve">≥ </w:t>
      </w:r>
      <w:r w:rsidR="00F30DD9" w:rsidRPr="00885AB3">
        <w:rPr>
          <w:szCs w:val="20"/>
        </w:rPr>
        <w:t>60 years of age</w:t>
      </w:r>
      <w:r w:rsidR="00F30DD9" w:rsidRPr="00885AB3">
        <w: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Table 14: Crude comparison of solicited local and systemic ARs with RSVPreF, RSVPreF3 OA and mRNA-1345 (adults ≥60 years of age)"/>
      </w:tblPr>
      <w:tblGrid>
        <w:gridCol w:w="2121"/>
        <w:gridCol w:w="1134"/>
        <w:gridCol w:w="1275"/>
        <w:gridCol w:w="994"/>
        <w:gridCol w:w="1275"/>
        <w:gridCol w:w="1274"/>
        <w:gridCol w:w="994"/>
      </w:tblGrid>
      <w:tr w:rsidR="00517113" w:rsidRPr="00885AB3" w14:paraId="6B8E754E" w14:textId="77777777" w:rsidTr="00B6422C">
        <w:trPr>
          <w:trHeight w:val="20"/>
        </w:trPr>
        <w:tc>
          <w:tcPr>
            <w:tcW w:w="9067" w:type="dxa"/>
            <w:gridSpan w:val="7"/>
            <w:vAlign w:val="center"/>
          </w:tcPr>
          <w:p w14:paraId="2A4671F4" w14:textId="6C5C5EAE" w:rsidR="00517113" w:rsidRPr="00885AB3" w:rsidRDefault="00517113" w:rsidP="00120D61">
            <w:pPr>
              <w:pStyle w:val="TableText0"/>
              <w:keepNext/>
              <w:jc w:val="left"/>
              <w:rPr>
                <w:b/>
                <w:bCs/>
                <w:szCs w:val="20"/>
              </w:rPr>
            </w:pPr>
            <w:r w:rsidRPr="00885AB3">
              <w:rPr>
                <w:b/>
                <w:bCs/>
                <w:szCs w:val="20"/>
              </w:rPr>
              <w:t xml:space="preserve">Comparison of RENOIR vs </w:t>
            </w:r>
            <w:proofErr w:type="spellStart"/>
            <w:r w:rsidRPr="00885AB3">
              <w:rPr>
                <w:b/>
                <w:bCs/>
                <w:szCs w:val="20"/>
              </w:rPr>
              <w:t>ConquerRSV</w:t>
            </w:r>
            <w:proofErr w:type="spellEnd"/>
          </w:p>
        </w:tc>
      </w:tr>
      <w:tr w:rsidR="003F7C99" w:rsidRPr="00885AB3" w14:paraId="77A968A3" w14:textId="77777777" w:rsidTr="00F704FA">
        <w:trPr>
          <w:trHeight w:val="20"/>
        </w:trPr>
        <w:tc>
          <w:tcPr>
            <w:tcW w:w="2121" w:type="dxa"/>
            <w:vMerge w:val="restart"/>
            <w:vAlign w:val="center"/>
            <w:hideMark/>
          </w:tcPr>
          <w:p w14:paraId="2791C2F9" w14:textId="77777777" w:rsidR="003F7C99" w:rsidRPr="00885AB3" w:rsidRDefault="003F7C99" w:rsidP="00120D61">
            <w:pPr>
              <w:pStyle w:val="TableText0"/>
              <w:keepNext/>
              <w:jc w:val="left"/>
              <w:rPr>
                <w:b/>
                <w:bCs/>
                <w:szCs w:val="20"/>
              </w:rPr>
            </w:pPr>
            <w:r w:rsidRPr="00885AB3">
              <w:rPr>
                <w:b/>
                <w:bCs/>
                <w:szCs w:val="20"/>
              </w:rPr>
              <w:t>Outcome</w:t>
            </w:r>
          </w:p>
        </w:tc>
        <w:tc>
          <w:tcPr>
            <w:tcW w:w="3403" w:type="dxa"/>
            <w:gridSpan w:val="3"/>
            <w:noWrap/>
            <w:vAlign w:val="center"/>
            <w:hideMark/>
          </w:tcPr>
          <w:p w14:paraId="1DF18773" w14:textId="77777777" w:rsidR="003F7C99" w:rsidRPr="00885AB3" w:rsidRDefault="003F7C99" w:rsidP="00120D61">
            <w:pPr>
              <w:pStyle w:val="TableText0"/>
              <w:keepNext/>
              <w:rPr>
                <w:b/>
                <w:szCs w:val="20"/>
              </w:rPr>
            </w:pPr>
            <w:r w:rsidRPr="00885AB3">
              <w:rPr>
                <w:b/>
                <w:szCs w:val="20"/>
              </w:rPr>
              <w:t>RENOIR</w:t>
            </w:r>
          </w:p>
        </w:tc>
        <w:tc>
          <w:tcPr>
            <w:tcW w:w="3543" w:type="dxa"/>
            <w:gridSpan w:val="3"/>
            <w:noWrap/>
            <w:vAlign w:val="center"/>
            <w:hideMark/>
          </w:tcPr>
          <w:p w14:paraId="55E61B12" w14:textId="77777777" w:rsidR="003F7C99" w:rsidRPr="00885AB3" w:rsidRDefault="003F7C99" w:rsidP="00120D61">
            <w:pPr>
              <w:pStyle w:val="TableText0"/>
              <w:keepNext/>
              <w:rPr>
                <w:b/>
                <w:szCs w:val="20"/>
              </w:rPr>
            </w:pPr>
            <w:proofErr w:type="spellStart"/>
            <w:r w:rsidRPr="00885AB3">
              <w:rPr>
                <w:b/>
                <w:bCs/>
                <w:szCs w:val="20"/>
              </w:rPr>
              <w:t>ConquerRSV</w:t>
            </w:r>
            <w:r w:rsidRPr="00885AB3">
              <w:rPr>
                <w:b/>
                <w:bCs/>
                <w:szCs w:val="20"/>
                <w:vertAlign w:val="superscript"/>
              </w:rPr>
              <w:t>d</w:t>
            </w:r>
            <w:proofErr w:type="spellEnd"/>
          </w:p>
        </w:tc>
      </w:tr>
      <w:tr w:rsidR="003F7C99" w:rsidRPr="00885AB3" w14:paraId="7E4C4881" w14:textId="77777777" w:rsidTr="00F704FA">
        <w:trPr>
          <w:trHeight w:val="20"/>
        </w:trPr>
        <w:tc>
          <w:tcPr>
            <w:tcW w:w="2121" w:type="dxa"/>
            <w:vMerge/>
            <w:vAlign w:val="center"/>
            <w:hideMark/>
          </w:tcPr>
          <w:p w14:paraId="39203305" w14:textId="77777777" w:rsidR="003F7C99" w:rsidRPr="00885AB3" w:rsidRDefault="003F7C99" w:rsidP="00120D61">
            <w:pPr>
              <w:pStyle w:val="TableText0"/>
              <w:keepNext/>
              <w:jc w:val="left"/>
              <w:rPr>
                <w:szCs w:val="20"/>
                <w:lang w:eastAsia="zh-CN"/>
              </w:rPr>
            </w:pPr>
          </w:p>
        </w:tc>
        <w:tc>
          <w:tcPr>
            <w:tcW w:w="1134" w:type="dxa"/>
            <w:vAlign w:val="center"/>
            <w:hideMark/>
          </w:tcPr>
          <w:p w14:paraId="23521FC2" w14:textId="77777777" w:rsidR="003F7C99" w:rsidRPr="00885AB3" w:rsidRDefault="003F7C99" w:rsidP="00120D61">
            <w:pPr>
              <w:pStyle w:val="TableText0"/>
              <w:keepNext/>
              <w:rPr>
                <w:b/>
                <w:bCs/>
                <w:szCs w:val="20"/>
                <w:lang w:eastAsia="zh-CN"/>
              </w:rPr>
            </w:pPr>
            <w:proofErr w:type="spellStart"/>
            <w:r w:rsidRPr="00885AB3">
              <w:rPr>
                <w:b/>
                <w:bCs/>
                <w:szCs w:val="20"/>
                <w:lang w:eastAsia="zh-CN"/>
              </w:rPr>
              <w:t>RSVPreF</w:t>
            </w:r>
            <w:proofErr w:type="spellEnd"/>
          </w:p>
          <w:p w14:paraId="20992042" w14:textId="3C84DC79" w:rsidR="003F7C99" w:rsidRPr="00885AB3" w:rsidRDefault="003F7C99" w:rsidP="00120D61">
            <w:pPr>
              <w:pStyle w:val="TableText0"/>
              <w:keepNext/>
              <w:rPr>
                <w:b/>
                <w:bCs/>
                <w:szCs w:val="20"/>
                <w:lang w:eastAsia="zh-CN"/>
              </w:rPr>
            </w:pPr>
            <w:r w:rsidRPr="00885AB3">
              <w:rPr>
                <w:b/>
                <w:bCs/>
                <w:szCs w:val="20"/>
                <w:lang w:eastAsia="zh-CN"/>
              </w:rPr>
              <w:t>incidence N=17,215</w:t>
            </w:r>
          </w:p>
        </w:tc>
        <w:tc>
          <w:tcPr>
            <w:tcW w:w="1275" w:type="dxa"/>
            <w:vAlign w:val="center"/>
            <w:hideMark/>
          </w:tcPr>
          <w:p w14:paraId="2D774218" w14:textId="4D544FD1" w:rsidR="003F7C99" w:rsidRPr="00885AB3" w:rsidRDefault="003F7C99" w:rsidP="00120D61">
            <w:pPr>
              <w:pStyle w:val="TableText0"/>
              <w:keepNext/>
              <w:rPr>
                <w:b/>
                <w:bCs/>
                <w:szCs w:val="20"/>
                <w:lang w:eastAsia="zh-CN"/>
              </w:rPr>
            </w:pPr>
            <w:r w:rsidRPr="00885AB3">
              <w:rPr>
                <w:b/>
                <w:bCs/>
                <w:szCs w:val="20"/>
                <w:lang w:eastAsia="zh-CN"/>
              </w:rPr>
              <w:t>Placebo incidence N=17,069</w:t>
            </w:r>
          </w:p>
        </w:tc>
        <w:tc>
          <w:tcPr>
            <w:tcW w:w="994" w:type="dxa"/>
            <w:vAlign w:val="center"/>
            <w:hideMark/>
          </w:tcPr>
          <w:p w14:paraId="532F5C73" w14:textId="77777777" w:rsidR="003F7C99" w:rsidRPr="00885AB3" w:rsidRDefault="003F7C99" w:rsidP="00120D61">
            <w:pPr>
              <w:pStyle w:val="TableText0"/>
              <w:keepNext/>
              <w:rPr>
                <w:b/>
                <w:bCs/>
                <w:szCs w:val="20"/>
                <w:lang w:eastAsia="zh-CN"/>
              </w:rPr>
            </w:pPr>
            <w:r w:rsidRPr="00885AB3">
              <w:rPr>
                <w:b/>
                <w:bCs/>
                <w:szCs w:val="20"/>
                <w:lang w:eastAsia="zh-CN"/>
              </w:rPr>
              <w:t xml:space="preserve">Crude </w:t>
            </w:r>
            <w:proofErr w:type="spellStart"/>
            <w:r w:rsidRPr="00885AB3">
              <w:rPr>
                <w:b/>
                <w:bCs/>
                <w:szCs w:val="20"/>
                <w:lang w:eastAsia="zh-CN"/>
              </w:rPr>
              <w:t>ratio</w:t>
            </w:r>
            <w:r w:rsidRPr="00885AB3">
              <w:rPr>
                <w:b/>
                <w:bCs/>
                <w:szCs w:val="20"/>
                <w:vertAlign w:val="superscript"/>
                <w:lang w:eastAsia="zh-CN"/>
              </w:rPr>
              <w:t>h</w:t>
            </w:r>
            <w:proofErr w:type="spellEnd"/>
          </w:p>
        </w:tc>
        <w:tc>
          <w:tcPr>
            <w:tcW w:w="1275" w:type="dxa"/>
            <w:noWrap/>
            <w:vAlign w:val="center"/>
            <w:hideMark/>
          </w:tcPr>
          <w:p w14:paraId="5AFA776D" w14:textId="6E3CA0F6" w:rsidR="003F7C99" w:rsidRPr="00885AB3" w:rsidRDefault="003F7C99" w:rsidP="00120D61">
            <w:pPr>
              <w:pStyle w:val="TableText0"/>
              <w:keepNext/>
              <w:rPr>
                <w:b/>
                <w:bCs/>
                <w:szCs w:val="20"/>
                <w:lang w:eastAsia="zh-CN"/>
              </w:rPr>
            </w:pPr>
            <w:r w:rsidRPr="00885AB3">
              <w:rPr>
                <w:b/>
                <w:bCs/>
                <w:szCs w:val="20"/>
                <w:lang w:eastAsia="zh-CN"/>
              </w:rPr>
              <w:t>mRNA-1345 incidence N=17,734</w:t>
            </w:r>
          </w:p>
        </w:tc>
        <w:tc>
          <w:tcPr>
            <w:tcW w:w="1274" w:type="dxa"/>
            <w:noWrap/>
            <w:vAlign w:val="center"/>
            <w:hideMark/>
          </w:tcPr>
          <w:p w14:paraId="55C46DA8" w14:textId="77777777" w:rsidR="003F7C99" w:rsidRPr="00885AB3" w:rsidRDefault="003F7C99" w:rsidP="00120D61">
            <w:pPr>
              <w:pStyle w:val="TableText0"/>
              <w:keepNext/>
              <w:rPr>
                <w:b/>
                <w:bCs/>
                <w:szCs w:val="20"/>
                <w:lang w:eastAsia="zh-CN"/>
              </w:rPr>
            </w:pPr>
            <w:r w:rsidRPr="00885AB3">
              <w:rPr>
                <w:b/>
                <w:bCs/>
                <w:szCs w:val="20"/>
                <w:lang w:eastAsia="zh-CN"/>
              </w:rPr>
              <w:t>Placebo incidence</w:t>
            </w:r>
          </w:p>
          <w:p w14:paraId="6BAFB6CC" w14:textId="0F2445B1" w:rsidR="003F7C99" w:rsidRPr="00885AB3" w:rsidRDefault="003F7C99" w:rsidP="00120D61">
            <w:pPr>
              <w:pStyle w:val="TableText0"/>
              <w:keepNext/>
              <w:rPr>
                <w:b/>
                <w:bCs/>
                <w:szCs w:val="20"/>
                <w:lang w:eastAsia="zh-CN"/>
              </w:rPr>
            </w:pPr>
            <w:r w:rsidRPr="00885AB3">
              <w:rPr>
                <w:b/>
                <w:bCs/>
                <w:szCs w:val="20"/>
              </w:rPr>
              <w:t>N=17,679</w:t>
            </w:r>
          </w:p>
        </w:tc>
        <w:tc>
          <w:tcPr>
            <w:tcW w:w="994" w:type="dxa"/>
            <w:noWrap/>
            <w:vAlign w:val="center"/>
            <w:hideMark/>
          </w:tcPr>
          <w:p w14:paraId="4F04981C" w14:textId="77777777" w:rsidR="003F7C99" w:rsidRPr="00885AB3" w:rsidRDefault="003F7C99" w:rsidP="00120D61">
            <w:pPr>
              <w:pStyle w:val="TableText0"/>
              <w:keepNext/>
              <w:rPr>
                <w:b/>
                <w:bCs/>
                <w:szCs w:val="20"/>
                <w:lang w:eastAsia="zh-CN"/>
              </w:rPr>
            </w:pPr>
            <w:r w:rsidRPr="00885AB3">
              <w:rPr>
                <w:b/>
                <w:bCs/>
                <w:szCs w:val="20"/>
                <w:lang w:eastAsia="zh-CN"/>
              </w:rPr>
              <w:t xml:space="preserve">Crude </w:t>
            </w:r>
            <w:proofErr w:type="spellStart"/>
            <w:r w:rsidRPr="00885AB3">
              <w:rPr>
                <w:b/>
                <w:bCs/>
                <w:szCs w:val="20"/>
                <w:lang w:eastAsia="zh-CN"/>
              </w:rPr>
              <w:t>ratio</w:t>
            </w:r>
            <w:r w:rsidRPr="00885AB3">
              <w:rPr>
                <w:b/>
                <w:bCs/>
                <w:szCs w:val="20"/>
                <w:vertAlign w:val="superscript"/>
                <w:lang w:eastAsia="zh-CN"/>
              </w:rPr>
              <w:t>h</w:t>
            </w:r>
            <w:proofErr w:type="spellEnd"/>
          </w:p>
        </w:tc>
      </w:tr>
      <w:tr w:rsidR="00517113" w:rsidRPr="00885AB3" w14:paraId="20145838" w14:textId="77777777" w:rsidTr="00F704FA">
        <w:trPr>
          <w:trHeight w:val="20"/>
        </w:trPr>
        <w:tc>
          <w:tcPr>
            <w:tcW w:w="2121" w:type="dxa"/>
            <w:shd w:val="clear" w:color="000000" w:fill="FFFFFF"/>
            <w:vAlign w:val="center"/>
          </w:tcPr>
          <w:p w14:paraId="4F867100" w14:textId="77777777" w:rsidR="00517113" w:rsidRPr="00885AB3" w:rsidRDefault="00517113" w:rsidP="00120D61">
            <w:pPr>
              <w:pStyle w:val="TableText0"/>
              <w:keepNext/>
              <w:jc w:val="left"/>
              <w:rPr>
                <w:szCs w:val="20"/>
                <w:lang w:eastAsia="zh-CN"/>
              </w:rPr>
            </w:pPr>
          </w:p>
        </w:tc>
        <w:tc>
          <w:tcPr>
            <w:tcW w:w="3403" w:type="dxa"/>
            <w:gridSpan w:val="3"/>
            <w:shd w:val="clear" w:color="000000" w:fill="FFFFFF"/>
            <w:vAlign w:val="center"/>
          </w:tcPr>
          <w:p w14:paraId="73A9FBD1" w14:textId="77777777" w:rsidR="00517113" w:rsidRPr="00885AB3" w:rsidRDefault="00517113" w:rsidP="00120D61">
            <w:pPr>
              <w:pStyle w:val="TableText0"/>
              <w:keepNext/>
              <w:rPr>
                <w:b/>
                <w:bCs/>
                <w:szCs w:val="20"/>
                <w:lang w:eastAsia="zh-CN"/>
              </w:rPr>
            </w:pPr>
            <w:r w:rsidRPr="00885AB3">
              <w:rPr>
                <w:b/>
                <w:bCs/>
                <w:szCs w:val="20"/>
                <w:lang w:eastAsia="zh-CN"/>
              </w:rPr>
              <w:t>AR, to 1 month post injection</w:t>
            </w:r>
          </w:p>
        </w:tc>
        <w:tc>
          <w:tcPr>
            <w:tcW w:w="3543" w:type="dxa"/>
            <w:gridSpan w:val="3"/>
            <w:shd w:val="clear" w:color="000000" w:fill="FFFFFF"/>
            <w:vAlign w:val="center"/>
            <w:hideMark/>
          </w:tcPr>
          <w:p w14:paraId="5B2E7391" w14:textId="77777777" w:rsidR="00517113" w:rsidRPr="00885AB3" w:rsidRDefault="00517113" w:rsidP="00120D61">
            <w:pPr>
              <w:pStyle w:val="TableText0"/>
              <w:keepNext/>
              <w:rPr>
                <w:b/>
                <w:bCs/>
                <w:szCs w:val="20"/>
                <w:lang w:eastAsia="zh-CN"/>
              </w:rPr>
            </w:pPr>
            <w:r w:rsidRPr="00885AB3">
              <w:rPr>
                <w:b/>
                <w:bCs/>
                <w:szCs w:val="20"/>
                <w:lang w:eastAsia="zh-CN"/>
              </w:rPr>
              <w:t>Unsolicited TEAE, up to 28 days</w:t>
            </w:r>
          </w:p>
        </w:tc>
      </w:tr>
      <w:tr w:rsidR="00517113" w:rsidRPr="00885AB3" w14:paraId="41890744" w14:textId="77777777">
        <w:trPr>
          <w:trHeight w:val="20"/>
        </w:trPr>
        <w:tc>
          <w:tcPr>
            <w:tcW w:w="2121" w:type="dxa"/>
            <w:vAlign w:val="center"/>
            <w:hideMark/>
          </w:tcPr>
          <w:p w14:paraId="47892E51" w14:textId="77777777" w:rsidR="00517113" w:rsidRPr="00885AB3" w:rsidRDefault="00517113" w:rsidP="00120D61">
            <w:pPr>
              <w:pStyle w:val="TableText0"/>
              <w:keepNext/>
              <w:jc w:val="left"/>
              <w:rPr>
                <w:szCs w:val="20"/>
                <w:lang w:eastAsia="zh-CN"/>
              </w:rPr>
            </w:pPr>
            <w:r w:rsidRPr="00885AB3">
              <w:rPr>
                <w:szCs w:val="20"/>
                <w:lang w:eastAsia="zh-CN"/>
              </w:rPr>
              <w:t>Any</w:t>
            </w:r>
          </w:p>
        </w:tc>
        <w:tc>
          <w:tcPr>
            <w:tcW w:w="1134" w:type="dxa"/>
            <w:noWrap/>
            <w:vAlign w:val="center"/>
            <w:hideMark/>
          </w:tcPr>
          <w:p w14:paraId="74C2A853" w14:textId="77777777" w:rsidR="00517113" w:rsidRPr="00885AB3" w:rsidRDefault="00517113" w:rsidP="00120D61">
            <w:pPr>
              <w:pStyle w:val="TableText0"/>
              <w:keepNext/>
              <w:rPr>
                <w:szCs w:val="20"/>
                <w:lang w:eastAsia="zh-CN"/>
              </w:rPr>
            </w:pPr>
            <w:r w:rsidRPr="00885AB3">
              <w:rPr>
                <w:szCs w:val="20"/>
                <w:lang w:eastAsia="zh-CN"/>
              </w:rPr>
              <w:t>9.0%</w:t>
            </w:r>
          </w:p>
        </w:tc>
        <w:tc>
          <w:tcPr>
            <w:tcW w:w="1275" w:type="dxa"/>
            <w:noWrap/>
            <w:vAlign w:val="center"/>
            <w:hideMark/>
          </w:tcPr>
          <w:p w14:paraId="6AC05C41" w14:textId="77777777" w:rsidR="00517113" w:rsidRPr="00885AB3" w:rsidRDefault="00517113" w:rsidP="00120D61">
            <w:pPr>
              <w:pStyle w:val="TableText0"/>
              <w:keepNext/>
              <w:rPr>
                <w:szCs w:val="20"/>
                <w:lang w:eastAsia="zh-CN"/>
              </w:rPr>
            </w:pPr>
            <w:r w:rsidRPr="00885AB3">
              <w:rPr>
                <w:szCs w:val="20"/>
                <w:lang w:eastAsia="zh-CN"/>
              </w:rPr>
              <w:t>8.5%</w:t>
            </w:r>
          </w:p>
        </w:tc>
        <w:tc>
          <w:tcPr>
            <w:tcW w:w="994" w:type="dxa"/>
            <w:noWrap/>
            <w:vAlign w:val="center"/>
            <w:hideMark/>
          </w:tcPr>
          <w:p w14:paraId="70A01D3A" w14:textId="77777777" w:rsidR="00517113" w:rsidRPr="00885AB3" w:rsidRDefault="00517113" w:rsidP="00120D61">
            <w:pPr>
              <w:pStyle w:val="TableText0"/>
              <w:keepNext/>
              <w:rPr>
                <w:szCs w:val="20"/>
                <w:lang w:eastAsia="zh-CN"/>
              </w:rPr>
            </w:pPr>
            <w:r w:rsidRPr="00885AB3">
              <w:rPr>
                <w:szCs w:val="20"/>
                <w:lang w:eastAsia="zh-CN"/>
              </w:rPr>
              <w:t>1.0</w:t>
            </w:r>
          </w:p>
        </w:tc>
        <w:tc>
          <w:tcPr>
            <w:tcW w:w="1275" w:type="dxa"/>
            <w:noWrap/>
            <w:vAlign w:val="center"/>
            <w:hideMark/>
          </w:tcPr>
          <w:p w14:paraId="498E1E53" w14:textId="77777777" w:rsidR="00517113" w:rsidRPr="00885AB3" w:rsidRDefault="00517113" w:rsidP="00120D61">
            <w:pPr>
              <w:pStyle w:val="TableText0"/>
              <w:keepNext/>
              <w:rPr>
                <w:szCs w:val="20"/>
                <w:lang w:eastAsia="zh-CN"/>
              </w:rPr>
            </w:pPr>
            <w:r w:rsidRPr="00885AB3">
              <w:rPr>
                <w:szCs w:val="20"/>
                <w:lang w:eastAsia="zh-CN"/>
              </w:rPr>
              <w:t>20.4%</w:t>
            </w:r>
          </w:p>
        </w:tc>
        <w:tc>
          <w:tcPr>
            <w:tcW w:w="1274" w:type="dxa"/>
            <w:noWrap/>
            <w:vAlign w:val="center"/>
            <w:hideMark/>
          </w:tcPr>
          <w:p w14:paraId="6C2E317D" w14:textId="77777777" w:rsidR="00517113" w:rsidRPr="00885AB3" w:rsidRDefault="00517113" w:rsidP="00120D61">
            <w:pPr>
              <w:pStyle w:val="TableText0"/>
              <w:keepNext/>
              <w:rPr>
                <w:szCs w:val="20"/>
                <w:lang w:eastAsia="zh-CN"/>
              </w:rPr>
            </w:pPr>
            <w:r w:rsidRPr="00885AB3">
              <w:rPr>
                <w:szCs w:val="20"/>
                <w:lang w:eastAsia="zh-CN"/>
              </w:rPr>
              <w:t>18.8%</w:t>
            </w:r>
          </w:p>
        </w:tc>
        <w:tc>
          <w:tcPr>
            <w:tcW w:w="994" w:type="dxa"/>
            <w:noWrap/>
            <w:vAlign w:val="center"/>
            <w:hideMark/>
          </w:tcPr>
          <w:p w14:paraId="432D725C" w14:textId="77777777" w:rsidR="00517113" w:rsidRPr="00885AB3" w:rsidRDefault="00517113" w:rsidP="00120D61">
            <w:pPr>
              <w:pStyle w:val="TableText0"/>
              <w:keepNext/>
              <w:rPr>
                <w:szCs w:val="20"/>
                <w:lang w:eastAsia="zh-CN"/>
              </w:rPr>
            </w:pPr>
            <w:r w:rsidRPr="00885AB3">
              <w:rPr>
                <w:szCs w:val="20"/>
                <w:lang w:eastAsia="zh-CN"/>
              </w:rPr>
              <w:t>1.0</w:t>
            </w:r>
          </w:p>
        </w:tc>
      </w:tr>
      <w:tr w:rsidR="00517113" w:rsidRPr="00885AB3" w14:paraId="64AFD3BC" w14:textId="77777777">
        <w:trPr>
          <w:trHeight w:val="20"/>
        </w:trPr>
        <w:tc>
          <w:tcPr>
            <w:tcW w:w="2121" w:type="dxa"/>
            <w:vAlign w:val="center"/>
            <w:hideMark/>
          </w:tcPr>
          <w:p w14:paraId="40E89F5C" w14:textId="77777777" w:rsidR="00517113" w:rsidRPr="00885AB3" w:rsidRDefault="00517113" w:rsidP="00120D61">
            <w:pPr>
              <w:pStyle w:val="TableText0"/>
              <w:keepNext/>
              <w:jc w:val="left"/>
              <w:rPr>
                <w:szCs w:val="20"/>
                <w:lang w:eastAsia="zh-CN"/>
              </w:rPr>
            </w:pPr>
            <w:r w:rsidRPr="00885AB3">
              <w:rPr>
                <w:szCs w:val="20"/>
                <w:lang w:eastAsia="zh-CN"/>
              </w:rPr>
              <w:t>Severe</w:t>
            </w:r>
          </w:p>
        </w:tc>
        <w:tc>
          <w:tcPr>
            <w:tcW w:w="1134" w:type="dxa"/>
            <w:noWrap/>
            <w:vAlign w:val="center"/>
            <w:hideMark/>
          </w:tcPr>
          <w:p w14:paraId="3736563A" w14:textId="77777777" w:rsidR="00517113" w:rsidRPr="00885AB3" w:rsidRDefault="00517113" w:rsidP="00120D61">
            <w:pPr>
              <w:pStyle w:val="TableText0"/>
              <w:keepNext/>
              <w:rPr>
                <w:szCs w:val="20"/>
                <w:lang w:eastAsia="zh-CN"/>
              </w:rPr>
            </w:pPr>
            <w:r w:rsidRPr="00885AB3">
              <w:rPr>
                <w:szCs w:val="20"/>
                <w:lang w:eastAsia="zh-CN"/>
              </w:rPr>
              <w:t>2.3%</w:t>
            </w:r>
          </w:p>
        </w:tc>
        <w:tc>
          <w:tcPr>
            <w:tcW w:w="1275" w:type="dxa"/>
            <w:noWrap/>
            <w:vAlign w:val="center"/>
            <w:hideMark/>
          </w:tcPr>
          <w:p w14:paraId="3A96C5B0" w14:textId="77777777" w:rsidR="00517113" w:rsidRPr="00885AB3" w:rsidRDefault="00517113" w:rsidP="00120D61">
            <w:pPr>
              <w:pStyle w:val="TableText0"/>
              <w:keepNext/>
              <w:rPr>
                <w:szCs w:val="20"/>
                <w:lang w:eastAsia="zh-CN"/>
              </w:rPr>
            </w:pPr>
            <w:r w:rsidRPr="00885AB3">
              <w:rPr>
                <w:szCs w:val="20"/>
                <w:lang w:eastAsia="zh-CN"/>
              </w:rPr>
              <w:t>2.3%</w:t>
            </w:r>
          </w:p>
        </w:tc>
        <w:tc>
          <w:tcPr>
            <w:tcW w:w="994" w:type="dxa"/>
            <w:noWrap/>
            <w:vAlign w:val="center"/>
            <w:hideMark/>
          </w:tcPr>
          <w:p w14:paraId="452AC9E1" w14:textId="77777777" w:rsidR="00517113" w:rsidRPr="00885AB3" w:rsidRDefault="00517113" w:rsidP="00120D61">
            <w:pPr>
              <w:pStyle w:val="TableText0"/>
              <w:keepNext/>
              <w:rPr>
                <w:szCs w:val="20"/>
                <w:lang w:eastAsia="zh-CN"/>
              </w:rPr>
            </w:pPr>
            <w:r w:rsidRPr="00885AB3">
              <w:rPr>
                <w:szCs w:val="20"/>
                <w:lang w:eastAsia="zh-CN"/>
              </w:rPr>
              <w:t>NA</w:t>
            </w:r>
          </w:p>
        </w:tc>
        <w:tc>
          <w:tcPr>
            <w:tcW w:w="1275" w:type="dxa"/>
            <w:noWrap/>
            <w:vAlign w:val="center"/>
            <w:hideMark/>
          </w:tcPr>
          <w:p w14:paraId="158F8785" w14:textId="77777777" w:rsidR="00517113" w:rsidRPr="00885AB3" w:rsidRDefault="00517113" w:rsidP="00120D61">
            <w:pPr>
              <w:pStyle w:val="TableText0"/>
              <w:keepNext/>
              <w:rPr>
                <w:szCs w:val="20"/>
                <w:lang w:eastAsia="zh-CN"/>
              </w:rPr>
            </w:pPr>
            <w:r w:rsidRPr="00885AB3">
              <w:rPr>
                <w:szCs w:val="20"/>
                <w:lang w:eastAsia="zh-CN"/>
              </w:rPr>
              <w:t>0.7%</w:t>
            </w:r>
          </w:p>
        </w:tc>
        <w:tc>
          <w:tcPr>
            <w:tcW w:w="1274" w:type="dxa"/>
            <w:noWrap/>
            <w:vAlign w:val="center"/>
            <w:hideMark/>
          </w:tcPr>
          <w:p w14:paraId="3E4EB76F" w14:textId="77777777" w:rsidR="00517113" w:rsidRPr="00885AB3" w:rsidRDefault="00517113" w:rsidP="00120D61">
            <w:pPr>
              <w:pStyle w:val="TableText0"/>
              <w:keepNext/>
              <w:rPr>
                <w:szCs w:val="20"/>
                <w:lang w:eastAsia="zh-CN"/>
              </w:rPr>
            </w:pPr>
            <w:r w:rsidRPr="00885AB3">
              <w:rPr>
                <w:szCs w:val="20"/>
                <w:lang w:eastAsia="zh-CN"/>
              </w:rPr>
              <w:t>0.7%</w:t>
            </w:r>
          </w:p>
        </w:tc>
        <w:tc>
          <w:tcPr>
            <w:tcW w:w="994" w:type="dxa"/>
            <w:noWrap/>
            <w:vAlign w:val="center"/>
            <w:hideMark/>
          </w:tcPr>
          <w:p w14:paraId="6CDFE70D" w14:textId="77777777" w:rsidR="00517113" w:rsidRPr="00885AB3" w:rsidRDefault="00517113" w:rsidP="00120D61">
            <w:pPr>
              <w:pStyle w:val="TableText0"/>
              <w:keepNext/>
              <w:rPr>
                <w:szCs w:val="20"/>
                <w:lang w:eastAsia="zh-CN"/>
              </w:rPr>
            </w:pPr>
            <w:r w:rsidRPr="00885AB3">
              <w:rPr>
                <w:szCs w:val="20"/>
                <w:lang w:eastAsia="zh-CN"/>
              </w:rPr>
              <w:t>NA</w:t>
            </w:r>
          </w:p>
        </w:tc>
      </w:tr>
      <w:tr w:rsidR="00517113" w:rsidRPr="00885AB3" w14:paraId="002CBE36" w14:textId="77777777" w:rsidTr="00A14108">
        <w:trPr>
          <w:trHeight w:val="20"/>
        </w:trPr>
        <w:tc>
          <w:tcPr>
            <w:tcW w:w="2121" w:type="dxa"/>
            <w:vAlign w:val="center"/>
          </w:tcPr>
          <w:p w14:paraId="485AB06F" w14:textId="77777777" w:rsidR="00517113" w:rsidRPr="00885AB3" w:rsidRDefault="00517113" w:rsidP="00120D61">
            <w:pPr>
              <w:pStyle w:val="TableText0"/>
              <w:keepNext/>
              <w:jc w:val="left"/>
              <w:rPr>
                <w:b/>
                <w:bCs/>
                <w:szCs w:val="20"/>
                <w:lang w:eastAsia="zh-CN"/>
              </w:rPr>
            </w:pPr>
          </w:p>
        </w:tc>
        <w:tc>
          <w:tcPr>
            <w:tcW w:w="3403" w:type="dxa"/>
            <w:gridSpan w:val="3"/>
            <w:vAlign w:val="center"/>
          </w:tcPr>
          <w:p w14:paraId="5A2F63B2" w14:textId="77777777" w:rsidR="00517113" w:rsidRPr="00885AB3" w:rsidRDefault="00517113" w:rsidP="00120D61">
            <w:pPr>
              <w:pStyle w:val="TableText0"/>
              <w:keepNext/>
              <w:rPr>
                <w:b/>
                <w:bCs/>
                <w:szCs w:val="20"/>
                <w:lang w:eastAsia="zh-CN"/>
              </w:rPr>
            </w:pPr>
            <w:r w:rsidRPr="00885AB3">
              <w:rPr>
                <w:b/>
                <w:bCs/>
                <w:szCs w:val="20"/>
                <w:lang w:eastAsia="zh-CN"/>
              </w:rPr>
              <w:t>AR, average follow-up 6.78 months</w:t>
            </w:r>
          </w:p>
        </w:tc>
        <w:tc>
          <w:tcPr>
            <w:tcW w:w="3543" w:type="dxa"/>
            <w:gridSpan w:val="3"/>
            <w:shd w:val="clear" w:color="000000" w:fill="FFFFFF"/>
            <w:noWrap/>
            <w:vAlign w:val="center"/>
            <w:hideMark/>
          </w:tcPr>
          <w:p w14:paraId="6710878B" w14:textId="77777777" w:rsidR="00517113" w:rsidRPr="00885AB3" w:rsidRDefault="00517113" w:rsidP="00120D61">
            <w:pPr>
              <w:pStyle w:val="TableText0"/>
              <w:keepNext/>
              <w:rPr>
                <w:b/>
                <w:bCs/>
                <w:szCs w:val="20"/>
                <w:lang w:eastAsia="zh-CN"/>
              </w:rPr>
            </w:pPr>
            <w:r w:rsidRPr="00885AB3">
              <w:rPr>
                <w:b/>
                <w:bCs/>
                <w:szCs w:val="20"/>
                <w:lang w:eastAsia="zh-CN"/>
              </w:rPr>
              <w:t>Unsolicited TEAE, median of 3.7 months follow-up</w:t>
            </w:r>
          </w:p>
        </w:tc>
      </w:tr>
      <w:tr w:rsidR="00517113" w:rsidRPr="00885AB3" w14:paraId="225B41C7" w14:textId="77777777">
        <w:trPr>
          <w:trHeight w:val="20"/>
        </w:trPr>
        <w:tc>
          <w:tcPr>
            <w:tcW w:w="2121" w:type="dxa"/>
            <w:vAlign w:val="center"/>
            <w:hideMark/>
          </w:tcPr>
          <w:p w14:paraId="4F89C182" w14:textId="77777777" w:rsidR="00517113" w:rsidRPr="00885AB3" w:rsidRDefault="00517113" w:rsidP="00120D61">
            <w:pPr>
              <w:pStyle w:val="TableText0"/>
              <w:keepNext/>
              <w:jc w:val="left"/>
              <w:rPr>
                <w:szCs w:val="20"/>
                <w:lang w:eastAsia="zh-CN"/>
              </w:rPr>
            </w:pPr>
            <w:r w:rsidRPr="00885AB3">
              <w:rPr>
                <w:szCs w:val="20"/>
                <w:lang w:eastAsia="zh-CN"/>
              </w:rPr>
              <w:t xml:space="preserve">Any serious adverse </w:t>
            </w:r>
            <w:proofErr w:type="spellStart"/>
            <w:r w:rsidRPr="00885AB3">
              <w:rPr>
                <w:szCs w:val="20"/>
                <w:lang w:eastAsia="zh-CN"/>
              </w:rPr>
              <w:t>event</w:t>
            </w:r>
            <w:r w:rsidRPr="00885AB3">
              <w:rPr>
                <w:szCs w:val="20"/>
                <w:vertAlign w:val="superscript"/>
                <w:lang w:eastAsia="zh-CN"/>
              </w:rPr>
              <w:t>g</w:t>
            </w:r>
            <w:proofErr w:type="spellEnd"/>
          </w:p>
        </w:tc>
        <w:tc>
          <w:tcPr>
            <w:tcW w:w="1134" w:type="dxa"/>
            <w:noWrap/>
            <w:vAlign w:val="center"/>
            <w:hideMark/>
          </w:tcPr>
          <w:p w14:paraId="72D1724A" w14:textId="77777777" w:rsidR="00517113" w:rsidRPr="00885AB3" w:rsidRDefault="00517113" w:rsidP="00120D61">
            <w:pPr>
              <w:pStyle w:val="TableText0"/>
              <w:keepNext/>
              <w:rPr>
                <w:szCs w:val="20"/>
                <w:lang w:eastAsia="zh-CN"/>
              </w:rPr>
            </w:pPr>
            <w:r w:rsidRPr="00885AB3">
              <w:rPr>
                <w:szCs w:val="20"/>
                <w:lang w:eastAsia="zh-CN"/>
              </w:rPr>
              <w:t>2.3%</w:t>
            </w:r>
          </w:p>
        </w:tc>
        <w:tc>
          <w:tcPr>
            <w:tcW w:w="1275" w:type="dxa"/>
            <w:noWrap/>
            <w:vAlign w:val="center"/>
            <w:hideMark/>
          </w:tcPr>
          <w:p w14:paraId="681A75D8" w14:textId="77777777" w:rsidR="00517113" w:rsidRPr="00885AB3" w:rsidRDefault="00517113" w:rsidP="00120D61">
            <w:pPr>
              <w:pStyle w:val="TableText0"/>
              <w:keepNext/>
              <w:rPr>
                <w:szCs w:val="20"/>
                <w:lang w:eastAsia="zh-CN"/>
              </w:rPr>
            </w:pPr>
            <w:r w:rsidRPr="00885AB3">
              <w:rPr>
                <w:szCs w:val="20"/>
                <w:lang w:eastAsia="zh-CN"/>
              </w:rPr>
              <w:t>2.3%</w:t>
            </w:r>
          </w:p>
        </w:tc>
        <w:tc>
          <w:tcPr>
            <w:tcW w:w="994" w:type="dxa"/>
            <w:noWrap/>
            <w:vAlign w:val="center"/>
            <w:hideMark/>
          </w:tcPr>
          <w:p w14:paraId="5A27CE23" w14:textId="77777777" w:rsidR="00517113" w:rsidRPr="00885AB3" w:rsidRDefault="00517113" w:rsidP="00120D61">
            <w:pPr>
              <w:pStyle w:val="TableText0"/>
              <w:keepNext/>
              <w:rPr>
                <w:szCs w:val="20"/>
                <w:lang w:eastAsia="zh-CN"/>
              </w:rPr>
            </w:pPr>
            <w:r w:rsidRPr="00885AB3">
              <w:rPr>
                <w:szCs w:val="20"/>
                <w:lang w:eastAsia="zh-CN"/>
              </w:rPr>
              <w:t>NA</w:t>
            </w:r>
          </w:p>
        </w:tc>
        <w:tc>
          <w:tcPr>
            <w:tcW w:w="1275" w:type="dxa"/>
            <w:noWrap/>
            <w:vAlign w:val="center"/>
            <w:hideMark/>
          </w:tcPr>
          <w:p w14:paraId="441BF96B" w14:textId="77777777" w:rsidR="00517113" w:rsidRPr="00885AB3" w:rsidRDefault="00517113" w:rsidP="00120D61">
            <w:pPr>
              <w:pStyle w:val="TableText0"/>
              <w:keepNext/>
              <w:rPr>
                <w:szCs w:val="20"/>
                <w:lang w:eastAsia="zh-CN"/>
              </w:rPr>
            </w:pPr>
            <w:r w:rsidRPr="00885AB3">
              <w:rPr>
                <w:szCs w:val="20"/>
                <w:lang w:eastAsia="zh-CN"/>
              </w:rPr>
              <w:t>2.8%</w:t>
            </w:r>
          </w:p>
        </w:tc>
        <w:tc>
          <w:tcPr>
            <w:tcW w:w="1274" w:type="dxa"/>
            <w:noWrap/>
            <w:vAlign w:val="center"/>
            <w:hideMark/>
          </w:tcPr>
          <w:p w14:paraId="003C5C82" w14:textId="77777777" w:rsidR="00517113" w:rsidRPr="00885AB3" w:rsidRDefault="00517113" w:rsidP="00120D61">
            <w:pPr>
              <w:pStyle w:val="TableText0"/>
              <w:keepNext/>
              <w:rPr>
                <w:szCs w:val="20"/>
                <w:lang w:eastAsia="zh-CN"/>
              </w:rPr>
            </w:pPr>
            <w:r w:rsidRPr="00885AB3">
              <w:rPr>
                <w:szCs w:val="20"/>
                <w:lang w:eastAsia="zh-CN"/>
              </w:rPr>
              <w:t>2.8%</w:t>
            </w:r>
          </w:p>
        </w:tc>
        <w:tc>
          <w:tcPr>
            <w:tcW w:w="994" w:type="dxa"/>
            <w:noWrap/>
            <w:vAlign w:val="center"/>
            <w:hideMark/>
          </w:tcPr>
          <w:p w14:paraId="26B5AA84" w14:textId="77777777" w:rsidR="00517113" w:rsidRPr="00885AB3" w:rsidRDefault="00517113" w:rsidP="00120D61">
            <w:pPr>
              <w:pStyle w:val="TableText0"/>
              <w:keepNext/>
              <w:rPr>
                <w:szCs w:val="20"/>
                <w:lang w:eastAsia="zh-CN"/>
              </w:rPr>
            </w:pPr>
            <w:r w:rsidRPr="00885AB3">
              <w:rPr>
                <w:szCs w:val="20"/>
                <w:lang w:eastAsia="zh-CN"/>
              </w:rPr>
              <w:t>NA</w:t>
            </w:r>
          </w:p>
        </w:tc>
      </w:tr>
      <w:tr w:rsidR="00517113" w:rsidRPr="00885AB3" w14:paraId="034CF81E" w14:textId="77777777">
        <w:trPr>
          <w:trHeight w:val="20"/>
        </w:trPr>
        <w:tc>
          <w:tcPr>
            <w:tcW w:w="2121" w:type="dxa"/>
            <w:vAlign w:val="center"/>
            <w:hideMark/>
          </w:tcPr>
          <w:p w14:paraId="21F73D85" w14:textId="3CF621C4" w:rsidR="00517113" w:rsidRPr="00885AB3" w:rsidRDefault="00517113" w:rsidP="00120D61">
            <w:pPr>
              <w:pStyle w:val="TableText0"/>
              <w:keepNext/>
              <w:jc w:val="left"/>
              <w:rPr>
                <w:szCs w:val="20"/>
                <w:lang w:eastAsia="zh-CN"/>
              </w:rPr>
            </w:pPr>
            <w:r w:rsidRPr="00885AB3">
              <w:rPr>
                <w:szCs w:val="20"/>
                <w:lang w:eastAsia="zh-CN"/>
              </w:rPr>
              <w:t>AR leading to discontinuation</w:t>
            </w:r>
          </w:p>
        </w:tc>
        <w:tc>
          <w:tcPr>
            <w:tcW w:w="1134" w:type="dxa"/>
            <w:noWrap/>
            <w:vAlign w:val="center"/>
            <w:hideMark/>
          </w:tcPr>
          <w:p w14:paraId="24FFE312" w14:textId="38B6592B" w:rsidR="00517113" w:rsidRPr="00885AB3" w:rsidRDefault="001C78D7" w:rsidP="00120D61">
            <w:pPr>
              <w:pStyle w:val="TableText0"/>
              <w:keepNext/>
              <w:rPr>
                <w:szCs w:val="20"/>
                <w:lang w:eastAsia="zh-CN"/>
              </w:rPr>
            </w:pPr>
            <w:r>
              <w:rPr>
                <w:szCs w:val="20"/>
                <w:lang w:eastAsia="zh-CN"/>
              </w:rPr>
              <w:t xml:space="preserve">&lt; </w:t>
            </w:r>
            <w:r w:rsidR="00517113" w:rsidRPr="00885AB3">
              <w:rPr>
                <w:szCs w:val="20"/>
                <w:lang w:eastAsia="zh-CN"/>
              </w:rPr>
              <w:t>0.1%</w:t>
            </w:r>
          </w:p>
        </w:tc>
        <w:tc>
          <w:tcPr>
            <w:tcW w:w="1275" w:type="dxa"/>
            <w:noWrap/>
            <w:vAlign w:val="center"/>
            <w:hideMark/>
          </w:tcPr>
          <w:p w14:paraId="07B6F585" w14:textId="5CF57719" w:rsidR="00517113" w:rsidRPr="00885AB3" w:rsidRDefault="001C78D7" w:rsidP="00120D61">
            <w:pPr>
              <w:pStyle w:val="TableText0"/>
              <w:keepNext/>
              <w:rPr>
                <w:szCs w:val="20"/>
                <w:lang w:eastAsia="zh-CN"/>
              </w:rPr>
            </w:pPr>
            <w:r>
              <w:rPr>
                <w:szCs w:val="20"/>
                <w:lang w:eastAsia="zh-CN"/>
              </w:rPr>
              <w:t xml:space="preserve">&lt; </w:t>
            </w:r>
            <w:r w:rsidR="00517113" w:rsidRPr="00885AB3">
              <w:rPr>
                <w:szCs w:val="20"/>
                <w:lang w:eastAsia="zh-CN"/>
              </w:rPr>
              <w:t>0.1%</w:t>
            </w:r>
          </w:p>
        </w:tc>
        <w:tc>
          <w:tcPr>
            <w:tcW w:w="994" w:type="dxa"/>
            <w:noWrap/>
            <w:vAlign w:val="center"/>
            <w:hideMark/>
          </w:tcPr>
          <w:p w14:paraId="10F5A9D7" w14:textId="77777777" w:rsidR="00517113" w:rsidRPr="00885AB3" w:rsidRDefault="00517113" w:rsidP="00120D61">
            <w:pPr>
              <w:pStyle w:val="TableText0"/>
              <w:keepNext/>
              <w:rPr>
                <w:szCs w:val="20"/>
                <w:lang w:eastAsia="zh-CN"/>
              </w:rPr>
            </w:pPr>
            <w:r w:rsidRPr="00885AB3">
              <w:rPr>
                <w:szCs w:val="20"/>
                <w:lang w:eastAsia="zh-CN"/>
              </w:rPr>
              <w:t>NA</w:t>
            </w:r>
          </w:p>
        </w:tc>
        <w:tc>
          <w:tcPr>
            <w:tcW w:w="1275" w:type="dxa"/>
            <w:noWrap/>
            <w:vAlign w:val="center"/>
            <w:hideMark/>
          </w:tcPr>
          <w:p w14:paraId="3B814B43" w14:textId="66346CB4" w:rsidR="00517113" w:rsidRPr="00885AB3" w:rsidRDefault="001C78D7" w:rsidP="00120D61">
            <w:pPr>
              <w:pStyle w:val="TableText0"/>
              <w:keepNext/>
              <w:rPr>
                <w:szCs w:val="20"/>
                <w:lang w:eastAsia="zh-CN"/>
              </w:rPr>
            </w:pPr>
            <w:r>
              <w:rPr>
                <w:szCs w:val="20"/>
                <w:lang w:eastAsia="zh-CN"/>
              </w:rPr>
              <w:t xml:space="preserve">&lt; </w:t>
            </w:r>
            <w:r w:rsidR="00517113" w:rsidRPr="00885AB3">
              <w:rPr>
                <w:szCs w:val="20"/>
                <w:lang w:eastAsia="zh-CN"/>
              </w:rPr>
              <w:t>0.1 %</w:t>
            </w:r>
          </w:p>
        </w:tc>
        <w:tc>
          <w:tcPr>
            <w:tcW w:w="1274" w:type="dxa"/>
            <w:noWrap/>
            <w:vAlign w:val="center"/>
            <w:hideMark/>
          </w:tcPr>
          <w:p w14:paraId="6A311EFB" w14:textId="6E1F3E6A" w:rsidR="00517113" w:rsidRPr="00885AB3" w:rsidRDefault="001C78D7" w:rsidP="00120D61">
            <w:pPr>
              <w:pStyle w:val="TableText0"/>
              <w:keepNext/>
              <w:rPr>
                <w:szCs w:val="20"/>
                <w:lang w:eastAsia="zh-CN"/>
              </w:rPr>
            </w:pPr>
            <w:r>
              <w:rPr>
                <w:szCs w:val="20"/>
                <w:lang w:eastAsia="zh-CN"/>
              </w:rPr>
              <w:t xml:space="preserve">&lt; </w:t>
            </w:r>
            <w:r w:rsidR="00517113" w:rsidRPr="00885AB3">
              <w:rPr>
                <w:szCs w:val="20"/>
                <w:lang w:eastAsia="zh-CN"/>
              </w:rPr>
              <w:t>0.1 %</w:t>
            </w:r>
          </w:p>
        </w:tc>
        <w:tc>
          <w:tcPr>
            <w:tcW w:w="994" w:type="dxa"/>
            <w:noWrap/>
            <w:vAlign w:val="center"/>
            <w:hideMark/>
          </w:tcPr>
          <w:p w14:paraId="797E749F" w14:textId="77777777" w:rsidR="00517113" w:rsidRPr="00885AB3" w:rsidRDefault="00517113" w:rsidP="00120D61">
            <w:pPr>
              <w:pStyle w:val="TableText0"/>
              <w:keepNext/>
              <w:rPr>
                <w:szCs w:val="20"/>
                <w:lang w:eastAsia="zh-CN"/>
              </w:rPr>
            </w:pPr>
            <w:r w:rsidRPr="00885AB3">
              <w:rPr>
                <w:szCs w:val="20"/>
                <w:lang w:eastAsia="zh-CN"/>
              </w:rPr>
              <w:t>NA </w:t>
            </w:r>
          </w:p>
        </w:tc>
      </w:tr>
      <w:tr w:rsidR="00517113" w:rsidRPr="00885AB3" w14:paraId="71AB5DA8" w14:textId="77777777">
        <w:trPr>
          <w:trHeight w:val="20"/>
        </w:trPr>
        <w:tc>
          <w:tcPr>
            <w:tcW w:w="2121" w:type="dxa"/>
            <w:vAlign w:val="center"/>
            <w:hideMark/>
          </w:tcPr>
          <w:p w14:paraId="3AD75038" w14:textId="77777777" w:rsidR="00517113" w:rsidRPr="00885AB3" w:rsidRDefault="00517113" w:rsidP="00120D61">
            <w:pPr>
              <w:pStyle w:val="TableText0"/>
              <w:keepNext/>
              <w:jc w:val="left"/>
              <w:rPr>
                <w:szCs w:val="20"/>
                <w:lang w:eastAsia="zh-CN"/>
              </w:rPr>
            </w:pPr>
            <w:r w:rsidRPr="00885AB3">
              <w:rPr>
                <w:szCs w:val="20"/>
                <w:lang w:eastAsia="zh-CN"/>
              </w:rPr>
              <w:t>Related</w:t>
            </w:r>
          </w:p>
        </w:tc>
        <w:tc>
          <w:tcPr>
            <w:tcW w:w="1134" w:type="dxa"/>
            <w:noWrap/>
            <w:vAlign w:val="center"/>
            <w:hideMark/>
          </w:tcPr>
          <w:p w14:paraId="712D4C76" w14:textId="77777777" w:rsidR="00517113" w:rsidRPr="00885AB3" w:rsidRDefault="00517113" w:rsidP="00120D61">
            <w:pPr>
              <w:pStyle w:val="TableText0"/>
              <w:keepNext/>
              <w:rPr>
                <w:szCs w:val="20"/>
                <w:lang w:eastAsia="zh-CN"/>
              </w:rPr>
            </w:pPr>
            <w:r w:rsidRPr="00885AB3">
              <w:rPr>
                <w:szCs w:val="20"/>
                <w:lang w:eastAsia="zh-CN"/>
              </w:rPr>
              <w:t>0.0%</w:t>
            </w:r>
          </w:p>
        </w:tc>
        <w:tc>
          <w:tcPr>
            <w:tcW w:w="1275" w:type="dxa"/>
            <w:noWrap/>
            <w:vAlign w:val="center"/>
            <w:hideMark/>
          </w:tcPr>
          <w:p w14:paraId="71DB2CB9" w14:textId="77777777" w:rsidR="00517113" w:rsidRPr="00885AB3" w:rsidRDefault="00517113" w:rsidP="00120D61">
            <w:pPr>
              <w:pStyle w:val="TableText0"/>
              <w:keepNext/>
              <w:rPr>
                <w:szCs w:val="20"/>
                <w:lang w:eastAsia="zh-CN"/>
              </w:rPr>
            </w:pPr>
            <w:r w:rsidRPr="00885AB3">
              <w:rPr>
                <w:szCs w:val="20"/>
                <w:lang w:eastAsia="zh-CN"/>
              </w:rPr>
              <w:t>0.0%</w:t>
            </w:r>
          </w:p>
        </w:tc>
        <w:tc>
          <w:tcPr>
            <w:tcW w:w="994" w:type="dxa"/>
            <w:noWrap/>
            <w:vAlign w:val="center"/>
            <w:hideMark/>
          </w:tcPr>
          <w:p w14:paraId="004F97BE" w14:textId="77777777" w:rsidR="00517113" w:rsidRPr="00885AB3" w:rsidRDefault="00517113" w:rsidP="00120D61">
            <w:pPr>
              <w:pStyle w:val="TableText0"/>
              <w:keepNext/>
              <w:rPr>
                <w:szCs w:val="20"/>
                <w:lang w:eastAsia="zh-CN"/>
              </w:rPr>
            </w:pPr>
            <w:r w:rsidRPr="00885AB3">
              <w:rPr>
                <w:szCs w:val="20"/>
                <w:lang w:eastAsia="zh-CN"/>
              </w:rPr>
              <w:t>NA</w:t>
            </w:r>
          </w:p>
        </w:tc>
        <w:tc>
          <w:tcPr>
            <w:tcW w:w="1275" w:type="dxa"/>
            <w:noWrap/>
            <w:vAlign w:val="center"/>
            <w:hideMark/>
          </w:tcPr>
          <w:p w14:paraId="087D021C" w14:textId="77777777" w:rsidR="00517113" w:rsidRPr="00885AB3" w:rsidRDefault="00517113" w:rsidP="00120D61">
            <w:pPr>
              <w:pStyle w:val="TableText0"/>
              <w:keepNext/>
              <w:rPr>
                <w:szCs w:val="20"/>
                <w:lang w:eastAsia="zh-CN"/>
              </w:rPr>
            </w:pPr>
            <w:r w:rsidRPr="00885AB3">
              <w:rPr>
                <w:szCs w:val="20"/>
                <w:lang w:eastAsia="zh-CN"/>
              </w:rPr>
              <w:t>0.0%</w:t>
            </w:r>
          </w:p>
        </w:tc>
        <w:tc>
          <w:tcPr>
            <w:tcW w:w="1274" w:type="dxa"/>
            <w:noWrap/>
            <w:vAlign w:val="center"/>
            <w:hideMark/>
          </w:tcPr>
          <w:p w14:paraId="3EC6947C" w14:textId="77777777" w:rsidR="00517113" w:rsidRPr="00885AB3" w:rsidRDefault="00517113" w:rsidP="00120D61">
            <w:pPr>
              <w:pStyle w:val="TableText0"/>
              <w:keepNext/>
              <w:rPr>
                <w:szCs w:val="20"/>
                <w:lang w:eastAsia="zh-CN"/>
              </w:rPr>
            </w:pPr>
            <w:r w:rsidRPr="00885AB3">
              <w:rPr>
                <w:szCs w:val="20"/>
                <w:lang w:eastAsia="zh-CN"/>
              </w:rPr>
              <w:t>0.0%</w:t>
            </w:r>
          </w:p>
        </w:tc>
        <w:tc>
          <w:tcPr>
            <w:tcW w:w="994" w:type="dxa"/>
            <w:noWrap/>
            <w:vAlign w:val="center"/>
            <w:hideMark/>
          </w:tcPr>
          <w:p w14:paraId="633B369F" w14:textId="77777777" w:rsidR="00517113" w:rsidRPr="00885AB3" w:rsidRDefault="00517113" w:rsidP="00120D61">
            <w:pPr>
              <w:pStyle w:val="TableText0"/>
              <w:keepNext/>
              <w:rPr>
                <w:szCs w:val="20"/>
                <w:lang w:eastAsia="zh-CN"/>
              </w:rPr>
            </w:pPr>
            <w:r w:rsidRPr="00885AB3">
              <w:rPr>
                <w:szCs w:val="20"/>
                <w:lang w:eastAsia="zh-CN"/>
              </w:rPr>
              <w:t>NA</w:t>
            </w:r>
          </w:p>
        </w:tc>
      </w:tr>
      <w:tr w:rsidR="00517113" w:rsidRPr="00885AB3" w14:paraId="4BA255B5" w14:textId="77777777" w:rsidTr="000878AE">
        <w:trPr>
          <w:trHeight w:val="20"/>
        </w:trPr>
        <w:tc>
          <w:tcPr>
            <w:tcW w:w="2121" w:type="dxa"/>
            <w:tcBorders>
              <w:bottom w:val="single" w:sz="4" w:space="0" w:color="auto"/>
            </w:tcBorders>
            <w:vAlign w:val="center"/>
            <w:hideMark/>
          </w:tcPr>
          <w:p w14:paraId="5634E573" w14:textId="77777777" w:rsidR="00517113" w:rsidRPr="00885AB3" w:rsidRDefault="00517113" w:rsidP="00120D61">
            <w:pPr>
              <w:pStyle w:val="TableText0"/>
              <w:keepNext/>
              <w:jc w:val="left"/>
              <w:rPr>
                <w:szCs w:val="20"/>
                <w:lang w:eastAsia="zh-CN"/>
              </w:rPr>
            </w:pPr>
            <w:proofErr w:type="spellStart"/>
            <w:r w:rsidRPr="00885AB3">
              <w:rPr>
                <w:szCs w:val="20"/>
                <w:lang w:eastAsia="zh-CN"/>
              </w:rPr>
              <w:t>Death</w:t>
            </w:r>
            <w:r w:rsidRPr="00885AB3">
              <w:rPr>
                <w:szCs w:val="20"/>
                <w:vertAlign w:val="superscript"/>
                <w:lang w:eastAsia="zh-CN"/>
              </w:rPr>
              <w:t>f</w:t>
            </w:r>
            <w:proofErr w:type="spellEnd"/>
          </w:p>
        </w:tc>
        <w:tc>
          <w:tcPr>
            <w:tcW w:w="1134" w:type="dxa"/>
            <w:tcBorders>
              <w:bottom w:val="single" w:sz="4" w:space="0" w:color="auto"/>
            </w:tcBorders>
            <w:noWrap/>
            <w:vAlign w:val="center"/>
            <w:hideMark/>
          </w:tcPr>
          <w:p w14:paraId="46534A83" w14:textId="77777777" w:rsidR="00517113" w:rsidRPr="00885AB3" w:rsidRDefault="00517113" w:rsidP="00120D61">
            <w:pPr>
              <w:pStyle w:val="TableText0"/>
              <w:keepNext/>
              <w:rPr>
                <w:szCs w:val="20"/>
                <w:lang w:eastAsia="zh-CN"/>
              </w:rPr>
            </w:pPr>
            <w:r w:rsidRPr="00885AB3">
              <w:rPr>
                <w:szCs w:val="20"/>
                <w:lang w:eastAsia="zh-CN"/>
              </w:rPr>
              <w:t>0.3%</w:t>
            </w:r>
          </w:p>
        </w:tc>
        <w:tc>
          <w:tcPr>
            <w:tcW w:w="1275" w:type="dxa"/>
            <w:tcBorders>
              <w:bottom w:val="single" w:sz="4" w:space="0" w:color="auto"/>
            </w:tcBorders>
            <w:noWrap/>
            <w:vAlign w:val="center"/>
            <w:hideMark/>
          </w:tcPr>
          <w:p w14:paraId="045E6659" w14:textId="77777777" w:rsidR="00517113" w:rsidRPr="00885AB3" w:rsidRDefault="00517113" w:rsidP="00120D61">
            <w:pPr>
              <w:pStyle w:val="TableText0"/>
              <w:keepNext/>
              <w:rPr>
                <w:szCs w:val="20"/>
                <w:lang w:eastAsia="zh-CN"/>
              </w:rPr>
            </w:pPr>
            <w:r w:rsidRPr="00885AB3">
              <w:rPr>
                <w:szCs w:val="20"/>
                <w:lang w:eastAsia="zh-CN"/>
              </w:rPr>
              <w:t>0.3%</w:t>
            </w:r>
          </w:p>
        </w:tc>
        <w:tc>
          <w:tcPr>
            <w:tcW w:w="994" w:type="dxa"/>
            <w:tcBorders>
              <w:bottom w:val="single" w:sz="4" w:space="0" w:color="auto"/>
            </w:tcBorders>
            <w:noWrap/>
            <w:vAlign w:val="center"/>
            <w:hideMark/>
          </w:tcPr>
          <w:p w14:paraId="3489273E" w14:textId="77777777" w:rsidR="00517113" w:rsidRPr="00885AB3" w:rsidRDefault="00517113" w:rsidP="00120D61">
            <w:pPr>
              <w:pStyle w:val="TableText0"/>
              <w:keepNext/>
              <w:rPr>
                <w:szCs w:val="20"/>
                <w:lang w:eastAsia="zh-CN"/>
              </w:rPr>
            </w:pPr>
            <w:r w:rsidRPr="00885AB3">
              <w:rPr>
                <w:szCs w:val="20"/>
                <w:lang w:eastAsia="zh-CN"/>
              </w:rPr>
              <w:t>1</w:t>
            </w:r>
          </w:p>
        </w:tc>
        <w:tc>
          <w:tcPr>
            <w:tcW w:w="1275" w:type="dxa"/>
            <w:tcBorders>
              <w:bottom w:val="single" w:sz="4" w:space="0" w:color="auto"/>
            </w:tcBorders>
            <w:noWrap/>
            <w:vAlign w:val="center"/>
            <w:hideMark/>
          </w:tcPr>
          <w:p w14:paraId="0CB3573C" w14:textId="77777777" w:rsidR="00517113" w:rsidRPr="00885AB3" w:rsidRDefault="00517113" w:rsidP="00120D61">
            <w:pPr>
              <w:pStyle w:val="TableText0"/>
              <w:keepNext/>
              <w:rPr>
                <w:szCs w:val="20"/>
                <w:lang w:eastAsia="zh-CN"/>
              </w:rPr>
            </w:pPr>
            <w:r w:rsidRPr="00885AB3">
              <w:rPr>
                <w:szCs w:val="20"/>
                <w:lang w:eastAsia="zh-CN"/>
              </w:rPr>
              <w:t>0.1%</w:t>
            </w:r>
          </w:p>
        </w:tc>
        <w:tc>
          <w:tcPr>
            <w:tcW w:w="1274" w:type="dxa"/>
            <w:tcBorders>
              <w:bottom w:val="single" w:sz="4" w:space="0" w:color="auto"/>
            </w:tcBorders>
            <w:noWrap/>
            <w:vAlign w:val="center"/>
            <w:hideMark/>
          </w:tcPr>
          <w:p w14:paraId="572646E0" w14:textId="77777777" w:rsidR="00517113" w:rsidRPr="00885AB3" w:rsidRDefault="00517113" w:rsidP="00120D61">
            <w:pPr>
              <w:pStyle w:val="TableText0"/>
              <w:keepNext/>
              <w:rPr>
                <w:szCs w:val="20"/>
                <w:lang w:eastAsia="zh-CN"/>
              </w:rPr>
            </w:pPr>
            <w:r w:rsidRPr="00885AB3">
              <w:rPr>
                <w:szCs w:val="20"/>
                <w:lang w:eastAsia="zh-CN"/>
              </w:rPr>
              <w:t>0.1%</w:t>
            </w:r>
          </w:p>
        </w:tc>
        <w:tc>
          <w:tcPr>
            <w:tcW w:w="994" w:type="dxa"/>
            <w:tcBorders>
              <w:bottom w:val="single" w:sz="4" w:space="0" w:color="auto"/>
            </w:tcBorders>
            <w:noWrap/>
            <w:vAlign w:val="center"/>
            <w:hideMark/>
          </w:tcPr>
          <w:p w14:paraId="7279F469" w14:textId="77777777" w:rsidR="00517113" w:rsidRPr="00885AB3" w:rsidRDefault="00517113" w:rsidP="00120D61">
            <w:pPr>
              <w:pStyle w:val="TableText0"/>
              <w:keepNext/>
              <w:rPr>
                <w:szCs w:val="20"/>
                <w:lang w:eastAsia="zh-CN"/>
              </w:rPr>
            </w:pPr>
            <w:r w:rsidRPr="00885AB3">
              <w:rPr>
                <w:szCs w:val="20"/>
                <w:lang w:eastAsia="zh-CN"/>
              </w:rPr>
              <w:t>1</w:t>
            </w:r>
          </w:p>
        </w:tc>
      </w:tr>
      <w:tr w:rsidR="00517113" w:rsidRPr="00885AB3" w14:paraId="0DEDAA1B" w14:textId="77777777" w:rsidTr="000878AE">
        <w:trPr>
          <w:trHeight w:val="20"/>
        </w:trPr>
        <w:tc>
          <w:tcPr>
            <w:tcW w:w="2121" w:type="dxa"/>
            <w:tcBorders>
              <w:bottom w:val="single" w:sz="24" w:space="0" w:color="auto"/>
            </w:tcBorders>
            <w:vAlign w:val="center"/>
            <w:hideMark/>
          </w:tcPr>
          <w:p w14:paraId="2DBEDA72" w14:textId="77777777" w:rsidR="00517113" w:rsidRPr="00885AB3" w:rsidRDefault="00517113" w:rsidP="00120D61">
            <w:pPr>
              <w:pStyle w:val="TableText0"/>
              <w:keepNext/>
              <w:jc w:val="left"/>
              <w:rPr>
                <w:szCs w:val="20"/>
                <w:lang w:eastAsia="zh-CN"/>
              </w:rPr>
            </w:pPr>
            <w:r w:rsidRPr="00885AB3">
              <w:rPr>
                <w:szCs w:val="20"/>
                <w:lang w:eastAsia="zh-CN"/>
              </w:rPr>
              <w:t>Deaths, related</w:t>
            </w:r>
          </w:p>
        </w:tc>
        <w:tc>
          <w:tcPr>
            <w:tcW w:w="1134" w:type="dxa"/>
            <w:tcBorders>
              <w:bottom w:val="single" w:sz="24" w:space="0" w:color="auto"/>
            </w:tcBorders>
            <w:noWrap/>
            <w:vAlign w:val="center"/>
            <w:hideMark/>
          </w:tcPr>
          <w:p w14:paraId="0DCF0B27" w14:textId="77777777" w:rsidR="00517113" w:rsidRPr="00885AB3" w:rsidRDefault="00517113" w:rsidP="00120D61">
            <w:pPr>
              <w:pStyle w:val="TableText0"/>
              <w:keepNext/>
              <w:rPr>
                <w:szCs w:val="20"/>
                <w:lang w:eastAsia="zh-CN"/>
              </w:rPr>
            </w:pPr>
            <w:r w:rsidRPr="00885AB3">
              <w:rPr>
                <w:szCs w:val="20"/>
                <w:lang w:eastAsia="zh-CN"/>
              </w:rPr>
              <w:t>0.0%</w:t>
            </w:r>
          </w:p>
        </w:tc>
        <w:tc>
          <w:tcPr>
            <w:tcW w:w="1275" w:type="dxa"/>
            <w:tcBorders>
              <w:bottom w:val="single" w:sz="24" w:space="0" w:color="auto"/>
            </w:tcBorders>
            <w:noWrap/>
            <w:vAlign w:val="center"/>
            <w:hideMark/>
          </w:tcPr>
          <w:p w14:paraId="5AEB926F" w14:textId="77777777" w:rsidR="00517113" w:rsidRPr="00885AB3" w:rsidRDefault="00517113" w:rsidP="00120D61">
            <w:pPr>
              <w:pStyle w:val="TableText0"/>
              <w:keepNext/>
              <w:rPr>
                <w:szCs w:val="20"/>
                <w:lang w:eastAsia="zh-CN"/>
              </w:rPr>
            </w:pPr>
            <w:r w:rsidRPr="00885AB3">
              <w:rPr>
                <w:szCs w:val="20"/>
                <w:lang w:eastAsia="zh-CN"/>
              </w:rPr>
              <w:t>0.0%</w:t>
            </w:r>
          </w:p>
        </w:tc>
        <w:tc>
          <w:tcPr>
            <w:tcW w:w="994" w:type="dxa"/>
            <w:tcBorders>
              <w:bottom w:val="single" w:sz="24" w:space="0" w:color="auto"/>
            </w:tcBorders>
            <w:noWrap/>
            <w:vAlign w:val="center"/>
            <w:hideMark/>
          </w:tcPr>
          <w:p w14:paraId="1A5DA02A" w14:textId="77777777" w:rsidR="00517113" w:rsidRPr="00885AB3" w:rsidRDefault="00517113" w:rsidP="00120D61">
            <w:pPr>
              <w:pStyle w:val="TableText0"/>
              <w:keepNext/>
              <w:rPr>
                <w:szCs w:val="20"/>
                <w:lang w:eastAsia="zh-CN"/>
              </w:rPr>
            </w:pPr>
            <w:r w:rsidRPr="00885AB3">
              <w:rPr>
                <w:szCs w:val="20"/>
                <w:lang w:eastAsia="zh-CN"/>
              </w:rPr>
              <w:t>NA</w:t>
            </w:r>
          </w:p>
        </w:tc>
        <w:tc>
          <w:tcPr>
            <w:tcW w:w="1275" w:type="dxa"/>
            <w:tcBorders>
              <w:bottom w:val="single" w:sz="24" w:space="0" w:color="auto"/>
            </w:tcBorders>
            <w:noWrap/>
            <w:vAlign w:val="center"/>
            <w:hideMark/>
          </w:tcPr>
          <w:p w14:paraId="14D63E0E" w14:textId="77777777" w:rsidR="00517113" w:rsidRPr="00885AB3" w:rsidRDefault="00517113" w:rsidP="00120D61">
            <w:pPr>
              <w:pStyle w:val="TableText0"/>
              <w:keepNext/>
              <w:rPr>
                <w:szCs w:val="20"/>
                <w:lang w:eastAsia="zh-CN"/>
              </w:rPr>
            </w:pPr>
            <w:r w:rsidRPr="00885AB3">
              <w:rPr>
                <w:szCs w:val="20"/>
                <w:lang w:eastAsia="zh-CN"/>
              </w:rPr>
              <w:t>0.0%</w:t>
            </w:r>
          </w:p>
        </w:tc>
        <w:tc>
          <w:tcPr>
            <w:tcW w:w="1274" w:type="dxa"/>
            <w:tcBorders>
              <w:bottom w:val="single" w:sz="24" w:space="0" w:color="auto"/>
            </w:tcBorders>
            <w:noWrap/>
            <w:vAlign w:val="center"/>
            <w:hideMark/>
          </w:tcPr>
          <w:p w14:paraId="7A176DE8" w14:textId="77777777" w:rsidR="00517113" w:rsidRPr="00885AB3" w:rsidRDefault="00517113" w:rsidP="00120D61">
            <w:pPr>
              <w:pStyle w:val="TableText0"/>
              <w:keepNext/>
              <w:rPr>
                <w:szCs w:val="20"/>
                <w:lang w:eastAsia="zh-CN"/>
              </w:rPr>
            </w:pPr>
            <w:r w:rsidRPr="00885AB3">
              <w:rPr>
                <w:szCs w:val="20"/>
                <w:lang w:eastAsia="zh-CN"/>
              </w:rPr>
              <w:t>0.0%</w:t>
            </w:r>
          </w:p>
        </w:tc>
        <w:tc>
          <w:tcPr>
            <w:tcW w:w="994" w:type="dxa"/>
            <w:tcBorders>
              <w:bottom w:val="single" w:sz="24" w:space="0" w:color="auto"/>
            </w:tcBorders>
            <w:noWrap/>
            <w:vAlign w:val="center"/>
            <w:hideMark/>
          </w:tcPr>
          <w:p w14:paraId="6FE060C7" w14:textId="77777777" w:rsidR="00517113" w:rsidRPr="00885AB3" w:rsidRDefault="00517113" w:rsidP="00120D61">
            <w:pPr>
              <w:pStyle w:val="TableText0"/>
              <w:keepNext/>
              <w:rPr>
                <w:szCs w:val="20"/>
                <w:lang w:eastAsia="zh-CN"/>
              </w:rPr>
            </w:pPr>
            <w:r w:rsidRPr="00885AB3">
              <w:rPr>
                <w:szCs w:val="20"/>
                <w:lang w:eastAsia="zh-CN"/>
              </w:rPr>
              <w:t>NA</w:t>
            </w:r>
          </w:p>
        </w:tc>
      </w:tr>
      <w:tr w:rsidR="00517113" w:rsidRPr="00885AB3" w14:paraId="2B3301B5" w14:textId="77777777" w:rsidTr="000878AE">
        <w:trPr>
          <w:trHeight w:val="20"/>
        </w:trPr>
        <w:tc>
          <w:tcPr>
            <w:tcW w:w="9067" w:type="dxa"/>
            <w:gridSpan w:val="7"/>
            <w:tcBorders>
              <w:top w:val="single" w:sz="24" w:space="0" w:color="auto"/>
            </w:tcBorders>
            <w:vAlign w:val="center"/>
            <w:hideMark/>
          </w:tcPr>
          <w:p w14:paraId="71A3925E" w14:textId="77777777" w:rsidR="00517113" w:rsidRPr="00885AB3" w:rsidRDefault="00517113" w:rsidP="00120D61">
            <w:pPr>
              <w:pStyle w:val="TableText0"/>
              <w:keepNext/>
              <w:jc w:val="left"/>
              <w:rPr>
                <w:b/>
                <w:szCs w:val="20"/>
              </w:rPr>
            </w:pPr>
            <w:r w:rsidRPr="00885AB3">
              <w:rPr>
                <w:b/>
                <w:bCs/>
                <w:szCs w:val="20"/>
              </w:rPr>
              <w:t xml:space="preserve">Comparison of AreSVi-006 vs </w:t>
            </w:r>
            <w:proofErr w:type="spellStart"/>
            <w:r w:rsidRPr="00885AB3">
              <w:rPr>
                <w:b/>
                <w:bCs/>
                <w:szCs w:val="20"/>
              </w:rPr>
              <w:t>ConquerRSV</w:t>
            </w:r>
            <w:proofErr w:type="spellEnd"/>
          </w:p>
        </w:tc>
      </w:tr>
      <w:tr w:rsidR="00517113" w:rsidRPr="00885AB3" w14:paraId="0EF678AA" w14:textId="77777777" w:rsidTr="00F704FA">
        <w:trPr>
          <w:trHeight w:val="20"/>
        </w:trPr>
        <w:tc>
          <w:tcPr>
            <w:tcW w:w="2121" w:type="dxa"/>
            <w:vMerge w:val="restart"/>
            <w:vAlign w:val="center"/>
            <w:hideMark/>
          </w:tcPr>
          <w:p w14:paraId="5ED54369" w14:textId="49B6642D" w:rsidR="00517113" w:rsidRPr="00885AB3" w:rsidRDefault="003F7C99" w:rsidP="00120D61">
            <w:pPr>
              <w:pStyle w:val="TableText0"/>
              <w:keepNext/>
              <w:jc w:val="left"/>
              <w:rPr>
                <w:szCs w:val="20"/>
              </w:rPr>
            </w:pPr>
            <w:r w:rsidRPr="00885AB3">
              <w:rPr>
                <w:b/>
                <w:bCs/>
                <w:szCs w:val="20"/>
              </w:rPr>
              <w:t>Outcome</w:t>
            </w:r>
          </w:p>
        </w:tc>
        <w:tc>
          <w:tcPr>
            <w:tcW w:w="3403" w:type="dxa"/>
            <w:gridSpan w:val="3"/>
            <w:vAlign w:val="center"/>
            <w:hideMark/>
          </w:tcPr>
          <w:p w14:paraId="3687F800" w14:textId="77777777" w:rsidR="00517113" w:rsidRPr="00885AB3" w:rsidRDefault="00517113" w:rsidP="00120D61">
            <w:pPr>
              <w:pStyle w:val="TableText0"/>
              <w:keepNext/>
              <w:rPr>
                <w:b/>
                <w:szCs w:val="20"/>
              </w:rPr>
            </w:pPr>
            <w:r w:rsidRPr="00885AB3">
              <w:rPr>
                <w:b/>
                <w:szCs w:val="20"/>
              </w:rPr>
              <w:t>AreSVi-006</w:t>
            </w:r>
            <w:r w:rsidRPr="00885AB3">
              <w:rPr>
                <w:b/>
                <w:szCs w:val="20"/>
                <w:vertAlign w:val="superscript"/>
              </w:rPr>
              <w:t>c</w:t>
            </w:r>
          </w:p>
        </w:tc>
        <w:tc>
          <w:tcPr>
            <w:tcW w:w="3543" w:type="dxa"/>
            <w:gridSpan w:val="3"/>
            <w:noWrap/>
            <w:vAlign w:val="center"/>
            <w:hideMark/>
          </w:tcPr>
          <w:p w14:paraId="1941DE36" w14:textId="77777777" w:rsidR="00517113" w:rsidRPr="00885AB3" w:rsidRDefault="00517113" w:rsidP="00120D61">
            <w:pPr>
              <w:pStyle w:val="TableText0"/>
              <w:keepNext/>
              <w:rPr>
                <w:b/>
                <w:szCs w:val="20"/>
              </w:rPr>
            </w:pPr>
            <w:proofErr w:type="spellStart"/>
            <w:r w:rsidRPr="00885AB3">
              <w:rPr>
                <w:b/>
                <w:szCs w:val="20"/>
              </w:rPr>
              <w:t>ConquerRSV</w:t>
            </w:r>
            <w:r w:rsidRPr="00885AB3">
              <w:rPr>
                <w:b/>
                <w:szCs w:val="20"/>
                <w:vertAlign w:val="superscript"/>
              </w:rPr>
              <w:t>d</w:t>
            </w:r>
            <w:proofErr w:type="spellEnd"/>
          </w:p>
        </w:tc>
      </w:tr>
      <w:tr w:rsidR="00517113" w:rsidRPr="00885AB3" w14:paraId="6286C903" w14:textId="77777777" w:rsidTr="00F704FA">
        <w:trPr>
          <w:trHeight w:val="20"/>
        </w:trPr>
        <w:tc>
          <w:tcPr>
            <w:tcW w:w="2121" w:type="dxa"/>
            <w:vMerge/>
            <w:vAlign w:val="center"/>
            <w:hideMark/>
          </w:tcPr>
          <w:p w14:paraId="207FCA55" w14:textId="77777777" w:rsidR="00517113" w:rsidRPr="00885AB3" w:rsidRDefault="00517113" w:rsidP="00120D61">
            <w:pPr>
              <w:pStyle w:val="TableText0"/>
              <w:keepNext/>
              <w:jc w:val="left"/>
              <w:rPr>
                <w:szCs w:val="20"/>
              </w:rPr>
            </w:pPr>
          </w:p>
        </w:tc>
        <w:tc>
          <w:tcPr>
            <w:tcW w:w="1134" w:type="dxa"/>
            <w:vAlign w:val="center"/>
            <w:hideMark/>
          </w:tcPr>
          <w:p w14:paraId="6181D7AC" w14:textId="77777777" w:rsidR="00517113" w:rsidRPr="00885AB3" w:rsidRDefault="00517113" w:rsidP="00120D61">
            <w:pPr>
              <w:pStyle w:val="TableText0"/>
              <w:keepNext/>
              <w:rPr>
                <w:b/>
                <w:bCs/>
                <w:szCs w:val="20"/>
              </w:rPr>
            </w:pPr>
            <w:r w:rsidRPr="00885AB3">
              <w:rPr>
                <w:b/>
                <w:bCs/>
                <w:szCs w:val="20"/>
              </w:rPr>
              <w:t>RSVPreF3 OA Incidence</w:t>
            </w:r>
          </w:p>
          <w:p w14:paraId="4D3BD58C" w14:textId="77777777" w:rsidR="00517113" w:rsidRPr="00885AB3" w:rsidRDefault="00517113" w:rsidP="00120D61">
            <w:pPr>
              <w:pStyle w:val="TableText0"/>
              <w:keepNext/>
              <w:rPr>
                <w:b/>
                <w:bCs/>
                <w:szCs w:val="20"/>
              </w:rPr>
            </w:pPr>
            <w:r w:rsidRPr="00885AB3">
              <w:rPr>
                <w:b/>
                <w:bCs/>
                <w:szCs w:val="20"/>
              </w:rPr>
              <w:t>N=879</w:t>
            </w:r>
          </w:p>
        </w:tc>
        <w:tc>
          <w:tcPr>
            <w:tcW w:w="1275" w:type="dxa"/>
            <w:vAlign w:val="center"/>
            <w:hideMark/>
          </w:tcPr>
          <w:p w14:paraId="0B7C4390" w14:textId="1D6F559C" w:rsidR="00517113" w:rsidRPr="00885AB3" w:rsidRDefault="00517113" w:rsidP="00120D61">
            <w:pPr>
              <w:pStyle w:val="TableText0"/>
              <w:keepNext/>
              <w:rPr>
                <w:b/>
                <w:bCs/>
                <w:szCs w:val="20"/>
              </w:rPr>
            </w:pPr>
            <w:r w:rsidRPr="00885AB3">
              <w:rPr>
                <w:b/>
                <w:bCs/>
                <w:szCs w:val="20"/>
              </w:rPr>
              <w:t>Placebo Incidence N=</w:t>
            </w:r>
            <w:r w:rsidR="00C23321" w:rsidRPr="00885AB3">
              <w:rPr>
                <w:b/>
                <w:bCs/>
                <w:szCs w:val="20"/>
              </w:rPr>
              <w:t>878</w:t>
            </w:r>
          </w:p>
        </w:tc>
        <w:tc>
          <w:tcPr>
            <w:tcW w:w="994" w:type="dxa"/>
            <w:vAlign w:val="center"/>
            <w:hideMark/>
          </w:tcPr>
          <w:p w14:paraId="3938ADC6" w14:textId="35353934" w:rsidR="00517113" w:rsidRPr="00885AB3" w:rsidRDefault="00517113" w:rsidP="00120D61">
            <w:pPr>
              <w:pStyle w:val="TableText0"/>
              <w:keepNext/>
              <w:rPr>
                <w:b/>
                <w:bCs/>
                <w:szCs w:val="20"/>
              </w:rPr>
            </w:pPr>
            <w:r w:rsidRPr="00885AB3">
              <w:rPr>
                <w:b/>
                <w:bCs/>
                <w:szCs w:val="20"/>
              </w:rPr>
              <w:t>Crude ratio</w:t>
            </w:r>
          </w:p>
        </w:tc>
        <w:tc>
          <w:tcPr>
            <w:tcW w:w="1275" w:type="dxa"/>
            <w:noWrap/>
            <w:vAlign w:val="center"/>
            <w:hideMark/>
          </w:tcPr>
          <w:p w14:paraId="4E6F6330" w14:textId="77777777" w:rsidR="00517113" w:rsidRPr="00885AB3" w:rsidRDefault="00517113" w:rsidP="00120D61">
            <w:pPr>
              <w:pStyle w:val="TableText0"/>
              <w:keepNext/>
              <w:rPr>
                <w:b/>
                <w:bCs/>
                <w:szCs w:val="20"/>
              </w:rPr>
            </w:pPr>
            <w:r w:rsidRPr="00885AB3">
              <w:rPr>
                <w:b/>
                <w:bCs/>
                <w:szCs w:val="20"/>
              </w:rPr>
              <w:t>mRNA-1345</w:t>
            </w:r>
          </w:p>
          <w:p w14:paraId="223D159C" w14:textId="77777777" w:rsidR="00517113" w:rsidRPr="00885AB3" w:rsidRDefault="00517113" w:rsidP="00120D61">
            <w:pPr>
              <w:pStyle w:val="TableText0"/>
              <w:keepNext/>
              <w:rPr>
                <w:b/>
                <w:bCs/>
                <w:szCs w:val="20"/>
              </w:rPr>
            </w:pPr>
            <w:r w:rsidRPr="00885AB3">
              <w:rPr>
                <w:b/>
                <w:bCs/>
                <w:szCs w:val="20"/>
              </w:rPr>
              <w:t>Incidence</w:t>
            </w:r>
          </w:p>
          <w:p w14:paraId="1C72CE1A" w14:textId="77777777" w:rsidR="00517113" w:rsidRPr="00885AB3" w:rsidRDefault="00517113" w:rsidP="00120D61">
            <w:pPr>
              <w:pStyle w:val="TableText0"/>
              <w:keepNext/>
              <w:rPr>
                <w:b/>
                <w:bCs/>
                <w:szCs w:val="20"/>
              </w:rPr>
            </w:pPr>
            <w:r w:rsidRPr="00885AB3">
              <w:rPr>
                <w:b/>
                <w:bCs/>
                <w:szCs w:val="20"/>
              </w:rPr>
              <w:t>N=17,665</w:t>
            </w:r>
          </w:p>
        </w:tc>
        <w:tc>
          <w:tcPr>
            <w:tcW w:w="1274" w:type="dxa"/>
            <w:noWrap/>
            <w:vAlign w:val="center"/>
            <w:hideMark/>
          </w:tcPr>
          <w:p w14:paraId="7B597968" w14:textId="77777777" w:rsidR="00517113" w:rsidRPr="00885AB3" w:rsidRDefault="00517113" w:rsidP="00120D61">
            <w:pPr>
              <w:pStyle w:val="TableText0"/>
              <w:keepNext/>
              <w:rPr>
                <w:b/>
                <w:bCs/>
                <w:szCs w:val="20"/>
              </w:rPr>
            </w:pPr>
            <w:r w:rsidRPr="00885AB3">
              <w:rPr>
                <w:b/>
                <w:bCs/>
                <w:szCs w:val="20"/>
              </w:rPr>
              <w:t>Placebo Incidence N=17,679</w:t>
            </w:r>
          </w:p>
        </w:tc>
        <w:tc>
          <w:tcPr>
            <w:tcW w:w="994" w:type="dxa"/>
            <w:noWrap/>
            <w:vAlign w:val="center"/>
            <w:hideMark/>
          </w:tcPr>
          <w:p w14:paraId="3293934D" w14:textId="55E042BA" w:rsidR="00517113" w:rsidRPr="00885AB3" w:rsidRDefault="00517113" w:rsidP="00120D61">
            <w:pPr>
              <w:pStyle w:val="TableText0"/>
              <w:keepNext/>
              <w:rPr>
                <w:b/>
                <w:bCs/>
                <w:szCs w:val="20"/>
              </w:rPr>
            </w:pPr>
            <w:r w:rsidRPr="00885AB3">
              <w:rPr>
                <w:b/>
                <w:bCs/>
                <w:szCs w:val="20"/>
              </w:rPr>
              <w:t>Crude ratio</w:t>
            </w:r>
          </w:p>
        </w:tc>
      </w:tr>
      <w:tr w:rsidR="00517113" w:rsidRPr="00885AB3" w14:paraId="3FFB6CD0" w14:textId="77777777">
        <w:trPr>
          <w:trHeight w:val="20"/>
        </w:trPr>
        <w:tc>
          <w:tcPr>
            <w:tcW w:w="9067" w:type="dxa"/>
            <w:gridSpan w:val="7"/>
            <w:vAlign w:val="center"/>
            <w:hideMark/>
          </w:tcPr>
          <w:p w14:paraId="67DA6256" w14:textId="77777777" w:rsidR="00517113" w:rsidRPr="00885AB3" w:rsidRDefault="00517113" w:rsidP="00120D61">
            <w:pPr>
              <w:pStyle w:val="TableText0"/>
              <w:keepNext/>
              <w:jc w:val="left"/>
              <w:rPr>
                <w:b/>
                <w:szCs w:val="20"/>
              </w:rPr>
            </w:pPr>
            <w:r w:rsidRPr="00885AB3">
              <w:rPr>
                <w:b/>
                <w:szCs w:val="20"/>
              </w:rPr>
              <w:t xml:space="preserve">Solicited local and systemic </w:t>
            </w:r>
            <w:proofErr w:type="spellStart"/>
            <w:r w:rsidRPr="00885AB3">
              <w:rPr>
                <w:b/>
                <w:bCs/>
                <w:szCs w:val="20"/>
              </w:rPr>
              <w:t>ARs</w:t>
            </w:r>
            <w:r w:rsidRPr="00885AB3">
              <w:rPr>
                <w:b/>
                <w:bCs/>
                <w:szCs w:val="20"/>
                <w:vertAlign w:val="superscript"/>
              </w:rPr>
              <w:t>a</w:t>
            </w:r>
            <w:r w:rsidRPr="00885AB3">
              <w:rPr>
                <w:b/>
                <w:szCs w:val="20"/>
                <w:vertAlign w:val="superscript"/>
              </w:rPr>
              <w:t>,b</w:t>
            </w:r>
            <w:proofErr w:type="spellEnd"/>
          </w:p>
        </w:tc>
      </w:tr>
      <w:tr w:rsidR="00517113" w:rsidRPr="00885AB3" w14:paraId="37AD90F1" w14:textId="77777777">
        <w:trPr>
          <w:trHeight w:val="20"/>
        </w:trPr>
        <w:tc>
          <w:tcPr>
            <w:tcW w:w="2121" w:type="dxa"/>
            <w:vAlign w:val="center"/>
            <w:hideMark/>
          </w:tcPr>
          <w:p w14:paraId="2B8A2CCC" w14:textId="77777777" w:rsidR="00517113" w:rsidRPr="00885AB3" w:rsidRDefault="00517113" w:rsidP="00120D61">
            <w:pPr>
              <w:pStyle w:val="TableText0"/>
              <w:keepNext/>
              <w:jc w:val="left"/>
              <w:rPr>
                <w:szCs w:val="20"/>
              </w:rPr>
            </w:pPr>
            <w:r w:rsidRPr="00885AB3">
              <w:rPr>
                <w:szCs w:val="20"/>
              </w:rPr>
              <w:t>Any solicited reaction</w:t>
            </w:r>
          </w:p>
        </w:tc>
        <w:tc>
          <w:tcPr>
            <w:tcW w:w="1134" w:type="dxa"/>
            <w:vAlign w:val="center"/>
            <w:hideMark/>
          </w:tcPr>
          <w:p w14:paraId="6EE561A7" w14:textId="77777777" w:rsidR="00517113" w:rsidRPr="00885AB3" w:rsidRDefault="00517113" w:rsidP="00120D61">
            <w:pPr>
              <w:pStyle w:val="TableText0"/>
              <w:keepNext/>
              <w:rPr>
                <w:szCs w:val="20"/>
              </w:rPr>
            </w:pPr>
            <w:r w:rsidRPr="00885AB3">
              <w:rPr>
                <w:szCs w:val="20"/>
              </w:rPr>
              <w:t>71.9%</w:t>
            </w:r>
          </w:p>
        </w:tc>
        <w:tc>
          <w:tcPr>
            <w:tcW w:w="1275" w:type="dxa"/>
            <w:vAlign w:val="center"/>
            <w:hideMark/>
          </w:tcPr>
          <w:p w14:paraId="70E031CF" w14:textId="77777777" w:rsidR="00517113" w:rsidRPr="00885AB3" w:rsidRDefault="00517113" w:rsidP="00120D61">
            <w:pPr>
              <w:pStyle w:val="TableText0"/>
              <w:keepNext/>
              <w:rPr>
                <w:szCs w:val="20"/>
              </w:rPr>
            </w:pPr>
            <w:r w:rsidRPr="00885AB3">
              <w:rPr>
                <w:szCs w:val="20"/>
              </w:rPr>
              <w:t>27.9%</w:t>
            </w:r>
          </w:p>
        </w:tc>
        <w:tc>
          <w:tcPr>
            <w:tcW w:w="994" w:type="dxa"/>
            <w:vAlign w:val="center"/>
            <w:hideMark/>
          </w:tcPr>
          <w:p w14:paraId="63E3D300" w14:textId="77777777" w:rsidR="00517113" w:rsidRPr="00885AB3" w:rsidRDefault="00517113" w:rsidP="00120D61">
            <w:pPr>
              <w:pStyle w:val="TableText0"/>
              <w:keepNext/>
              <w:rPr>
                <w:szCs w:val="20"/>
              </w:rPr>
            </w:pPr>
            <w:r w:rsidRPr="00885AB3">
              <w:rPr>
                <w:szCs w:val="20"/>
              </w:rPr>
              <w:t>2.6</w:t>
            </w:r>
          </w:p>
        </w:tc>
        <w:tc>
          <w:tcPr>
            <w:tcW w:w="1275" w:type="dxa"/>
            <w:noWrap/>
            <w:vAlign w:val="center"/>
            <w:hideMark/>
          </w:tcPr>
          <w:p w14:paraId="36228A22" w14:textId="77777777" w:rsidR="00517113" w:rsidRPr="00885AB3" w:rsidRDefault="00517113" w:rsidP="00120D61">
            <w:pPr>
              <w:pStyle w:val="TableText0"/>
              <w:keepNext/>
              <w:rPr>
                <w:szCs w:val="20"/>
              </w:rPr>
            </w:pPr>
            <w:r w:rsidRPr="00885AB3">
              <w:rPr>
                <w:szCs w:val="20"/>
              </w:rPr>
              <w:t>68.6%</w:t>
            </w:r>
          </w:p>
        </w:tc>
        <w:tc>
          <w:tcPr>
            <w:tcW w:w="1274" w:type="dxa"/>
            <w:noWrap/>
            <w:vAlign w:val="center"/>
            <w:hideMark/>
          </w:tcPr>
          <w:p w14:paraId="6619F9BD" w14:textId="77777777" w:rsidR="00517113" w:rsidRPr="00885AB3" w:rsidRDefault="00517113" w:rsidP="00120D61">
            <w:pPr>
              <w:pStyle w:val="TableText0"/>
              <w:keepNext/>
              <w:rPr>
                <w:szCs w:val="20"/>
              </w:rPr>
            </w:pPr>
            <w:r w:rsidRPr="00885AB3">
              <w:rPr>
                <w:szCs w:val="20"/>
              </w:rPr>
              <w:t>38.5%</w:t>
            </w:r>
          </w:p>
        </w:tc>
        <w:tc>
          <w:tcPr>
            <w:tcW w:w="994" w:type="dxa"/>
            <w:noWrap/>
            <w:vAlign w:val="center"/>
            <w:hideMark/>
          </w:tcPr>
          <w:p w14:paraId="0D8EBB21" w14:textId="77777777" w:rsidR="00517113" w:rsidRPr="00885AB3" w:rsidRDefault="00517113" w:rsidP="00120D61">
            <w:pPr>
              <w:pStyle w:val="TableText0"/>
              <w:keepNext/>
              <w:rPr>
                <w:szCs w:val="20"/>
              </w:rPr>
            </w:pPr>
            <w:r w:rsidRPr="00885AB3">
              <w:rPr>
                <w:szCs w:val="20"/>
              </w:rPr>
              <w:t>1.8</w:t>
            </w:r>
          </w:p>
        </w:tc>
      </w:tr>
      <w:tr w:rsidR="00517113" w:rsidRPr="00885AB3" w14:paraId="74CA5AC4" w14:textId="77777777">
        <w:trPr>
          <w:trHeight w:val="20"/>
        </w:trPr>
        <w:tc>
          <w:tcPr>
            <w:tcW w:w="2121" w:type="dxa"/>
            <w:vAlign w:val="center"/>
            <w:hideMark/>
          </w:tcPr>
          <w:p w14:paraId="189E50FC" w14:textId="77777777" w:rsidR="00517113" w:rsidRPr="00885AB3" w:rsidRDefault="00517113" w:rsidP="00120D61">
            <w:pPr>
              <w:pStyle w:val="TableText0"/>
              <w:keepNext/>
              <w:jc w:val="left"/>
              <w:rPr>
                <w:szCs w:val="20"/>
              </w:rPr>
            </w:pPr>
            <w:r w:rsidRPr="00885AB3">
              <w:rPr>
                <w:szCs w:val="20"/>
              </w:rPr>
              <w:t>Any Grade 3 or 4 solicited reaction</w:t>
            </w:r>
          </w:p>
        </w:tc>
        <w:tc>
          <w:tcPr>
            <w:tcW w:w="1134" w:type="dxa"/>
            <w:vAlign w:val="center"/>
            <w:hideMark/>
          </w:tcPr>
          <w:p w14:paraId="0C958873" w14:textId="77777777" w:rsidR="00517113" w:rsidRPr="00885AB3" w:rsidRDefault="00517113" w:rsidP="00120D61">
            <w:pPr>
              <w:pStyle w:val="TableText0"/>
              <w:keepNext/>
              <w:rPr>
                <w:szCs w:val="20"/>
              </w:rPr>
            </w:pPr>
            <w:r w:rsidRPr="00885AB3">
              <w:rPr>
                <w:szCs w:val="20"/>
              </w:rPr>
              <w:t>4.1%</w:t>
            </w:r>
          </w:p>
        </w:tc>
        <w:tc>
          <w:tcPr>
            <w:tcW w:w="1275" w:type="dxa"/>
            <w:vAlign w:val="center"/>
            <w:hideMark/>
          </w:tcPr>
          <w:p w14:paraId="5FA06065" w14:textId="77777777" w:rsidR="00517113" w:rsidRPr="00885AB3" w:rsidRDefault="00517113" w:rsidP="00120D61">
            <w:pPr>
              <w:pStyle w:val="TableText0"/>
              <w:keepNext/>
              <w:rPr>
                <w:szCs w:val="20"/>
              </w:rPr>
            </w:pPr>
            <w:r w:rsidRPr="00885AB3">
              <w:rPr>
                <w:szCs w:val="20"/>
              </w:rPr>
              <w:t>0.9%</w:t>
            </w:r>
          </w:p>
        </w:tc>
        <w:tc>
          <w:tcPr>
            <w:tcW w:w="994" w:type="dxa"/>
            <w:vAlign w:val="center"/>
            <w:hideMark/>
          </w:tcPr>
          <w:p w14:paraId="269EDA82" w14:textId="77777777" w:rsidR="00517113" w:rsidRPr="00885AB3" w:rsidRDefault="00517113" w:rsidP="00120D61">
            <w:pPr>
              <w:pStyle w:val="TableText0"/>
              <w:keepNext/>
              <w:rPr>
                <w:szCs w:val="20"/>
              </w:rPr>
            </w:pPr>
            <w:r w:rsidRPr="00885AB3">
              <w:rPr>
                <w:szCs w:val="20"/>
              </w:rPr>
              <w:t>4.6</w:t>
            </w:r>
          </w:p>
        </w:tc>
        <w:tc>
          <w:tcPr>
            <w:tcW w:w="1275" w:type="dxa"/>
            <w:noWrap/>
            <w:vAlign w:val="center"/>
            <w:hideMark/>
          </w:tcPr>
          <w:p w14:paraId="37318292" w14:textId="77777777" w:rsidR="00517113" w:rsidRPr="00885AB3" w:rsidRDefault="00517113" w:rsidP="00120D61">
            <w:pPr>
              <w:pStyle w:val="TableText0"/>
              <w:keepNext/>
              <w:rPr>
                <w:szCs w:val="20"/>
              </w:rPr>
            </w:pPr>
            <w:r w:rsidRPr="00885AB3">
              <w:rPr>
                <w:szCs w:val="20"/>
              </w:rPr>
              <w:t>6.2%</w:t>
            </w:r>
          </w:p>
        </w:tc>
        <w:tc>
          <w:tcPr>
            <w:tcW w:w="1274" w:type="dxa"/>
            <w:noWrap/>
            <w:vAlign w:val="center"/>
            <w:hideMark/>
          </w:tcPr>
          <w:p w14:paraId="016AF09C" w14:textId="77777777" w:rsidR="00517113" w:rsidRPr="00885AB3" w:rsidRDefault="00517113" w:rsidP="00120D61">
            <w:pPr>
              <w:pStyle w:val="TableText0"/>
              <w:keepNext/>
              <w:rPr>
                <w:szCs w:val="20"/>
              </w:rPr>
            </w:pPr>
            <w:r w:rsidRPr="00885AB3">
              <w:rPr>
                <w:szCs w:val="20"/>
              </w:rPr>
              <w:t>4.1%</w:t>
            </w:r>
          </w:p>
        </w:tc>
        <w:tc>
          <w:tcPr>
            <w:tcW w:w="994" w:type="dxa"/>
            <w:noWrap/>
            <w:vAlign w:val="center"/>
            <w:hideMark/>
          </w:tcPr>
          <w:p w14:paraId="7E9D54C7" w14:textId="77777777" w:rsidR="00517113" w:rsidRPr="00885AB3" w:rsidRDefault="00517113" w:rsidP="00120D61">
            <w:pPr>
              <w:pStyle w:val="TableText0"/>
              <w:keepNext/>
              <w:rPr>
                <w:szCs w:val="20"/>
              </w:rPr>
            </w:pPr>
            <w:r w:rsidRPr="00885AB3">
              <w:rPr>
                <w:szCs w:val="20"/>
              </w:rPr>
              <w:t>1.5</w:t>
            </w:r>
          </w:p>
        </w:tc>
      </w:tr>
      <w:tr w:rsidR="00517113" w:rsidRPr="00885AB3" w14:paraId="7DB77983" w14:textId="77777777">
        <w:trPr>
          <w:trHeight w:val="20"/>
        </w:trPr>
        <w:tc>
          <w:tcPr>
            <w:tcW w:w="9067" w:type="dxa"/>
            <w:gridSpan w:val="7"/>
            <w:vAlign w:val="center"/>
            <w:hideMark/>
          </w:tcPr>
          <w:p w14:paraId="1208FBFB" w14:textId="77777777" w:rsidR="00517113" w:rsidRPr="00885AB3" w:rsidRDefault="00517113" w:rsidP="00120D61">
            <w:pPr>
              <w:pStyle w:val="TableText0"/>
              <w:keepNext/>
              <w:jc w:val="left"/>
              <w:rPr>
                <w:b/>
                <w:szCs w:val="20"/>
              </w:rPr>
            </w:pPr>
            <w:r w:rsidRPr="00885AB3">
              <w:rPr>
                <w:b/>
                <w:szCs w:val="20"/>
              </w:rPr>
              <w:t>Unsolicited ARs</w:t>
            </w:r>
          </w:p>
        </w:tc>
      </w:tr>
      <w:tr w:rsidR="00517113" w:rsidRPr="00885AB3" w14:paraId="500A6792" w14:textId="77777777">
        <w:trPr>
          <w:trHeight w:val="20"/>
        </w:trPr>
        <w:tc>
          <w:tcPr>
            <w:tcW w:w="2121" w:type="dxa"/>
            <w:vAlign w:val="center"/>
            <w:hideMark/>
          </w:tcPr>
          <w:p w14:paraId="02BD92AD" w14:textId="77777777" w:rsidR="00517113" w:rsidRPr="00885AB3" w:rsidRDefault="00517113" w:rsidP="00120D61">
            <w:pPr>
              <w:pStyle w:val="TableText0"/>
              <w:keepNext/>
              <w:jc w:val="left"/>
              <w:rPr>
                <w:szCs w:val="20"/>
              </w:rPr>
            </w:pPr>
            <w:r w:rsidRPr="00885AB3">
              <w:rPr>
                <w:szCs w:val="20"/>
              </w:rPr>
              <w:t>Any/All unsolicited TEAE</w:t>
            </w:r>
          </w:p>
        </w:tc>
        <w:tc>
          <w:tcPr>
            <w:tcW w:w="1134" w:type="dxa"/>
            <w:vAlign w:val="center"/>
            <w:hideMark/>
          </w:tcPr>
          <w:p w14:paraId="3DB0A288" w14:textId="77777777" w:rsidR="00517113" w:rsidRPr="00885AB3" w:rsidRDefault="00517113" w:rsidP="00120D61">
            <w:pPr>
              <w:pStyle w:val="TableText0"/>
              <w:keepNext/>
              <w:rPr>
                <w:szCs w:val="20"/>
              </w:rPr>
            </w:pPr>
            <w:r w:rsidRPr="00885AB3">
              <w:rPr>
                <w:szCs w:val="20"/>
              </w:rPr>
              <w:t>33.0%</w:t>
            </w:r>
          </w:p>
        </w:tc>
        <w:tc>
          <w:tcPr>
            <w:tcW w:w="1275" w:type="dxa"/>
            <w:vAlign w:val="center"/>
            <w:hideMark/>
          </w:tcPr>
          <w:p w14:paraId="3C581147" w14:textId="77777777" w:rsidR="00517113" w:rsidRPr="00885AB3" w:rsidRDefault="00517113" w:rsidP="00120D61">
            <w:pPr>
              <w:pStyle w:val="TableText0"/>
              <w:keepNext/>
              <w:rPr>
                <w:szCs w:val="20"/>
              </w:rPr>
            </w:pPr>
            <w:r w:rsidRPr="00885AB3">
              <w:rPr>
                <w:szCs w:val="20"/>
              </w:rPr>
              <w:t>17.8%</w:t>
            </w:r>
          </w:p>
        </w:tc>
        <w:tc>
          <w:tcPr>
            <w:tcW w:w="994" w:type="dxa"/>
            <w:vAlign w:val="center"/>
            <w:hideMark/>
          </w:tcPr>
          <w:p w14:paraId="199BA16B" w14:textId="77777777" w:rsidR="00517113" w:rsidRPr="00885AB3" w:rsidRDefault="00517113" w:rsidP="00120D61">
            <w:pPr>
              <w:pStyle w:val="TableText0"/>
              <w:keepNext/>
              <w:rPr>
                <w:szCs w:val="20"/>
              </w:rPr>
            </w:pPr>
            <w:r w:rsidRPr="00885AB3">
              <w:rPr>
                <w:szCs w:val="20"/>
              </w:rPr>
              <w:t>1.9</w:t>
            </w:r>
          </w:p>
        </w:tc>
        <w:tc>
          <w:tcPr>
            <w:tcW w:w="1275" w:type="dxa"/>
            <w:noWrap/>
            <w:vAlign w:val="center"/>
            <w:hideMark/>
          </w:tcPr>
          <w:p w14:paraId="028C4A6F" w14:textId="77777777" w:rsidR="00517113" w:rsidRPr="00885AB3" w:rsidRDefault="00517113" w:rsidP="00120D61">
            <w:pPr>
              <w:pStyle w:val="TableText0"/>
              <w:keepNext/>
              <w:rPr>
                <w:szCs w:val="20"/>
              </w:rPr>
            </w:pPr>
            <w:r w:rsidRPr="00885AB3">
              <w:rPr>
                <w:szCs w:val="20"/>
              </w:rPr>
              <w:t>20.4%</w:t>
            </w:r>
          </w:p>
        </w:tc>
        <w:tc>
          <w:tcPr>
            <w:tcW w:w="1274" w:type="dxa"/>
            <w:noWrap/>
            <w:vAlign w:val="center"/>
            <w:hideMark/>
          </w:tcPr>
          <w:p w14:paraId="5B103F84" w14:textId="77777777" w:rsidR="00517113" w:rsidRPr="00885AB3" w:rsidRDefault="00517113" w:rsidP="00120D61">
            <w:pPr>
              <w:pStyle w:val="TableText0"/>
              <w:keepNext/>
              <w:rPr>
                <w:szCs w:val="20"/>
              </w:rPr>
            </w:pPr>
            <w:r w:rsidRPr="00885AB3">
              <w:rPr>
                <w:szCs w:val="20"/>
              </w:rPr>
              <w:t>18.8%</w:t>
            </w:r>
          </w:p>
        </w:tc>
        <w:tc>
          <w:tcPr>
            <w:tcW w:w="994" w:type="dxa"/>
            <w:noWrap/>
            <w:vAlign w:val="center"/>
            <w:hideMark/>
          </w:tcPr>
          <w:p w14:paraId="196197D4" w14:textId="77777777" w:rsidR="00517113" w:rsidRPr="00885AB3" w:rsidRDefault="00517113" w:rsidP="00120D61">
            <w:pPr>
              <w:pStyle w:val="TableText0"/>
              <w:keepNext/>
              <w:rPr>
                <w:szCs w:val="20"/>
              </w:rPr>
            </w:pPr>
            <w:r w:rsidRPr="00885AB3">
              <w:rPr>
                <w:szCs w:val="20"/>
              </w:rPr>
              <w:t>1.1</w:t>
            </w:r>
          </w:p>
        </w:tc>
      </w:tr>
      <w:tr w:rsidR="00517113" w:rsidRPr="00885AB3" w14:paraId="3E464F6B" w14:textId="77777777">
        <w:trPr>
          <w:trHeight w:val="20"/>
        </w:trPr>
        <w:tc>
          <w:tcPr>
            <w:tcW w:w="2121" w:type="dxa"/>
            <w:vAlign w:val="center"/>
            <w:hideMark/>
          </w:tcPr>
          <w:p w14:paraId="3A3437C9" w14:textId="77777777" w:rsidR="00517113" w:rsidRPr="00885AB3" w:rsidRDefault="00517113" w:rsidP="00120D61">
            <w:pPr>
              <w:pStyle w:val="TableText0"/>
              <w:keepNext/>
              <w:jc w:val="left"/>
              <w:rPr>
                <w:szCs w:val="20"/>
              </w:rPr>
            </w:pPr>
            <w:r w:rsidRPr="00885AB3">
              <w:rPr>
                <w:szCs w:val="20"/>
              </w:rPr>
              <w:t>Grade 3 unsolicited TEAE</w:t>
            </w:r>
          </w:p>
        </w:tc>
        <w:tc>
          <w:tcPr>
            <w:tcW w:w="1134" w:type="dxa"/>
            <w:vAlign w:val="center"/>
            <w:hideMark/>
          </w:tcPr>
          <w:p w14:paraId="004CFB81" w14:textId="77777777" w:rsidR="00517113" w:rsidRPr="00885AB3" w:rsidRDefault="00517113" w:rsidP="00120D61">
            <w:pPr>
              <w:pStyle w:val="TableText0"/>
              <w:keepNext/>
              <w:rPr>
                <w:szCs w:val="20"/>
              </w:rPr>
            </w:pPr>
            <w:r w:rsidRPr="00885AB3">
              <w:rPr>
                <w:szCs w:val="20"/>
              </w:rPr>
              <w:t>2.0%</w:t>
            </w:r>
          </w:p>
        </w:tc>
        <w:tc>
          <w:tcPr>
            <w:tcW w:w="1275" w:type="dxa"/>
            <w:vAlign w:val="center"/>
            <w:hideMark/>
          </w:tcPr>
          <w:p w14:paraId="24594368" w14:textId="77777777" w:rsidR="00517113" w:rsidRPr="00885AB3" w:rsidRDefault="00517113" w:rsidP="00120D61">
            <w:pPr>
              <w:pStyle w:val="TableText0"/>
              <w:keepNext/>
              <w:rPr>
                <w:szCs w:val="20"/>
              </w:rPr>
            </w:pPr>
            <w:r w:rsidRPr="00885AB3">
              <w:rPr>
                <w:szCs w:val="20"/>
              </w:rPr>
              <w:t>1.3%</w:t>
            </w:r>
          </w:p>
        </w:tc>
        <w:tc>
          <w:tcPr>
            <w:tcW w:w="994" w:type="dxa"/>
            <w:vAlign w:val="center"/>
            <w:hideMark/>
          </w:tcPr>
          <w:p w14:paraId="0F7BA176" w14:textId="77777777" w:rsidR="00517113" w:rsidRPr="00885AB3" w:rsidRDefault="00517113" w:rsidP="00120D61">
            <w:pPr>
              <w:pStyle w:val="TableText0"/>
              <w:keepNext/>
              <w:rPr>
                <w:szCs w:val="20"/>
              </w:rPr>
            </w:pPr>
            <w:r w:rsidRPr="00885AB3">
              <w:rPr>
                <w:szCs w:val="20"/>
              </w:rPr>
              <w:t>1.5</w:t>
            </w:r>
          </w:p>
        </w:tc>
        <w:tc>
          <w:tcPr>
            <w:tcW w:w="1275" w:type="dxa"/>
            <w:noWrap/>
            <w:vAlign w:val="center"/>
            <w:hideMark/>
          </w:tcPr>
          <w:p w14:paraId="14EDE1F8" w14:textId="77777777" w:rsidR="00517113" w:rsidRPr="00885AB3" w:rsidRDefault="00517113" w:rsidP="00120D61">
            <w:pPr>
              <w:pStyle w:val="TableText0"/>
              <w:keepNext/>
              <w:rPr>
                <w:szCs w:val="20"/>
              </w:rPr>
            </w:pPr>
            <w:r w:rsidRPr="00885AB3">
              <w:rPr>
                <w:szCs w:val="20"/>
              </w:rPr>
              <w:t>0.7%</w:t>
            </w:r>
          </w:p>
        </w:tc>
        <w:tc>
          <w:tcPr>
            <w:tcW w:w="1274" w:type="dxa"/>
            <w:noWrap/>
            <w:vAlign w:val="center"/>
            <w:hideMark/>
          </w:tcPr>
          <w:p w14:paraId="0502A01E" w14:textId="77777777" w:rsidR="00517113" w:rsidRPr="00885AB3" w:rsidRDefault="00517113" w:rsidP="00120D61">
            <w:pPr>
              <w:pStyle w:val="TableText0"/>
              <w:keepNext/>
              <w:rPr>
                <w:szCs w:val="20"/>
              </w:rPr>
            </w:pPr>
            <w:r w:rsidRPr="00885AB3">
              <w:rPr>
                <w:szCs w:val="20"/>
              </w:rPr>
              <w:t>0.7%</w:t>
            </w:r>
          </w:p>
        </w:tc>
        <w:tc>
          <w:tcPr>
            <w:tcW w:w="994" w:type="dxa"/>
            <w:noWrap/>
            <w:vAlign w:val="center"/>
            <w:hideMark/>
          </w:tcPr>
          <w:p w14:paraId="50C55B24" w14:textId="77777777" w:rsidR="00517113" w:rsidRPr="00885AB3" w:rsidRDefault="00517113" w:rsidP="00120D61">
            <w:pPr>
              <w:pStyle w:val="TableText0"/>
              <w:keepNext/>
              <w:rPr>
                <w:szCs w:val="20"/>
              </w:rPr>
            </w:pPr>
            <w:r w:rsidRPr="00885AB3">
              <w:rPr>
                <w:szCs w:val="20"/>
              </w:rPr>
              <w:t>1</w:t>
            </w:r>
          </w:p>
        </w:tc>
      </w:tr>
      <w:tr w:rsidR="00517113" w:rsidRPr="00885AB3" w14:paraId="61FBFD75" w14:textId="77777777">
        <w:trPr>
          <w:trHeight w:val="20"/>
        </w:trPr>
        <w:tc>
          <w:tcPr>
            <w:tcW w:w="2121" w:type="dxa"/>
            <w:vAlign w:val="center"/>
            <w:hideMark/>
          </w:tcPr>
          <w:p w14:paraId="2A617F75" w14:textId="77777777" w:rsidR="00517113" w:rsidRPr="00885AB3" w:rsidRDefault="00517113" w:rsidP="00120D61">
            <w:pPr>
              <w:pStyle w:val="TableText0"/>
              <w:keepNext/>
              <w:jc w:val="left"/>
              <w:rPr>
                <w:szCs w:val="20"/>
              </w:rPr>
            </w:pPr>
            <w:r w:rsidRPr="00885AB3">
              <w:rPr>
                <w:szCs w:val="20"/>
              </w:rPr>
              <w:t>Any/All unsolicited TEAE related to vaccine</w:t>
            </w:r>
          </w:p>
        </w:tc>
        <w:tc>
          <w:tcPr>
            <w:tcW w:w="1134" w:type="dxa"/>
            <w:vAlign w:val="center"/>
            <w:hideMark/>
          </w:tcPr>
          <w:p w14:paraId="79637F32" w14:textId="77777777" w:rsidR="00517113" w:rsidRPr="00885AB3" w:rsidRDefault="00517113" w:rsidP="00120D61">
            <w:pPr>
              <w:pStyle w:val="TableText0"/>
              <w:keepNext/>
              <w:rPr>
                <w:szCs w:val="20"/>
              </w:rPr>
            </w:pPr>
            <w:r w:rsidRPr="00885AB3">
              <w:rPr>
                <w:szCs w:val="20"/>
              </w:rPr>
              <w:t>24.9%</w:t>
            </w:r>
          </w:p>
        </w:tc>
        <w:tc>
          <w:tcPr>
            <w:tcW w:w="1275" w:type="dxa"/>
            <w:vAlign w:val="center"/>
            <w:hideMark/>
          </w:tcPr>
          <w:p w14:paraId="79139D3E" w14:textId="77777777" w:rsidR="00517113" w:rsidRPr="00885AB3" w:rsidRDefault="00517113" w:rsidP="00120D61">
            <w:pPr>
              <w:pStyle w:val="TableText0"/>
              <w:keepNext/>
              <w:rPr>
                <w:szCs w:val="20"/>
              </w:rPr>
            </w:pPr>
            <w:r w:rsidRPr="00885AB3">
              <w:rPr>
                <w:szCs w:val="20"/>
              </w:rPr>
              <w:t>5.8%</w:t>
            </w:r>
          </w:p>
        </w:tc>
        <w:tc>
          <w:tcPr>
            <w:tcW w:w="994" w:type="dxa"/>
            <w:vAlign w:val="center"/>
            <w:hideMark/>
          </w:tcPr>
          <w:p w14:paraId="00844BF0" w14:textId="77777777" w:rsidR="00517113" w:rsidRPr="00885AB3" w:rsidRDefault="00517113" w:rsidP="00120D61">
            <w:pPr>
              <w:pStyle w:val="TableText0"/>
              <w:keepNext/>
              <w:rPr>
                <w:szCs w:val="20"/>
              </w:rPr>
            </w:pPr>
            <w:r w:rsidRPr="00885AB3">
              <w:rPr>
                <w:szCs w:val="20"/>
              </w:rPr>
              <w:t>4.3</w:t>
            </w:r>
          </w:p>
        </w:tc>
        <w:tc>
          <w:tcPr>
            <w:tcW w:w="1275" w:type="dxa"/>
            <w:noWrap/>
            <w:vAlign w:val="center"/>
            <w:hideMark/>
          </w:tcPr>
          <w:p w14:paraId="6E61E5C4" w14:textId="77777777" w:rsidR="00517113" w:rsidRPr="00885AB3" w:rsidRDefault="00517113" w:rsidP="00120D61">
            <w:pPr>
              <w:pStyle w:val="TableText0"/>
              <w:keepNext/>
              <w:rPr>
                <w:szCs w:val="20"/>
              </w:rPr>
            </w:pPr>
            <w:r w:rsidRPr="00885AB3">
              <w:rPr>
                <w:szCs w:val="20"/>
              </w:rPr>
              <w:t>5.8%</w:t>
            </w:r>
          </w:p>
        </w:tc>
        <w:tc>
          <w:tcPr>
            <w:tcW w:w="1274" w:type="dxa"/>
            <w:noWrap/>
            <w:vAlign w:val="center"/>
            <w:hideMark/>
          </w:tcPr>
          <w:p w14:paraId="3CB87728" w14:textId="77777777" w:rsidR="00517113" w:rsidRPr="00885AB3" w:rsidRDefault="00517113" w:rsidP="00120D61">
            <w:pPr>
              <w:pStyle w:val="TableText0"/>
              <w:keepNext/>
              <w:rPr>
                <w:szCs w:val="20"/>
              </w:rPr>
            </w:pPr>
            <w:r w:rsidRPr="00885AB3">
              <w:rPr>
                <w:szCs w:val="20"/>
              </w:rPr>
              <w:t>4.5%</w:t>
            </w:r>
          </w:p>
        </w:tc>
        <w:tc>
          <w:tcPr>
            <w:tcW w:w="994" w:type="dxa"/>
            <w:noWrap/>
            <w:vAlign w:val="center"/>
            <w:hideMark/>
          </w:tcPr>
          <w:p w14:paraId="0BC00E94" w14:textId="77777777" w:rsidR="00517113" w:rsidRPr="00885AB3" w:rsidRDefault="00517113" w:rsidP="00120D61">
            <w:pPr>
              <w:pStyle w:val="TableText0"/>
              <w:keepNext/>
              <w:rPr>
                <w:szCs w:val="20"/>
              </w:rPr>
            </w:pPr>
            <w:r w:rsidRPr="00885AB3">
              <w:rPr>
                <w:szCs w:val="20"/>
              </w:rPr>
              <w:t>1.3</w:t>
            </w:r>
          </w:p>
        </w:tc>
      </w:tr>
      <w:tr w:rsidR="00517113" w:rsidRPr="00885AB3" w14:paraId="71107D86" w14:textId="77777777">
        <w:trPr>
          <w:trHeight w:val="20"/>
        </w:trPr>
        <w:tc>
          <w:tcPr>
            <w:tcW w:w="2121" w:type="dxa"/>
            <w:vAlign w:val="center"/>
            <w:hideMark/>
          </w:tcPr>
          <w:p w14:paraId="1B376C77" w14:textId="77777777" w:rsidR="00517113" w:rsidRPr="00885AB3" w:rsidRDefault="00517113" w:rsidP="00120D61">
            <w:pPr>
              <w:pStyle w:val="TableText0"/>
              <w:keepNext/>
              <w:jc w:val="left"/>
              <w:rPr>
                <w:szCs w:val="20"/>
              </w:rPr>
            </w:pPr>
            <w:r w:rsidRPr="00885AB3">
              <w:rPr>
                <w:szCs w:val="20"/>
              </w:rPr>
              <w:t>Grade 3 unsolicited TEAE related to vaccine</w:t>
            </w:r>
          </w:p>
        </w:tc>
        <w:tc>
          <w:tcPr>
            <w:tcW w:w="1134" w:type="dxa"/>
            <w:vAlign w:val="center"/>
            <w:hideMark/>
          </w:tcPr>
          <w:p w14:paraId="3848C77B" w14:textId="77777777" w:rsidR="00517113" w:rsidRPr="00885AB3" w:rsidRDefault="00517113" w:rsidP="00120D61">
            <w:pPr>
              <w:pStyle w:val="TableText0"/>
              <w:keepNext/>
              <w:rPr>
                <w:szCs w:val="20"/>
              </w:rPr>
            </w:pPr>
            <w:r w:rsidRPr="00885AB3">
              <w:rPr>
                <w:szCs w:val="20"/>
              </w:rPr>
              <w:t>0.9%</w:t>
            </w:r>
          </w:p>
        </w:tc>
        <w:tc>
          <w:tcPr>
            <w:tcW w:w="1275" w:type="dxa"/>
            <w:vAlign w:val="center"/>
            <w:hideMark/>
          </w:tcPr>
          <w:p w14:paraId="5B1980A4" w14:textId="77777777" w:rsidR="00517113" w:rsidRPr="00885AB3" w:rsidRDefault="00517113" w:rsidP="00120D61">
            <w:pPr>
              <w:pStyle w:val="TableText0"/>
              <w:keepNext/>
              <w:rPr>
                <w:szCs w:val="20"/>
              </w:rPr>
            </w:pPr>
            <w:r w:rsidRPr="00885AB3">
              <w:rPr>
                <w:szCs w:val="20"/>
              </w:rPr>
              <w:t>0.2%</w:t>
            </w:r>
          </w:p>
        </w:tc>
        <w:tc>
          <w:tcPr>
            <w:tcW w:w="994" w:type="dxa"/>
            <w:vAlign w:val="center"/>
            <w:hideMark/>
          </w:tcPr>
          <w:p w14:paraId="7C68EDF0" w14:textId="77777777" w:rsidR="00517113" w:rsidRPr="00885AB3" w:rsidRDefault="00517113" w:rsidP="00120D61">
            <w:pPr>
              <w:pStyle w:val="TableText0"/>
              <w:keepNext/>
              <w:rPr>
                <w:szCs w:val="20"/>
              </w:rPr>
            </w:pPr>
            <w:r w:rsidRPr="00885AB3">
              <w:rPr>
                <w:szCs w:val="20"/>
              </w:rPr>
              <w:t>4.5</w:t>
            </w:r>
          </w:p>
        </w:tc>
        <w:tc>
          <w:tcPr>
            <w:tcW w:w="1275" w:type="dxa"/>
            <w:noWrap/>
            <w:vAlign w:val="center"/>
            <w:hideMark/>
          </w:tcPr>
          <w:p w14:paraId="607D12A3" w14:textId="77777777" w:rsidR="00517113" w:rsidRPr="00885AB3" w:rsidRDefault="00517113" w:rsidP="00120D61">
            <w:pPr>
              <w:pStyle w:val="TableText0"/>
              <w:keepNext/>
              <w:rPr>
                <w:szCs w:val="20"/>
              </w:rPr>
            </w:pPr>
            <w:r w:rsidRPr="00885AB3">
              <w:rPr>
                <w:szCs w:val="20"/>
              </w:rPr>
              <w:t>0.3%</w:t>
            </w:r>
          </w:p>
        </w:tc>
        <w:tc>
          <w:tcPr>
            <w:tcW w:w="1274" w:type="dxa"/>
            <w:noWrap/>
            <w:vAlign w:val="center"/>
            <w:hideMark/>
          </w:tcPr>
          <w:p w14:paraId="3940DA32" w14:textId="77777777" w:rsidR="00517113" w:rsidRPr="00885AB3" w:rsidRDefault="00517113" w:rsidP="00120D61">
            <w:pPr>
              <w:pStyle w:val="TableText0"/>
              <w:keepNext/>
              <w:rPr>
                <w:szCs w:val="20"/>
              </w:rPr>
            </w:pPr>
            <w:r w:rsidRPr="00885AB3">
              <w:rPr>
                <w:szCs w:val="20"/>
              </w:rPr>
              <w:t>0.3%</w:t>
            </w:r>
          </w:p>
        </w:tc>
        <w:tc>
          <w:tcPr>
            <w:tcW w:w="994" w:type="dxa"/>
            <w:noWrap/>
            <w:vAlign w:val="center"/>
            <w:hideMark/>
          </w:tcPr>
          <w:p w14:paraId="07FF87FC" w14:textId="77777777" w:rsidR="00517113" w:rsidRPr="00885AB3" w:rsidRDefault="00517113" w:rsidP="00120D61">
            <w:pPr>
              <w:pStyle w:val="TableText0"/>
              <w:keepNext/>
              <w:rPr>
                <w:szCs w:val="20"/>
              </w:rPr>
            </w:pPr>
            <w:r w:rsidRPr="00885AB3">
              <w:rPr>
                <w:szCs w:val="20"/>
              </w:rPr>
              <w:t>1</w:t>
            </w:r>
          </w:p>
        </w:tc>
      </w:tr>
      <w:tr w:rsidR="00517113" w:rsidRPr="00885AB3" w14:paraId="259B3EA4" w14:textId="77777777">
        <w:trPr>
          <w:trHeight w:val="20"/>
        </w:trPr>
        <w:tc>
          <w:tcPr>
            <w:tcW w:w="2121" w:type="dxa"/>
            <w:vAlign w:val="center"/>
            <w:hideMark/>
          </w:tcPr>
          <w:p w14:paraId="20AC799D" w14:textId="77777777" w:rsidR="00517113" w:rsidRPr="00885AB3" w:rsidRDefault="00517113" w:rsidP="00120D61">
            <w:pPr>
              <w:pStyle w:val="TableText0"/>
              <w:keepNext/>
              <w:jc w:val="left"/>
              <w:rPr>
                <w:szCs w:val="20"/>
              </w:rPr>
            </w:pPr>
            <w:r w:rsidRPr="00885AB3">
              <w:rPr>
                <w:szCs w:val="20"/>
              </w:rPr>
              <w:t>Any SAE</w:t>
            </w:r>
            <w:r w:rsidRPr="00885AB3">
              <w:rPr>
                <w:szCs w:val="20"/>
                <w:vertAlign w:val="superscript"/>
              </w:rPr>
              <w:t>e</w:t>
            </w:r>
          </w:p>
        </w:tc>
        <w:tc>
          <w:tcPr>
            <w:tcW w:w="1134" w:type="dxa"/>
            <w:vAlign w:val="center"/>
            <w:hideMark/>
          </w:tcPr>
          <w:p w14:paraId="13C2404C" w14:textId="77777777" w:rsidR="00517113" w:rsidRPr="00885AB3" w:rsidRDefault="00517113" w:rsidP="00120D61">
            <w:pPr>
              <w:pStyle w:val="TableText0"/>
              <w:keepNext/>
              <w:rPr>
                <w:szCs w:val="20"/>
              </w:rPr>
            </w:pPr>
            <w:r w:rsidRPr="00885AB3">
              <w:rPr>
                <w:szCs w:val="20"/>
              </w:rPr>
              <w:t>4.2%</w:t>
            </w:r>
          </w:p>
        </w:tc>
        <w:tc>
          <w:tcPr>
            <w:tcW w:w="1275" w:type="dxa"/>
            <w:vAlign w:val="center"/>
            <w:hideMark/>
          </w:tcPr>
          <w:p w14:paraId="1E29694C" w14:textId="77777777" w:rsidR="00517113" w:rsidRPr="00885AB3" w:rsidRDefault="00517113" w:rsidP="00120D61">
            <w:pPr>
              <w:pStyle w:val="TableText0"/>
              <w:keepNext/>
              <w:rPr>
                <w:szCs w:val="20"/>
              </w:rPr>
            </w:pPr>
            <w:r w:rsidRPr="00885AB3">
              <w:rPr>
                <w:szCs w:val="20"/>
              </w:rPr>
              <w:t>4.0%</w:t>
            </w:r>
          </w:p>
        </w:tc>
        <w:tc>
          <w:tcPr>
            <w:tcW w:w="994" w:type="dxa"/>
            <w:vAlign w:val="center"/>
            <w:hideMark/>
          </w:tcPr>
          <w:p w14:paraId="35B9393D" w14:textId="77777777" w:rsidR="00517113" w:rsidRPr="00885AB3" w:rsidRDefault="00517113" w:rsidP="00120D61">
            <w:pPr>
              <w:pStyle w:val="TableText0"/>
              <w:keepNext/>
              <w:rPr>
                <w:szCs w:val="20"/>
              </w:rPr>
            </w:pPr>
            <w:r w:rsidRPr="00885AB3">
              <w:rPr>
                <w:szCs w:val="20"/>
              </w:rPr>
              <w:t>1.0</w:t>
            </w:r>
          </w:p>
        </w:tc>
        <w:tc>
          <w:tcPr>
            <w:tcW w:w="1275" w:type="dxa"/>
            <w:noWrap/>
            <w:vAlign w:val="center"/>
            <w:hideMark/>
          </w:tcPr>
          <w:p w14:paraId="1DD5AE95" w14:textId="77777777" w:rsidR="00517113" w:rsidRPr="00885AB3" w:rsidRDefault="00517113" w:rsidP="00120D61">
            <w:pPr>
              <w:pStyle w:val="TableText0"/>
              <w:keepNext/>
              <w:rPr>
                <w:szCs w:val="20"/>
              </w:rPr>
            </w:pPr>
            <w:r w:rsidRPr="00885AB3">
              <w:rPr>
                <w:szCs w:val="20"/>
              </w:rPr>
              <w:t>2.8%</w:t>
            </w:r>
          </w:p>
        </w:tc>
        <w:tc>
          <w:tcPr>
            <w:tcW w:w="1274" w:type="dxa"/>
            <w:noWrap/>
            <w:vAlign w:val="center"/>
            <w:hideMark/>
          </w:tcPr>
          <w:p w14:paraId="2997404E" w14:textId="77777777" w:rsidR="00517113" w:rsidRPr="00885AB3" w:rsidRDefault="00517113" w:rsidP="00120D61">
            <w:pPr>
              <w:pStyle w:val="TableText0"/>
              <w:keepNext/>
              <w:rPr>
                <w:szCs w:val="20"/>
              </w:rPr>
            </w:pPr>
            <w:r w:rsidRPr="00885AB3">
              <w:rPr>
                <w:szCs w:val="20"/>
              </w:rPr>
              <w:t>2.8%</w:t>
            </w:r>
          </w:p>
        </w:tc>
        <w:tc>
          <w:tcPr>
            <w:tcW w:w="994" w:type="dxa"/>
            <w:noWrap/>
            <w:vAlign w:val="center"/>
            <w:hideMark/>
          </w:tcPr>
          <w:p w14:paraId="2A8AB054" w14:textId="77777777" w:rsidR="00517113" w:rsidRPr="00885AB3" w:rsidRDefault="00517113" w:rsidP="00120D61">
            <w:pPr>
              <w:pStyle w:val="TableText0"/>
              <w:keepNext/>
              <w:rPr>
                <w:szCs w:val="20"/>
              </w:rPr>
            </w:pPr>
            <w:r w:rsidRPr="00885AB3">
              <w:rPr>
                <w:szCs w:val="20"/>
              </w:rPr>
              <w:t>1</w:t>
            </w:r>
          </w:p>
        </w:tc>
      </w:tr>
      <w:tr w:rsidR="00517113" w:rsidRPr="00885AB3" w14:paraId="5F6634A1" w14:textId="77777777">
        <w:trPr>
          <w:trHeight w:val="20"/>
        </w:trPr>
        <w:tc>
          <w:tcPr>
            <w:tcW w:w="2121" w:type="dxa"/>
            <w:vAlign w:val="center"/>
            <w:hideMark/>
          </w:tcPr>
          <w:p w14:paraId="4FBECEED" w14:textId="77777777" w:rsidR="00517113" w:rsidRPr="00885AB3" w:rsidRDefault="00517113" w:rsidP="00120D61">
            <w:pPr>
              <w:pStyle w:val="TableText0"/>
              <w:keepNext/>
              <w:jc w:val="left"/>
              <w:rPr>
                <w:szCs w:val="20"/>
              </w:rPr>
            </w:pPr>
            <w:r w:rsidRPr="00885AB3">
              <w:rPr>
                <w:szCs w:val="20"/>
              </w:rPr>
              <w:t>Fatal SAE regardless of relationship to study vaccination</w:t>
            </w:r>
          </w:p>
        </w:tc>
        <w:tc>
          <w:tcPr>
            <w:tcW w:w="1134" w:type="dxa"/>
            <w:vAlign w:val="center"/>
            <w:hideMark/>
          </w:tcPr>
          <w:p w14:paraId="66154086" w14:textId="77777777" w:rsidR="00517113" w:rsidRPr="00885AB3" w:rsidRDefault="00517113" w:rsidP="00120D61">
            <w:pPr>
              <w:pStyle w:val="TableText0"/>
              <w:keepNext/>
              <w:rPr>
                <w:szCs w:val="20"/>
              </w:rPr>
            </w:pPr>
            <w:r w:rsidRPr="00885AB3">
              <w:rPr>
                <w:szCs w:val="20"/>
              </w:rPr>
              <w:t>0.4%</w:t>
            </w:r>
          </w:p>
        </w:tc>
        <w:tc>
          <w:tcPr>
            <w:tcW w:w="1275" w:type="dxa"/>
            <w:vAlign w:val="center"/>
            <w:hideMark/>
          </w:tcPr>
          <w:p w14:paraId="58593A22" w14:textId="77777777" w:rsidR="00517113" w:rsidRPr="00885AB3" w:rsidRDefault="00517113" w:rsidP="00120D61">
            <w:pPr>
              <w:pStyle w:val="TableText0"/>
              <w:keepNext/>
              <w:rPr>
                <w:szCs w:val="20"/>
              </w:rPr>
            </w:pPr>
            <w:r w:rsidRPr="00885AB3">
              <w:rPr>
                <w:szCs w:val="20"/>
              </w:rPr>
              <w:t>0.5%</w:t>
            </w:r>
          </w:p>
        </w:tc>
        <w:tc>
          <w:tcPr>
            <w:tcW w:w="994" w:type="dxa"/>
            <w:vAlign w:val="center"/>
            <w:hideMark/>
          </w:tcPr>
          <w:p w14:paraId="721801F1" w14:textId="77777777" w:rsidR="00517113" w:rsidRPr="00885AB3" w:rsidRDefault="00517113" w:rsidP="00120D61">
            <w:pPr>
              <w:pStyle w:val="TableText0"/>
              <w:keepNext/>
              <w:rPr>
                <w:szCs w:val="20"/>
              </w:rPr>
            </w:pPr>
            <w:r w:rsidRPr="00885AB3">
              <w:rPr>
                <w:szCs w:val="20"/>
              </w:rPr>
              <w:t>0.8</w:t>
            </w:r>
          </w:p>
        </w:tc>
        <w:tc>
          <w:tcPr>
            <w:tcW w:w="1275" w:type="dxa"/>
            <w:noWrap/>
            <w:vAlign w:val="center"/>
            <w:hideMark/>
          </w:tcPr>
          <w:p w14:paraId="1E0F615B" w14:textId="77777777" w:rsidR="00517113" w:rsidRPr="00885AB3" w:rsidRDefault="00517113" w:rsidP="00120D61">
            <w:pPr>
              <w:pStyle w:val="TableText0"/>
              <w:keepNext/>
              <w:rPr>
                <w:szCs w:val="20"/>
              </w:rPr>
            </w:pPr>
            <w:r w:rsidRPr="00885AB3">
              <w:rPr>
                <w:szCs w:val="20"/>
              </w:rPr>
              <w:t>0.1%</w:t>
            </w:r>
          </w:p>
        </w:tc>
        <w:tc>
          <w:tcPr>
            <w:tcW w:w="1274" w:type="dxa"/>
            <w:noWrap/>
            <w:vAlign w:val="center"/>
            <w:hideMark/>
          </w:tcPr>
          <w:p w14:paraId="4F169BA0" w14:textId="77777777" w:rsidR="00517113" w:rsidRPr="00885AB3" w:rsidRDefault="00517113" w:rsidP="00120D61">
            <w:pPr>
              <w:pStyle w:val="TableText0"/>
              <w:keepNext/>
              <w:rPr>
                <w:szCs w:val="20"/>
              </w:rPr>
            </w:pPr>
            <w:r w:rsidRPr="00885AB3">
              <w:rPr>
                <w:szCs w:val="20"/>
              </w:rPr>
              <w:t>0.1%</w:t>
            </w:r>
          </w:p>
        </w:tc>
        <w:tc>
          <w:tcPr>
            <w:tcW w:w="994" w:type="dxa"/>
            <w:noWrap/>
            <w:vAlign w:val="center"/>
            <w:hideMark/>
          </w:tcPr>
          <w:p w14:paraId="315D327A" w14:textId="77777777" w:rsidR="00517113" w:rsidRPr="00885AB3" w:rsidRDefault="00517113" w:rsidP="00120D61">
            <w:pPr>
              <w:pStyle w:val="TableText0"/>
              <w:keepNext/>
              <w:rPr>
                <w:szCs w:val="20"/>
              </w:rPr>
            </w:pPr>
            <w:r w:rsidRPr="00885AB3">
              <w:rPr>
                <w:szCs w:val="20"/>
              </w:rPr>
              <w:t>1</w:t>
            </w:r>
          </w:p>
        </w:tc>
      </w:tr>
    </w:tbl>
    <w:p w14:paraId="6EFDFB2C" w14:textId="77777777" w:rsidR="006A1AFC" w:rsidRPr="00885AB3" w:rsidRDefault="006A1AFC" w:rsidP="00120D61">
      <w:pPr>
        <w:pStyle w:val="TableFigureFooter"/>
        <w:keepNext/>
      </w:pPr>
      <w:r w:rsidRPr="00885AB3">
        <w:t xml:space="preserve">Source: Table 2-122, p201; Table 2-123, p201 of the submission. Table 36, p60 of ATAGI Advice, June 2025. </w:t>
      </w:r>
    </w:p>
    <w:p w14:paraId="2099BC66" w14:textId="0E7E8C25" w:rsidR="006A1AFC" w:rsidRPr="00885AB3" w:rsidRDefault="006A1AFC" w:rsidP="00120D61">
      <w:pPr>
        <w:pStyle w:val="TableFigureFooter"/>
        <w:keepNext/>
      </w:pPr>
      <w:r w:rsidRPr="00885AB3">
        <w:t>AR = adverse reaction; NA = not applicable; SAE = serious adverse event; TEAE = treatment-emergent adverse events.</w:t>
      </w:r>
    </w:p>
    <w:p w14:paraId="44DD60CF" w14:textId="77777777" w:rsidR="006A1AFC" w:rsidRPr="00885AB3" w:rsidRDefault="006A1AFC" w:rsidP="00120D61">
      <w:pPr>
        <w:pStyle w:val="TableFigureFooter"/>
        <w:keepNext/>
      </w:pPr>
      <w:r w:rsidRPr="00885AB3">
        <w:rPr>
          <w:vertAlign w:val="superscript"/>
        </w:rPr>
        <w:t>a</w:t>
      </w:r>
      <w:r w:rsidRPr="00885AB3">
        <w:t xml:space="preserve"> AreSVi-006 followed Up to 4 days after injection, ARs were measured from mild (grade 1) to severe (grade 3)</w:t>
      </w:r>
    </w:p>
    <w:p w14:paraId="7BD7B12C" w14:textId="77777777" w:rsidR="006A1AFC" w:rsidRPr="00885AB3" w:rsidRDefault="006A1AFC" w:rsidP="00120D61">
      <w:pPr>
        <w:pStyle w:val="TableFigureFooter"/>
        <w:keepNext/>
      </w:pPr>
      <w:r w:rsidRPr="00885AB3">
        <w:rPr>
          <w:vertAlign w:val="superscript"/>
        </w:rPr>
        <w:t>b</w:t>
      </w:r>
      <w:r w:rsidRPr="00885AB3">
        <w:t xml:space="preserve"> </w:t>
      </w:r>
      <w:proofErr w:type="spellStart"/>
      <w:r w:rsidRPr="00885AB3">
        <w:t>ConquerRSV</w:t>
      </w:r>
      <w:proofErr w:type="spellEnd"/>
      <w:r w:rsidRPr="00885AB3">
        <w:t xml:space="preserve"> followed up to 7 days after injection</w:t>
      </w:r>
    </w:p>
    <w:p w14:paraId="1CB4EC3C" w14:textId="77777777" w:rsidR="006A1AFC" w:rsidRPr="00885AB3" w:rsidRDefault="006A1AFC" w:rsidP="00120D61">
      <w:pPr>
        <w:pStyle w:val="TableFigureFooter"/>
        <w:keepNext/>
      </w:pPr>
      <w:r w:rsidRPr="00885AB3">
        <w:rPr>
          <w:vertAlign w:val="superscript"/>
        </w:rPr>
        <w:t>c</w:t>
      </w:r>
      <w:r w:rsidRPr="00885AB3">
        <w:t xml:space="preserve"> AreSVi-006 followed Up to 30 days after injection</w:t>
      </w:r>
    </w:p>
    <w:p w14:paraId="63D76807" w14:textId="77777777" w:rsidR="006A1AFC" w:rsidRPr="00885AB3" w:rsidRDefault="006A1AFC" w:rsidP="00120D61">
      <w:pPr>
        <w:pStyle w:val="TableFigureFooter"/>
        <w:keepNext/>
      </w:pPr>
      <w:r w:rsidRPr="00885AB3">
        <w:rPr>
          <w:vertAlign w:val="superscript"/>
        </w:rPr>
        <w:t>d</w:t>
      </w:r>
      <w:r w:rsidRPr="00885AB3">
        <w:t xml:space="preserve"> </w:t>
      </w:r>
      <w:proofErr w:type="spellStart"/>
      <w:r w:rsidRPr="00885AB3">
        <w:t>ConquerRSV</w:t>
      </w:r>
      <w:proofErr w:type="spellEnd"/>
      <w:r w:rsidRPr="00885AB3">
        <w:t xml:space="preserve"> followed up to 28 days after injection</w:t>
      </w:r>
    </w:p>
    <w:p w14:paraId="59BEB127" w14:textId="4D201775" w:rsidR="006A1AFC" w:rsidRPr="00885AB3" w:rsidRDefault="006A1AFC" w:rsidP="00120D61">
      <w:pPr>
        <w:pStyle w:val="TableFigureFooter"/>
        <w:keepNext/>
      </w:pPr>
      <w:r w:rsidRPr="00885AB3">
        <w:rPr>
          <w:vertAlign w:val="superscript"/>
        </w:rPr>
        <w:t>e</w:t>
      </w:r>
      <w:r w:rsidRPr="00885AB3">
        <w:t xml:space="preserve"> Up to 6 months follow</w:t>
      </w:r>
      <w:r w:rsidR="00DC1276" w:rsidRPr="00885AB3">
        <w:t>-</w:t>
      </w:r>
      <w:r w:rsidRPr="00885AB3">
        <w:t>up for RSVPreF3 OA and up to November 2022 database lock (median follow</w:t>
      </w:r>
      <w:r w:rsidR="00DC1276" w:rsidRPr="00885AB3">
        <w:t>-</w:t>
      </w:r>
      <w:r w:rsidRPr="00885AB3">
        <w:t>up 6.7 months) for mRNA-1345.</w:t>
      </w:r>
    </w:p>
    <w:p w14:paraId="039F127E" w14:textId="77777777" w:rsidR="006A1AFC" w:rsidRPr="00885AB3" w:rsidRDefault="006A1AFC" w:rsidP="00120D61">
      <w:pPr>
        <w:pStyle w:val="TableFigureFooter"/>
        <w:keepNext/>
      </w:pPr>
      <w:r w:rsidRPr="00885AB3">
        <w:t>RSVPreF3 OA events calculated using the exposed population data set as reported in Papi 2023 and Attachment 23. mRNA-1345 events calculated using the safety set per protocol.</w:t>
      </w:r>
    </w:p>
    <w:p w14:paraId="08951FC7" w14:textId="77777777" w:rsidR="006A1AFC" w:rsidRPr="00885AB3" w:rsidRDefault="006A1AFC" w:rsidP="00120D61">
      <w:pPr>
        <w:pStyle w:val="TableFigureFooter"/>
        <w:keepNext/>
      </w:pPr>
      <w:r w:rsidRPr="00885AB3">
        <w:rPr>
          <w:vertAlign w:val="superscript"/>
        </w:rPr>
        <w:t>f</w:t>
      </w:r>
      <w:r w:rsidRPr="00885AB3">
        <w:t xml:space="preserve"> Corresponds to adverse event leading to death in RENOIR and deaths due to any cause in </w:t>
      </w:r>
      <w:proofErr w:type="spellStart"/>
      <w:r w:rsidRPr="00885AB3">
        <w:t>ConquerRSV</w:t>
      </w:r>
      <w:proofErr w:type="spellEnd"/>
      <w:r w:rsidRPr="00885AB3">
        <w:t>.</w:t>
      </w:r>
    </w:p>
    <w:p w14:paraId="5BF0CB04" w14:textId="12BC2CFC" w:rsidR="006A1AFC" w:rsidRPr="00885AB3" w:rsidRDefault="006A1AFC" w:rsidP="00120D61">
      <w:pPr>
        <w:pStyle w:val="TableFigureFooter"/>
        <w:keepNext/>
      </w:pPr>
      <w:r w:rsidRPr="00885AB3">
        <w:rPr>
          <w:vertAlign w:val="superscript"/>
        </w:rPr>
        <w:t>g</w:t>
      </w:r>
      <w:r w:rsidRPr="00885AB3">
        <w:t xml:space="preserve"> There were 3 events assessed as related to study intervention by the investigator in 3 participants receiving </w:t>
      </w:r>
      <w:proofErr w:type="spellStart"/>
      <w:r w:rsidR="00EC73E7" w:rsidRPr="00885AB3">
        <w:t>RSVPreF</w:t>
      </w:r>
      <w:proofErr w:type="spellEnd"/>
      <w:r w:rsidRPr="00885AB3">
        <w:t xml:space="preserve"> group and none receiving placebo. The 3 cases reported were: Hypersensitivity (allergic reaction; moderate severity, Guillain-Barre syndrome (GBS; life-threatening), and Miller Fisher syndrome (MFS; severe) (a rare form of GBS). </w:t>
      </w:r>
    </w:p>
    <w:p w14:paraId="3FA93B5C" w14:textId="77777777" w:rsidR="006A1AFC" w:rsidRPr="00885AB3" w:rsidRDefault="006A1AFC" w:rsidP="00120D61">
      <w:pPr>
        <w:pStyle w:val="TableFigureFooter"/>
        <w:keepNext/>
      </w:pPr>
      <w:r w:rsidRPr="00885AB3">
        <w:rPr>
          <w:vertAlign w:val="superscript"/>
        </w:rPr>
        <w:t>h</w:t>
      </w:r>
      <w:r w:rsidRPr="00885AB3">
        <w:t xml:space="preserve"> Calculated incidence treatment / incidence placebo if greater than 0.1% difference in arms.</w:t>
      </w:r>
    </w:p>
    <w:p w14:paraId="245DD6C5" w14:textId="77777777" w:rsidR="002D07E3" w:rsidRPr="00885AB3" w:rsidRDefault="002D07E3" w:rsidP="00120D61">
      <w:bookmarkStart w:id="92" w:name="_Toc22897643"/>
      <w:bookmarkStart w:id="93" w:name="_Toc205822156"/>
    </w:p>
    <w:p w14:paraId="5A570945" w14:textId="20778609" w:rsidR="006A1AFC" w:rsidRPr="00885AB3" w:rsidRDefault="006A1AFC" w:rsidP="00120D61">
      <w:pPr>
        <w:pStyle w:val="4-SubsectionHeading"/>
      </w:pPr>
      <w:bookmarkStart w:id="94" w:name="_Toc208998511"/>
      <w:r w:rsidRPr="00885AB3">
        <w:t>Benefits/harms</w:t>
      </w:r>
      <w:bookmarkEnd w:id="92"/>
      <w:bookmarkEnd w:id="93"/>
      <w:bookmarkEnd w:id="94"/>
    </w:p>
    <w:p w14:paraId="580B7588" w14:textId="11CA78D8" w:rsidR="006A1AFC" w:rsidRPr="00885AB3" w:rsidRDefault="006A1AFC" w:rsidP="00120D61">
      <w:pPr>
        <w:pStyle w:val="3-BodyText"/>
        <w:rPr>
          <w:rStyle w:val="CommentReference"/>
          <w:rFonts w:ascii="Calibri" w:hAnsi="Calibri" w:cs="Calibri"/>
          <w:color w:val="0066FF"/>
          <w:szCs w:val="24"/>
        </w:rPr>
      </w:pPr>
      <w:r w:rsidRPr="00885AB3">
        <w:t xml:space="preserve">A benefits and harms table is not presented for the comparison against </w:t>
      </w:r>
      <w:proofErr w:type="spellStart"/>
      <w:r w:rsidRPr="00885AB3">
        <w:t>RSVPreF</w:t>
      </w:r>
      <w:proofErr w:type="spellEnd"/>
      <w:r w:rsidRPr="00885AB3">
        <w:t xml:space="preserve"> and RSVPreF3 OA as the submission made a claim of non-inferiority. A summary of the comparative benefits and harms for mRNA-1345 versus placebo </w:t>
      </w:r>
      <w:r w:rsidR="37D74F6E" w:rsidRPr="00885AB3">
        <w:t xml:space="preserve">in participants aged </w:t>
      </w:r>
      <w:r w:rsidR="00EF2FA4">
        <w:rPr>
          <w:rFonts w:ascii="Times New Roman" w:hAnsi="Times New Roman" w:cs="Times New Roman"/>
        </w:rPr>
        <w:t xml:space="preserve">≥ </w:t>
      </w:r>
      <w:r w:rsidR="005D231B" w:rsidRPr="00885AB3">
        <w:t xml:space="preserve">60 years </w:t>
      </w:r>
      <w:r w:rsidR="1FEC60D0" w:rsidRPr="00885AB3">
        <w:t>is</w:t>
      </w:r>
      <w:r w:rsidRPr="00885AB3">
        <w:t xml:space="preserve"> presented in </w:t>
      </w:r>
      <w:r w:rsidRPr="00885AB3">
        <w:fldChar w:fldCharType="begin" w:fldLock="1"/>
      </w:r>
      <w:r w:rsidRPr="00885AB3">
        <w:instrText xml:space="preserve"> REF _Ref205303318 \h </w:instrText>
      </w:r>
      <w:r w:rsidR="005F5B2F" w:rsidRPr="00885AB3">
        <w:instrText xml:space="preserve"> \* MERGEFORMAT </w:instrText>
      </w:r>
      <w:r w:rsidRPr="00885AB3">
        <w:fldChar w:fldCharType="separate"/>
      </w:r>
      <w:r w:rsidR="00515933" w:rsidRPr="00885AB3">
        <w:t>Table 15</w:t>
      </w:r>
      <w:r w:rsidRPr="00885AB3">
        <w:fldChar w:fldCharType="end"/>
      </w:r>
      <w:r w:rsidR="00371E74" w:rsidRPr="00885AB3">
        <w:t xml:space="preserve">. The benefits and harms are not presented for </w:t>
      </w:r>
      <w:r w:rsidR="00FB579D" w:rsidRPr="00885AB3">
        <w:t xml:space="preserve">participants </w:t>
      </w:r>
      <w:r w:rsidR="00EF2FA4">
        <w:t xml:space="preserve">≥ </w:t>
      </w:r>
      <w:r w:rsidR="00FB579D" w:rsidRPr="00885AB3">
        <w:t>75</w:t>
      </w:r>
      <w:r w:rsidR="0070278E" w:rsidRPr="00885AB3">
        <w:t xml:space="preserve"> </w:t>
      </w:r>
      <w:r w:rsidR="00FB579D" w:rsidRPr="00885AB3">
        <w:t xml:space="preserve">YOA </w:t>
      </w:r>
      <w:r w:rsidR="00371E74" w:rsidRPr="00885AB3">
        <w:t xml:space="preserve">because the number of events </w:t>
      </w:r>
      <w:r w:rsidR="009434B2" w:rsidRPr="00885AB3">
        <w:t>was low</w:t>
      </w:r>
      <w:r w:rsidR="00371E74" w:rsidRPr="00885AB3">
        <w:t xml:space="preserve"> in this subgroup</w:t>
      </w:r>
      <w:r w:rsidR="009434B2" w:rsidRPr="00885AB3">
        <w:t>, and</w:t>
      </w:r>
      <w:r w:rsidR="00730419" w:rsidRPr="00885AB3">
        <w:t xml:space="preserve"> </w:t>
      </w:r>
      <w:proofErr w:type="spellStart"/>
      <w:r w:rsidR="00730419" w:rsidRPr="00885AB3">
        <w:t>ConquerRSV</w:t>
      </w:r>
      <w:proofErr w:type="spellEnd"/>
      <w:r w:rsidR="00730419" w:rsidRPr="00885AB3">
        <w:t xml:space="preserve"> was not powered to detect statistically significant </w:t>
      </w:r>
      <w:r w:rsidR="00342E84" w:rsidRPr="00885AB3">
        <w:t>differences between arms</w:t>
      </w:r>
      <w:r w:rsidR="0091215E" w:rsidRPr="00885AB3">
        <w:t xml:space="preserve"> for outcomes</w:t>
      </w:r>
      <w:r w:rsidR="42E9D060" w:rsidRPr="00885AB3">
        <w:t xml:space="preserve"> in this subgroup</w:t>
      </w:r>
      <w:r w:rsidR="00342E84" w:rsidRPr="00885AB3">
        <w:t xml:space="preserve">. </w:t>
      </w:r>
    </w:p>
    <w:p w14:paraId="4AA8B799" w14:textId="5AD2339B" w:rsidR="006A1AFC" w:rsidRPr="00885AB3" w:rsidRDefault="006A1AFC" w:rsidP="00120D61">
      <w:pPr>
        <w:pStyle w:val="Caption"/>
        <w:rPr>
          <w:rStyle w:val="CommentReference"/>
          <w:b/>
          <w:szCs w:val="24"/>
        </w:rPr>
      </w:pPr>
      <w:bookmarkStart w:id="95" w:name="_Ref205303318"/>
      <w:r w:rsidRPr="00885AB3">
        <w:t xml:space="preserve">Table </w:t>
      </w:r>
      <w:r w:rsidR="008A242D" w:rsidRPr="00885AB3">
        <w:fldChar w:fldCharType="begin" w:fldLock="1"/>
      </w:r>
      <w:r w:rsidR="008A242D" w:rsidRPr="00885AB3">
        <w:instrText xml:space="preserve"> SEQ Table \* ARABIC </w:instrText>
      </w:r>
      <w:r w:rsidR="008A242D" w:rsidRPr="00885AB3">
        <w:fldChar w:fldCharType="separate"/>
      </w:r>
      <w:r w:rsidR="00515933" w:rsidRPr="00885AB3">
        <w:t>15</w:t>
      </w:r>
      <w:r w:rsidR="008A242D" w:rsidRPr="00885AB3">
        <w:fldChar w:fldCharType="end"/>
      </w:r>
      <w:bookmarkEnd w:id="95"/>
      <w:r w:rsidRPr="00885AB3">
        <w:t>: Summary of comparative benefits and harms for mRNA-1345 and placebo</w:t>
      </w:r>
    </w:p>
    <w:tbl>
      <w:tblPr>
        <w:tblStyle w:val="TableGrid"/>
        <w:tblW w:w="5000" w:type="pct"/>
        <w:tblLayout w:type="fixed"/>
        <w:tblCellMar>
          <w:left w:w="28" w:type="dxa"/>
          <w:right w:w="28" w:type="dxa"/>
        </w:tblCellMar>
        <w:tblLook w:val="04A0" w:firstRow="1" w:lastRow="0" w:firstColumn="1" w:lastColumn="0" w:noHBand="0" w:noVBand="1"/>
        <w:tblCaption w:val="Table 15: Summary of comparative benefits and harms for mRNA-1345 and placebo"/>
      </w:tblPr>
      <w:tblGrid>
        <w:gridCol w:w="2125"/>
        <w:gridCol w:w="1417"/>
        <w:gridCol w:w="1556"/>
        <w:gridCol w:w="1560"/>
        <w:gridCol w:w="2359"/>
      </w:tblGrid>
      <w:tr w:rsidR="006A1AFC" w:rsidRPr="00885AB3" w14:paraId="003E381F" w14:textId="77777777">
        <w:trPr>
          <w:trHeight w:val="20"/>
        </w:trPr>
        <w:tc>
          <w:tcPr>
            <w:tcW w:w="5000" w:type="pct"/>
            <w:gridSpan w:val="5"/>
          </w:tcPr>
          <w:p w14:paraId="45985694" w14:textId="77777777" w:rsidR="006A1AFC" w:rsidRPr="00885AB3" w:rsidRDefault="006A1AFC" w:rsidP="00120D61">
            <w:pPr>
              <w:pStyle w:val="In-tableHeading"/>
            </w:pPr>
            <w:r w:rsidRPr="00885AB3">
              <w:t>Benefits</w:t>
            </w:r>
          </w:p>
        </w:tc>
      </w:tr>
      <w:tr w:rsidR="006A1AFC" w:rsidRPr="00885AB3" w14:paraId="6C3F2E41" w14:textId="77777777">
        <w:trPr>
          <w:trHeight w:val="20"/>
        </w:trPr>
        <w:tc>
          <w:tcPr>
            <w:tcW w:w="5000" w:type="pct"/>
            <w:gridSpan w:val="5"/>
          </w:tcPr>
          <w:p w14:paraId="6DFBB442" w14:textId="77777777" w:rsidR="006A1AFC" w:rsidRPr="00885AB3" w:rsidRDefault="006A1AFC" w:rsidP="00120D61">
            <w:pPr>
              <w:pStyle w:val="In-tableHeading"/>
            </w:pPr>
            <w:r w:rsidRPr="00885AB3">
              <w:t>RT-PCR confirmed RSV-LRTD</w:t>
            </w:r>
          </w:p>
        </w:tc>
      </w:tr>
      <w:tr w:rsidR="006A1AFC" w:rsidRPr="00885AB3" w14:paraId="123A079C" w14:textId="77777777" w:rsidTr="004367A1">
        <w:trPr>
          <w:trHeight w:val="20"/>
        </w:trPr>
        <w:tc>
          <w:tcPr>
            <w:tcW w:w="1178" w:type="pct"/>
            <w:tcBorders>
              <w:bottom w:val="single" w:sz="4" w:space="0" w:color="auto"/>
            </w:tcBorders>
          </w:tcPr>
          <w:p w14:paraId="4EDE5997" w14:textId="77777777" w:rsidR="006A1AFC" w:rsidRPr="00885AB3" w:rsidRDefault="006A1AFC" w:rsidP="00120D61">
            <w:pPr>
              <w:pStyle w:val="In-tableHeading"/>
            </w:pPr>
            <w:r w:rsidRPr="00885AB3">
              <w:t>Event</w:t>
            </w:r>
          </w:p>
        </w:tc>
        <w:tc>
          <w:tcPr>
            <w:tcW w:w="786" w:type="pct"/>
            <w:tcBorders>
              <w:bottom w:val="single" w:sz="4" w:space="0" w:color="auto"/>
            </w:tcBorders>
            <w:vAlign w:val="center"/>
          </w:tcPr>
          <w:p w14:paraId="431FD7F0" w14:textId="77777777" w:rsidR="006A1AFC" w:rsidRPr="00885AB3" w:rsidRDefault="006A1AFC" w:rsidP="00120D61">
            <w:pPr>
              <w:pStyle w:val="In-tableHeading"/>
              <w:jc w:val="center"/>
            </w:pPr>
            <w:r w:rsidRPr="00885AB3">
              <w:t>mRNA-1345</w:t>
            </w:r>
          </w:p>
        </w:tc>
        <w:tc>
          <w:tcPr>
            <w:tcW w:w="863" w:type="pct"/>
            <w:tcBorders>
              <w:bottom w:val="single" w:sz="4" w:space="0" w:color="auto"/>
            </w:tcBorders>
            <w:vAlign w:val="center"/>
          </w:tcPr>
          <w:p w14:paraId="37ABE31C" w14:textId="77777777" w:rsidR="006A1AFC" w:rsidRPr="00885AB3" w:rsidRDefault="006A1AFC" w:rsidP="00120D61">
            <w:pPr>
              <w:pStyle w:val="In-tableHeading"/>
              <w:jc w:val="center"/>
            </w:pPr>
            <w:r w:rsidRPr="00885AB3">
              <w:t>Placebo</w:t>
            </w:r>
          </w:p>
        </w:tc>
        <w:tc>
          <w:tcPr>
            <w:tcW w:w="865" w:type="pct"/>
            <w:tcBorders>
              <w:bottom w:val="single" w:sz="4" w:space="0" w:color="auto"/>
            </w:tcBorders>
            <w:vAlign w:val="center"/>
          </w:tcPr>
          <w:p w14:paraId="5834899A" w14:textId="77777777" w:rsidR="006A1AFC" w:rsidRPr="00885AB3" w:rsidRDefault="006A1AFC" w:rsidP="00120D61">
            <w:pPr>
              <w:pStyle w:val="In-tableHeading"/>
              <w:jc w:val="center"/>
            </w:pPr>
            <w:r w:rsidRPr="00885AB3">
              <w:t>Absolute Difference n (%)</w:t>
            </w:r>
          </w:p>
        </w:tc>
        <w:tc>
          <w:tcPr>
            <w:tcW w:w="1308" w:type="pct"/>
            <w:tcBorders>
              <w:bottom w:val="single" w:sz="4" w:space="0" w:color="auto"/>
            </w:tcBorders>
            <w:vAlign w:val="center"/>
          </w:tcPr>
          <w:p w14:paraId="728FD061" w14:textId="77777777" w:rsidR="006A1AFC" w:rsidRPr="00885AB3" w:rsidRDefault="006A1AFC" w:rsidP="00120D61">
            <w:pPr>
              <w:pStyle w:val="In-tableHeading"/>
              <w:jc w:val="center"/>
            </w:pPr>
            <w:r w:rsidRPr="00885AB3">
              <w:t xml:space="preserve">Cumulative VE% (CI </w:t>
            </w:r>
            <w:r w:rsidRPr="00885AB3">
              <w:rPr>
                <w:vertAlign w:val="superscript"/>
              </w:rPr>
              <w:t>a</w:t>
            </w:r>
            <w:r w:rsidRPr="00885AB3">
              <w:t>)</w:t>
            </w:r>
          </w:p>
        </w:tc>
      </w:tr>
      <w:tr w:rsidR="006A1AFC" w:rsidRPr="00885AB3" w14:paraId="3516617E" w14:textId="77777777">
        <w:trPr>
          <w:trHeight w:val="20"/>
        </w:trPr>
        <w:tc>
          <w:tcPr>
            <w:tcW w:w="5000" w:type="pct"/>
            <w:gridSpan w:val="5"/>
            <w:tcBorders>
              <w:bottom w:val="single" w:sz="4" w:space="0" w:color="auto"/>
            </w:tcBorders>
            <w:vAlign w:val="center"/>
          </w:tcPr>
          <w:p w14:paraId="5742B493" w14:textId="25365FA2" w:rsidR="006A1AFC" w:rsidRPr="00885AB3" w:rsidRDefault="00EF2FA4" w:rsidP="00120D61">
            <w:pPr>
              <w:pStyle w:val="TableText0"/>
              <w:jc w:val="left"/>
              <w:rPr>
                <w:b/>
              </w:rPr>
            </w:pPr>
            <w:r>
              <w:rPr>
                <w:b/>
              </w:rPr>
              <w:t xml:space="preserve">≥ </w:t>
            </w:r>
            <w:r w:rsidR="006A1AFC" w:rsidRPr="00885AB3">
              <w:rPr>
                <w:b/>
              </w:rPr>
              <w:t>60 YOA</w:t>
            </w:r>
            <w:r w:rsidR="00376977" w:rsidRPr="00885AB3">
              <w:rPr>
                <w:b/>
              </w:rPr>
              <w:t>, cumulative estimates</w:t>
            </w:r>
            <w:r w:rsidR="006A1AFC" w:rsidRPr="00885AB3">
              <w:rPr>
                <w:b/>
              </w:rPr>
              <w:t xml:space="preserve"> over </w:t>
            </w:r>
            <w:r w:rsidR="00D95BCC" w:rsidRPr="00885AB3">
              <w:rPr>
                <w:b/>
              </w:rPr>
              <w:t>consecutive</w:t>
            </w:r>
            <w:r w:rsidR="00376977" w:rsidRPr="00885AB3">
              <w:rPr>
                <w:b/>
              </w:rPr>
              <w:t xml:space="preserve"> </w:t>
            </w:r>
            <w:r w:rsidR="006A1AFC" w:rsidRPr="00885AB3">
              <w:rPr>
                <w:b/>
              </w:rPr>
              <w:t>seasons</w:t>
            </w:r>
            <w:r w:rsidR="002D07E3" w:rsidRPr="00885AB3">
              <w:rPr>
                <w:b/>
              </w:rPr>
              <w:t xml:space="preserve"> (18.8-months median time to follow-up)</w:t>
            </w:r>
          </w:p>
        </w:tc>
      </w:tr>
      <w:tr w:rsidR="006A1AFC" w:rsidRPr="00885AB3" w14:paraId="16072589" w14:textId="77777777" w:rsidTr="004367A1">
        <w:trPr>
          <w:trHeight w:val="20"/>
        </w:trPr>
        <w:tc>
          <w:tcPr>
            <w:tcW w:w="1178" w:type="pct"/>
            <w:tcBorders>
              <w:bottom w:val="single" w:sz="4" w:space="0" w:color="auto"/>
              <w:right w:val="single" w:sz="4" w:space="0" w:color="auto"/>
            </w:tcBorders>
            <w:vAlign w:val="center"/>
          </w:tcPr>
          <w:p w14:paraId="36A6DC71" w14:textId="77777777" w:rsidR="006A1AFC" w:rsidRPr="00885AB3" w:rsidRDefault="006A1AFC" w:rsidP="00120D61">
            <w:pPr>
              <w:pStyle w:val="TableText0"/>
              <w:jc w:val="left"/>
              <w:rPr>
                <w:szCs w:val="20"/>
              </w:rPr>
            </w:pPr>
            <w:r w:rsidRPr="00885AB3">
              <w:rPr>
                <w:szCs w:val="20"/>
              </w:rPr>
              <w:t>14 days to 12 months</w:t>
            </w:r>
          </w:p>
        </w:tc>
        <w:tc>
          <w:tcPr>
            <w:tcW w:w="786" w:type="pct"/>
            <w:tcBorders>
              <w:left w:val="single" w:sz="4" w:space="0" w:color="auto"/>
              <w:bottom w:val="single" w:sz="4" w:space="0" w:color="auto"/>
              <w:right w:val="single" w:sz="4" w:space="0" w:color="auto"/>
            </w:tcBorders>
            <w:vAlign w:val="center"/>
          </w:tcPr>
          <w:p w14:paraId="3A63A156" w14:textId="77777777" w:rsidR="006A1AFC" w:rsidRPr="00885AB3" w:rsidRDefault="006A1AFC" w:rsidP="00120D61">
            <w:pPr>
              <w:pStyle w:val="TableText0"/>
              <w:rPr>
                <w:szCs w:val="20"/>
              </w:rPr>
            </w:pPr>
            <w:r w:rsidRPr="00885AB3">
              <w:rPr>
                <w:szCs w:val="20"/>
              </w:rPr>
              <w:t>73/18,181 (0.4%)</w:t>
            </w:r>
          </w:p>
        </w:tc>
        <w:tc>
          <w:tcPr>
            <w:tcW w:w="863" w:type="pct"/>
            <w:tcBorders>
              <w:left w:val="single" w:sz="4" w:space="0" w:color="auto"/>
              <w:bottom w:val="single" w:sz="4" w:space="0" w:color="auto"/>
              <w:right w:val="single" w:sz="4" w:space="0" w:color="auto"/>
            </w:tcBorders>
            <w:vAlign w:val="center"/>
          </w:tcPr>
          <w:p w14:paraId="1B312242" w14:textId="77777777" w:rsidR="006A1AFC" w:rsidRPr="00885AB3" w:rsidRDefault="006A1AFC" w:rsidP="00120D61">
            <w:pPr>
              <w:pStyle w:val="TableText0"/>
              <w:rPr>
                <w:szCs w:val="20"/>
              </w:rPr>
            </w:pPr>
            <w:r w:rsidRPr="00885AB3">
              <w:rPr>
                <w:szCs w:val="20"/>
              </w:rPr>
              <w:t>165/18,132 (0.9%)</w:t>
            </w:r>
          </w:p>
        </w:tc>
        <w:tc>
          <w:tcPr>
            <w:tcW w:w="865" w:type="pct"/>
            <w:tcBorders>
              <w:left w:val="single" w:sz="4" w:space="0" w:color="auto"/>
              <w:bottom w:val="single" w:sz="4" w:space="0" w:color="auto"/>
              <w:right w:val="single" w:sz="4" w:space="0" w:color="auto"/>
            </w:tcBorders>
            <w:vAlign w:val="center"/>
          </w:tcPr>
          <w:p w14:paraId="46FBF26D" w14:textId="77777777" w:rsidR="006A1AFC" w:rsidRPr="00885AB3" w:rsidRDefault="006A1AFC" w:rsidP="00120D61">
            <w:pPr>
              <w:pStyle w:val="TableText0"/>
              <w:rPr>
                <w:szCs w:val="20"/>
              </w:rPr>
            </w:pPr>
            <w:r w:rsidRPr="00885AB3">
              <w:rPr>
                <w:szCs w:val="20"/>
              </w:rPr>
              <w:t>40 (0.5%)</w:t>
            </w:r>
          </w:p>
        </w:tc>
        <w:tc>
          <w:tcPr>
            <w:tcW w:w="1308" w:type="pct"/>
            <w:tcBorders>
              <w:left w:val="single" w:sz="4" w:space="0" w:color="auto"/>
              <w:bottom w:val="single" w:sz="4" w:space="0" w:color="auto"/>
            </w:tcBorders>
            <w:vAlign w:val="center"/>
          </w:tcPr>
          <w:p w14:paraId="4A901F22" w14:textId="77777777" w:rsidR="006A1AFC" w:rsidRPr="00885AB3" w:rsidRDefault="006A1AFC" w:rsidP="00120D61">
            <w:pPr>
              <w:pStyle w:val="TableText0"/>
              <w:rPr>
                <w:bCs/>
                <w:szCs w:val="20"/>
              </w:rPr>
            </w:pPr>
            <w:r w:rsidRPr="00885AB3">
              <w:rPr>
                <w:szCs w:val="20"/>
              </w:rPr>
              <w:t>56.2 (41.9, 67.2)</w:t>
            </w:r>
          </w:p>
        </w:tc>
      </w:tr>
      <w:tr w:rsidR="006A1AFC" w:rsidRPr="00885AB3" w14:paraId="604329D3" w14:textId="77777777" w:rsidTr="004367A1">
        <w:trPr>
          <w:trHeight w:val="20"/>
        </w:trPr>
        <w:tc>
          <w:tcPr>
            <w:tcW w:w="1178" w:type="pct"/>
            <w:tcBorders>
              <w:bottom w:val="single" w:sz="4" w:space="0" w:color="auto"/>
              <w:right w:val="single" w:sz="4" w:space="0" w:color="auto"/>
            </w:tcBorders>
            <w:vAlign w:val="center"/>
          </w:tcPr>
          <w:p w14:paraId="2B37A581" w14:textId="77777777" w:rsidR="006A1AFC" w:rsidRPr="00885AB3" w:rsidRDefault="006A1AFC" w:rsidP="00120D61">
            <w:pPr>
              <w:pStyle w:val="TableText0"/>
              <w:jc w:val="left"/>
              <w:rPr>
                <w:szCs w:val="20"/>
              </w:rPr>
            </w:pPr>
            <w:r w:rsidRPr="00885AB3">
              <w:rPr>
                <w:szCs w:val="20"/>
              </w:rPr>
              <w:t>14 days to 18 months</w:t>
            </w:r>
          </w:p>
        </w:tc>
        <w:tc>
          <w:tcPr>
            <w:tcW w:w="786" w:type="pct"/>
            <w:tcBorders>
              <w:left w:val="single" w:sz="4" w:space="0" w:color="auto"/>
              <w:bottom w:val="single" w:sz="4" w:space="0" w:color="auto"/>
              <w:right w:val="single" w:sz="4" w:space="0" w:color="auto"/>
            </w:tcBorders>
            <w:vAlign w:val="center"/>
          </w:tcPr>
          <w:p w14:paraId="10D50A33" w14:textId="77777777" w:rsidR="006A1AFC" w:rsidRPr="00885AB3" w:rsidRDefault="006A1AFC" w:rsidP="00120D61">
            <w:pPr>
              <w:pStyle w:val="TableText0"/>
              <w:rPr>
                <w:szCs w:val="20"/>
              </w:rPr>
            </w:pPr>
            <w:r w:rsidRPr="00885AB3">
              <w:rPr>
                <w:szCs w:val="20"/>
              </w:rPr>
              <w:t>113/18,181 (0.6%)</w:t>
            </w:r>
          </w:p>
        </w:tc>
        <w:tc>
          <w:tcPr>
            <w:tcW w:w="863" w:type="pct"/>
            <w:tcBorders>
              <w:left w:val="single" w:sz="4" w:space="0" w:color="auto"/>
              <w:bottom w:val="single" w:sz="4" w:space="0" w:color="auto"/>
              <w:right w:val="single" w:sz="4" w:space="0" w:color="auto"/>
            </w:tcBorders>
            <w:vAlign w:val="center"/>
          </w:tcPr>
          <w:p w14:paraId="57F5132E" w14:textId="77777777" w:rsidR="006A1AFC" w:rsidRPr="00885AB3" w:rsidRDefault="006A1AFC" w:rsidP="00120D61">
            <w:pPr>
              <w:pStyle w:val="TableText0"/>
              <w:rPr>
                <w:szCs w:val="20"/>
              </w:rPr>
            </w:pPr>
            <w:r w:rsidRPr="00885AB3">
              <w:rPr>
                <w:szCs w:val="20"/>
              </w:rPr>
              <w:t>225/18,132 (1.2%)</w:t>
            </w:r>
          </w:p>
        </w:tc>
        <w:tc>
          <w:tcPr>
            <w:tcW w:w="865" w:type="pct"/>
            <w:tcBorders>
              <w:left w:val="single" w:sz="4" w:space="0" w:color="auto"/>
              <w:bottom w:val="single" w:sz="4" w:space="0" w:color="auto"/>
              <w:right w:val="single" w:sz="4" w:space="0" w:color="auto"/>
            </w:tcBorders>
            <w:vAlign w:val="center"/>
          </w:tcPr>
          <w:p w14:paraId="6FED9E94" w14:textId="77777777" w:rsidR="006A1AFC" w:rsidRPr="00885AB3" w:rsidRDefault="006A1AFC" w:rsidP="00120D61">
            <w:pPr>
              <w:pStyle w:val="TableText0"/>
              <w:rPr>
                <w:szCs w:val="20"/>
              </w:rPr>
            </w:pPr>
            <w:r w:rsidRPr="00885AB3">
              <w:rPr>
                <w:szCs w:val="20"/>
              </w:rPr>
              <w:t>112 (0.6%)</w:t>
            </w:r>
          </w:p>
        </w:tc>
        <w:tc>
          <w:tcPr>
            <w:tcW w:w="1308" w:type="pct"/>
            <w:tcBorders>
              <w:top w:val="single" w:sz="4" w:space="0" w:color="auto"/>
              <w:left w:val="single" w:sz="4" w:space="0" w:color="auto"/>
              <w:bottom w:val="single" w:sz="4" w:space="0" w:color="auto"/>
            </w:tcBorders>
            <w:vAlign w:val="center"/>
          </w:tcPr>
          <w:p w14:paraId="09E98FED" w14:textId="77777777" w:rsidR="006A1AFC" w:rsidRPr="00885AB3" w:rsidRDefault="006A1AFC" w:rsidP="00120D61">
            <w:pPr>
              <w:pStyle w:val="TableText0"/>
              <w:rPr>
                <w:bCs/>
                <w:szCs w:val="20"/>
              </w:rPr>
            </w:pPr>
            <w:r w:rsidRPr="00885AB3">
              <w:rPr>
                <w:szCs w:val="20"/>
              </w:rPr>
              <w:t>50.3 (37.5, 60.7)</w:t>
            </w:r>
          </w:p>
        </w:tc>
      </w:tr>
      <w:tr w:rsidR="006A1AFC" w:rsidRPr="00885AB3" w14:paraId="18891F0F" w14:textId="77777777" w:rsidTr="004367A1">
        <w:trPr>
          <w:trHeight w:val="20"/>
        </w:trPr>
        <w:tc>
          <w:tcPr>
            <w:tcW w:w="1178" w:type="pct"/>
            <w:tcBorders>
              <w:top w:val="single" w:sz="4" w:space="0" w:color="auto"/>
              <w:bottom w:val="single" w:sz="4" w:space="0" w:color="auto"/>
              <w:right w:val="single" w:sz="4" w:space="0" w:color="auto"/>
            </w:tcBorders>
            <w:vAlign w:val="center"/>
          </w:tcPr>
          <w:p w14:paraId="0BA85C5F" w14:textId="77777777" w:rsidR="006A1AFC" w:rsidRPr="00885AB3" w:rsidRDefault="006A1AFC" w:rsidP="00120D61">
            <w:pPr>
              <w:pStyle w:val="TableText0"/>
              <w:jc w:val="left"/>
              <w:rPr>
                <w:szCs w:val="20"/>
              </w:rPr>
            </w:pPr>
            <w:r w:rsidRPr="00885AB3">
              <w:rPr>
                <w:szCs w:val="20"/>
              </w:rPr>
              <w:t>14 days to 24 months</w:t>
            </w:r>
          </w:p>
        </w:tc>
        <w:tc>
          <w:tcPr>
            <w:tcW w:w="786" w:type="pct"/>
            <w:tcBorders>
              <w:top w:val="single" w:sz="4" w:space="0" w:color="auto"/>
              <w:left w:val="single" w:sz="4" w:space="0" w:color="auto"/>
              <w:bottom w:val="single" w:sz="4" w:space="0" w:color="auto"/>
              <w:right w:val="single" w:sz="4" w:space="0" w:color="auto"/>
            </w:tcBorders>
            <w:vAlign w:val="center"/>
          </w:tcPr>
          <w:p w14:paraId="54EC5E62" w14:textId="77777777" w:rsidR="006A1AFC" w:rsidRPr="00885AB3" w:rsidRDefault="006A1AFC" w:rsidP="00120D61">
            <w:pPr>
              <w:pStyle w:val="TableText0"/>
              <w:rPr>
                <w:szCs w:val="20"/>
              </w:rPr>
            </w:pPr>
            <w:r w:rsidRPr="00885AB3">
              <w:rPr>
                <w:szCs w:val="20"/>
              </w:rPr>
              <w:t>132/18,181(0.7%)</w:t>
            </w:r>
          </w:p>
        </w:tc>
        <w:tc>
          <w:tcPr>
            <w:tcW w:w="863" w:type="pct"/>
            <w:tcBorders>
              <w:top w:val="single" w:sz="4" w:space="0" w:color="auto"/>
              <w:left w:val="single" w:sz="4" w:space="0" w:color="auto"/>
              <w:bottom w:val="single" w:sz="4" w:space="0" w:color="auto"/>
              <w:right w:val="single" w:sz="4" w:space="0" w:color="auto"/>
            </w:tcBorders>
            <w:vAlign w:val="center"/>
          </w:tcPr>
          <w:p w14:paraId="0AEDC672" w14:textId="77777777" w:rsidR="006A1AFC" w:rsidRPr="00885AB3" w:rsidRDefault="006A1AFC" w:rsidP="00120D61">
            <w:pPr>
              <w:pStyle w:val="TableText0"/>
              <w:rPr>
                <w:szCs w:val="20"/>
              </w:rPr>
            </w:pPr>
            <w:r w:rsidRPr="00885AB3">
              <w:rPr>
                <w:szCs w:val="20"/>
              </w:rPr>
              <w:t>248/18,132 (1.4%)</w:t>
            </w:r>
          </w:p>
        </w:tc>
        <w:tc>
          <w:tcPr>
            <w:tcW w:w="865" w:type="pct"/>
            <w:tcBorders>
              <w:top w:val="single" w:sz="4" w:space="0" w:color="auto"/>
              <w:left w:val="single" w:sz="4" w:space="0" w:color="auto"/>
              <w:bottom w:val="single" w:sz="4" w:space="0" w:color="auto"/>
              <w:right w:val="single" w:sz="4" w:space="0" w:color="auto"/>
            </w:tcBorders>
            <w:vAlign w:val="center"/>
          </w:tcPr>
          <w:p w14:paraId="5EE2CC05" w14:textId="77777777" w:rsidR="006A1AFC" w:rsidRPr="00885AB3" w:rsidRDefault="006A1AFC" w:rsidP="00120D61">
            <w:pPr>
              <w:pStyle w:val="TableText0"/>
              <w:rPr>
                <w:szCs w:val="20"/>
              </w:rPr>
            </w:pPr>
            <w:r w:rsidRPr="00885AB3">
              <w:rPr>
                <w:szCs w:val="20"/>
              </w:rPr>
              <w:t>116 (0.7%)</w:t>
            </w:r>
          </w:p>
        </w:tc>
        <w:tc>
          <w:tcPr>
            <w:tcW w:w="1308" w:type="pct"/>
            <w:tcBorders>
              <w:top w:val="single" w:sz="4" w:space="0" w:color="auto"/>
              <w:left w:val="single" w:sz="4" w:space="0" w:color="auto"/>
              <w:bottom w:val="single" w:sz="4" w:space="0" w:color="auto"/>
            </w:tcBorders>
            <w:vAlign w:val="center"/>
          </w:tcPr>
          <w:p w14:paraId="3DB9B608" w14:textId="77777777" w:rsidR="006A1AFC" w:rsidRPr="00885AB3" w:rsidRDefault="006A1AFC" w:rsidP="00120D61">
            <w:pPr>
              <w:pStyle w:val="TableText0"/>
              <w:rPr>
                <w:bCs/>
                <w:szCs w:val="20"/>
              </w:rPr>
            </w:pPr>
            <w:r w:rsidRPr="00885AB3">
              <w:rPr>
                <w:szCs w:val="20"/>
              </w:rPr>
              <w:t>47.4 (34.7, 57.7)</w:t>
            </w:r>
          </w:p>
        </w:tc>
      </w:tr>
    </w:tbl>
    <w:tbl>
      <w:tblPr>
        <w:tblW w:w="5000" w:type="pct"/>
        <w:tblLayout w:type="fixed"/>
        <w:tblCellMar>
          <w:left w:w="28" w:type="dxa"/>
          <w:right w:w="28" w:type="dxa"/>
        </w:tblCellMar>
        <w:tblLook w:val="04A0" w:firstRow="1" w:lastRow="0" w:firstColumn="1" w:lastColumn="0" w:noHBand="0" w:noVBand="1"/>
        <w:tblCaption w:val="Table 15: Summary of comparative benefits and harms for mRNA-1345 and placebo"/>
      </w:tblPr>
      <w:tblGrid>
        <w:gridCol w:w="1150"/>
        <w:gridCol w:w="1141"/>
        <w:gridCol w:w="1284"/>
        <w:gridCol w:w="1555"/>
        <w:gridCol w:w="1133"/>
        <w:gridCol w:w="1246"/>
        <w:gridCol w:w="1508"/>
      </w:tblGrid>
      <w:tr w:rsidR="006A1AFC" w:rsidRPr="00885AB3" w14:paraId="4AAE98E5" w14:textId="77777777">
        <w:tc>
          <w:tcPr>
            <w:tcW w:w="5000" w:type="pct"/>
            <w:gridSpan w:val="7"/>
            <w:tcBorders>
              <w:top w:val="double" w:sz="4" w:space="0" w:color="auto"/>
              <w:left w:val="single" w:sz="4" w:space="0" w:color="auto"/>
              <w:bottom w:val="single" w:sz="4" w:space="0" w:color="auto"/>
              <w:right w:val="single" w:sz="4" w:space="0" w:color="auto"/>
            </w:tcBorders>
            <w:vAlign w:val="center"/>
          </w:tcPr>
          <w:p w14:paraId="5F79473B" w14:textId="327D656C" w:rsidR="006A1AFC" w:rsidRPr="00885AB3" w:rsidRDefault="006A1AFC" w:rsidP="00120D61">
            <w:pPr>
              <w:pStyle w:val="In-tableHeading"/>
            </w:pPr>
            <w:r w:rsidRPr="00885AB3">
              <w:t xml:space="preserve">Harms </w:t>
            </w:r>
            <w:r w:rsidR="00EF2FA4">
              <w:t xml:space="preserve">≥ </w:t>
            </w:r>
            <w:r w:rsidRPr="00885AB3">
              <w:t>60 YOA</w:t>
            </w:r>
          </w:p>
        </w:tc>
      </w:tr>
      <w:tr w:rsidR="006A1AFC" w:rsidRPr="00885AB3" w14:paraId="73C4B4F0" w14:textId="77777777" w:rsidTr="004367A1">
        <w:trPr>
          <w:trHeight w:val="70"/>
        </w:trPr>
        <w:tc>
          <w:tcPr>
            <w:tcW w:w="638" w:type="pct"/>
            <w:vMerge w:val="restart"/>
            <w:tcBorders>
              <w:top w:val="single" w:sz="4" w:space="0" w:color="auto"/>
              <w:left w:val="single" w:sz="4" w:space="0" w:color="auto"/>
              <w:bottom w:val="single" w:sz="4" w:space="0" w:color="auto"/>
              <w:right w:val="single" w:sz="4" w:space="0" w:color="auto"/>
            </w:tcBorders>
            <w:vAlign w:val="center"/>
          </w:tcPr>
          <w:p w14:paraId="272C69B3" w14:textId="77777777" w:rsidR="006A1AFC" w:rsidRPr="00885AB3" w:rsidRDefault="006A1AFC" w:rsidP="00120D61">
            <w:pPr>
              <w:pStyle w:val="In-tableHeading"/>
            </w:pPr>
            <w:proofErr w:type="spellStart"/>
            <w:r w:rsidRPr="00885AB3">
              <w:t>ConquerRSV</w:t>
            </w:r>
            <w:proofErr w:type="spellEnd"/>
          </w:p>
        </w:tc>
        <w:tc>
          <w:tcPr>
            <w:tcW w:w="633" w:type="pct"/>
            <w:vMerge w:val="restart"/>
            <w:tcBorders>
              <w:top w:val="single" w:sz="4" w:space="0" w:color="auto"/>
              <w:left w:val="single" w:sz="4" w:space="0" w:color="auto"/>
              <w:bottom w:val="single" w:sz="4" w:space="0" w:color="auto"/>
              <w:right w:val="single" w:sz="4" w:space="0" w:color="auto"/>
            </w:tcBorders>
            <w:vAlign w:val="center"/>
          </w:tcPr>
          <w:p w14:paraId="6DDFD011" w14:textId="77777777" w:rsidR="006A1AFC" w:rsidRPr="00885AB3" w:rsidRDefault="006A1AFC" w:rsidP="00120D61">
            <w:pPr>
              <w:pStyle w:val="In-tableHeading"/>
              <w:jc w:val="center"/>
            </w:pPr>
            <w:r w:rsidRPr="00885AB3">
              <w:t>mRNA-1345 n/N</w:t>
            </w:r>
          </w:p>
        </w:tc>
        <w:tc>
          <w:tcPr>
            <w:tcW w:w="712" w:type="pct"/>
            <w:vMerge w:val="restart"/>
            <w:tcBorders>
              <w:top w:val="single" w:sz="4" w:space="0" w:color="auto"/>
              <w:left w:val="single" w:sz="4" w:space="0" w:color="auto"/>
              <w:bottom w:val="single" w:sz="4" w:space="0" w:color="auto"/>
              <w:right w:val="single" w:sz="4" w:space="0" w:color="auto"/>
            </w:tcBorders>
            <w:vAlign w:val="center"/>
          </w:tcPr>
          <w:p w14:paraId="3E3E066D" w14:textId="77777777" w:rsidR="006A1AFC" w:rsidRPr="00885AB3" w:rsidRDefault="006A1AFC" w:rsidP="00120D61">
            <w:pPr>
              <w:pStyle w:val="In-tableHeading"/>
              <w:jc w:val="center"/>
            </w:pPr>
            <w:r w:rsidRPr="00885AB3">
              <w:t>Placebo</w:t>
            </w:r>
          </w:p>
          <w:p w14:paraId="6C894CF3" w14:textId="77777777" w:rsidR="006A1AFC" w:rsidRPr="00885AB3" w:rsidRDefault="006A1AFC" w:rsidP="00120D61">
            <w:pPr>
              <w:pStyle w:val="In-tableHeading"/>
              <w:jc w:val="center"/>
            </w:pPr>
            <w:r w:rsidRPr="00885AB3">
              <w:t>n/N</w:t>
            </w:r>
          </w:p>
        </w:tc>
        <w:tc>
          <w:tcPr>
            <w:tcW w:w="862" w:type="pct"/>
            <w:vMerge w:val="restart"/>
            <w:tcBorders>
              <w:top w:val="single" w:sz="4" w:space="0" w:color="auto"/>
              <w:left w:val="single" w:sz="4" w:space="0" w:color="auto"/>
              <w:bottom w:val="single" w:sz="4" w:space="0" w:color="auto"/>
              <w:right w:val="single" w:sz="4" w:space="0" w:color="auto"/>
            </w:tcBorders>
            <w:vAlign w:val="center"/>
          </w:tcPr>
          <w:p w14:paraId="6A59FFCF" w14:textId="77777777" w:rsidR="006A1AFC" w:rsidRPr="00885AB3" w:rsidRDefault="006A1AFC" w:rsidP="00120D61">
            <w:pPr>
              <w:pStyle w:val="In-tableHeading"/>
              <w:jc w:val="center"/>
            </w:pPr>
            <w:r w:rsidRPr="00885AB3">
              <w:t>RR</w:t>
            </w:r>
          </w:p>
          <w:p w14:paraId="19B79A05" w14:textId="77777777" w:rsidR="006A1AFC" w:rsidRPr="00885AB3" w:rsidRDefault="006A1AFC" w:rsidP="00120D61">
            <w:pPr>
              <w:pStyle w:val="In-tableHeading"/>
              <w:jc w:val="center"/>
            </w:pPr>
            <w:r w:rsidRPr="00885AB3">
              <w:t>(95% CI)</w:t>
            </w:r>
          </w:p>
        </w:tc>
        <w:tc>
          <w:tcPr>
            <w:tcW w:w="1319" w:type="pct"/>
            <w:gridSpan w:val="2"/>
            <w:tcBorders>
              <w:top w:val="single" w:sz="4" w:space="0" w:color="auto"/>
              <w:left w:val="single" w:sz="4" w:space="0" w:color="auto"/>
              <w:bottom w:val="single" w:sz="4" w:space="0" w:color="auto"/>
              <w:right w:val="single" w:sz="4" w:space="0" w:color="auto"/>
            </w:tcBorders>
            <w:vAlign w:val="center"/>
          </w:tcPr>
          <w:p w14:paraId="339C61EC" w14:textId="77777777" w:rsidR="006A1AFC" w:rsidRPr="00885AB3" w:rsidRDefault="006A1AFC" w:rsidP="00120D61">
            <w:pPr>
              <w:pStyle w:val="In-tableHeading"/>
              <w:jc w:val="center"/>
            </w:pPr>
            <w:r w:rsidRPr="00885AB3">
              <w:t>Event rate/100 patients</w:t>
            </w:r>
          </w:p>
        </w:tc>
        <w:tc>
          <w:tcPr>
            <w:tcW w:w="836" w:type="pct"/>
            <w:vMerge w:val="restart"/>
            <w:tcBorders>
              <w:top w:val="single" w:sz="4" w:space="0" w:color="auto"/>
              <w:left w:val="single" w:sz="4" w:space="0" w:color="auto"/>
              <w:bottom w:val="single" w:sz="4" w:space="0" w:color="auto"/>
              <w:right w:val="single" w:sz="4" w:space="0" w:color="auto"/>
            </w:tcBorders>
            <w:vAlign w:val="center"/>
          </w:tcPr>
          <w:p w14:paraId="116565BE" w14:textId="77777777" w:rsidR="006A1AFC" w:rsidRPr="00885AB3" w:rsidRDefault="006A1AFC" w:rsidP="00120D61">
            <w:pPr>
              <w:pStyle w:val="In-tableHeading"/>
              <w:jc w:val="center"/>
            </w:pPr>
            <w:r w:rsidRPr="00885AB3">
              <w:t>RD</w:t>
            </w:r>
          </w:p>
          <w:p w14:paraId="79FCD6AD" w14:textId="77777777" w:rsidR="006A1AFC" w:rsidRPr="00885AB3" w:rsidRDefault="006A1AFC" w:rsidP="00120D61">
            <w:pPr>
              <w:pStyle w:val="In-tableHeading"/>
              <w:jc w:val="center"/>
            </w:pPr>
            <w:r w:rsidRPr="00885AB3">
              <w:t>(95% CI)</w:t>
            </w:r>
          </w:p>
        </w:tc>
      </w:tr>
      <w:tr w:rsidR="006A1AFC" w:rsidRPr="00885AB3" w14:paraId="10E98A32" w14:textId="77777777" w:rsidTr="004367A1">
        <w:trPr>
          <w:trHeight w:val="390"/>
        </w:trPr>
        <w:tc>
          <w:tcPr>
            <w:tcW w:w="638" w:type="pct"/>
            <w:vMerge/>
            <w:tcBorders>
              <w:top w:val="single" w:sz="4" w:space="0" w:color="auto"/>
              <w:left w:val="single" w:sz="4" w:space="0" w:color="auto"/>
              <w:bottom w:val="single" w:sz="4" w:space="0" w:color="auto"/>
              <w:right w:val="single" w:sz="4" w:space="0" w:color="auto"/>
            </w:tcBorders>
            <w:vAlign w:val="center"/>
          </w:tcPr>
          <w:p w14:paraId="5C5E5266" w14:textId="77777777" w:rsidR="006A1AFC" w:rsidRPr="00885AB3" w:rsidRDefault="006A1AFC" w:rsidP="00120D61">
            <w:pPr>
              <w:pStyle w:val="In-tableHeading"/>
            </w:pPr>
          </w:p>
        </w:tc>
        <w:tc>
          <w:tcPr>
            <w:tcW w:w="633" w:type="pct"/>
            <w:vMerge/>
            <w:tcBorders>
              <w:top w:val="single" w:sz="4" w:space="0" w:color="auto"/>
              <w:left w:val="single" w:sz="4" w:space="0" w:color="auto"/>
              <w:bottom w:val="single" w:sz="4" w:space="0" w:color="auto"/>
              <w:right w:val="single" w:sz="4" w:space="0" w:color="auto"/>
            </w:tcBorders>
            <w:vAlign w:val="center"/>
          </w:tcPr>
          <w:p w14:paraId="298BEC98" w14:textId="77777777" w:rsidR="006A1AFC" w:rsidRPr="00885AB3" w:rsidRDefault="006A1AFC" w:rsidP="00120D61">
            <w:pPr>
              <w:pStyle w:val="In-tableHeading"/>
            </w:pPr>
          </w:p>
        </w:tc>
        <w:tc>
          <w:tcPr>
            <w:tcW w:w="712" w:type="pct"/>
            <w:vMerge/>
            <w:tcBorders>
              <w:top w:val="single" w:sz="4" w:space="0" w:color="auto"/>
              <w:left w:val="single" w:sz="4" w:space="0" w:color="auto"/>
              <w:bottom w:val="single" w:sz="4" w:space="0" w:color="auto"/>
              <w:right w:val="single" w:sz="4" w:space="0" w:color="auto"/>
            </w:tcBorders>
            <w:vAlign w:val="center"/>
          </w:tcPr>
          <w:p w14:paraId="78005F61" w14:textId="77777777" w:rsidR="006A1AFC" w:rsidRPr="00885AB3" w:rsidRDefault="006A1AFC" w:rsidP="00120D61">
            <w:pPr>
              <w:pStyle w:val="In-tableHeading"/>
            </w:pPr>
          </w:p>
        </w:tc>
        <w:tc>
          <w:tcPr>
            <w:tcW w:w="862" w:type="pct"/>
            <w:vMerge/>
            <w:tcBorders>
              <w:top w:val="single" w:sz="4" w:space="0" w:color="auto"/>
              <w:left w:val="single" w:sz="4" w:space="0" w:color="auto"/>
              <w:bottom w:val="single" w:sz="4" w:space="0" w:color="auto"/>
              <w:right w:val="single" w:sz="4" w:space="0" w:color="auto"/>
            </w:tcBorders>
            <w:vAlign w:val="center"/>
          </w:tcPr>
          <w:p w14:paraId="4157F61D" w14:textId="77777777" w:rsidR="006A1AFC" w:rsidRPr="00885AB3" w:rsidRDefault="006A1AFC" w:rsidP="00120D61">
            <w:pPr>
              <w:pStyle w:val="In-tableHeading"/>
            </w:pPr>
          </w:p>
        </w:tc>
        <w:tc>
          <w:tcPr>
            <w:tcW w:w="628" w:type="pct"/>
            <w:tcBorders>
              <w:top w:val="single" w:sz="4" w:space="0" w:color="auto"/>
              <w:left w:val="single" w:sz="4" w:space="0" w:color="auto"/>
              <w:bottom w:val="single" w:sz="4" w:space="0" w:color="auto"/>
              <w:right w:val="single" w:sz="4" w:space="0" w:color="auto"/>
            </w:tcBorders>
            <w:vAlign w:val="center"/>
          </w:tcPr>
          <w:p w14:paraId="66898356" w14:textId="77777777" w:rsidR="006A1AFC" w:rsidRPr="00885AB3" w:rsidRDefault="006A1AFC" w:rsidP="00120D61">
            <w:pPr>
              <w:pStyle w:val="In-tableHeading"/>
              <w:jc w:val="center"/>
            </w:pPr>
            <w:r w:rsidRPr="00885AB3">
              <w:t>mRNA-1345</w:t>
            </w:r>
          </w:p>
        </w:tc>
        <w:tc>
          <w:tcPr>
            <w:tcW w:w="691" w:type="pct"/>
            <w:tcBorders>
              <w:top w:val="single" w:sz="4" w:space="0" w:color="auto"/>
              <w:left w:val="single" w:sz="4" w:space="0" w:color="auto"/>
              <w:bottom w:val="single" w:sz="4" w:space="0" w:color="auto"/>
              <w:right w:val="single" w:sz="4" w:space="0" w:color="auto"/>
            </w:tcBorders>
            <w:vAlign w:val="center"/>
          </w:tcPr>
          <w:p w14:paraId="44805B0D" w14:textId="77777777" w:rsidR="006A1AFC" w:rsidRPr="00885AB3" w:rsidRDefault="006A1AFC" w:rsidP="00120D61">
            <w:pPr>
              <w:pStyle w:val="In-tableHeading"/>
              <w:jc w:val="center"/>
            </w:pPr>
            <w:r w:rsidRPr="00885AB3">
              <w:t>Placebo</w:t>
            </w:r>
          </w:p>
        </w:tc>
        <w:tc>
          <w:tcPr>
            <w:tcW w:w="836" w:type="pct"/>
            <w:vMerge/>
            <w:tcBorders>
              <w:top w:val="single" w:sz="4" w:space="0" w:color="auto"/>
              <w:left w:val="single" w:sz="4" w:space="0" w:color="auto"/>
              <w:bottom w:val="single" w:sz="4" w:space="0" w:color="auto"/>
              <w:right w:val="single" w:sz="4" w:space="0" w:color="auto"/>
            </w:tcBorders>
            <w:vAlign w:val="center"/>
          </w:tcPr>
          <w:p w14:paraId="0B31CF47" w14:textId="77777777" w:rsidR="006A1AFC" w:rsidRPr="00885AB3" w:rsidRDefault="006A1AFC" w:rsidP="00120D61">
            <w:pPr>
              <w:pStyle w:val="In-tableHeading"/>
            </w:pPr>
          </w:p>
        </w:tc>
      </w:tr>
      <w:tr w:rsidR="006A1AFC" w:rsidRPr="00885AB3" w14:paraId="1C7BA429" w14:textId="77777777" w:rsidTr="004367A1">
        <w:tc>
          <w:tcPr>
            <w:tcW w:w="5000" w:type="pct"/>
            <w:gridSpan w:val="7"/>
            <w:tcBorders>
              <w:top w:val="single" w:sz="4" w:space="0" w:color="auto"/>
              <w:left w:val="single" w:sz="4" w:space="0" w:color="auto"/>
              <w:bottom w:val="single" w:sz="4" w:space="0" w:color="auto"/>
              <w:right w:val="single" w:sz="4" w:space="0" w:color="auto"/>
            </w:tcBorders>
            <w:vAlign w:val="center"/>
          </w:tcPr>
          <w:p w14:paraId="6A676ADE" w14:textId="77777777" w:rsidR="006A1AFC" w:rsidRPr="00885AB3" w:rsidRDefault="006A1AFC" w:rsidP="00120D61">
            <w:pPr>
              <w:pStyle w:val="In-tableHeading"/>
            </w:pPr>
            <w:r w:rsidRPr="00885AB3">
              <w:t>Solicited Grade 3 events within 7 days following vaccination</w:t>
            </w:r>
          </w:p>
        </w:tc>
      </w:tr>
      <w:tr w:rsidR="006A1AFC" w:rsidRPr="00885AB3" w14:paraId="7904182A" w14:textId="77777777" w:rsidTr="004367A1">
        <w:tc>
          <w:tcPr>
            <w:tcW w:w="638" w:type="pct"/>
            <w:tcBorders>
              <w:top w:val="single" w:sz="4" w:space="0" w:color="auto"/>
              <w:left w:val="single" w:sz="4" w:space="0" w:color="auto"/>
              <w:bottom w:val="single" w:sz="4" w:space="0" w:color="auto"/>
              <w:right w:val="single" w:sz="4" w:space="0" w:color="auto"/>
            </w:tcBorders>
            <w:vAlign w:val="center"/>
          </w:tcPr>
          <w:p w14:paraId="4E5586BF" w14:textId="2CC80B9A" w:rsidR="006A1AFC" w:rsidRPr="00885AB3" w:rsidRDefault="006A1AFC" w:rsidP="00120D61">
            <w:pPr>
              <w:pStyle w:val="TableText0"/>
              <w:jc w:val="left"/>
              <w:rPr>
                <w:szCs w:val="20"/>
              </w:rPr>
            </w:pPr>
            <w:r w:rsidRPr="00885AB3">
              <w:rPr>
                <w:szCs w:val="20"/>
              </w:rPr>
              <w:t>Any A</w:t>
            </w:r>
            <w:r w:rsidR="00362C23" w:rsidRPr="00885AB3">
              <w:rPr>
                <w:szCs w:val="20"/>
              </w:rPr>
              <w:t>R</w:t>
            </w:r>
          </w:p>
        </w:tc>
        <w:tc>
          <w:tcPr>
            <w:tcW w:w="633" w:type="pct"/>
            <w:tcBorders>
              <w:top w:val="single" w:sz="4" w:space="0" w:color="auto"/>
              <w:left w:val="single" w:sz="4" w:space="0" w:color="auto"/>
              <w:bottom w:val="single" w:sz="4" w:space="0" w:color="auto"/>
              <w:right w:val="single" w:sz="4" w:space="0" w:color="auto"/>
            </w:tcBorders>
            <w:vAlign w:val="center"/>
          </w:tcPr>
          <w:p w14:paraId="421F1CA9" w14:textId="77777777" w:rsidR="006A1AFC" w:rsidRPr="00885AB3" w:rsidRDefault="006A1AFC" w:rsidP="00120D61">
            <w:pPr>
              <w:pStyle w:val="TableText0"/>
              <w:rPr>
                <w:szCs w:val="20"/>
              </w:rPr>
            </w:pPr>
            <w:r w:rsidRPr="00885AB3">
              <w:rPr>
                <w:szCs w:val="20"/>
              </w:rPr>
              <w:t>1069/17665</w:t>
            </w:r>
          </w:p>
        </w:tc>
        <w:tc>
          <w:tcPr>
            <w:tcW w:w="712" w:type="pct"/>
            <w:tcBorders>
              <w:top w:val="single" w:sz="4" w:space="0" w:color="auto"/>
              <w:left w:val="single" w:sz="4" w:space="0" w:color="auto"/>
              <w:bottom w:val="single" w:sz="4" w:space="0" w:color="auto"/>
              <w:right w:val="single" w:sz="4" w:space="0" w:color="auto"/>
            </w:tcBorders>
            <w:vAlign w:val="center"/>
          </w:tcPr>
          <w:p w14:paraId="3E9B5FFA" w14:textId="77777777" w:rsidR="006A1AFC" w:rsidRPr="00885AB3" w:rsidRDefault="006A1AFC" w:rsidP="00120D61">
            <w:pPr>
              <w:pStyle w:val="TableText0"/>
              <w:rPr>
                <w:szCs w:val="20"/>
              </w:rPr>
            </w:pPr>
            <w:r w:rsidRPr="00885AB3">
              <w:rPr>
                <w:szCs w:val="20"/>
              </w:rPr>
              <w:t>685/17598</w:t>
            </w:r>
          </w:p>
        </w:tc>
        <w:tc>
          <w:tcPr>
            <w:tcW w:w="862" w:type="pct"/>
            <w:tcBorders>
              <w:top w:val="single" w:sz="4" w:space="0" w:color="auto"/>
              <w:left w:val="single" w:sz="4" w:space="0" w:color="auto"/>
              <w:bottom w:val="single" w:sz="4" w:space="0" w:color="auto"/>
              <w:right w:val="single" w:sz="4" w:space="0" w:color="auto"/>
            </w:tcBorders>
            <w:vAlign w:val="center"/>
          </w:tcPr>
          <w:p w14:paraId="69BDD8D4" w14:textId="77777777" w:rsidR="006A1AFC" w:rsidRPr="00885AB3" w:rsidRDefault="006A1AFC" w:rsidP="00120D61">
            <w:pPr>
              <w:pStyle w:val="Tabletext"/>
              <w:jc w:val="center"/>
              <w:rPr>
                <w:b/>
                <w:bCs/>
                <w:szCs w:val="20"/>
              </w:rPr>
            </w:pPr>
            <w:r w:rsidRPr="00885AB3">
              <w:rPr>
                <w:b/>
                <w:bCs/>
                <w:szCs w:val="20"/>
              </w:rPr>
              <w:t>1.56 (1.42, 1.71),</w:t>
            </w:r>
          </w:p>
          <w:p w14:paraId="33342325" w14:textId="060D10A0" w:rsidR="006A1AFC" w:rsidRPr="00885AB3" w:rsidRDefault="006A1AFC" w:rsidP="00120D61">
            <w:pPr>
              <w:pStyle w:val="TableText0"/>
              <w:rPr>
                <w:i/>
                <w:iCs/>
                <w:szCs w:val="20"/>
              </w:rPr>
            </w:pPr>
            <w:r w:rsidRPr="00885AB3">
              <w:rPr>
                <w:szCs w:val="20"/>
              </w:rPr>
              <w:t>p</w:t>
            </w:r>
            <w:r w:rsidR="001C78D7">
              <w:rPr>
                <w:szCs w:val="20"/>
              </w:rPr>
              <w:t xml:space="preserve">&lt; </w:t>
            </w:r>
            <w:r w:rsidRPr="00885AB3">
              <w:rPr>
                <w:szCs w:val="20"/>
              </w:rPr>
              <w:t>0.00001</w:t>
            </w:r>
          </w:p>
        </w:tc>
        <w:tc>
          <w:tcPr>
            <w:tcW w:w="628" w:type="pct"/>
            <w:tcBorders>
              <w:top w:val="single" w:sz="4" w:space="0" w:color="auto"/>
              <w:left w:val="single" w:sz="4" w:space="0" w:color="auto"/>
              <w:bottom w:val="single" w:sz="4" w:space="0" w:color="auto"/>
              <w:right w:val="single" w:sz="4" w:space="0" w:color="auto"/>
            </w:tcBorders>
            <w:vAlign w:val="center"/>
          </w:tcPr>
          <w:p w14:paraId="72350C05" w14:textId="77777777" w:rsidR="006A1AFC" w:rsidRPr="00885AB3" w:rsidRDefault="006A1AFC" w:rsidP="00120D61">
            <w:pPr>
              <w:pStyle w:val="TableText0"/>
              <w:rPr>
                <w:szCs w:val="20"/>
              </w:rPr>
            </w:pPr>
            <w:r w:rsidRPr="00885AB3">
              <w:rPr>
                <w:szCs w:val="20"/>
              </w:rPr>
              <w:t>6.1</w:t>
            </w:r>
          </w:p>
        </w:tc>
        <w:tc>
          <w:tcPr>
            <w:tcW w:w="691" w:type="pct"/>
            <w:tcBorders>
              <w:top w:val="single" w:sz="4" w:space="0" w:color="auto"/>
              <w:left w:val="single" w:sz="4" w:space="0" w:color="auto"/>
              <w:bottom w:val="single" w:sz="4" w:space="0" w:color="auto"/>
              <w:right w:val="single" w:sz="4" w:space="0" w:color="auto"/>
            </w:tcBorders>
            <w:vAlign w:val="center"/>
          </w:tcPr>
          <w:p w14:paraId="781B03E4" w14:textId="77777777" w:rsidR="006A1AFC" w:rsidRPr="00885AB3" w:rsidRDefault="006A1AFC" w:rsidP="00120D61">
            <w:pPr>
              <w:pStyle w:val="TableText0"/>
              <w:rPr>
                <w:szCs w:val="20"/>
              </w:rPr>
            </w:pPr>
            <w:r w:rsidRPr="00885AB3">
              <w:rPr>
                <w:szCs w:val="20"/>
              </w:rPr>
              <w:t>3.9</w:t>
            </w:r>
          </w:p>
        </w:tc>
        <w:tc>
          <w:tcPr>
            <w:tcW w:w="836" w:type="pct"/>
            <w:tcBorders>
              <w:top w:val="single" w:sz="4" w:space="0" w:color="auto"/>
              <w:left w:val="single" w:sz="4" w:space="0" w:color="auto"/>
              <w:bottom w:val="single" w:sz="4" w:space="0" w:color="auto"/>
              <w:right w:val="single" w:sz="4" w:space="0" w:color="auto"/>
            </w:tcBorders>
            <w:vAlign w:val="center"/>
          </w:tcPr>
          <w:p w14:paraId="3F712735" w14:textId="77777777" w:rsidR="006A1AFC" w:rsidRPr="00885AB3" w:rsidRDefault="006A1AFC" w:rsidP="00120D61">
            <w:pPr>
              <w:pStyle w:val="Tabletext"/>
              <w:jc w:val="center"/>
              <w:rPr>
                <w:b/>
                <w:bCs/>
                <w:szCs w:val="20"/>
              </w:rPr>
            </w:pPr>
            <w:r w:rsidRPr="00885AB3">
              <w:rPr>
                <w:b/>
                <w:bCs/>
                <w:szCs w:val="20"/>
              </w:rPr>
              <w:t>0.02 (0.02, 0.03),</w:t>
            </w:r>
          </w:p>
          <w:p w14:paraId="72F9ECF3" w14:textId="3F69E0C8" w:rsidR="006A1AFC" w:rsidRPr="00885AB3" w:rsidRDefault="006A1AFC" w:rsidP="00120D61">
            <w:pPr>
              <w:pStyle w:val="TableText0"/>
              <w:rPr>
                <w:bCs/>
                <w:i/>
                <w:iCs/>
                <w:szCs w:val="20"/>
              </w:rPr>
            </w:pPr>
            <w:r w:rsidRPr="00885AB3">
              <w:rPr>
                <w:szCs w:val="20"/>
              </w:rPr>
              <w:t>p</w:t>
            </w:r>
            <w:r w:rsidR="001C78D7">
              <w:rPr>
                <w:szCs w:val="20"/>
              </w:rPr>
              <w:t xml:space="preserve">&lt; </w:t>
            </w:r>
            <w:r w:rsidRPr="00885AB3">
              <w:rPr>
                <w:szCs w:val="20"/>
              </w:rPr>
              <w:t>0.00001</w:t>
            </w:r>
          </w:p>
        </w:tc>
      </w:tr>
      <w:tr w:rsidR="006A1AFC" w:rsidRPr="00885AB3" w14:paraId="575994D1" w14:textId="77777777" w:rsidTr="004367A1">
        <w:tc>
          <w:tcPr>
            <w:tcW w:w="638" w:type="pct"/>
            <w:tcBorders>
              <w:top w:val="single" w:sz="4" w:space="0" w:color="auto"/>
              <w:left w:val="single" w:sz="4" w:space="0" w:color="auto"/>
              <w:bottom w:val="single" w:sz="4" w:space="0" w:color="auto"/>
              <w:right w:val="single" w:sz="4" w:space="0" w:color="auto"/>
            </w:tcBorders>
            <w:vAlign w:val="center"/>
          </w:tcPr>
          <w:p w14:paraId="2D20070F" w14:textId="59EC1452" w:rsidR="006A1AFC" w:rsidRPr="00885AB3" w:rsidRDefault="006A1AFC" w:rsidP="00120D61">
            <w:pPr>
              <w:pStyle w:val="TableText0"/>
              <w:jc w:val="left"/>
              <w:rPr>
                <w:szCs w:val="20"/>
              </w:rPr>
            </w:pPr>
            <w:r w:rsidRPr="00885AB3">
              <w:rPr>
                <w:szCs w:val="20"/>
              </w:rPr>
              <w:t>Admin-site A</w:t>
            </w:r>
            <w:r w:rsidR="00362C23" w:rsidRPr="00885AB3">
              <w:rPr>
                <w:szCs w:val="20"/>
              </w:rPr>
              <w:t>R</w:t>
            </w:r>
          </w:p>
        </w:tc>
        <w:tc>
          <w:tcPr>
            <w:tcW w:w="633" w:type="pct"/>
            <w:tcBorders>
              <w:top w:val="single" w:sz="4" w:space="0" w:color="auto"/>
              <w:left w:val="single" w:sz="4" w:space="0" w:color="auto"/>
              <w:bottom w:val="single" w:sz="4" w:space="0" w:color="auto"/>
              <w:right w:val="single" w:sz="4" w:space="0" w:color="auto"/>
            </w:tcBorders>
            <w:vAlign w:val="center"/>
          </w:tcPr>
          <w:p w14:paraId="40BB9168" w14:textId="77777777" w:rsidR="006A1AFC" w:rsidRPr="00885AB3" w:rsidRDefault="006A1AFC" w:rsidP="00120D61">
            <w:pPr>
              <w:pStyle w:val="TableText0"/>
              <w:rPr>
                <w:szCs w:val="20"/>
              </w:rPr>
            </w:pPr>
            <w:r w:rsidRPr="00885AB3">
              <w:rPr>
                <w:szCs w:val="20"/>
              </w:rPr>
              <w:t>558/17665</w:t>
            </w:r>
          </w:p>
        </w:tc>
        <w:tc>
          <w:tcPr>
            <w:tcW w:w="712" w:type="pct"/>
            <w:tcBorders>
              <w:top w:val="single" w:sz="4" w:space="0" w:color="auto"/>
              <w:left w:val="single" w:sz="4" w:space="0" w:color="auto"/>
              <w:bottom w:val="single" w:sz="4" w:space="0" w:color="auto"/>
              <w:right w:val="single" w:sz="4" w:space="0" w:color="auto"/>
            </w:tcBorders>
            <w:vAlign w:val="center"/>
          </w:tcPr>
          <w:p w14:paraId="76C61D24" w14:textId="77777777" w:rsidR="006A1AFC" w:rsidRPr="00885AB3" w:rsidRDefault="006A1AFC" w:rsidP="00120D61">
            <w:pPr>
              <w:pStyle w:val="TableText0"/>
              <w:rPr>
                <w:szCs w:val="20"/>
              </w:rPr>
            </w:pPr>
            <w:r w:rsidRPr="00885AB3">
              <w:rPr>
                <w:szCs w:val="20"/>
              </w:rPr>
              <w:t>305/17598</w:t>
            </w:r>
          </w:p>
        </w:tc>
        <w:tc>
          <w:tcPr>
            <w:tcW w:w="862" w:type="pct"/>
            <w:tcBorders>
              <w:top w:val="single" w:sz="4" w:space="0" w:color="auto"/>
              <w:left w:val="single" w:sz="4" w:space="0" w:color="auto"/>
              <w:bottom w:val="single" w:sz="4" w:space="0" w:color="auto"/>
              <w:right w:val="single" w:sz="4" w:space="0" w:color="auto"/>
            </w:tcBorders>
            <w:vAlign w:val="center"/>
          </w:tcPr>
          <w:p w14:paraId="2958F088" w14:textId="77777777" w:rsidR="006A1AFC" w:rsidRPr="00885AB3" w:rsidRDefault="006A1AFC" w:rsidP="00120D61">
            <w:pPr>
              <w:pStyle w:val="Tabletext"/>
              <w:jc w:val="center"/>
              <w:rPr>
                <w:b/>
                <w:bCs/>
                <w:szCs w:val="20"/>
              </w:rPr>
            </w:pPr>
            <w:r w:rsidRPr="00885AB3">
              <w:rPr>
                <w:b/>
                <w:bCs/>
                <w:szCs w:val="20"/>
              </w:rPr>
              <w:t>1.82 (1.59, 2.09),</w:t>
            </w:r>
          </w:p>
          <w:p w14:paraId="54104E06" w14:textId="6672854D" w:rsidR="006A1AFC" w:rsidRPr="00885AB3" w:rsidRDefault="006A1AFC" w:rsidP="00120D61">
            <w:pPr>
              <w:pStyle w:val="TableText0"/>
              <w:rPr>
                <w:i/>
                <w:iCs/>
                <w:szCs w:val="20"/>
              </w:rPr>
            </w:pPr>
            <w:r w:rsidRPr="00885AB3">
              <w:rPr>
                <w:szCs w:val="20"/>
              </w:rPr>
              <w:t>p</w:t>
            </w:r>
            <w:r w:rsidR="001C78D7">
              <w:rPr>
                <w:szCs w:val="20"/>
              </w:rPr>
              <w:t xml:space="preserve">&lt; </w:t>
            </w:r>
            <w:r w:rsidRPr="00885AB3">
              <w:rPr>
                <w:szCs w:val="20"/>
              </w:rPr>
              <w:t>0.00001</w:t>
            </w:r>
          </w:p>
        </w:tc>
        <w:tc>
          <w:tcPr>
            <w:tcW w:w="628" w:type="pct"/>
            <w:tcBorders>
              <w:top w:val="single" w:sz="4" w:space="0" w:color="auto"/>
              <w:left w:val="single" w:sz="4" w:space="0" w:color="auto"/>
              <w:bottom w:val="single" w:sz="4" w:space="0" w:color="auto"/>
              <w:right w:val="single" w:sz="4" w:space="0" w:color="auto"/>
            </w:tcBorders>
            <w:vAlign w:val="center"/>
          </w:tcPr>
          <w:p w14:paraId="108E1400" w14:textId="77777777" w:rsidR="006A1AFC" w:rsidRPr="00885AB3" w:rsidRDefault="006A1AFC" w:rsidP="00120D61">
            <w:pPr>
              <w:pStyle w:val="TableText0"/>
              <w:rPr>
                <w:szCs w:val="20"/>
              </w:rPr>
            </w:pPr>
            <w:r w:rsidRPr="00885AB3">
              <w:rPr>
                <w:szCs w:val="20"/>
              </w:rPr>
              <w:t>3.2</w:t>
            </w:r>
          </w:p>
        </w:tc>
        <w:tc>
          <w:tcPr>
            <w:tcW w:w="691" w:type="pct"/>
            <w:tcBorders>
              <w:top w:val="single" w:sz="4" w:space="0" w:color="auto"/>
              <w:left w:val="single" w:sz="4" w:space="0" w:color="auto"/>
              <w:bottom w:val="single" w:sz="4" w:space="0" w:color="auto"/>
              <w:right w:val="single" w:sz="4" w:space="0" w:color="auto"/>
            </w:tcBorders>
            <w:vAlign w:val="center"/>
          </w:tcPr>
          <w:p w14:paraId="35A1F2FB" w14:textId="77777777" w:rsidR="006A1AFC" w:rsidRPr="00885AB3" w:rsidRDefault="006A1AFC" w:rsidP="00120D61">
            <w:pPr>
              <w:pStyle w:val="TableText0"/>
              <w:rPr>
                <w:szCs w:val="20"/>
              </w:rPr>
            </w:pPr>
            <w:r w:rsidRPr="00885AB3">
              <w:rPr>
                <w:szCs w:val="20"/>
              </w:rPr>
              <w:t>1.7</w:t>
            </w:r>
          </w:p>
        </w:tc>
        <w:tc>
          <w:tcPr>
            <w:tcW w:w="836" w:type="pct"/>
            <w:tcBorders>
              <w:top w:val="single" w:sz="4" w:space="0" w:color="auto"/>
              <w:left w:val="single" w:sz="4" w:space="0" w:color="auto"/>
              <w:bottom w:val="single" w:sz="4" w:space="0" w:color="auto"/>
              <w:right w:val="single" w:sz="4" w:space="0" w:color="auto"/>
            </w:tcBorders>
            <w:vAlign w:val="center"/>
          </w:tcPr>
          <w:p w14:paraId="20F35CC1" w14:textId="77777777" w:rsidR="006A1AFC" w:rsidRPr="00885AB3" w:rsidRDefault="006A1AFC" w:rsidP="00120D61">
            <w:pPr>
              <w:pStyle w:val="Tabletext"/>
              <w:jc w:val="center"/>
              <w:rPr>
                <w:b/>
                <w:bCs/>
                <w:szCs w:val="20"/>
              </w:rPr>
            </w:pPr>
            <w:r w:rsidRPr="00885AB3">
              <w:rPr>
                <w:b/>
                <w:bCs/>
                <w:szCs w:val="20"/>
              </w:rPr>
              <w:t>0.01</w:t>
            </w:r>
            <w:r w:rsidRPr="00885AB3">
              <w:rPr>
                <w:b/>
                <w:bCs/>
                <w:i/>
                <w:iCs/>
                <w:szCs w:val="20"/>
              </w:rPr>
              <w:t xml:space="preserve"> </w:t>
            </w:r>
            <w:r w:rsidRPr="00885AB3">
              <w:rPr>
                <w:b/>
                <w:bCs/>
                <w:szCs w:val="20"/>
              </w:rPr>
              <w:t>(0.01, 0.02),</w:t>
            </w:r>
          </w:p>
          <w:p w14:paraId="333A1C39" w14:textId="4D7E4B90" w:rsidR="006A1AFC" w:rsidRPr="00885AB3" w:rsidRDefault="006A1AFC" w:rsidP="00120D61">
            <w:pPr>
              <w:pStyle w:val="TableText0"/>
              <w:rPr>
                <w:bCs/>
                <w:i/>
                <w:iCs/>
                <w:szCs w:val="20"/>
                <w:vertAlign w:val="superscript"/>
              </w:rPr>
            </w:pPr>
            <w:r w:rsidRPr="00885AB3">
              <w:rPr>
                <w:szCs w:val="20"/>
              </w:rPr>
              <w:t>p</w:t>
            </w:r>
            <w:r w:rsidR="001C78D7">
              <w:rPr>
                <w:szCs w:val="20"/>
              </w:rPr>
              <w:t xml:space="preserve">&lt; </w:t>
            </w:r>
            <w:r w:rsidRPr="00885AB3">
              <w:rPr>
                <w:szCs w:val="20"/>
              </w:rPr>
              <w:t>0.00001</w:t>
            </w:r>
          </w:p>
        </w:tc>
      </w:tr>
      <w:tr w:rsidR="006A1AFC" w:rsidRPr="00885AB3" w14:paraId="60107141" w14:textId="77777777" w:rsidTr="004367A1">
        <w:tc>
          <w:tcPr>
            <w:tcW w:w="638" w:type="pct"/>
            <w:tcBorders>
              <w:top w:val="single" w:sz="4" w:space="0" w:color="auto"/>
              <w:left w:val="single" w:sz="4" w:space="0" w:color="auto"/>
              <w:bottom w:val="single" w:sz="4" w:space="0" w:color="auto"/>
              <w:right w:val="single" w:sz="4" w:space="0" w:color="auto"/>
            </w:tcBorders>
            <w:vAlign w:val="center"/>
          </w:tcPr>
          <w:p w14:paraId="22AEF529" w14:textId="01786791" w:rsidR="006A1AFC" w:rsidRPr="00885AB3" w:rsidRDefault="006A1AFC" w:rsidP="00120D61">
            <w:pPr>
              <w:pStyle w:val="TableText0"/>
              <w:jc w:val="left"/>
              <w:rPr>
                <w:szCs w:val="20"/>
              </w:rPr>
            </w:pPr>
            <w:r w:rsidRPr="00885AB3">
              <w:rPr>
                <w:szCs w:val="20"/>
              </w:rPr>
              <w:t>Systemic A</w:t>
            </w:r>
            <w:r w:rsidR="00362C23" w:rsidRPr="00885AB3">
              <w:rPr>
                <w:szCs w:val="20"/>
              </w:rPr>
              <w:t>R</w:t>
            </w:r>
          </w:p>
        </w:tc>
        <w:tc>
          <w:tcPr>
            <w:tcW w:w="633" w:type="pct"/>
            <w:tcBorders>
              <w:top w:val="single" w:sz="4" w:space="0" w:color="auto"/>
              <w:left w:val="single" w:sz="4" w:space="0" w:color="auto"/>
              <w:bottom w:val="single" w:sz="4" w:space="0" w:color="auto"/>
              <w:right w:val="single" w:sz="4" w:space="0" w:color="auto"/>
            </w:tcBorders>
            <w:vAlign w:val="center"/>
          </w:tcPr>
          <w:p w14:paraId="2CFFFA91" w14:textId="77777777" w:rsidR="006A1AFC" w:rsidRPr="00885AB3" w:rsidRDefault="006A1AFC" w:rsidP="00120D61">
            <w:pPr>
              <w:pStyle w:val="TableText0"/>
              <w:rPr>
                <w:szCs w:val="20"/>
              </w:rPr>
            </w:pPr>
            <w:r w:rsidRPr="00885AB3">
              <w:rPr>
                <w:szCs w:val="20"/>
              </w:rPr>
              <w:t>77/17665</w:t>
            </w:r>
          </w:p>
        </w:tc>
        <w:tc>
          <w:tcPr>
            <w:tcW w:w="712" w:type="pct"/>
            <w:tcBorders>
              <w:top w:val="single" w:sz="4" w:space="0" w:color="auto"/>
              <w:left w:val="single" w:sz="4" w:space="0" w:color="auto"/>
              <w:bottom w:val="single" w:sz="4" w:space="0" w:color="auto"/>
              <w:right w:val="single" w:sz="4" w:space="0" w:color="auto"/>
            </w:tcBorders>
            <w:vAlign w:val="center"/>
          </w:tcPr>
          <w:p w14:paraId="733C49E4" w14:textId="77777777" w:rsidR="006A1AFC" w:rsidRPr="00885AB3" w:rsidRDefault="006A1AFC" w:rsidP="00120D61">
            <w:pPr>
              <w:pStyle w:val="TableText0"/>
              <w:rPr>
                <w:szCs w:val="20"/>
              </w:rPr>
            </w:pPr>
            <w:r w:rsidRPr="00885AB3">
              <w:rPr>
                <w:szCs w:val="20"/>
              </w:rPr>
              <w:t>41/17598</w:t>
            </w:r>
          </w:p>
        </w:tc>
        <w:tc>
          <w:tcPr>
            <w:tcW w:w="862" w:type="pct"/>
            <w:tcBorders>
              <w:top w:val="single" w:sz="4" w:space="0" w:color="auto"/>
              <w:left w:val="single" w:sz="4" w:space="0" w:color="auto"/>
              <w:bottom w:val="single" w:sz="4" w:space="0" w:color="auto"/>
              <w:right w:val="single" w:sz="4" w:space="0" w:color="auto"/>
            </w:tcBorders>
            <w:vAlign w:val="center"/>
          </w:tcPr>
          <w:p w14:paraId="6AEB9906" w14:textId="77777777" w:rsidR="006A1AFC" w:rsidRPr="00885AB3" w:rsidRDefault="006A1AFC" w:rsidP="00120D61">
            <w:pPr>
              <w:pStyle w:val="Tabletext"/>
              <w:jc w:val="center"/>
              <w:rPr>
                <w:b/>
                <w:bCs/>
                <w:szCs w:val="20"/>
              </w:rPr>
            </w:pPr>
            <w:r w:rsidRPr="00885AB3">
              <w:rPr>
                <w:b/>
                <w:bCs/>
                <w:szCs w:val="20"/>
              </w:rPr>
              <w:t>1.87 (1.28, 2.73),</w:t>
            </w:r>
          </w:p>
          <w:p w14:paraId="6B5A7C47" w14:textId="77777777" w:rsidR="006A1AFC" w:rsidRPr="00885AB3" w:rsidRDefault="006A1AFC" w:rsidP="00120D61">
            <w:pPr>
              <w:pStyle w:val="TableText0"/>
              <w:rPr>
                <w:i/>
                <w:iCs/>
                <w:szCs w:val="20"/>
              </w:rPr>
            </w:pPr>
            <w:r w:rsidRPr="00885AB3">
              <w:rPr>
                <w:szCs w:val="20"/>
              </w:rPr>
              <w:t>p=0.001</w:t>
            </w:r>
          </w:p>
        </w:tc>
        <w:tc>
          <w:tcPr>
            <w:tcW w:w="628" w:type="pct"/>
            <w:tcBorders>
              <w:top w:val="single" w:sz="4" w:space="0" w:color="auto"/>
              <w:left w:val="single" w:sz="4" w:space="0" w:color="auto"/>
              <w:bottom w:val="single" w:sz="4" w:space="0" w:color="auto"/>
              <w:right w:val="single" w:sz="4" w:space="0" w:color="auto"/>
            </w:tcBorders>
            <w:vAlign w:val="center"/>
          </w:tcPr>
          <w:p w14:paraId="095EAECD" w14:textId="77777777" w:rsidR="006A1AFC" w:rsidRPr="00885AB3" w:rsidRDefault="006A1AFC" w:rsidP="00120D61">
            <w:pPr>
              <w:pStyle w:val="TableText0"/>
              <w:rPr>
                <w:szCs w:val="20"/>
              </w:rPr>
            </w:pPr>
            <w:r w:rsidRPr="00885AB3">
              <w:rPr>
                <w:szCs w:val="20"/>
              </w:rPr>
              <w:t>0.4</w:t>
            </w:r>
          </w:p>
        </w:tc>
        <w:tc>
          <w:tcPr>
            <w:tcW w:w="691" w:type="pct"/>
            <w:tcBorders>
              <w:top w:val="single" w:sz="4" w:space="0" w:color="auto"/>
              <w:left w:val="single" w:sz="4" w:space="0" w:color="auto"/>
              <w:bottom w:val="single" w:sz="4" w:space="0" w:color="auto"/>
              <w:right w:val="single" w:sz="4" w:space="0" w:color="auto"/>
            </w:tcBorders>
            <w:vAlign w:val="center"/>
          </w:tcPr>
          <w:p w14:paraId="10649D75" w14:textId="77777777" w:rsidR="006A1AFC" w:rsidRPr="00885AB3" w:rsidRDefault="006A1AFC" w:rsidP="00120D61">
            <w:pPr>
              <w:pStyle w:val="TableText0"/>
              <w:rPr>
                <w:szCs w:val="20"/>
              </w:rPr>
            </w:pPr>
            <w:r w:rsidRPr="00885AB3">
              <w:rPr>
                <w:szCs w:val="20"/>
              </w:rPr>
              <w:t>0.2</w:t>
            </w:r>
          </w:p>
        </w:tc>
        <w:tc>
          <w:tcPr>
            <w:tcW w:w="836" w:type="pct"/>
            <w:tcBorders>
              <w:top w:val="single" w:sz="4" w:space="0" w:color="auto"/>
              <w:left w:val="single" w:sz="4" w:space="0" w:color="auto"/>
              <w:bottom w:val="single" w:sz="4" w:space="0" w:color="auto"/>
              <w:right w:val="single" w:sz="4" w:space="0" w:color="auto"/>
            </w:tcBorders>
            <w:vAlign w:val="center"/>
          </w:tcPr>
          <w:p w14:paraId="7EF940B5" w14:textId="77777777" w:rsidR="006A1AFC" w:rsidRPr="00885AB3" w:rsidRDefault="006A1AFC" w:rsidP="00120D61">
            <w:pPr>
              <w:pStyle w:val="Tabletext"/>
              <w:jc w:val="center"/>
              <w:rPr>
                <w:b/>
                <w:bCs/>
                <w:szCs w:val="20"/>
              </w:rPr>
            </w:pPr>
            <w:r w:rsidRPr="00885AB3">
              <w:rPr>
                <w:b/>
                <w:bCs/>
                <w:szCs w:val="20"/>
              </w:rPr>
              <w:t>0.002 (0.00, 0.00),</w:t>
            </w:r>
          </w:p>
          <w:p w14:paraId="3B344A3A" w14:textId="77777777" w:rsidR="006A1AFC" w:rsidRPr="00885AB3" w:rsidRDefault="006A1AFC" w:rsidP="00120D61">
            <w:pPr>
              <w:pStyle w:val="TableText0"/>
              <w:rPr>
                <w:bCs/>
                <w:i/>
                <w:iCs/>
                <w:szCs w:val="20"/>
              </w:rPr>
            </w:pPr>
            <w:r w:rsidRPr="00885AB3">
              <w:rPr>
                <w:szCs w:val="20"/>
              </w:rPr>
              <w:t>p=0.0010</w:t>
            </w:r>
          </w:p>
        </w:tc>
      </w:tr>
      <w:tr w:rsidR="006A1AFC" w:rsidRPr="00885AB3" w14:paraId="2DED127A" w14:textId="77777777" w:rsidTr="004367A1">
        <w:tc>
          <w:tcPr>
            <w:tcW w:w="5000" w:type="pct"/>
            <w:gridSpan w:val="7"/>
            <w:tcBorders>
              <w:top w:val="single" w:sz="4" w:space="0" w:color="auto"/>
              <w:left w:val="single" w:sz="4" w:space="0" w:color="auto"/>
              <w:bottom w:val="single" w:sz="4" w:space="0" w:color="auto"/>
              <w:right w:val="single" w:sz="4" w:space="0" w:color="auto"/>
            </w:tcBorders>
            <w:vAlign w:val="center"/>
          </w:tcPr>
          <w:p w14:paraId="71D5B0D0" w14:textId="77777777" w:rsidR="006A1AFC" w:rsidRPr="00885AB3" w:rsidRDefault="006A1AFC" w:rsidP="00120D61">
            <w:pPr>
              <w:pStyle w:val="TableText0"/>
              <w:jc w:val="left"/>
              <w:rPr>
                <w:b/>
                <w:bCs/>
                <w:szCs w:val="20"/>
              </w:rPr>
            </w:pPr>
            <w:r w:rsidRPr="00885AB3">
              <w:rPr>
                <w:b/>
                <w:bCs/>
                <w:szCs w:val="20"/>
              </w:rPr>
              <w:t>Unsolicited ARs within 28 days post vaccination</w:t>
            </w:r>
          </w:p>
        </w:tc>
      </w:tr>
      <w:tr w:rsidR="006A1AFC" w:rsidRPr="00885AB3" w14:paraId="19BAC3CA" w14:textId="77777777" w:rsidTr="004367A1">
        <w:tc>
          <w:tcPr>
            <w:tcW w:w="638" w:type="pct"/>
            <w:tcBorders>
              <w:top w:val="single" w:sz="4" w:space="0" w:color="auto"/>
              <w:left w:val="single" w:sz="4" w:space="0" w:color="auto"/>
              <w:bottom w:val="single" w:sz="4" w:space="0" w:color="auto"/>
              <w:right w:val="single" w:sz="4" w:space="0" w:color="auto"/>
            </w:tcBorders>
            <w:vAlign w:val="center"/>
          </w:tcPr>
          <w:p w14:paraId="7AEA8FFC" w14:textId="77777777" w:rsidR="006A1AFC" w:rsidRPr="00885AB3" w:rsidRDefault="006A1AFC" w:rsidP="00120D61">
            <w:pPr>
              <w:pStyle w:val="TableText0"/>
              <w:jc w:val="left"/>
              <w:rPr>
                <w:szCs w:val="20"/>
              </w:rPr>
            </w:pPr>
            <w:r w:rsidRPr="00885AB3">
              <w:rPr>
                <w:szCs w:val="20"/>
              </w:rPr>
              <w:t>Any Grade 3</w:t>
            </w:r>
          </w:p>
        </w:tc>
        <w:tc>
          <w:tcPr>
            <w:tcW w:w="633" w:type="pct"/>
            <w:tcBorders>
              <w:top w:val="single" w:sz="4" w:space="0" w:color="auto"/>
              <w:left w:val="single" w:sz="4" w:space="0" w:color="auto"/>
              <w:bottom w:val="single" w:sz="4" w:space="0" w:color="auto"/>
              <w:right w:val="single" w:sz="4" w:space="0" w:color="auto"/>
            </w:tcBorders>
            <w:vAlign w:val="center"/>
          </w:tcPr>
          <w:p w14:paraId="13A2A332" w14:textId="77777777" w:rsidR="006A1AFC" w:rsidRPr="00885AB3" w:rsidRDefault="006A1AFC" w:rsidP="00120D61">
            <w:pPr>
              <w:pStyle w:val="TableText0"/>
              <w:rPr>
                <w:szCs w:val="20"/>
              </w:rPr>
            </w:pPr>
            <w:r w:rsidRPr="00885AB3">
              <w:rPr>
                <w:szCs w:val="20"/>
              </w:rPr>
              <w:t>124/17734</w:t>
            </w:r>
          </w:p>
        </w:tc>
        <w:tc>
          <w:tcPr>
            <w:tcW w:w="712" w:type="pct"/>
            <w:tcBorders>
              <w:top w:val="single" w:sz="4" w:space="0" w:color="auto"/>
              <w:left w:val="single" w:sz="4" w:space="0" w:color="auto"/>
              <w:bottom w:val="single" w:sz="4" w:space="0" w:color="auto"/>
              <w:right w:val="single" w:sz="4" w:space="0" w:color="auto"/>
            </w:tcBorders>
            <w:vAlign w:val="center"/>
          </w:tcPr>
          <w:p w14:paraId="615B7753" w14:textId="77777777" w:rsidR="006A1AFC" w:rsidRPr="00885AB3" w:rsidRDefault="006A1AFC" w:rsidP="00120D61">
            <w:pPr>
              <w:pStyle w:val="TableText0"/>
              <w:rPr>
                <w:szCs w:val="20"/>
              </w:rPr>
            </w:pPr>
            <w:r w:rsidRPr="00885AB3">
              <w:rPr>
                <w:szCs w:val="20"/>
              </w:rPr>
              <w:t>119/17679</w:t>
            </w:r>
          </w:p>
        </w:tc>
        <w:tc>
          <w:tcPr>
            <w:tcW w:w="862" w:type="pct"/>
            <w:tcBorders>
              <w:top w:val="single" w:sz="4" w:space="0" w:color="auto"/>
              <w:left w:val="single" w:sz="4" w:space="0" w:color="auto"/>
              <w:bottom w:val="single" w:sz="4" w:space="0" w:color="auto"/>
              <w:right w:val="single" w:sz="4" w:space="0" w:color="auto"/>
            </w:tcBorders>
            <w:vAlign w:val="center"/>
          </w:tcPr>
          <w:p w14:paraId="0CFD93E8" w14:textId="77777777" w:rsidR="006A1AFC" w:rsidRPr="00885AB3" w:rsidRDefault="006A1AFC" w:rsidP="00120D61">
            <w:pPr>
              <w:pStyle w:val="Tabletext"/>
              <w:jc w:val="center"/>
              <w:rPr>
                <w:szCs w:val="20"/>
              </w:rPr>
            </w:pPr>
            <w:r w:rsidRPr="00885AB3">
              <w:rPr>
                <w:szCs w:val="20"/>
              </w:rPr>
              <w:t>1.04 (0.81, 1.33),</w:t>
            </w:r>
          </w:p>
          <w:p w14:paraId="771FDC35" w14:textId="77777777" w:rsidR="006A1AFC" w:rsidRPr="00885AB3" w:rsidRDefault="006A1AFC" w:rsidP="00120D61">
            <w:pPr>
              <w:pStyle w:val="TableText0"/>
              <w:rPr>
                <w:b/>
                <w:bCs/>
                <w:i/>
                <w:iCs/>
                <w:szCs w:val="20"/>
              </w:rPr>
            </w:pPr>
            <w:r w:rsidRPr="00885AB3">
              <w:rPr>
                <w:szCs w:val="20"/>
              </w:rPr>
              <w:t>p=0.77</w:t>
            </w:r>
          </w:p>
        </w:tc>
        <w:tc>
          <w:tcPr>
            <w:tcW w:w="628" w:type="pct"/>
            <w:tcBorders>
              <w:top w:val="single" w:sz="4" w:space="0" w:color="auto"/>
              <w:left w:val="single" w:sz="4" w:space="0" w:color="auto"/>
              <w:bottom w:val="single" w:sz="4" w:space="0" w:color="auto"/>
              <w:right w:val="single" w:sz="4" w:space="0" w:color="auto"/>
            </w:tcBorders>
            <w:vAlign w:val="center"/>
          </w:tcPr>
          <w:p w14:paraId="1C4FCE8C" w14:textId="77777777" w:rsidR="006A1AFC" w:rsidRPr="00885AB3" w:rsidRDefault="006A1AFC" w:rsidP="00120D61">
            <w:pPr>
              <w:pStyle w:val="TableText0"/>
              <w:rPr>
                <w:szCs w:val="20"/>
              </w:rPr>
            </w:pPr>
            <w:r w:rsidRPr="00885AB3">
              <w:rPr>
                <w:szCs w:val="20"/>
              </w:rPr>
              <w:t>0.7</w:t>
            </w:r>
          </w:p>
        </w:tc>
        <w:tc>
          <w:tcPr>
            <w:tcW w:w="691" w:type="pct"/>
            <w:tcBorders>
              <w:top w:val="single" w:sz="4" w:space="0" w:color="auto"/>
              <w:left w:val="single" w:sz="4" w:space="0" w:color="auto"/>
              <w:bottom w:val="single" w:sz="4" w:space="0" w:color="auto"/>
              <w:right w:val="single" w:sz="4" w:space="0" w:color="auto"/>
            </w:tcBorders>
            <w:vAlign w:val="center"/>
          </w:tcPr>
          <w:p w14:paraId="3CB39CEA" w14:textId="77777777" w:rsidR="006A1AFC" w:rsidRPr="00885AB3" w:rsidRDefault="006A1AFC" w:rsidP="00120D61">
            <w:pPr>
              <w:pStyle w:val="TableText0"/>
              <w:rPr>
                <w:szCs w:val="20"/>
              </w:rPr>
            </w:pPr>
            <w:r w:rsidRPr="00885AB3">
              <w:rPr>
                <w:szCs w:val="20"/>
              </w:rPr>
              <w:t>0.7</w:t>
            </w:r>
          </w:p>
        </w:tc>
        <w:tc>
          <w:tcPr>
            <w:tcW w:w="836" w:type="pct"/>
            <w:tcBorders>
              <w:top w:val="single" w:sz="4" w:space="0" w:color="auto"/>
              <w:left w:val="single" w:sz="4" w:space="0" w:color="auto"/>
              <w:bottom w:val="single" w:sz="4" w:space="0" w:color="auto"/>
              <w:right w:val="single" w:sz="4" w:space="0" w:color="auto"/>
            </w:tcBorders>
            <w:vAlign w:val="center"/>
          </w:tcPr>
          <w:p w14:paraId="51977E7F" w14:textId="77777777" w:rsidR="006A1AFC" w:rsidRPr="00885AB3" w:rsidRDefault="006A1AFC" w:rsidP="00120D61">
            <w:pPr>
              <w:pStyle w:val="Tabletext"/>
              <w:jc w:val="center"/>
              <w:rPr>
                <w:szCs w:val="20"/>
              </w:rPr>
            </w:pPr>
            <w:r w:rsidRPr="00885AB3">
              <w:rPr>
                <w:szCs w:val="20"/>
              </w:rPr>
              <w:t>0.00 (-0.00, 0.00),</w:t>
            </w:r>
          </w:p>
          <w:p w14:paraId="3BDC9E89" w14:textId="77777777" w:rsidR="006A1AFC" w:rsidRPr="00885AB3" w:rsidRDefault="006A1AFC" w:rsidP="00120D61">
            <w:pPr>
              <w:pStyle w:val="TableText0"/>
              <w:rPr>
                <w:bCs/>
                <w:i/>
                <w:iCs/>
                <w:szCs w:val="20"/>
              </w:rPr>
            </w:pPr>
            <w:r w:rsidRPr="00885AB3">
              <w:rPr>
                <w:szCs w:val="20"/>
              </w:rPr>
              <w:t>p=0.77</w:t>
            </w:r>
          </w:p>
        </w:tc>
      </w:tr>
      <w:tr w:rsidR="006A1AFC" w:rsidRPr="00885AB3" w14:paraId="32988592" w14:textId="77777777" w:rsidTr="004367A1">
        <w:tc>
          <w:tcPr>
            <w:tcW w:w="638" w:type="pct"/>
            <w:tcBorders>
              <w:top w:val="single" w:sz="4" w:space="0" w:color="auto"/>
              <w:left w:val="single" w:sz="4" w:space="0" w:color="auto"/>
              <w:bottom w:val="single" w:sz="4" w:space="0" w:color="auto"/>
              <w:right w:val="single" w:sz="4" w:space="0" w:color="auto"/>
            </w:tcBorders>
            <w:vAlign w:val="center"/>
          </w:tcPr>
          <w:p w14:paraId="2CF5E3F1" w14:textId="77777777" w:rsidR="006A1AFC" w:rsidRPr="00885AB3" w:rsidRDefault="006A1AFC" w:rsidP="00120D61">
            <w:pPr>
              <w:pStyle w:val="TableText0"/>
              <w:jc w:val="left"/>
              <w:rPr>
                <w:szCs w:val="20"/>
              </w:rPr>
            </w:pPr>
            <w:r w:rsidRPr="00885AB3">
              <w:rPr>
                <w:szCs w:val="20"/>
              </w:rPr>
              <w:t>Any Grade 3 related to the intervention</w:t>
            </w:r>
          </w:p>
        </w:tc>
        <w:tc>
          <w:tcPr>
            <w:tcW w:w="633" w:type="pct"/>
            <w:tcBorders>
              <w:top w:val="single" w:sz="4" w:space="0" w:color="auto"/>
              <w:left w:val="single" w:sz="4" w:space="0" w:color="auto"/>
              <w:bottom w:val="single" w:sz="4" w:space="0" w:color="auto"/>
              <w:right w:val="single" w:sz="4" w:space="0" w:color="auto"/>
            </w:tcBorders>
            <w:vAlign w:val="center"/>
          </w:tcPr>
          <w:p w14:paraId="703659EF" w14:textId="77777777" w:rsidR="006A1AFC" w:rsidRPr="00885AB3" w:rsidRDefault="006A1AFC" w:rsidP="00120D61">
            <w:pPr>
              <w:pStyle w:val="TableText0"/>
              <w:rPr>
                <w:szCs w:val="20"/>
              </w:rPr>
            </w:pPr>
            <w:r w:rsidRPr="00885AB3">
              <w:rPr>
                <w:szCs w:val="20"/>
              </w:rPr>
              <w:t>52/17734</w:t>
            </w:r>
          </w:p>
        </w:tc>
        <w:tc>
          <w:tcPr>
            <w:tcW w:w="712" w:type="pct"/>
            <w:tcBorders>
              <w:top w:val="single" w:sz="4" w:space="0" w:color="auto"/>
              <w:left w:val="single" w:sz="4" w:space="0" w:color="auto"/>
              <w:bottom w:val="single" w:sz="4" w:space="0" w:color="auto"/>
              <w:right w:val="single" w:sz="4" w:space="0" w:color="auto"/>
            </w:tcBorders>
            <w:vAlign w:val="center"/>
          </w:tcPr>
          <w:p w14:paraId="7025074E" w14:textId="77777777" w:rsidR="006A1AFC" w:rsidRPr="00885AB3" w:rsidRDefault="006A1AFC" w:rsidP="00120D61">
            <w:pPr>
              <w:pStyle w:val="TableText0"/>
              <w:rPr>
                <w:szCs w:val="20"/>
              </w:rPr>
            </w:pPr>
            <w:r w:rsidRPr="00885AB3">
              <w:rPr>
                <w:szCs w:val="20"/>
              </w:rPr>
              <w:t>48/17679</w:t>
            </w:r>
          </w:p>
        </w:tc>
        <w:tc>
          <w:tcPr>
            <w:tcW w:w="862" w:type="pct"/>
            <w:tcBorders>
              <w:top w:val="single" w:sz="4" w:space="0" w:color="auto"/>
              <w:left w:val="single" w:sz="4" w:space="0" w:color="auto"/>
              <w:bottom w:val="single" w:sz="4" w:space="0" w:color="auto"/>
              <w:right w:val="single" w:sz="4" w:space="0" w:color="auto"/>
            </w:tcBorders>
            <w:vAlign w:val="center"/>
          </w:tcPr>
          <w:p w14:paraId="57962150" w14:textId="77777777" w:rsidR="006A1AFC" w:rsidRPr="00885AB3" w:rsidRDefault="006A1AFC" w:rsidP="00120D61">
            <w:pPr>
              <w:pStyle w:val="Tabletext"/>
              <w:jc w:val="center"/>
              <w:rPr>
                <w:szCs w:val="20"/>
              </w:rPr>
            </w:pPr>
            <w:r w:rsidRPr="00885AB3">
              <w:rPr>
                <w:szCs w:val="20"/>
              </w:rPr>
              <w:t>1.08 (0.73, 1.60),</w:t>
            </w:r>
          </w:p>
          <w:p w14:paraId="3588DC25" w14:textId="77777777" w:rsidR="006A1AFC" w:rsidRPr="00885AB3" w:rsidRDefault="006A1AFC" w:rsidP="00120D61">
            <w:pPr>
              <w:pStyle w:val="TableText0"/>
              <w:rPr>
                <w:i/>
                <w:iCs/>
                <w:szCs w:val="20"/>
              </w:rPr>
            </w:pPr>
            <w:r w:rsidRPr="00885AB3">
              <w:rPr>
                <w:szCs w:val="20"/>
              </w:rPr>
              <w:t>p=0.70</w:t>
            </w:r>
          </w:p>
        </w:tc>
        <w:tc>
          <w:tcPr>
            <w:tcW w:w="628" w:type="pct"/>
            <w:tcBorders>
              <w:top w:val="single" w:sz="4" w:space="0" w:color="auto"/>
              <w:left w:val="single" w:sz="4" w:space="0" w:color="auto"/>
              <w:bottom w:val="single" w:sz="4" w:space="0" w:color="auto"/>
              <w:right w:val="single" w:sz="4" w:space="0" w:color="auto"/>
            </w:tcBorders>
            <w:vAlign w:val="center"/>
          </w:tcPr>
          <w:p w14:paraId="5E72485D" w14:textId="77777777" w:rsidR="006A1AFC" w:rsidRPr="00885AB3" w:rsidRDefault="006A1AFC" w:rsidP="00120D61">
            <w:pPr>
              <w:pStyle w:val="TableText0"/>
              <w:rPr>
                <w:szCs w:val="20"/>
              </w:rPr>
            </w:pPr>
            <w:r w:rsidRPr="00885AB3">
              <w:rPr>
                <w:szCs w:val="20"/>
              </w:rPr>
              <w:t>0.3</w:t>
            </w:r>
          </w:p>
        </w:tc>
        <w:tc>
          <w:tcPr>
            <w:tcW w:w="691" w:type="pct"/>
            <w:tcBorders>
              <w:top w:val="single" w:sz="4" w:space="0" w:color="auto"/>
              <w:left w:val="single" w:sz="4" w:space="0" w:color="auto"/>
              <w:bottom w:val="single" w:sz="4" w:space="0" w:color="auto"/>
              <w:right w:val="single" w:sz="4" w:space="0" w:color="auto"/>
            </w:tcBorders>
            <w:vAlign w:val="center"/>
          </w:tcPr>
          <w:p w14:paraId="614EF837" w14:textId="77777777" w:rsidR="006A1AFC" w:rsidRPr="00885AB3" w:rsidRDefault="006A1AFC" w:rsidP="00120D61">
            <w:pPr>
              <w:pStyle w:val="TableText0"/>
              <w:rPr>
                <w:szCs w:val="20"/>
              </w:rPr>
            </w:pPr>
            <w:r w:rsidRPr="00885AB3">
              <w:rPr>
                <w:szCs w:val="20"/>
              </w:rPr>
              <w:t>0.3</w:t>
            </w:r>
          </w:p>
        </w:tc>
        <w:tc>
          <w:tcPr>
            <w:tcW w:w="836" w:type="pct"/>
            <w:tcBorders>
              <w:top w:val="single" w:sz="4" w:space="0" w:color="auto"/>
              <w:left w:val="single" w:sz="4" w:space="0" w:color="auto"/>
              <w:bottom w:val="single" w:sz="4" w:space="0" w:color="auto"/>
              <w:right w:val="single" w:sz="4" w:space="0" w:color="auto"/>
            </w:tcBorders>
            <w:vAlign w:val="center"/>
          </w:tcPr>
          <w:p w14:paraId="2D954D6B" w14:textId="77777777" w:rsidR="006A1AFC" w:rsidRPr="00885AB3" w:rsidRDefault="006A1AFC" w:rsidP="00120D61">
            <w:pPr>
              <w:pStyle w:val="Tabletext"/>
              <w:jc w:val="center"/>
              <w:rPr>
                <w:szCs w:val="20"/>
              </w:rPr>
            </w:pPr>
            <w:r w:rsidRPr="00885AB3">
              <w:rPr>
                <w:szCs w:val="20"/>
              </w:rPr>
              <w:t>0.00 (-0.00, 0.00),</w:t>
            </w:r>
          </w:p>
          <w:p w14:paraId="53C7C9E0" w14:textId="77777777" w:rsidR="006A1AFC" w:rsidRPr="00885AB3" w:rsidRDefault="006A1AFC" w:rsidP="00120D61">
            <w:pPr>
              <w:pStyle w:val="TableText0"/>
              <w:rPr>
                <w:bCs/>
                <w:i/>
                <w:iCs/>
                <w:szCs w:val="20"/>
              </w:rPr>
            </w:pPr>
            <w:r w:rsidRPr="00885AB3">
              <w:rPr>
                <w:szCs w:val="20"/>
              </w:rPr>
              <w:t>p=0.70</w:t>
            </w:r>
          </w:p>
        </w:tc>
      </w:tr>
      <w:tr w:rsidR="006A1AFC" w:rsidRPr="00885AB3" w14:paraId="6F6CC4B7" w14:textId="77777777" w:rsidTr="004367A1">
        <w:tc>
          <w:tcPr>
            <w:tcW w:w="638" w:type="pct"/>
            <w:tcBorders>
              <w:top w:val="single" w:sz="4" w:space="0" w:color="auto"/>
              <w:left w:val="single" w:sz="4" w:space="0" w:color="auto"/>
              <w:bottom w:val="single" w:sz="4" w:space="0" w:color="auto"/>
              <w:right w:val="single" w:sz="4" w:space="0" w:color="auto"/>
            </w:tcBorders>
            <w:vAlign w:val="center"/>
          </w:tcPr>
          <w:p w14:paraId="2048FACC" w14:textId="77777777" w:rsidR="006A1AFC" w:rsidRPr="00885AB3" w:rsidRDefault="006A1AFC" w:rsidP="00120D61">
            <w:pPr>
              <w:pStyle w:val="TableText0"/>
              <w:jc w:val="left"/>
              <w:rPr>
                <w:szCs w:val="20"/>
              </w:rPr>
            </w:pPr>
            <w:r w:rsidRPr="00885AB3">
              <w:rPr>
                <w:szCs w:val="20"/>
              </w:rPr>
              <w:t>Any medically attended</w:t>
            </w:r>
          </w:p>
        </w:tc>
        <w:tc>
          <w:tcPr>
            <w:tcW w:w="633" w:type="pct"/>
            <w:tcBorders>
              <w:top w:val="single" w:sz="4" w:space="0" w:color="auto"/>
              <w:left w:val="single" w:sz="4" w:space="0" w:color="auto"/>
              <w:bottom w:val="single" w:sz="4" w:space="0" w:color="auto"/>
              <w:right w:val="single" w:sz="4" w:space="0" w:color="auto"/>
            </w:tcBorders>
            <w:vAlign w:val="center"/>
          </w:tcPr>
          <w:p w14:paraId="2ACA25E6" w14:textId="77777777" w:rsidR="006A1AFC" w:rsidRPr="00885AB3" w:rsidRDefault="006A1AFC" w:rsidP="00120D61">
            <w:pPr>
              <w:pStyle w:val="TableText0"/>
              <w:rPr>
                <w:szCs w:val="20"/>
              </w:rPr>
            </w:pPr>
            <w:r w:rsidRPr="00885AB3">
              <w:rPr>
                <w:szCs w:val="20"/>
              </w:rPr>
              <w:t>1842/17734</w:t>
            </w:r>
          </w:p>
        </w:tc>
        <w:tc>
          <w:tcPr>
            <w:tcW w:w="712" w:type="pct"/>
            <w:tcBorders>
              <w:top w:val="single" w:sz="4" w:space="0" w:color="auto"/>
              <w:left w:val="single" w:sz="4" w:space="0" w:color="auto"/>
              <w:bottom w:val="single" w:sz="4" w:space="0" w:color="auto"/>
              <w:right w:val="single" w:sz="4" w:space="0" w:color="auto"/>
            </w:tcBorders>
            <w:vAlign w:val="center"/>
          </w:tcPr>
          <w:p w14:paraId="281CAE77" w14:textId="77777777" w:rsidR="006A1AFC" w:rsidRPr="00885AB3" w:rsidRDefault="006A1AFC" w:rsidP="00120D61">
            <w:pPr>
              <w:pStyle w:val="TableText0"/>
              <w:rPr>
                <w:szCs w:val="20"/>
              </w:rPr>
            </w:pPr>
            <w:r w:rsidRPr="00885AB3">
              <w:rPr>
                <w:szCs w:val="20"/>
              </w:rPr>
              <w:t>1739/17679</w:t>
            </w:r>
          </w:p>
        </w:tc>
        <w:tc>
          <w:tcPr>
            <w:tcW w:w="862" w:type="pct"/>
            <w:tcBorders>
              <w:top w:val="single" w:sz="4" w:space="0" w:color="auto"/>
              <w:left w:val="single" w:sz="4" w:space="0" w:color="auto"/>
              <w:bottom w:val="single" w:sz="4" w:space="0" w:color="auto"/>
              <w:right w:val="single" w:sz="4" w:space="0" w:color="auto"/>
            </w:tcBorders>
            <w:vAlign w:val="center"/>
          </w:tcPr>
          <w:p w14:paraId="6F5DD0C3" w14:textId="77777777" w:rsidR="006A1AFC" w:rsidRPr="00885AB3" w:rsidRDefault="006A1AFC" w:rsidP="00120D61">
            <w:pPr>
              <w:pStyle w:val="Tabletext"/>
              <w:jc w:val="center"/>
              <w:rPr>
                <w:szCs w:val="20"/>
              </w:rPr>
            </w:pPr>
            <w:r w:rsidRPr="00885AB3">
              <w:rPr>
                <w:szCs w:val="20"/>
              </w:rPr>
              <w:t>1.06 (0.99, 1.12),</w:t>
            </w:r>
          </w:p>
          <w:p w14:paraId="7D1EB841" w14:textId="77777777" w:rsidR="006A1AFC" w:rsidRPr="00885AB3" w:rsidRDefault="006A1AFC" w:rsidP="00120D61">
            <w:pPr>
              <w:pStyle w:val="TableText0"/>
              <w:rPr>
                <w:i/>
                <w:iCs/>
                <w:szCs w:val="20"/>
              </w:rPr>
            </w:pPr>
            <w:r w:rsidRPr="00885AB3">
              <w:rPr>
                <w:szCs w:val="20"/>
              </w:rPr>
              <w:t>p=0.09</w:t>
            </w:r>
          </w:p>
        </w:tc>
        <w:tc>
          <w:tcPr>
            <w:tcW w:w="628" w:type="pct"/>
            <w:tcBorders>
              <w:top w:val="single" w:sz="4" w:space="0" w:color="auto"/>
              <w:left w:val="single" w:sz="4" w:space="0" w:color="auto"/>
              <w:bottom w:val="single" w:sz="4" w:space="0" w:color="auto"/>
              <w:right w:val="single" w:sz="4" w:space="0" w:color="auto"/>
            </w:tcBorders>
            <w:vAlign w:val="center"/>
          </w:tcPr>
          <w:p w14:paraId="1E8F99B7" w14:textId="77777777" w:rsidR="006A1AFC" w:rsidRPr="00885AB3" w:rsidRDefault="006A1AFC" w:rsidP="00120D61">
            <w:pPr>
              <w:pStyle w:val="TableText0"/>
              <w:rPr>
                <w:szCs w:val="20"/>
              </w:rPr>
            </w:pPr>
            <w:r w:rsidRPr="00885AB3">
              <w:rPr>
                <w:szCs w:val="20"/>
              </w:rPr>
              <w:t>10.4</w:t>
            </w:r>
          </w:p>
        </w:tc>
        <w:tc>
          <w:tcPr>
            <w:tcW w:w="691" w:type="pct"/>
            <w:tcBorders>
              <w:top w:val="single" w:sz="4" w:space="0" w:color="auto"/>
              <w:left w:val="single" w:sz="4" w:space="0" w:color="auto"/>
              <w:bottom w:val="single" w:sz="4" w:space="0" w:color="auto"/>
              <w:right w:val="single" w:sz="4" w:space="0" w:color="auto"/>
            </w:tcBorders>
            <w:vAlign w:val="center"/>
          </w:tcPr>
          <w:p w14:paraId="0608BDF4" w14:textId="77777777" w:rsidR="006A1AFC" w:rsidRPr="00885AB3" w:rsidRDefault="006A1AFC" w:rsidP="00120D61">
            <w:pPr>
              <w:pStyle w:val="TableText0"/>
              <w:rPr>
                <w:szCs w:val="20"/>
              </w:rPr>
            </w:pPr>
            <w:r w:rsidRPr="00885AB3">
              <w:rPr>
                <w:szCs w:val="20"/>
              </w:rPr>
              <w:t>9.8</w:t>
            </w:r>
          </w:p>
        </w:tc>
        <w:tc>
          <w:tcPr>
            <w:tcW w:w="836" w:type="pct"/>
            <w:tcBorders>
              <w:top w:val="single" w:sz="4" w:space="0" w:color="auto"/>
              <w:left w:val="single" w:sz="4" w:space="0" w:color="auto"/>
              <w:bottom w:val="single" w:sz="4" w:space="0" w:color="auto"/>
              <w:right w:val="single" w:sz="4" w:space="0" w:color="auto"/>
            </w:tcBorders>
            <w:vAlign w:val="center"/>
          </w:tcPr>
          <w:p w14:paraId="186BDD29" w14:textId="77777777" w:rsidR="006A1AFC" w:rsidRPr="00885AB3" w:rsidRDefault="006A1AFC" w:rsidP="00120D61">
            <w:pPr>
              <w:pStyle w:val="Tabletext"/>
              <w:jc w:val="center"/>
              <w:rPr>
                <w:szCs w:val="20"/>
              </w:rPr>
            </w:pPr>
            <w:r w:rsidRPr="00885AB3">
              <w:rPr>
                <w:szCs w:val="20"/>
              </w:rPr>
              <w:t>0.005(-0.00, 0.01),</w:t>
            </w:r>
          </w:p>
          <w:p w14:paraId="7D10251D" w14:textId="77777777" w:rsidR="006A1AFC" w:rsidRPr="00885AB3" w:rsidRDefault="006A1AFC" w:rsidP="00120D61">
            <w:pPr>
              <w:pStyle w:val="TableText0"/>
              <w:rPr>
                <w:i/>
                <w:iCs/>
                <w:szCs w:val="20"/>
              </w:rPr>
            </w:pPr>
            <w:r w:rsidRPr="00885AB3">
              <w:rPr>
                <w:szCs w:val="20"/>
              </w:rPr>
              <w:t>p=0.09</w:t>
            </w:r>
          </w:p>
        </w:tc>
      </w:tr>
    </w:tbl>
    <w:p w14:paraId="3AC391FF" w14:textId="77777777" w:rsidR="006A1AFC" w:rsidRPr="00885AB3" w:rsidRDefault="006A1AFC" w:rsidP="00120D61">
      <w:pPr>
        <w:pStyle w:val="FooterTableFigure"/>
      </w:pPr>
      <w:r w:rsidRPr="00885AB3">
        <w:t>Source: Table 2-19, p100; Table 22-20, p101; Table 2-21, p103; Table 2-31, pp118-119 of the submission. Compiled during the evaluation from evaluation from Table 12.4, p296 of ‘RSV OA = Adj-006 Study Report (Blinded End of Season 2) Published 28 Jun 2023’ of the Submission.</w:t>
      </w:r>
    </w:p>
    <w:p w14:paraId="7BC4C4AA" w14:textId="70DC74D5" w:rsidR="006A1AFC" w:rsidRPr="00885AB3" w:rsidRDefault="006A1AFC" w:rsidP="00120D61">
      <w:pPr>
        <w:pStyle w:val="FooterTableFigure"/>
      </w:pPr>
      <w:r w:rsidRPr="00885AB3">
        <w:rPr>
          <w:rFonts w:eastAsia="Calibri"/>
        </w:rPr>
        <w:t>A</w:t>
      </w:r>
      <w:r w:rsidR="00362C23" w:rsidRPr="00885AB3">
        <w:rPr>
          <w:rFonts w:eastAsia="Calibri"/>
        </w:rPr>
        <w:t>R</w:t>
      </w:r>
      <w:r w:rsidRPr="00885AB3">
        <w:rPr>
          <w:rFonts w:eastAsia="Calibri"/>
        </w:rPr>
        <w:t xml:space="preserve"> = adverse </w:t>
      </w:r>
      <w:r w:rsidR="00362C23" w:rsidRPr="00885AB3">
        <w:rPr>
          <w:rFonts w:eastAsia="Calibri"/>
        </w:rPr>
        <w:t>reaction</w:t>
      </w:r>
      <w:r w:rsidRPr="00885AB3">
        <w:t xml:space="preserve">; CI = confidence interval; N = number of participants; n = number of participants with at least one RT-PCR confirmed RSV-LRTD; n/T (per 1000) = incidence rate of participants reporting at least one event; RD = risk difference; </w:t>
      </w:r>
      <w:r w:rsidRPr="00885AB3">
        <w:rPr>
          <w:rFonts w:eastAsia="Calibri"/>
        </w:rPr>
        <w:t>RR = relative risk</w:t>
      </w:r>
      <w:r w:rsidRPr="00885AB3">
        <w:t xml:space="preserve">; RSV-LRTD = respiratory syncytial virus related lower respiratory tract disease; RSV = respiratory syncytial virus; RT-PCR = reverse transcription-polymerase chain reaction; T (year) = sum of follow-up time (from Day 15 post-vaccination till first occurrence of the event or till the efficacy data lock point or till drop-out date) expressed in years; VE = vaccine efficacy; YOA = years of age. </w:t>
      </w:r>
    </w:p>
    <w:p w14:paraId="46B9B694" w14:textId="77777777" w:rsidR="006A1AFC" w:rsidRPr="00885AB3" w:rsidRDefault="006A1AFC" w:rsidP="00120D61">
      <w:pPr>
        <w:pStyle w:val="FooterTableFigure"/>
      </w:pPr>
      <w:r w:rsidRPr="00885AB3">
        <w:t xml:space="preserve">RR and RD were calculated by the submission and should be considered as indicative as the study was not powered for comparisons of safety. </w:t>
      </w:r>
    </w:p>
    <w:p w14:paraId="5D9E1951" w14:textId="77777777" w:rsidR="006A1AFC" w:rsidRPr="00885AB3" w:rsidRDefault="006A1AFC" w:rsidP="00120D61">
      <w:pPr>
        <w:pStyle w:val="FooterTableFigure"/>
        <w:rPr>
          <w:rFonts w:eastAsia="Calibri"/>
        </w:rPr>
      </w:pPr>
      <w:r w:rsidRPr="00885AB3">
        <w:rPr>
          <w:rFonts w:eastAsia="Calibri"/>
          <w:b/>
        </w:rPr>
        <w:t>Bold</w:t>
      </w:r>
      <w:r w:rsidRPr="00885AB3">
        <w:rPr>
          <w:rFonts w:eastAsia="Calibri"/>
        </w:rPr>
        <w:t xml:space="preserve"> indicates statistically significant results.</w:t>
      </w:r>
    </w:p>
    <w:p w14:paraId="094CAC82" w14:textId="5270D0B1" w:rsidR="006A1AFC" w:rsidRPr="00885AB3" w:rsidRDefault="006A1AFC" w:rsidP="00120D61">
      <w:pPr>
        <w:pStyle w:val="3-BodyText"/>
        <w:spacing w:before="0"/>
      </w:pPr>
      <w:proofErr w:type="gramStart"/>
      <w:r w:rsidRPr="00885AB3">
        <w:lastRenderedPageBreak/>
        <w:t>On the basis of</w:t>
      </w:r>
      <w:proofErr w:type="gramEnd"/>
      <w:r w:rsidRPr="00885AB3">
        <w:t xml:space="preserve"> direct evidence presented by the submission, for every 1,000 individuals </w:t>
      </w:r>
      <w:r w:rsidR="00EF2FA4">
        <w:rPr>
          <w:rFonts w:cstheme="minorHAnsi"/>
        </w:rPr>
        <w:t xml:space="preserve">≥ </w:t>
      </w:r>
      <w:r w:rsidRPr="00885AB3">
        <w:t>60 YOA vaccinated with mRNA-1345, in comparison with placebo (no vaccine):</w:t>
      </w:r>
    </w:p>
    <w:p w14:paraId="5D82AE5F" w14:textId="77777777" w:rsidR="006A1AFC" w:rsidRPr="00885AB3" w:rsidRDefault="006A1AFC" w:rsidP="00120D61">
      <w:pPr>
        <w:pStyle w:val="ListParagraph"/>
        <w:numPr>
          <w:ilvl w:val="0"/>
          <w:numId w:val="20"/>
        </w:numPr>
        <w:ind w:left="1134"/>
        <w:jc w:val="both"/>
      </w:pPr>
      <w:r w:rsidRPr="00885AB3">
        <w:t>Approximately 7 fewer adults will have RT-PCR confirmed RSV-LRTD over a period of 24 months.</w:t>
      </w:r>
    </w:p>
    <w:p w14:paraId="796866B9" w14:textId="77777777" w:rsidR="006A1AFC" w:rsidRPr="00885AB3" w:rsidRDefault="006A1AFC" w:rsidP="00120D61">
      <w:pPr>
        <w:pStyle w:val="ListParagraph"/>
        <w:numPr>
          <w:ilvl w:val="0"/>
          <w:numId w:val="20"/>
        </w:numPr>
        <w:ind w:left="1134"/>
        <w:jc w:val="both"/>
      </w:pPr>
      <w:r w:rsidRPr="00885AB3">
        <w:t>Approximately 20 additional adults would experience any Grade 3 solicited events within 7 days of vaccination.</w:t>
      </w:r>
    </w:p>
    <w:p w14:paraId="3539BCD8" w14:textId="77777777" w:rsidR="006A1AFC" w:rsidRPr="00885AB3" w:rsidRDefault="006A1AFC" w:rsidP="00120D61">
      <w:pPr>
        <w:pStyle w:val="ListParagraph"/>
        <w:numPr>
          <w:ilvl w:val="0"/>
          <w:numId w:val="20"/>
        </w:numPr>
        <w:ind w:left="1134"/>
        <w:jc w:val="both"/>
      </w:pPr>
      <w:r w:rsidRPr="00885AB3">
        <w:t>Approximately 2 additional adults would experience grade 3 systemic solicited events within 7 days of vaccination.</w:t>
      </w:r>
    </w:p>
    <w:p w14:paraId="5FFF1079" w14:textId="3EAB5C57" w:rsidR="006A1AFC" w:rsidRPr="00885AB3" w:rsidRDefault="006A1AFC" w:rsidP="00120D61">
      <w:pPr>
        <w:pStyle w:val="4-SubsectionHeading"/>
      </w:pPr>
      <w:bookmarkStart w:id="96" w:name="_Toc22897644"/>
      <w:bookmarkStart w:id="97" w:name="_Toc205822157"/>
      <w:bookmarkStart w:id="98" w:name="_Toc208998512"/>
      <w:r w:rsidRPr="00885AB3">
        <w:t>Clinical claim</w:t>
      </w:r>
      <w:bookmarkEnd w:id="96"/>
      <w:bookmarkEnd w:id="97"/>
      <w:bookmarkEnd w:id="98"/>
    </w:p>
    <w:p w14:paraId="5727CFD8" w14:textId="77777777" w:rsidR="006A1AFC" w:rsidRPr="00885AB3" w:rsidRDefault="006A1AFC" w:rsidP="00120D61">
      <w:pPr>
        <w:pStyle w:val="5-SubsectionSubheading"/>
        <w:rPr>
          <w:lang w:eastAsia="en-US"/>
        </w:rPr>
      </w:pPr>
      <w:bookmarkStart w:id="99" w:name="_Toc205822159"/>
      <w:bookmarkStart w:id="100" w:name="_Toc208998513"/>
      <w:bookmarkStart w:id="101" w:name="_Toc205822158"/>
      <w:bookmarkStart w:id="102" w:name="_Toc198731708"/>
      <w:r w:rsidRPr="00885AB3">
        <w:rPr>
          <w:lang w:eastAsia="en-US"/>
        </w:rPr>
        <w:t xml:space="preserve">mRNA-1345 versus </w:t>
      </w:r>
      <w:r w:rsidRPr="00885AB3">
        <w:t>placebo</w:t>
      </w:r>
      <w:bookmarkEnd w:id="99"/>
      <w:bookmarkEnd w:id="100"/>
    </w:p>
    <w:p w14:paraId="1DE53B08" w14:textId="300E6AAF" w:rsidR="002E02E4" w:rsidRPr="00885AB3" w:rsidRDefault="006A1AFC" w:rsidP="00120D61">
      <w:pPr>
        <w:pStyle w:val="3-BodyText"/>
        <w:rPr>
          <w:iCs/>
        </w:rPr>
      </w:pPr>
      <w:bookmarkStart w:id="103" w:name="_Ref206078764"/>
      <w:r w:rsidRPr="00885AB3">
        <w:t xml:space="preserve">The submission claimed that for adults aged </w:t>
      </w:r>
      <w:r w:rsidR="00EF2FA4">
        <w:t xml:space="preserve">≥ </w:t>
      </w:r>
      <w:r w:rsidRPr="00885AB3">
        <w:t xml:space="preserve">75 years and Aboriginal and Torres Strait Islander people </w:t>
      </w:r>
      <w:r w:rsidR="001C78D7">
        <w:rPr>
          <w:u w:val="single"/>
        </w:rPr>
        <w:t xml:space="preserve">&gt; </w:t>
      </w:r>
      <w:r w:rsidRPr="00885AB3">
        <w:t>60 years of age</w:t>
      </w:r>
      <w:r w:rsidR="0086429D" w:rsidRPr="00885AB3">
        <w:t>,</w:t>
      </w:r>
      <w:r w:rsidRPr="00885AB3">
        <w:t xml:space="preserve"> </w:t>
      </w:r>
      <w:r w:rsidRPr="00885AB3">
        <w:rPr>
          <w:lang w:eastAsia="en-US"/>
        </w:rPr>
        <w:t xml:space="preserve">mRNA-1345 </w:t>
      </w:r>
      <w:r w:rsidRPr="00885AB3">
        <w:t>is superior in terms of effectiveness compared to placebo.</w:t>
      </w:r>
    </w:p>
    <w:p w14:paraId="7AE5358B" w14:textId="1824D94D" w:rsidR="00A57CFB" w:rsidRPr="00885AB3" w:rsidRDefault="002C51E5" w:rsidP="00120D61">
      <w:pPr>
        <w:pStyle w:val="3-BodyText"/>
        <w:rPr>
          <w:iCs/>
        </w:rPr>
      </w:pPr>
      <w:r w:rsidRPr="00885AB3">
        <w:t>The</w:t>
      </w:r>
      <w:r w:rsidR="0029180E" w:rsidRPr="00885AB3">
        <w:t xml:space="preserve"> ESC agreed with the</w:t>
      </w:r>
      <w:r w:rsidRPr="00885AB3">
        <w:t xml:space="preserve"> evaluation that </w:t>
      </w:r>
      <w:r w:rsidR="00520B54" w:rsidRPr="00885AB3">
        <w:rPr>
          <w:iCs/>
        </w:rPr>
        <w:t>t</w:t>
      </w:r>
      <w:r w:rsidR="006A1AFC" w:rsidRPr="00885AB3">
        <w:rPr>
          <w:iCs/>
        </w:rPr>
        <w:t xml:space="preserve">his claim was adequately supported for </w:t>
      </w:r>
      <w:r w:rsidR="0091217D" w:rsidRPr="00885AB3">
        <w:rPr>
          <w:iCs/>
        </w:rPr>
        <w:t xml:space="preserve">adults </w:t>
      </w:r>
      <w:r w:rsidR="00EF2FA4">
        <w:rPr>
          <w:rFonts w:ascii="Times New Roman" w:hAnsi="Times New Roman" w:cs="Times New Roman"/>
          <w:iCs/>
        </w:rPr>
        <w:t xml:space="preserve">≥ </w:t>
      </w:r>
      <w:r w:rsidR="0091217D" w:rsidRPr="00885AB3">
        <w:rPr>
          <w:iCs/>
        </w:rPr>
        <w:t xml:space="preserve">60 YOA </w:t>
      </w:r>
      <w:r w:rsidR="006A1AFC" w:rsidRPr="00885AB3">
        <w:rPr>
          <w:iCs/>
        </w:rPr>
        <w:t>for up to 16 months</w:t>
      </w:r>
      <w:r w:rsidR="00B7149D" w:rsidRPr="00885AB3">
        <w:rPr>
          <w:iCs/>
        </w:rPr>
        <w:t>.</w:t>
      </w:r>
      <w:r w:rsidR="006A1AFC" w:rsidRPr="00885AB3">
        <w:rPr>
          <w:iCs/>
        </w:rPr>
        <w:t xml:space="preserve"> </w:t>
      </w:r>
      <w:r w:rsidR="0018635C" w:rsidRPr="00885AB3">
        <w:rPr>
          <w:iCs/>
        </w:rPr>
        <w:t xml:space="preserve">Beyond 16 months, the proportion of participants remaining at risk is too small (2% at 24 months) to allow for meaningful conclusions about long-term effectiveness (paragraph </w:t>
      </w:r>
      <w:r w:rsidR="001659AB" w:rsidRPr="00885AB3">
        <w:rPr>
          <w:iCs/>
        </w:rPr>
        <w:fldChar w:fldCharType="begin" w:fldLock="1"/>
      </w:r>
      <w:r w:rsidR="001659AB" w:rsidRPr="00885AB3">
        <w:rPr>
          <w:iCs/>
        </w:rPr>
        <w:instrText xml:space="preserve"> REF _Ref207657153 \r \h  \* MERGEFORMAT </w:instrText>
      </w:r>
      <w:r w:rsidR="001659AB" w:rsidRPr="00885AB3">
        <w:rPr>
          <w:iCs/>
        </w:rPr>
      </w:r>
      <w:r w:rsidR="001659AB" w:rsidRPr="00885AB3">
        <w:rPr>
          <w:iCs/>
        </w:rPr>
        <w:fldChar w:fldCharType="separate"/>
      </w:r>
      <w:r w:rsidR="00515933" w:rsidRPr="00885AB3">
        <w:rPr>
          <w:iCs/>
        </w:rPr>
        <w:t>6.20</w:t>
      </w:r>
      <w:r w:rsidR="001659AB" w:rsidRPr="00885AB3">
        <w:rPr>
          <w:iCs/>
        </w:rPr>
        <w:fldChar w:fldCharType="end"/>
      </w:r>
      <w:r w:rsidR="0018635C" w:rsidRPr="00885AB3">
        <w:rPr>
          <w:iCs/>
        </w:rPr>
        <w:t xml:space="preserve">). </w:t>
      </w:r>
    </w:p>
    <w:p w14:paraId="05EDA7AE" w14:textId="1F08F5D4" w:rsidR="00421667" w:rsidRPr="00885AB3" w:rsidRDefault="00A65A39" w:rsidP="00120D61">
      <w:pPr>
        <w:pStyle w:val="3-BodyText"/>
        <w:rPr>
          <w:iCs/>
        </w:rPr>
      </w:pPr>
      <w:r w:rsidRPr="00885AB3">
        <w:rPr>
          <w:iCs/>
        </w:rPr>
        <w:t xml:space="preserve">It was noted that </w:t>
      </w:r>
      <w:r w:rsidR="00A57CFB" w:rsidRPr="00885AB3">
        <w:rPr>
          <w:iCs/>
        </w:rPr>
        <w:t>there was a</w:t>
      </w:r>
      <w:r w:rsidR="00B42EF9" w:rsidRPr="00885AB3">
        <w:rPr>
          <w:iCs/>
        </w:rPr>
        <w:t xml:space="preserve"> reduction in</w:t>
      </w:r>
      <w:r w:rsidR="00D434B5" w:rsidRPr="00885AB3">
        <w:rPr>
          <w:iCs/>
        </w:rPr>
        <w:t xml:space="preserve"> cumulative</w:t>
      </w:r>
      <w:r w:rsidR="00B42EF9" w:rsidRPr="00885AB3">
        <w:rPr>
          <w:iCs/>
        </w:rPr>
        <w:t xml:space="preserve"> VE from 56.2% (42.2, 66.7) at 12 months, </w:t>
      </w:r>
      <w:r w:rsidR="00B70526" w:rsidRPr="00885AB3">
        <w:rPr>
          <w:iCs/>
        </w:rPr>
        <w:t xml:space="preserve">to </w:t>
      </w:r>
      <w:r w:rsidR="00B42EF9" w:rsidRPr="00885AB3">
        <w:rPr>
          <w:iCs/>
        </w:rPr>
        <w:t>50.3% (37.5, 60.7) at 18 months and 47.4% (35.0, 57.4) at 24 months.</w:t>
      </w:r>
      <w:r w:rsidR="00DB6824" w:rsidRPr="00885AB3">
        <w:rPr>
          <w:iCs/>
        </w:rPr>
        <w:t xml:space="preserve"> </w:t>
      </w:r>
      <w:r w:rsidR="00A57CFB" w:rsidRPr="00885AB3">
        <w:rPr>
          <w:iCs/>
        </w:rPr>
        <w:t xml:space="preserve">It was also noted that immunogenicity data in </w:t>
      </w:r>
      <w:proofErr w:type="spellStart"/>
      <w:r w:rsidR="00A57CFB" w:rsidRPr="00885AB3">
        <w:rPr>
          <w:iCs/>
        </w:rPr>
        <w:t>ConquerRSV</w:t>
      </w:r>
      <w:proofErr w:type="spellEnd"/>
      <w:r w:rsidR="00A57CFB" w:rsidRPr="00885AB3">
        <w:rPr>
          <w:iCs/>
        </w:rPr>
        <w:t xml:space="preserve"> showed a substantial decline (66%) in antibody levels post vaccination, between Month 2 and Month 6 (Day 181). </w:t>
      </w:r>
      <w:r w:rsidR="0021592C" w:rsidRPr="00885AB3">
        <w:rPr>
          <w:iCs/>
        </w:rPr>
        <w:t>The ESC considered that</w:t>
      </w:r>
      <w:r w:rsidR="006171D7" w:rsidRPr="00885AB3">
        <w:rPr>
          <w:iCs/>
        </w:rPr>
        <w:t xml:space="preserve"> the longevity of the immune response is</w:t>
      </w:r>
      <w:r w:rsidR="0021592C" w:rsidRPr="00885AB3">
        <w:rPr>
          <w:iCs/>
        </w:rPr>
        <w:t xml:space="preserve"> a key consideration.</w:t>
      </w:r>
      <w:r w:rsidR="00B42EF9" w:rsidRPr="00885AB3">
        <w:rPr>
          <w:iCs/>
        </w:rPr>
        <w:t xml:space="preserve"> </w:t>
      </w:r>
      <w:r w:rsidR="00421667" w:rsidRPr="00885AB3">
        <w:rPr>
          <w:rFonts w:cstheme="minorHAnsi"/>
          <w:iCs/>
          <w:szCs w:val="24"/>
        </w:rPr>
        <w:t>The approximate interval</w:t>
      </w:r>
      <w:r w:rsidR="00421667" w:rsidRPr="00885AB3">
        <w:rPr>
          <w:iCs/>
        </w:rPr>
        <w:t xml:space="preserve">-specific VE estimated during the evaluation revealed notably lower VE after 12 months than was evident from the cumulative VE estimates (interval efficacy of </w:t>
      </w:r>
      <w:r w:rsidR="00421667" w:rsidRPr="00885AB3">
        <w:rPr>
          <w:rFonts w:cs="Calibri"/>
          <w:iCs/>
        </w:rPr>
        <w:t xml:space="preserve">28.3% for 12–24 months for RSV-LRTD </w:t>
      </w:r>
      <w:r w:rsidR="00EF2FA4">
        <w:rPr>
          <w:rFonts w:cs="Calibri"/>
          <w:iCs/>
        </w:rPr>
        <w:t xml:space="preserve">≥ </w:t>
      </w:r>
      <w:r w:rsidR="00421667" w:rsidRPr="00885AB3">
        <w:rPr>
          <w:rFonts w:cs="Calibri"/>
          <w:iCs/>
        </w:rPr>
        <w:t xml:space="preserve">2 symptoms estimated by the evaluation, compared with cumulative efficacy of 47.4% for 0-24 months in </w:t>
      </w:r>
      <w:proofErr w:type="spellStart"/>
      <w:r w:rsidR="00421667" w:rsidRPr="00885AB3">
        <w:rPr>
          <w:rFonts w:cs="Calibri"/>
          <w:iCs/>
        </w:rPr>
        <w:t>ConquerRSV</w:t>
      </w:r>
      <w:proofErr w:type="spellEnd"/>
      <w:r w:rsidR="00421667" w:rsidRPr="00885AB3">
        <w:rPr>
          <w:rFonts w:cs="Calibri"/>
          <w:iCs/>
        </w:rPr>
        <w:t>.)</w:t>
      </w:r>
    </w:p>
    <w:p w14:paraId="018D0929" w14:textId="4BC65C5B" w:rsidR="004462B3" w:rsidRPr="00885AB3" w:rsidRDefault="00B7149D" w:rsidP="00120D61">
      <w:pPr>
        <w:pStyle w:val="3-BodyText"/>
      </w:pPr>
      <w:r w:rsidRPr="00885AB3">
        <w:t>The</w:t>
      </w:r>
      <w:r w:rsidR="00310EA2" w:rsidRPr="00885AB3">
        <w:t xml:space="preserve"> evaluation</w:t>
      </w:r>
      <w:r w:rsidR="00643DD9" w:rsidRPr="00885AB3">
        <w:t xml:space="preserve"> considered</w:t>
      </w:r>
      <w:r w:rsidR="00310EA2" w:rsidRPr="00885AB3">
        <w:t xml:space="preserve"> that the</w:t>
      </w:r>
      <w:r w:rsidRPr="00885AB3">
        <w:t xml:space="preserve"> clinical claim was not adequately supported </w:t>
      </w:r>
      <w:r w:rsidR="0004481C" w:rsidRPr="00885AB3">
        <w:t xml:space="preserve">for adults </w:t>
      </w:r>
      <w:r w:rsidR="00EF2FA4">
        <w:rPr>
          <w:rFonts w:ascii="Times New Roman" w:hAnsi="Times New Roman" w:cs="Times New Roman"/>
        </w:rPr>
        <w:t xml:space="preserve">≥ </w:t>
      </w:r>
      <w:r w:rsidR="0004481C" w:rsidRPr="00885AB3">
        <w:t>75 YOA</w:t>
      </w:r>
      <w:r w:rsidR="008145C6" w:rsidRPr="00885AB3">
        <w:t>.</w:t>
      </w:r>
      <w:r w:rsidR="0004481C" w:rsidRPr="00885AB3">
        <w:t xml:space="preserve"> </w:t>
      </w:r>
      <w:r w:rsidR="0018635C" w:rsidRPr="00885AB3">
        <w:t xml:space="preserve">VE in the </w:t>
      </w:r>
      <w:r w:rsidR="00EF2FA4">
        <w:t xml:space="preserve">≥ </w:t>
      </w:r>
      <w:r w:rsidR="0018635C" w:rsidRPr="00885AB3">
        <w:t xml:space="preserve">75 YOA subgroup is lower compared to the VE in the overall population and the Iower 95% CI was below the 20% threshold for success for RSV-LRTD </w:t>
      </w:r>
      <w:r w:rsidR="00EF2FA4">
        <w:t xml:space="preserve">≥ </w:t>
      </w:r>
      <w:r w:rsidR="0018635C" w:rsidRPr="00885AB3">
        <w:t>2 symptoms, RSV-ARD</w:t>
      </w:r>
      <w:r w:rsidR="00116DB7" w:rsidRPr="00885AB3">
        <w:t>,</w:t>
      </w:r>
      <w:r w:rsidR="0018635C" w:rsidRPr="00885AB3">
        <w:t xml:space="preserve"> and severe RSV.</w:t>
      </w:r>
      <w:r w:rsidR="007C7F29" w:rsidRPr="00885AB3">
        <w:t xml:space="preserve"> </w:t>
      </w:r>
      <w:r w:rsidR="00AD27CA" w:rsidRPr="00885AB3">
        <w:t xml:space="preserve">However, </w:t>
      </w:r>
      <w:r w:rsidR="00AD27CA" w:rsidRPr="00885AB3">
        <w:rPr>
          <w:iCs/>
        </w:rPr>
        <w:t>t</w:t>
      </w:r>
      <w:r w:rsidR="00CD664F" w:rsidRPr="00885AB3">
        <w:rPr>
          <w:iCs/>
        </w:rPr>
        <w:t xml:space="preserve">he evaluation acknowledged that </w:t>
      </w:r>
      <w:r w:rsidR="001C1E4D" w:rsidRPr="00885AB3">
        <w:rPr>
          <w:iCs/>
        </w:rPr>
        <w:t>although</w:t>
      </w:r>
      <w:r w:rsidR="0018635C" w:rsidRPr="00885AB3">
        <w:rPr>
          <w:iCs/>
        </w:rPr>
        <w:t xml:space="preserve"> the </w:t>
      </w:r>
      <w:r w:rsidR="001C1E4D" w:rsidRPr="00885AB3">
        <w:rPr>
          <w:iCs/>
        </w:rPr>
        <w:t xml:space="preserve">VE was </w:t>
      </w:r>
      <w:r w:rsidR="0018635C" w:rsidRPr="00885AB3">
        <w:rPr>
          <w:iCs/>
        </w:rPr>
        <w:t xml:space="preserve">lower in adults </w:t>
      </w:r>
      <w:r w:rsidR="00EF2FA4">
        <w:rPr>
          <w:iCs/>
        </w:rPr>
        <w:t xml:space="preserve">≥ </w:t>
      </w:r>
      <w:r w:rsidR="0018635C" w:rsidRPr="00885AB3">
        <w:rPr>
          <w:iCs/>
        </w:rPr>
        <w:t xml:space="preserve">75 YOA compared with those </w:t>
      </w:r>
      <w:r w:rsidR="00EF2FA4">
        <w:rPr>
          <w:iCs/>
        </w:rPr>
        <w:t xml:space="preserve">≥ </w:t>
      </w:r>
      <w:r w:rsidR="0018635C" w:rsidRPr="00885AB3">
        <w:rPr>
          <w:iCs/>
        </w:rPr>
        <w:t>60 YOA, the</w:t>
      </w:r>
      <w:r w:rsidR="00771D15" w:rsidRPr="00885AB3">
        <w:rPr>
          <w:iCs/>
        </w:rPr>
        <w:t xml:space="preserve"> </w:t>
      </w:r>
      <w:r w:rsidR="0018635C" w:rsidRPr="00885AB3">
        <w:rPr>
          <w:iCs/>
        </w:rPr>
        <w:t xml:space="preserve">extent of the age effect on VE may be considered uncertain given the low number of observed RSV cases and the small sample size in the </w:t>
      </w:r>
      <w:r w:rsidR="00EF2FA4">
        <w:rPr>
          <w:iCs/>
        </w:rPr>
        <w:t xml:space="preserve">≥ </w:t>
      </w:r>
      <w:r w:rsidR="0018635C" w:rsidRPr="00885AB3">
        <w:rPr>
          <w:iCs/>
        </w:rPr>
        <w:t>75 YOA subgroup, comprising</w:t>
      </w:r>
      <w:r w:rsidR="00B5459C" w:rsidRPr="00885AB3">
        <w:rPr>
          <w:iCs/>
        </w:rPr>
        <w:t xml:space="preserve"> only</w:t>
      </w:r>
      <w:r w:rsidR="0018635C" w:rsidRPr="00885AB3">
        <w:rPr>
          <w:iCs/>
        </w:rPr>
        <w:t xml:space="preserve"> 18% of the overall population. </w:t>
      </w:r>
      <w:r w:rsidR="0099700B" w:rsidRPr="00885AB3">
        <w:rPr>
          <w:iCs/>
        </w:rPr>
        <w:t>The ESC agreed with the evaluation that this is an area of uncertainty</w:t>
      </w:r>
      <w:r w:rsidR="00AA68F4" w:rsidRPr="00885AB3">
        <w:rPr>
          <w:iCs/>
        </w:rPr>
        <w:t xml:space="preserve"> and may present an </w:t>
      </w:r>
      <w:r w:rsidR="00004754" w:rsidRPr="00885AB3">
        <w:rPr>
          <w:iCs/>
        </w:rPr>
        <w:t>applicability</w:t>
      </w:r>
      <w:r w:rsidR="00AA68F4" w:rsidRPr="00885AB3">
        <w:rPr>
          <w:iCs/>
        </w:rPr>
        <w:t xml:space="preserve"> issue</w:t>
      </w:r>
      <w:r w:rsidR="00004754" w:rsidRPr="00885AB3">
        <w:rPr>
          <w:iCs/>
        </w:rPr>
        <w:t xml:space="preserve"> of the </w:t>
      </w:r>
      <w:proofErr w:type="spellStart"/>
      <w:r w:rsidR="00004754" w:rsidRPr="00885AB3">
        <w:rPr>
          <w:iCs/>
        </w:rPr>
        <w:t>ConquerRSV</w:t>
      </w:r>
      <w:proofErr w:type="spellEnd"/>
      <w:r w:rsidR="00004754" w:rsidRPr="00885AB3">
        <w:rPr>
          <w:iCs/>
        </w:rPr>
        <w:t xml:space="preserve"> trial efficacy to the proposed target population</w:t>
      </w:r>
      <w:r w:rsidR="009A408A" w:rsidRPr="00885AB3">
        <w:rPr>
          <w:iCs/>
        </w:rPr>
        <w:t>, given</w:t>
      </w:r>
      <w:r w:rsidR="002E2E5B" w:rsidRPr="00885AB3">
        <w:rPr>
          <w:iCs/>
        </w:rPr>
        <w:t xml:space="preserve"> the low proportion</w:t>
      </w:r>
      <w:r w:rsidR="009A408A" w:rsidRPr="00885AB3">
        <w:rPr>
          <w:iCs/>
        </w:rPr>
        <w:t xml:space="preserve"> of trial participants </w:t>
      </w:r>
      <w:r w:rsidR="00EF2FA4">
        <w:rPr>
          <w:iCs/>
        </w:rPr>
        <w:t xml:space="preserve">≥ </w:t>
      </w:r>
      <w:r w:rsidR="009A408A" w:rsidRPr="00885AB3">
        <w:rPr>
          <w:iCs/>
        </w:rPr>
        <w:t>75</w:t>
      </w:r>
      <w:r w:rsidR="00EE2E3E" w:rsidRPr="00885AB3">
        <w:rPr>
          <w:iCs/>
        </w:rPr>
        <w:t xml:space="preserve"> YOA</w:t>
      </w:r>
      <w:r w:rsidR="009A408A" w:rsidRPr="00885AB3">
        <w:rPr>
          <w:iCs/>
        </w:rPr>
        <w:t xml:space="preserve"> and no </w:t>
      </w:r>
      <w:r w:rsidR="00C83C14" w:rsidRPr="00885AB3">
        <w:t xml:space="preserve">Aboriginal and Torres Strait Islander </w:t>
      </w:r>
      <w:r w:rsidR="009A408A" w:rsidRPr="00885AB3">
        <w:rPr>
          <w:iCs/>
        </w:rPr>
        <w:lastRenderedPageBreak/>
        <w:t>participants</w:t>
      </w:r>
      <w:r w:rsidR="00EE2E3E" w:rsidRPr="00885AB3">
        <w:rPr>
          <w:iCs/>
        </w:rPr>
        <w:t xml:space="preserve"> (see paragraph</w:t>
      </w:r>
      <w:r w:rsidR="004C75FB" w:rsidRPr="00885AB3">
        <w:rPr>
          <w:iCs/>
        </w:rPr>
        <w:t xml:space="preserve"> </w:t>
      </w:r>
      <w:r w:rsidR="000776C8" w:rsidRPr="00885AB3">
        <w:rPr>
          <w:iCs/>
        </w:rPr>
        <w:fldChar w:fldCharType="begin" w:fldLock="1"/>
      </w:r>
      <w:r w:rsidR="000776C8" w:rsidRPr="00885AB3">
        <w:rPr>
          <w:iCs/>
        </w:rPr>
        <w:instrText xml:space="preserve"> REF _Ref213246759 \r \h  \* MERGEFORMAT </w:instrText>
      </w:r>
      <w:r w:rsidR="000776C8" w:rsidRPr="00885AB3">
        <w:rPr>
          <w:iCs/>
        </w:rPr>
      </w:r>
      <w:r w:rsidR="000776C8" w:rsidRPr="00885AB3">
        <w:rPr>
          <w:iCs/>
        </w:rPr>
        <w:fldChar w:fldCharType="separate"/>
      </w:r>
      <w:r w:rsidR="00515933" w:rsidRPr="00885AB3">
        <w:rPr>
          <w:iCs/>
        </w:rPr>
        <w:t>6.54</w:t>
      </w:r>
      <w:r w:rsidR="000776C8" w:rsidRPr="00885AB3">
        <w:rPr>
          <w:iCs/>
        </w:rPr>
        <w:fldChar w:fldCharType="end"/>
      </w:r>
      <w:r w:rsidR="00EE2E3E" w:rsidRPr="00885AB3">
        <w:rPr>
          <w:iCs/>
        </w:rPr>
        <w:t>)</w:t>
      </w:r>
      <w:r w:rsidR="0099700B" w:rsidRPr="00885AB3">
        <w:rPr>
          <w:iCs/>
        </w:rPr>
        <w:t>.</w:t>
      </w:r>
      <w:r w:rsidR="00AD27CA" w:rsidRPr="00885AB3">
        <w:t xml:space="preserve"> </w:t>
      </w:r>
      <w:r w:rsidR="004462B3" w:rsidRPr="00885AB3">
        <w:rPr>
          <w:iCs/>
        </w:rPr>
        <w:t xml:space="preserve">The PSCR and Pre-PBAC response stated that the </w:t>
      </w:r>
      <w:proofErr w:type="spellStart"/>
      <w:r w:rsidR="004462B3" w:rsidRPr="00885AB3">
        <w:rPr>
          <w:iCs/>
        </w:rPr>
        <w:t>ConquerRSV</w:t>
      </w:r>
      <w:proofErr w:type="spellEnd"/>
      <w:r w:rsidR="004462B3" w:rsidRPr="00885AB3">
        <w:rPr>
          <w:iCs/>
        </w:rPr>
        <w:t xml:space="preserve"> trial was not powered to compare VE by population subgroups and therefore wider confidence intervals are expected due to reduced sample size and event accrual.</w:t>
      </w:r>
    </w:p>
    <w:p w14:paraId="7802345F" w14:textId="110BBF97" w:rsidR="00BB61C3" w:rsidRPr="00885AB3" w:rsidRDefault="004161CC" w:rsidP="00120D61">
      <w:pPr>
        <w:pStyle w:val="3-BodyText"/>
      </w:pPr>
      <w:r w:rsidRPr="00885AB3">
        <w:rPr>
          <w:iCs/>
          <w:lang w:eastAsia="en-US"/>
        </w:rPr>
        <w:t xml:space="preserve">The PBAC has noted a similar issue in previous considerations of RSV vaccines where the clinical trial (i.e. RENOIR) was not powered to detect statistically significant differences between the arms for the subgroup of participants for which listing is being sought (paragraph 7.15, </w:t>
      </w:r>
      <w:proofErr w:type="spellStart"/>
      <w:r w:rsidRPr="00885AB3">
        <w:rPr>
          <w:iCs/>
          <w:lang w:eastAsia="en-US"/>
        </w:rPr>
        <w:t>RSVPreF</w:t>
      </w:r>
      <w:proofErr w:type="spellEnd"/>
      <w:r w:rsidRPr="00885AB3">
        <w:rPr>
          <w:iCs/>
          <w:lang w:eastAsia="en-US"/>
        </w:rPr>
        <w:t xml:space="preserve"> PSD, November 2024).</w:t>
      </w:r>
    </w:p>
    <w:p w14:paraId="774B3D49" w14:textId="597291FA" w:rsidR="00FC5154" w:rsidRPr="00885AB3" w:rsidRDefault="00FC5154" w:rsidP="00120D61">
      <w:pPr>
        <w:pStyle w:val="3-BodyText"/>
      </w:pPr>
      <w:r w:rsidRPr="00885AB3">
        <w:t xml:space="preserve">The PSCR provided the results of a real-world evidence study published after the sponsor’s submission to the PBAC, evaluating the effectiveness of a single dose of RSVPreF3 OA, </w:t>
      </w:r>
      <w:proofErr w:type="spellStart"/>
      <w:r w:rsidRPr="00885AB3">
        <w:t>RSVPreF</w:t>
      </w:r>
      <w:proofErr w:type="spellEnd"/>
      <w:r w:rsidRPr="00885AB3">
        <w:t xml:space="preserve"> and mRNA-1345 against RSV-hospitalisation among 6,958 adults </w:t>
      </w:r>
      <w:r w:rsidR="00EF2FA4">
        <w:t xml:space="preserve">≥ </w:t>
      </w:r>
      <w:r w:rsidRPr="00885AB3">
        <w:t xml:space="preserve">60 years across 26 US hospitals during two RSV seasons (2023–2025) (Surie 2025). The study provided results for the subgroups of patients 60-74 years and </w:t>
      </w:r>
      <w:r w:rsidR="00EF2FA4">
        <w:t xml:space="preserve">≥ </w:t>
      </w:r>
      <w:r w:rsidRPr="00885AB3">
        <w:t xml:space="preserve">75 years for RSVPreF3 OA and </w:t>
      </w:r>
      <w:proofErr w:type="spellStart"/>
      <w:r w:rsidRPr="00885AB3">
        <w:t>RSVPreF</w:t>
      </w:r>
      <w:proofErr w:type="spellEnd"/>
      <w:r w:rsidRPr="00885AB3">
        <w:t xml:space="preserve"> but was unable to assess mRNA-1345 effectiveness due to low uptake (n=3). VE was lower in </w:t>
      </w:r>
      <w:proofErr w:type="spellStart"/>
      <w:r w:rsidRPr="00885AB3">
        <w:t>ConquerRSV</w:t>
      </w:r>
      <w:proofErr w:type="spellEnd"/>
      <w:r w:rsidRPr="00885AB3">
        <w:t xml:space="preserve"> than as reported in Surie (2025) for RSVPreF3 OA and </w:t>
      </w:r>
      <w:proofErr w:type="spellStart"/>
      <w:r w:rsidRPr="00885AB3">
        <w:t>RSVPreF</w:t>
      </w:r>
      <w:proofErr w:type="spellEnd"/>
      <w:r w:rsidRPr="00885AB3">
        <w:t xml:space="preserve">, particularly in the </w:t>
      </w:r>
      <w:r w:rsidR="00EF2FA4">
        <w:t xml:space="preserve">≥ </w:t>
      </w:r>
      <w:r w:rsidRPr="00885AB3">
        <w:t>75 YOA subgroup.</w:t>
      </w:r>
    </w:p>
    <w:p w14:paraId="3B43AF1D" w14:textId="1B081C78" w:rsidR="003747E1" w:rsidRPr="00885AB3" w:rsidRDefault="005D0518" w:rsidP="00120D61">
      <w:pPr>
        <w:pStyle w:val="3-BodyText"/>
      </w:pPr>
      <w:bookmarkStart w:id="104" w:name="_Ref216177153"/>
      <w:bookmarkStart w:id="105" w:name="_Hlk216177002"/>
      <w:r w:rsidRPr="00885AB3">
        <w:t>The Pre-PBAC response</w:t>
      </w:r>
      <w:r w:rsidR="009C10E3" w:rsidRPr="00885AB3">
        <w:t xml:space="preserve"> provided 24 month follow-up data</w:t>
      </w:r>
      <w:r w:rsidR="00DB42F8" w:rsidRPr="00885AB3">
        <w:t xml:space="preserve"> summarising VE for the period from 14 days to 24 months post</w:t>
      </w:r>
      <w:r w:rsidR="007F11C0" w:rsidRPr="00885AB3">
        <w:t>-</w:t>
      </w:r>
      <w:r w:rsidR="00DB42F8" w:rsidRPr="00885AB3">
        <w:t>injection.</w:t>
      </w:r>
      <w:r w:rsidR="009C10E3" w:rsidRPr="00885AB3">
        <w:t xml:space="preserve"> </w:t>
      </w:r>
      <w:r w:rsidR="00EB6516" w:rsidRPr="00885AB3">
        <w:t>The Pre-PBAC response</w:t>
      </w:r>
      <w:r w:rsidRPr="00885AB3">
        <w:t xml:space="preserve"> stated</w:t>
      </w:r>
      <w:r w:rsidR="001C78D7">
        <w:t xml:space="preserve"> </w:t>
      </w:r>
      <w:r w:rsidR="0033435C" w:rsidRPr="00885AB3">
        <w:t>that</w:t>
      </w:r>
      <w:r w:rsidR="00EB6516" w:rsidRPr="00885AB3">
        <w:t xml:space="preserve"> </w:t>
      </w:r>
      <w:r w:rsidR="00813C70" w:rsidRPr="00885AB3">
        <w:t>e</w:t>
      </w:r>
      <w:r w:rsidR="00DB42F8" w:rsidRPr="00885AB3">
        <w:t xml:space="preserve">fficacy of mRNA-1345 was sustained through the extended follow-up period </w:t>
      </w:r>
      <w:r w:rsidR="00813C70" w:rsidRPr="00885AB3">
        <w:t>(</w:t>
      </w:r>
      <w:r w:rsidR="00DB42F8" w:rsidRPr="00885AB3">
        <w:t>an interval that includes at least two RSV seasons</w:t>
      </w:r>
      <w:r w:rsidR="00813C70" w:rsidRPr="00885AB3">
        <w:t>)</w:t>
      </w:r>
      <w:r w:rsidR="00DB42F8" w:rsidRPr="00885AB3">
        <w:t xml:space="preserve"> and demonstrated a plateau with comparable estimates at 18</w:t>
      </w:r>
      <w:r w:rsidR="0089162F" w:rsidRPr="00885AB3">
        <w:t>.8</w:t>
      </w:r>
      <w:r w:rsidR="009A2BA7" w:rsidRPr="00885AB3">
        <w:t xml:space="preserve"> month</w:t>
      </w:r>
      <w:r w:rsidR="00606FD8" w:rsidRPr="00885AB3">
        <w:t>s</w:t>
      </w:r>
      <w:r w:rsidR="009A2BA7" w:rsidRPr="00885AB3">
        <w:t xml:space="preserve"> (VE </w:t>
      </w:r>
      <w:r w:rsidR="009062FD" w:rsidRPr="00885AB3">
        <w:t>47.4</w:t>
      </w:r>
      <w:r w:rsidR="0089162F" w:rsidRPr="00885AB3">
        <w:t>;</w:t>
      </w:r>
      <w:r w:rsidR="007C5A36" w:rsidRPr="00885AB3">
        <w:t xml:space="preserve"> </w:t>
      </w:r>
      <w:r w:rsidR="00FD0843" w:rsidRPr="00885AB3">
        <w:t xml:space="preserve">95% </w:t>
      </w:r>
      <w:r w:rsidR="007C5A36" w:rsidRPr="00885AB3">
        <w:t xml:space="preserve">CI </w:t>
      </w:r>
      <w:r w:rsidR="009062FD" w:rsidRPr="00885AB3">
        <w:t>35.0, 57.4</w:t>
      </w:r>
      <w:r w:rsidR="009A2BA7" w:rsidRPr="00885AB3">
        <w:t>)</w:t>
      </w:r>
      <w:r w:rsidR="00DB42F8" w:rsidRPr="00885AB3">
        <w:t xml:space="preserve"> and 24</w:t>
      </w:r>
      <w:r w:rsidR="0089162F" w:rsidRPr="00885AB3">
        <w:t>.1</w:t>
      </w:r>
      <w:r w:rsidR="00DB42F8" w:rsidRPr="00885AB3">
        <w:t xml:space="preserve"> month</w:t>
      </w:r>
      <w:r w:rsidR="00606FD8" w:rsidRPr="00885AB3">
        <w:t>s</w:t>
      </w:r>
      <w:r w:rsidR="009A2BA7" w:rsidRPr="00885AB3">
        <w:t xml:space="preserve"> (VE </w:t>
      </w:r>
      <w:r w:rsidR="006B5F85" w:rsidRPr="00885AB3">
        <w:t>44.3</w:t>
      </w:r>
      <w:r w:rsidR="00387B50" w:rsidRPr="00885AB3">
        <w:t xml:space="preserve">; </w:t>
      </w:r>
      <w:r w:rsidR="00FD0843" w:rsidRPr="00885AB3">
        <w:t xml:space="preserve">95% </w:t>
      </w:r>
      <w:r w:rsidR="00387B50" w:rsidRPr="00885AB3">
        <w:t xml:space="preserve">CI </w:t>
      </w:r>
      <w:r w:rsidR="006B5F85" w:rsidRPr="00885AB3">
        <w:t>32.4, 54.1</w:t>
      </w:r>
      <w:r w:rsidR="009A2BA7" w:rsidRPr="00885AB3">
        <w:t>)</w:t>
      </w:r>
      <w:r w:rsidR="00DB42F8" w:rsidRPr="00885AB3">
        <w:t> </w:t>
      </w:r>
      <w:r w:rsidR="0089162F" w:rsidRPr="00885AB3">
        <w:t>median follow-up</w:t>
      </w:r>
      <w:r w:rsidR="009A2BA7" w:rsidRPr="00885AB3">
        <w:t xml:space="preserve"> (</w:t>
      </w:r>
      <w:r w:rsidR="006328CE" w:rsidRPr="00885AB3">
        <w:fldChar w:fldCharType="begin" w:fldLock="1"/>
      </w:r>
      <w:r w:rsidR="006328CE" w:rsidRPr="00885AB3">
        <w:instrText xml:space="preserve"> REF _Ref205296965 \h </w:instrText>
      </w:r>
      <w:r w:rsidR="006328CE" w:rsidRPr="00885AB3">
        <w:fldChar w:fldCharType="separate"/>
      </w:r>
      <w:r w:rsidR="00515933" w:rsidRPr="00885AB3">
        <w:t>Table 5</w:t>
      </w:r>
      <w:r w:rsidR="006328CE" w:rsidRPr="00885AB3">
        <w:fldChar w:fldCharType="end"/>
      </w:r>
      <w:r w:rsidR="007F11C0" w:rsidRPr="00885AB3">
        <w:t>)</w:t>
      </w:r>
      <w:r w:rsidR="00DB42F8" w:rsidRPr="00885AB3">
        <w:t>.</w:t>
      </w:r>
      <w:bookmarkEnd w:id="104"/>
      <w:r w:rsidR="0033435C" w:rsidRPr="00885AB3">
        <w:t xml:space="preserve"> </w:t>
      </w:r>
    </w:p>
    <w:p w14:paraId="2D5D72CD" w14:textId="6B196D91" w:rsidR="006A1AFC" w:rsidRPr="00885AB3" w:rsidRDefault="0000435E" w:rsidP="00120D61">
      <w:pPr>
        <w:pStyle w:val="3-BodyText"/>
        <w:rPr>
          <w:rFonts w:eastAsia="Calibri"/>
        </w:rPr>
      </w:pPr>
      <w:bookmarkStart w:id="106" w:name="_Ref213246759"/>
      <w:bookmarkEnd w:id="105"/>
      <w:r w:rsidRPr="00885AB3">
        <w:t xml:space="preserve">Although </w:t>
      </w:r>
      <w:r w:rsidRPr="00885AB3">
        <w:rPr>
          <w:rFonts w:eastAsia="Calibri"/>
        </w:rPr>
        <w:t>no data were presented to support the requested listing for Aboriginal and Torres Strait Islander people</w:t>
      </w:r>
      <w:r w:rsidR="00CD736A" w:rsidRPr="00885AB3">
        <w:rPr>
          <w:rFonts w:eastAsia="Calibri"/>
        </w:rPr>
        <w:t xml:space="preserve"> 60-74 YOA</w:t>
      </w:r>
      <w:r w:rsidRPr="00885AB3">
        <w:rPr>
          <w:rFonts w:eastAsia="Calibri"/>
        </w:rPr>
        <w:t xml:space="preserve">, </w:t>
      </w:r>
      <w:r w:rsidR="00134057" w:rsidRPr="00885AB3">
        <w:rPr>
          <w:rFonts w:eastAsia="Calibri"/>
        </w:rPr>
        <w:t xml:space="preserve">the </w:t>
      </w:r>
      <w:r w:rsidR="003D058B" w:rsidRPr="00885AB3">
        <w:rPr>
          <w:rFonts w:eastAsia="Calibri"/>
        </w:rPr>
        <w:t xml:space="preserve">ESC and the </w:t>
      </w:r>
      <w:r w:rsidR="00134057" w:rsidRPr="00885AB3">
        <w:rPr>
          <w:rFonts w:eastAsia="Calibri"/>
        </w:rPr>
        <w:t xml:space="preserve">evaluation considered that </w:t>
      </w:r>
      <w:r w:rsidRPr="00885AB3">
        <w:rPr>
          <w:rFonts w:eastAsia="Calibri"/>
        </w:rPr>
        <w:t>i</w:t>
      </w:r>
      <w:r w:rsidR="008145C6" w:rsidRPr="00885AB3">
        <w:t xml:space="preserve">t may be reasonable to accept the claim </w:t>
      </w:r>
      <w:r w:rsidRPr="00885AB3">
        <w:t>given that</w:t>
      </w:r>
      <w:r w:rsidR="006A1AFC" w:rsidRPr="00885AB3">
        <w:rPr>
          <w:rFonts w:eastAsia="Calibri"/>
        </w:rPr>
        <w:t xml:space="preserve"> it is unlikely that direct evidence in this population will ever become available</w:t>
      </w:r>
      <w:r w:rsidR="0018635C" w:rsidRPr="00885AB3">
        <w:rPr>
          <w:rFonts w:eastAsia="Calibri"/>
        </w:rPr>
        <w:t>.</w:t>
      </w:r>
      <w:r w:rsidR="006A1AFC" w:rsidRPr="00885AB3">
        <w:rPr>
          <w:rFonts w:eastAsia="Calibri"/>
        </w:rPr>
        <w:t xml:space="preserve"> </w:t>
      </w:r>
      <w:r w:rsidR="00115DE7" w:rsidRPr="00885AB3">
        <w:rPr>
          <w:rFonts w:eastAsia="Calibri"/>
        </w:rPr>
        <w:t>The PSCR</w:t>
      </w:r>
      <w:r w:rsidR="00474DF1" w:rsidRPr="00885AB3">
        <w:rPr>
          <w:rFonts w:eastAsia="Calibri"/>
        </w:rPr>
        <w:t xml:space="preserve"> </w:t>
      </w:r>
      <w:r w:rsidR="00115DE7" w:rsidRPr="00885AB3">
        <w:rPr>
          <w:rFonts w:eastAsia="Calibri"/>
        </w:rPr>
        <w:t xml:space="preserve">stated </w:t>
      </w:r>
      <w:r w:rsidR="002C354B" w:rsidRPr="00885AB3">
        <w:rPr>
          <w:rFonts w:eastAsia="Calibri"/>
        </w:rPr>
        <w:t xml:space="preserve">that </w:t>
      </w:r>
      <w:r w:rsidR="00474DF1" w:rsidRPr="00885AB3">
        <w:rPr>
          <w:rFonts w:eastAsia="Calibri"/>
        </w:rPr>
        <w:t>the reliability of</w:t>
      </w:r>
      <w:r w:rsidR="002C354B" w:rsidRPr="00885AB3">
        <w:rPr>
          <w:rFonts w:eastAsia="Calibri"/>
        </w:rPr>
        <w:t xml:space="preserve"> any</w:t>
      </w:r>
      <w:r w:rsidR="00474DF1" w:rsidRPr="00885AB3">
        <w:rPr>
          <w:rFonts w:eastAsia="Calibri"/>
        </w:rPr>
        <w:t xml:space="preserve"> morbidity data in this patient population would</w:t>
      </w:r>
      <w:r w:rsidR="002C354B" w:rsidRPr="00885AB3">
        <w:rPr>
          <w:rFonts w:eastAsia="Calibri"/>
        </w:rPr>
        <w:t xml:space="preserve"> be further limited by small patient numbers.</w:t>
      </w:r>
      <w:bookmarkEnd w:id="106"/>
      <w:r w:rsidR="00FC5154" w:rsidRPr="00885AB3">
        <w:rPr>
          <w:rFonts w:eastAsia="Calibri"/>
        </w:rPr>
        <w:t xml:space="preserve"> </w:t>
      </w:r>
    </w:p>
    <w:p w14:paraId="2E004FDB" w14:textId="3ECB4AA9" w:rsidR="0014266C" w:rsidRPr="00885AB3" w:rsidRDefault="0014266C" w:rsidP="00120D61">
      <w:pPr>
        <w:pStyle w:val="3-BodyText"/>
        <w:rPr>
          <w:rFonts w:eastAsia="Calibri"/>
        </w:rPr>
      </w:pPr>
      <w:bookmarkStart w:id="107" w:name="_Ref216179978"/>
      <w:r w:rsidRPr="00885AB3">
        <w:t>Overall,</w:t>
      </w:r>
      <w:r w:rsidR="00604DAF" w:rsidRPr="00885AB3">
        <w:t xml:space="preserve"> with respect to the efficacy of the mRNA-1345 vaccine compared to no vaccine</w:t>
      </w:r>
      <w:r w:rsidR="00EE4257" w:rsidRPr="00885AB3">
        <w:t xml:space="preserve"> observed in the </w:t>
      </w:r>
      <w:proofErr w:type="spellStart"/>
      <w:r w:rsidR="00EE4257" w:rsidRPr="00885AB3">
        <w:rPr>
          <w:iCs/>
        </w:rPr>
        <w:t>ConquerRSV</w:t>
      </w:r>
      <w:proofErr w:type="spellEnd"/>
      <w:r w:rsidR="00EE4257" w:rsidRPr="00885AB3">
        <w:rPr>
          <w:iCs/>
        </w:rPr>
        <w:t xml:space="preserve"> trial</w:t>
      </w:r>
      <w:r w:rsidR="00B91BBE" w:rsidRPr="00885AB3">
        <w:t>,</w:t>
      </w:r>
      <w:r w:rsidRPr="00885AB3">
        <w:t xml:space="preserve"> the PBAC agreed with the arguments presented by the evaluation, the ESC and the ATAGI. It considered</w:t>
      </w:r>
      <w:r w:rsidR="00B91BBE" w:rsidRPr="00885AB3">
        <w:t xml:space="preserve"> that</w:t>
      </w:r>
      <w:r w:rsidR="008E11CB" w:rsidRPr="00885AB3">
        <w:t xml:space="preserve"> the claim of superior efficacy</w:t>
      </w:r>
      <w:r w:rsidRPr="00885AB3">
        <w:t>:</w:t>
      </w:r>
      <w:bookmarkEnd w:id="107"/>
    </w:p>
    <w:p w14:paraId="2C46760A" w14:textId="75B81242" w:rsidR="0014266C" w:rsidRPr="00885AB3" w:rsidRDefault="008E11CB" w:rsidP="00120D61">
      <w:pPr>
        <w:pStyle w:val="3-BodyText"/>
        <w:numPr>
          <w:ilvl w:val="0"/>
          <w:numId w:val="44"/>
        </w:numPr>
        <w:rPr>
          <w:rFonts w:eastAsia="Calibri"/>
        </w:rPr>
      </w:pPr>
      <w:r w:rsidRPr="00885AB3">
        <w:rPr>
          <w:iCs/>
        </w:rPr>
        <w:t>W</w:t>
      </w:r>
      <w:r w:rsidR="00B91BBE" w:rsidRPr="00885AB3">
        <w:rPr>
          <w:iCs/>
        </w:rPr>
        <w:t xml:space="preserve">as adequately supported for adults </w:t>
      </w:r>
      <w:r w:rsidR="00EF2FA4">
        <w:rPr>
          <w:rFonts w:ascii="Times New Roman" w:hAnsi="Times New Roman" w:cs="Times New Roman"/>
          <w:iCs/>
        </w:rPr>
        <w:t xml:space="preserve">≥ </w:t>
      </w:r>
      <w:r w:rsidR="00B91BBE" w:rsidRPr="00885AB3">
        <w:rPr>
          <w:iCs/>
        </w:rPr>
        <w:t xml:space="preserve">60 YOA for up to 16 </w:t>
      </w:r>
      <w:r w:rsidR="00E1248C" w:rsidRPr="00885AB3">
        <w:rPr>
          <w:iCs/>
        </w:rPr>
        <w:t>months;</w:t>
      </w:r>
    </w:p>
    <w:p w14:paraId="5221BE74" w14:textId="60045DBC" w:rsidR="00B91BBE" w:rsidRPr="00885AB3" w:rsidRDefault="00486D45" w:rsidP="00120D61">
      <w:pPr>
        <w:pStyle w:val="3-BodyText"/>
        <w:numPr>
          <w:ilvl w:val="0"/>
          <w:numId w:val="44"/>
        </w:numPr>
        <w:rPr>
          <w:rFonts w:eastAsia="Calibri"/>
        </w:rPr>
      </w:pPr>
      <w:r w:rsidRPr="00885AB3">
        <w:rPr>
          <w:rFonts w:eastAsia="Calibri"/>
        </w:rPr>
        <w:t>Was uncertain</w:t>
      </w:r>
      <w:r w:rsidR="00D80E66" w:rsidRPr="00885AB3">
        <w:rPr>
          <w:rFonts w:eastAsia="Calibri"/>
        </w:rPr>
        <w:t xml:space="preserve"> </w:t>
      </w:r>
      <w:r w:rsidR="00D80E66" w:rsidRPr="00885AB3">
        <w:t xml:space="preserve">for adults </w:t>
      </w:r>
      <w:r w:rsidR="00EF2FA4">
        <w:rPr>
          <w:rFonts w:ascii="Times New Roman" w:hAnsi="Times New Roman" w:cs="Times New Roman"/>
        </w:rPr>
        <w:t xml:space="preserve">≥ </w:t>
      </w:r>
      <w:r w:rsidR="00D80E66" w:rsidRPr="00885AB3">
        <w:t>75 YOA</w:t>
      </w:r>
      <w:r w:rsidR="00131F97" w:rsidRPr="00885AB3">
        <w:t xml:space="preserve"> </w:t>
      </w:r>
      <w:r w:rsidR="00A87772" w:rsidRPr="00885AB3">
        <w:t>because</w:t>
      </w:r>
      <w:r w:rsidR="00D01348" w:rsidRPr="00885AB3">
        <w:t xml:space="preserve"> </w:t>
      </w:r>
      <w:r w:rsidR="008B3BC5" w:rsidRPr="00885AB3">
        <w:t>VE</w:t>
      </w:r>
      <w:r w:rsidR="00700616" w:rsidRPr="00885AB3">
        <w:t xml:space="preserve"> for this age group is lower than</w:t>
      </w:r>
      <w:r w:rsidR="00131F97" w:rsidRPr="00885AB3">
        <w:t xml:space="preserve"> VE in the overall population</w:t>
      </w:r>
      <w:r w:rsidR="007B27B1" w:rsidRPr="00885AB3">
        <w:t xml:space="preserve"> (</w:t>
      </w:r>
      <w:r w:rsidR="00EF2FA4">
        <w:rPr>
          <w:rFonts w:ascii="Times New Roman" w:hAnsi="Times New Roman" w:cs="Times New Roman"/>
          <w:iCs/>
        </w:rPr>
        <w:t xml:space="preserve">≥ </w:t>
      </w:r>
      <w:r w:rsidR="007B27B1" w:rsidRPr="00885AB3">
        <w:rPr>
          <w:iCs/>
        </w:rPr>
        <w:t>60 YOA</w:t>
      </w:r>
      <w:r w:rsidR="007B27B1" w:rsidRPr="00885AB3">
        <w:t>)</w:t>
      </w:r>
      <w:r w:rsidR="00D01348" w:rsidRPr="00885AB3">
        <w:t xml:space="preserve"> and t</w:t>
      </w:r>
      <w:r w:rsidR="00131F97" w:rsidRPr="00885AB3">
        <w:t xml:space="preserve">he Iower 95% CI </w:t>
      </w:r>
      <w:r w:rsidR="00680330" w:rsidRPr="00885AB3">
        <w:t>is</w:t>
      </w:r>
      <w:r w:rsidR="00131F97" w:rsidRPr="00885AB3">
        <w:t xml:space="preserve"> below the 20% threshold for</w:t>
      </w:r>
      <w:r w:rsidR="0039241D" w:rsidRPr="00885AB3">
        <w:t xml:space="preserve"> VE</w:t>
      </w:r>
      <w:r w:rsidR="00131F97" w:rsidRPr="00885AB3">
        <w:t xml:space="preserve"> success,</w:t>
      </w:r>
      <w:r w:rsidR="0037646F" w:rsidRPr="00885AB3">
        <w:t xml:space="preserve"> </w:t>
      </w:r>
      <w:r w:rsidRPr="00885AB3">
        <w:t>notwithstanding</w:t>
      </w:r>
      <w:r w:rsidR="00462EDD" w:rsidRPr="00885AB3">
        <w:t xml:space="preserve"> </w:t>
      </w:r>
      <w:r w:rsidR="00462EDD" w:rsidRPr="00885AB3">
        <w:rPr>
          <w:iCs/>
        </w:rPr>
        <w:t xml:space="preserve">the low number of observed RSV cases and the small sample size in the </w:t>
      </w:r>
      <w:r w:rsidR="00EF2FA4">
        <w:rPr>
          <w:iCs/>
        </w:rPr>
        <w:t xml:space="preserve">≥ </w:t>
      </w:r>
      <w:r w:rsidR="00462EDD" w:rsidRPr="00885AB3">
        <w:rPr>
          <w:iCs/>
        </w:rPr>
        <w:t>75 YOA subgroup</w:t>
      </w:r>
      <w:r w:rsidR="00F87EE8" w:rsidRPr="00885AB3">
        <w:rPr>
          <w:iCs/>
        </w:rPr>
        <w:t>.</w:t>
      </w:r>
    </w:p>
    <w:p w14:paraId="38681BBD" w14:textId="7D819594" w:rsidR="00F87EE8" w:rsidRPr="00885AB3" w:rsidRDefault="00F87EE8" w:rsidP="00120D61">
      <w:pPr>
        <w:pStyle w:val="3-BodyText"/>
        <w:numPr>
          <w:ilvl w:val="0"/>
          <w:numId w:val="0"/>
        </w:numPr>
        <w:ind w:left="1440" w:hanging="720"/>
        <w:rPr>
          <w:rFonts w:eastAsia="Calibri"/>
        </w:rPr>
      </w:pPr>
      <w:r w:rsidRPr="00885AB3">
        <w:rPr>
          <w:rFonts w:eastAsia="Calibri"/>
        </w:rPr>
        <w:t xml:space="preserve">The PBAC also </w:t>
      </w:r>
      <w:r w:rsidR="005A3BA2" w:rsidRPr="00885AB3">
        <w:rPr>
          <w:rFonts w:eastAsia="Calibri"/>
        </w:rPr>
        <w:t>noted</w:t>
      </w:r>
      <w:r w:rsidRPr="00885AB3">
        <w:rPr>
          <w:rFonts w:eastAsia="Calibri"/>
        </w:rPr>
        <w:t xml:space="preserve"> that:</w:t>
      </w:r>
    </w:p>
    <w:p w14:paraId="49D1263B" w14:textId="3F18392A" w:rsidR="00F87EE8" w:rsidRPr="00885AB3" w:rsidRDefault="000C7A83" w:rsidP="00120D61">
      <w:pPr>
        <w:pStyle w:val="3-BodyText"/>
        <w:numPr>
          <w:ilvl w:val="0"/>
          <w:numId w:val="44"/>
        </w:numPr>
        <w:rPr>
          <w:rFonts w:eastAsia="Calibri"/>
        </w:rPr>
      </w:pPr>
      <w:r w:rsidRPr="00885AB3">
        <w:rPr>
          <w:iCs/>
        </w:rPr>
        <w:lastRenderedPageBreak/>
        <w:t>The longevity of the immune response is a key consideration</w:t>
      </w:r>
      <w:r w:rsidR="005A3BA2" w:rsidRPr="00885AB3">
        <w:rPr>
          <w:iCs/>
        </w:rPr>
        <w:t xml:space="preserve"> </w:t>
      </w:r>
      <w:r w:rsidR="00EC49C5" w:rsidRPr="00885AB3">
        <w:rPr>
          <w:iCs/>
        </w:rPr>
        <w:t>given</w:t>
      </w:r>
      <w:r w:rsidR="005A3BA2" w:rsidRPr="00885AB3">
        <w:rPr>
          <w:iCs/>
        </w:rPr>
        <w:t xml:space="preserve"> that immunogenicity data in </w:t>
      </w:r>
      <w:proofErr w:type="spellStart"/>
      <w:r w:rsidR="005A3BA2" w:rsidRPr="00885AB3">
        <w:rPr>
          <w:iCs/>
        </w:rPr>
        <w:t>ConquerRSV</w:t>
      </w:r>
      <w:proofErr w:type="spellEnd"/>
      <w:r w:rsidR="005A3BA2" w:rsidRPr="00885AB3">
        <w:rPr>
          <w:iCs/>
        </w:rPr>
        <w:t xml:space="preserve"> showed a substantial decline (66%) in antibody levels between Month 2 and Month 6</w:t>
      </w:r>
      <w:r w:rsidR="00EC49C5" w:rsidRPr="00885AB3">
        <w:rPr>
          <w:iCs/>
        </w:rPr>
        <w:t xml:space="preserve"> post vaccination</w:t>
      </w:r>
      <w:r w:rsidR="005A3BA2" w:rsidRPr="00885AB3">
        <w:rPr>
          <w:iCs/>
        </w:rPr>
        <w:t>;</w:t>
      </w:r>
    </w:p>
    <w:p w14:paraId="2234F1AA" w14:textId="2B9D82FE" w:rsidR="005A3BA2" w:rsidRPr="00885AB3" w:rsidRDefault="00940400" w:rsidP="00120D61">
      <w:pPr>
        <w:pStyle w:val="3-BodyText"/>
        <w:numPr>
          <w:ilvl w:val="0"/>
          <w:numId w:val="44"/>
        </w:numPr>
        <w:rPr>
          <w:rFonts w:eastAsia="Calibri"/>
        </w:rPr>
      </w:pPr>
      <w:r w:rsidRPr="00885AB3">
        <w:rPr>
          <w:iCs/>
        </w:rPr>
        <w:t>T</w:t>
      </w:r>
      <w:r w:rsidR="003F4DD4" w:rsidRPr="00885AB3">
        <w:rPr>
          <w:iCs/>
        </w:rPr>
        <w:t>he findings of</w:t>
      </w:r>
      <w:r w:rsidR="00C21F94" w:rsidRPr="00885AB3">
        <w:rPr>
          <w:iCs/>
        </w:rPr>
        <w:t xml:space="preserve"> the</w:t>
      </w:r>
      <w:r w:rsidR="009F0FEB" w:rsidRPr="00885AB3">
        <w:rPr>
          <w:iCs/>
        </w:rPr>
        <w:t xml:space="preserve"> overall</w:t>
      </w:r>
      <w:r w:rsidR="00C21F94" w:rsidRPr="00885AB3">
        <w:rPr>
          <w:iCs/>
        </w:rPr>
        <w:t xml:space="preserve"> </w:t>
      </w:r>
      <w:proofErr w:type="spellStart"/>
      <w:r w:rsidR="00C21F94" w:rsidRPr="00885AB3">
        <w:rPr>
          <w:iCs/>
        </w:rPr>
        <w:t>ConquerRSV</w:t>
      </w:r>
      <w:proofErr w:type="spellEnd"/>
      <w:r w:rsidR="00C21F94" w:rsidRPr="00885AB3">
        <w:rPr>
          <w:iCs/>
        </w:rPr>
        <w:t xml:space="preserve"> trial </w:t>
      </w:r>
      <w:r w:rsidRPr="00885AB3">
        <w:rPr>
          <w:iCs/>
        </w:rPr>
        <w:t>population</w:t>
      </w:r>
      <w:r w:rsidR="009E3495" w:rsidRPr="00885AB3">
        <w:rPr>
          <w:iCs/>
        </w:rPr>
        <w:t xml:space="preserve"> </w:t>
      </w:r>
      <w:r w:rsidR="00F21535" w:rsidRPr="00885AB3">
        <w:rPr>
          <w:iCs/>
        </w:rPr>
        <w:t>may not be</w:t>
      </w:r>
      <w:r w:rsidR="009E3495" w:rsidRPr="00885AB3">
        <w:rPr>
          <w:iCs/>
        </w:rPr>
        <w:t xml:space="preserve"> applicable</w:t>
      </w:r>
      <w:r w:rsidR="00C21F94" w:rsidRPr="00885AB3">
        <w:rPr>
          <w:iCs/>
        </w:rPr>
        <w:t xml:space="preserve"> to the proposed target population</w:t>
      </w:r>
      <w:r w:rsidR="00D513A2" w:rsidRPr="00885AB3">
        <w:rPr>
          <w:iCs/>
        </w:rPr>
        <w:t xml:space="preserve"> (</w:t>
      </w:r>
      <w:r w:rsidR="00EF2FA4">
        <w:rPr>
          <w:iCs/>
        </w:rPr>
        <w:t xml:space="preserve">≥ </w:t>
      </w:r>
      <w:r w:rsidR="00D513A2" w:rsidRPr="00885AB3">
        <w:rPr>
          <w:iCs/>
        </w:rPr>
        <w:t>75 YOA)</w:t>
      </w:r>
      <w:r w:rsidR="00C21F94" w:rsidRPr="00885AB3">
        <w:rPr>
          <w:iCs/>
        </w:rPr>
        <w:t xml:space="preserve"> given the low proportion of trial participants </w:t>
      </w:r>
      <w:r w:rsidR="00EF2FA4">
        <w:rPr>
          <w:iCs/>
        </w:rPr>
        <w:t xml:space="preserve">≥ </w:t>
      </w:r>
      <w:r w:rsidR="00C21F94" w:rsidRPr="00885AB3">
        <w:rPr>
          <w:iCs/>
        </w:rPr>
        <w:t>75 YOA</w:t>
      </w:r>
      <w:r w:rsidR="00762794" w:rsidRPr="00885AB3">
        <w:rPr>
          <w:iCs/>
        </w:rPr>
        <w:t xml:space="preserve"> (18%).</w:t>
      </w:r>
    </w:p>
    <w:bookmarkEnd w:id="103"/>
    <w:p w14:paraId="1F41CD3A" w14:textId="784F41C8" w:rsidR="003514B5" w:rsidRPr="00885AB3" w:rsidRDefault="006A1AFC" w:rsidP="00120D61">
      <w:pPr>
        <w:pStyle w:val="3-BodyText"/>
        <w:rPr>
          <w:iCs/>
        </w:rPr>
      </w:pPr>
      <w:r w:rsidRPr="00885AB3">
        <w:rPr>
          <w:rFonts w:eastAsia="Calibri"/>
          <w:iCs/>
        </w:rPr>
        <w:t xml:space="preserve">The submission described </w:t>
      </w:r>
      <w:r w:rsidRPr="00885AB3">
        <w:rPr>
          <w:iCs/>
          <w:lang w:eastAsia="en-US"/>
        </w:rPr>
        <w:t xml:space="preserve">mRNA-1345 </w:t>
      </w:r>
      <w:r w:rsidRPr="00885AB3">
        <w:rPr>
          <w:rFonts w:eastAsia="Calibri"/>
          <w:iCs/>
        </w:rPr>
        <w:t xml:space="preserve">as inferior, but with a well-tolerated safety profile compared to </w:t>
      </w:r>
      <w:r w:rsidRPr="00885AB3">
        <w:rPr>
          <w:iCs/>
        </w:rPr>
        <w:t xml:space="preserve">placebo. </w:t>
      </w:r>
      <w:r w:rsidR="00B45745" w:rsidRPr="00885AB3">
        <w:rPr>
          <w:iCs/>
        </w:rPr>
        <w:t>The</w:t>
      </w:r>
      <w:r w:rsidR="000E2B35" w:rsidRPr="00885AB3">
        <w:rPr>
          <w:iCs/>
        </w:rPr>
        <w:t xml:space="preserve"> PBAC agreed with the</w:t>
      </w:r>
      <w:r w:rsidR="00B45745" w:rsidRPr="00885AB3">
        <w:rPr>
          <w:iCs/>
        </w:rPr>
        <w:t xml:space="preserve"> evaluation that t</w:t>
      </w:r>
      <w:r w:rsidRPr="00885AB3">
        <w:rPr>
          <w:iCs/>
        </w:rPr>
        <w:t>his claim was adequately supported by the available evidence.</w:t>
      </w:r>
    </w:p>
    <w:p w14:paraId="4C95129C" w14:textId="3B9F9C1F" w:rsidR="006A1AFC" w:rsidRPr="00885AB3" w:rsidRDefault="000B3087" w:rsidP="00120D61">
      <w:pPr>
        <w:pStyle w:val="5-SubsectionSubheading"/>
      </w:pPr>
      <w:bookmarkStart w:id="108" w:name="_Toc208998514"/>
      <w:r w:rsidRPr="00885AB3">
        <w:rPr>
          <w:lang w:eastAsia="en-US"/>
        </w:rPr>
        <w:t xml:space="preserve">Indirect treatment comparison: </w:t>
      </w:r>
      <w:r w:rsidR="006A1AFC" w:rsidRPr="00885AB3">
        <w:rPr>
          <w:lang w:eastAsia="en-US"/>
        </w:rPr>
        <w:t xml:space="preserve">mRNA-1345 </w:t>
      </w:r>
      <w:r w:rsidR="006A1AFC" w:rsidRPr="00885AB3">
        <w:t xml:space="preserve">versus </w:t>
      </w:r>
      <w:proofErr w:type="spellStart"/>
      <w:r w:rsidR="006A1AFC" w:rsidRPr="00885AB3">
        <w:rPr>
          <w:lang w:eastAsia="en-US"/>
        </w:rPr>
        <w:t>RSVPreF</w:t>
      </w:r>
      <w:proofErr w:type="spellEnd"/>
      <w:r w:rsidR="006A1AFC" w:rsidRPr="00885AB3">
        <w:rPr>
          <w:lang w:eastAsia="en-US"/>
        </w:rPr>
        <w:t xml:space="preserve"> and RSVPreF3 OA</w:t>
      </w:r>
      <w:bookmarkEnd w:id="101"/>
      <w:bookmarkEnd w:id="108"/>
      <w:r w:rsidR="006A1AFC" w:rsidRPr="00885AB3">
        <w:t xml:space="preserve"> </w:t>
      </w:r>
      <w:bookmarkEnd w:id="102"/>
    </w:p>
    <w:p w14:paraId="6D7CB73E" w14:textId="68300332" w:rsidR="002E135C" w:rsidRPr="00885AB3" w:rsidRDefault="006A1AFC" w:rsidP="00120D61">
      <w:pPr>
        <w:pStyle w:val="3-BodyText"/>
        <w:rPr>
          <w:rFonts w:eastAsia="Calibri"/>
          <w:iCs/>
        </w:rPr>
      </w:pPr>
      <w:bookmarkStart w:id="109" w:name="_Ref210925576"/>
      <w:r w:rsidRPr="00885AB3">
        <w:rPr>
          <w:rFonts w:eastAsia="Calibri"/>
        </w:rPr>
        <w:t xml:space="preserve">The submission claimed that </w:t>
      </w:r>
      <w:r w:rsidRPr="00885AB3">
        <w:t xml:space="preserve">for adults </w:t>
      </w:r>
      <w:r w:rsidR="00EF2FA4">
        <w:t xml:space="preserve">≥ </w:t>
      </w:r>
      <w:r w:rsidRPr="00885AB3">
        <w:t xml:space="preserve">75 YOA and Aboriginal and Torres Strait Islander people </w:t>
      </w:r>
      <w:r w:rsidR="001C78D7">
        <w:rPr>
          <w:u w:val="single"/>
        </w:rPr>
        <w:t xml:space="preserve">&gt; </w:t>
      </w:r>
      <w:r w:rsidRPr="00885AB3">
        <w:t>60 YOA,</w:t>
      </w:r>
      <w:r w:rsidRPr="00885AB3">
        <w:rPr>
          <w:rFonts w:eastAsia="Calibri"/>
        </w:rPr>
        <w:t xml:space="preserve"> </w:t>
      </w:r>
      <w:r w:rsidRPr="00885AB3">
        <w:rPr>
          <w:lang w:eastAsia="en-US"/>
        </w:rPr>
        <w:t xml:space="preserve">mRNA-1345 </w:t>
      </w:r>
      <w:r w:rsidRPr="00885AB3">
        <w:rPr>
          <w:rFonts w:eastAsia="Calibri"/>
        </w:rPr>
        <w:t xml:space="preserve">is non-inferior in terms of efficacy compared to </w:t>
      </w:r>
      <w:proofErr w:type="spellStart"/>
      <w:r w:rsidRPr="00885AB3">
        <w:rPr>
          <w:rFonts w:eastAsia="Calibri"/>
        </w:rPr>
        <w:t>RSVPreF</w:t>
      </w:r>
      <w:proofErr w:type="spellEnd"/>
      <w:r w:rsidRPr="00885AB3">
        <w:rPr>
          <w:rFonts w:eastAsia="Calibri"/>
        </w:rPr>
        <w:t xml:space="preserve"> and RSVPreF3 OA. </w:t>
      </w:r>
      <w:r w:rsidR="00F90912" w:rsidRPr="00885AB3">
        <w:rPr>
          <w:rFonts w:eastAsia="Calibri"/>
        </w:rPr>
        <w:t>The sponsor’s revision</w:t>
      </w:r>
      <w:r w:rsidR="00DB365F" w:rsidRPr="00885AB3">
        <w:rPr>
          <w:rFonts w:eastAsia="Calibri"/>
        </w:rPr>
        <w:t xml:space="preserve"> of the</w:t>
      </w:r>
      <w:r w:rsidR="008D63F1" w:rsidRPr="00885AB3">
        <w:rPr>
          <w:rFonts w:eastAsia="Calibri"/>
        </w:rPr>
        <w:t xml:space="preserve"> non-inferiority</w:t>
      </w:r>
      <w:r w:rsidR="00DB365F" w:rsidRPr="00885AB3">
        <w:rPr>
          <w:rFonts w:eastAsia="Calibri"/>
        </w:rPr>
        <w:t xml:space="preserve"> clinical claim</w:t>
      </w:r>
      <w:r w:rsidR="002A10B3" w:rsidRPr="00885AB3">
        <w:rPr>
          <w:rFonts w:eastAsia="Calibri"/>
        </w:rPr>
        <w:t>,</w:t>
      </w:r>
      <w:r w:rsidR="00DB365F" w:rsidRPr="00885AB3">
        <w:rPr>
          <w:rFonts w:eastAsia="Calibri"/>
        </w:rPr>
        <w:t xml:space="preserve"> as </w:t>
      </w:r>
      <w:r w:rsidR="00E8528F" w:rsidRPr="00885AB3">
        <w:rPr>
          <w:rFonts w:eastAsia="Calibri"/>
        </w:rPr>
        <w:t>described in the PSCR and Pre-PBAC response</w:t>
      </w:r>
      <w:r w:rsidR="002A10B3" w:rsidRPr="00885AB3">
        <w:rPr>
          <w:rFonts w:eastAsia="Calibri"/>
        </w:rPr>
        <w:t>,</w:t>
      </w:r>
      <w:r w:rsidR="00E8528F" w:rsidRPr="00885AB3">
        <w:rPr>
          <w:rFonts w:eastAsia="Calibri"/>
        </w:rPr>
        <w:t xml:space="preserve"> is </w:t>
      </w:r>
      <w:r w:rsidR="00CD33DE" w:rsidRPr="00885AB3">
        <w:rPr>
          <w:rFonts w:eastAsia="Calibri"/>
        </w:rPr>
        <w:t>noted</w:t>
      </w:r>
      <w:r w:rsidR="00E8528F" w:rsidRPr="00885AB3">
        <w:rPr>
          <w:rFonts w:eastAsia="Calibri"/>
        </w:rPr>
        <w:t xml:space="preserve"> in paragraph </w:t>
      </w:r>
      <w:r w:rsidR="00C61797" w:rsidRPr="00885AB3">
        <w:rPr>
          <w:rFonts w:eastAsia="Calibri"/>
        </w:rPr>
        <w:fldChar w:fldCharType="begin" w:fldLock="1"/>
      </w:r>
      <w:r w:rsidR="00C61797" w:rsidRPr="00885AB3">
        <w:rPr>
          <w:rFonts w:eastAsia="Calibri"/>
        </w:rPr>
        <w:instrText xml:space="preserve"> REF _Ref213338500 \r \h  \* MERGEFORMAT </w:instrText>
      </w:r>
      <w:r w:rsidR="00C61797" w:rsidRPr="00885AB3">
        <w:rPr>
          <w:rFonts w:eastAsia="Calibri"/>
        </w:rPr>
      </w:r>
      <w:r w:rsidR="00C61797" w:rsidRPr="00885AB3">
        <w:rPr>
          <w:rFonts w:eastAsia="Calibri"/>
        </w:rPr>
        <w:fldChar w:fldCharType="separate"/>
      </w:r>
      <w:r w:rsidR="00515933" w:rsidRPr="00885AB3">
        <w:rPr>
          <w:rFonts w:eastAsia="Calibri"/>
        </w:rPr>
        <w:t>6.62</w:t>
      </w:r>
      <w:r w:rsidR="00C61797" w:rsidRPr="00885AB3">
        <w:rPr>
          <w:rFonts w:eastAsia="Calibri"/>
        </w:rPr>
        <w:fldChar w:fldCharType="end"/>
      </w:r>
      <w:r w:rsidR="00C61797" w:rsidRPr="00885AB3">
        <w:rPr>
          <w:rFonts w:eastAsia="Calibri"/>
        </w:rPr>
        <w:t>.</w:t>
      </w:r>
    </w:p>
    <w:p w14:paraId="0DF7BF92" w14:textId="517415FF" w:rsidR="006A1AFC" w:rsidRPr="00885AB3" w:rsidRDefault="006A1AFC" w:rsidP="00120D61">
      <w:pPr>
        <w:pStyle w:val="3-BodyText"/>
        <w:rPr>
          <w:rFonts w:eastAsia="Calibri"/>
          <w:iCs/>
        </w:rPr>
      </w:pPr>
      <w:r w:rsidRPr="00885AB3">
        <w:rPr>
          <w:rFonts w:eastAsia="Calibri"/>
          <w:iCs/>
        </w:rPr>
        <w:t>Th</w:t>
      </w:r>
      <w:r w:rsidR="00A6660A" w:rsidRPr="00885AB3">
        <w:rPr>
          <w:rFonts w:eastAsia="Calibri"/>
          <w:iCs/>
        </w:rPr>
        <w:t xml:space="preserve">e </w:t>
      </w:r>
      <w:r w:rsidR="007C20A5" w:rsidRPr="00885AB3">
        <w:rPr>
          <w:rFonts w:eastAsia="Calibri"/>
          <w:iCs/>
        </w:rPr>
        <w:t xml:space="preserve">ESC agreed with the </w:t>
      </w:r>
      <w:r w:rsidR="00A6660A" w:rsidRPr="00885AB3">
        <w:rPr>
          <w:rFonts w:eastAsia="Calibri"/>
          <w:iCs/>
        </w:rPr>
        <w:t>evaluation that th</w:t>
      </w:r>
      <w:r w:rsidRPr="00885AB3">
        <w:rPr>
          <w:rFonts w:eastAsia="Calibri"/>
          <w:iCs/>
        </w:rPr>
        <w:t>is claim was not adequately supported, because:</w:t>
      </w:r>
      <w:bookmarkEnd w:id="109"/>
    </w:p>
    <w:p w14:paraId="45497138" w14:textId="23B959AA" w:rsidR="00B40422" w:rsidRPr="00885AB3" w:rsidRDefault="006A1AFC" w:rsidP="00120D61">
      <w:pPr>
        <w:pStyle w:val="ListParagraph"/>
        <w:numPr>
          <w:ilvl w:val="0"/>
          <w:numId w:val="15"/>
        </w:numPr>
        <w:jc w:val="both"/>
        <w:rPr>
          <w:iCs/>
        </w:rPr>
      </w:pPr>
      <w:r w:rsidRPr="00885AB3">
        <w:rPr>
          <w:iCs/>
        </w:rPr>
        <w:t>The ITCs relied on sub-group analyses from</w:t>
      </w:r>
      <w:r w:rsidR="00770400" w:rsidRPr="00885AB3">
        <w:rPr>
          <w:iCs/>
        </w:rPr>
        <w:t xml:space="preserve"> the</w:t>
      </w:r>
      <w:r w:rsidRPr="00885AB3">
        <w:rPr>
          <w:iCs/>
        </w:rPr>
        <w:t xml:space="preserve"> </w:t>
      </w:r>
      <w:proofErr w:type="spellStart"/>
      <w:r w:rsidRPr="00885AB3">
        <w:rPr>
          <w:iCs/>
        </w:rPr>
        <w:t>ConquerRSV</w:t>
      </w:r>
      <w:proofErr w:type="spellEnd"/>
      <w:r w:rsidR="00376E66" w:rsidRPr="00885AB3">
        <w:rPr>
          <w:iCs/>
        </w:rPr>
        <w:t xml:space="preserve"> (</w:t>
      </w:r>
      <w:r w:rsidR="00376E66" w:rsidRPr="00885AB3">
        <w:rPr>
          <w:iCs/>
          <w:lang w:eastAsia="en-US"/>
        </w:rPr>
        <w:t>mRNA-1345)</w:t>
      </w:r>
      <w:r w:rsidRPr="00885AB3">
        <w:rPr>
          <w:iCs/>
        </w:rPr>
        <w:t>, RENOIR</w:t>
      </w:r>
      <w:r w:rsidR="008A192B" w:rsidRPr="00885AB3">
        <w:rPr>
          <w:iCs/>
        </w:rPr>
        <w:t xml:space="preserve"> (</w:t>
      </w:r>
      <w:proofErr w:type="spellStart"/>
      <w:r w:rsidR="00877CA2" w:rsidRPr="00885AB3">
        <w:rPr>
          <w:iCs/>
        </w:rPr>
        <w:t>RSVPreF</w:t>
      </w:r>
      <w:proofErr w:type="spellEnd"/>
      <w:r w:rsidR="008A192B" w:rsidRPr="00885AB3">
        <w:rPr>
          <w:iCs/>
        </w:rPr>
        <w:t>),</w:t>
      </w:r>
      <w:r w:rsidRPr="00885AB3">
        <w:rPr>
          <w:iCs/>
        </w:rPr>
        <w:t xml:space="preserve"> and AReSVi-006</w:t>
      </w:r>
      <w:r w:rsidR="008A192B" w:rsidRPr="00885AB3">
        <w:rPr>
          <w:iCs/>
        </w:rPr>
        <w:t xml:space="preserve"> (</w:t>
      </w:r>
      <w:r w:rsidR="00731B9F" w:rsidRPr="00885AB3">
        <w:rPr>
          <w:iCs/>
        </w:rPr>
        <w:t>RSVPreF3 OA</w:t>
      </w:r>
      <w:r w:rsidR="008A192B" w:rsidRPr="00885AB3">
        <w:rPr>
          <w:iCs/>
        </w:rPr>
        <w:t>)</w:t>
      </w:r>
      <w:r w:rsidR="00770400" w:rsidRPr="00885AB3">
        <w:rPr>
          <w:iCs/>
        </w:rPr>
        <w:t xml:space="preserve"> trials</w:t>
      </w:r>
      <w:r w:rsidRPr="00885AB3">
        <w:rPr>
          <w:iCs/>
        </w:rPr>
        <w:t>. These subgroups had small sample sizes (relative to the overall trial samples</w:t>
      </w:r>
      <w:r w:rsidR="00D31D09" w:rsidRPr="00885AB3">
        <w:rPr>
          <w:iCs/>
        </w:rPr>
        <w:t xml:space="preserve">: </w:t>
      </w:r>
      <w:r w:rsidR="00D31D09" w:rsidRPr="00885AB3">
        <w:rPr>
          <w:rFonts w:cs="Calibri"/>
          <w:iCs/>
        </w:rPr>
        <w:t xml:space="preserve">18% in </w:t>
      </w:r>
      <w:proofErr w:type="spellStart"/>
      <w:r w:rsidR="00D31D09" w:rsidRPr="00885AB3">
        <w:rPr>
          <w:rFonts w:cs="Calibri"/>
          <w:iCs/>
        </w:rPr>
        <w:t>ConquerRSV</w:t>
      </w:r>
      <w:proofErr w:type="spellEnd"/>
      <w:r w:rsidR="00D31D09" w:rsidRPr="00885AB3">
        <w:rPr>
          <w:rFonts w:cs="Calibri"/>
          <w:iCs/>
        </w:rPr>
        <w:t>, 16% in RENOIR</w:t>
      </w:r>
      <w:r w:rsidR="000F6B5F" w:rsidRPr="00885AB3">
        <w:rPr>
          <w:rFonts w:cs="Calibri"/>
          <w:iCs/>
        </w:rPr>
        <w:t>,</w:t>
      </w:r>
      <w:r w:rsidR="00D31D09" w:rsidRPr="00885AB3">
        <w:rPr>
          <w:rFonts w:cs="Calibri"/>
          <w:iCs/>
        </w:rPr>
        <w:t xml:space="preserve"> and 21% in AReSVi-006</w:t>
      </w:r>
      <w:r w:rsidRPr="00885AB3">
        <w:rPr>
          <w:iCs/>
        </w:rPr>
        <w:t>) and a limited number of RSV cases that resulted in wide confidence intervals, precluding robust conclusions and raising concerns about statistical reliability of the ITCs</w:t>
      </w:r>
      <w:r w:rsidR="0035648F" w:rsidRPr="00885AB3">
        <w:rPr>
          <w:iCs/>
        </w:rPr>
        <w:t xml:space="preserve"> (</w:t>
      </w:r>
      <w:r w:rsidR="0035648F" w:rsidRPr="00885AB3">
        <w:rPr>
          <w:rFonts w:cs="Calibri"/>
          <w:iCs/>
        </w:rPr>
        <w:t xml:space="preserve">paragraph </w:t>
      </w:r>
      <w:r w:rsidR="0035648F" w:rsidRPr="00885AB3">
        <w:rPr>
          <w:rFonts w:cs="Calibri"/>
          <w:iCs/>
        </w:rPr>
        <w:fldChar w:fldCharType="begin" w:fldLock="1"/>
      </w:r>
      <w:r w:rsidR="0035648F" w:rsidRPr="00885AB3">
        <w:rPr>
          <w:rFonts w:cs="Calibri"/>
          <w:iCs/>
        </w:rPr>
        <w:instrText xml:space="preserve"> REF _Ref211333924 \r \h  \* MERGEFORMAT </w:instrText>
      </w:r>
      <w:r w:rsidR="0035648F" w:rsidRPr="00885AB3">
        <w:rPr>
          <w:rFonts w:cs="Calibri"/>
          <w:iCs/>
        </w:rPr>
      </w:r>
      <w:r w:rsidR="0035648F" w:rsidRPr="00885AB3">
        <w:rPr>
          <w:rFonts w:cs="Calibri"/>
          <w:iCs/>
        </w:rPr>
        <w:fldChar w:fldCharType="separate"/>
      </w:r>
      <w:r w:rsidR="00515933" w:rsidRPr="00885AB3">
        <w:rPr>
          <w:rFonts w:cs="Calibri"/>
          <w:iCs/>
        </w:rPr>
        <w:t>6.32</w:t>
      </w:r>
      <w:r w:rsidR="0035648F" w:rsidRPr="00885AB3">
        <w:rPr>
          <w:rFonts w:cs="Calibri"/>
          <w:iCs/>
        </w:rPr>
        <w:fldChar w:fldCharType="end"/>
      </w:r>
      <w:r w:rsidR="0035648F" w:rsidRPr="00885AB3">
        <w:rPr>
          <w:rFonts w:cs="Calibri"/>
          <w:iCs/>
        </w:rPr>
        <w:t>)</w:t>
      </w:r>
      <w:r w:rsidRPr="00885AB3">
        <w:rPr>
          <w:iCs/>
        </w:rPr>
        <w:t>.</w:t>
      </w:r>
    </w:p>
    <w:p w14:paraId="780841F1" w14:textId="08A0C859" w:rsidR="006A1AFC" w:rsidRPr="00885AB3" w:rsidRDefault="006A1AFC" w:rsidP="00120D61">
      <w:pPr>
        <w:pStyle w:val="ListParagraph"/>
        <w:numPr>
          <w:ilvl w:val="0"/>
          <w:numId w:val="15"/>
        </w:numPr>
        <w:jc w:val="both"/>
        <w:rPr>
          <w:rFonts w:cs="Calibri"/>
          <w:iCs/>
        </w:rPr>
      </w:pPr>
      <w:r w:rsidRPr="00885AB3">
        <w:rPr>
          <w:iCs/>
        </w:rPr>
        <w:t xml:space="preserve">The long-term analyses (Scenario 3: median follow-up of 18.8 months for mRNA-1345, 16.4 months for </w:t>
      </w:r>
      <w:proofErr w:type="spellStart"/>
      <w:r w:rsidRPr="00885AB3">
        <w:rPr>
          <w:iCs/>
        </w:rPr>
        <w:t>RSVPreF</w:t>
      </w:r>
      <w:proofErr w:type="spellEnd"/>
      <w:r w:rsidRPr="00885AB3">
        <w:rPr>
          <w:iCs/>
        </w:rPr>
        <w:t xml:space="preserve">, and 17.8 months for RSVPreF3 OA), which are the most informative for the long-term comparative assessment of efficacy, consistently yielded point estimates favouring </w:t>
      </w:r>
      <w:proofErr w:type="spellStart"/>
      <w:r w:rsidR="000D1C47" w:rsidRPr="00885AB3">
        <w:rPr>
          <w:iCs/>
        </w:rPr>
        <w:t>RSVPreF</w:t>
      </w:r>
      <w:proofErr w:type="spellEnd"/>
      <w:r w:rsidR="000D1C47" w:rsidRPr="00885AB3">
        <w:rPr>
          <w:iCs/>
        </w:rPr>
        <w:t xml:space="preserve"> and RSVPreF3 OA</w:t>
      </w:r>
      <w:r w:rsidR="000D1C47" w:rsidRPr="00885AB3" w:rsidDel="000D1C47">
        <w:rPr>
          <w:iCs/>
        </w:rPr>
        <w:t xml:space="preserve"> </w:t>
      </w:r>
      <w:r w:rsidRPr="00885AB3">
        <w:rPr>
          <w:iCs/>
        </w:rPr>
        <w:t xml:space="preserve">over </w:t>
      </w:r>
      <w:r w:rsidR="000D1C47" w:rsidRPr="00885AB3">
        <w:rPr>
          <w:iCs/>
        </w:rPr>
        <w:t>mRNA-1345</w:t>
      </w:r>
      <w:r w:rsidRPr="00885AB3">
        <w:rPr>
          <w:iCs/>
        </w:rPr>
        <w:t>across all outcomes evaluated</w:t>
      </w:r>
      <w:r w:rsidR="00A65A39" w:rsidRPr="00885AB3">
        <w:rPr>
          <w:iCs/>
        </w:rPr>
        <w:t xml:space="preserve"> for the </w:t>
      </w:r>
      <w:r w:rsidR="00EF2FA4">
        <w:rPr>
          <w:iCs/>
        </w:rPr>
        <w:t xml:space="preserve">≥ </w:t>
      </w:r>
      <w:r w:rsidR="00A65A39" w:rsidRPr="00885AB3">
        <w:rPr>
          <w:iCs/>
        </w:rPr>
        <w:t>75 YOA population</w:t>
      </w:r>
      <w:r w:rsidR="00AC489F" w:rsidRPr="00885AB3">
        <w:rPr>
          <w:iCs/>
        </w:rPr>
        <w:t xml:space="preserve"> (</w:t>
      </w:r>
      <w:r w:rsidR="00AC489F" w:rsidRPr="00885AB3">
        <w:rPr>
          <w:iCs/>
        </w:rPr>
        <w:fldChar w:fldCharType="begin" w:fldLock="1"/>
      </w:r>
      <w:r w:rsidR="00AC489F" w:rsidRPr="00885AB3">
        <w:rPr>
          <w:iCs/>
        </w:rPr>
        <w:instrText xml:space="preserve"> REF _Ref208304196 \h  \* MERGEFORMAT </w:instrText>
      </w:r>
      <w:r w:rsidR="00AC489F" w:rsidRPr="00885AB3">
        <w:rPr>
          <w:iCs/>
        </w:rPr>
      </w:r>
      <w:r w:rsidR="00AC489F" w:rsidRPr="00885AB3">
        <w:rPr>
          <w:iCs/>
        </w:rPr>
        <w:fldChar w:fldCharType="separate"/>
      </w:r>
      <w:r w:rsidR="00515933" w:rsidRPr="00885AB3">
        <w:rPr>
          <w:iCs/>
        </w:rPr>
        <w:t>Table 11</w:t>
      </w:r>
      <w:r w:rsidR="00AC489F" w:rsidRPr="00885AB3">
        <w:rPr>
          <w:iCs/>
        </w:rPr>
        <w:fldChar w:fldCharType="end"/>
      </w:r>
      <w:r w:rsidR="00AC489F" w:rsidRPr="00885AB3">
        <w:rPr>
          <w:iCs/>
        </w:rPr>
        <w:t>)</w:t>
      </w:r>
      <w:r w:rsidRPr="00885AB3">
        <w:rPr>
          <w:iCs/>
        </w:rPr>
        <w:t>. Given the lack of a formal non-inferiority margin</w:t>
      </w:r>
      <w:r w:rsidR="00E8430E" w:rsidRPr="00885AB3">
        <w:rPr>
          <w:iCs/>
        </w:rPr>
        <w:t>,</w:t>
      </w:r>
      <w:r w:rsidRPr="00885AB3">
        <w:rPr>
          <w:iCs/>
        </w:rPr>
        <w:t xml:space="preserve"> the possibility </w:t>
      </w:r>
      <w:r w:rsidRPr="00885AB3">
        <w:rPr>
          <w:rFonts w:cs="Calibri"/>
          <w:iCs/>
        </w:rPr>
        <w:t xml:space="preserve">that mRNA-1345 provides less protection than </w:t>
      </w:r>
      <w:proofErr w:type="spellStart"/>
      <w:r w:rsidRPr="00885AB3">
        <w:rPr>
          <w:rFonts w:cs="Calibri"/>
          <w:iCs/>
        </w:rPr>
        <w:t>RSVPreF</w:t>
      </w:r>
      <w:proofErr w:type="spellEnd"/>
      <w:r w:rsidRPr="00885AB3">
        <w:rPr>
          <w:rFonts w:cs="Calibri"/>
          <w:iCs/>
        </w:rPr>
        <w:t xml:space="preserve"> and RSVPreF3 OA against the presented outcomes cannot be ruled out.</w:t>
      </w:r>
    </w:p>
    <w:p w14:paraId="4DB93CB8" w14:textId="047CF11F" w:rsidR="00924959" w:rsidRPr="00885AB3" w:rsidRDefault="006A1AFC" w:rsidP="00120D61">
      <w:pPr>
        <w:pStyle w:val="ListParagraph"/>
        <w:numPr>
          <w:ilvl w:val="0"/>
          <w:numId w:val="15"/>
        </w:numPr>
        <w:jc w:val="both"/>
        <w:rPr>
          <w:iCs/>
        </w:rPr>
      </w:pPr>
      <w:r w:rsidRPr="00885AB3">
        <w:rPr>
          <w:rFonts w:cs="Calibri"/>
          <w:iCs/>
        </w:rPr>
        <w:t>The outcomes reported and used in the ITC for</w:t>
      </w:r>
      <w:r w:rsidR="00172B04" w:rsidRPr="00885AB3">
        <w:rPr>
          <w:rFonts w:cs="Calibri"/>
          <w:iCs/>
        </w:rPr>
        <w:t xml:space="preserve"> </w:t>
      </w:r>
      <w:r w:rsidR="00EF2FA4">
        <w:rPr>
          <w:rFonts w:cs="Calibri"/>
          <w:iCs/>
        </w:rPr>
        <w:t xml:space="preserve">≥ </w:t>
      </w:r>
      <w:r w:rsidRPr="00885AB3">
        <w:rPr>
          <w:rFonts w:cs="Calibri"/>
          <w:iCs/>
        </w:rPr>
        <w:t xml:space="preserve">75 YOA population in </w:t>
      </w:r>
      <w:r w:rsidR="00FF0C14" w:rsidRPr="00885AB3">
        <w:rPr>
          <w:rFonts w:cs="Calibri"/>
          <w:iCs/>
        </w:rPr>
        <w:t xml:space="preserve">the </w:t>
      </w:r>
      <w:r w:rsidRPr="00885AB3">
        <w:rPr>
          <w:rFonts w:cs="Calibri"/>
          <w:iCs/>
        </w:rPr>
        <w:t>RENOIR</w:t>
      </w:r>
      <w:r w:rsidR="00FF0C14" w:rsidRPr="00885AB3">
        <w:rPr>
          <w:rFonts w:cs="Calibri"/>
          <w:iCs/>
        </w:rPr>
        <w:t xml:space="preserve"> trial</w:t>
      </w:r>
      <w:r w:rsidRPr="00885AB3">
        <w:rPr>
          <w:rFonts w:cs="Calibri"/>
          <w:iCs/>
        </w:rPr>
        <w:t xml:space="preserve"> were based on the subset of outcomes that were medically attended</w:t>
      </w:r>
      <w:r w:rsidR="00E608FA" w:rsidRPr="00885AB3">
        <w:rPr>
          <w:rFonts w:cs="Calibri"/>
          <w:iCs/>
        </w:rPr>
        <w:t xml:space="preserve">, whereas </w:t>
      </w:r>
      <w:r w:rsidR="00805E74" w:rsidRPr="00885AB3">
        <w:rPr>
          <w:rFonts w:cs="Calibri"/>
          <w:iCs/>
        </w:rPr>
        <w:t>the corresponding outcomes reported in</w:t>
      </w:r>
      <w:r w:rsidR="00FF0C14" w:rsidRPr="00885AB3">
        <w:rPr>
          <w:rFonts w:cs="Calibri"/>
          <w:iCs/>
        </w:rPr>
        <w:t xml:space="preserve"> the</w:t>
      </w:r>
      <w:r w:rsidR="00805E74" w:rsidRPr="00885AB3">
        <w:rPr>
          <w:rFonts w:cs="Calibri"/>
          <w:iCs/>
        </w:rPr>
        <w:t xml:space="preserve"> </w:t>
      </w:r>
      <w:proofErr w:type="spellStart"/>
      <w:r w:rsidR="00805E74" w:rsidRPr="00885AB3">
        <w:rPr>
          <w:rFonts w:cs="Calibri"/>
          <w:iCs/>
        </w:rPr>
        <w:t>ConquerRSV</w:t>
      </w:r>
      <w:proofErr w:type="spellEnd"/>
      <w:r w:rsidR="00FF0C14" w:rsidRPr="00885AB3">
        <w:rPr>
          <w:rFonts w:cs="Calibri"/>
          <w:iCs/>
        </w:rPr>
        <w:t xml:space="preserve"> trial</w:t>
      </w:r>
      <w:r w:rsidR="00805E74" w:rsidRPr="00885AB3">
        <w:rPr>
          <w:rFonts w:cs="Calibri"/>
          <w:iCs/>
        </w:rPr>
        <w:t xml:space="preserve"> were not restricted to those medically attended</w:t>
      </w:r>
      <w:r w:rsidR="0095042B" w:rsidRPr="00885AB3">
        <w:rPr>
          <w:rFonts w:cs="Calibri"/>
          <w:iCs/>
        </w:rPr>
        <w:t xml:space="preserve"> (paragraph </w:t>
      </w:r>
      <w:r w:rsidR="0095042B" w:rsidRPr="00885AB3">
        <w:rPr>
          <w:rFonts w:cs="Calibri"/>
          <w:iCs/>
        </w:rPr>
        <w:fldChar w:fldCharType="begin" w:fldLock="1"/>
      </w:r>
      <w:r w:rsidR="0095042B" w:rsidRPr="00885AB3">
        <w:rPr>
          <w:rFonts w:cs="Calibri"/>
          <w:iCs/>
        </w:rPr>
        <w:instrText xml:space="preserve"> REF _Ref211333924 \r \h  \* MERGEFORMAT </w:instrText>
      </w:r>
      <w:r w:rsidR="0095042B" w:rsidRPr="00885AB3">
        <w:rPr>
          <w:rFonts w:cs="Calibri"/>
          <w:iCs/>
        </w:rPr>
      </w:r>
      <w:r w:rsidR="0095042B" w:rsidRPr="00885AB3">
        <w:rPr>
          <w:rFonts w:cs="Calibri"/>
          <w:iCs/>
        </w:rPr>
        <w:fldChar w:fldCharType="separate"/>
      </w:r>
      <w:r w:rsidR="00515933" w:rsidRPr="00885AB3">
        <w:rPr>
          <w:rFonts w:cs="Calibri"/>
          <w:iCs/>
        </w:rPr>
        <w:t>6.32</w:t>
      </w:r>
      <w:r w:rsidR="0095042B" w:rsidRPr="00885AB3">
        <w:rPr>
          <w:rFonts w:cs="Calibri"/>
          <w:iCs/>
        </w:rPr>
        <w:fldChar w:fldCharType="end"/>
      </w:r>
      <w:r w:rsidR="0095042B" w:rsidRPr="00885AB3">
        <w:rPr>
          <w:rFonts w:cs="Calibri"/>
          <w:iCs/>
        </w:rPr>
        <w:t>)</w:t>
      </w:r>
      <w:r w:rsidRPr="00885AB3">
        <w:rPr>
          <w:rFonts w:cs="Calibri"/>
          <w:iCs/>
        </w:rPr>
        <w:t>. This is likely to bias the ITC of mRNA</w:t>
      </w:r>
      <w:r w:rsidR="003B22D3" w:rsidRPr="00885AB3">
        <w:rPr>
          <w:rFonts w:cs="Calibri"/>
          <w:iCs/>
        </w:rPr>
        <w:noBreakHyphen/>
      </w:r>
      <w:r w:rsidRPr="00885AB3">
        <w:rPr>
          <w:rFonts w:cs="Calibri"/>
          <w:iCs/>
        </w:rPr>
        <w:t xml:space="preserve">1345 with </w:t>
      </w:r>
      <w:proofErr w:type="spellStart"/>
      <w:r w:rsidRPr="00885AB3">
        <w:rPr>
          <w:rFonts w:cs="Calibri"/>
          <w:iCs/>
        </w:rPr>
        <w:t>RSVPreF</w:t>
      </w:r>
      <w:proofErr w:type="spellEnd"/>
      <w:r w:rsidRPr="00885AB3">
        <w:rPr>
          <w:rFonts w:cs="Calibri"/>
          <w:iCs/>
        </w:rPr>
        <w:t>, however the direction and magnitude of bias remains unclear.</w:t>
      </w:r>
      <w:r w:rsidR="00B64B96" w:rsidRPr="00885AB3">
        <w:rPr>
          <w:rFonts w:cs="Calibri"/>
          <w:iCs/>
        </w:rPr>
        <w:t xml:space="preserve"> </w:t>
      </w:r>
    </w:p>
    <w:p w14:paraId="1C17CC3E" w14:textId="2976CD93" w:rsidR="006A1AFC" w:rsidRPr="00885AB3" w:rsidRDefault="006A1AFC" w:rsidP="00120D61">
      <w:pPr>
        <w:pStyle w:val="ListParagraph"/>
        <w:numPr>
          <w:ilvl w:val="0"/>
          <w:numId w:val="15"/>
        </w:numPr>
        <w:jc w:val="both"/>
        <w:rPr>
          <w:iCs/>
        </w:rPr>
      </w:pPr>
      <w:r w:rsidRPr="00885AB3">
        <w:rPr>
          <w:iCs/>
        </w:rPr>
        <w:t>There are</w:t>
      </w:r>
      <w:r w:rsidR="004E4DB0" w:rsidRPr="00885AB3">
        <w:rPr>
          <w:iCs/>
        </w:rPr>
        <w:t xml:space="preserve"> further</w:t>
      </w:r>
      <w:r w:rsidRPr="00885AB3">
        <w:rPr>
          <w:iCs/>
        </w:rPr>
        <w:t xml:space="preserve"> limitations related to the transitivity of the included population, with differences in the number of baseline comorbidities and differences in exposure to circulating RSV across </w:t>
      </w:r>
      <w:r w:rsidR="00442CE0" w:rsidRPr="00885AB3">
        <w:rPr>
          <w:iCs/>
        </w:rPr>
        <w:t>trials.</w:t>
      </w:r>
      <w:r w:rsidRPr="00885AB3">
        <w:rPr>
          <w:iCs/>
        </w:rPr>
        <w:t xml:space="preserve"> </w:t>
      </w:r>
    </w:p>
    <w:p w14:paraId="0FD20196" w14:textId="18EADA0C" w:rsidR="00DC60B6" w:rsidRPr="00885AB3" w:rsidRDefault="003D46C9" w:rsidP="00120D61">
      <w:pPr>
        <w:pStyle w:val="3-BodyText"/>
        <w:rPr>
          <w:rFonts w:eastAsia="Calibri"/>
          <w:iCs/>
        </w:rPr>
      </w:pPr>
      <w:r w:rsidRPr="00885AB3">
        <w:rPr>
          <w:iCs/>
        </w:rPr>
        <w:lastRenderedPageBreak/>
        <w:t>While t</w:t>
      </w:r>
      <w:r w:rsidR="006578A3" w:rsidRPr="00885AB3">
        <w:rPr>
          <w:iCs/>
        </w:rPr>
        <w:t>he PSCR maintained that the ITC for the NIP population</w:t>
      </w:r>
      <w:r w:rsidR="009957FB" w:rsidRPr="00885AB3">
        <w:rPr>
          <w:iCs/>
        </w:rPr>
        <w:t xml:space="preserve"> </w:t>
      </w:r>
      <w:r w:rsidR="00EF2FA4">
        <w:rPr>
          <w:iCs/>
        </w:rPr>
        <w:t xml:space="preserve">≥ </w:t>
      </w:r>
      <w:r w:rsidR="009957FB" w:rsidRPr="00885AB3">
        <w:rPr>
          <w:iCs/>
        </w:rPr>
        <w:t>75 YOA</w:t>
      </w:r>
      <w:r w:rsidR="006578A3" w:rsidRPr="00885AB3">
        <w:rPr>
          <w:iCs/>
        </w:rPr>
        <w:t xml:space="preserve"> demonstrates that there is no statistically significant difference between the vaccines for comparable outcome variables at each of the timepoints</w:t>
      </w:r>
      <w:r w:rsidR="00552FF1" w:rsidRPr="00885AB3">
        <w:rPr>
          <w:iCs/>
        </w:rPr>
        <w:t xml:space="preserve"> (</w:t>
      </w:r>
      <w:r w:rsidR="00393CDF" w:rsidRPr="00885AB3">
        <w:rPr>
          <w:iCs/>
        </w:rPr>
        <w:fldChar w:fldCharType="begin" w:fldLock="1"/>
      </w:r>
      <w:r w:rsidR="00393CDF" w:rsidRPr="00885AB3">
        <w:rPr>
          <w:iCs/>
        </w:rPr>
        <w:instrText xml:space="preserve"> REF _Ref208304196 \h  \* MERGEFORMAT </w:instrText>
      </w:r>
      <w:r w:rsidR="00393CDF" w:rsidRPr="00885AB3">
        <w:rPr>
          <w:iCs/>
        </w:rPr>
      </w:r>
      <w:r w:rsidR="00393CDF" w:rsidRPr="00885AB3">
        <w:rPr>
          <w:iCs/>
        </w:rPr>
        <w:fldChar w:fldCharType="separate"/>
      </w:r>
      <w:r w:rsidR="00515933" w:rsidRPr="00885AB3">
        <w:rPr>
          <w:iCs/>
        </w:rPr>
        <w:t>Table 11</w:t>
      </w:r>
      <w:r w:rsidR="00393CDF" w:rsidRPr="00885AB3">
        <w:rPr>
          <w:iCs/>
        </w:rPr>
        <w:fldChar w:fldCharType="end"/>
      </w:r>
      <w:r w:rsidR="00393CDF" w:rsidRPr="00885AB3">
        <w:rPr>
          <w:iCs/>
        </w:rPr>
        <w:t>)</w:t>
      </w:r>
      <w:r w:rsidR="00EC062F" w:rsidRPr="00885AB3">
        <w:rPr>
          <w:iCs/>
        </w:rPr>
        <w:t xml:space="preserve">, it also </w:t>
      </w:r>
      <w:r w:rsidRPr="00885AB3">
        <w:rPr>
          <w:iCs/>
        </w:rPr>
        <w:t>acknowledged</w:t>
      </w:r>
      <w:r w:rsidR="00EC062F" w:rsidRPr="00885AB3">
        <w:rPr>
          <w:iCs/>
        </w:rPr>
        <w:t xml:space="preserve"> that </w:t>
      </w:r>
      <w:r w:rsidR="001B484B" w:rsidRPr="00885AB3">
        <w:rPr>
          <w:iCs/>
        </w:rPr>
        <w:t>demonstrating non-inferiority</w:t>
      </w:r>
      <w:r w:rsidR="00B2095E" w:rsidRPr="00885AB3">
        <w:rPr>
          <w:iCs/>
        </w:rPr>
        <w:t xml:space="preserve"> of</w:t>
      </w:r>
      <w:r w:rsidR="00784166" w:rsidRPr="00885AB3">
        <w:rPr>
          <w:iCs/>
        </w:rPr>
        <w:t xml:space="preserve"> </w:t>
      </w:r>
      <w:r w:rsidR="00784166" w:rsidRPr="00885AB3">
        <w:rPr>
          <w:lang w:eastAsia="en-US"/>
        </w:rPr>
        <w:t xml:space="preserve">mRNA-1345 </w:t>
      </w:r>
      <w:r w:rsidR="00784166" w:rsidRPr="00885AB3">
        <w:t xml:space="preserve">versus </w:t>
      </w:r>
      <w:proofErr w:type="spellStart"/>
      <w:r w:rsidR="00784166" w:rsidRPr="00885AB3">
        <w:rPr>
          <w:lang w:eastAsia="en-US"/>
        </w:rPr>
        <w:t>RSVPreF</w:t>
      </w:r>
      <w:proofErr w:type="spellEnd"/>
      <w:r w:rsidR="00784166" w:rsidRPr="00885AB3">
        <w:rPr>
          <w:lang w:eastAsia="en-US"/>
        </w:rPr>
        <w:t xml:space="preserve"> and RSVPreF3 OA</w:t>
      </w:r>
      <w:r w:rsidR="00B2095E" w:rsidRPr="00885AB3">
        <w:rPr>
          <w:iCs/>
        </w:rPr>
        <w:t xml:space="preserve"> </w:t>
      </w:r>
      <w:r w:rsidR="001B484B" w:rsidRPr="00885AB3">
        <w:rPr>
          <w:iCs/>
        </w:rPr>
        <w:t>is challenging (see paragraph</w:t>
      </w:r>
      <w:r w:rsidR="00827C81" w:rsidRPr="00885AB3">
        <w:rPr>
          <w:iCs/>
        </w:rPr>
        <w:t xml:space="preserve"> </w:t>
      </w:r>
      <w:r w:rsidR="00827C81" w:rsidRPr="00885AB3">
        <w:rPr>
          <w:iCs/>
        </w:rPr>
        <w:fldChar w:fldCharType="begin" w:fldLock="1"/>
      </w:r>
      <w:r w:rsidR="00827C81" w:rsidRPr="00885AB3">
        <w:rPr>
          <w:iCs/>
        </w:rPr>
        <w:instrText xml:space="preserve"> REF _Ref216179643 \r \h  \* MERGEFORMAT </w:instrText>
      </w:r>
      <w:r w:rsidR="00827C81" w:rsidRPr="00885AB3">
        <w:rPr>
          <w:iCs/>
        </w:rPr>
      </w:r>
      <w:r w:rsidR="00827C81" w:rsidRPr="00885AB3">
        <w:rPr>
          <w:iCs/>
        </w:rPr>
        <w:fldChar w:fldCharType="separate"/>
      </w:r>
      <w:r w:rsidR="00515933" w:rsidRPr="00885AB3">
        <w:rPr>
          <w:iCs/>
        </w:rPr>
        <w:t>6.61</w:t>
      </w:r>
      <w:r w:rsidR="00827C81" w:rsidRPr="00885AB3">
        <w:rPr>
          <w:iCs/>
        </w:rPr>
        <w:fldChar w:fldCharType="end"/>
      </w:r>
      <w:r w:rsidR="001B484B" w:rsidRPr="00885AB3">
        <w:rPr>
          <w:iCs/>
        </w:rPr>
        <w:t xml:space="preserve"> below)</w:t>
      </w:r>
      <w:r w:rsidR="006578A3" w:rsidRPr="00885AB3">
        <w:rPr>
          <w:iCs/>
        </w:rPr>
        <w:t>.</w:t>
      </w:r>
    </w:p>
    <w:p w14:paraId="6A77D2E4" w14:textId="33D14993" w:rsidR="00331185" w:rsidRPr="00885AB3" w:rsidRDefault="006A1AFC" w:rsidP="00120D61">
      <w:pPr>
        <w:pStyle w:val="3-BodyText"/>
        <w:rPr>
          <w:rFonts w:eastAsia="Calibri"/>
          <w:iCs/>
        </w:rPr>
      </w:pPr>
      <w:r w:rsidRPr="00885AB3">
        <w:rPr>
          <w:rFonts w:eastAsia="Calibri"/>
          <w:iCs/>
        </w:rPr>
        <w:t xml:space="preserve">The submission described </w:t>
      </w:r>
      <w:r w:rsidRPr="00885AB3">
        <w:rPr>
          <w:iCs/>
          <w:lang w:eastAsia="en-US"/>
        </w:rPr>
        <w:t xml:space="preserve">mRNA-1345 </w:t>
      </w:r>
      <w:r w:rsidRPr="00885AB3">
        <w:rPr>
          <w:rFonts w:eastAsia="Calibri"/>
          <w:iCs/>
        </w:rPr>
        <w:t xml:space="preserve">as non-inferior in terms of safety compared to </w:t>
      </w:r>
      <w:proofErr w:type="spellStart"/>
      <w:r w:rsidRPr="00885AB3">
        <w:rPr>
          <w:rFonts w:eastAsia="Calibri"/>
          <w:iCs/>
        </w:rPr>
        <w:t>RSVPreF</w:t>
      </w:r>
      <w:proofErr w:type="spellEnd"/>
      <w:r w:rsidRPr="00885AB3">
        <w:rPr>
          <w:rFonts w:eastAsia="Calibri"/>
          <w:iCs/>
        </w:rPr>
        <w:t xml:space="preserve"> and RSVPreF3 OA. Th</w:t>
      </w:r>
      <w:r w:rsidR="008723B2" w:rsidRPr="00885AB3">
        <w:rPr>
          <w:rFonts w:eastAsia="Calibri"/>
          <w:iCs/>
        </w:rPr>
        <w:t>e evaluation and the ESC con</w:t>
      </w:r>
      <w:r w:rsidR="00672A6B" w:rsidRPr="00885AB3">
        <w:rPr>
          <w:rFonts w:eastAsia="Calibri"/>
          <w:iCs/>
        </w:rPr>
        <w:t>sidered that th</w:t>
      </w:r>
      <w:r w:rsidRPr="00885AB3">
        <w:rPr>
          <w:rFonts w:eastAsia="Calibri"/>
          <w:iCs/>
        </w:rPr>
        <w:t xml:space="preserve">is claim was adequately supported by the evidence, however the evidence provided does not allow for a comparison of how the adverse event profile may differ between the vaccines. </w:t>
      </w:r>
      <w:r w:rsidR="00672A6B" w:rsidRPr="00885AB3">
        <w:rPr>
          <w:rFonts w:eastAsia="Calibri"/>
          <w:iCs/>
        </w:rPr>
        <w:t>The ESC noted the ATAGI’s view, that there is no clear reason to favour mRNA or protein vaccines based on safety profile.</w:t>
      </w:r>
    </w:p>
    <w:p w14:paraId="6C66F966" w14:textId="6DBD94CE" w:rsidR="00525AB0" w:rsidRPr="00885AB3" w:rsidRDefault="001674FD" w:rsidP="00120D61">
      <w:pPr>
        <w:pStyle w:val="3-BodyText"/>
      </w:pPr>
      <w:bookmarkStart w:id="110" w:name="_Ref216179643"/>
      <w:r w:rsidRPr="00885AB3">
        <w:t xml:space="preserve">The ESC agreed with the evaluation that the claim of non-inferior efficacy of mRNA-1345 compared to </w:t>
      </w:r>
      <w:proofErr w:type="spellStart"/>
      <w:r w:rsidRPr="00885AB3">
        <w:t>RSVPreF</w:t>
      </w:r>
      <w:proofErr w:type="spellEnd"/>
      <w:r w:rsidRPr="00885AB3">
        <w:t xml:space="preserve"> and RSVPreF3 OA was not supported by the evidence. Long-term results for cumulative VE of RSV-LRTD </w:t>
      </w:r>
      <w:r w:rsidR="00EF2FA4">
        <w:rPr>
          <w:rFonts w:eastAsia="Calibri"/>
          <w:lang w:eastAsia="en-US"/>
        </w:rPr>
        <w:t xml:space="preserve">≥ </w:t>
      </w:r>
      <w:r w:rsidRPr="00885AB3">
        <w:rPr>
          <w:rFonts w:eastAsia="Calibri"/>
          <w:lang w:eastAsia="en-US"/>
        </w:rPr>
        <w:t>2 symptoms</w:t>
      </w:r>
      <w:r w:rsidRPr="00885AB3">
        <w:t xml:space="preserve"> consistently favoured </w:t>
      </w:r>
      <w:proofErr w:type="spellStart"/>
      <w:r w:rsidRPr="00885AB3">
        <w:t>RSVPreF</w:t>
      </w:r>
      <w:proofErr w:type="spellEnd"/>
      <w:r w:rsidRPr="00885AB3">
        <w:t xml:space="preserve"> and RSVPreF3 OA over mRNA-1345 in patients </w:t>
      </w:r>
      <w:r w:rsidR="00EF2FA4">
        <w:t xml:space="preserve">≥ </w:t>
      </w:r>
      <w:r w:rsidRPr="00885AB3">
        <w:t>75 YOA, with a relative risk of 1.80 (95%CI: 0.72, 4.55) when comparing mRNA-1345 with RSVPreF3 OA and 1.78 (95%CI: 0.52, 6.05) when comparing mRNA-1345 with RSVPreF3</w:t>
      </w:r>
      <w:r w:rsidRPr="00885AB3">
        <w:rPr>
          <w:rFonts w:eastAsia="Calibri"/>
          <w:lang w:eastAsia="en-US"/>
        </w:rPr>
        <w:t>.</w:t>
      </w:r>
      <w:bookmarkEnd w:id="110"/>
      <w:r w:rsidR="001C78D7">
        <w:rPr>
          <w:rFonts w:eastAsia="Calibri"/>
          <w:lang w:eastAsia="en-US"/>
        </w:rPr>
        <w:t xml:space="preserve"> </w:t>
      </w:r>
    </w:p>
    <w:p w14:paraId="49B9C7B6" w14:textId="07AE99F9" w:rsidR="001674FD" w:rsidRPr="00885AB3" w:rsidRDefault="001674FD" w:rsidP="00120D61">
      <w:pPr>
        <w:pStyle w:val="3-BodyText"/>
      </w:pPr>
      <w:bookmarkStart w:id="111" w:name="_Ref213338500"/>
      <w:r w:rsidRPr="00885AB3">
        <w:t xml:space="preserve">The ESC noted that in September 2025, the ATAGI advised that contingent upon the availability of alternative RSV vaccines on the NIP, if non-inferiority of </w:t>
      </w:r>
      <w:proofErr w:type="spellStart"/>
      <w:r w:rsidRPr="00885AB3">
        <w:t>mRESVIA</w:t>
      </w:r>
      <w:proofErr w:type="spellEnd"/>
      <w:r w:rsidRPr="00885AB3">
        <w:t xml:space="preserve"> to alternative vaccines cannot be established, there is no clear role for </w:t>
      </w:r>
      <w:proofErr w:type="spellStart"/>
      <w:r w:rsidRPr="00885AB3">
        <w:t>mRESVIA</w:t>
      </w:r>
      <w:proofErr w:type="spellEnd"/>
      <w:r w:rsidRPr="00885AB3">
        <w:t xml:space="preserve"> on the NIP (see paragraph </w:t>
      </w:r>
      <w:r w:rsidRPr="00885AB3">
        <w:fldChar w:fldCharType="begin" w:fldLock="1"/>
      </w:r>
      <w:r w:rsidRPr="00885AB3">
        <w:instrText xml:space="preserve"> REF _Ref211847210 \r \h </w:instrText>
      </w:r>
      <w:r w:rsidR="005F5B2F" w:rsidRPr="00885AB3">
        <w:instrText xml:space="preserve"> \* MERGEFORMAT </w:instrText>
      </w:r>
      <w:r w:rsidRPr="00885AB3">
        <w:fldChar w:fldCharType="separate"/>
      </w:r>
      <w:r w:rsidR="00515933" w:rsidRPr="00885AB3">
        <w:t>2.6</w:t>
      </w:r>
      <w:r w:rsidRPr="00885AB3">
        <w:fldChar w:fldCharType="end"/>
      </w:r>
      <w:r w:rsidRPr="00885AB3">
        <w:t>).</w:t>
      </w:r>
      <w:r w:rsidR="00561A18" w:rsidRPr="00885AB3">
        <w:t xml:space="preserve"> </w:t>
      </w:r>
      <w:r w:rsidR="0083070F" w:rsidRPr="00885AB3">
        <w:t>With respect to the ITC, the PSCR acknowledged that “it is likely that the PBAC will be challenged to infer non-inferiority based on the data coming directly from the clinical studies”. Further, the Pre-PBAC response stated</w:t>
      </w:r>
      <w:r w:rsidR="001C78D7">
        <w:t xml:space="preserve"> </w:t>
      </w:r>
      <w:r w:rsidR="0083070F" w:rsidRPr="00885AB3">
        <w:t xml:space="preserve">that the clinical trials across the three vaccines </w:t>
      </w:r>
      <w:r w:rsidR="00227D99" w:rsidRPr="00885AB3">
        <w:t>were</w:t>
      </w:r>
      <w:r w:rsidR="0083070F" w:rsidRPr="00885AB3">
        <w:t xml:space="preserve"> not designed for comparison across study outcomes or timepoints, and highlighted that ATAGI considered the transitivity assumption is likely violated in its pre-PBAC advice (26 June 2025).</w:t>
      </w:r>
      <w:r w:rsidR="00424DF0" w:rsidRPr="00885AB3">
        <w:t xml:space="preserve"> </w:t>
      </w:r>
      <w:r w:rsidR="00561A18" w:rsidRPr="00885AB3">
        <w:t>With reference to this ATAGI advice,</w:t>
      </w:r>
      <w:r w:rsidR="003D1D73" w:rsidRPr="00885AB3">
        <w:t xml:space="preserve"> </w:t>
      </w:r>
      <w:r w:rsidR="003D1D73" w:rsidRPr="00885AB3">
        <w:rPr>
          <w:rFonts w:eastAsia="Calibri"/>
        </w:rPr>
        <w:t>the Pre-PBAC response stated that given the transitivity assumptions have been demonstrated not to hold, it is not feasible to draw a comparative conclusion from the ITC.</w:t>
      </w:r>
      <w:r w:rsidR="00561A18" w:rsidRPr="00885AB3">
        <w:t xml:space="preserve"> </w:t>
      </w:r>
      <w:bookmarkEnd w:id="111"/>
    </w:p>
    <w:p w14:paraId="299C2A64" w14:textId="3DA97AE1" w:rsidR="00E0793E" w:rsidRPr="00885AB3" w:rsidRDefault="00E63B65" w:rsidP="00120D61">
      <w:pPr>
        <w:pStyle w:val="3-BodyText"/>
        <w:rPr>
          <w:snapToGrid w:val="0"/>
        </w:rPr>
      </w:pPr>
      <w:r w:rsidRPr="00885AB3">
        <w:rPr>
          <w:iCs/>
          <w:snapToGrid w:val="0"/>
        </w:rPr>
        <w:t>T</w:t>
      </w:r>
      <w:r w:rsidR="00E0793E" w:rsidRPr="00885AB3">
        <w:rPr>
          <w:iCs/>
          <w:snapToGrid w:val="0"/>
        </w:rPr>
        <w:t>he</w:t>
      </w:r>
      <w:r w:rsidR="00E0793E" w:rsidRPr="00885AB3">
        <w:rPr>
          <w:snapToGrid w:val="0"/>
        </w:rPr>
        <w:t xml:space="preserve"> PBAC</w:t>
      </w:r>
      <w:r w:rsidR="00D7460C" w:rsidRPr="00885AB3">
        <w:rPr>
          <w:snapToGrid w:val="0"/>
        </w:rPr>
        <w:t xml:space="preserve"> </w:t>
      </w:r>
      <w:r w:rsidR="00DF5EB3" w:rsidRPr="00885AB3">
        <w:rPr>
          <w:snapToGrid w:val="0"/>
        </w:rPr>
        <w:t xml:space="preserve">noted that the </w:t>
      </w:r>
      <w:r w:rsidR="00D16989" w:rsidRPr="00885AB3">
        <w:rPr>
          <w:snapToGrid w:val="0"/>
        </w:rPr>
        <w:t xml:space="preserve">pre-PBAC response conceded </w:t>
      </w:r>
      <w:r w:rsidR="00F200DC" w:rsidRPr="00885AB3">
        <w:rPr>
          <w:snapToGrid w:val="0"/>
        </w:rPr>
        <w:t>that clinical non-inferiority between mRN</w:t>
      </w:r>
      <w:r w:rsidR="00A6102A" w:rsidRPr="00885AB3">
        <w:rPr>
          <w:snapToGrid w:val="0"/>
        </w:rPr>
        <w:t>A</w:t>
      </w:r>
      <w:r w:rsidR="00F200DC" w:rsidRPr="00885AB3">
        <w:rPr>
          <w:snapToGrid w:val="0"/>
        </w:rPr>
        <w:t xml:space="preserve">-1345 and </w:t>
      </w:r>
      <w:proofErr w:type="spellStart"/>
      <w:r w:rsidR="00F200DC" w:rsidRPr="00885AB3">
        <w:rPr>
          <w:rFonts w:eastAsia="Calibri"/>
          <w:iCs/>
        </w:rPr>
        <w:t>RSVPreF</w:t>
      </w:r>
      <w:proofErr w:type="spellEnd"/>
      <w:r w:rsidR="00F200DC" w:rsidRPr="00885AB3">
        <w:rPr>
          <w:rFonts w:eastAsia="Calibri"/>
          <w:iCs/>
        </w:rPr>
        <w:t xml:space="preserve"> and/or RSVPreF3 OA</w:t>
      </w:r>
      <w:r w:rsidR="00F200DC" w:rsidRPr="00885AB3">
        <w:rPr>
          <w:snapToGrid w:val="0"/>
        </w:rPr>
        <w:t xml:space="preserve"> could not be established based on the</w:t>
      </w:r>
      <w:r w:rsidR="000D77F2" w:rsidRPr="00885AB3">
        <w:rPr>
          <w:snapToGrid w:val="0"/>
        </w:rPr>
        <w:t xml:space="preserve"> trial</w:t>
      </w:r>
      <w:r w:rsidR="00F200DC" w:rsidRPr="00885AB3">
        <w:rPr>
          <w:snapToGrid w:val="0"/>
        </w:rPr>
        <w:t xml:space="preserve"> data presented.</w:t>
      </w:r>
      <w:r w:rsidR="00CB1C11" w:rsidRPr="00885AB3">
        <w:rPr>
          <w:snapToGrid w:val="0"/>
        </w:rPr>
        <w:t xml:space="preserve"> The PBAC agreed with this assessment, </w:t>
      </w:r>
      <w:r w:rsidR="00DB22C4" w:rsidRPr="00885AB3">
        <w:rPr>
          <w:snapToGrid w:val="0"/>
        </w:rPr>
        <w:t>based on</w:t>
      </w:r>
      <w:r w:rsidR="000C74A4" w:rsidRPr="00885AB3">
        <w:rPr>
          <w:snapToGrid w:val="0"/>
        </w:rPr>
        <w:t xml:space="preserve"> the</w:t>
      </w:r>
      <w:r w:rsidR="00CB1C11" w:rsidRPr="00885AB3">
        <w:rPr>
          <w:snapToGrid w:val="0"/>
        </w:rPr>
        <w:t xml:space="preserve"> </w:t>
      </w:r>
      <w:r w:rsidR="000D77F2" w:rsidRPr="00885AB3">
        <w:rPr>
          <w:snapToGrid w:val="0"/>
        </w:rPr>
        <w:t xml:space="preserve">results for cumulative VE of RSV-LRTD </w:t>
      </w:r>
      <w:r w:rsidR="00EF2FA4">
        <w:rPr>
          <w:snapToGrid w:val="0"/>
        </w:rPr>
        <w:t xml:space="preserve">≥ </w:t>
      </w:r>
      <w:r w:rsidR="000D77F2" w:rsidRPr="00885AB3">
        <w:rPr>
          <w:snapToGrid w:val="0"/>
        </w:rPr>
        <w:t>2 symptoms consistently favour</w:t>
      </w:r>
      <w:r w:rsidR="00DB22C4" w:rsidRPr="00885AB3">
        <w:rPr>
          <w:snapToGrid w:val="0"/>
        </w:rPr>
        <w:t>ing</w:t>
      </w:r>
      <w:r w:rsidR="000D77F2" w:rsidRPr="00885AB3">
        <w:rPr>
          <w:snapToGrid w:val="0"/>
        </w:rPr>
        <w:t xml:space="preserve"> </w:t>
      </w:r>
      <w:proofErr w:type="spellStart"/>
      <w:r w:rsidR="000D77F2" w:rsidRPr="00885AB3">
        <w:rPr>
          <w:snapToGrid w:val="0"/>
        </w:rPr>
        <w:t>RSVPreF</w:t>
      </w:r>
      <w:proofErr w:type="spellEnd"/>
      <w:r w:rsidR="000D77F2" w:rsidRPr="00885AB3">
        <w:rPr>
          <w:snapToGrid w:val="0"/>
        </w:rPr>
        <w:t xml:space="preserve"> and RSVPreF3 OA over mRNA-1345 in patients </w:t>
      </w:r>
      <w:r w:rsidR="00EF2FA4">
        <w:rPr>
          <w:snapToGrid w:val="0"/>
        </w:rPr>
        <w:t xml:space="preserve">≥ </w:t>
      </w:r>
      <w:r w:rsidR="000D77F2" w:rsidRPr="00885AB3">
        <w:rPr>
          <w:snapToGrid w:val="0"/>
        </w:rPr>
        <w:t>75 YOA, as presented in the ITC.</w:t>
      </w:r>
      <w:r w:rsidR="000C74A4" w:rsidRPr="00885AB3">
        <w:rPr>
          <w:snapToGrid w:val="0"/>
        </w:rPr>
        <w:t xml:space="preserve"> While the PBAC</w:t>
      </w:r>
      <w:r w:rsidR="00647AF8" w:rsidRPr="00885AB3">
        <w:rPr>
          <w:snapToGrid w:val="0"/>
        </w:rPr>
        <w:t xml:space="preserve"> noted that the pre-PBAC response proposed that the CUA provided in the submission could be used to determine an appropriate cost-effective price for mRNA-1345 against placebo, “whereby the price would not exceed the price for </w:t>
      </w:r>
      <w:proofErr w:type="spellStart"/>
      <w:r w:rsidR="00647AF8" w:rsidRPr="00885AB3">
        <w:rPr>
          <w:snapToGrid w:val="0"/>
        </w:rPr>
        <w:t>RSVPreF</w:t>
      </w:r>
      <w:proofErr w:type="spellEnd"/>
      <w:r w:rsidR="00647AF8" w:rsidRPr="00885AB3">
        <w:rPr>
          <w:snapToGrid w:val="0"/>
        </w:rPr>
        <w:t xml:space="preserve"> or RSVPreF3 OA”, it also noted </w:t>
      </w:r>
      <w:r w:rsidR="00280195" w:rsidRPr="00885AB3">
        <w:rPr>
          <w:snapToGrid w:val="0"/>
        </w:rPr>
        <w:t xml:space="preserve">the difficulty of finding </w:t>
      </w:r>
      <w:r w:rsidR="00280195" w:rsidRPr="00885AB3">
        <w:t xml:space="preserve">a clinical place for </w:t>
      </w:r>
      <w:r w:rsidR="00280195" w:rsidRPr="00885AB3">
        <w:rPr>
          <w:rFonts w:cs="Calibri"/>
        </w:rPr>
        <w:t xml:space="preserve">mRNA-1345 if an alternative RSV vaccine (i.e. </w:t>
      </w:r>
      <w:proofErr w:type="spellStart"/>
      <w:r w:rsidR="00280195" w:rsidRPr="00885AB3">
        <w:t>RSVPreF</w:t>
      </w:r>
      <w:proofErr w:type="spellEnd"/>
      <w:r w:rsidR="00280195" w:rsidRPr="00885AB3">
        <w:rPr>
          <w:snapToGrid w:val="0"/>
        </w:rPr>
        <w:t xml:space="preserve"> and/or </w:t>
      </w:r>
      <w:r w:rsidR="00280195" w:rsidRPr="00885AB3">
        <w:t>RSVPreF3 OA</w:t>
      </w:r>
      <w:r w:rsidR="00280195" w:rsidRPr="00885AB3">
        <w:rPr>
          <w:rFonts w:cs="Calibri"/>
        </w:rPr>
        <w:t>) becomes available on the NIP</w:t>
      </w:r>
      <w:r w:rsidR="00DF4771" w:rsidRPr="00885AB3">
        <w:rPr>
          <w:rFonts w:cs="Calibri"/>
        </w:rPr>
        <w:t xml:space="preserve">, given that </w:t>
      </w:r>
      <w:r w:rsidR="00DF4771" w:rsidRPr="00885AB3">
        <w:rPr>
          <w:snapToGrid w:val="0"/>
        </w:rPr>
        <w:t xml:space="preserve">non-inferior efficacy for </w:t>
      </w:r>
      <w:r w:rsidR="00DF4771" w:rsidRPr="00885AB3">
        <w:rPr>
          <w:rFonts w:cs="Calibri"/>
        </w:rPr>
        <w:t xml:space="preserve">mRNA-1345 </w:t>
      </w:r>
      <w:r w:rsidR="00DF4771" w:rsidRPr="00885AB3">
        <w:rPr>
          <w:snapToGrid w:val="0"/>
        </w:rPr>
        <w:t xml:space="preserve">compared with </w:t>
      </w:r>
      <w:proofErr w:type="spellStart"/>
      <w:r w:rsidR="00DF4771" w:rsidRPr="00885AB3">
        <w:t>RSVPreF</w:t>
      </w:r>
      <w:proofErr w:type="spellEnd"/>
      <w:r w:rsidR="00DF4771" w:rsidRPr="00885AB3">
        <w:rPr>
          <w:snapToGrid w:val="0"/>
        </w:rPr>
        <w:t xml:space="preserve"> or </w:t>
      </w:r>
      <w:r w:rsidR="00DF4771" w:rsidRPr="00885AB3">
        <w:t>RSVPreF3 OA was not supported.</w:t>
      </w:r>
      <w:r w:rsidR="000C74A4" w:rsidRPr="00885AB3">
        <w:rPr>
          <w:snapToGrid w:val="0"/>
        </w:rPr>
        <w:t xml:space="preserve"> </w:t>
      </w:r>
    </w:p>
    <w:p w14:paraId="3DFB5212" w14:textId="0D2361EC" w:rsidR="00E0793E" w:rsidRPr="00885AB3" w:rsidRDefault="00E0793E" w:rsidP="00120D61">
      <w:pPr>
        <w:pStyle w:val="3-BodyText"/>
      </w:pPr>
      <w:r w:rsidRPr="00885AB3">
        <w:rPr>
          <w:rFonts w:cs="Arial"/>
          <w:snapToGrid w:val="0"/>
          <w:szCs w:val="20"/>
        </w:rPr>
        <w:lastRenderedPageBreak/>
        <w:t>The PBAC considered that the claim of non-inferior comparative safety was not adequately supported by the data</w:t>
      </w:r>
      <w:r w:rsidR="001111B3" w:rsidRPr="00885AB3">
        <w:rPr>
          <w:rFonts w:cs="Arial"/>
          <w:snapToGrid w:val="0"/>
          <w:szCs w:val="20"/>
        </w:rPr>
        <w:t xml:space="preserve"> based on the crude incidence ratios calculated by the submission</w:t>
      </w:r>
      <w:r w:rsidR="00921E5F" w:rsidRPr="00885AB3">
        <w:rPr>
          <w:rFonts w:cs="Arial"/>
          <w:snapToGrid w:val="0"/>
          <w:szCs w:val="20"/>
        </w:rPr>
        <w:t xml:space="preserve">; however, </w:t>
      </w:r>
      <w:r w:rsidR="00102500" w:rsidRPr="00885AB3">
        <w:rPr>
          <w:rFonts w:cs="Arial"/>
          <w:snapToGrid w:val="0"/>
          <w:szCs w:val="20"/>
        </w:rPr>
        <w:t>the PBAC</w:t>
      </w:r>
      <w:r w:rsidR="00921E5F" w:rsidRPr="00885AB3">
        <w:rPr>
          <w:rFonts w:cs="Arial"/>
          <w:snapToGrid w:val="0"/>
          <w:szCs w:val="20"/>
        </w:rPr>
        <w:t xml:space="preserve"> noted </w:t>
      </w:r>
      <w:r w:rsidR="00921E5F" w:rsidRPr="00885AB3">
        <w:rPr>
          <w:iCs/>
        </w:rPr>
        <w:t>the evaluation</w:t>
      </w:r>
      <w:r w:rsidR="00522F2C" w:rsidRPr="00885AB3">
        <w:rPr>
          <w:iCs/>
        </w:rPr>
        <w:t>’s</w:t>
      </w:r>
      <w:r w:rsidR="00921E5F" w:rsidRPr="00885AB3">
        <w:rPr>
          <w:iCs/>
        </w:rPr>
        <w:t xml:space="preserve"> </w:t>
      </w:r>
      <w:r w:rsidR="00522F2C" w:rsidRPr="00885AB3">
        <w:rPr>
          <w:iCs/>
        </w:rPr>
        <w:t>comment</w:t>
      </w:r>
      <w:r w:rsidR="00921E5F" w:rsidRPr="00885AB3">
        <w:rPr>
          <w:iCs/>
        </w:rPr>
        <w:t xml:space="preserve"> that there do not appear to be substantial differences in the overall adverse event profiles between </w:t>
      </w:r>
      <w:r w:rsidR="00522F2C" w:rsidRPr="00885AB3">
        <w:rPr>
          <w:iCs/>
        </w:rPr>
        <w:t xml:space="preserve">the </w:t>
      </w:r>
      <w:r w:rsidR="00921E5F" w:rsidRPr="00885AB3">
        <w:rPr>
          <w:iCs/>
        </w:rPr>
        <w:t>mRNA-1345</w:t>
      </w:r>
      <w:r w:rsidR="00522F2C" w:rsidRPr="00885AB3">
        <w:rPr>
          <w:iCs/>
        </w:rPr>
        <w:t xml:space="preserve">, </w:t>
      </w:r>
      <w:proofErr w:type="spellStart"/>
      <w:r w:rsidR="00921E5F" w:rsidRPr="00885AB3">
        <w:rPr>
          <w:iCs/>
        </w:rPr>
        <w:t>RSVPreF</w:t>
      </w:r>
      <w:proofErr w:type="spellEnd"/>
      <w:r w:rsidR="00921E5F" w:rsidRPr="00885AB3">
        <w:rPr>
          <w:iCs/>
        </w:rPr>
        <w:t xml:space="preserve"> and RSVPref3 OA</w:t>
      </w:r>
      <w:r w:rsidR="00522F2C" w:rsidRPr="00885AB3">
        <w:rPr>
          <w:iCs/>
        </w:rPr>
        <w:t xml:space="preserve"> vaccines</w:t>
      </w:r>
      <w:r w:rsidR="00921E5F" w:rsidRPr="00885AB3">
        <w:rPr>
          <w:iCs/>
        </w:rPr>
        <w:t>.</w:t>
      </w:r>
    </w:p>
    <w:p w14:paraId="0AFAB8D0" w14:textId="77777777" w:rsidR="006A1AFC" w:rsidRPr="00885AB3" w:rsidRDefault="006A1AFC" w:rsidP="00120D61">
      <w:pPr>
        <w:pStyle w:val="4-SubsectionHeading"/>
        <w:rPr>
          <w:rFonts w:ascii="Calibri" w:hAnsi="Calibri" w:cs="Calibri"/>
        </w:rPr>
      </w:pPr>
      <w:bookmarkStart w:id="112" w:name="_Toc208998515"/>
      <w:r w:rsidRPr="00885AB3">
        <w:rPr>
          <w:rFonts w:ascii="Calibri" w:hAnsi="Calibri" w:cs="Calibri"/>
        </w:rPr>
        <w:t>Economic analysis</w:t>
      </w:r>
      <w:bookmarkEnd w:id="8"/>
      <w:bookmarkEnd w:id="112"/>
      <w:r w:rsidRPr="00885AB3">
        <w:rPr>
          <w:rFonts w:ascii="Calibri" w:hAnsi="Calibri" w:cs="Calibri"/>
        </w:rPr>
        <w:t xml:space="preserve"> </w:t>
      </w:r>
    </w:p>
    <w:p w14:paraId="4F90B5B0" w14:textId="77777777" w:rsidR="006A1AFC" w:rsidRPr="00885AB3" w:rsidRDefault="006A1AFC" w:rsidP="00120D61">
      <w:pPr>
        <w:pStyle w:val="5-SubsectionSubheading"/>
        <w:rPr>
          <w:rFonts w:ascii="Calibri" w:hAnsi="Calibri" w:cs="Calibri"/>
        </w:rPr>
      </w:pPr>
      <w:bookmarkStart w:id="113" w:name="_Toc208998516"/>
      <w:r w:rsidRPr="00885AB3">
        <w:rPr>
          <w:rFonts w:ascii="Calibri" w:hAnsi="Calibri" w:cs="Calibri"/>
          <w:lang w:eastAsia="en-US"/>
        </w:rPr>
        <w:t>Cost-minimisation approach</w:t>
      </w:r>
      <w:bookmarkEnd w:id="113"/>
    </w:p>
    <w:p w14:paraId="7D970EA1" w14:textId="45B2EBC5" w:rsidR="006A1AFC" w:rsidRPr="00885AB3" w:rsidRDefault="006A1AFC" w:rsidP="00120D61">
      <w:pPr>
        <w:pStyle w:val="3-BodyText"/>
        <w:rPr>
          <w:rFonts w:cs="Calibri"/>
        </w:rPr>
      </w:pPr>
      <w:bookmarkStart w:id="114" w:name="_Ref210903273"/>
      <w:r w:rsidRPr="00885AB3">
        <w:rPr>
          <w:rFonts w:cs="Calibri"/>
        </w:rPr>
        <w:t xml:space="preserve">As summarised in </w:t>
      </w:r>
      <w:r w:rsidRPr="00885AB3">
        <w:rPr>
          <w:rFonts w:cs="Calibri"/>
        </w:rPr>
        <w:fldChar w:fldCharType="begin" w:fldLock="1"/>
      </w:r>
      <w:r w:rsidRPr="00885AB3">
        <w:rPr>
          <w:rFonts w:cs="Calibri"/>
        </w:rPr>
        <w:instrText xml:space="preserve"> REF _Ref205294593 \h  \* MERGEFORMAT </w:instrText>
      </w:r>
      <w:r w:rsidRPr="00885AB3">
        <w:rPr>
          <w:rFonts w:cs="Calibri"/>
        </w:rPr>
      </w:r>
      <w:r w:rsidRPr="00885AB3">
        <w:rPr>
          <w:rFonts w:cs="Calibri"/>
        </w:rPr>
        <w:fldChar w:fldCharType="separate"/>
      </w:r>
      <w:r w:rsidR="00515933" w:rsidRPr="00885AB3">
        <w:rPr>
          <w:rFonts w:cs="Calibri"/>
        </w:rPr>
        <w:t xml:space="preserve">Table </w:t>
      </w:r>
      <w:r w:rsidR="00515933" w:rsidRPr="00885AB3">
        <w:t>16</w:t>
      </w:r>
      <w:r w:rsidRPr="00885AB3">
        <w:rPr>
          <w:rFonts w:cs="Calibri"/>
        </w:rPr>
        <w:fldChar w:fldCharType="end"/>
      </w:r>
      <w:r w:rsidRPr="00885AB3">
        <w:rPr>
          <w:rFonts w:cs="Calibri"/>
        </w:rPr>
        <w:t xml:space="preserve">, the submission presented a </w:t>
      </w:r>
      <w:r w:rsidR="004F13D4" w:rsidRPr="00885AB3">
        <w:rPr>
          <w:rFonts w:cs="Calibri"/>
        </w:rPr>
        <w:t>CMA</w:t>
      </w:r>
      <w:r w:rsidRPr="00885AB3">
        <w:rPr>
          <w:rFonts w:cs="Calibri"/>
        </w:rPr>
        <w:t xml:space="preserve"> comparing mRNA-1345 with </w:t>
      </w:r>
      <w:proofErr w:type="spellStart"/>
      <w:r w:rsidRPr="00885AB3">
        <w:rPr>
          <w:rFonts w:cs="Calibri"/>
        </w:rPr>
        <w:t>RSVPreF</w:t>
      </w:r>
      <w:proofErr w:type="spellEnd"/>
      <w:r w:rsidRPr="00885AB3">
        <w:rPr>
          <w:rFonts w:cs="Calibri"/>
        </w:rPr>
        <w:t xml:space="preserve"> as the primary economic evaluation, based on the ITC of mRNA-1345 against </w:t>
      </w:r>
      <w:proofErr w:type="spellStart"/>
      <w:r w:rsidRPr="00885AB3">
        <w:rPr>
          <w:rFonts w:cs="Calibri"/>
        </w:rPr>
        <w:t>RSVPreF</w:t>
      </w:r>
      <w:proofErr w:type="spellEnd"/>
      <w:r w:rsidRPr="00885AB3">
        <w:rPr>
          <w:rFonts w:cs="Calibri"/>
        </w:rPr>
        <w:t>.</w:t>
      </w:r>
      <w:r w:rsidR="00271259" w:rsidRPr="00885AB3">
        <w:rPr>
          <w:rFonts w:cs="Calibri"/>
        </w:rPr>
        <w:t xml:space="preserve"> </w:t>
      </w:r>
      <w:r w:rsidR="00683F3B" w:rsidRPr="00885AB3">
        <w:rPr>
          <w:rFonts w:cs="Calibri"/>
        </w:rPr>
        <w:t>The submission analysis included only the acquisition cost of</w:t>
      </w:r>
      <w:r w:rsidR="006C5F6C">
        <w:rPr>
          <w:rFonts w:cs="Calibri"/>
        </w:rPr>
        <w:t xml:space="preserve"> a single dose of</w:t>
      </w:r>
      <w:r w:rsidR="00683F3B" w:rsidRPr="00885AB3">
        <w:rPr>
          <w:rFonts w:cs="Calibri"/>
        </w:rPr>
        <w:t xml:space="preserve"> the respective vaccines</w:t>
      </w:r>
      <w:r w:rsidR="00614F53" w:rsidRPr="00885AB3">
        <w:rPr>
          <w:rFonts w:cs="Calibri"/>
        </w:rPr>
        <w:t xml:space="preserve"> (</w:t>
      </w:r>
      <w:r w:rsidR="00614F53" w:rsidRPr="00885AB3">
        <w:t xml:space="preserve">based on the publicly available price in the private market for </w:t>
      </w:r>
      <w:proofErr w:type="spellStart"/>
      <w:r w:rsidR="00710780" w:rsidRPr="00885AB3">
        <w:t>RSVPreF</w:t>
      </w:r>
      <w:proofErr w:type="spellEnd"/>
      <w:r w:rsidR="00614F53" w:rsidRPr="00885AB3">
        <w:rPr>
          <w:rFonts w:cs="Calibri"/>
        </w:rPr>
        <w:t>)</w:t>
      </w:r>
      <w:r w:rsidR="00683F3B" w:rsidRPr="00885AB3">
        <w:rPr>
          <w:rFonts w:cs="Calibri"/>
        </w:rPr>
        <w:t xml:space="preserve"> and assumed the same costs of administration and management of </w:t>
      </w:r>
      <w:r w:rsidR="00CF157A" w:rsidRPr="00885AB3">
        <w:rPr>
          <w:rFonts w:cs="Calibri"/>
        </w:rPr>
        <w:t>adverse event</w:t>
      </w:r>
      <w:r w:rsidR="00CD6BA2" w:rsidRPr="00885AB3">
        <w:rPr>
          <w:rFonts w:cs="Calibri"/>
        </w:rPr>
        <w:t>s</w:t>
      </w:r>
      <w:r w:rsidR="00683F3B" w:rsidRPr="00885AB3">
        <w:rPr>
          <w:rFonts w:cs="Calibri"/>
        </w:rPr>
        <w:t xml:space="preserve">. </w:t>
      </w:r>
      <w:r w:rsidR="005E3FE4" w:rsidRPr="00885AB3">
        <w:rPr>
          <w:rFonts w:cs="Calibri"/>
        </w:rPr>
        <w:t xml:space="preserve">The submission </w:t>
      </w:r>
      <w:r w:rsidR="00683F3B" w:rsidRPr="00885AB3">
        <w:rPr>
          <w:rFonts w:cs="Calibri"/>
        </w:rPr>
        <w:t xml:space="preserve">proposed </w:t>
      </w:r>
      <w:r w:rsidR="00CF157A" w:rsidRPr="00885AB3">
        <w:rPr>
          <w:rFonts w:cs="Calibri"/>
        </w:rPr>
        <w:t xml:space="preserve">a </w:t>
      </w:r>
      <w:r w:rsidR="00683F3B" w:rsidRPr="00885AB3">
        <w:rPr>
          <w:rFonts w:cs="Calibri"/>
        </w:rPr>
        <w:t xml:space="preserve">price for mRNA-1345 </w:t>
      </w:r>
      <w:r w:rsidR="00CF157A" w:rsidRPr="00885AB3">
        <w:rPr>
          <w:rFonts w:cs="Calibri"/>
        </w:rPr>
        <w:t xml:space="preserve">that </w:t>
      </w:r>
      <w:r w:rsidR="00683F3B" w:rsidRPr="00885AB3">
        <w:rPr>
          <w:rFonts w:cs="Calibri"/>
        </w:rPr>
        <w:t xml:space="preserve">is </w:t>
      </w:r>
      <w:r w:rsidR="004B5AFE" w:rsidRPr="004B5AFE">
        <w:rPr>
          <w:rFonts w:cs="Calibri"/>
          <w:highlight w:val="black"/>
        </w:rPr>
        <w:t xml:space="preserve"> &amp;&amp;&amp;&amp;</w:t>
      </w:r>
      <w:r w:rsidR="00683F3B" w:rsidRPr="00885AB3">
        <w:rPr>
          <w:rFonts w:cs="Calibri"/>
        </w:rPr>
        <w:t xml:space="preserve">% lower than </w:t>
      </w:r>
      <w:r w:rsidR="00FB0399" w:rsidRPr="00885AB3">
        <w:rPr>
          <w:rFonts w:cs="Calibri"/>
        </w:rPr>
        <w:t xml:space="preserve">the </w:t>
      </w:r>
      <w:r w:rsidR="00FB0399" w:rsidRPr="00885AB3">
        <w:rPr>
          <w:bCs/>
        </w:rPr>
        <w:t xml:space="preserve">private market </w:t>
      </w:r>
      <w:r w:rsidR="004C40BF" w:rsidRPr="00885AB3">
        <w:rPr>
          <w:bCs/>
        </w:rPr>
        <w:t xml:space="preserve">price </w:t>
      </w:r>
      <w:r w:rsidR="00FB0399" w:rsidRPr="00885AB3">
        <w:rPr>
          <w:bCs/>
        </w:rPr>
        <w:t xml:space="preserve">for </w:t>
      </w:r>
      <w:proofErr w:type="spellStart"/>
      <w:r w:rsidR="005E3FE4" w:rsidRPr="00885AB3">
        <w:t>RSVPreF</w:t>
      </w:r>
      <w:proofErr w:type="spellEnd"/>
      <w:r w:rsidR="004C40BF" w:rsidRPr="00885AB3">
        <w:t xml:space="preserve"> based on public information</w:t>
      </w:r>
      <w:r w:rsidR="005E3FE4" w:rsidRPr="00885AB3">
        <w:t>.</w:t>
      </w:r>
      <w:bookmarkEnd w:id="114"/>
    </w:p>
    <w:p w14:paraId="271933B2" w14:textId="543228E7" w:rsidR="006A1AFC" w:rsidRPr="00885AB3" w:rsidRDefault="006A1AFC" w:rsidP="00120D61">
      <w:pPr>
        <w:pStyle w:val="Caption"/>
      </w:pPr>
      <w:bookmarkStart w:id="115" w:name="_Ref205294593"/>
      <w:bookmarkStart w:id="116" w:name="_Toc476647913"/>
      <w:bookmarkStart w:id="117" w:name="_Toc202874069"/>
      <w:bookmarkStart w:id="118" w:name="_Ref205294587"/>
      <w:r w:rsidRPr="00885AB3">
        <w:t xml:space="preserve">Table </w:t>
      </w:r>
      <w:r w:rsidR="008A242D" w:rsidRPr="00885AB3">
        <w:fldChar w:fldCharType="begin" w:fldLock="1"/>
      </w:r>
      <w:r w:rsidR="008A242D" w:rsidRPr="00885AB3">
        <w:instrText xml:space="preserve"> SEQ Table \* ARABIC </w:instrText>
      </w:r>
      <w:r w:rsidR="008A242D" w:rsidRPr="00885AB3">
        <w:fldChar w:fldCharType="separate"/>
      </w:r>
      <w:r w:rsidR="00515933" w:rsidRPr="00885AB3">
        <w:t>16</w:t>
      </w:r>
      <w:r w:rsidR="008A242D" w:rsidRPr="00885AB3">
        <w:fldChar w:fldCharType="end"/>
      </w:r>
      <w:bookmarkEnd w:id="115"/>
      <w:r w:rsidRPr="00885AB3">
        <w:t xml:space="preserve">: Summary and results of the cost-minimisation approach </w:t>
      </w:r>
      <w:bookmarkEnd w:id="116"/>
      <w:bookmarkEnd w:id="117"/>
      <w:bookmarkEnd w:id="118"/>
    </w:p>
    <w:tbl>
      <w:tblPr>
        <w:tblStyle w:val="ASDTable2"/>
        <w:tblW w:w="5000" w:type="pct"/>
        <w:tblInd w:w="0" w:type="dxa"/>
        <w:tblLayout w:type="fixed"/>
        <w:tblLook w:val="04A0" w:firstRow="1" w:lastRow="0" w:firstColumn="1" w:lastColumn="0" w:noHBand="0" w:noVBand="1"/>
        <w:tblCaption w:val="Table 16: Summary and results of the cost-minimisation approach "/>
      </w:tblPr>
      <w:tblGrid>
        <w:gridCol w:w="3463"/>
        <w:gridCol w:w="2777"/>
        <w:gridCol w:w="2777"/>
      </w:tblGrid>
      <w:tr w:rsidR="006A1AFC" w:rsidRPr="00885AB3" w14:paraId="71B5D5A4" w14:textId="77777777" w:rsidTr="00217CD7">
        <w:trPr>
          <w:trHeight w:val="198"/>
        </w:trPr>
        <w:tc>
          <w:tcPr>
            <w:tcW w:w="1920" w:type="pct"/>
            <w:noWrap/>
            <w:hideMark/>
          </w:tcPr>
          <w:p w14:paraId="0CE0FB39" w14:textId="77777777" w:rsidR="006A1AFC" w:rsidRPr="00885AB3" w:rsidRDefault="006A1AFC" w:rsidP="00120D61">
            <w:pPr>
              <w:pStyle w:val="Table"/>
              <w:keepNext/>
              <w:rPr>
                <w:rFonts w:ascii="Arial Narrow" w:eastAsia="Times New Roman" w:hAnsi="Arial Narrow"/>
                <w:b/>
                <w:bCs/>
                <w:szCs w:val="20"/>
                <w:lang w:eastAsia="en-AU" w:bidi="ar-SA"/>
              </w:rPr>
            </w:pPr>
            <w:r w:rsidRPr="00885AB3">
              <w:rPr>
                <w:rFonts w:ascii="Arial Narrow" w:eastAsia="Times New Roman" w:hAnsi="Arial Narrow"/>
                <w:b/>
                <w:bCs/>
                <w:szCs w:val="20"/>
                <w:lang w:eastAsia="en-AU" w:bidi="ar-SA"/>
              </w:rPr>
              <w:t>Parameter</w:t>
            </w:r>
          </w:p>
        </w:tc>
        <w:tc>
          <w:tcPr>
            <w:tcW w:w="1540" w:type="pct"/>
            <w:vAlign w:val="center"/>
          </w:tcPr>
          <w:p w14:paraId="2E127F18" w14:textId="77777777" w:rsidR="006A1AFC" w:rsidRPr="00885AB3" w:rsidRDefault="006A1AFC" w:rsidP="00120D61">
            <w:pPr>
              <w:pStyle w:val="Table"/>
              <w:keepNext/>
              <w:jc w:val="center"/>
              <w:rPr>
                <w:rFonts w:ascii="Arial Narrow" w:eastAsia="Times New Roman" w:hAnsi="Arial Narrow"/>
                <w:b/>
                <w:bCs/>
                <w:szCs w:val="20"/>
                <w:lang w:eastAsia="en-AU" w:bidi="ar-SA"/>
              </w:rPr>
            </w:pPr>
            <w:r w:rsidRPr="00885AB3">
              <w:rPr>
                <w:rFonts w:ascii="Arial Narrow" w:eastAsia="Times New Roman" w:hAnsi="Arial Narrow"/>
                <w:b/>
                <w:bCs/>
                <w:szCs w:val="20"/>
                <w:lang w:eastAsia="en-AU" w:bidi="ar-SA"/>
              </w:rPr>
              <w:t>mRNA-1345</w:t>
            </w:r>
          </w:p>
        </w:tc>
        <w:tc>
          <w:tcPr>
            <w:tcW w:w="1540" w:type="pct"/>
            <w:noWrap/>
            <w:vAlign w:val="center"/>
            <w:hideMark/>
          </w:tcPr>
          <w:p w14:paraId="16A276D7" w14:textId="77777777" w:rsidR="006A1AFC" w:rsidRPr="00885AB3" w:rsidRDefault="006A1AFC" w:rsidP="00120D61">
            <w:pPr>
              <w:pStyle w:val="Table"/>
              <w:keepNext/>
              <w:jc w:val="center"/>
              <w:rPr>
                <w:rFonts w:ascii="Arial Narrow" w:eastAsia="Times New Roman" w:hAnsi="Arial Narrow"/>
                <w:b/>
                <w:bCs/>
                <w:szCs w:val="20"/>
                <w:lang w:eastAsia="en-AU" w:bidi="ar-SA"/>
              </w:rPr>
            </w:pPr>
            <w:proofErr w:type="spellStart"/>
            <w:r w:rsidRPr="00885AB3">
              <w:rPr>
                <w:rFonts w:ascii="Arial Narrow" w:eastAsia="Times New Roman" w:hAnsi="Arial Narrow"/>
                <w:b/>
                <w:bCs/>
                <w:szCs w:val="20"/>
                <w:lang w:eastAsia="en-AU" w:bidi="ar-SA"/>
              </w:rPr>
              <w:t>RSVPreF</w:t>
            </w:r>
            <w:proofErr w:type="spellEnd"/>
          </w:p>
        </w:tc>
      </w:tr>
      <w:tr w:rsidR="006A1AFC" w:rsidRPr="00885AB3" w14:paraId="2866B0CB" w14:textId="77777777" w:rsidTr="00217CD7">
        <w:trPr>
          <w:trHeight w:val="198"/>
        </w:trPr>
        <w:tc>
          <w:tcPr>
            <w:tcW w:w="1920" w:type="pct"/>
            <w:noWrap/>
            <w:vAlign w:val="center"/>
          </w:tcPr>
          <w:p w14:paraId="67D1F5FA" w14:textId="77777777" w:rsidR="006A1AFC" w:rsidRPr="00885AB3" w:rsidRDefault="006A1AFC" w:rsidP="00120D61">
            <w:pPr>
              <w:pStyle w:val="Table"/>
              <w:keepNext/>
              <w:rPr>
                <w:rFonts w:ascii="Arial Narrow" w:eastAsia="Times New Roman" w:hAnsi="Arial Narrow"/>
                <w:szCs w:val="20"/>
                <w:lang w:eastAsia="en-AU" w:bidi="ar-SA"/>
              </w:rPr>
            </w:pPr>
            <w:r w:rsidRPr="00885AB3">
              <w:rPr>
                <w:rFonts w:ascii="Arial Narrow" w:hAnsi="Arial Narrow" w:cs="Calibri"/>
                <w:szCs w:val="20"/>
              </w:rPr>
              <w:t>Dose form</w:t>
            </w:r>
          </w:p>
        </w:tc>
        <w:tc>
          <w:tcPr>
            <w:tcW w:w="1540" w:type="pct"/>
            <w:vAlign w:val="center"/>
          </w:tcPr>
          <w:p w14:paraId="7CD66C55" w14:textId="77777777" w:rsidR="006A1AFC" w:rsidRPr="00885AB3" w:rsidRDefault="006A1AFC" w:rsidP="00120D61">
            <w:pPr>
              <w:pStyle w:val="Table"/>
              <w:keepNext/>
              <w:jc w:val="center"/>
              <w:rPr>
                <w:rFonts w:ascii="Arial Narrow" w:hAnsi="Arial Narrow" w:cs="Calibri"/>
                <w:szCs w:val="20"/>
              </w:rPr>
            </w:pPr>
            <w:r w:rsidRPr="00885AB3">
              <w:rPr>
                <w:rFonts w:ascii="Arial Narrow" w:hAnsi="Arial Narrow" w:cs="Calibri"/>
                <w:szCs w:val="20"/>
              </w:rPr>
              <w:t>Injectable</w:t>
            </w:r>
          </w:p>
        </w:tc>
        <w:tc>
          <w:tcPr>
            <w:tcW w:w="1540" w:type="pct"/>
            <w:noWrap/>
            <w:vAlign w:val="center"/>
          </w:tcPr>
          <w:p w14:paraId="4906E407" w14:textId="77777777" w:rsidR="006A1AFC" w:rsidRPr="00885AB3" w:rsidRDefault="006A1AFC" w:rsidP="00120D61">
            <w:pPr>
              <w:pStyle w:val="Table"/>
              <w:keepNext/>
              <w:jc w:val="center"/>
              <w:rPr>
                <w:rFonts w:ascii="Arial Narrow" w:eastAsia="Times New Roman" w:hAnsi="Arial Narrow"/>
                <w:szCs w:val="20"/>
                <w:lang w:eastAsia="en-AU" w:bidi="ar-SA"/>
              </w:rPr>
            </w:pPr>
            <w:r w:rsidRPr="00885AB3">
              <w:rPr>
                <w:rFonts w:ascii="Arial Narrow" w:hAnsi="Arial Narrow" w:cs="Calibri"/>
                <w:szCs w:val="20"/>
              </w:rPr>
              <w:t>Injectable</w:t>
            </w:r>
          </w:p>
        </w:tc>
      </w:tr>
      <w:tr w:rsidR="006A1AFC" w:rsidRPr="00885AB3" w14:paraId="4E043779" w14:textId="77777777" w:rsidTr="00217CD7">
        <w:trPr>
          <w:trHeight w:val="198"/>
        </w:trPr>
        <w:tc>
          <w:tcPr>
            <w:tcW w:w="1920" w:type="pct"/>
            <w:noWrap/>
            <w:vAlign w:val="center"/>
          </w:tcPr>
          <w:p w14:paraId="069923D5" w14:textId="77777777" w:rsidR="006A1AFC" w:rsidRPr="00885AB3" w:rsidRDefault="006A1AFC" w:rsidP="00120D61">
            <w:pPr>
              <w:pStyle w:val="Table"/>
              <w:keepNext/>
              <w:rPr>
                <w:rFonts w:ascii="Arial Narrow" w:eastAsia="Times New Roman" w:hAnsi="Arial Narrow"/>
                <w:szCs w:val="20"/>
                <w:lang w:eastAsia="en-AU" w:bidi="ar-SA"/>
              </w:rPr>
            </w:pPr>
            <w:r w:rsidRPr="00885AB3">
              <w:rPr>
                <w:rFonts w:ascii="Arial Narrow" w:hAnsi="Arial Narrow" w:cs="Calibri"/>
                <w:szCs w:val="20"/>
              </w:rPr>
              <w:t>Presentation and pack</w:t>
            </w:r>
          </w:p>
        </w:tc>
        <w:tc>
          <w:tcPr>
            <w:tcW w:w="1540" w:type="pct"/>
            <w:vAlign w:val="center"/>
          </w:tcPr>
          <w:p w14:paraId="3C004BD1" w14:textId="77777777" w:rsidR="006A1AFC" w:rsidRPr="00885AB3" w:rsidRDefault="006A1AFC" w:rsidP="00120D61">
            <w:pPr>
              <w:pStyle w:val="Table"/>
              <w:keepNext/>
              <w:jc w:val="center"/>
              <w:rPr>
                <w:rFonts w:ascii="Arial Narrow" w:hAnsi="Arial Narrow" w:cs="Calibri"/>
                <w:szCs w:val="20"/>
              </w:rPr>
            </w:pPr>
            <w:r w:rsidRPr="00885AB3">
              <w:rPr>
                <w:rFonts w:ascii="Arial Narrow" w:hAnsi="Arial Narrow" w:cs="Calibri"/>
                <w:szCs w:val="20"/>
              </w:rPr>
              <w:t>Pre-filled syringe, single</w:t>
            </w:r>
          </w:p>
        </w:tc>
        <w:tc>
          <w:tcPr>
            <w:tcW w:w="1540" w:type="pct"/>
            <w:noWrap/>
            <w:vAlign w:val="center"/>
          </w:tcPr>
          <w:p w14:paraId="7269558F" w14:textId="77777777" w:rsidR="006A1AFC" w:rsidRPr="00885AB3" w:rsidRDefault="006A1AFC" w:rsidP="00120D61">
            <w:pPr>
              <w:pStyle w:val="Table"/>
              <w:keepNext/>
              <w:jc w:val="center"/>
              <w:rPr>
                <w:rFonts w:ascii="Arial Narrow" w:eastAsia="Times New Roman" w:hAnsi="Arial Narrow"/>
                <w:szCs w:val="20"/>
                <w:lang w:eastAsia="en-AU" w:bidi="ar-SA"/>
              </w:rPr>
            </w:pPr>
            <w:r w:rsidRPr="00885AB3">
              <w:rPr>
                <w:rFonts w:ascii="Arial Narrow" w:hAnsi="Arial Narrow" w:cs="Calibri"/>
                <w:szCs w:val="20"/>
              </w:rPr>
              <w:t>Syringe and diluent, single, requiring reconstitution</w:t>
            </w:r>
          </w:p>
        </w:tc>
      </w:tr>
      <w:tr w:rsidR="006A1AFC" w:rsidRPr="00885AB3" w14:paraId="02D41637" w14:textId="77777777" w:rsidTr="00217CD7">
        <w:trPr>
          <w:trHeight w:val="198"/>
        </w:trPr>
        <w:tc>
          <w:tcPr>
            <w:tcW w:w="1920" w:type="pct"/>
            <w:noWrap/>
            <w:vAlign w:val="center"/>
          </w:tcPr>
          <w:p w14:paraId="12D105C9" w14:textId="77777777" w:rsidR="006A1AFC" w:rsidRPr="00885AB3" w:rsidRDefault="006A1AFC" w:rsidP="00120D61">
            <w:pPr>
              <w:pStyle w:val="Table"/>
              <w:keepNext/>
              <w:rPr>
                <w:rFonts w:ascii="Arial Narrow" w:eastAsia="Times New Roman" w:hAnsi="Arial Narrow"/>
                <w:szCs w:val="20"/>
                <w:lang w:eastAsia="en-AU" w:bidi="ar-SA"/>
              </w:rPr>
            </w:pPr>
            <w:r w:rsidRPr="00885AB3">
              <w:rPr>
                <w:rFonts w:ascii="Arial Narrow" w:hAnsi="Arial Narrow" w:cs="Calibri"/>
                <w:szCs w:val="20"/>
              </w:rPr>
              <w:t>Therapeutic dose</w:t>
            </w:r>
          </w:p>
        </w:tc>
        <w:tc>
          <w:tcPr>
            <w:tcW w:w="1540" w:type="pct"/>
            <w:vAlign w:val="center"/>
          </w:tcPr>
          <w:p w14:paraId="77D7A7EA" w14:textId="29CBFB1E" w:rsidR="006A1AFC" w:rsidRPr="00885AB3" w:rsidRDefault="006A1AFC" w:rsidP="00120D61">
            <w:pPr>
              <w:pStyle w:val="Table"/>
              <w:keepNext/>
              <w:jc w:val="center"/>
              <w:rPr>
                <w:rFonts w:ascii="Arial Narrow" w:hAnsi="Arial Narrow" w:cs="Calibri"/>
                <w:szCs w:val="20"/>
              </w:rPr>
            </w:pPr>
            <w:r w:rsidRPr="00885AB3">
              <w:rPr>
                <w:rFonts w:ascii="Arial Narrow" w:hAnsi="Arial Narrow" w:cs="Calibri"/>
                <w:szCs w:val="20"/>
              </w:rPr>
              <w:t>50 micrograms/0.5 mL</w:t>
            </w:r>
          </w:p>
        </w:tc>
        <w:tc>
          <w:tcPr>
            <w:tcW w:w="1540" w:type="pct"/>
            <w:noWrap/>
            <w:vAlign w:val="center"/>
          </w:tcPr>
          <w:p w14:paraId="2751A92E" w14:textId="069F5E99" w:rsidR="006A1AFC" w:rsidRPr="00885AB3" w:rsidRDefault="004C0A42" w:rsidP="00120D61">
            <w:pPr>
              <w:pStyle w:val="Table"/>
              <w:keepNext/>
              <w:jc w:val="center"/>
              <w:rPr>
                <w:rFonts w:ascii="Arial Narrow" w:eastAsia="Times New Roman" w:hAnsi="Arial Narrow"/>
                <w:szCs w:val="20"/>
                <w:lang w:eastAsia="en-AU" w:bidi="ar-SA"/>
              </w:rPr>
            </w:pPr>
            <w:r w:rsidRPr="00885AB3">
              <w:rPr>
                <w:rFonts w:ascii="Arial Narrow" w:hAnsi="Arial Narrow" w:cs="Calibri"/>
                <w:szCs w:val="20"/>
              </w:rPr>
              <w:t xml:space="preserve">120 </w:t>
            </w:r>
            <w:r w:rsidR="006A1AFC" w:rsidRPr="00885AB3">
              <w:rPr>
                <w:rFonts w:ascii="Arial Narrow" w:hAnsi="Arial Narrow" w:cs="Calibri"/>
                <w:szCs w:val="20"/>
              </w:rPr>
              <w:t>microgram/0.5 mL</w:t>
            </w:r>
          </w:p>
        </w:tc>
      </w:tr>
      <w:tr w:rsidR="006A1AFC" w:rsidRPr="00885AB3" w14:paraId="218FC86E" w14:textId="77777777" w:rsidTr="00217CD7">
        <w:trPr>
          <w:trHeight w:val="198"/>
        </w:trPr>
        <w:tc>
          <w:tcPr>
            <w:tcW w:w="1920" w:type="pct"/>
            <w:noWrap/>
            <w:vAlign w:val="center"/>
          </w:tcPr>
          <w:p w14:paraId="1D6500EB" w14:textId="77777777" w:rsidR="006A1AFC" w:rsidRPr="00885AB3" w:rsidRDefault="006A1AFC" w:rsidP="00120D61">
            <w:pPr>
              <w:pStyle w:val="Table"/>
              <w:keepNext/>
              <w:rPr>
                <w:rFonts w:ascii="Arial Narrow" w:eastAsia="Times New Roman" w:hAnsi="Arial Narrow"/>
                <w:szCs w:val="20"/>
                <w:lang w:eastAsia="en-AU" w:bidi="ar-SA"/>
              </w:rPr>
            </w:pPr>
            <w:r w:rsidRPr="00885AB3">
              <w:rPr>
                <w:rFonts w:ascii="Arial Narrow" w:hAnsi="Arial Narrow" w:cs="Calibri"/>
                <w:szCs w:val="20"/>
              </w:rPr>
              <w:t>Dose, mL</w:t>
            </w:r>
          </w:p>
        </w:tc>
        <w:tc>
          <w:tcPr>
            <w:tcW w:w="1540" w:type="pct"/>
          </w:tcPr>
          <w:p w14:paraId="46E0EF0C" w14:textId="77777777" w:rsidR="006A1AFC" w:rsidRPr="00885AB3" w:rsidRDefault="006A1AFC" w:rsidP="00120D61">
            <w:pPr>
              <w:pStyle w:val="Table"/>
              <w:keepNext/>
              <w:jc w:val="center"/>
              <w:rPr>
                <w:rFonts w:ascii="Arial Narrow" w:hAnsi="Arial Narrow" w:cs="Calibri"/>
                <w:szCs w:val="20"/>
              </w:rPr>
            </w:pPr>
            <w:r w:rsidRPr="00885AB3">
              <w:rPr>
                <w:rFonts w:ascii="Arial Narrow" w:hAnsi="Arial Narrow" w:cs="Calibri"/>
                <w:szCs w:val="20"/>
              </w:rPr>
              <w:t>0.5</w:t>
            </w:r>
          </w:p>
        </w:tc>
        <w:tc>
          <w:tcPr>
            <w:tcW w:w="1540" w:type="pct"/>
            <w:noWrap/>
          </w:tcPr>
          <w:p w14:paraId="3E3F6844" w14:textId="77777777" w:rsidR="006A1AFC" w:rsidRPr="00885AB3" w:rsidRDefault="006A1AFC" w:rsidP="00120D61">
            <w:pPr>
              <w:pStyle w:val="Table"/>
              <w:keepNext/>
              <w:jc w:val="center"/>
              <w:rPr>
                <w:rFonts w:ascii="Arial Narrow" w:eastAsia="Times New Roman" w:hAnsi="Arial Narrow"/>
                <w:szCs w:val="20"/>
                <w:lang w:eastAsia="en-AU" w:bidi="ar-SA"/>
              </w:rPr>
            </w:pPr>
            <w:r w:rsidRPr="00885AB3">
              <w:rPr>
                <w:rFonts w:ascii="Arial Narrow" w:hAnsi="Arial Narrow" w:cs="Calibri"/>
                <w:szCs w:val="20"/>
              </w:rPr>
              <w:t>0.5</w:t>
            </w:r>
          </w:p>
        </w:tc>
      </w:tr>
      <w:tr w:rsidR="006A1AFC" w:rsidRPr="00885AB3" w14:paraId="04838C5E" w14:textId="77777777" w:rsidTr="00217CD7">
        <w:trPr>
          <w:trHeight w:val="198"/>
        </w:trPr>
        <w:tc>
          <w:tcPr>
            <w:tcW w:w="1920" w:type="pct"/>
            <w:noWrap/>
            <w:vAlign w:val="center"/>
          </w:tcPr>
          <w:p w14:paraId="2408E1A1" w14:textId="77777777" w:rsidR="006A1AFC" w:rsidRPr="00885AB3" w:rsidRDefault="006A1AFC" w:rsidP="00120D61">
            <w:pPr>
              <w:pStyle w:val="Table"/>
              <w:keepNext/>
              <w:rPr>
                <w:rFonts w:ascii="Arial Narrow" w:eastAsia="Times New Roman" w:hAnsi="Arial Narrow"/>
                <w:szCs w:val="20"/>
                <w:lang w:eastAsia="en-AU" w:bidi="ar-SA"/>
              </w:rPr>
            </w:pPr>
            <w:r w:rsidRPr="00885AB3">
              <w:rPr>
                <w:rFonts w:ascii="Arial Narrow" w:hAnsi="Arial Narrow" w:cs="Calibri"/>
                <w:szCs w:val="20"/>
              </w:rPr>
              <w:t>Doses required, n</w:t>
            </w:r>
          </w:p>
        </w:tc>
        <w:tc>
          <w:tcPr>
            <w:tcW w:w="1540" w:type="pct"/>
          </w:tcPr>
          <w:p w14:paraId="03C4A3C6" w14:textId="77777777" w:rsidR="006A1AFC" w:rsidRPr="00885AB3" w:rsidRDefault="006A1AFC" w:rsidP="00120D61">
            <w:pPr>
              <w:pStyle w:val="Table"/>
              <w:keepNext/>
              <w:jc w:val="center"/>
              <w:rPr>
                <w:rFonts w:ascii="Arial Narrow" w:hAnsi="Arial Narrow" w:cs="Calibri"/>
                <w:szCs w:val="20"/>
              </w:rPr>
            </w:pPr>
            <w:r w:rsidRPr="00885AB3">
              <w:rPr>
                <w:rFonts w:ascii="Arial Narrow" w:hAnsi="Arial Narrow" w:cs="Calibri"/>
                <w:szCs w:val="20"/>
              </w:rPr>
              <w:t>1</w:t>
            </w:r>
          </w:p>
        </w:tc>
        <w:tc>
          <w:tcPr>
            <w:tcW w:w="1540" w:type="pct"/>
            <w:noWrap/>
          </w:tcPr>
          <w:p w14:paraId="29CBA4F1" w14:textId="77777777" w:rsidR="006A1AFC" w:rsidRPr="00885AB3" w:rsidRDefault="006A1AFC" w:rsidP="00120D61">
            <w:pPr>
              <w:pStyle w:val="Table"/>
              <w:keepNext/>
              <w:jc w:val="center"/>
              <w:rPr>
                <w:rFonts w:ascii="Arial Narrow" w:eastAsia="Times New Roman" w:hAnsi="Arial Narrow"/>
                <w:szCs w:val="20"/>
                <w:lang w:eastAsia="en-AU" w:bidi="ar-SA"/>
              </w:rPr>
            </w:pPr>
            <w:r w:rsidRPr="00885AB3">
              <w:rPr>
                <w:rFonts w:ascii="Arial Narrow" w:hAnsi="Arial Narrow" w:cs="Calibri"/>
                <w:szCs w:val="20"/>
              </w:rPr>
              <w:t>1</w:t>
            </w:r>
          </w:p>
        </w:tc>
      </w:tr>
      <w:tr w:rsidR="006A1AFC" w:rsidRPr="00885AB3" w14:paraId="11794723" w14:textId="77777777" w:rsidTr="00217CD7">
        <w:trPr>
          <w:trHeight w:val="198"/>
        </w:trPr>
        <w:tc>
          <w:tcPr>
            <w:tcW w:w="1920" w:type="pct"/>
            <w:noWrap/>
            <w:vAlign w:val="center"/>
          </w:tcPr>
          <w:p w14:paraId="45ACAB52" w14:textId="77777777" w:rsidR="006A1AFC" w:rsidRPr="00885AB3" w:rsidRDefault="006A1AFC" w:rsidP="00120D61">
            <w:pPr>
              <w:pStyle w:val="Table"/>
              <w:keepNext/>
              <w:rPr>
                <w:rFonts w:ascii="Arial Narrow" w:eastAsia="Times New Roman" w:hAnsi="Arial Narrow"/>
                <w:szCs w:val="20"/>
                <w:lang w:eastAsia="en-AU" w:bidi="ar-SA"/>
              </w:rPr>
            </w:pPr>
            <w:r w:rsidRPr="00885AB3">
              <w:rPr>
                <w:rFonts w:ascii="Arial Narrow" w:hAnsi="Arial Narrow" w:cs="Calibri"/>
                <w:szCs w:val="20"/>
              </w:rPr>
              <w:t>Packs required</w:t>
            </w:r>
          </w:p>
        </w:tc>
        <w:tc>
          <w:tcPr>
            <w:tcW w:w="1540" w:type="pct"/>
          </w:tcPr>
          <w:p w14:paraId="0C3532F9" w14:textId="77777777" w:rsidR="006A1AFC" w:rsidRPr="00885AB3" w:rsidRDefault="006A1AFC" w:rsidP="00120D61">
            <w:pPr>
              <w:pStyle w:val="Table"/>
              <w:keepNext/>
              <w:jc w:val="center"/>
              <w:rPr>
                <w:rFonts w:ascii="Arial Narrow" w:hAnsi="Arial Narrow" w:cs="Calibri"/>
                <w:szCs w:val="20"/>
              </w:rPr>
            </w:pPr>
            <w:r w:rsidRPr="00885AB3">
              <w:rPr>
                <w:rFonts w:ascii="Arial Narrow" w:hAnsi="Arial Narrow" w:cs="Calibri"/>
                <w:szCs w:val="20"/>
              </w:rPr>
              <w:t>1.00</w:t>
            </w:r>
          </w:p>
        </w:tc>
        <w:tc>
          <w:tcPr>
            <w:tcW w:w="1540" w:type="pct"/>
            <w:noWrap/>
          </w:tcPr>
          <w:p w14:paraId="6FF12730" w14:textId="77777777" w:rsidR="006A1AFC" w:rsidRPr="00885AB3" w:rsidRDefault="006A1AFC" w:rsidP="00120D61">
            <w:pPr>
              <w:pStyle w:val="Table"/>
              <w:keepNext/>
              <w:jc w:val="center"/>
              <w:rPr>
                <w:rFonts w:ascii="Arial Narrow" w:eastAsia="Times New Roman" w:hAnsi="Arial Narrow"/>
                <w:szCs w:val="20"/>
                <w:lang w:eastAsia="en-AU" w:bidi="ar-SA"/>
              </w:rPr>
            </w:pPr>
            <w:r w:rsidRPr="00885AB3">
              <w:rPr>
                <w:rFonts w:ascii="Arial Narrow" w:hAnsi="Arial Narrow" w:cs="Calibri"/>
                <w:szCs w:val="20"/>
              </w:rPr>
              <w:t>1.00</w:t>
            </w:r>
          </w:p>
        </w:tc>
      </w:tr>
      <w:tr w:rsidR="006A1AFC" w:rsidRPr="00885AB3" w14:paraId="10E3396E" w14:textId="77777777" w:rsidTr="00217CD7">
        <w:trPr>
          <w:trHeight w:val="198"/>
        </w:trPr>
        <w:tc>
          <w:tcPr>
            <w:tcW w:w="1920" w:type="pct"/>
            <w:noWrap/>
            <w:vAlign w:val="center"/>
          </w:tcPr>
          <w:p w14:paraId="74AAD65D" w14:textId="77777777" w:rsidR="006A1AFC" w:rsidRPr="00885AB3" w:rsidRDefault="006A1AFC" w:rsidP="00120D61">
            <w:pPr>
              <w:pStyle w:val="Table"/>
              <w:keepNext/>
              <w:rPr>
                <w:rFonts w:ascii="Arial Narrow" w:eastAsia="Times New Roman" w:hAnsi="Arial Narrow"/>
                <w:szCs w:val="20"/>
                <w:lang w:eastAsia="en-AU" w:bidi="ar-SA"/>
              </w:rPr>
            </w:pPr>
            <w:r w:rsidRPr="00885AB3">
              <w:rPr>
                <w:rFonts w:ascii="Arial Narrow" w:hAnsi="Arial Narrow" w:cs="Calibri"/>
                <w:b/>
                <w:bCs/>
                <w:szCs w:val="20"/>
              </w:rPr>
              <w:t>Vaccine acquisition cost</w:t>
            </w:r>
          </w:p>
        </w:tc>
        <w:tc>
          <w:tcPr>
            <w:tcW w:w="1540" w:type="pct"/>
          </w:tcPr>
          <w:p w14:paraId="58EEA705" w14:textId="69ED8971" w:rsidR="006A1AFC" w:rsidRPr="00885AB3" w:rsidRDefault="006A1AFC" w:rsidP="00120D61">
            <w:pPr>
              <w:pStyle w:val="Table"/>
              <w:keepNext/>
              <w:jc w:val="center"/>
              <w:rPr>
                <w:rFonts w:ascii="Arial Narrow" w:hAnsi="Arial Narrow" w:cs="Calibri"/>
                <w:b/>
                <w:bCs/>
                <w:szCs w:val="20"/>
              </w:rPr>
            </w:pPr>
            <w:r w:rsidRPr="00885AB3">
              <w:rPr>
                <w:rFonts w:ascii="Arial Narrow" w:hAnsi="Arial Narrow" w:cs="Calibri"/>
                <w:b/>
                <w:bCs/>
                <w:szCs w:val="20"/>
              </w:rPr>
              <w:t>$</w:t>
            </w:r>
            <w:r w:rsidR="004B5AFE" w:rsidRPr="004B5AFE">
              <w:rPr>
                <w:rFonts w:ascii="Arial Narrow" w:hAnsi="Arial Narrow" w:cs="Calibri"/>
                <w:b/>
                <w:bCs/>
                <w:szCs w:val="20"/>
                <w:highlight w:val="black"/>
              </w:rPr>
              <w:t xml:space="preserve"> &amp;&amp;&amp;&amp;</w:t>
            </w:r>
          </w:p>
        </w:tc>
        <w:tc>
          <w:tcPr>
            <w:tcW w:w="1540" w:type="pct"/>
            <w:noWrap/>
          </w:tcPr>
          <w:p w14:paraId="568A40C2" w14:textId="77777777" w:rsidR="006A1AFC" w:rsidRPr="00885AB3" w:rsidRDefault="006A1AFC" w:rsidP="00120D61">
            <w:pPr>
              <w:pStyle w:val="Table"/>
              <w:keepNext/>
              <w:jc w:val="center"/>
              <w:rPr>
                <w:rFonts w:ascii="Arial Narrow" w:eastAsia="Times New Roman" w:hAnsi="Arial Narrow"/>
                <w:szCs w:val="20"/>
                <w:lang w:eastAsia="en-AU" w:bidi="ar-SA"/>
              </w:rPr>
            </w:pPr>
            <w:r w:rsidRPr="00885AB3">
              <w:rPr>
                <w:rFonts w:ascii="Arial Narrow" w:hAnsi="Arial Narrow" w:cs="Calibri"/>
                <w:b/>
                <w:bCs/>
                <w:szCs w:val="20"/>
              </w:rPr>
              <w:t>$331.99</w:t>
            </w:r>
          </w:p>
        </w:tc>
      </w:tr>
      <w:tr w:rsidR="006A1AFC" w:rsidRPr="00885AB3" w14:paraId="23334D67" w14:textId="77777777" w:rsidTr="00217CD7">
        <w:trPr>
          <w:trHeight w:val="198"/>
        </w:trPr>
        <w:tc>
          <w:tcPr>
            <w:tcW w:w="1920" w:type="pct"/>
            <w:noWrap/>
            <w:vAlign w:val="center"/>
          </w:tcPr>
          <w:p w14:paraId="781EFA76" w14:textId="77777777" w:rsidR="006A1AFC" w:rsidRPr="00885AB3" w:rsidRDefault="006A1AFC" w:rsidP="00120D61">
            <w:pPr>
              <w:pStyle w:val="Table"/>
              <w:keepNext/>
              <w:rPr>
                <w:rFonts w:ascii="Arial Narrow" w:eastAsia="Times New Roman" w:hAnsi="Arial Narrow"/>
                <w:szCs w:val="20"/>
                <w:lang w:eastAsia="en-AU" w:bidi="ar-SA"/>
              </w:rPr>
            </w:pPr>
            <w:r w:rsidRPr="00885AB3">
              <w:rPr>
                <w:rFonts w:ascii="Arial Narrow" w:hAnsi="Arial Narrow" w:cs="Calibri"/>
                <w:szCs w:val="20"/>
              </w:rPr>
              <w:t>Administration cost: MBS item 3 (June 2025)</w:t>
            </w:r>
          </w:p>
        </w:tc>
        <w:tc>
          <w:tcPr>
            <w:tcW w:w="1540" w:type="pct"/>
          </w:tcPr>
          <w:p w14:paraId="577B8856" w14:textId="77777777" w:rsidR="006A1AFC" w:rsidRPr="00885AB3" w:rsidRDefault="006A1AFC" w:rsidP="00120D61">
            <w:pPr>
              <w:pStyle w:val="Table"/>
              <w:keepNext/>
              <w:jc w:val="center"/>
              <w:rPr>
                <w:rFonts w:ascii="Arial Narrow" w:hAnsi="Arial Narrow" w:cs="Calibri"/>
                <w:szCs w:val="20"/>
              </w:rPr>
            </w:pPr>
            <w:r w:rsidRPr="00885AB3">
              <w:rPr>
                <w:rFonts w:ascii="Arial Narrow" w:hAnsi="Arial Narrow" w:cs="Calibri"/>
                <w:szCs w:val="20"/>
              </w:rPr>
              <w:t>$19.60</w:t>
            </w:r>
          </w:p>
        </w:tc>
        <w:tc>
          <w:tcPr>
            <w:tcW w:w="1540" w:type="pct"/>
            <w:noWrap/>
          </w:tcPr>
          <w:p w14:paraId="392A34AB" w14:textId="77777777" w:rsidR="006A1AFC" w:rsidRPr="00885AB3" w:rsidRDefault="006A1AFC" w:rsidP="00120D61">
            <w:pPr>
              <w:pStyle w:val="Table"/>
              <w:keepNext/>
              <w:jc w:val="center"/>
              <w:rPr>
                <w:rFonts w:ascii="Arial Narrow" w:eastAsia="Times New Roman" w:hAnsi="Arial Narrow"/>
                <w:szCs w:val="20"/>
                <w:lang w:eastAsia="en-AU" w:bidi="ar-SA"/>
              </w:rPr>
            </w:pPr>
            <w:r w:rsidRPr="00885AB3">
              <w:rPr>
                <w:rFonts w:ascii="Arial Narrow" w:hAnsi="Arial Narrow" w:cs="Calibri"/>
                <w:szCs w:val="20"/>
              </w:rPr>
              <w:t>$19.60</w:t>
            </w:r>
          </w:p>
        </w:tc>
      </w:tr>
      <w:tr w:rsidR="006A1AFC" w:rsidRPr="00885AB3" w14:paraId="18F828FE" w14:textId="77777777" w:rsidTr="00217CD7">
        <w:trPr>
          <w:trHeight w:val="198"/>
        </w:trPr>
        <w:tc>
          <w:tcPr>
            <w:tcW w:w="1920" w:type="pct"/>
            <w:noWrap/>
          </w:tcPr>
          <w:p w14:paraId="022D34A0" w14:textId="77777777" w:rsidR="006A1AFC" w:rsidRPr="00885AB3" w:rsidRDefault="006A1AFC" w:rsidP="00120D61">
            <w:pPr>
              <w:pStyle w:val="Table"/>
              <w:keepNext/>
              <w:rPr>
                <w:rFonts w:ascii="Arial Narrow" w:eastAsia="Times New Roman" w:hAnsi="Arial Narrow"/>
                <w:szCs w:val="20"/>
                <w:lang w:eastAsia="en-AU" w:bidi="ar-SA"/>
              </w:rPr>
            </w:pPr>
            <w:r w:rsidRPr="00885AB3">
              <w:rPr>
                <w:rFonts w:ascii="Arial Narrow" w:hAnsi="Arial Narrow" w:cs="Calibri"/>
                <w:b/>
                <w:bCs/>
                <w:szCs w:val="20"/>
              </w:rPr>
              <w:t xml:space="preserve">Cost of vaccine </w:t>
            </w:r>
          </w:p>
        </w:tc>
        <w:tc>
          <w:tcPr>
            <w:tcW w:w="1540" w:type="pct"/>
          </w:tcPr>
          <w:p w14:paraId="1B488730" w14:textId="2521C9CA" w:rsidR="006A1AFC" w:rsidRPr="00885AB3" w:rsidRDefault="006A1AFC" w:rsidP="00120D61">
            <w:pPr>
              <w:pStyle w:val="Table"/>
              <w:keepNext/>
              <w:jc w:val="center"/>
              <w:rPr>
                <w:rFonts w:ascii="Arial Narrow" w:hAnsi="Arial Narrow"/>
                <w:b/>
                <w:szCs w:val="20"/>
              </w:rPr>
            </w:pPr>
            <w:r w:rsidRPr="00885AB3">
              <w:rPr>
                <w:rFonts w:ascii="Arial Narrow" w:hAnsi="Arial Narrow"/>
                <w:b/>
                <w:szCs w:val="20"/>
              </w:rPr>
              <w:t>$</w:t>
            </w:r>
            <w:r w:rsidR="004B5AFE" w:rsidRPr="004B5AFE">
              <w:rPr>
                <w:rFonts w:ascii="Arial Narrow" w:hAnsi="Arial Narrow"/>
                <w:b/>
                <w:szCs w:val="20"/>
                <w:highlight w:val="black"/>
              </w:rPr>
              <w:t xml:space="preserve"> &amp;&amp;&amp;&amp;</w:t>
            </w:r>
          </w:p>
        </w:tc>
        <w:tc>
          <w:tcPr>
            <w:tcW w:w="1540" w:type="pct"/>
            <w:noWrap/>
          </w:tcPr>
          <w:p w14:paraId="48770498" w14:textId="77777777" w:rsidR="006A1AFC" w:rsidRPr="00885AB3" w:rsidRDefault="006A1AFC" w:rsidP="00120D61">
            <w:pPr>
              <w:pStyle w:val="Table"/>
              <w:keepNext/>
              <w:jc w:val="center"/>
              <w:rPr>
                <w:rFonts w:ascii="Arial Narrow" w:eastAsia="Times New Roman" w:hAnsi="Arial Narrow"/>
                <w:b/>
                <w:szCs w:val="20"/>
                <w:lang w:eastAsia="en-AU" w:bidi="ar-SA"/>
              </w:rPr>
            </w:pPr>
            <w:r w:rsidRPr="00885AB3">
              <w:rPr>
                <w:rFonts w:ascii="Arial Narrow" w:hAnsi="Arial Narrow"/>
                <w:b/>
                <w:szCs w:val="20"/>
              </w:rPr>
              <w:t>$351.59</w:t>
            </w:r>
          </w:p>
        </w:tc>
      </w:tr>
    </w:tbl>
    <w:p w14:paraId="03494FB9" w14:textId="77777777" w:rsidR="006A1AFC" w:rsidRPr="00885AB3" w:rsidRDefault="006A1AFC" w:rsidP="00120D61">
      <w:pPr>
        <w:pStyle w:val="3-BodyText"/>
        <w:keepNext/>
        <w:numPr>
          <w:ilvl w:val="0"/>
          <w:numId w:val="0"/>
        </w:numPr>
        <w:spacing w:before="0" w:after="0"/>
        <w:rPr>
          <w:rFonts w:ascii="Arial Narrow" w:hAnsi="Arial Narrow" w:cs="Calibri"/>
          <w:sz w:val="18"/>
          <w:szCs w:val="16"/>
        </w:rPr>
      </w:pPr>
      <w:r w:rsidRPr="00885AB3">
        <w:rPr>
          <w:rFonts w:ascii="Arial Narrow" w:hAnsi="Arial Narrow" w:cs="Calibri"/>
          <w:sz w:val="18"/>
          <w:szCs w:val="16"/>
        </w:rPr>
        <w:t xml:space="preserve">Source: Table 3-2, pp217-218 of the submission. </w:t>
      </w:r>
    </w:p>
    <w:p w14:paraId="2E842F92" w14:textId="0A97313C" w:rsidR="006A1AFC" w:rsidRPr="00885AB3" w:rsidRDefault="006A1AFC" w:rsidP="00120D61">
      <w:pPr>
        <w:pStyle w:val="3-BodyText"/>
        <w:keepNext/>
        <w:numPr>
          <w:ilvl w:val="0"/>
          <w:numId w:val="0"/>
        </w:numPr>
        <w:spacing w:before="0"/>
        <w:rPr>
          <w:rFonts w:ascii="Arial Narrow" w:hAnsi="Arial Narrow" w:cs="Calibri"/>
          <w:sz w:val="18"/>
          <w:szCs w:val="16"/>
        </w:rPr>
      </w:pPr>
      <w:r w:rsidRPr="00885AB3">
        <w:rPr>
          <w:rFonts w:ascii="Arial Narrow" w:hAnsi="Arial Narrow" w:cs="Calibri"/>
          <w:sz w:val="18"/>
          <w:szCs w:val="16"/>
        </w:rPr>
        <w:t>mL = millilitre; MBS = Medicare Benefits Schedule; n = number</w:t>
      </w:r>
      <w:r w:rsidR="003E7C30" w:rsidRPr="00885AB3">
        <w:rPr>
          <w:rFonts w:ascii="Arial Narrow" w:hAnsi="Arial Narrow" w:cs="Calibri"/>
          <w:sz w:val="18"/>
          <w:szCs w:val="16"/>
        </w:rPr>
        <w:t>.</w:t>
      </w:r>
    </w:p>
    <w:p w14:paraId="3F2C2EC9" w14:textId="4A49CF91" w:rsidR="00B068C8" w:rsidRPr="00885AB3" w:rsidRDefault="006A1AFC" w:rsidP="00120D61">
      <w:pPr>
        <w:pStyle w:val="3-BodyText"/>
        <w:rPr>
          <w:rFonts w:cs="Calibri"/>
          <w:i/>
        </w:rPr>
      </w:pPr>
      <w:r w:rsidRPr="00885AB3">
        <w:rPr>
          <w:rFonts w:cs="Calibri"/>
        </w:rPr>
        <w:t xml:space="preserve">The submission proposed equi-effective doses of mRNA-1345 50 mcg/0.5 mL </w:t>
      </w:r>
      <w:r w:rsidR="00C93494" w:rsidRPr="00885AB3">
        <w:rPr>
          <w:rFonts w:cs="Calibri"/>
        </w:rPr>
        <w:t>and</w:t>
      </w:r>
      <w:r w:rsidRPr="00885AB3">
        <w:rPr>
          <w:rFonts w:cs="Calibri"/>
        </w:rPr>
        <w:t xml:space="preserve"> </w:t>
      </w:r>
      <w:proofErr w:type="spellStart"/>
      <w:r w:rsidRPr="00885AB3">
        <w:rPr>
          <w:rFonts w:cs="Calibri"/>
        </w:rPr>
        <w:t>RSVPreF</w:t>
      </w:r>
      <w:proofErr w:type="spellEnd"/>
      <w:r w:rsidRPr="00885AB3">
        <w:rPr>
          <w:rFonts w:cs="Calibri"/>
        </w:rPr>
        <w:t xml:space="preserve"> </w:t>
      </w:r>
      <w:r w:rsidR="004C0A42" w:rsidRPr="00885AB3">
        <w:rPr>
          <w:rFonts w:cs="Calibri"/>
        </w:rPr>
        <w:t xml:space="preserve">120 </w:t>
      </w:r>
      <w:r w:rsidRPr="00885AB3">
        <w:rPr>
          <w:rFonts w:cs="Calibri"/>
        </w:rPr>
        <w:t xml:space="preserve">mcg/0.5 mL for the basis of the </w:t>
      </w:r>
      <w:r w:rsidR="0020322D" w:rsidRPr="00885AB3">
        <w:rPr>
          <w:rFonts w:cs="Calibri"/>
        </w:rPr>
        <w:t>CMA</w:t>
      </w:r>
      <w:r w:rsidRPr="00885AB3">
        <w:rPr>
          <w:rFonts w:cs="Calibri"/>
        </w:rPr>
        <w:t xml:space="preserve">. The submission noted that marginally different adverse event profiles were observed in the two pivotal trials for mRNA-1345 and </w:t>
      </w:r>
      <w:proofErr w:type="spellStart"/>
      <w:r w:rsidRPr="00885AB3">
        <w:rPr>
          <w:rFonts w:cs="Calibri"/>
        </w:rPr>
        <w:t>RSVPreF</w:t>
      </w:r>
      <w:proofErr w:type="spellEnd"/>
      <w:r w:rsidR="00C16F08" w:rsidRPr="00885AB3">
        <w:rPr>
          <w:rFonts w:cs="Calibri"/>
        </w:rPr>
        <w:t>,</w:t>
      </w:r>
      <w:r w:rsidRPr="00885AB3">
        <w:rPr>
          <w:rFonts w:cs="Calibri"/>
        </w:rPr>
        <w:t xml:space="preserve"> which is not expected to significantly impact their therapeutic comparability. </w:t>
      </w:r>
    </w:p>
    <w:p w14:paraId="4EDD9BF8" w14:textId="62D3868E" w:rsidR="00DB32CD" w:rsidRPr="00885AB3" w:rsidRDefault="00504D8E" w:rsidP="00120D61">
      <w:pPr>
        <w:pStyle w:val="3-BodyText"/>
        <w:rPr>
          <w:rFonts w:cs="Calibri"/>
          <w:i/>
        </w:rPr>
      </w:pPr>
      <w:r w:rsidRPr="00885AB3">
        <w:rPr>
          <w:rFonts w:cs="Calibri"/>
          <w:iCs/>
        </w:rPr>
        <w:t xml:space="preserve">Since the non-inferiority between mRNA-1345 and </w:t>
      </w:r>
      <w:proofErr w:type="spellStart"/>
      <w:r w:rsidRPr="00885AB3">
        <w:rPr>
          <w:rFonts w:cs="Calibri"/>
          <w:iCs/>
        </w:rPr>
        <w:t>RSVPreF</w:t>
      </w:r>
      <w:proofErr w:type="spellEnd"/>
      <w:r w:rsidRPr="00885AB3">
        <w:rPr>
          <w:rFonts w:cs="Calibri"/>
          <w:iCs/>
        </w:rPr>
        <w:t xml:space="preserve"> has not been established, the cost-minimisation approach comparing mRNA-1345 with </w:t>
      </w:r>
      <w:proofErr w:type="spellStart"/>
      <w:r w:rsidRPr="00885AB3">
        <w:rPr>
          <w:rFonts w:cs="Calibri"/>
          <w:iCs/>
        </w:rPr>
        <w:t>RSVPreF</w:t>
      </w:r>
      <w:proofErr w:type="spellEnd"/>
      <w:r w:rsidRPr="00885AB3">
        <w:rPr>
          <w:rFonts w:cs="Calibri"/>
          <w:iCs/>
        </w:rPr>
        <w:t xml:space="preserve"> as the primary economic evaluation was not supported by the clinical evidence. The supplementary modelled cost-utility analysis comparing a single dose of mRNA-1345 with no vaccine may be informative for decision making, however the evaluation and the ESC</w:t>
      </w:r>
      <w:r w:rsidRPr="00885AB3">
        <w:rPr>
          <w:rFonts w:cs="Calibri"/>
          <w:i/>
        </w:rPr>
        <w:t xml:space="preserve"> </w:t>
      </w:r>
      <w:r w:rsidRPr="00885AB3">
        <w:rPr>
          <w:rFonts w:cs="Calibri"/>
          <w:iCs/>
        </w:rPr>
        <w:t xml:space="preserve">noted several concerns with the model for the </w:t>
      </w:r>
      <w:r w:rsidR="00EF2FA4">
        <w:rPr>
          <w:rFonts w:cs="Calibri"/>
          <w:iCs/>
        </w:rPr>
        <w:t xml:space="preserve">≥ </w:t>
      </w:r>
      <w:r w:rsidRPr="00885AB3">
        <w:rPr>
          <w:rFonts w:cs="Calibri"/>
          <w:iCs/>
        </w:rPr>
        <w:t>75 YOA population. Analogous issues also applied to the assessment of cost effectiveness in Aboriginal and Torres Strait Islander people 60-74 YOA.</w:t>
      </w:r>
    </w:p>
    <w:p w14:paraId="0764754E" w14:textId="26E31B6E" w:rsidR="006A1AFC" w:rsidRPr="00885AB3" w:rsidRDefault="006A1AFC" w:rsidP="00120D61">
      <w:pPr>
        <w:pStyle w:val="3-BodyText"/>
        <w:numPr>
          <w:ilvl w:val="0"/>
          <w:numId w:val="0"/>
        </w:numPr>
        <w:ind w:left="720"/>
        <w:rPr>
          <w:rFonts w:cs="Calibri"/>
          <w:iCs/>
        </w:rPr>
      </w:pPr>
    </w:p>
    <w:p w14:paraId="33F4EC3B" w14:textId="77777777" w:rsidR="006A1AFC" w:rsidRPr="00885AB3" w:rsidRDefault="006A1AFC" w:rsidP="00120D61">
      <w:pPr>
        <w:pStyle w:val="5-SubsectionSubheading"/>
        <w:rPr>
          <w:rFonts w:ascii="Calibri" w:hAnsi="Calibri" w:cs="Calibri"/>
        </w:rPr>
      </w:pPr>
      <w:bookmarkStart w:id="119" w:name="_Toc208998517"/>
      <w:r w:rsidRPr="00885AB3">
        <w:rPr>
          <w:rFonts w:ascii="Calibri" w:hAnsi="Calibri" w:cs="Calibri"/>
          <w:lang w:eastAsia="en-US"/>
        </w:rPr>
        <w:lastRenderedPageBreak/>
        <w:t>Cost-utility analysis</w:t>
      </w:r>
      <w:bookmarkEnd w:id="119"/>
    </w:p>
    <w:p w14:paraId="5617646E" w14:textId="77777777" w:rsidR="006A1AFC" w:rsidRPr="00885AB3" w:rsidRDefault="006A1AFC" w:rsidP="00120D61">
      <w:pPr>
        <w:pStyle w:val="3-BodyText"/>
        <w:rPr>
          <w:rFonts w:cs="Calibri"/>
        </w:rPr>
      </w:pPr>
      <w:bookmarkStart w:id="120" w:name="_Ref211379099"/>
      <w:r w:rsidRPr="00885AB3">
        <w:rPr>
          <w:rFonts w:cs="Calibri"/>
        </w:rPr>
        <w:t xml:space="preserve">The submission presented a CUA comparing a single dose of the mRNA-1345 vaccine with no vaccine based on </w:t>
      </w:r>
      <w:proofErr w:type="spellStart"/>
      <w:r w:rsidRPr="00885AB3">
        <w:rPr>
          <w:rFonts w:cs="Calibri"/>
        </w:rPr>
        <w:t>ConquerRSV</w:t>
      </w:r>
      <w:proofErr w:type="spellEnd"/>
      <w:r w:rsidRPr="00885AB3">
        <w:rPr>
          <w:rFonts w:cs="Calibri"/>
        </w:rPr>
        <w:t xml:space="preserve"> and implementing a modelled evaluation for the following populations:</w:t>
      </w:r>
      <w:bookmarkEnd w:id="120"/>
    </w:p>
    <w:p w14:paraId="5A74B75C" w14:textId="4739CE6E" w:rsidR="006A1AFC" w:rsidRPr="00885AB3" w:rsidRDefault="006A1AFC" w:rsidP="00120D61">
      <w:pPr>
        <w:pStyle w:val="3-BodyText"/>
        <w:numPr>
          <w:ilvl w:val="0"/>
          <w:numId w:val="10"/>
        </w:numPr>
        <w:rPr>
          <w:rFonts w:cs="Calibri"/>
        </w:rPr>
      </w:pPr>
      <w:r w:rsidRPr="00885AB3">
        <w:rPr>
          <w:rFonts w:cs="Calibri"/>
        </w:rPr>
        <w:t xml:space="preserve">Adults </w:t>
      </w:r>
      <w:r w:rsidR="00EF2FA4">
        <w:rPr>
          <w:rFonts w:cs="Calibri"/>
        </w:rPr>
        <w:t xml:space="preserve">≥ </w:t>
      </w:r>
      <w:r w:rsidRPr="00885AB3">
        <w:rPr>
          <w:rFonts w:cs="Calibri"/>
        </w:rPr>
        <w:t>75 YOA</w:t>
      </w:r>
    </w:p>
    <w:p w14:paraId="4AAB37BC" w14:textId="77777777" w:rsidR="006A1AFC" w:rsidRPr="00885AB3" w:rsidRDefault="006A1AFC" w:rsidP="00120D61">
      <w:pPr>
        <w:pStyle w:val="3-BodyText"/>
        <w:numPr>
          <w:ilvl w:val="0"/>
          <w:numId w:val="10"/>
        </w:numPr>
        <w:rPr>
          <w:rFonts w:cs="Calibri"/>
        </w:rPr>
      </w:pPr>
      <w:r w:rsidRPr="00885AB3">
        <w:rPr>
          <w:rFonts w:cs="Calibri"/>
        </w:rPr>
        <w:t>Aboriginal and Torres Strait Islander people 60-74 YOA.</w:t>
      </w:r>
    </w:p>
    <w:p w14:paraId="15FCAC6F" w14:textId="6CC77FF0" w:rsidR="00256180" w:rsidRPr="00885AB3" w:rsidRDefault="006A1AFC" w:rsidP="00120D61">
      <w:pPr>
        <w:pStyle w:val="3-BodyText"/>
      </w:pPr>
      <w:r w:rsidRPr="00885AB3">
        <w:rPr>
          <w:rFonts w:cs="Calibri"/>
        </w:rPr>
        <w:t>A summary of the model structure, key inputs and rationale for the CUA is presented in</w:t>
      </w:r>
      <w:bookmarkStart w:id="121" w:name="_Ref205826070"/>
      <w:r w:rsidR="00BA1D31" w:rsidRPr="00885AB3">
        <w:rPr>
          <w:rFonts w:cs="Calibri"/>
        </w:rPr>
        <w:t xml:space="preserve"> </w:t>
      </w:r>
      <w:r w:rsidR="006A1FDB" w:rsidRPr="00885AB3">
        <w:rPr>
          <w:rFonts w:cs="Calibri"/>
        </w:rPr>
        <w:fldChar w:fldCharType="begin" w:fldLock="1"/>
      </w:r>
      <w:r w:rsidR="006A1FDB" w:rsidRPr="00885AB3">
        <w:rPr>
          <w:rFonts w:cs="Calibri"/>
        </w:rPr>
        <w:instrText xml:space="preserve"> REF _Ref207658565 \h </w:instrText>
      </w:r>
      <w:r w:rsidR="005F5B2F" w:rsidRPr="00885AB3">
        <w:rPr>
          <w:rFonts w:cs="Calibri"/>
        </w:rPr>
        <w:instrText xml:space="preserve"> \* MERGEFORMAT </w:instrText>
      </w:r>
      <w:r w:rsidR="006A1FDB" w:rsidRPr="00885AB3">
        <w:rPr>
          <w:rFonts w:cs="Calibri"/>
        </w:rPr>
      </w:r>
      <w:r w:rsidR="006A1FDB" w:rsidRPr="00885AB3">
        <w:rPr>
          <w:rFonts w:cs="Calibri"/>
        </w:rPr>
        <w:fldChar w:fldCharType="separate"/>
      </w:r>
      <w:r w:rsidR="00515933" w:rsidRPr="00885AB3">
        <w:t>Table 17</w:t>
      </w:r>
      <w:r w:rsidR="006A1FDB" w:rsidRPr="00885AB3">
        <w:rPr>
          <w:rFonts w:cs="Calibri"/>
        </w:rPr>
        <w:fldChar w:fldCharType="end"/>
      </w:r>
      <w:r w:rsidR="006A1FDB" w:rsidRPr="00885AB3">
        <w:rPr>
          <w:rFonts w:cs="Calibri"/>
        </w:rPr>
        <w:t>.</w:t>
      </w:r>
      <w:r w:rsidR="00B65056" w:rsidRPr="00885AB3">
        <w:rPr>
          <w:rFonts w:cs="Calibri"/>
        </w:rPr>
        <w:t xml:space="preserve"> The ESC considered the model structure to be reasonable.</w:t>
      </w:r>
      <w:r w:rsidR="001C78D7">
        <w:rPr>
          <w:rFonts w:cs="Calibri"/>
        </w:rPr>
        <w:t xml:space="preserve"> </w:t>
      </w:r>
      <w:r w:rsidR="004C40BF" w:rsidRPr="00885AB3">
        <w:rPr>
          <w:rFonts w:cs="Calibri"/>
        </w:rPr>
        <w:t xml:space="preserve">However, the ESC noted that the submission’s CUA </w:t>
      </w:r>
      <w:r w:rsidR="004C40BF" w:rsidRPr="00885AB3">
        <w:t>used a range of parameters which differed from those previously accepted by the PBAC for RSV vaccines</w:t>
      </w:r>
      <w:r w:rsidR="00256180" w:rsidRPr="00885AB3">
        <w:t xml:space="preserve"> </w:t>
      </w:r>
      <w:r w:rsidR="00256180" w:rsidRPr="00885AB3">
        <w:rPr>
          <w:rFonts w:cs="Calibri"/>
        </w:rPr>
        <w:t xml:space="preserve">(see paragraph </w:t>
      </w:r>
      <w:r w:rsidR="00256180" w:rsidRPr="00885AB3">
        <w:rPr>
          <w:rFonts w:cs="Calibri"/>
        </w:rPr>
        <w:fldChar w:fldCharType="begin" w:fldLock="1"/>
      </w:r>
      <w:r w:rsidR="00256180" w:rsidRPr="00885AB3">
        <w:rPr>
          <w:rFonts w:cs="Calibri"/>
        </w:rPr>
        <w:instrText xml:space="preserve"> REF _Ref211850370 \r \h </w:instrText>
      </w:r>
      <w:r w:rsidR="004A374A" w:rsidRPr="00885AB3">
        <w:rPr>
          <w:rFonts w:cs="Calibri"/>
        </w:rPr>
        <w:instrText xml:space="preserve"> \* MERGEFORMAT </w:instrText>
      </w:r>
      <w:r w:rsidR="00256180" w:rsidRPr="00885AB3">
        <w:rPr>
          <w:rFonts w:cs="Calibri"/>
        </w:rPr>
      </w:r>
      <w:r w:rsidR="00256180" w:rsidRPr="00885AB3">
        <w:rPr>
          <w:rFonts w:cs="Calibri"/>
        </w:rPr>
        <w:fldChar w:fldCharType="separate"/>
      </w:r>
      <w:r w:rsidR="00515933" w:rsidRPr="00885AB3">
        <w:rPr>
          <w:rFonts w:cs="Calibri"/>
        </w:rPr>
        <w:t>6.89</w:t>
      </w:r>
      <w:r w:rsidR="00256180" w:rsidRPr="00885AB3">
        <w:rPr>
          <w:rFonts w:cs="Calibri"/>
        </w:rPr>
        <w:fldChar w:fldCharType="end"/>
      </w:r>
      <w:r w:rsidR="00256180" w:rsidRPr="00885AB3">
        <w:rPr>
          <w:rFonts w:cs="Calibri"/>
        </w:rPr>
        <w:t>)</w:t>
      </w:r>
      <w:r w:rsidR="004C40BF" w:rsidRPr="00885AB3">
        <w:t xml:space="preserve">. These differences are discussed in </w:t>
      </w:r>
      <w:r w:rsidR="004C40BF" w:rsidRPr="00885AB3">
        <w:fldChar w:fldCharType="begin" w:fldLock="1"/>
      </w:r>
      <w:r w:rsidR="004C40BF" w:rsidRPr="00885AB3">
        <w:instrText xml:space="preserve"> REF _Ref207658565 \h  \* MERGEFORMAT </w:instrText>
      </w:r>
      <w:r w:rsidR="004C40BF" w:rsidRPr="00885AB3">
        <w:fldChar w:fldCharType="separate"/>
      </w:r>
      <w:r w:rsidR="00515933" w:rsidRPr="00885AB3">
        <w:t>Table 17</w:t>
      </w:r>
      <w:r w:rsidR="004C40BF" w:rsidRPr="00885AB3">
        <w:fldChar w:fldCharType="end"/>
      </w:r>
      <w:r w:rsidR="004C40BF" w:rsidRPr="00885AB3">
        <w:t xml:space="preserve"> and the paragraphs below.</w:t>
      </w:r>
      <w:r w:rsidR="00256180" w:rsidRPr="00885AB3">
        <w:t xml:space="preserve"> </w:t>
      </w:r>
      <w:r w:rsidR="00256180" w:rsidRPr="00885AB3">
        <w:rPr>
          <w:rFonts w:cs="Calibri"/>
        </w:rPr>
        <w:t xml:space="preserve">The ESC considered that most of these parameters </w:t>
      </w:r>
      <w:r w:rsidR="00DF3AE7" w:rsidRPr="00885AB3">
        <w:rPr>
          <w:rFonts w:cs="Calibri"/>
        </w:rPr>
        <w:t>should</w:t>
      </w:r>
      <w:r w:rsidR="00256180" w:rsidRPr="00885AB3">
        <w:rPr>
          <w:rFonts w:cs="Calibri"/>
        </w:rPr>
        <w:t xml:space="preserve"> align with the PBAC’s previous advice.</w:t>
      </w:r>
    </w:p>
    <w:p w14:paraId="2408694F" w14:textId="5AE57B75" w:rsidR="006A1AFC" w:rsidRPr="00885AB3" w:rsidRDefault="006A1AFC" w:rsidP="00120D61">
      <w:pPr>
        <w:pStyle w:val="Caption"/>
        <w:rPr>
          <w:rStyle w:val="CommentReference"/>
          <w:b/>
          <w:szCs w:val="24"/>
        </w:rPr>
      </w:pPr>
      <w:bookmarkStart w:id="122" w:name="_Ref207658565"/>
      <w:r w:rsidRPr="00885AB3">
        <w:t xml:space="preserve">Table </w:t>
      </w:r>
      <w:r w:rsidR="008A242D" w:rsidRPr="00885AB3">
        <w:fldChar w:fldCharType="begin" w:fldLock="1"/>
      </w:r>
      <w:r w:rsidR="008A242D" w:rsidRPr="00885AB3">
        <w:instrText xml:space="preserve"> SEQ Table \* ARABIC </w:instrText>
      </w:r>
      <w:r w:rsidR="008A242D" w:rsidRPr="00885AB3">
        <w:fldChar w:fldCharType="separate"/>
      </w:r>
      <w:r w:rsidR="00515933" w:rsidRPr="00885AB3">
        <w:t>17</w:t>
      </w:r>
      <w:r w:rsidR="008A242D" w:rsidRPr="00885AB3">
        <w:fldChar w:fldCharType="end"/>
      </w:r>
      <w:bookmarkEnd w:id="121"/>
      <w:bookmarkEnd w:id="122"/>
      <w:r w:rsidRPr="00885AB3">
        <w:t xml:space="preserve">: </w:t>
      </w:r>
      <w:r w:rsidRPr="00885AB3">
        <w:rPr>
          <w:rStyle w:val="CommentReference"/>
          <w:b/>
          <w:bCs w:val="0"/>
          <w:szCs w:val="24"/>
        </w:rPr>
        <w:t>Summary of model structure, key inputs and rationale</w:t>
      </w:r>
    </w:p>
    <w:tbl>
      <w:tblPr>
        <w:tblStyle w:val="TableGrid"/>
        <w:tblpPr w:leftFromText="180" w:rightFromText="180" w:vertAnchor="text" w:tblpY="1"/>
        <w:tblW w:w="5000" w:type="pct"/>
        <w:tblCellMar>
          <w:left w:w="57" w:type="dxa"/>
          <w:right w:w="57" w:type="dxa"/>
        </w:tblCellMar>
        <w:tblLook w:val="04A0" w:firstRow="1" w:lastRow="0" w:firstColumn="1" w:lastColumn="0" w:noHBand="0" w:noVBand="1"/>
        <w:tblCaption w:val="Table 17: Summary of model structure, key inputs and rationale"/>
      </w:tblPr>
      <w:tblGrid>
        <w:gridCol w:w="1714"/>
        <w:gridCol w:w="3437"/>
        <w:gridCol w:w="3866"/>
      </w:tblGrid>
      <w:tr w:rsidR="006A1AFC" w:rsidRPr="00885AB3" w14:paraId="645B094B" w14:textId="77777777" w:rsidTr="000206A2">
        <w:trPr>
          <w:tblHeader/>
        </w:trPr>
        <w:tc>
          <w:tcPr>
            <w:tcW w:w="950" w:type="pct"/>
          </w:tcPr>
          <w:p w14:paraId="71BCAFD9" w14:textId="77777777" w:rsidR="006A1AFC" w:rsidRPr="00885AB3" w:rsidRDefault="006A1AFC" w:rsidP="00120D61">
            <w:pPr>
              <w:pStyle w:val="TableHeader"/>
              <w:keepNext/>
              <w:rPr>
                <w:rFonts w:ascii="Arial Narrow" w:hAnsi="Arial Narrow"/>
                <w:szCs w:val="20"/>
              </w:rPr>
            </w:pPr>
            <w:r w:rsidRPr="00885AB3">
              <w:rPr>
                <w:rFonts w:ascii="Arial Narrow" w:hAnsi="Arial Narrow"/>
                <w:bCs/>
                <w:szCs w:val="20"/>
              </w:rPr>
              <w:t>Component</w:t>
            </w:r>
          </w:p>
        </w:tc>
        <w:tc>
          <w:tcPr>
            <w:tcW w:w="4050" w:type="pct"/>
            <w:gridSpan w:val="2"/>
          </w:tcPr>
          <w:p w14:paraId="6EB301DA" w14:textId="77777777" w:rsidR="006A1AFC" w:rsidRPr="00885AB3" w:rsidRDefault="006A1AFC" w:rsidP="00120D61">
            <w:pPr>
              <w:pStyle w:val="TableHeader"/>
              <w:keepNext/>
              <w:rPr>
                <w:rFonts w:ascii="Arial Narrow" w:hAnsi="Arial Narrow"/>
                <w:szCs w:val="20"/>
              </w:rPr>
            </w:pPr>
            <w:r w:rsidRPr="00885AB3">
              <w:rPr>
                <w:rFonts w:ascii="Arial Narrow" w:hAnsi="Arial Narrow"/>
                <w:bCs/>
                <w:szCs w:val="20"/>
              </w:rPr>
              <w:t>Description</w:t>
            </w:r>
          </w:p>
        </w:tc>
      </w:tr>
      <w:tr w:rsidR="006A1AFC" w:rsidRPr="00885AB3" w14:paraId="347041EB" w14:textId="77777777" w:rsidTr="000206A2">
        <w:tc>
          <w:tcPr>
            <w:tcW w:w="950" w:type="pct"/>
          </w:tcPr>
          <w:p w14:paraId="13808141" w14:textId="77777777" w:rsidR="006A1AFC" w:rsidRPr="00885AB3" w:rsidRDefault="006A1AFC" w:rsidP="00120D61">
            <w:pPr>
              <w:pStyle w:val="Tabletext8pt"/>
              <w:rPr>
                <w:rFonts w:ascii="Arial Narrow" w:hAnsi="Arial Narrow"/>
                <w:b/>
                <w:bCs/>
                <w:sz w:val="20"/>
                <w:szCs w:val="20"/>
              </w:rPr>
            </w:pPr>
            <w:r w:rsidRPr="00885AB3">
              <w:rPr>
                <w:rFonts w:ascii="Arial Narrow" w:hAnsi="Arial Narrow"/>
                <w:b/>
                <w:bCs/>
                <w:sz w:val="20"/>
                <w:szCs w:val="20"/>
              </w:rPr>
              <w:t>Population</w:t>
            </w:r>
          </w:p>
        </w:tc>
        <w:tc>
          <w:tcPr>
            <w:tcW w:w="4050" w:type="pct"/>
            <w:gridSpan w:val="2"/>
          </w:tcPr>
          <w:p w14:paraId="43EB4985" w14:textId="1874A578" w:rsidR="006A1AFC" w:rsidRPr="00885AB3" w:rsidRDefault="006A1AFC" w:rsidP="00120D61">
            <w:pPr>
              <w:pStyle w:val="Tabletext8pt"/>
              <w:rPr>
                <w:rFonts w:ascii="Arial Narrow" w:hAnsi="Arial Narrow"/>
                <w:sz w:val="20"/>
                <w:szCs w:val="20"/>
              </w:rPr>
            </w:pPr>
            <w:r w:rsidRPr="00885AB3">
              <w:rPr>
                <w:rFonts w:ascii="Arial Narrow" w:hAnsi="Arial Narrow"/>
                <w:sz w:val="20"/>
                <w:szCs w:val="20"/>
              </w:rPr>
              <w:t xml:space="preserve">Adults </w:t>
            </w:r>
            <w:r w:rsidR="00EF2FA4">
              <w:rPr>
                <w:rFonts w:ascii="Arial Narrow" w:hAnsi="Arial Narrow"/>
                <w:sz w:val="20"/>
                <w:szCs w:val="20"/>
              </w:rPr>
              <w:t xml:space="preserve">≥ </w:t>
            </w:r>
            <w:r w:rsidRPr="00885AB3" w:rsidDel="000B1344">
              <w:rPr>
                <w:rFonts w:ascii="Arial Narrow" w:hAnsi="Arial Narrow"/>
                <w:sz w:val="20"/>
                <w:szCs w:val="20"/>
              </w:rPr>
              <w:t xml:space="preserve">75 </w:t>
            </w:r>
            <w:r w:rsidRPr="00885AB3">
              <w:rPr>
                <w:rFonts w:ascii="Arial Narrow" w:hAnsi="Arial Narrow"/>
                <w:sz w:val="20"/>
                <w:szCs w:val="20"/>
              </w:rPr>
              <w:t>YOA</w:t>
            </w:r>
            <w:r w:rsidRPr="00885AB3" w:rsidDel="000B1344">
              <w:rPr>
                <w:rFonts w:ascii="Arial Narrow" w:hAnsi="Arial Narrow"/>
                <w:sz w:val="20"/>
                <w:szCs w:val="20"/>
              </w:rPr>
              <w:t xml:space="preserve">, </w:t>
            </w:r>
            <w:r w:rsidRPr="00885AB3">
              <w:rPr>
                <w:rFonts w:ascii="Arial Narrow" w:hAnsi="Arial Narrow"/>
                <w:sz w:val="20"/>
                <w:szCs w:val="20"/>
              </w:rPr>
              <w:t xml:space="preserve">Aboriginal and Torres Strait Islander people </w:t>
            </w:r>
            <w:r w:rsidRPr="00885AB3" w:rsidDel="000B1344">
              <w:rPr>
                <w:rFonts w:ascii="Arial Narrow" w:hAnsi="Arial Narrow"/>
                <w:sz w:val="20"/>
                <w:szCs w:val="20"/>
              </w:rPr>
              <w:t xml:space="preserve">60-74 </w:t>
            </w:r>
            <w:r w:rsidRPr="00885AB3">
              <w:rPr>
                <w:rFonts w:ascii="Arial Narrow" w:hAnsi="Arial Narrow"/>
                <w:sz w:val="20"/>
                <w:szCs w:val="20"/>
              </w:rPr>
              <w:t>YOA.</w:t>
            </w:r>
          </w:p>
        </w:tc>
      </w:tr>
      <w:tr w:rsidR="006A1AFC" w:rsidRPr="00885AB3" w14:paraId="21E6FEF8" w14:textId="77777777" w:rsidTr="000206A2">
        <w:tc>
          <w:tcPr>
            <w:tcW w:w="950" w:type="pct"/>
          </w:tcPr>
          <w:p w14:paraId="519D9C9A" w14:textId="77777777" w:rsidR="006A1AFC" w:rsidRPr="00885AB3" w:rsidRDefault="006A1AFC" w:rsidP="00120D61">
            <w:pPr>
              <w:pStyle w:val="Tabletext8pt"/>
              <w:rPr>
                <w:rFonts w:ascii="Arial Narrow" w:hAnsi="Arial Narrow"/>
                <w:b/>
                <w:bCs/>
                <w:sz w:val="20"/>
                <w:szCs w:val="20"/>
              </w:rPr>
            </w:pPr>
            <w:r w:rsidRPr="00885AB3">
              <w:rPr>
                <w:rFonts w:ascii="Arial Narrow" w:hAnsi="Arial Narrow"/>
                <w:b/>
                <w:bCs/>
                <w:sz w:val="20"/>
                <w:szCs w:val="20"/>
              </w:rPr>
              <w:t>Intervention</w:t>
            </w:r>
          </w:p>
        </w:tc>
        <w:tc>
          <w:tcPr>
            <w:tcW w:w="4050" w:type="pct"/>
            <w:gridSpan w:val="2"/>
          </w:tcPr>
          <w:p w14:paraId="268D9DAF" w14:textId="77777777" w:rsidR="006A1AFC" w:rsidRPr="00885AB3" w:rsidRDefault="006A1AFC" w:rsidP="00120D61">
            <w:pPr>
              <w:pStyle w:val="Tabletext8pt"/>
              <w:rPr>
                <w:rFonts w:ascii="Arial Narrow" w:hAnsi="Arial Narrow"/>
                <w:sz w:val="20"/>
                <w:szCs w:val="20"/>
              </w:rPr>
            </w:pPr>
            <w:r w:rsidRPr="00885AB3">
              <w:rPr>
                <w:rFonts w:ascii="Arial Narrow" w:hAnsi="Arial Narrow"/>
                <w:sz w:val="20"/>
                <w:szCs w:val="20"/>
              </w:rPr>
              <w:t>mRNA-1345</w:t>
            </w:r>
          </w:p>
        </w:tc>
      </w:tr>
      <w:tr w:rsidR="006A1AFC" w:rsidRPr="00885AB3" w14:paraId="611A79FB" w14:textId="77777777" w:rsidTr="000206A2">
        <w:tc>
          <w:tcPr>
            <w:tcW w:w="950" w:type="pct"/>
          </w:tcPr>
          <w:p w14:paraId="35D03301" w14:textId="77777777" w:rsidR="006A1AFC" w:rsidRPr="00885AB3" w:rsidRDefault="006A1AFC" w:rsidP="00120D61">
            <w:pPr>
              <w:pStyle w:val="Tabletext8pt"/>
              <w:rPr>
                <w:rFonts w:ascii="Arial Narrow" w:hAnsi="Arial Narrow"/>
                <w:b/>
                <w:bCs/>
                <w:sz w:val="20"/>
                <w:szCs w:val="20"/>
              </w:rPr>
            </w:pPr>
            <w:r w:rsidRPr="00885AB3">
              <w:rPr>
                <w:rFonts w:ascii="Arial Narrow" w:hAnsi="Arial Narrow"/>
                <w:b/>
                <w:bCs/>
                <w:sz w:val="20"/>
                <w:szCs w:val="20"/>
              </w:rPr>
              <w:t>Comparator</w:t>
            </w:r>
          </w:p>
        </w:tc>
        <w:tc>
          <w:tcPr>
            <w:tcW w:w="4050" w:type="pct"/>
            <w:gridSpan w:val="2"/>
          </w:tcPr>
          <w:p w14:paraId="0F418F13" w14:textId="77777777" w:rsidR="006A1AFC" w:rsidRPr="00885AB3" w:rsidRDefault="006A1AFC" w:rsidP="00120D61">
            <w:pPr>
              <w:pStyle w:val="Tabletext8pt"/>
              <w:rPr>
                <w:rFonts w:ascii="Arial Narrow" w:hAnsi="Arial Narrow"/>
                <w:sz w:val="20"/>
                <w:szCs w:val="20"/>
              </w:rPr>
            </w:pPr>
            <w:r w:rsidRPr="00885AB3">
              <w:rPr>
                <w:rFonts w:ascii="Arial Narrow" w:hAnsi="Arial Narrow"/>
                <w:sz w:val="20"/>
                <w:szCs w:val="20"/>
              </w:rPr>
              <w:t>No vaccine</w:t>
            </w:r>
          </w:p>
        </w:tc>
      </w:tr>
      <w:tr w:rsidR="006A1AFC" w:rsidRPr="00885AB3" w14:paraId="0AB1F1E6" w14:textId="77777777" w:rsidTr="000206A2">
        <w:tc>
          <w:tcPr>
            <w:tcW w:w="950" w:type="pct"/>
          </w:tcPr>
          <w:p w14:paraId="4FC68739" w14:textId="77777777" w:rsidR="006A1AFC" w:rsidRPr="00885AB3" w:rsidRDefault="006A1AFC" w:rsidP="00120D61">
            <w:pPr>
              <w:pStyle w:val="Tabletext8pt"/>
              <w:rPr>
                <w:rFonts w:ascii="Arial Narrow" w:hAnsi="Arial Narrow"/>
                <w:b/>
                <w:bCs/>
                <w:sz w:val="20"/>
                <w:szCs w:val="20"/>
              </w:rPr>
            </w:pPr>
            <w:r w:rsidRPr="00885AB3">
              <w:rPr>
                <w:rFonts w:ascii="Arial Narrow" w:hAnsi="Arial Narrow"/>
                <w:b/>
                <w:bCs/>
                <w:sz w:val="20"/>
                <w:szCs w:val="20"/>
              </w:rPr>
              <w:t>Type of analysis</w:t>
            </w:r>
          </w:p>
        </w:tc>
        <w:tc>
          <w:tcPr>
            <w:tcW w:w="4050" w:type="pct"/>
            <w:gridSpan w:val="2"/>
          </w:tcPr>
          <w:p w14:paraId="0E3E64E9" w14:textId="77777777" w:rsidR="006A1AFC" w:rsidRPr="00885AB3" w:rsidRDefault="006A1AFC" w:rsidP="00120D61">
            <w:pPr>
              <w:pStyle w:val="Tabletext8pt"/>
              <w:rPr>
                <w:rFonts w:ascii="Arial Narrow" w:hAnsi="Arial Narrow"/>
                <w:sz w:val="20"/>
                <w:szCs w:val="20"/>
              </w:rPr>
            </w:pPr>
            <w:r w:rsidRPr="00885AB3">
              <w:rPr>
                <w:rFonts w:ascii="Arial Narrow" w:hAnsi="Arial Narrow"/>
                <w:sz w:val="20"/>
                <w:szCs w:val="20"/>
              </w:rPr>
              <w:t>Cost-effectiveness analysis (cost-utility analysis)</w:t>
            </w:r>
          </w:p>
        </w:tc>
      </w:tr>
      <w:tr w:rsidR="006A1AFC" w:rsidRPr="00885AB3" w14:paraId="0A773D9A" w14:textId="77777777" w:rsidTr="000206A2">
        <w:tc>
          <w:tcPr>
            <w:tcW w:w="950" w:type="pct"/>
          </w:tcPr>
          <w:p w14:paraId="6799C152" w14:textId="77777777" w:rsidR="006A1AFC" w:rsidRPr="00885AB3" w:rsidRDefault="006A1AFC" w:rsidP="00120D61">
            <w:pPr>
              <w:pStyle w:val="Tabletext8pt"/>
              <w:rPr>
                <w:rFonts w:ascii="Arial Narrow" w:hAnsi="Arial Narrow"/>
                <w:b/>
                <w:bCs/>
                <w:sz w:val="20"/>
                <w:szCs w:val="20"/>
              </w:rPr>
            </w:pPr>
            <w:r w:rsidRPr="00885AB3">
              <w:rPr>
                <w:rFonts w:ascii="Arial Narrow" w:hAnsi="Arial Narrow"/>
                <w:b/>
                <w:bCs/>
                <w:sz w:val="20"/>
                <w:szCs w:val="20"/>
              </w:rPr>
              <w:t>Outcomes</w:t>
            </w:r>
          </w:p>
        </w:tc>
        <w:tc>
          <w:tcPr>
            <w:tcW w:w="4050" w:type="pct"/>
            <w:gridSpan w:val="2"/>
          </w:tcPr>
          <w:p w14:paraId="109A4C8B" w14:textId="77777777" w:rsidR="006A1AFC" w:rsidRPr="00885AB3" w:rsidRDefault="006A1AFC" w:rsidP="00120D61">
            <w:pPr>
              <w:pStyle w:val="Tabletext8pt"/>
              <w:rPr>
                <w:rFonts w:ascii="Arial Narrow" w:hAnsi="Arial Narrow"/>
                <w:sz w:val="20"/>
                <w:szCs w:val="20"/>
              </w:rPr>
            </w:pPr>
            <w:r w:rsidRPr="00885AB3">
              <w:rPr>
                <w:rFonts w:ascii="Arial Narrow" w:hAnsi="Arial Narrow"/>
                <w:sz w:val="20"/>
                <w:szCs w:val="20"/>
              </w:rPr>
              <w:t>Cost/QALY; Cost/LYs, cost/hospitalisation avoided</w:t>
            </w:r>
          </w:p>
        </w:tc>
      </w:tr>
      <w:tr w:rsidR="006A1AFC" w:rsidRPr="00885AB3" w14:paraId="58C99CCF" w14:textId="77777777" w:rsidTr="000206A2">
        <w:tc>
          <w:tcPr>
            <w:tcW w:w="950" w:type="pct"/>
          </w:tcPr>
          <w:p w14:paraId="1B82ECE7" w14:textId="77777777" w:rsidR="006A1AFC" w:rsidRPr="00885AB3" w:rsidRDefault="006A1AFC" w:rsidP="00120D61">
            <w:pPr>
              <w:pStyle w:val="Tabletext8pt"/>
              <w:rPr>
                <w:rFonts w:ascii="Arial Narrow" w:hAnsi="Arial Narrow"/>
                <w:b/>
                <w:bCs/>
                <w:sz w:val="20"/>
                <w:szCs w:val="20"/>
              </w:rPr>
            </w:pPr>
            <w:r w:rsidRPr="00885AB3">
              <w:rPr>
                <w:rFonts w:ascii="Arial Narrow" w:hAnsi="Arial Narrow"/>
                <w:b/>
                <w:bCs/>
                <w:sz w:val="20"/>
                <w:szCs w:val="20"/>
              </w:rPr>
              <w:t>Time horizon</w:t>
            </w:r>
          </w:p>
        </w:tc>
        <w:tc>
          <w:tcPr>
            <w:tcW w:w="4050" w:type="pct"/>
            <w:gridSpan w:val="2"/>
          </w:tcPr>
          <w:p w14:paraId="08C716FD" w14:textId="2A8860D5" w:rsidR="006A1AFC" w:rsidRPr="00885AB3" w:rsidRDefault="006A1AFC" w:rsidP="00120D61">
            <w:pPr>
              <w:pStyle w:val="Tabletext8pt"/>
              <w:rPr>
                <w:rFonts w:ascii="Arial Narrow" w:hAnsi="Arial Narrow"/>
                <w:sz w:val="20"/>
                <w:szCs w:val="20"/>
              </w:rPr>
            </w:pPr>
            <w:r w:rsidRPr="00885AB3">
              <w:rPr>
                <w:rFonts w:ascii="Arial Narrow" w:hAnsi="Arial Narrow"/>
                <w:sz w:val="20"/>
                <w:szCs w:val="20"/>
              </w:rPr>
              <w:t>5-year duration of protection, lifetime for LYs and QALYs</w:t>
            </w:r>
            <w:r w:rsidR="00650488" w:rsidRPr="00885AB3">
              <w:rPr>
                <w:rFonts w:ascii="Arial Narrow" w:hAnsi="Arial Narrow"/>
                <w:sz w:val="20"/>
                <w:szCs w:val="20"/>
              </w:rPr>
              <w:t xml:space="preserve">. The ESC considered the time horizon to be optimistic given </w:t>
            </w:r>
            <w:r w:rsidR="00084771" w:rsidRPr="00885AB3">
              <w:rPr>
                <w:rFonts w:ascii="Arial Narrow" w:hAnsi="Arial Narrow"/>
                <w:sz w:val="20"/>
                <w:szCs w:val="20"/>
              </w:rPr>
              <w:t xml:space="preserve">the </w:t>
            </w:r>
            <w:proofErr w:type="spellStart"/>
            <w:r w:rsidR="00084771" w:rsidRPr="00885AB3">
              <w:rPr>
                <w:rFonts w:ascii="Arial Narrow" w:hAnsi="Arial Narrow"/>
                <w:sz w:val="20"/>
                <w:szCs w:val="20"/>
              </w:rPr>
              <w:t>ConquerRSV</w:t>
            </w:r>
            <w:proofErr w:type="spellEnd"/>
            <w:r w:rsidR="00084771" w:rsidRPr="00885AB3">
              <w:rPr>
                <w:rFonts w:ascii="Arial Narrow" w:hAnsi="Arial Narrow"/>
                <w:sz w:val="20"/>
                <w:szCs w:val="20"/>
              </w:rPr>
              <w:t xml:space="preserve"> trial provides only 18.8 months of data.</w:t>
            </w:r>
            <w:r w:rsidR="00D772B4" w:rsidRPr="00885AB3">
              <w:rPr>
                <w:rFonts w:ascii="Arial Narrow" w:hAnsi="Arial Narrow"/>
                <w:sz w:val="20"/>
                <w:szCs w:val="20"/>
              </w:rPr>
              <w:t xml:space="preserve"> The pre-PBAC response accepted a 4-year time horizon.</w:t>
            </w:r>
          </w:p>
        </w:tc>
      </w:tr>
      <w:tr w:rsidR="006A1AFC" w:rsidRPr="00885AB3" w14:paraId="08C59064" w14:textId="77777777" w:rsidTr="00A06DD0">
        <w:trPr>
          <w:trHeight w:val="118"/>
        </w:trPr>
        <w:tc>
          <w:tcPr>
            <w:tcW w:w="950" w:type="pct"/>
          </w:tcPr>
          <w:p w14:paraId="4991942E" w14:textId="77777777" w:rsidR="006A1AFC" w:rsidRPr="00885AB3" w:rsidRDefault="006A1AFC" w:rsidP="00120D61">
            <w:pPr>
              <w:pStyle w:val="Tabletext8pt"/>
              <w:rPr>
                <w:rFonts w:ascii="Arial Narrow" w:hAnsi="Arial Narrow"/>
                <w:b/>
                <w:bCs/>
                <w:sz w:val="20"/>
                <w:szCs w:val="20"/>
              </w:rPr>
            </w:pPr>
            <w:r w:rsidRPr="00885AB3">
              <w:rPr>
                <w:rFonts w:ascii="Arial Narrow" w:hAnsi="Arial Narrow"/>
                <w:b/>
                <w:bCs/>
                <w:sz w:val="20"/>
                <w:szCs w:val="20"/>
              </w:rPr>
              <w:t xml:space="preserve">Discounting </w:t>
            </w:r>
          </w:p>
        </w:tc>
        <w:tc>
          <w:tcPr>
            <w:tcW w:w="4050" w:type="pct"/>
            <w:gridSpan w:val="2"/>
          </w:tcPr>
          <w:p w14:paraId="70EE8086" w14:textId="4CF7855F" w:rsidR="006A1AFC" w:rsidRPr="00885AB3" w:rsidRDefault="006A1AFC" w:rsidP="00120D61">
            <w:pPr>
              <w:pStyle w:val="Tabletext8pt"/>
              <w:rPr>
                <w:rFonts w:ascii="Arial Narrow" w:hAnsi="Arial Narrow"/>
                <w:sz w:val="20"/>
                <w:szCs w:val="20"/>
              </w:rPr>
            </w:pPr>
            <w:r w:rsidRPr="00885AB3">
              <w:rPr>
                <w:rFonts w:ascii="Arial Narrow" w:hAnsi="Arial Narrow"/>
                <w:sz w:val="20"/>
                <w:szCs w:val="20"/>
              </w:rPr>
              <w:t>3.5% for both costs and outcomes</w:t>
            </w:r>
            <w:r w:rsidR="007021F1" w:rsidRPr="00885AB3">
              <w:rPr>
                <w:rFonts w:ascii="Arial Narrow" w:hAnsi="Arial Narrow"/>
                <w:sz w:val="20"/>
                <w:szCs w:val="20"/>
              </w:rPr>
              <w:t xml:space="preserve">. The ESC considered the discount rate </w:t>
            </w:r>
            <w:r w:rsidR="00CD0FD3" w:rsidRPr="00885AB3">
              <w:rPr>
                <w:rFonts w:ascii="Arial Narrow" w:hAnsi="Arial Narrow"/>
                <w:sz w:val="20"/>
                <w:szCs w:val="20"/>
              </w:rPr>
              <w:t>should be 5% in the base case consistent with PBAC guidelines</w:t>
            </w:r>
            <w:r w:rsidR="007F5B45" w:rsidRPr="00885AB3">
              <w:rPr>
                <w:rFonts w:ascii="Arial Narrow" w:hAnsi="Arial Narrow"/>
                <w:sz w:val="20"/>
                <w:szCs w:val="20"/>
              </w:rPr>
              <w:t>.</w:t>
            </w:r>
            <w:r w:rsidR="00A8723B" w:rsidRPr="00885AB3">
              <w:rPr>
                <w:rFonts w:ascii="Arial Narrow" w:hAnsi="Arial Narrow"/>
                <w:sz w:val="20"/>
                <w:szCs w:val="20"/>
              </w:rPr>
              <w:t xml:space="preserve"> The pre-PBAC response accepted a discount rate of 5% for costs and outcomes.</w:t>
            </w:r>
          </w:p>
        </w:tc>
      </w:tr>
      <w:tr w:rsidR="006A1AFC" w:rsidRPr="00885AB3" w14:paraId="550351BD" w14:textId="77777777" w:rsidTr="000206A2">
        <w:tc>
          <w:tcPr>
            <w:tcW w:w="950" w:type="pct"/>
          </w:tcPr>
          <w:p w14:paraId="1E40FB9C" w14:textId="77777777" w:rsidR="006A1AFC" w:rsidRPr="00885AB3" w:rsidRDefault="006A1AFC" w:rsidP="00120D61">
            <w:pPr>
              <w:pStyle w:val="Tabletext8pt"/>
              <w:rPr>
                <w:rFonts w:ascii="Arial Narrow" w:hAnsi="Arial Narrow"/>
                <w:b/>
                <w:bCs/>
                <w:sz w:val="20"/>
                <w:szCs w:val="20"/>
              </w:rPr>
            </w:pPr>
            <w:r w:rsidRPr="00885AB3">
              <w:rPr>
                <w:rFonts w:ascii="Arial Narrow" w:hAnsi="Arial Narrow"/>
                <w:b/>
                <w:bCs/>
                <w:sz w:val="20"/>
                <w:szCs w:val="20"/>
              </w:rPr>
              <w:t>Methods used to generate results</w:t>
            </w:r>
          </w:p>
        </w:tc>
        <w:tc>
          <w:tcPr>
            <w:tcW w:w="4050" w:type="pct"/>
            <w:gridSpan w:val="2"/>
          </w:tcPr>
          <w:p w14:paraId="3E015AC0" w14:textId="77777777" w:rsidR="006A1AFC" w:rsidRPr="00885AB3" w:rsidRDefault="006A1AFC" w:rsidP="00120D61">
            <w:pPr>
              <w:pStyle w:val="Tabletext8pt"/>
              <w:rPr>
                <w:rFonts w:ascii="Arial Narrow" w:hAnsi="Arial Narrow"/>
                <w:sz w:val="20"/>
                <w:szCs w:val="20"/>
              </w:rPr>
            </w:pPr>
            <w:r w:rsidRPr="00885AB3">
              <w:rPr>
                <w:rFonts w:ascii="Arial Narrow" w:hAnsi="Arial Narrow"/>
                <w:sz w:val="20"/>
                <w:szCs w:val="20"/>
              </w:rPr>
              <w:t>Static cohort decision tree</w:t>
            </w:r>
          </w:p>
        </w:tc>
      </w:tr>
      <w:tr w:rsidR="006A1AFC" w:rsidRPr="00885AB3" w14:paraId="71096C07" w14:textId="77777777" w:rsidTr="000206A2">
        <w:tc>
          <w:tcPr>
            <w:tcW w:w="950" w:type="pct"/>
          </w:tcPr>
          <w:p w14:paraId="7B639F44" w14:textId="77777777" w:rsidR="006A1AFC" w:rsidRPr="00885AB3" w:rsidRDefault="006A1AFC" w:rsidP="00120D61">
            <w:pPr>
              <w:pStyle w:val="Tabletext8pt"/>
              <w:rPr>
                <w:rFonts w:ascii="Arial Narrow" w:hAnsi="Arial Narrow"/>
                <w:b/>
                <w:bCs/>
                <w:sz w:val="20"/>
                <w:szCs w:val="20"/>
              </w:rPr>
            </w:pPr>
            <w:r w:rsidRPr="00885AB3">
              <w:rPr>
                <w:rFonts w:ascii="Arial Narrow" w:hAnsi="Arial Narrow"/>
                <w:b/>
                <w:bCs/>
                <w:sz w:val="20"/>
                <w:szCs w:val="20"/>
              </w:rPr>
              <w:t>Health states</w:t>
            </w:r>
          </w:p>
        </w:tc>
        <w:tc>
          <w:tcPr>
            <w:tcW w:w="4050" w:type="pct"/>
            <w:gridSpan w:val="2"/>
          </w:tcPr>
          <w:p w14:paraId="37E1EB37" w14:textId="7F831671" w:rsidR="006A1AFC" w:rsidRPr="00885AB3" w:rsidRDefault="006A1AFC" w:rsidP="00120D61">
            <w:pPr>
              <w:pStyle w:val="Tabletext8pt"/>
              <w:rPr>
                <w:rFonts w:ascii="Arial Narrow" w:hAnsi="Arial Narrow"/>
                <w:sz w:val="20"/>
                <w:szCs w:val="20"/>
              </w:rPr>
            </w:pPr>
            <w:r w:rsidRPr="00885AB3">
              <w:rPr>
                <w:rFonts w:ascii="Arial Narrow" w:hAnsi="Arial Narrow"/>
                <w:sz w:val="20"/>
                <w:szCs w:val="20"/>
              </w:rPr>
              <w:t>MA-RSV-ARD, RSV-LRTD, RSV-</w:t>
            </w:r>
            <w:r w:rsidR="00AA1988" w:rsidRPr="00885AB3">
              <w:rPr>
                <w:rFonts w:ascii="Arial Narrow" w:hAnsi="Arial Narrow"/>
                <w:sz w:val="20"/>
                <w:szCs w:val="20"/>
              </w:rPr>
              <w:t>N</w:t>
            </w:r>
            <w:r w:rsidRPr="00885AB3">
              <w:rPr>
                <w:rFonts w:ascii="Arial Narrow" w:hAnsi="Arial Narrow"/>
                <w:sz w:val="20"/>
                <w:szCs w:val="20"/>
              </w:rPr>
              <w:t xml:space="preserve">o LRTD. RSV-LRTD and RSV-No LRTD are subdivided based on setting of care (hospitalisation, emergency department (ED), and outpatient treatments </w:t>
            </w:r>
            <w:r w:rsidRPr="00885AB3">
              <w:rPr>
                <w:rFonts w:ascii="Arial Narrow" w:hAnsi="Arial Narrow"/>
                <w:sz w:val="20"/>
                <w:szCs w:val="20"/>
                <w:vertAlign w:val="superscript"/>
              </w:rPr>
              <w:t>a</w:t>
            </w:r>
            <w:r w:rsidRPr="00885AB3">
              <w:rPr>
                <w:rFonts w:ascii="Arial Narrow" w:hAnsi="Arial Narrow"/>
                <w:sz w:val="20"/>
                <w:szCs w:val="20"/>
              </w:rPr>
              <w:t xml:space="preserve">) </w:t>
            </w:r>
          </w:p>
        </w:tc>
      </w:tr>
      <w:tr w:rsidR="006A1AFC" w:rsidRPr="00885AB3" w14:paraId="5C5F403E" w14:textId="77777777" w:rsidTr="000206A2">
        <w:tc>
          <w:tcPr>
            <w:tcW w:w="950" w:type="pct"/>
          </w:tcPr>
          <w:p w14:paraId="11823A96" w14:textId="77777777" w:rsidR="006A1AFC" w:rsidRPr="00885AB3" w:rsidRDefault="006A1AFC" w:rsidP="00120D61">
            <w:pPr>
              <w:pStyle w:val="Tabletext8pt"/>
              <w:rPr>
                <w:rFonts w:ascii="Arial Narrow" w:hAnsi="Arial Narrow"/>
                <w:b/>
                <w:bCs/>
                <w:sz w:val="20"/>
                <w:szCs w:val="20"/>
              </w:rPr>
            </w:pPr>
            <w:r w:rsidRPr="00885AB3">
              <w:rPr>
                <w:rFonts w:ascii="Arial Narrow" w:hAnsi="Arial Narrow"/>
                <w:b/>
                <w:bCs/>
                <w:sz w:val="20"/>
                <w:szCs w:val="20"/>
              </w:rPr>
              <w:t>Cycle length</w:t>
            </w:r>
          </w:p>
        </w:tc>
        <w:tc>
          <w:tcPr>
            <w:tcW w:w="4050" w:type="pct"/>
            <w:gridSpan w:val="2"/>
          </w:tcPr>
          <w:p w14:paraId="4C0E51A7" w14:textId="77777777" w:rsidR="006A1AFC" w:rsidRPr="00885AB3" w:rsidRDefault="006A1AFC" w:rsidP="00120D61">
            <w:pPr>
              <w:pStyle w:val="Tabletext8pt"/>
              <w:rPr>
                <w:rFonts w:ascii="Arial Narrow" w:hAnsi="Arial Narrow"/>
                <w:sz w:val="20"/>
                <w:szCs w:val="20"/>
              </w:rPr>
            </w:pPr>
            <w:r w:rsidRPr="00885AB3">
              <w:rPr>
                <w:rFonts w:ascii="Arial Narrow" w:hAnsi="Arial Narrow"/>
                <w:sz w:val="20"/>
                <w:szCs w:val="20"/>
              </w:rPr>
              <w:t>1 year</w:t>
            </w:r>
          </w:p>
        </w:tc>
      </w:tr>
      <w:tr w:rsidR="006A1AFC" w:rsidRPr="00885AB3" w14:paraId="58302B4C" w14:textId="77777777" w:rsidTr="000206A2">
        <w:tc>
          <w:tcPr>
            <w:tcW w:w="5000" w:type="pct"/>
            <w:gridSpan w:val="3"/>
          </w:tcPr>
          <w:p w14:paraId="4D307CCA" w14:textId="77777777" w:rsidR="006A1AFC" w:rsidRPr="00885AB3" w:rsidRDefault="006A1AFC" w:rsidP="00120D61">
            <w:pPr>
              <w:pStyle w:val="Tabletext8pt"/>
              <w:rPr>
                <w:rFonts w:ascii="Arial Narrow" w:hAnsi="Arial Narrow"/>
                <w:sz w:val="20"/>
                <w:szCs w:val="20"/>
              </w:rPr>
            </w:pPr>
            <w:r w:rsidRPr="00885AB3">
              <w:rPr>
                <w:rFonts w:ascii="Arial Narrow" w:hAnsi="Arial Narrow"/>
                <w:b/>
                <w:bCs/>
                <w:sz w:val="20"/>
                <w:szCs w:val="20"/>
              </w:rPr>
              <w:t>Epidemiological inputs</w:t>
            </w:r>
          </w:p>
        </w:tc>
      </w:tr>
      <w:tr w:rsidR="006A1AFC" w:rsidRPr="00885AB3" w14:paraId="634C5EAD" w14:textId="77777777" w:rsidTr="000206A2">
        <w:tc>
          <w:tcPr>
            <w:tcW w:w="950" w:type="pct"/>
          </w:tcPr>
          <w:p w14:paraId="4AF9DB40" w14:textId="77777777" w:rsidR="006A1AFC" w:rsidRPr="00885AB3" w:rsidRDefault="006A1AFC" w:rsidP="00120D61">
            <w:pPr>
              <w:pStyle w:val="Tabletext8pt"/>
              <w:rPr>
                <w:rFonts w:ascii="Arial Narrow" w:hAnsi="Arial Narrow"/>
                <w:sz w:val="20"/>
                <w:szCs w:val="20"/>
              </w:rPr>
            </w:pPr>
            <w:r w:rsidRPr="00885AB3">
              <w:rPr>
                <w:rFonts w:ascii="Arial Narrow" w:hAnsi="Arial Narrow"/>
                <w:sz w:val="20"/>
                <w:szCs w:val="20"/>
              </w:rPr>
              <w:t>Seasonality</w:t>
            </w:r>
          </w:p>
          <w:p w14:paraId="6E5CFB84" w14:textId="77777777" w:rsidR="006A1AFC" w:rsidRPr="00885AB3" w:rsidRDefault="006A1AFC" w:rsidP="00120D61">
            <w:pPr>
              <w:pStyle w:val="Tabletext8pt"/>
              <w:rPr>
                <w:rStyle w:val="CommentReference"/>
                <w:rFonts w:eastAsiaTheme="majorEastAsia" w:cstheme="majorBidi"/>
                <w:b w:val="0"/>
                <w:szCs w:val="20"/>
              </w:rPr>
            </w:pPr>
          </w:p>
        </w:tc>
        <w:tc>
          <w:tcPr>
            <w:tcW w:w="4050" w:type="pct"/>
            <w:gridSpan w:val="2"/>
          </w:tcPr>
          <w:p w14:paraId="0029EBEC" w14:textId="77777777" w:rsidR="006A1AFC" w:rsidRPr="00885AB3" w:rsidRDefault="006A1AFC" w:rsidP="00120D61">
            <w:pPr>
              <w:pStyle w:val="Tabletext8pt"/>
              <w:rPr>
                <w:rFonts w:ascii="Arial Narrow" w:hAnsi="Arial Narrow"/>
                <w:sz w:val="20"/>
                <w:szCs w:val="20"/>
              </w:rPr>
            </w:pPr>
            <w:r w:rsidRPr="00885AB3">
              <w:rPr>
                <w:rFonts w:ascii="Arial Narrow" w:hAnsi="Arial Narrow"/>
                <w:sz w:val="20"/>
                <w:szCs w:val="20"/>
              </w:rPr>
              <w:t xml:space="preserve">October: 8.0%; November: 12.0%; December: 14.0%; January: 20.0%; February: 17.0%; March: 10.0%; April: 6.0%; May: 3.0%; June–August: 2.0%; September: 4.0% (Nazareno et al. 2022, Saiyed et al. 2024). </w:t>
            </w:r>
          </w:p>
        </w:tc>
      </w:tr>
      <w:tr w:rsidR="006A1AFC" w:rsidRPr="00885AB3" w14:paraId="4A6C3372" w14:textId="77777777" w:rsidTr="000206A2">
        <w:tc>
          <w:tcPr>
            <w:tcW w:w="950" w:type="pct"/>
          </w:tcPr>
          <w:p w14:paraId="03D8F78F" w14:textId="77777777" w:rsidR="006A1AFC" w:rsidRPr="00885AB3" w:rsidRDefault="006A1AFC" w:rsidP="00120D61">
            <w:pPr>
              <w:pStyle w:val="Tabletext8pt"/>
              <w:rPr>
                <w:rFonts w:ascii="Arial Narrow" w:hAnsi="Arial Narrow"/>
                <w:b/>
                <w:sz w:val="20"/>
                <w:szCs w:val="20"/>
              </w:rPr>
            </w:pPr>
            <w:r w:rsidRPr="00885AB3">
              <w:rPr>
                <w:rStyle w:val="CommentReference"/>
                <w:rFonts w:eastAsiaTheme="majorEastAsia" w:cstheme="majorBidi"/>
                <w:b w:val="0"/>
                <w:szCs w:val="20"/>
              </w:rPr>
              <w:t>Medically attended respiratory syncytial virus-acute respiratory disease (MA-RSV-ARD) incidence</w:t>
            </w:r>
          </w:p>
        </w:tc>
        <w:tc>
          <w:tcPr>
            <w:tcW w:w="4050" w:type="pct"/>
            <w:gridSpan w:val="2"/>
          </w:tcPr>
          <w:p w14:paraId="3247B3F7" w14:textId="7289A232" w:rsidR="00CE0106" w:rsidRPr="00885AB3" w:rsidRDefault="00EF2FA4" w:rsidP="00120D61">
            <w:pPr>
              <w:pStyle w:val="Tabletext8pt"/>
              <w:rPr>
                <w:rFonts w:ascii="Arial Narrow" w:hAnsi="Arial Narrow"/>
                <w:sz w:val="20"/>
                <w:szCs w:val="20"/>
              </w:rPr>
            </w:pPr>
            <w:r>
              <w:rPr>
                <w:rFonts w:ascii="Arial Narrow" w:hAnsi="Arial Narrow"/>
                <w:b/>
                <w:bCs/>
                <w:sz w:val="20"/>
                <w:szCs w:val="20"/>
              </w:rPr>
              <w:t xml:space="preserve">≥ </w:t>
            </w:r>
            <w:r w:rsidR="006A1AFC" w:rsidRPr="00885AB3">
              <w:rPr>
                <w:rFonts w:ascii="Arial Narrow" w:hAnsi="Arial Narrow"/>
                <w:b/>
                <w:bCs/>
                <w:sz w:val="20"/>
                <w:szCs w:val="20"/>
              </w:rPr>
              <w:t>75 YOA:</w:t>
            </w:r>
            <w:r w:rsidR="006A1AFC" w:rsidRPr="00885AB3">
              <w:rPr>
                <w:rFonts w:ascii="Arial Narrow" w:hAnsi="Arial Narrow"/>
                <w:sz w:val="20"/>
                <w:szCs w:val="20"/>
              </w:rPr>
              <w:t xml:space="preserve"> 6.5% (pooled unadjusted incidence of 3.3% from Foley et al. 2024, Price et al. 2019, Varghese et al. 2018) x 2.0 (under-ascertainment multiplier) - see paragraph </w:t>
            </w:r>
            <w:r w:rsidR="006A1AFC" w:rsidRPr="00885AB3">
              <w:rPr>
                <w:rFonts w:ascii="Arial Narrow" w:hAnsi="Arial Narrow"/>
                <w:sz w:val="20"/>
                <w:szCs w:val="20"/>
              </w:rPr>
              <w:fldChar w:fldCharType="begin" w:fldLock="1"/>
            </w:r>
            <w:r w:rsidR="006A1AFC" w:rsidRPr="00885AB3">
              <w:rPr>
                <w:rFonts w:ascii="Arial Narrow" w:hAnsi="Arial Narrow"/>
                <w:sz w:val="20"/>
                <w:szCs w:val="20"/>
              </w:rPr>
              <w:instrText xml:space="preserve"> REF _Ref205452880 \r \h  \* MERGEFORMAT </w:instrText>
            </w:r>
            <w:r w:rsidR="006A1AFC" w:rsidRPr="00885AB3">
              <w:rPr>
                <w:rFonts w:ascii="Arial Narrow" w:hAnsi="Arial Narrow"/>
                <w:sz w:val="20"/>
                <w:szCs w:val="20"/>
              </w:rPr>
            </w:r>
            <w:r w:rsidR="006A1AFC" w:rsidRPr="00885AB3">
              <w:rPr>
                <w:rFonts w:ascii="Arial Narrow" w:hAnsi="Arial Narrow"/>
                <w:sz w:val="20"/>
                <w:szCs w:val="20"/>
              </w:rPr>
              <w:fldChar w:fldCharType="separate"/>
            </w:r>
            <w:r w:rsidR="00515933" w:rsidRPr="00885AB3">
              <w:rPr>
                <w:rFonts w:ascii="Arial Narrow" w:hAnsi="Arial Narrow"/>
                <w:sz w:val="20"/>
                <w:szCs w:val="20"/>
              </w:rPr>
              <w:t>6.71</w:t>
            </w:r>
            <w:r w:rsidR="006A1AFC" w:rsidRPr="00885AB3">
              <w:rPr>
                <w:rFonts w:ascii="Arial Narrow" w:hAnsi="Arial Narrow"/>
                <w:sz w:val="20"/>
                <w:szCs w:val="20"/>
              </w:rPr>
              <w:fldChar w:fldCharType="end"/>
            </w:r>
            <w:r w:rsidR="006A1AFC" w:rsidRPr="00885AB3">
              <w:rPr>
                <w:rFonts w:ascii="Arial Narrow" w:hAnsi="Arial Narrow"/>
                <w:sz w:val="20"/>
                <w:szCs w:val="20"/>
              </w:rPr>
              <w:t>.</w:t>
            </w:r>
            <w:r w:rsidR="00C8547F" w:rsidRPr="00885AB3">
              <w:rPr>
                <w:rFonts w:ascii="Arial Narrow" w:hAnsi="Arial Narrow"/>
                <w:sz w:val="20"/>
                <w:szCs w:val="20"/>
              </w:rPr>
              <w:t xml:space="preserve"> </w:t>
            </w:r>
            <w:r w:rsidR="00A34258" w:rsidRPr="00885AB3">
              <w:rPr>
                <w:rFonts w:ascii="Arial Narrow" w:hAnsi="Arial Narrow"/>
                <w:sz w:val="20"/>
                <w:szCs w:val="20"/>
              </w:rPr>
              <w:t xml:space="preserve">The ESC noted that a rate of 4.12% was used for </w:t>
            </w:r>
            <w:proofErr w:type="spellStart"/>
            <w:r w:rsidR="00A34258" w:rsidRPr="00885AB3">
              <w:rPr>
                <w:rFonts w:ascii="Arial Narrow" w:hAnsi="Arial Narrow"/>
                <w:sz w:val="20"/>
                <w:szCs w:val="20"/>
              </w:rPr>
              <w:t>RSVPreF</w:t>
            </w:r>
            <w:proofErr w:type="spellEnd"/>
            <w:r w:rsidR="007D67A6" w:rsidRPr="00885AB3">
              <w:rPr>
                <w:rFonts w:ascii="Arial Narrow" w:hAnsi="Arial Narrow"/>
                <w:sz w:val="20"/>
                <w:szCs w:val="20"/>
              </w:rPr>
              <w:t xml:space="preserve"> and should also be used for mR</w:t>
            </w:r>
            <w:r w:rsidR="006569E1" w:rsidRPr="00885AB3">
              <w:rPr>
                <w:rFonts w:ascii="Arial Narrow" w:hAnsi="Arial Narrow"/>
                <w:sz w:val="20"/>
                <w:szCs w:val="20"/>
              </w:rPr>
              <w:t>NA</w:t>
            </w:r>
            <w:r w:rsidR="007D67A6" w:rsidRPr="00885AB3">
              <w:rPr>
                <w:rFonts w:ascii="Arial Narrow" w:hAnsi="Arial Narrow"/>
                <w:sz w:val="20"/>
                <w:szCs w:val="20"/>
              </w:rPr>
              <w:t>-1345</w:t>
            </w:r>
            <w:r w:rsidR="00A064F4" w:rsidRPr="00885AB3">
              <w:rPr>
                <w:rFonts w:ascii="Arial Narrow" w:hAnsi="Arial Narrow"/>
                <w:sz w:val="20"/>
                <w:szCs w:val="20"/>
              </w:rPr>
              <w:t>.</w:t>
            </w:r>
            <w:r w:rsidR="00F31D56" w:rsidRPr="00885AB3">
              <w:rPr>
                <w:rFonts w:ascii="Arial Narrow" w:hAnsi="Arial Narrow"/>
                <w:sz w:val="20"/>
                <w:szCs w:val="20"/>
              </w:rPr>
              <w:t xml:space="preserve"> The pre-PBAC response retained the unadjusted incidence of 3.3% and appl</w:t>
            </w:r>
            <w:r w:rsidR="00BA2554" w:rsidRPr="00885AB3">
              <w:rPr>
                <w:rFonts w:ascii="Arial Narrow" w:hAnsi="Arial Narrow"/>
                <w:sz w:val="20"/>
                <w:szCs w:val="20"/>
              </w:rPr>
              <w:t>ied</w:t>
            </w:r>
            <w:r w:rsidR="00F31D56" w:rsidRPr="00885AB3">
              <w:rPr>
                <w:rFonts w:ascii="Arial Narrow" w:hAnsi="Arial Narrow"/>
                <w:sz w:val="20"/>
                <w:szCs w:val="20"/>
              </w:rPr>
              <w:t> a 2.0 under-ascertainment multiplier.</w:t>
            </w:r>
          </w:p>
          <w:p w14:paraId="013E3462" w14:textId="6366D147" w:rsidR="006A1AFC" w:rsidRPr="00885AB3" w:rsidRDefault="006A1AFC" w:rsidP="00120D61">
            <w:pPr>
              <w:pStyle w:val="Tabletext8pt"/>
              <w:rPr>
                <w:rFonts w:ascii="Arial Narrow" w:hAnsi="Arial Narrow"/>
                <w:sz w:val="20"/>
                <w:szCs w:val="20"/>
              </w:rPr>
            </w:pPr>
            <w:r w:rsidRPr="00885AB3">
              <w:rPr>
                <w:rFonts w:ascii="Arial Narrow" w:hAnsi="Arial Narrow"/>
                <w:b/>
                <w:bCs/>
                <w:sz w:val="20"/>
                <w:szCs w:val="20"/>
              </w:rPr>
              <w:t>Aboriginal and Torres Strait Islander people 60-74 YOA:</w:t>
            </w:r>
            <w:r w:rsidRPr="00885AB3">
              <w:rPr>
                <w:rFonts w:ascii="Arial Narrow" w:hAnsi="Arial Narrow"/>
                <w:sz w:val="20"/>
                <w:szCs w:val="20"/>
              </w:rPr>
              <w:t xml:space="preserve"> 12.4% (assumption based on approximately 2 times </w:t>
            </w:r>
            <w:r w:rsidR="00EF2FA4">
              <w:rPr>
                <w:rFonts w:ascii="Arial Narrow" w:hAnsi="Arial Narrow"/>
                <w:sz w:val="20"/>
                <w:szCs w:val="20"/>
              </w:rPr>
              <w:t xml:space="preserve">≥ </w:t>
            </w:r>
            <w:r w:rsidRPr="00885AB3">
              <w:rPr>
                <w:rFonts w:ascii="Arial Narrow" w:hAnsi="Arial Narrow"/>
                <w:sz w:val="20"/>
                <w:szCs w:val="20"/>
              </w:rPr>
              <w:t>75 YOA</w:t>
            </w:r>
            <w:r w:rsidRPr="00885AB3" w:rsidDel="00F04330">
              <w:rPr>
                <w:rFonts w:ascii="Arial Narrow" w:hAnsi="Arial Narrow"/>
                <w:sz w:val="20"/>
                <w:szCs w:val="20"/>
              </w:rPr>
              <w:t xml:space="preserve"> </w:t>
            </w:r>
            <w:r w:rsidRPr="00885AB3">
              <w:rPr>
                <w:rFonts w:ascii="Arial Narrow" w:hAnsi="Arial Narrow"/>
                <w:sz w:val="20"/>
                <w:szCs w:val="20"/>
              </w:rPr>
              <w:t xml:space="preserve">incidence) - see paragraph </w:t>
            </w:r>
            <w:r w:rsidRPr="00885AB3">
              <w:rPr>
                <w:rFonts w:ascii="Arial Narrow" w:hAnsi="Arial Narrow"/>
                <w:sz w:val="20"/>
                <w:szCs w:val="20"/>
              </w:rPr>
              <w:fldChar w:fldCharType="begin" w:fldLock="1"/>
            </w:r>
            <w:r w:rsidRPr="00885AB3">
              <w:rPr>
                <w:rFonts w:ascii="Arial Narrow" w:hAnsi="Arial Narrow"/>
                <w:sz w:val="20"/>
                <w:szCs w:val="20"/>
              </w:rPr>
              <w:instrText xml:space="preserve"> REF _Ref205452932 \w \h  \* MERGEFORMAT </w:instrText>
            </w:r>
            <w:r w:rsidRPr="00885AB3">
              <w:rPr>
                <w:rFonts w:ascii="Arial Narrow" w:hAnsi="Arial Narrow"/>
                <w:sz w:val="20"/>
                <w:szCs w:val="20"/>
              </w:rPr>
            </w:r>
            <w:r w:rsidRPr="00885AB3">
              <w:rPr>
                <w:rFonts w:ascii="Arial Narrow" w:hAnsi="Arial Narrow"/>
                <w:sz w:val="20"/>
                <w:szCs w:val="20"/>
              </w:rPr>
              <w:fldChar w:fldCharType="separate"/>
            </w:r>
            <w:r w:rsidR="00515933" w:rsidRPr="00885AB3">
              <w:rPr>
                <w:rFonts w:ascii="Arial Narrow" w:hAnsi="Arial Narrow"/>
                <w:sz w:val="20"/>
                <w:szCs w:val="20"/>
              </w:rPr>
              <w:t>6.72</w:t>
            </w:r>
            <w:r w:rsidRPr="00885AB3">
              <w:rPr>
                <w:rFonts w:ascii="Arial Narrow" w:hAnsi="Arial Narrow"/>
                <w:sz w:val="20"/>
                <w:szCs w:val="20"/>
              </w:rPr>
              <w:fldChar w:fldCharType="end"/>
            </w:r>
            <w:r w:rsidRPr="00885AB3">
              <w:rPr>
                <w:rFonts w:ascii="Arial Narrow" w:hAnsi="Arial Narrow"/>
                <w:sz w:val="20"/>
                <w:szCs w:val="20"/>
              </w:rPr>
              <w:t>.</w:t>
            </w:r>
            <w:r w:rsidR="008702DD" w:rsidRPr="00885AB3">
              <w:rPr>
                <w:rFonts w:ascii="Arial Narrow" w:hAnsi="Arial Narrow"/>
                <w:sz w:val="20"/>
                <w:szCs w:val="20"/>
              </w:rPr>
              <w:t xml:space="preserve"> The ESC considered that this figure is a</w:t>
            </w:r>
            <w:r w:rsidR="005A2830" w:rsidRPr="00885AB3">
              <w:rPr>
                <w:rFonts w:ascii="Arial Narrow" w:hAnsi="Arial Narrow"/>
                <w:sz w:val="20"/>
                <w:szCs w:val="20"/>
              </w:rPr>
              <w:t xml:space="preserve">lso potentially over-estimated due to </w:t>
            </w:r>
            <w:r w:rsidR="00A4527B" w:rsidRPr="00885AB3">
              <w:rPr>
                <w:rFonts w:ascii="Arial Narrow" w:hAnsi="Arial Narrow"/>
                <w:sz w:val="20"/>
                <w:szCs w:val="20"/>
              </w:rPr>
              <w:t xml:space="preserve">the </w:t>
            </w:r>
            <w:r w:rsidR="005A2830" w:rsidRPr="00885AB3">
              <w:rPr>
                <w:rFonts w:ascii="Arial Narrow" w:hAnsi="Arial Narrow"/>
                <w:sz w:val="20"/>
                <w:szCs w:val="20"/>
              </w:rPr>
              <w:t>under-ascertainment assumption.</w:t>
            </w:r>
            <w:r w:rsidR="00171404" w:rsidRPr="00885AB3">
              <w:rPr>
                <w:rFonts w:ascii="Arial Narrow" w:hAnsi="Arial Narrow"/>
                <w:sz w:val="20"/>
                <w:szCs w:val="20"/>
              </w:rPr>
              <w:t xml:space="preserve"> T</w:t>
            </w:r>
            <w:r w:rsidR="00A4527B" w:rsidRPr="00885AB3">
              <w:rPr>
                <w:rFonts w:ascii="Arial Narrow" w:hAnsi="Arial Narrow"/>
                <w:sz w:val="20"/>
                <w:szCs w:val="20"/>
              </w:rPr>
              <w:t>he</w:t>
            </w:r>
            <w:r w:rsidR="00FF6BAF" w:rsidRPr="00885AB3">
              <w:rPr>
                <w:rFonts w:ascii="Arial Narrow" w:hAnsi="Arial Narrow"/>
                <w:sz w:val="20"/>
                <w:szCs w:val="20"/>
              </w:rPr>
              <w:t xml:space="preserve"> ESC considered the</w:t>
            </w:r>
            <w:r w:rsidR="00A4527B" w:rsidRPr="00885AB3">
              <w:rPr>
                <w:rFonts w:ascii="Arial Narrow" w:hAnsi="Arial Narrow"/>
                <w:sz w:val="20"/>
                <w:szCs w:val="20"/>
              </w:rPr>
              <w:t xml:space="preserve"> </w:t>
            </w:r>
            <w:r w:rsidR="005A2830" w:rsidRPr="00885AB3">
              <w:rPr>
                <w:rFonts w:ascii="Arial Narrow" w:hAnsi="Arial Narrow"/>
                <w:sz w:val="20"/>
                <w:szCs w:val="20"/>
              </w:rPr>
              <w:t xml:space="preserve">assumption </w:t>
            </w:r>
            <w:r w:rsidR="00171404" w:rsidRPr="00885AB3">
              <w:rPr>
                <w:rFonts w:ascii="Arial Narrow" w:hAnsi="Arial Narrow"/>
                <w:sz w:val="20"/>
                <w:szCs w:val="20"/>
              </w:rPr>
              <w:t>should be</w:t>
            </w:r>
            <w:r w:rsidR="005A2830" w:rsidRPr="00885AB3">
              <w:rPr>
                <w:rFonts w:ascii="Arial Narrow" w:hAnsi="Arial Narrow"/>
                <w:sz w:val="20"/>
                <w:szCs w:val="20"/>
              </w:rPr>
              <w:t xml:space="preserve"> </w:t>
            </w:r>
            <w:r w:rsidR="00171404" w:rsidRPr="00885AB3">
              <w:rPr>
                <w:rFonts w:ascii="Arial Narrow" w:hAnsi="Arial Narrow"/>
                <w:sz w:val="20"/>
                <w:szCs w:val="20"/>
              </w:rPr>
              <w:t xml:space="preserve">consistent with that applied to </w:t>
            </w:r>
            <w:proofErr w:type="spellStart"/>
            <w:r w:rsidR="00171404" w:rsidRPr="00885AB3">
              <w:rPr>
                <w:rFonts w:ascii="Arial Narrow" w:hAnsi="Arial Narrow"/>
                <w:sz w:val="20"/>
                <w:szCs w:val="20"/>
              </w:rPr>
              <w:t>RSVPreF</w:t>
            </w:r>
            <w:proofErr w:type="spellEnd"/>
            <w:r w:rsidR="002918A5" w:rsidRPr="00885AB3">
              <w:rPr>
                <w:rFonts w:ascii="Arial Narrow" w:hAnsi="Arial Narrow"/>
                <w:sz w:val="20"/>
                <w:szCs w:val="20"/>
              </w:rPr>
              <w:t xml:space="preserve"> (6.18%)</w:t>
            </w:r>
            <w:r w:rsidR="00171404" w:rsidRPr="00885AB3">
              <w:rPr>
                <w:rFonts w:ascii="Arial Narrow" w:hAnsi="Arial Narrow"/>
                <w:sz w:val="20"/>
                <w:szCs w:val="20"/>
              </w:rPr>
              <w:t>.</w:t>
            </w:r>
            <w:r w:rsidR="00BD61F1" w:rsidRPr="00885AB3">
              <w:rPr>
                <w:rFonts w:ascii="Arial Narrow" w:hAnsi="Arial Narrow"/>
                <w:sz w:val="20"/>
                <w:szCs w:val="20"/>
              </w:rPr>
              <w:t xml:space="preserve"> The pre-PBAC </w:t>
            </w:r>
            <w:r w:rsidR="003E17F3" w:rsidRPr="00885AB3">
              <w:rPr>
                <w:rFonts w:ascii="Arial Narrow" w:hAnsi="Arial Narrow"/>
                <w:sz w:val="20"/>
                <w:szCs w:val="20"/>
              </w:rPr>
              <w:t>response retained</w:t>
            </w:r>
            <w:r w:rsidR="00A340D7" w:rsidRPr="00885AB3">
              <w:rPr>
                <w:rFonts w:ascii="Arial Narrow" w:hAnsi="Arial Narrow"/>
                <w:sz w:val="20"/>
                <w:szCs w:val="20"/>
              </w:rPr>
              <w:t xml:space="preserve"> the incidence of 6.18% </w:t>
            </w:r>
            <w:r w:rsidR="00BD5B24" w:rsidRPr="00885AB3">
              <w:rPr>
                <w:rFonts w:ascii="Arial Narrow" w:hAnsi="Arial Narrow"/>
                <w:sz w:val="20"/>
                <w:szCs w:val="20"/>
              </w:rPr>
              <w:t>with</w:t>
            </w:r>
            <w:r w:rsidR="00A340D7" w:rsidRPr="00885AB3">
              <w:rPr>
                <w:rFonts w:ascii="Arial Narrow" w:hAnsi="Arial Narrow"/>
                <w:sz w:val="20"/>
                <w:szCs w:val="20"/>
              </w:rPr>
              <w:t> a 2.0 under-ascertainment multiplier</w:t>
            </w:r>
            <w:r w:rsidR="00F31D56" w:rsidRPr="00885AB3">
              <w:rPr>
                <w:rFonts w:ascii="Arial Narrow" w:hAnsi="Arial Narrow"/>
                <w:sz w:val="20"/>
                <w:szCs w:val="20"/>
              </w:rPr>
              <w:t xml:space="preserve"> </w:t>
            </w:r>
            <w:r w:rsidR="00A340D7" w:rsidRPr="00885AB3">
              <w:rPr>
                <w:rFonts w:ascii="Arial Narrow" w:hAnsi="Arial Narrow"/>
                <w:sz w:val="20"/>
                <w:szCs w:val="20"/>
              </w:rPr>
              <w:t>.</w:t>
            </w:r>
            <w:r w:rsidR="00BD61F1" w:rsidRPr="00885AB3">
              <w:rPr>
                <w:rFonts w:ascii="Arial Narrow" w:hAnsi="Arial Narrow"/>
                <w:sz w:val="20"/>
                <w:szCs w:val="20"/>
              </w:rPr>
              <w:t xml:space="preserve"> </w:t>
            </w:r>
          </w:p>
        </w:tc>
      </w:tr>
      <w:tr w:rsidR="006A1AFC" w:rsidRPr="00885AB3" w14:paraId="5F4C409E" w14:textId="77777777" w:rsidTr="000206A2">
        <w:tc>
          <w:tcPr>
            <w:tcW w:w="950" w:type="pct"/>
          </w:tcPr>
          <w:p w14:paraId="33FE7DD3" w14:textId="77777777" w:rsidR="006A1AFC" w:rsidRPr="00885AB3" w:rsidRDefault="006A1AFC" w:rsidP="00120D61">
            <w:pPr>
              <w:pStyle w:val="Tabletext8pt"/>
              <w:rPr>
                <w:rFonts w:ascii="Arial Narrow" w:hAnsi="Arial Narrow"/>
                <w:sz w:val="20"/>
                <w:szCs w:val="20"/>
              </w:rPr>
            </w:pPr>
            <w:r w:rsidRPr="00885AB3">
              <w:rPr>
                <w:rFonts w:ascii="Arial Narrow" w:hAnsi="Arial Narrow"/>
                <w:sz w:val="20"/>
                <w:szCs w:val="20"/>
              </w:rPr>
              <w:lastRenderedPageBreak/>
              <w:t>Hospitalisation rates (per 100,000 person-year)</w:t>
            </w:r>
          </w:p>
        </w:tc>
        <w:tc>
          <w:tcPr>
            <w:tcW w:w="4050" w:type="pct"/>
            <w:gridSpan w:val="2"/>
          </w:tcPr>
          <w:p w14:paraId="452DCBB0" w14:textId="55141A10" w:rsidR="006A1AFC" w:rsidRPr="00885AB3" w:rsidRDefault="00EF2FA4" w:rsidP="00120D61">
            <w:pPr>
              <w:pStyle w:val="Tabletext8pt"/>
              <w:rPr>
                <w:rFonts w:ascii="Arial Narrow" w:hAnsi="Arial Narrow"/>
                <w:sz w:val="20"/>
                <w:szCs w:val="20"/>
              </w:rPr>
            </w:pPr>
            <w:r>
              <w:rPr>
                <w:rFonts w:ascii="Arial Narrow" w:hAnsi="Arial Narrow"/>
                <w:b/>
                <w:sz w:val="20"/>
                <w:szCs w:val="20"/>
              </w:rPr>
              <w:t xml:space="preserve">≥ </w:t>
            </w:r>
            <w:r w:rsidR="006A1AFC" w:rsidRPr="00885AB3">
              <w:rPr>
                <w:rFonts w:ascii="Arial Narrow" w:hAnsi="Arial Narrow"/>
                <w:b/>
                <w:sz w:val="20"/>
                <w:szCs w:val="20"/>
              </w:rPr>
              <w:t>75 YOA</w:t>
            </w:r>
            <w:r w:rsidR="006A1AFC" w:rsidRPr="00885AB3">
              <w:rPr>
                <w:rFonts w:ascii="Arial Narrow" w:hAnsi="Arial Narrow"/>
                <w:sz w:val="20"/>
                <w:szCs w:val="20"/>
              </w:rPr>
              <w:t>: 360 (Nazareno et al 2022 AIHW NHMD 2009-2017 Australia)</w:t>
            </w:r>
            <w:r w:rsidR="008E4DDC" w:rsidRPr="00885AB3">
              <w:rPr>
                <w:rFonts w:ascii="Arial Narrow" w:hAnsi="Arial Narrow"/>
                <w:sz w:val="20"/>
                <w:szCs w:val="20"/>
              </w:rPr>
              <w:t xml:space="preserve">. The ESC considered this </w:t>
            </w:r>
            <w:r w:rsidR="00EA4865" w:rsidRPr="00885AB3">
              <w:rPr>
                <w:rFonts w:ascii="Arial Narrow" w:hAnsi="Arial Narrow"/>
                <w:sz w:val="20"/>
                <w:szCs w:val="20"/>
              </w:rPr>
              <w:t>was</w:t>
            </w:r>
            <w:r w:rsidR="008E4DDC" w:rsidRPr="00885AB3">
              <w:rPr>
                <w:rFonts w:ascii="Arial Narrow" w:hAnsi="Arial Narrow"/>
                <w:sz w:val="20"/>
                <w:szCs w:val="20"/>
              </w:rPr>
              <w:t xml:space="preserve"> </w:t>
            </w:r>
            <w:r w:rsidR="00B813D4" w:rsidRPr="00885AB3">
              <w:rPr>
                <w:rFonts w:ascii="Arial Narrow" w:hAnsi="Arial Narrow"/>
                <w:sz w:val="20"/>
                <w:szCs w:val="20"/>
              </w:rPr>
              <w:t xml:space="preserve">reasonable and </w:t>
            </w:r>
            <w:proofErr w:type="gramStart"/>
            <w:r w:rsidR="00B813D4" w:rsidRPr="00885AB3">
              <w:rPr>
                <w:rFonts w:ascii="Arial Narrow" w:hAnsi="Arial Narrow"/>
                <w:sz w:val="20"/>
                <w:szCs w:val="20"/>
              </w:rPr>
              <w:t>similar to</w:t>
            </w:r>
            <w:proofErr w:type="gramEnd"/>
            <w:r w:rsidR="00B813D4" w:rsidRPr="00885AB3">
              <w:rPr>
                <w:rFonts w:ascii="Arial Narrow" w:hAnsi="Arial Narrow"/>
                <w:sz w:val="20"/>
                <w:szCs w:val="20"/>
              </w:rPr>
              <w:t xml:space="preserve"> </w:t>
            </w:r>
            <w:r w:rsidR="00EA4865" w:rsidRPr="00885AB3">
              <w:rPr>
                <w:rFonts w:ascii="Arial Narrow" w:hAnsi="Arial Narrow"/>
                <w:sz w:val="20"/>
                <w:szCs w:val="20"/>
              </w:rPr>
              <w:t>the rate</w:t>
            </w:r>
            <w:r w:rsidR="00B813D4" w:rsidRPr="00885AB3">
              <w:rPr>
                <w:rFonts w:ascii="Arial Narrow" w:hAnsi="Arial Narrow"/>
                <w:sz w:val="20"/>
                <w:szCs w:val="20"/>
              </w:rPr>
              <w:t xml:space="preserve"> accepted for </w:t>
            </w:r>
            <w:proofErr w:type="spellStart"/>
            <w:r w:rsidR="00B813D4" w:rsidRPr="00885AB3">
              <w:rPr>
                <w:rFonts w:ascii="Arial Narrow" w:hAnsi="Arial Narrow"/>
                <w:sz w:val="20"/>
                <w:szCs w:val="20"/>
              </w:rPr>
              <w:t>RSVPreF</w:t>
            </w:r>
            <w:proofErr w:type="spellEnd"/>
            <w:r w:rsidR="00754466" w:rsidRPr="00885AB3">
              <w:rPr>
                <w:rFonts w:ascii="Arial Narrow" w:hAnsi="Arial Narrow"/>
                <w:sz w:val="20"/>
                <w:szCs w:val="20"/>
              </w:rPr>
              <w:t xml:space="preserve"> (384)</w:t>
            </w:r>
            <w:r w:rsidR="00B813D4" w:rsidRPr="00885AB3">
              <w:rPr>
                <w:rFonts w:ascii="Arial Narrow" w:hAnsi="Arial Narrow"/>
                <w:sz w:val="20"/>
                <w:szCs w:val="20"/>
              </w:rPr>
              <w:t>.</w:t>
            </w:r>
            <w:r w:rsidR="009C173C" w:rsidRPr="00885AB3">
              <w:rPr>
                <w:rFonts w:ascii="Arial Narrow" w:hAnsi="Arial Narrow"/>
                <w:sz w:val="20"/>
                <w:szCs w:val="20"/>
              </w:rPr>
              <w:t xml:space="preserve"> The pre-PBAC response </w:t>
            </w:r>
            <w:r w:rsidR="001F7BC8" w:rsidRPr="00885AB3">
              <w:rPr>
                <w:rFonts w:ascii="Arial Narrow" w:hAnsi="Arial Narrow"/>
                <w:sz w:val="20"/>
                <w:szCs w:val="20"/>
              </w:rPr>
              <w:t>re</w:t>
            </w:r>
            <w:r w:rsidR="009C173C" w:rsidRPr="00885AB3">
              <w:rPr>
                <w:rFonts w:ascii="Arial Narrow" w:hAnsi="Arial Narrow"/>
                <w:sz w:val="20"/>
                <w:szCs w:val="20"/>
              </w:rPr>
              <w:t xml:space="preserve">tained a rate of </w:t>
            </w:r>
            <w:r w:rsidR="001409A1" w:rsidRPr="00885AB3">
              <w:rPr>
                <w:rFonts w:ascii="Arial Narrow" w:hAnsi="Arial Narrow"/>
                <w:sz w:val="20"/>
                <w:szCs w:val="20"/>
              </w:rPr>
              <w:t>360/100,000.</w:t>
            </w:r>
          </w:p>
          <w:p w14:paraId="08EBF615" w14:textId="561366D2" w:rsidR="006A1AFC" w:rsidRPr="00885AB3" w:rsidRDefault="006A1AFC" w:rsidP="00120D61">
            <w:pPr>
              <w:pStyle w:val="Tabletext8pt"/>
              <w:rPr>
                <w:rFonts w:ascii="Arial Narrow" w:hAnsi="Arial Narrow"/>
                <w:sz w:val="20"/>
                <w:szCs w:val="20"/>
              </w:rPr>
            </w:pPr>
            <w:r w:rsidRPr="00885AB3">
              <w:rPr>
                <w:rFonts w:ascii="Arial Narrow" w:hAnsi="Arial Narrow"/>
                <w:b/>
                <w:bCs/>
                <w:sz w:val="20"/>
                <w:szCs w:val="20"/>
              </w:rPr>
              <w:t>Aboriginal and Torres Strait Islander people 60-74 YOA</w:t>
            </w:r>
            <w:r w:rsidRPr="00885AB3">
              <w:rPr>
                <w:rFonts w:ascii="Arial Narrow" w:hAnsi="Arial Narrow"/>
                <w:sz w:val="20"/>
                <w:szCs w:val="20"/>
              </w:rPr>
              <w:t xml:space="preserve">: 96; those </w:t>
            </w:r>
            <w:r w:rsidR="00EF2FA4">
              <w:rPr>
                <w:rFonts w:ascii="Arial Narrow" w:hAnsi="Arial Narrow"/>
                <w:sz w:val="20"/>
                <w:szCs w:val="20"/>
              </w:rPr>
              <w:t xml:space="preserve">≥ </w:t>
            </w:r>
            <w:r w:rsidRPr="00885AB3">
              <w:rPr>
                <w:rFonts w:ascii="Arial Narrow" w:hAnsi="Arial Narrow"/>
                <w:sz w:val="20"/>
                <w:szCs w:val="20"/>
              </w:rPr>
              <w:t>65 YOA: 188 (estimated based on Nazareno et al. 2022)</w:t>
            </w:r>
            <w:r w:rsidR="00C9109B" w:rsidRPr="00885AB3">
              <w:rPr>
                <w:rFonts w:ascii="Arial Narrow" w:hAnsi="Arial Narrow"/>
                <w:sz w:val="20"/>
                <w:szCs w:val="20"/>
              </w:rPr>
              <w:t>. The ESC noted these rates are lower than the 576/100,000 accepted by PBAC in 60-74 group</w:t>
            </w:r>
            <w:r w:rsidR="00074EE4" w:rsidRPr="00885AB3">
              <w:rPr>
                <w:rFonts w:ascii="Arial Narrow" w:hAnsi="Arial Narrow"/>
                <w:sz w:val="20"/>
                <w:szCs w:val="20"/>
              </w:rPr>
              <w:t xml:space="preserve"> for </w:t>
            </w:r>
            <w:proofErr w:type="spellStart"/>
            <w:r w:rsidR="00074EE4" w:rsidRPr="00885AB3">
              <w:rPr>
                <w:rFonts w:ascii="Arial Narrow" w:hAnsi="Arial Narrow"/>
                <w:sz w:val="20"/>
                <w:szCs w:val="20"/>
              </w:rPr>
              <w:t>RSVPreF</w:t>
            </w:r>
            <w:proofErr w:type="spellEnd"/>
            <w:r w:rsidR="00C9109B" w:rsidRPr="00885AB3">
              <w:rPr>
                <w:rFonts w:ascii="Arial Narrow" w:hAnsi="Arial Narrow"/>
                <w:sz w:val="20"/>
                <w:szCs w:val="20"/>
              </w:rPr>
              <w:t>.</w:t>
            </w:r>
            <w:r w:rsidR="003D447F" w:rsidRPr="00885AB3">
              <w:rPr>
                <w:rFonts w:ascii="Arial Narrow" w:hAnsi="Arial Narrow"/>
                <w:sz w:val="20"/>
                <w:szCs w:val="20"/>
              </w:rPr>
              <w:t xml:space="preserve"> The pre-PBAC response accepted a hospitalisation rate of </w:t>
            </w:r>
            <w:r w:rsidR="00CB48C6" w:rsidRPr="00885AB3">
              <w:rPr>
                <w:rFonts w:ascii="Arial Narrow" w:hAnsi="Arial Narrow"/>
                <w:sz w:val="20"/>
                <w:szCs w:val="20"/>
              </w:rPr>
              <w:t>576/100,000</w:t>
            </w:r>
            <w:r w:rsidR="003D447F" w:rsidRPr="00885AB3">
              <w:rPr>
                <w:rFonts w:ascii="Arial Narrow" w:hAnsi="Arial Narrow"/>
                <w:sz w:val="20"/>
                <w:szCs w:val="20"/>
              </w:rPr>
              <w:t>.</w:t>
            </w:r>
          </w:p>
        </w:tc>
      </w:tr>
      <w:tr w:rsidR="006A1AFC" w:rsidRPr="00885AB3" w14:paraId="4977FE1E" w14:textId="77777777" w:rsidTr="000206A2">
        <w:tc>
          <w:tcPr>
            <w:tcW w:w="950" w:type="pct"/>
          </w:tcPr>
          <w:p w14:paraId="0B57E80F" w14:textId="77777777" w:rsidR="006A1AFC" w:rsidRPr="00885AB3" w:rsidRDefault="006A1AFC" w:rsidP="00120D61">
            <w:pPr>
              <w:pStyle w:val="Tabletext8pt"/>
              <w:rPr>
                <w:rFonts w:ascii="Arial Narrow" w:hAnsi="Arial Narrow"/>
                <w:sz w:val="20"/>
                <w:szCs w:val="20"/>
              </w:rPr>
            </w:pPr>
            <w:r w:rsidRPr="00885AB3">
              <w:rPr>
                <w:rFonts w:ascii="Arial Narrow" w:hAnsi="Arial Narrow"/>
                <w:sz w:val="20"/>
                <w:szCs w:val="20"/>
              </w:rPr>
              <w:t>RSV-related mortality</w:t>
            </w:r>
          </w:p>
          <w:p w14:paraId="466E4830" w14:textId="77777777" w:rsidR="006A1AFC" w:rsidRPr="00885AB3" w:rsidRDefault="006A1AFC" w:rsidP="00120D61">
            <w:pPr>
              <w:pStyle w:val="Tabletext8pt"/>
              <w:rPr>
                <w:rFonts w:ascii="Arial Narrow" w:hAnsi="Arial Narrow"/>
                <w:sz w:val="20"/>
                <w:szCs w:val="20"/>
              </w:rPr>
            </w:pPr>
            <w:r w:rsidRPr="00885AB3">
              <w:rPr>
                <w:rFonts w:ascii="Arial Narrow" w:hAnsi="Arial Narrow"/>
                <w:sz w:val="20"/>
                <w:szCs w:val="20"/>
              </w:rPr>
              <w:t>(30-day mortality following hospitalisation)</w:t>
            </w:r>
          </w:p>
        </w:tc>
        <w:tc>
          <w:tcPr>
            <w:tcW w:w="4050" w:type="pct"/>
            <w:gridSpan w:val="2"/>
          </w:tcPr>
          <w:p w14:paraId="0FD430E2" w14:textId="3D2C6388" w:rsidR="006A1AFC" w:rsidRPr="00885AB3" w:rsidRDefault="00EF2FA4" w:rsidP="00120D61">
            <w:pPr>
              <w:pStyle w:val="Tabletext8pt"/>
              <w:rPr>
                <w:rFonts w:ascii="Arial Narrow" w:hAnsi="Arial Narrow"/>
                <w:sz w:val="20"/>
                <w:szCs w:val="20"/>
              </w:rPr>
            </w:pPr>
            <w:r>
              <w:rPr>
                <w:rFonts w:ascii="Arial Narrow" w:hAnsi="Arial Narrow"/>
                <w:b/>
                <w:bCs/>
                <w:sz w:val="20"/>
                <w:szCs w:val="20"/>
              </w:rPr>
              <w:t xml:space="preserve">≥ </w:t>
            </w:r>
            <w:r w:rsidR="006A1AFC" w:rsidRPr="00885AB3">
              <w:rPr>
                <w:rFonts w:ascii="Arial Narrow" w:hAnsi="Arial Narrow"/>
                <w:b/>
                <w:bCs/>
                <w:sz w:val="20"/>
                <w:szCs w:val="20"/>
              </w:rPr>
              <w:t>75 YOA</w:t>
            </w:r>
            <w:r w:rsidR="006A1AFC" w:rsidRPr="00885AB3">
              <w:rPr>
                <w:rFonts w:ascii="Arial Narrow" w:hAnsi="Arial Narrow"/>
                <w:sz w:val="20"/>
                <w:szCs w:val="20"/>
              </w:rPr>
              <w:t>: 75-79 YOA: 10.3%; 80-84 YOA: 10.3%; 85+ YOA: 14.9% (Hamilton et al. 2022)</w:t>
            </w:r>
            <w:r w:rsidR="00AE2542" w:rsidRPr="00885AB3">
              <w:rPr>
                <w:rFonts w:ascii="Arial Narrow" w:hAnsi="Arial Narrow"/>
                <w:sz w:val="20"/>
                <w:szCs w:val="20"/>
              </w:rPr>
              <w:t>.</w:t>
            </w:r>
          </w:p>
          <w:p w14:paraId="5A64009A" w14:textId="328FDDE5" w:rsidR="006A1AFC" w:rsidRPr="00885AB3" w:rsidRDefault="006A1AFC" w:rsidP="00120D61">
            <w:pPr>
              <w:pStyle w:val="Tabletext8pt"/>
              <w:rPr>
                <w:rFonts w:ascii="Arial Narrow" w:hAnsi="Arial Narrow"/>
                <w:sz w:val="20"/>
                <w:szCs w:val="20"/>
              </w:rPr>
            </w:pPr>
            <w:r w:rsidRPr="00885AB3">
              <w:rPr>
                <w:rFonts w:ascii="Arial Narrow" w:hAnsi="Arial Narrow"/>
                <w:b/>
                <w:bCs/>
                <w:sz w:val="20"/>
                <w:szCs w:val="20"/>
              </w:rPr>
              <w:t>Aboriginal and Torres Strait Islander people 60-74 YOA:</w:t>
            </w:r>
            <w:r w:rsidRPr="00885AB3">
              <w:rPr>
                <w:rFonts w:ascii="Arial Narrow" w:hAnsi="Arial Narrow"/>
                <w:sz w:val="20"/>
                <w:szCs w:val="20"/>
              </w:rPr>
              <w:t xml:space="preserve"> 60-64 YOA: 7.2%; 65-69 YOA: 8.0%; 70-74 YOA: 8.0% (relative risk of 1.18 from Hamilton et al. 2022 applied to the general population mortality)</w:t>
            </w:r>
            <w:r w:rsidR="00583F17" w:rsidRPr="00885AB3">
              <w:rPr>
                <w:rFonts w:ascii="Arial Narrow" w:hAnsi="Arial Narrow"/>
                <w:sz w:val="20"/>
                <w:szCs w:val="20"/>
              </w:rPr>
              <w:t>. The ESC noted that this was higher than PBAC’s accepted rate</w:t>
            </w:r>
            <w:r w:rsidR="00AE2542" w:rsidRPr="00885AB3">
              <w:rPr>
                <w:rFonts w:ascii="Arial Narrow" w:hAnsi="Arial Narrow"/>
                <w:sz w:val="20"/>
                <w:szCs w:val="20"/>
              </w:rPr>
              <w:t xml:space="preserve"> for </w:t>
            </w:r>
            <w:proofErr w:type="spellStart"/>
            <w:r w:rsidR="00AE2542" w:rsidRPr="00885AB3">
              <w:rPr>
                <w:rFonts w:ascii="Arial Narrow" w:hAnsi="Arial Narrow"/>
                <w:sz w:val="20"/>
                <w:szCs w:val="20"/>
              </w:rPr>
              <w:t>RSVPreF</w:t>
            </w:r>
            <w:proofErr w:type="spellEnd"/>
            <w:r w:rsidR="00583F17" w:rsidRPr="00885AB3">
              <w:rPr>
                <w:rFonts w:ascii="Arial Narrow" w:hAnsi="Arial Narrow"/>
                <w:sz w:val="20"/>
                <w:szCs w:val="20"/>
              </w:rPr>
              <w:t xml:space="preserve"> (4.22%</w:t>
            </w:r>
            <w:r w:rsidR="00AE2542" w:rsidRPr="00885AB3">
              <w:rPr>
                <w:rFonts w:ascii="Arial Narrow" w:hAnsi="Arial Narrow"/>
                <w:sz w:val="20"/>
                <w:szCs w:val="20"/>
              </w:rPr>
              <w:t>).</w:t>
            </w:r>
          </w:p>
        </w:tc>
      </w:tr>
      <w:tr w:rsidR="006A1AFC" w:rsidRPr="00885AB3" w14:paraId="2EF134BB" w14:textId="77777777" w:rsidTr="000206A2">
        <w:tc>
          <w:tcPr>
            <w:tcW w:w="950" w:type="pct"/>
          </w:tcPr>
          <w:p w14:paraId="1B5CAD80" w14:textId="77777777" w:rsidR="006A1AFC" w:rsidRPr="00885AB3" w:rsidRDefault="006A1AFC" w:rsidP="00120D61">
            <w:pPr>
              <w:pStyle w:val="Tabletext8pt"/>
              <w:rPr>
                <w:rFonts w:ascii="Arial Narrow" w:hAnsi="Arial Narrow"/>
                <w:sz w:val="20"/>
                <w:szCs w:val="20"/>
              </w:rPr>
            </w:pPr>
            <w:r w:rsidRPr="00885AB3">
              <w:rPr>
                <w:rFonts w:ascii="Arial Narrow" w:hAnsi="Arial Narrow"/>
                <w:sz w:val="20"/>
                <w:szCs w:val="20"/>
              </w:rPr>
              <w:t>Background mortality</w:t>
            </w:r>
          </w:p>
        </w:tc>
        <w:tc>
          <w:tcPr>
            <w:tcW w:w="4050" w:type="pct"/>
            <w:gridSpan w:val="2"/>
          </w:tcPr>
          <w:p w14:paraId="4D78D0DB" w14:textId="19A7617F" w:rsidR="006A1AFC" w:rsidRPr="00885AB3" w:rsidRDefault="006A1AFC" w:rsidP="00120D61">
            <w:pPr>
              <w:pStyle w:val="Tabletext8pt"/>
              <w:rPr>
                <w:rFonts w:ascii="Arial Narrow" w:hAnsi="Arial Narrow"/>
                <w:sz w:val="20"/>
                <w:szCs w:val="20"/>
              </w:rPr>
            </w:pPr>
            <w:r w:rsidRPr="00885AB3">
              <w:rPr>
                <w:rFonts w:ascii="Arial Narrow" w:hAnsi="Arial Narrow"/>
                <w:sz w:val="20"/>
                <w:szCs w:val="20"/>
              </w:rPr>
              <w:t>ABS lifetables (general population)</w:t>
            </w:r>
            <w:r w:rsidR="00371925" w:rsidRPr="00885AB3">
              <w:rPr>
                <w:rFonts w:ascii="Arial Narrow" w:hAnsi="Arial Narrow"/>
                <w:sz w:val="20"/>
                <w:szCs w:val="20"/>
              </w:rPr>
              <w:t xml:space="preserve">. The ESC considered this source </w:t>
            </w:r>
            <w:r w:rsidR="00BB4EDA" w:rsidRPr="00885AB3">
              <w:rPr>
                <w:rFonts w:ascii="Arial Narrow" w:hAnsi="Arial Narrow"/>
                <w:sz w:val="20"/>
                <w:szCs w:val="20"/>
              </w:rPr>
              <w:t>to</w:t>
            </w:r>
            <w:r w:rsidR="00371925" w:rsidRPr="00885AB3">
              <w:rPr>
                <w:rFonts w:ascii="Arial Narrow" w:hAnsi="Arial Narrow"/>
                <w:sz w:val="20"/>
                <w:szCs w:val="20"/>
              </w:rPr>
              <w:t xml:space="preserve"> be appropriate</w:t>
            </w:r>
            <w:r w:rsidR="00400A08" w:rsidRPr="00885AB3">
              <w:rPr>
                <w:rFonts w:ascii="Arial Narrow" w:hAnsi="Arial Narrow"/>
                <w:sz w:val="20"/>
                <w:szCs w:val="20"/>
              </w:rPr>
              <w:t>, al</w:t>
            </w:r>
            <w:r w:rsidR="00371925" w:rsidRPr="00885AB3">
              <w:rPr>
                <w:rFonts w:ascii="Arial Narrow" w:hAnsi="Arial Narrow"/>
                <w:sz w:val="20"/>
                <w:szCs w:val="20"/>
              </w:rPr>
              <w:t>though</w:t>
            </w:r>
            <w:r w:rsidR="003F37DE" w:rsidRPr="00885AB3">
              <w:rPr>
                <w:rFonts w:ascii="Arial Narrow" w:hAnsi="Arial Narrow"/>
                <w:sz w:val="20"/>
                <w:szCs w:val="20"/>
              </w:rPr>
              <w:t xml:space="preserve"> acknowledging that</w:t>
            </w:r>
            <w:r w:rsidR="00371925" w:rsidRPr="00885AB3">
              <w:rPr>
                <w:rFonts w:ascii="Arial Narrow" w:hAnsi="Arial Narrow"/>
                <w:sz w:val="20"/>
                <w:szCs w:val="20"/>
              </w:rPr>
              <w:t xml:space="preserve"> it underestimates Aboriginal and Torres Strait Islander mortality.</w:t>
            </w:r>
          </w:p>
        </w:tc>
      </w:tr>
      <w:tr w:rsidR="006A1AFC" w:rsidRPr="00885AB3" w14:paraId="42B5ADB1" w14:textId="77777777" w:rsidTr="000206A2">
        <w:tc>
          <w:tcPr>
            <w:tcW w:w="5000" w:type="pct"/>
            <w:gridSpan w:val="3"/>
          </w:tcPr>
          <w:p w14:paraId="7680B53C" w14:textId="77777777" w:rsidR="006A1AFC" w:rsidRPr="00885AB3" w:rsidRDefault="006A1AFC" w:rsidP="00120D61">
            <w:pPr>
              <w:pStyle w:val="Tabletext8pt"/>
              <w:rPr>
                <w:rFonts w:ascii="Arial Narrow" w:hAnsi="Arial Narrow"/>
                <w:sz w:val="20"/>
                <w:szCs w:val="20"/>
              </w:rPr>
            </w:pPr>
            <w:r w:rsidRPr="00885AB3">
              <w:rPr>
                <w:rFonts w:ascii="Arial Narrow" w:hAnsi="Arial Narrow"/>
                <w:b/>
                <w:bCs/>
                <w:sz w:val="20"/>
                <w:szCs w:val="20"/>
              </w:rPr>
              <w:t>Vaccine efficacy</w:t>
            </w:r>
          </w:p>
        </w:tc>
      </w:tr>
      <w:tr w:rsidR="006A1AFC" w:rsidRPr="00885AB3" w14:paraId="141597C4" w14:textId="77777777" w:rsidTr="000206A2">
        <w:tc>
          <w:tcPr>
            <w:tcW w:w="950" w:type="pct"/>
          </w:tcPr>
          <w:p w14:paraId="4ED5328C" w14:textId="77777777" w:rsidR="006A1AFC" w:rsidRPr="00885AB3" w:rsidRDefault="006A1AFC" w:rsidP="00120D61">
            <w:pPr>
              <w:pStyle w:val="Tabletext8pt"/>
              <w:rPr>
                <w:rFonts w:ascii="Arial Narrow" w:hAnsi="Arial Narrow"/>
                <w:b/>
                <w:bCs/>
                <w:sz w:val="20"/>
                <w:szCs w:val="20"/>
              </w:rPr>
            </w:pPr>
            <w:r w:rsidRPr="00885AB3">
              <w:rPr>
                <w:rFonts w:ascii="Arial Narrow" w:hAnsi="Arial Narrow"/>
                <w:sz w:val="20"/>
                <w:szCs w:val="20"/>
              </w:rPr>
              <w:t>Vaccination month</w:t>
            </w:r>
          </w:p>
        </w:tc>
        <w:tc>
          <w:tcPr>
            <w:tcW w:w="4050" w:type="pct"/>
            <w:gridSpan w:val="2"/>
          </w:tcPr>
          <w:p w14:paraId="6400F721" w14:textId="77777777" w:rsidR="006A1AFC" w:rsidRPr="00885AB3" w:rsidRDefault="006A1AFC" w:rsidP="00120D61">
            <w:pPr>
              <w:pStyle w:val="Tabletext8pt"/>
              <w:rPr>
                <w:rFonts w:ascii="Arial Narrow" w:hAnsi="Arial Narrow"/>
                <w:sz w:val="20"/>
                <w:szCs w:val="20"/>
              </w:rPr>
            </w:pPr>
            <w:r w:rsidRPr="00885AB3">
              <w:rPr>
                <w:rFonts w:ascii="Arial Narrow" w:hAnsi="Arial Narrow"/>
                <w:sz w:val="20"/>
                <w:szCs w:val="20"/>
              </w:rPr>
              <w:t xml:space="preserve">Year round </w:t>
            </w:r>
          </w:p>
        </w:tc>
      </w:tr>
      <w:tr w:rsidR="006A1AFC" w:rsidRPr="00885AB3" w14:paraId="06094B92" w14:textId="77777777" w:rsidTr="000206A2">
        <w:tc>
          <w:tcPr>
            <w:tcW w:w="950" w:type="pct"/>
          </w:tcPr>
          <w:p w14:paraId="1B6BE776" w14:textId="6976B293" w:rsidR="006A1AFC" w:rsidRPr="00885AB3" w:rsidRDefault="006A1AFC" w:rsidP="00120D61">
            <w:pPr>
              <w:pStyle w:val="Tabletext8pt"/>
              <w:rPr>
                <w:rFonts w:ascii="Arial Narrow" w:hAnsi="Arial Narrow"/>
                <w:sz w:val="20"/>
                <w:szCs w:val="20"/>
              </w:rPr>
            </w:pPr>
            <w:r w:rsidRPr="00885AB3">
              <w:rPr>
                <w:rFonts w:ascii="Arial Narrow" w:hAnsi="Arial Narrow"/>
                <w:sz w:val="20"/>
                <w:szCs w:val="20"/>
              </w:rPr>
              <w:t>VE data</w:t>
            </w:r>
          </w:p>
        </w:tc>
        <w:tc>
          <w:tcPr>
            <w:tcW w:w="4050" w:type="pct"/>
            <w:gridSpan w:val="2"/>
          </w:tcPr>
          <w:p w14:paraId="159B689F" w14:textId="0BE48EB4" w:rsidR="006A1AFC" w:rsidRPr="00885AB3" w:rsidRDefault="006A1AFC" w:rsidP="00120D61">
            <w:pPr>
              <w:pStyle w:val="Tabletext8pt"/>
              <w:rPr>
                <w:rFonts w:ascii="Arial Narrow" w:hAnsi="Arial Narrow"/>
                <w:sz w:val="20"/>
                <w:szCs w:val="20"/>
              </w:rPr>
            </w:pPr>
            <w:r w:rsidRPr="00885AB3">
              <w:rPr>
                <w:rFonts w:ascii="Arial Narrow" w:hAnsi="Arial Narrow"/>
                <w:sz w:val="20"/>
                <w:szCs w:val="20"/>
              </w:rPr>
              <w:t xml:space="preserve">18.8-month VE </w:t>
            </w:r>
            <w:proofErr w:type="spellStart"/>
            <w:r w:rsidRPr="00885AB3">
              <w:rPr>
                <w:rFonts w:ascii="Arial Narrow" w:hAnsi="Arial Narrow"/>
                <w:sz w:val="20"/>
                <w:szCs w:val="20"/>
              </w:rPr>
              <w:t>data</w:t>
            </w:r>
            <w:r w:rsidRPr="00885AB3">
              <w:rPr>
                <w:rFonts w:ascii="Arial Narrow" w:hAnsi="Arial Narrow"/>
                <w:i/>
                <w:sz w:val="20"/>
                <w:szCs w:val="20"/>
                <w:vertAlign w:val="superscript"/>
              </w:rPr>
              <w:t>b</w:t>
            </w:r>
            <w:proofErr w:type="spellEnd"/>
            <w:r w:rsidRPr="00885AB3">
              <w:rPr>
                <w:rFonts w:ascii="Arial Narrow" w:hAnsi="Arial Narrow"/>
                <w:sz w:val="20"/>
                <w:szCs w:val="20"/>
              </w:rPr>
              <w:t xml:space="preserve"> of ITT population (</w:t>
            </w:r>
            <w:r w:rsidR="00EF2FA4">
              <w:rPr>
                <w:rFonts w:ascii="Arial Narrow" w:hAnsi="Arial Narrow"/>
                <w:sz w:val="20"/>
                <w:szCs w:val="20"/>
              </w:rPr>
              <w:t xml:space="preserve">≥ </w:t>
            </w:r>
            <w:r w:rsidR="00EC73E7" w:rsidRPr="00885AB3">
              <w:rPr>
                <w:rFonts w:ascii="Arial Narrow" w:hAnsi="Arial Narrow"/>
                <w:sz w:val="20"/>
                <w:szCs w:val="20"/>
              </w:rPr>
              <w:t>60</w:t>
            </w:r>
            <w:r w:rsidRPr="00885AB3">
              <w:rPr>
                <w:rFonts w:ascii="Arial Narrow" w:hAnsi="Arial Narrow"/>
                <w:sz w:val="20"/>
                <w:szCs w:val="20"/>
              </w:rPr>
              <w:t xml:space="preserve"> YOA; 8 March 2024 data cutoff) from </w:t>
            </w:r>
            <w:proofErr w:type="spellStart"/>
            <w:r w:rsidRPr="00885AB3">
              <w:rPr>
                <w:rFonts w:ascii="Arial Narrow" w:hAnsi="Arial Narrow"/>
                <w:sz w:val="20"/>
                <w:szCs w:val="20"/>
              </w:rPr>
              <w:t>ConquerRSV</w:t>
            </w:r>
            <w:proofErr w:type="spellEnd"/>
            <w:r w:rsidRPr="00885AB3">
              <w:rPr>
                <w:rFonts w:ascii="Arial Narrow" w:hAnsi="Arial Narrow"/>
                <w:sz w:val="20"/>
                <w:szCs w:val="20"/>
              </w:rPr>
              <w:t xml:space="preserve"> were extrapolated over 5 years using</w:t>
            </w:r>
            <w:r w:rsidR="00DF3A89" w:rsidRPr="00885AB3">
              <w:rPr>
                <w:rFonts w:ascii="Arial Narrow" w:hAnsi="Arial Narrow"/>
                <w:sz w:val="20"/>
                <w:szCs w:val="20"/>
              </w:rPr>
              <w:t xml:space="preserve"> a</w:t>
            </w:r>
            <w:r w:rsidRPr="00885AB3">
              <w:rPr>
                <w:rFonts w:ascii="Arial Narrow" w:hAnsi="Arial Narrow"/>
                <w:sz w:val="20"/>
                <w:szCs w:val="20"/>
              </w:rPr>
              <w:t xml:space="preserve"> non-linear model. Averaged annual VE was estimated using modelled monthly VE and seasonality (see </w:t>
            </w:r>
            <w:r w:rsidRPr="00885AB3">
              <w:rPr>
                <w:rFonts w:ascii="Arial Narrow" w:hAnsi="Arial Narrow"/>
                <w:sz w:val="20"/>
                <w:szCs w:val="20"/>
              </w:rPr>
              <w:fldChar w:fldCharType="begin" w:fldLock="1"/>
            </w:r>
            <w:r w:rsidRPr="00885AB3">
              <w:rPr>
                <w:rFonts w:ascii="Arial Narrow" w:hAnsi="Arial Narrow"/>
                <w:sz w:val="20"/>
                <w:szCs w:val="20"/>
              </w:rPr>
              <w:instrText xml:space="preserve"> REF _Ref206475748 \h  \* MERGEFORMAT </w:instrText>
            </w:r>
            <w:r w:rsidRPr="00885AB3">
              <w:rPr>
                <w:rFonts w:ascii="Arial Narrow" w:hAnsi="Arial Narrow"/>
                <w:sz w:val="20"/>
                <w:szCs w:val="20"/>
              </w:rPr>
            </w:r>
            <w:r w:rsidRPr="00885AB3">
              <w:rPr>
                <w:rFonts w:ascii="Arial Narrow" w:hAnsi="Arial Narrow"/>
                <w:sz w:val="20"/>
                <w:szCs w:val="20"/>
              </w:rPr>
              <w:fldChar w:fldCharType="separate"/>
            </w:r>
            <w:r w:rsidR="00515933" w:rsidRPr="00885AB3">
              <w:rPr>
                <w:rFonts w:ascii="Arial Narrow" w:hAnsi="Arial Narrow"/>
                <w:sz w:val="20"/>
                <w:szCs w:val="20"/>
              </w:rPr>
              <w:t>Table 19</w:t>
            </w:r>
            <w:r w:rsidRPr="00885AB3">
              <w:rPr>
                <w:rFonts w:ascii="Arial Narrow" w:hAnsi="Arial Narrow"/>
                <w:sz w:val="20"/>
                <w:szCs w:val="20"/>
              </w:rPr>
              <w:fldChar w:fldCharType="end"/>
            </w:r>
            <w:r w:rsidRPr="00885AB3">
              <w:rPr>
                <w:rFonts w:ascii="Arial Narrow" w:hAnsi="Arial Narrow"/>
                <w:sz w:val="20"/>
                <w:szCs w:val="20"/>
              </w:rPr>
              <w:t>).</w:t>
            </w:r>
            <w:r w:rsidR="009654E8" w:rsidRPr="00885AB3">
              <w:rPr>
                <w:rFonts w:ascii="Arial Narrow" w:hAnsi="Arial Narrow"/>
                <w:sz w:val="20"/>
                <w:szCs w:val="20"/>
              </w:rPr>
              <w:t xml:space="preserve"> </w:t>
            </w:r>
            <w:r w:rsidR="002825D2" w:rsidRPr="00885AB3">
              <w:rPr>
                <w:rFonts w:ascii="Arial Narrow" w:hAnsi="Arial Narrow"/>
                <w:sz w:val="20"/>
                <w:szCs w:val="20"/>
              </w:rPr>
              <w:t>The ESC noted that VE data was b</w:t>
            </w:r>
            <w:r w:rsidR="009654E8" w:rsidRPr="00885AB3">
              <w:rPr>
                <w:rFonts w:ascii="Arial Narrow" w:hAnsi="Arial Narrow"/>
                <w:sz w:val="20"/>
                <w:szCs w:val="20"/>
              </w:rPr>
              <w:t>ased on limited</w:t>
            </w:r>
            <w:r w:rsidR="0044584B" w:rsidRPr="00885AB3">
              <w:rPr>
                <w:rFonts w:ascii="Arial Narrow" w:hAnsi="Arial Narrow"/>
                <w:sz w:val="20"/>
                <w:szCs w:val="20"/>
              </w:rPr>
              <w:t xml:space="preserve"> duration of</w:t>
            </w:r>
            <w:r w:rsidR="009654E8" w:rsidRPr="00885AB3">
              <w:rPr>
                <w:rFonts w:ascii="Arial Narrow" w:hAnsi="Arial Narrow"/>
                <w:sz w:val="20"/>
                <w:szCs w:val="20"/>
              </w:rPr>
              <w:t xml:space="preserve"> </w:t>
            </w:r>
            <w:r w:rsidR="002A4B0D" w:rsidRPr="00885AB3">
              <w:rPr>
                <w:rFonts w:ascii="Arial Narrow" w:hAnsi="Arial Narrow"/>
                <w:sz w:val="20"/>
                <w:szCs w:val="20"/>
              </w:rPr>
              <w:t>follow up</w:t>
            </w:r>
            <w:r w:rsidR="009654E8" w:rsidRPr="00885AB3">
              <w:rPr>
                <w:rFonts w:ascii="Arial Narrow" w:hAnsi="Arial Narrow"/>
                <w:sz w:val="20"/>
                <w:szCs w:val="20"/>
              </w:rPr>
              <w:t xml:space="preserve"> </w:t>
            </w:r>
            <w:r w:rsidR="002A4B0D" w:rsidRPr="00885AB3">
              <w:rPr>
                <w:rFonts w:ascii="Arial Narrow" w:hAnsi="Arial Narrow"/>
                <w:sz w:val="20"/>
                <w:szCs w:val="20"/>
              </w:rPr>
              <w:t>and</w:t>
            </w:r>
            <w:r w:rsidR="009654E8" w:rsidRPr="00885AB3">
              <w:rPr>
                <w:rFonts w:ascii="Arial Narrow" w:hAnsi="Arial Narrow"/>
                <w:sz w:val="20"/>
                <w:szCs w:val="20"/>
              </w:rPr>
              <w:t xml:space="preserve"> </w:t>
            </w:r>
            <w:r w:rsidR="007533D6" w:rsidRPr="00885AB3">
              <w:rPr>
                <w:rFonts w:ascii="Arial Narrow" w:hAnsi="Arial Narrow"/>
                <w:sz w:val="20"/>
                <w:szCs w:val="20"/>
              </w:rPr>
              <w:t>appears</w:t>
            </w:r>
            <w:r w:rsidR="009654E8" w:rsidRPr="00885AB3">
              <w:rPr>
                <w:rFonts w:ascii="Arial Narrow" w:hAnsi="Arial Narrow"/>
                <w:sz w:val="20"/>
                <w:szCs w:val="20"/>
              </w:rPr>
              <w:t xml:space="preserve"> to over-estimate the incident protection. </w:t>
            </w:r>
            <w:r w:rsidR="007533D6" w:rsidRPr="00885AB3">
              <w:rPr>
                <w:rFonts w:ascii="Arial Narrow" w:hAnsi="Arial Narrow"/>
                <w:sz w:val="20"/>
                <w:szCs w:val="20"/>
              </w:rPr>
              <w:t>The ESC noted that</w:t>
            </w:r>
            <w:r w:rsidR="0044584B" w:rsidRPr="00885AB3">
              <w:rPr>
                <w:rFonts w:ascii="Arial Narrow" w:hAnsi="Arial Narrow"/>
                <w:sz w:val="20"/>
                <w:szCs w:val="20"/>
              </w:rPr>
              <w:t xml:space="preserve"> </w:t>
            </w:r>
            <w:r w:rsidR="009654E8" w:rsidRPr="00885AB3">
              <w:rPr>
                <w:rFonts w:ascii="Arial Narrow" w:hAnsi="Arial Narrow"/>
                <w:sz w:val="20"/>
                <w:szCs w:val="20"/>
              </w:rPr>
              <w:t xml:space="preserve">the protection is the cumulative figure, which is </w:t>
            </w:r>
            <w:r w:rsidR="0044584B" w:rsidRPr="00885AB3">
              <w:rPr>
                <w:rFonts w:ascii="Arial Narrow" w:hAnsi="Arial Narrow"/>
                <w:sz w:val="20"/>
                <w:szCs w:val="20"/>
              </w:rPr>
              <w:t>not appropriate.</w:t>
            </w:r>
          </w:p>
        </w:tc>
      </w:tr>
      <w:tr w:rsidR="006A1AFC" w:rsidRPr="00885AB3" w14:paraId="43EF15DB" w14:textId="77777777" w:rsidTr="000206A2">
        <w:tc>
          <w:tcPr>
            <w:tcW w:w="950" w:type="pct"/>
          </w:tcPr>
          <w:p w14:paraId="2DA4CF2C" w14:textId="77777777" w:rsidR="006A1AFC" w:rsidRPr="00885AB3" w:rsidRDefault="006A1AFC" w:rsidP="00120D61">
            <w:pPr>
              <w:pStyle w:val="Tabletext8pt"/>
              <w:rPr>
                <w:rFonts w:ascii="Arial Narrow" w:hAnsi="Arial Narrow"/>
                <w:b/>
                <w:bCs/>
                <w:sz w:val="20"/>
                <w:szCs w:val="20"/>
              </w:rPr>
            </w:pPr>
            <w:r w:rsidRPr="00885AB3">
              <w:rPr>
                <w:rFonts w:ascii="Arial Narrow" w:hAnsi="Arial Narrow"/>
                <w:b/>
                <w:bCs/>
                <w:sz w:val="20"/>
                <w:szCs w:val="20"/>
              </w:rPr>
              <w:t>Adverse events</w:t>
            </w:r>
          </w:p>
        </w:tc>
        <w:tc>
          <w:tcPr>
            <w:tcW w:w="4050" w:type="pct"/>
            <w:gridSpan w:val="2"/>
          </w:tcPr>
          <w:p w14:paraId="26AC8821" w14:textId="77777777" w:rsidR="006A1AFC" w:rsidRPr="00885AB3" w:rsidRDefault="006A1AFC" w:rsidP="00120D61">
            <w:pPr>
              <w:pStyle w:val="Tabletext8pt"/>
              <w:rPr>
                <w:rFonts w:ascii="Arial Narrow" w:hAnsi="Arial Narrow"/>
                <w:sz w:val="20"/>
                <w:szCs w:val="20"/>
              </w:rPr>
            </w:pPr>
            <w:r w:rsidRPr="00885AB3">
              <w:rPr>
                <w:rFonts w:ascii="Arial Narrow" w:hAnsi="Arial Narrow"/>
                <w:sz w:val="20"/>
                <w:szCs w:val="20"/>
              </w:rPr>
              <w:t xml:space="preserve">The difference between the AE rates for mRNA-1345 and placebo (1.43% and 1.13% for grade 3 local and systemic AEs, respectively) from </w:t>
            </w:r>
            <w:proofErr w:type="spellStart"/>
            <w:r w:rsidRPr="00885AB3">
              <w:rPr>
                <w:rFonts w:ascii="Arial Narrow" w:hAnsi="Arial Narrow"/>
                <w:sz w:val="20"/>
                <w:szCs w:val="20"/>
              </w:rPr>
              <w:t>ConquerRSV</w:t>
            </w:r>
            <w:proofErr w:type="spellEnd"/>
          </w:p>
        </w:tc>
      </w:tr>
      <w:tr w:rsidR="006A1AFC" w:rsidRPr="00885AB3" w14:paraId="64FCFDAC" w14:textId="77777777" w:rsidTr="000206A2">
        <w:tc>
          <w:tcPr>
            <w:tcW w:w="950" w:type="pct"/>
          </w:tcPr>
          <w:p w14:paraId="4626516B" w14:textId="77777777" w:rsidR="006A1AFC" w:rsidRPr="00885AB3" w:rsidRDefault="006A1AFC" w:rsidP="00120D61">
            <w:pPr>
              <w:pStyle w:val="Tabletext8pt"/>
              <w:rPr>
                <w:rFonts w:ascii="Arial Narrow" w:hAnsi="Arial Narrow"/>
                <w:b/>
                <w:sz w:val="20"/>
                <w:szCs w:val="20"/>
              </w:rPr>
            </w:pPr>
            <w:r w:rsidRPr="00885AB3">
              <w:rPr>
                <w:rFonts w:ascii="Arial Narrow" w:hAnsi="Arial Narrow"/>
                <w:b/>
                <w:sz w:val="20"/>
                <w:szCs w:val="20"/>
              </w:rPr>
              <w:t>HRQoL (utility values)</w:t>
            </w:r>
          </w:p>
        </w:tc>
        <w:tc>
          <w:tcPr>
            <w:tcW w:w="1906" w:type="pct"/>
          </w:tcPr>
          <w:p w14:paraId="470E4E10" w14:textId="77777777" w:rsidR="006A1AFC" w:rsidRPr="00885AB3" w:rsidRDefault="006A1AFC" w:rsidP="00120D61">
            <w:pPr>
              <w:pStyle w:val="TableText0"/>
              <w:keepNext/>
              <w:jc w:val="both"/>
              <w:rPr>
                <w:szCs w:val="20"/>
              </w:rPr>
            </w:pPr>
            <w:r w:rsidRPr="00885AB3">
              <w:rPr>
                <w:szCs w:val="20"/>
              </w:rPr>
              <w:t xml:space="preserve">Population norm (Redwood et al. 2024): </w:t>
            </w:r>
          </w:p>
          <w:p w14:paraId="0AD58DA3" w14:textId="4F5D7280" w:rsidR="006A1AFC" w:rsidRPr="00885AB3" w:rsidRDefault="001C78D7" w:rsidP="00120D61">
            <w:pPr>
              <w:pStyle w:val="TableText0"/>
              <w:keepNext/>
              <w:jc w:val="both"/>
              <w:rPr>
                <w:szCs w:val="20"/>
              </w:rPr>
            </w:pPr>
            <w:r>
              <w:rPr>
                <w:szCs w:val="20"/>
              </w:rPr>
              <w:t xml:space="preserve"> </w:t>
            </w:r>
            <w:r w:rsidR="006A1AFC" w:rsidRPr="00885AB3">
              <w:rPr>
                <w:szCs w:val="20"/>
              </w:rPr>
              <w:t xml:space="preserve">60-64 YOA: 0.86 </w:t>
            </w:r>
          </w:p>
          <w:p w14:paraId="3DA7672E" w14:textId="147AAE00" w:rsidR="006A1AFC" w:rsidRPr="00885AB3" w:rsidRDefault="001C78D7" w:rsidP="00120D61">
            <w:pPr>
              <w:pStyle w:val="TableText0"/>
              <w:keepNext/>
              <w:jc w:val="both"/>
              <w:rPr>
                <w:szCs w:val="20"/>
              </w:rPr>
            </w:pPr>
            <w:r>
              <w:rPr>
                <w:szCs w:val="20"/>
              </w:rPr>
              <w:t xml:space="preserve"> </w:t>
            </w:r>
            <w:r w:rsidR="006A1AFC" w:rsidRPr="00885AB3">
              <w:rPr>
                <w:szCs w:val="20"/>
              </w:rPr>
              <w:t xml:space="preserve">65-74 YOA: 0.88 </w:t>
            </w:r>
          </w:p>
          <w:p w14:paraId="5A2E15B1" w14:textId="4DD6D3CC" w:rsidR="006A1AFC" w:rsidRPr="00885AB3" w:rsidRDefault="001C78D7" w:rsidP="00120D61">
            <w:pPr>
              <w:pStyle w:val="TableText0"/>
              <w:keepNext/>
              <w:jc w:val="both"/>
              <w:rPr>
                <w:szCs w:val="20"/>
              </w:rPr>
            </w:pPr>
            <w:r>
              <w:rPr>
                <w:szCs w:val="20"/>
              </w:rPr>
              <w:t xml:space="preserve"> </w:t>
            </w:r>
            <w:r w:rsidR="00EF2FA4">
              <w:rPr>
                <w:szCs w:val="20"/>
              </w:rPr>
              <w:t xml:space="preserve">≥ </w:t>
            </w:r>
            <w:r w:rsidR="00EC73E7" w:rsidRPr="00885AB3">
              <w:rPr>
                <w:szCs w:val="20"/>
              </w:rPr>
              <w:t>75</w:t>
            </w:r>
            <w:r w:rsidR="006A1AFC" w:rsidRPr="00885AB3">
              <w:rPr>
                <w:szCs w:val="20"/>
              </w:rPr>
              <w:t xml:space="preserve"> YOA: 0.86 </w:t>
            </w:r>
          </w:p>
        </w:tc>
        <w:tc>
          <w:tcPr>
            <w:tcW w:w="2144" w:type="pct"/>
          </w:tcPr>
          <w:p w14:paraId="35031A2B" w14:textId="77777777" w:rsidR="006A1AFC" w:rsidRPr="00885AB3" w:rsidRDefault="006A1AFC" w:rsidP="00120D61">
            <w:pPr>
              <w:pStyle w:val="TableText0"/>
              <w:keepNext/>
              <w:jc w:val="both"/>
              <w:rPr>
                <w:szCs w:val="20"/>
              </w:rPr>
            </w:pPr>
            <w:r w:rsidRPr="00885AB3">
              <w:rPr>
                <w:szCs w:val="20"/>
              </w:rPr>
              <w:t>Utility decrement (one-off) (Hutton 2024):</w:t>
            </w:r>
          </w:p>
          <w:p w14:paraId="530FA88E" w14:textId="10ECBEB6" w:rsidR="006A1AFC" w:rsidRPr="00885AB3" w:rsidRDefault="001C78D7" w:rsidP="00120D61">
            <w:pPr>
              <w:pStyle w:val="TableText0"/>
              <w:keepNext/>
              <w:jc w:val="left"/>
              <w:rPr>
                <w:szCs w:val="20"/>
              </w:rPr>
            </w:pPr>
            <w:r>
              <w:rPr>
                <w:szCs w:val="20"/>
              </w:rPr>
              <w:t xml:space="preserve"> </w:t>
            </w:r>
            <w:r w:rsidR="006A1AFC" w:rsidRPr="00885AB3">
              <w:rPr>
                <w:szCs w:val="20"/>
              </w:rPr>
              <w:t>Inpatient treatment: 0.0193 (0.0095 – 0.0316)</w:t>
            </w:r>
          </w:p>
          <w:p w14:paraId="1AC22DA0" w14:textId="3B9DFDB4" w:rsidR="006A1AFC" w:rsidRPr="00885AB3" w:rsidRDefault="001C78D7" w:rsidP="00120D61">
            <w:pPr>
              <w:pStyle w:val="TableText0"/>
              <w:keepNext/>
              <w:jc w:val="left"/>
              <w:rPr>
                <w:szCs w:val="20"/>
              </w:rPr>
            </w:pPr>
            <w:r>
              <w:rPr>
                <w:szCs w:val="20"/>
              </w:rPr>
              <w:t xml:space="preserve"> </w:t>
            </w:r>
            <w:r w:rsidR="006A1AFC" w:rsidRPr="00885AB3">
              <w:rPr>
                <w:szCs w:val="20"/>
              </w:rPr>
              <w:t>Outpatient/ED treatment: 0.0185 (0.0053 – 0.0347)</w:t>
            </w:r>
            <w:r w:rsidR="0000384A" w:rsidRPr="00885AB3">
              <w:rPr>
                <w:szCs w:val="20"/>
              </w:rPr>
              <w:t xml:space="preserve">. The ESC </w:t>
            </w:r>
            <w:r w:rsidR="003E27DE" w:rsidRPr="00885AB3">
              <w:rPr>
                <w:szCs w:val="20"/>
              </w:rPr>
              <w:t>noted</w:t>
            </w:r>
            <w:r w:rsidR="0000384A" w:rsidRPr="00885AB3">
              <w:rPr>
                <w:szCs w:val="20"/>
              </w:rPr>
              <w:t xml:space="preserve"> that </w:t>
            </w:r>
            <w:r w:rsidR="00620353" w:rsidRPr="00885AB3">
              <w:rPr>
                <w:szCs w:val="20"/>
              </w:rPr>
              <w:t xml:space="preserve">the figure of 0.0185 was unverifiable and higher than used in </w:t>
            </w:r>
            <w:r w:rsidR="004F0EC0" w:rsidRPr="00885AB3">
              <w:rPr>
                <w:szCs w:val="20"/>
              </w:rPr>
              <w:t xml:space="preserve">the </w:t>
            </w:r>
            <w:r w:rsidR="00620353" w:rsidRPr="00885AB3">
              <w:rPr>
                <w:szCs w:val="20"/>
              </w:rPr>
              <w:t xml:space="preserve">previous </w:t>
            </w:r>
            <w:proofErr w:type="spellStart"/>
            <w:r w:rsidR="00620353" w:rsidRPr="00885AB3">
              <w:rPr>
                <w:szCs w:val="20"/>
              </w:rPr>
              <w:t>RSV</w:t>
            </w:r>
            <w:r w:rsidR="004F0EC0" w:rsidRPr="00885AB3">
              <w:rPr>
                <w:szCs w:val="20"/>
              </w:rPr>
              <w:t>PreF</w:t>
            </w:r>
            <w:proofErr w:type="spellEnd"/>
            <w:r w:rsidR="00620353" w:rsidRPr="00885AB3">
              <w:rPr>
                <w:szCs w:val="20"/>
              </w:rPr>
              <w:t xml:space="preserve"> submission</w:t>
            </w:r>
            <w:r w:rsidR="004F0EC0" w:rsidRPr="00885AB3">
              <w:rPr>
                <w:szCs w:val="20"/>
              </w:rPr>
              <w:t xml:space="preserve"> (0.0054)</w:t>
            </w:r>
            <w:r w:rsidR="00620353" w:rsidRPr="00885AB3">
              <w:rPr>
                <w:szCs w:val="20"/>
              </w:rPr>
              <w:t>.</w:t>
            </w:r>
            <w:r w:rsidR="00165231" w:rsidRPr="00885AB3">
              <w:rPr>
                <w:szCs w:val="20"/>
              </w:rPr>
              <w:t xml:space="preserve"> The pre-PBAC response retained the </w:t>
            </w:r>
            <w:r w:rsidR="00FA007C" w:rsidRPr="00885AB3">
              <w:rPr>
                <w:szCs w:val="20"/>
              </w:rPr>
              <w:t xml:space="preserve">values of 0.0193 for hospitalised RSV and </w:t>
            </w:r>
            <w:r w:rsidR="0097446D" w:rsidRPr="00885AB3">
              <w:rPr>
                <w:szCs w:val="20"/>
              </w:rPr>
              <w:t>0.0185 for medically attended outpatient RSV</w:t>
            </w:r>
            <w:r w:rsidR="004A3C19" w:rsidRPr="00885AB3">
              <w:rPr>
                <w:szCs w:val="20"/>
              </w:rPr>
              <w:t>.</w:t>
            </w:r>
          </w:p>
          <w:p w14:paraId="265D0507" w14:textId="77777777" w:rsidR="006A1AFC" w:rsidRPr="00885AB3" w:rsidRDefault="006A1AFC" w:rsidP="00120D61">
            <w:pPr>
              <w:pStyle w:val="TableText0"/>
              <w:keepNext/>
              <w:jc w:val="left"/>
              <w:rPr>
                <w:szCs w:val="20"/>
              </w:rPr>
            </w:pPr>
          </w:p>
          <w:p w14:paraId="5996B655" w14:textId="77777777" w:rsidR="006A1AFC" w:rsidRPr="00885AB3" w:rsidRDefault="006A1AFC" w:rsidP="00120D61">
            <w:pPr>
              <w:pStyle w:val="TableText0"/>
              <w:keepNext/>
              <w:jc w:val="left"/>
              <w:rPr>
                <w:szCs w:val="20"/>
              </w:rPr>
            </w:pPr>
            <w:r w:rsidRPr="00885AB3">
              <w:rPr>
                <w:szCs w:val="20"/>
              </w:rPr>
              <w:t>AE utility decrement (one-off) (estimate based on Prosser et al. 2019)</w:t>
            </w:r>
          </w:p>
          <w:p w14:paraId="05DDBE16" w14:textId="14C896BC" w:rsidR="006A1AFC" w:rsidRPr="00885AB3" w:rsidRDefault="001C78D7" w:rsidP="00120D61">
            <w:pPr>
              <w:pStyle w:val="TableText0"/>
              <w:keepNext/>
              <w:jc w:val="left"/>
              <w:rPr>
                <w:szCs w:val="20"/>
              </w:rPr>
            </w:pPr>
            <w:r>
              <w:rPr>
                <w:szCs w:val="20"/>
              </w:rPr>
              <w:t xml:space="preserve"> </w:t>
            </w:r>
            <w:r w:rsidR="006A1AFC" w:rsidRPr="00885AB3">
              <w:rPr>
                <w:szCs w:val="20"/>
              </w:rPr>
              <w:t>Grade 3 Local: 0.1 quality adjusted days</w:t>
            </w:r>
          </w:p>
          <w:p w14:paraId="26D2185A" w14:textId="5BE08C08" w:rsidR="006A1AFC" w:rsidRPr="00885AB3" w:rsidRDefault="001C78D7" w:rsidP="00120D61">
            <w:pPr>
              <w:pStyle w:val="TableText0"/>
              <w:keepNext/>
              <w:jc w:val="left"/>
              <w:rPr>
                <w:szCs w:val="20"/>
              </w:rPr>
            </w:pPr>
            <w:r>
              <w:rPr>
                <w:szCs w:val="20"/>
              </w:rPr>
              <w:t xml:space="preserve"> </w:t>
            </w:r>
            <w:r w:rsidR="006A1AFC" w:rsidRPr="00885AB3">
              <w:rPr>
                <w:szCs w:val="20"/>
              </w:rPr>
              <w:t>Grade 3 Systemic: 0.4 quality adjusted days</w:t>
            </w:r>
          </w:p>
        </w:tc>
      </w:tr>
      <w:tr w:rsidR="006A1AFC" w:rsidRPr="00885AB3" w14:paraId="0D940A0B" w14:textId="77777777" w:rsidTr="000206A2">
        <w:tc>
          <w:tcPr>
            <w:tcW w:w="5000" w:type="pct"/>
            <w:gridSpan w:val="3"/>
          </w:tcPr>
          <w:p w14:paraId="589CAC8A" w14:textId="77777777" w:rsidR="006A1AFC" w:rsidRPr="00885AB3" w:rsidRDefault="006A1AFC" w:rsidP="00120D61">
            <w:pPr>
              <w:pStyle w:val="TableText0"/>
              <w:keepNext/>
              <w:jc w:val="both"/>
              <w:rPr>
                <w:szCs w:val="20"/>
              </w:rPr>
            </w:pPr>
            <w:r w:rsidRPr="00885AB3">
              <w:rPr>
                <w:b/>
                <w:szCs w:val="20"/>
              </w:rPr>
              <w:t>Costs</w:t>
            </w:r>
          </w:p>
        </w:tc>
      </w:tr>
      <w:tr w:rsidR="006A1AFC" w:rsidRPr="00885AB3" w14:paraId="1AE1D301" w14:textId="77777777" w:rsidTr="000206A2">
        <w:tc>
          <w:tcPr>
            <w:tcW w:w="950" w:type="pct"/>
          </w:tcPr>
          <w:p w14:paraId="03520EA8" w14:textId="77777777" w:rsidR="006A1AFC" w:rsidRPr="00885AB3" w:rsidRDefault="006A1AFC" w:rsidP="00120D61">
            <w:pPr>
              <w:pStyle w:val="Tabletext8pt"/>
              <w:rPr>
                <w:rFonts w:ascii="Arial Narrow" w:hAnsi="Arial Narrow"/>
                <w:b/>
                <w:bCs/>
                <w:sz w:val="20"/>
                <w:szCs w:val="20"/>
              </w:rPr>
            </w:pPr>
            <w:r w:rsidRPr="00885AB3">
              <w:rPr>
                <w:rFonts w:ascii="Arial Narrow" w:hAnsi="Arial Narrow"/>
                <w:b/>
                <w:sz w:val="20"/>
                <w:szCs w:val="20"/>
              </w:rPr>
              <w:t>RSV management costs (per case)</w:t>
            </w:r>
          </w:p>
        </w:tc>
        <w:tc>
          <w:tcPr>
            <w:tcW w:w="1906" w:type="pct"/>
          </w:tcPr>
          <w:p w14:paraId="7E090185" w14:textId="77777777" w:rsidR="006A1AFC" w:rsidRPr="00885AB3" w:rsidRDefault="006A1AFC" w:rsidP="00120D61">
            <w:pPr>
              <w:pStyle w:val="Tabletext8pt"/>
              <w:rPr>
                <w:rFonts w:ascii="Arial Narrow" w:hAnsi="Arial Narrow"/>
                <w:b/>
                <w:bCs/>
                <w:sz w:val="20"/>
                <w:szCs w:val="20"/>
              </w:rPr>
            </w:pPr>
            <w:r w:rsidRPr="00885AB3">
              <w:rPr>
                <w:rFonts w:ascii="Arial Narrow" w:hAnsi="Arial Narrow"/>
                <w:b/>
                <w:bCs/>
                <w:sz w:val="20"/>
                <w:szCs w:val="20"/>
              </w:rPr>
              <w:t>RSV-LRTD</w:t>
            </w:r>
          </w:p>
          <w:p w14:paraId="3A8C37E4" w14:textId="031E09AC" w:rsidR="006A1AFC" w:rsidRPr="00885AB3" w:rsidRDefault="001C78D7" w:rsidP="00120D61">
            <w:pPr>
              <w:pStyle w:val="Tabletext8pt"/>
              <w:rPr>
                <w:rFonts w:ascii="Arial Narrow" w:hAnsi="Arial Narrow"/>
                <w:i/>
                <w:iCs/>
                <w:sz w:val="20"/>
                <w:szCs w:val="20"/>
              </w:rPr>
            </w:pPr>
            <w:r>
              <w:rPr>
                <w:rFonts w:ascii="Arial Narrow" w:hAnsi="Arial Narrow"/>
                <w:sz w:val="20"/>
                <w:szCs w:val="20"/>
              </w:rPr>
              <w:t xml:space="preserve"> </w:t>
            </w:r>
            <w:r w:rsidR="006A1AFC" w:rsidRPr="00885AB3">
              <w:rPr>
                <w:rFonts w:ascii="Arial Narrow" w:hAnsi="Arial Narrow"/>
                <w:sz w:val="20"/>
                <w:szCs w:val="20"/>
                <w:u w:val="single"/>
              </w:rPr>
              <w:t>Outpatient</w:t>
            </w:r>
            <w:r w:rsidR="006A1AFC" w:rsidRPr="00885AB3">
              <w:rPr>
                <w:rFonts w:ascii="Arial Narrow" w:hAnsi="Arial Narrow"/>
                <w:sz w:val="20"/>
                <w:szCs w:val="20"/>
              </w:rPr>
              <w:t>: $231</w:t>
            </w:r>
          </w:p>
          <w:p w14:paraId="3048F7E0" w14:textId="02592C32" w:rsidR="006A1AFC" w:rsidRPr="00885AB3" w:rsidRDefault="001C78D7" w:rsidP="00120D61">
            <w:pPr>
              <w:pStyle w:val="Tabletext8pt"/>
              <w:rPr>
                <w:rFonts w:ascii="Arial Narrow" w:hAnsi="Arial Narrow"/>
                <w:sz w:val="20"/>
                <w:szCs w:val="20"/>
              </w:rPr>
            </w:pPr>
            <w:r>
              <w:rPr>
                <w:rFonts w:ascii="Arial Narrow" w:hAnsi="Arial Narrow"/>
                <w:sz w:val="20"/>
                <w:szCs w:val="20"/>
              </w:rPr>
              <w:t xml:space="preserve"> </w:t>
            </w:r>
            <w:r w:rsidR="006A1AFC" w:rsidRPr="00885AB3">
              <w:rPr>
                <w:rFonts w:ascii="Arial Narrow" w:hAnsi="Arial Narrow"/>
                <w:sz w:val="20"/>
                <w:szCs w:val="20"/>
                <w:u w:val="single"/>
              </w:rPr>
              <w:t>ED</w:t>
            </w:r>
            <w:r w:rsidR="006A1AFC" w:rsidRPr="00885AB3">
              <w:rPr>
                <w:rFonts w:ascii="Arial Narrow" w:hAnsi="Arial Narrow"/>
                <w:sz w:val="20"/>
                <w:szCs w:val="20"/>
              </w:rPr>
              <w:t>: $2,044 (</w:t>
            </w:r>
            <w:r w:rsidR="00EF2FA4">
              <w:rPr>
                <w:rFonts w:ascii="Arial Narrow" w:hAnsi="Arial Narrow"/>
                <w:sz w:val="20"/>
                <w:szCs w:val="20"/>
              </w:rPr>
              <w:t xml:space="preserve">≥ </w:t>
            </w:r>
            <w:r w:rsidR="00EC73E7" w:rsidRPr="00885AB3">
              <w:rPr>
                <w:rFonts w:ascii="Arial Narrow" w:hAnsi="Arial Narrow"/>
                <w:sz w:val="20"/>
                <w:szCs w:val="20"/>
              </w:rPr>
              <w:t>75</w:t>
            </w:r>
            <w:r w:rsidR="006A1AFC" w:rsidRPr="00885AB3">
              <w:rPr>
                <w:rFonts w:ascii="Arial Narrow" w:hAnsi="Arial Narrow"/>
                <w:sz w:val="20"/>
                <w:szCs w:val="20"/>
              </w:rPr>
              <w:t xml:space="preserve"> YOA), $2,239 (Aboriginal and Torres Strait Islander 60–74 YOA)</w:t>
            </w:r>
          </w:p>
          <w:p w14:paraId="7A5A223D" w14:textId="71328A68" w:rsidR="006A1AFC" w:rsidRPr="00885AB3" w:rsidRDefault="001C78D7" w:rsidP="00120D61">
            <w:pPr>
              <w:pStyle w:val="Tabletext8pt"/>
              <w:rPr>
                <w:rFonts w:ascii="Arial Narrow" w:hAnsi="Arial Narrow"/>
                <w:sz w:val="20"/>
                <w:szCs w:val="20"/>
              </w:rPr>
            </w:pPr>
            <w:r>
              <w:rPr>
                <w:rFonts w:ascii="Arial Narrow" w:hAnsi="Arial Narrow"/>
                <w:sz w:val="20"/>
                <w:szCs w:val="20"/>
              </w:rPr>
              <w:t xml:space="preserve"> </w:t>
            </w:r>
            <w:r w:rsidR="006A1AFC" w:rsidRPr="00885AB3">
              <w:rPr>
                <w:rFonts w:ascii="Arial Narrow" w:hAnsi="Arial Narrow"/>
                <w:sz w:val="20"/>
                <w:szCs w:val="20"/>
                <w:u w:val="single"/>
              </w:rPr>
              <w:t>Hospitalisation</w:t>
            </w:r>
            <w:r w:rsidR="006A1AFC" w:rsidRPr="00885AB3">
              <w:rPr>
                <w:rFonts w:ascii="Arial Narrow" w:hAnsi="Arial Narrow"/>
                <w:sz w:val="20"/>
                <w:szCs w:val="20"/>
              </w:rPr>
              <w:t>: $14,403 (</w:t>
            </w:r>
            <w:r w:rsidR="00EF2FA4">
              <w:rPr>
                <w:rFonts w:ascii="Arial Narrow" w:hAnsi="Arial Narrow"/>
                <w:sz w:val="20"/>
                <w:szCs w:val="20"/>
              </w:rPr>
              <w:t xml:space="preserve">≥ </w:t>
            </w:r>
            <w:r w:rsidR="00EC73E7" w:rsidRPr="00885AB3">
              <w:rPr>
                <w:rFonts w:ascii="Arial Narrow" w:hAnsi="Arial Narrow"/>
                <w:sz w:val="20"/>
                <w:szCs w:val="20"/>
              </w:rPr>
              <w:t>75</w:t>
            </w:r>
            <w:r w:rsidR="006A1AFC" w:rsidRPr="00885AB3">
              <w:rPr>
                <w:rFonts w:ascii="Arial Narrow" w:hAnsi="Arial Narrow"/>
                <w:sz w:val="20"/>
                <w:szCs w:val="20"/>
              </w:rPr>
              <w:t xml:space="preserve"> YOA), </w:t>
            </w:r>
            <w:r w:rsidR="006A0197" w:rsidRPr="00885AB3">
              <w:rPr>
                <w:rFonts w:ascii="Arial Narrow" w:hAnsi="Arial Narrow"/>
                <w:sz w:val="20"/>
                <w:szCs w:val="20"/>
              </w:rPr>
              <w:t>$</w:t>
            </w:r>
            <w:r w:rsidR="006A1AFC" w:rsidRPr="00885AB3">
              <w:rPr>
                <w:rFonts w:ascii="Arial Narrow" w:hAnsi="Arial Narrow"/>
                <w:sz w:val="20"/>
                <w:szCs w:val="20"/>
              </w:rPr>
              <w:t>15,686 (Aboriginal and Torres Strait Islander 60–74 YOA)</w:t>
            </w:r>
            <w:r w:rsidR="00845612" w:rsidRPr="00885AB3">
              <w:rPr>
                <w:rFonts w:ascii="Arial Narrow" w:hAnsi="Arial Narrow"/>
                <w:sz w:val="20"/>
                <w:szCs w:val="20"/>
              </w:rPr>
              <w:t xml:space="preserve">. The ESC noted that </w:t>
            </w:r>
            <w:r w:rsidR="00F661F9" w:rsidRPr="00885AB3">
              <w:rPr>
                <w:rFonts w:ascii="Arial Narrow" w:hAnsi="Arial Narrow"/>
                <w:sz w:val="20"/>
                <w:szCs w:val="20"/>
              </w:rPr>
              <w:t>this</w:t>
            </w:r>
            <w:r w:rsidR="005031AA" w:rsidRPr="00885AB3">
              <w:rPr>
                <w:rFonts w:ascii="Arial Narrow" w:hAnsi="Arial Narrow"/>
                <w:sz w:val="20"/>
                <w:szCs w:val="20"/>
              </w:rPr>
              <w:t xml:space="preserve"> cost</w:t>
            </w:r>
            <w:r w:rsidR="00F661F9" w:rsidRPr="00885AB3">
              <w:rPr>
                <w:rFonts w:ascii="Arial Narrow" w:hAnsi="Arial Narrow"/>
                <w:sz w:val="20"/>
                <w:szCs w:val="20"/>
              </w:rPr>
              <w:t xml:space="preserve"> </w:t>
            </w:r>
            <w:r w:rsidR="005031AA" w:rsidRPr="00885AB3">
              <w:rPr>
                <w:rFonts w:ascii="Arial Narrow" w:hAnsi="Arial Narrow"/>
                <w:sz w:val="20"/>
                <w:szCs w:val="20"/>
              </w:rPr>
              <w:t>should be</w:t>
            </w:r>
            <w:r w:rsidR="00F661F9" w:rsidRPr="00885AB3">
              <w:rPr>
                <w:rFonts w:ascii="Arial Narrow" w:hAnsi="Arial Narrow"/>
                <w:sz w:val="20"/>
                <w:szCs w:val="20"/>
              </w:rPr>
              <w:t xml:space="preserve"> consistent with lower </w:t>
            </w:r>
            <w:r w:rsidR="00F95FAA" w:rsidRPr="00885AB3">
              <w:rPr>
                <w:rFonts w:ascii="Arial Narrow" w:hAnsi="Arial Narrow"/>
                <w:sz w:val="20"/>
                <w:szCs w:val="20"/>
              </w:rPr>
              <w:t>costs</w:t>
            </w:r>
            <w:r w:rsidR="00F661F9" w:rsidRPr="00885AB3">
              <w:rPr>
                <w:rFonts w:ascii="Arial Narrow" w:hAnsi="Arial Narrow"/>
                <w:sz w:val="20"/>
                <w:szCs w:val="20"/>
              </w:rPr>
              <w:t xml:space="preserve"> used previously</w:t>
            </w:r>
            <w:r w:rsidR="00C436EE" w:rsidRPr="00885AB3">
              <w:rPr>
                <w:rFonts w:ascii="Arial Narrow" w:hAnsi="Arial Narrow"/>
                <w:sz w:val="20"/>
                <w:szCs w:val="20"/>
              </w:rPr>
              <w:t xml:space="preserve"> for </w:t>
            </w:r>
            <w:proofErr w:type="spellStart"/>
            <w:r w:rsidR="00C436EE" w:rsidRPr="00885AB3">
              <w:rPr>
                <w:rFonts w:ascii="Arial Narrow" w:hAnsi="Arial Narrow"/>
                <w:sz w:val="20"/>
                <w:szCs w:val="20"/>
              </w:rPr>
              <w:t>RSVPreF</w:t>
            </w:r>
            <w:proofErr w:type="spellEnd"/>
            <w:r w:rsidR="00F661F9" w:rsidRPr="00885AB3">
              <w:rPr>
                <w:rFonts w:ascii="Arial Narrow" w:hAnsi="Arial Narrow"/>
                <w:sz w:val="20"/>
                <w:szCs w:val="20"/>
              </w:rPr>
              <w:t>.</w:t>
            </w:r>
            <w:r w:rsidR="00C95C4F" w:rsidRPr="00885AB3">
              <w:rPr>
                <w:rFonts w:ascii="Arial Narrow" w:hAnsi="Arial Narrow"/>
                <w:sz w:val="20"/>
                <w:szCs w:val="20"/>
              </w:rPr>
              <w:t xml:space="preserve"> </w:t>
            </w:r>
            <w:r w:rsidR="00EA3BC3" w:rsidRPr="00885AB3">
              <w:rPr>
                <w:rFonts w:ascii="Arial Narrow" w:hAnsi="Arial Narrow"/>
                <w:sz w:val="20"/>
                <w:szCs w:val="20"/>
              </w:rPr>
              <w:t>The pre-PBAC response revised the hospitalisation cost to apply ED costs to ED-only episodes and subtracted ED costs from the hospitalisation unit cost, reducing it from $14,403 to $12,359 (</w:t>
            </w:r>
            <w:r w:rsidR="00EF2FA4">
              <w:rPr>
                <w:rFonts w:ascii="Arial Narrow" w:hAnsi="Arial Narrow"/>
                <w:sz w:val="20"/>
                <w:szCs w:val="20"/>
              </w:rPr>
              <w:t xml:space="preserve">≥ </w:t>
            </w:r>
            <w:r w:rsidR="00EA3BC3" w:rsidRPr="00885AB3">
              <w:rPr>
                <w:rFonts w:ascii="Arial Narrow" w:hAnsi="Arial Narrow"/>
                <w:sz w:val="20"/>
                <w:szCs w:val="20"/>
              </w:rPr>
              <w:t xml:space="preserve">75 YOA) and from $15,686 to $13,447 </w:t>
            </w:r>
            <w:r w:rsidR="00EA3BC3" w:rsidRPr="00885AB3">
              <w:rPr>
                <w:rFonts w:ascii="Arial Narrow" w:hAnsi="Arial Narrow"/>
                <w:sz w:val="20"/>
                <w:szCs w:val="20"/>
              </w:rPr>
              <w:lastRenderedPageBreak/>
              <w:t>(Aboriginal and Torres Strait Islander 60–74 YOA)</w:t>
            </w:r>
            <w:r w:rsidR="006A5A5E" w:rsidRPr="00885AB3">
              <w:rPr>
                <w:rFonts w:ascii="Arial Narrow" w:hAnsi="Arial Narrow"/>
                <w:sz w:val="20"/>
                <w:szCs w:val="20"/>
              </w:rPr>
              <w:t>.</w:t>
            </w:r>
          </w:p>
        </w:tc>
        <w:tc>
          <w:tcPr>
            <w:tcW w:w="2144" w:type="pct"/>
          </w:tcPr>
          <w:p w14:paraId="6EE08481" w14:textId="773A60DC" w:rsidR="006A1AFC" w:rsidRPr="00885AB3" w:rsidRDefault="006A1AFC" w:rsidP="00120D61">
            <w:pPr>
              <w:pStyle w:val="Tabletext8pt"/>
              <w:rPr>
                <w:rFonts w:ascii="Arial Narrow" w:hAnsi="Arial Narrow"/>
                <w:b/>
                <w:bCs/>
                <w:sz w:val="20"/>
                <w:szCs w:val="20"/>
              </w:rPr>
            </w:pPr>
            <w:r w:rsidRPr="00885AB3">
              <w:rPr>
                <w:rFonts w:ascii="Arial Narrow" w:hAnsi="Arial Narrow"/>
                <w:b/>
                <w:bCs/>
                <w:sz w:val="20"/>
                <w:szCs w:val="20"/>
              </w:rPr>
              <w:lastRenderedPageBreak/>
              <w:t>RSV-No LRTD</w:t>
            </w:r>
          </w:p>
          <w:p w14:paraId="36483CEE" w14:textId="57744530" w:rsidR="006A1AFC" w:rsidRPr="00885AB3" w:rsidRDefault="001C78D7" w:rsidP="00120D61">
            <w:pPr>
              <w:pStyle w:val="Tabletext8pt"/>
              <w:rPr>
                <w:rFonts w:ascii="Arial Narrow" w:hAnsi="Arial Narrow"/>
                <w:sz w:val="20"/>
                <w:szCs w:val="20"/>
              </w:rPr>
            </w:pPr>
            <w:r>
              <w:rPr>
                <w:rFonts w:ascii="Arial Narrow" w:hAnsi="Arial Narrow"/>
                <w:sz w:val="20"/>
                <w:szCs w:val="20"/>
              </w:rPr>
              <w:t xml:space="preserve"> </w:t>
            </w:r>
            <w:r w:rsidR="006A1AFC" w:rsidRPr="00885AB3">
              <w:rPr>
                <w:rFonts w:ascii="Arial Narrow" w:hAnsi="Arial Narrow"/>
                <w:sz w:val="20"/>
                <w:szCs w:val="20"/>
                <w:u w:val="single"/>
              </w:rPr>
              <w:t>Outpatient</w:t>
            </w:r>
            <w:r w:rsidR="006A1AFC" w:rsidRPr="00885AB3">
              <w:rPr>
                <w:rFonts w:ascii="Arial Narrow" w:hAnsi="Arial Narrow"/>
                <w:sz w:val="20"/>
                <w:szCs w:val="20"/>
              </w:rPr>
              <w:t>: $215</w:t>
            </w:r>
          </w:p>
          <w:p w14:paraId="0C5637E0" w14:textId="6AF416A8" w:rsidR="006A1AFC" w:rsidRPr="00885AB3" w:rsidRDefault="001C78D7" w:rsidP="00120D61">
            <w:pPr>
              <w:pStyle w:val="Tabletext8pt"/>
              <w:rPr>
                <w:rFonts w:ascii="Arial Narrow" w:hAnsi="Arial Narrow"/>
                <w:sz w:val="20"/>
                <w:szCs w:val="20"/>
              </w:rPr>
            </w:pPr>
            <w:r>
              <w:rPr>
                <w:rFonts w:ascii="Arial Narrow" w:hAnsi="Arial Narrow"/>
                <w:sz w:val="20"/>
                <w:szCs w:val="20"/>
              </w:rPr>
              <w:t xml:space="preserve"> </w:t>
            </w:r>
            <w:r w:rsidR="006A1AFC" w:rsidRPr="00885AB3">
              <w:rPr>
                <w:rFonts w:ascii="Arial Narrow" w:hAnsi="Arial Narrow"/>
                <w:sz w:val="20"/>
                <w:szCs w:val="20"/>
                <w:u w:val="single"/>
              </w:rPr>
              <w:t>ED</w:t>
            </w:r>
            <w:r w:rsidR="006A1AFC" w:rsidRPr="00885AB3">
              <w:rPr>
                <w:rFonts w:ascii="Arial Narrow" w:hAnsi="Arial Narrow"/>
                <w:sz w:val="20"/>
                <w:szCs w:val="20"/>
              </w:rPr>
              <w:t>: $1,134 (</w:t>
            </w:r>
            <w:r w:rsidR="00EF2FA4">
              <w:rPr>
                <w:rFonts w:ascii="Arial Narrow" w:hAnsi="Arial Narrow"/>
                <w:sz w:val="20"/>
                <w:szCs w:val="20"/>
              </w:rPr>
              <w:t xml:space="preserve">≥ </w:t>
            </w:r>
            <w:r w:rsidR="00EC73E7" w:rsidRPr="00885AB3">
              <w:rPr>
                <w:rFonts w:ascii="Arial Narrow" w:hAnsi="Arial Narrow"/>
                <w:sz w:val="20"/>
                <w:szCs w:val="20"/>
              </w:rPr>
              <w:t>75</w:t>
            </w:r>
            <w:r w:rsidR="006A1AFC" w:rsidRPr="00885AB3">
              <w:rPr>
                <w:rFonts w:ascii="Arial Narrow" w:hAnsi="Arial Narrow"/>
                <w:sz w:val="20"/>
                <w:szCs w:val="20"/>
              </w:rPr>
              <w:t xml:space="preserve"> YOA); $1,246 (Aboriginal and Torres Strait Islander 60–74 YOA)</w:t>
            </w:r>
          </w:p>
          <w:p w14:paraId="62AA55CE" w14:textId="77777777" w:rsidR="006A1AFC" w:rsidRPr="00885AB3" w:rsidRDefault="006A1AFC" w:rsidP="00120D61">
            <w:pPr>
              <w:pStyle w:val="Tabletext8pt"/>
              <w:rPr>
                <w:rFonts w:ascii="Arial Narrow" w:hAnsi="Arial Narrow"/>
                <w:sz w:val="20"/>
                <w:szCs w:val="20"/>
              </w:rPr>
            </w:pPr>
          </w:p>
          <w:p w14:paraId="3BAA99FA" w14:textId="77777777" w:rsidR="006A1AFC" w:rsidRPr="00885AB3" w:rsidRDefault="006A1AFC" w:rsidP="00120D61">
            <w:pPr>
              <w:pStyle w:val="Tabletext8pt"/>
              <w:rPr>
                <w:rFonts w:ascii="Arial Narrow" w:hAnsi="Arial Narrow"/>
                <w:sz w:val="20"/>
                <w:szCs w:val="20"/>
              </w:rPr>
            </w:pPr>
          </w:p>
        </w:tc>
      </w:tr>
      <w:tr w:rsidR="006A1AFC" w:rsidRPr="00885AB3" w14:paraId="5913BD69" w14:textId="77777777" w:rsidTr="000206A2">
        <w:tc>
          <w:tcPr>
            <w:tcW w:w="950" w:type="pct"/>
          </w:tcPr>
          <w:p w14:paraId="64689644" w14:textId="77777777" w:rsidR="006A1AFC" w:rsidRPr="00885AB3" w:rsidRDefault="006A1AFC" w:rsidP="00120D61">
            <w:pPr>
              <w:pStyle w:val="Tabletext8pt"/>
              <w:rPr>
                <w:rFonts w:ascii="Arial Narrow" w:hAnsi="Arial Narrow"/>
                <w:b/>
                <w:bCs/>
                <w:sz w:val="20"/>
                <w:szCs w:val="20"/>
              </w:rPr>
            </w:pPr>
            <w:r w:rsidRPr="00885AB3">
              <w:rPr>
                <w:rFonts w:ascii="Arial Narrow" w:hAnsi="Arial Narrow"/>
                <w:b/>
                <w:sz w:val="20"/>
                <w:szCs w:val="20"/>
              </w:rPr>
              <w:t>Administration cost</w:t>
            </w:r>
          </w:p>
        </w:tc>
        <w:tc>
          <w:tcPr>
            <w:tcW w:w="4050" w:type="pct"/>
            <w:gridSpan w:val="2"/>
          </w:tcPr>
          <w:p w14:paraId="1B59A4CB" w14:textId="368D07D8" w:rsidR="006A1AFC" w:rsidRPr="00885AB3" w:rsidRDefault="006A1AFC" w:rsidP="00120D61">
            <w:pPr>
              <w:pStyle w:val="Tabletext8pt"/>
              <w:rPr>
                <w:rFonts w:ascii="Arial Narrow" w:hAnsi="Arial Narrow"/>
                <w:sz w:val="20"/>
                <w:szCs w:val="20"/>
              </w:rPr>
            </w:pPr>
            <w:r w:rsidRPr="00885AB3">
              <w:rPr>
                <w:rFonts w:ascii="Arial Narrow" w:hAnsi="Arial Narrow"/>
                <w:sz w:val="20"/>
                <w:szCs w:val="20"/>
              </w:rPr>
              <w:t>$17.57/case (weighted across GP visits 71%, $42.85 via MBS item 23; pharmacies 18%, $20.05 via National Immunisation Program Vaccine Incentive Program 2025; and community settings 11%, assumed $0.00)</w:t>
            </w:r>
            <w:r w:rsidR="00C50B98" w:rsidRPr="00885AB3">
              <w:rPr>
                <w:rFonts w:ascii="Arial Narrow" w:hAnsi="Arial Narrow"/>
                <w:sz w:val="20"/>
                <w:szCs w:val="20"/>
              </w:rPr>
              <w:t>. The ESC considered this calculat</w:t>
            </w:r>
            <w:r w:rsidR="00DC5D02" w:rsidRPr="00885AB3">
              <w:rPr>
                <w:rFonts w:ascii="Arial Narrow" w:hAnsi="Arial Narrow"/>
                <w:sz w:val="20"/>
                <w:szCs w:val="20"/>
              </w:rPr>
              <w:t>ed cost</w:t>
            </w:r>
            <w:r w:rsidR="00C50B98" w:rsidRPr="00885AB3">
              <w:rPr>
                <w:rFonts w:ascii="Arial Narrow" w:hAnsi="Arial Narrow"/>
                <w:sz w:val="20"/>
                <w:szCs w:val="20"/>
              </w:rPr>
              <w:t xml:space="preserve"> to be unclear, as it does not reflect the weighted mean</w:t>
            </w:r>
            <w:r w:rsidR="00EF28C3" w:rsidRPr="00885AB3">
              <w:rPr>
                <w:rFonts w:ascii="Arial Narrow" w:hAnsi="Arial Narrow"/>
                <w:sz w:val="20"/>
                <w:szCs w:val="20"/>
              </w:rPr>
              <w:t xml:space="preserve"> cost</w:t>
            </w:r>
            <w:r w:rsidR="00DC5D02" w:rsidRPr="00885AB3">
              <w:rPr>
                <w:rFonts w:ascii="Arial Narrow" w:hAnsi="Arial Narrow"/>
                <w:sz w:val="20"/>
                <w:szCs w:val="20"/>
              </w:rPr>
              <w:t xml:space="preserve"> across GP, pharmacy</w:t>
            </w:r>
            <w:r w:rsidR="00EF28C3" w:rsidRPr="00885AB3">
              <w:rPr>
                <w:rFonts w:ascii="Arial Narrow" w:hAnsi="Arial Narrow"/>
                <w:sz w:val="20"/>
                <w:szCs w:val="20"/>
              </w:rPr>
              <w:t>,</w:t>
            </w:r>
            <w:r w:rsidR="00DC5D02" w:rsidRPr="00885AB3">
              <w:rPr>
                <w:rFonts w:ascii="Arial Narrow" w:hAnsi="Arial Narrow"/>
                <w:sz w:val="20"/>
                <w:szCs w:val="20"/>
              </w:rPr>
              <w:t xml:space="preserve"> and community settings</w:t>
            </w:r>
            <w:r w:rsidR="00C50B98" w:rsidRPr="00885AB3">
              <w:rPr>
                <w:rFonts w:ascii="Arial Narrow" w:hAnsi="Arial Narrow"/>
                <w:sz w:val="20"/>
                <w:szCs w:val="20"/>
              </w:rPr>
              <w:t>.</w:t>
            </w:r>
            <w:r w:rsidR="000A187C" w:rsidRPr="00885AB3">
              <w:rPr>
                <w:rFonts w:ascii="Arial Narrow" w:hAnsi="Arial Narrow"/>
                <w:sz w:val="20"/>
                <w:szCs w:val="20"/>
              </w:rPr>
              <w:t xml:space="preserve"> The pre-PBAC response </w:t>
            </w:r>
            <w:r w:rsidR="004C3D0D" w:rsidRPr="00885AB3">
              <w:rPr>
                <w:rFonts w:ascii="Arial Narrow" w:hAnsi="Arial Narrow"/>
                <w:sz w:val="20"/>
                <w:szCs w:val="20"/>
              </w:rPr>
              <w:t>revised</w:t>
            </w:r>
            <w:r w:rsidR="000A187C" w:rsidRPr="00885AB3">
              <w:rPr>
                <w:rFonts w:ascii="Arial Narrow" w:hAnsi="Arial Narrow"/>
                <w:sz w:val="20"/>
                <w:szCs w:val="20"/>
              </w:rPr>
              <w:t xml:space="preserve"> the administration cost</w:t>
            </w:r>
            <w:r w:rsidR="00EC1F83" w:rsidRPr="00885AB3">
              <w:rPr>
                <w:rFonts w:ascii="Arial Narrow" w:hAnsi="Arial Narrow"/>
                <w:sz w:val="20"/>
                <w:szCs w:val="20"/>
              </w:rPr>
              <w:t> from $17.57 to $7 per dose to align wi</w:t>
            </w:r>
            <w:r w:rsidR="007B4223" w:rsidRPr="00885AB3">
              <w:rPr>
                <w:rFonts w:ascii="Arial Narrow" w:hAnsi="Arial Narrow"/>
                <w:sz w:val="20"/>
                <w:szCs w:val="20"/>
              </w:rPr>
              <w:t>th</w:t>
            </w:r>
            <w:r w:rsidR="00EC1F83" w:rsidRPr="00885AB3">
              <w:rPr>
                <w:rFonts w:ascii="Arial Narrow" w:hAnsi="Arial Narrow"/>
                <w:sz w:val="20"/>
                <w:szCs w:val="20"/>
              </w:rPr>
              <w:t xml:space="preserve"> the </w:t>
            </w:r>
            <w:proofErr w:type="spellStart"/>
            <w:r w:rsidR="00EC1F83" w:rsidRPr="00885AB3">
              <w:rPr>
                <w:rFonts w:ascii="Arial Narrow" w:hAnsi="Arial Narrow"/>
                <w:sz w:val="20"/>
                <w:szCs w:val="20"/>
              </w:rPr>
              <w:t>RSVpreF</w:t>
            </w:r>
            <w:proofErr w:type="spellEnd"/>
            <w:r w:rsidR="00EC1F83" w:rsidRPr="00885AB3">
              <w:rPr>
                <w:rFonts w:ascii="Arial Narrow" w:hAnsi="Arial Narrow"/>
                <w:sz w:val="20"/>
                <w:szCs w:val="20"/>
              </w:rPr>
              <w:t> PSD.</w:t>
            </w:r>
          </w:p>
        </w:tc>
      </w:tr>
      <w:tr w:rsidR="006A1AFC" w:rsidRPr="00885AB3" w14:paraId="1C19DF4B" w14:textId="77777777" w:rsidTr="000206A2">
        <w:tc>
          <w:tcPr>
            <w:tcW w:w="950" w:type="pct"/>
          </w:tcPr>
          <w:p w14:paraId="655651CA" w14:textId="77777777" w:rsidR="006A1AFC" w:rsidRPr="00885AB3" w:rsidRDefault="006A1AFC" w:rsidP="00120D61">
            <w:pPr>
              <w:pStyle w:val="Tabletext8pt"/>
              <w:rPr>
                <w:rFonts w:ascii="Arial Narrow" w:hAnsi="Arial Narrow"/>
                <w:b/>
                <w:bCs/>
                <w:sz w:val="20"/>
                <w:szCs w:val="20"/>
              </w:rPr>
            </w:pPr>
            <w:r w:rsidRPr="00885AB3">
              <w:rPr>
                <w:rFonts w:ascii="Arial Narrow" w:hAnsi="Arial Narrow"/>
                <w:b/>
                <w:bCs/>
                <w:sz w:val="20"/>
                <w:szCs w:val="20"/>
              </w:rPr>
              <w:t>Software</w:t>
            </w:r>
          </w:p>
        </w:tc>
        <w:tc>
          <w:tcPr>
            <w:tcW w:w="4050" w:type="pct"/>
            <w:gridSpan w:val="2"/>
          </w:tcPr>
          <w:p w14:paraId="3B8C9AC2" w14:textId="77777777" w:rsidR="006A1AFC" w:rsidRPr="00885AB3" w:rsidRDefault="006A1AFC" w:rsidP="00120D61">
            <w:pPr>
              <w:pStyle w:val="Tabletext8pt"/>
              <w:rPr>
                <w:rFonts w:ascii="Arial Narrow" w:hAnsi="Arial Narrow"/>
                <w:sz w:val="20"/>
                <w:szCs w:val="20"/>
              </w:rPr>
            </w:pPr>
            <w:r w:rsidRPr="00885AB3">
              <w:rPr>
                <w:rFonts w:ascii="Arial Narrow" w:hAnsi="Arial Narrow"/>
                <w:sz w:val="20"/>
                <w:szCs w:val="20"/>
              </w:rPr>
              <w:t>Microsoft Excel</w:t>
            </w:r>
          </w:p>
        </w:tc>
      </w:tr>
    </w:tbl>
    <w:p w14:paraId="2797F96B" w14:textId="77777777" w:rsidR="006A1AFC" w:rsidRPr="00885AB3" w:rsidRDefault="006A1AFC" w:rsidP="00120D61">
      <w:pPr>
        <w:pStyle w:val="FooterTableFigure"/>
        <w:keepNext/>
        <w:spacing w:after="0"/>
        <w:rPr>
          <w:szCs w:val="18"/>
        </w:rPr>
      </w:pPr>
      <w:r w:rsidRPr="00885AB3">
        <w:rPr>
          <w:szCs w:val="18"/>
        </w:rPr>
        <w:t>Source: Compiled during evaluation based on Table 3-3, pp219-220 of the submission.</w:t>
      </w:r>
    </w:p>
    <w:p w14:paraId="0C48480E" w14:textId="1090C092" w:rsidR="006A1AFC" w:rsidRPr="00885AB3" w:rsidRDefault="006A1AFC" w:rsidP="00120D61">
      <w:pPr>
        <w:keepNext/>
        <w:rPr>
          <w:rStyle w:val="CommentReference"/>
          <w:rFonts w:eastAsiaTheme="majorEastAsia" w:cstheme="majorBidi"/>
          <w:b w:val="0"/>
          <w:sz w:val="18"/>
          <w:szCs w:val="18"/>
        </w:rPr>
      </w:pPr>
      <w:r w:rsidRPr="00885AB3">
        <w:rPr>
          <w:rStyle w:val="CommentReference"/>
          <w:rFonts w:eastAsiaTheme="majorEastAsia" w:cstheme="majorBidi"/>
          <w:b w:val="0"/>
          <w:sz w:val="18"/>
          <w:szCs w:val="18"/>
        </w:rPr>
        <w:t xml:space="preserve">ABS = Australian Bureau of Statistics; AE = adverse event; AIHW = Australian Institute of Health and Welfare; ED = emergency department; HRQoL = health-related quality of life; ITT = intention-to-treat; LY = life year; MA-RSV-ARD = medically attended respiratory syncytial virus-acute respiratory disease; NHMD = National Hospital Morbidity Database; PBAC = Pharmaceutical Benefits Advisory Committee; PSD = Public Summary Document; QALY = quality-adjusted life year; </w:t>
      </w:r>
      <w:r w:rsidR="00AA1988" w:rsidRPr="00885AB3">
        <w:rPr>
          <w:rStyle w:val="CommentReference"/>
          <w:rFonts w:eastAsiaTheme="majorEastAsia" w:cstheme="majorBidi"/>
          <w:b w:val="0"/>
          <w:sz w:val="18"/>
          <w:szCs w:val="18"/>
        </w:rPr>
        <w:t xml:space="preserve">RSV = respiratory syncytial virus; </w:t>
      </w:r>
      <w:r w:rsidRPr="00885AB3">
        <w:rPr>
          <w:rStyle w:val="CommentReference"/>
          <w:rFonts w:eastAsiaTheme="majorEastAsia" w:cstheme="majorBidi"/>
          <w:b w:val="0"/>
          <w:sz w:val="18"/>
          <w:szCs w:val="18"/>
        </w:rPr>
        <w:t>RSV-ARD = respiratory syncytial virus-acute respiratory disease; RSV-LRTD = respiratory syncytial virus-lower respiratory tract disease; RSV-</w:t>
      </w:r>
      <w:r w:rsidR="00AA1988" w:rsidRPr="00885AB3">
        <w:rPr>
          <w:rStyle w:val="CommentReference"/>
          <w:rFonts w:eastAsiaTheme="majorEastAsia" w:cstheme="majorBidi"/>
          <w:b w:val="0"/>
          <w:sz w:val="18"/>
          <w:szCs w:val="18"/>
        </w:rPr>
        <w:t>N</w:t>
      </w:r>
      <w:r w:rsidRPr="00885AB3">
        <w:rPr>
          <w:rStyle w:val="CommentReference"/>
          <w:rFonts w:eastAsiaTheme="majorEastAsia" w:cstheme="majorBidi"/>
          <w:b w:val="0"/>
          <w:sz w:val="18"/>
          <w:szCs w:val="18"/>
        </w:rPr>
        <w:t>o LRTD = respiratory syncytial virus-no lower respiratory tract disease; VE = vaccine efficacy; YOA = years of age.</w:t>
      </w:r>
    </w:p>
    <w:p w14:paraId="4C00EDD1" w14:textId="77777777" w:rsidR="006A1AFC" w:rsidRPr="00885AB3" w:rsidRDefault="006A1AFC" w:rsidP="00120D61">
      <w:pPr>
        <w:keepNext/>
        <w:rPr>
          <w:rStyle w:val="CommentReference"/>
          <w:rFonts w:eastAsiaTheme="majorEastAsia" w:cstheme="majorBidi"/>
          <w:b w:val="0"/>
          <w:sz w:val="18"/>
          <w:szCs w:val="18"/>
        </w:rPr>
      </w:pPr>
      <w:proofErr w:type="spellStart"/>
      <w:r w:rsidRPr="00885AB3">
        <w:rPr>
          <w:rStyle w:val="CommentReference"/>
          <w:rFonts w:eastAsiaTheme="majorEastAsia" w:cstheme="majorBidi"/>
          <w:b w:val="0"/>
          <w:sz w:val="18"/>
          <w:szCs w:val="18"/>
          <w:vertAlign w:val="superscript"/>
        </w:rPr>
        <w:t>a</w:t>
      </w:r>
      <w:proofErr w:type="spellEnd"/>
      <w:r w:rsidRPr="00885AB3">
        <w:rPr>
          <w:rStyle w:val="CommentReference"/>
          <w:rFonts w:eastAsiaTheme="majorEastAsia" w:cstheme="majorBidi"/>
          <w:b w:val="0"/>
          <w:sz w:val="18"/>
          <w:szCs w:val="18"/>
        </w:rPr>
        <w:t xml:space="preserve"> The outpatient cost presented appears to reflect GP visits in the community rather than care provided in outpatient specialist settings</w:t>
      </w:r>
      <w:r w:rsidRPr="00885AB3" w:rsidDel="003D66B5">
        <w:rPr>
          <w:rStyle w:val="CommentReference"/>
          <w:rFonts w:eastAsiaTheme="majorEastAsia" w:cstheme="majorBidi"/>
          <w:b w:val="0"/>
          <w:sz w:val="18"/>
          <w:szCs w:val="18"/>
        </w:rPr>
        <w:t>.</w:t>
      </w:r>
    </w:p>
    <w:p w14:paraId="5AB0559F" w14:textId="77777777" w:rsidR="006A1AFC" w:rsidRPr="00885AB3" w:rsidRDefault="006A1AFC" w:rsidP="00120D61">
      <w:pPr>
        <w:keepNext/>
        <w:rPr>
          <w:rStyle w:val="CommentReference"/>
          <w:rFonts w:eastAsiaTheme="majorEastAsia" w:cstheme="majorBidi"/>
          <w:b w:val="0"/>
          <w:sz w:val="18"/>
          <w:szCs w:val="18"/>
        </w:rPr>
      </w:pPr>
      <w:r w:rsidRPr="00885AB3">
        <w:rPr>
          <w:rStyle w:val="CommentReference"/>
          <w:rFonts w:eastAsiaTheme="majorEastAsia" w:cstheme="majorBidi"/>
          <w:b w:val="0"/>
          <w:sz w:val="18"/>
          <w:szCs w:val="18"/>
          <w:vertAlign w:val="superscript"/>
        </w:rPr>
        <w:t xml:space="preserve">b </w:t>
      </w:r>
      <w:r w:rsidRPr="00885AB3">
        <w:rPr>
          <w:rStyle w:val="CommentReference"/>
          <w:rFonts w:eastAsiaTheme="majorEastAsia" w:cstheme="majorBidi"/>
          <w:b w:val="0"/>
          <w:sz w:val="18"/>
          <w:szCs w:val="18"/>
        </w:rPr>
        <w:t>Noted in ATAGI Advice June 2025 (p5) as monthly interval-specific data, but no source was provided to confirm this.</w:t>
      </w:r>
    </w:p>
    <w:p w14:paraId="6AD66BA3" w14:textId="77777777" w:rsidR="009F3221" w:rsidRPr="00885AB3" w:rsidRDefault="009F3221" w:rsidP="00120D61">
      <w:pPr>
        <w:rPr>
          <w:rStyle w:val="CommentReference"/>
          <w:rFonts w:eastAsiaTheme="majorEastAsia" w:cstheme="majorBidi"/>
          <w:b w:val="0"/>
          <w:i/>
          <w:sz w:val="18"/>
          <w:szCs w:val="18"/>
        </w:rPr>
      </w:pPr>
    </w:p>
    <w:p w14:paraId="39D1A7C7" w14:textId="1D4DC82F" w:rsidR="006A1AFC" w:rsidRPr="00885AB3" w:rsidRDefault="006A1AFC" w:rsidP="00120D61">
      <w:pPr>
        <w:pStyle w:val="3-BodyText"/>
        <w:spacing w:before="0"/>
        <w:rPr>
          <w:rFonts w:cs="Calibri"/>
          <w:iCs/>
        </w:rPr>
      </w:pPr>
      <w:r w:rsidRPr="00885AB3">
        <w:rPr>
          <w:rFonts w:cs="Calibri"/>
          <w:iCs/>
        </w:rPr>
        <w:t>The submission applied a 3.5% discount rate for both costs and health outcomes, which</w:t>
      </w:r>
      <w:r w:rsidR="00B64B8D" w:rsidRPr="00885AB3">
        <w:rPr>
          <w:rFonts w:cs="Calibri"/>
          <w:iCs/>
        </w:rPr>
        <w:t xml:space="preserve"> the evaluation noted</w:t>
      </w:r>
      <w:r w:rsidRPr="00885AB3">
        <w:rPr>
          <w:rFonts w:cs="Calibri"/>
          <w:iCs/>
        </w:rPr>
        <w:t xml:space="preserve"> is inconsistent with the 5% rate used in other RSV vaccine submissions to the PBAC (Table 25, RSVPreF3 OA PSD, July 2024; Table 16, </w:t>
      </w:r>
      <w:proofErr w:type="spellStart"/>
      <w:r w:rsidRPr="00885AB3">
        <w:rPr>
          <w:rFonts w:cs="Calibri"/>
          <w:iCs/>
        </w:rPr>
        <w:t>RSVPreF</w:t>
      </w:r>
      <w:proofErr w:type="spellEnd"/>
      <w:r w:rsidRPr="00885AB3">
        <w:rPr>
          <w:rFonts w:cs="Calibri"/>
          <w:iCs/>
        </w:rPr>
        <w:t xml:space="preserve"> PSD, November 2024)</w:t>
      </w:r>
      <w:r w:rsidR="00DD14BD">
        <w:rPr>
          <w:rFonts w:cs="Calibri"/>
          <w:iCs/>
        </w:rPr>
        <w:t xml:space="preserve">, and with the </w:t>
      </w:r>
      <w:r w:rsidR="00DD14BD" w:rsidRPr="00B03814">
        <w:rPr>
          <w:rFonts w:cs="Calibri"/>
          <w:iCs/>
        </w:rPr>
        <w:t>Guidelines for preparing submissions to the PBAC</w:t>
      </w:r>
      <w:r w:rsidRPr="00885AB3">
        <w:rPr>
          <w:rFonts w:cs="Calibri"/>
          <w:iCs/>
        </w:rPr>
        <w:t xml:space="preserve">. </w:t>
      </w:r>
      <w:r w:rsidR="00EA16D2" w:rsidRPr="00885AB3">
        <w:rPr>
          <w:rFonts w:cs="Calibri"/>
          <w:iCs/>
        </w:rPr>
        <w:t>The pre-PBAC response accepted a discount rate of 5% for costs and outcomes.</w:t>
      </w:r>
    </w:p>
    <w:p w14:paraId="3B1E502A" w14:textId="0E3704B4" w:rsidR="006A1AFC" w:rsidRPr="00885AB3" w:rsidRDefault="006A1AFC" w:rsidP="00120D61">
      <w:pPr>
        <w:pStyle w:val="3-BodyText"/>
        <w:rPr>
          <w:rFonts w:cs="Calibri"/>
          <w:iCs/>
        </w:rPr>
      </w:pPr>
      <w:bookmarkStart w:id="123" w:name="_Ref205372454"/>
      <w:bookmarkStart w:id="124" w:name="_Ref205452880"/>
      <w:r w:rsidRPr="00885AB3">
        <w:rPr>
          <w:rFonts w:cs="Calibri"/>
          <w:iCs/>
        </w:rPr>
        <w:t>The</w:t>
      </w:r>
      <w:r w:rsidR="00BF6CB7" w:rsidRPr="00885AB3">
        <w:rPr>
          <w:rFonts w:cs="Calibri"/>
          <w:iCs/>
        </w:rPr>
        <w:t xml:space="preserve"> evaluation considered that the</w:t>
      </w:r>
      <w:r w:rsidRPr="00885AB3">
        <w:rPr>
          <w:rFonts w:cs="Calibri"/>
          <w:iCs/>
        </w:rPr>
        <w:t xml:space="preserve"> pooled unadjusted estimated incidence (3.3%) for medically attended RSV-ARD (MA-RSV-ARD) of the </w:t>
      </w:r>
      <w:r w:rsidR="00EF2FA4">
        <w:rPr>
          <w:rFonts w:cs="Calibri"/>
          <w:iCs/>
        </w:rPr>
        <w:t xml:space="preserve">≥ </w:t>
      </w:r>
      <w:r w:rsidRPr="00885AB3">
        <w:rPr>
          <w:rFonts w:cs="Calibri"/>
          <w:iCs/>
        </w:rPr>
        <w:t>75 YOA population was based on inapplicable data and</w:t>
      </w:r>
      <w:r w:rsidR="002D217F" w:rsidRPr="00885AB3">
        <w:rPr>
          <w:rFonts w:cs="Calibri"/>
          <w:iCs/>
        </w:rPr>
        <w:t xml:space="preserve"> was</w:t>
      </w:r>
      <w:r w:rsidRPr="00885AB3">
        <w:rPr>
          <w:rFonts w:cs="Calibri"/>
          <w:iCs/>
        </w:rPr>
        <w:t xml:space="preserve"> likely overestimated. Specifically, the submission relied on test positivity rates from the included studies (Foley et al. 2024, Price et al. 2019, Varghese et al. 2018). The submission further applied a 2.0 x multiplier to adjust for under-ascertainment of test performance; however, this was inconsistent with ATAGI’s recommended multiplier of 1.5 (ATAGI Advice, September 2024). This resulted in an estimated incidence of MA-RSV-ARD of 6.5%. </w:t>
      </w:r>
      <w:r w:rsidR="009B3A48" w:rsidRPr="00885AB3">
        <w:rPr>
          <w:rFonts w:cs="Calibri"/>
          <w:iCs/>
        </w:rPr>
        <w:t>A</w:t>
      </w:r>
      <w:r w:rsidRPr="00885AB3">
        <w:rPr>
          <w:rFonts w:cs="Calibri"/>
          <w:iCs/>
        </w:rPr>
        <w:t>n MA-RSV-ARD of 4.12</w:t>
      </w:r>
      <w:r w:rsidR="00AA31C6" w:rsidRPr="00885AB3">
        <w:rPr>
          <w:rStyle w:val="FootnoteReference"/>
          <w:rFonts w:cs="Calibri"/>
          <w:iCs/>
        </w:rPr>
        <w:footnoteReference w:id="6"/>
      </w:r>
      <w:r w:rsidRPr="00885AB3">
        <w:rPr>
          <w:rFonts w:cs="Calibri"/>
          <w:iCs/>
        </w:rPr>
        <w:t xml:space="preserve">% was used for this population in </w:t>
      </w:r>
      <w:r w:rsidR="009B3A48" w:rsidRPr="00885AB3">
        <w:rPr>
          <w:rFonts w:cs="Calibri"/>
          <w:iCs/>
        </w:rPr>
        <w:t xml:space="preserve">a previous </w:t>
      </w:r>
      <w:r w:rsidRPr="00885AB3">
        <w:rPr>
          <w:rFonts w:cs="Calibri"/>
          <w:iCs/>
        </w:rPr>
        <w:t xml:space="preserve">RSV vaccine submission (estimated based on Table 13, </w:t>
      </w:r>
      <w:proofErr w:type="spellStart"/>
      <w:r w:rsidRPr="00885AB3">
        <w:rPr>
          <w:rFonts w:cs="Calibri"/>
          <w:iCs/>
        </w:rPr>
        <w:t>RSVPreF</w:t>
      </w:r>
      <w:proofErr w:type="spellEnd"/>
      <w:r w:rsidRPr="00885AB3">
        <w:rPr>
          <w:rFonts w:cs="Calibri"/>
          <w:iCs/>
        </w:rPr>
        <w:t xml:space="preserve"> PSD, November 2024).</w:t>
      </w:r>
      <w:bookmarkEnd w:id="123"/>
      <w:bookmarkEnd w:id="124"/>
      <w:r w:rsidR="004075C4" w:rsidRPr="00885AB3">
        <w:rPr>
          <w:rFonts w:cs="Calibri"/>
          <w:iCs/>
        </w:rPr>
        <w:t xml:space="preserve"> </w:t>
      </w:r>
      <w:r w:rsidR="00482D19" w:rsidRPr="00885AB3">
        <w:rPr>
          <w:rFonts w:cs="Calibri"/>
          <w:iCs/>
        </w:rPr>
        <w:t>Both t</w:t>
      </w:r>
      <w:r w:rsidR="00266B65" w:rsidRPr="00885AB3">
        <w:rPr>
          <w:rFonts w:cs="Calibri"/>
          <w:iCs/>
        </w:rPr>
        <w:t>he PSCR</w:t>
      </w:r>
      <w:r w:rsidR="00482D19" w:rsidRPr="00885AB3">
        <w:rPr>
          <w:rFonts w:cs="Calibri"/>
          <w:iCs/>
        </w:rPr>
        <w:t xml:space="preserve"> and pre-BAC response</w:t>
      </w:r>
      <w:r w:rsidR="00266B65" w:rsidRPr="00885AB3">
        <w:rPr>
          <w:rFonts w:cs="Calibri"/>
          <w:iCs/>
        </w:rPr>
        <w:t xml:space="preserve"> maintained that </w:t>
      </w:r>
      <w:r w:rsidR="00F104BF" w:rsidRPr="00885AB3">
        <w:rPr>
          <w:rFonts w:cs="Calibri"/>
          <w:iCs/>
        </w:rPr>
        <w:t xml:space="preserve">the </w:t>
      </w:r>
      <w:r w:rsidR="007D78FC" w:rsidRPr="00885AB3">
        <w:rPr>
          <w:rFonts w:cs="Calibri"/>
          <w:iCs/>
        </w:rPr>
        <w:t xml:space="preserve">submission </w:t>
      </w:r>
      <w:r w:rsidR="00F104BF" w:rsidRPr="00885AB3">
        <w:rPr>
          <w:rFonts w:cs="Calibri"/>
          <w:iCs/>
        </w:rPr>
        <w:t>incidence of 3.3%</w:t>
      </w:r>
      <w:r w:rsidR="009B79D6" w:rsidRPr="00885AB3">
        <w:rPr>
          <w:rFonts w:cs="Calibri"/>
          <w:iCs/>
        </w:rPr>
        <w:t xml:space="preserve"> with a 2.0 x multiplier</w:t>
      </w:r>
      <w:r w:rsidR="00197D06" w:rsidRPr="00885AB3">
        <w:rPr>
          <w:rFonts w:cs="Calibri"/>
          <w:iCs/>
        </w:rPr>
        <w:t xml:space="preserve"> correctly</w:t>
      </w:r>
      <w:r w:rsidR="00213FB0" w:rsidRPr="00885AB3">
        <w:rPr>
          <w:rFonts w:cs="Calibri"/>
          <w:iCs/>
        </w:rPr>
        <w:t xml:space="preserve"> </w:t>
      </w:r>
      <w:r w:rsidR="00412194" w:rsidRPr="00885AB3">
        <w:rPr>
          <w:rFonts w:cs="Calibri"/>
          <w:iCs/>
        </w:rPr>
        <w:t>adjusts for under-ascertainment.</w:t>
      </w:r>
      <w:r w:rsidR="00F104BF" w:rsidRPr="00885AB3">
        <w:rPr>
          <w:rFonts w:cs="Calibri"/>
          <w:iCs/>
        </w:rPr>
        <w:t xml:space="preserve"> </w:t>
      </w:r>
      <w:r w:rsidR="007D78FC" w:rsidRPr="00885AB3">
        <w:rPr>
          <w:rFonts w:cs="Calibri"/>
          <w:iCs/>
        </w:rPr>
        <w:t>However, t</w:t>
      </w:r>
      <w:r w:rsidR="004075C4" w:rsidRPr="00885AB3">
        <w:rPr>
          <w:rFonts w:cs="Calibri"/>
          <w:iCs/>
        </w:rPr>
        <w:t xml:space="preserve">he ESC considered that </w:t>
      </w:r>
      <w:r w:rsidR="00A60372" w:rsidRPr="00885AB3">
        <w:rPr>
          <w:rFonts w:cs="Calibri"/>
          <w:iCs/>
        </w:rPr>
        <w:t>a rate of 4.12% should be used for mR</w:t>
      </w:r>
      <w:r w:rsidR="006569E1" w:rsidRPr="00885AB3">
        <w:rPr>
          <w:rFonts w:cs="Calibri"/>
          <w:iCs/>
        </w:rPr>
        <w:t>NA</w:t>
      </w:r>
      <w:r w:rsidR="00A60372" w:rsidRPr="00885AB3">
        <w:rPr>
          <w:rFonts w:cs="Calibri"/>
          <w:iCs/>
        </w:rPr>
        <w:t>-1345.</w:t>
      </w:r>
    </w:p>
    <w:p w14:paraId="14F6310E" w14:textId="7F21AC87" w:rsidR="006A1AFC" w:rsidRPr="00885AB3" w:rsidRDefault="006A1AFC" w:rsidP="00120D61">
      <w:pPr>
        <w:pStyle w:val="3-BodyText"/>
        <w:rPr>
          <w:rFonts w:cs="Calibri"/>
        </w:rPr>
      </w:pPr>
      <w:bookmarkStart w:id="125" w:name="_Ref205452932"/>
      <w:r w:rsidRPr="00885AB3">
        <w:rPr>
          <w:rFonts w:cs="Calibri"/>
        </w:rPr>
        <w:t xml:space="preserve">The submission applied two multipliers to the estimated incidence rate of 3.1% for Aboriginal and Torres Strait Islander people aged 60-74 YOA. This estimated incidence rate was based on the incidence rate of RSV in non-Indigenous people obtained from the studies per paragraph </w:t>
      </w:r>
      <w:r w:rsidRPr="00885AB3">
        <w:rPr>
          <w:rFonts w:cs="Calibri"/>
        </w:rPr>
        <w:fldChar w:fldCharType="begin" w:fldLock="1"/>
      </w:r>
      <w:r w:rsidRPr="00885AB3">
        <w:rPr>
          <w:rFonts w:cs="Calibri"/>
        </w:rPr>
        <w:instrText xml:space="preserve"> REF _Ref205372454 \r \h  \* MERGEFORMAT </w:instrText>
      </w:r>
      <w:r w:rsidRPr="00885AB3">
        <w:rPr>
          <w:rFonts w:cs="Calibri"/>
        </w:rPr>
      </w:r>
      <w:r w:rsidRPr="00885AB3">
        <w:rPr>
          <w:rFonts w:cs="Calibri"/>
        </w:rPr>
        <w:fldChar w:fldCharType="separate"/>
      </w:r>
      <w:r w:rsidR="00515933" w:rsidRPr="00885AB3">
        <w:rPr>
          <w:rFonts w:cs="Calibri"/>
        </w:rPr>
        <w:t>6.71</w:t>
      </w:r>
      <w:r w:rsidRPr="00885AB3">
        <w:rPr>
          <w:rFonts w:cs="Calibri"/>
        </w:rPr>
        <w:fldChar w:fldCharType="end"/>
      </w:r>
      <w:r w:rsidRPr="00885AB3">
        <w:rPr>
          <w:rFonts w:cs="Calibri"/>
        </w:rPr>
        <w:t>. The applied multipliers include:</w:t>
      </w:r>
      <w:bookmarkEnd w:id="125"/>
    </w:p>
    <w:p w14:paraId="43C498BD" w14:textId="71EF7BE8" w:rsidR="006A1AFC" w:rsidRPr="00885AB3" w:rsidRDefault="006A1AFC" w:rsidP="00120D61">
      <w:pPr>
        <w:pStyle w:val="3-BodyText"/>
        <w:numPr>
          <w:ilvl w:val="0"/>
          <w:numId w:val="11"/>
        </w:numPr>
        <w:rPr>
          <w:rFonts w:cs="Calibri"/>
        </w:rPr>
      </w:pPr>
      <w:r w:rsidRPr="00885AB3">
        <w:rPr>
          <w:rFonts w:cs="Calibri"/>
        </w:rPr>
        <w:lastRenderedPageBreak/>
        <w:t xml:space="preserve">An incident rate ratio (IRR) of 2.0 (mid-point of the range 1.8–2.2), based on ATAGI </w:t>
      </w:r>
      <w:r w:rsidR="00EC73E7" w:rsidRPr="00885AB3">
        <w:rPr>
          <w:rFonts w:cs="Calibri"/>
        </w:rPr>
        <w:t>Advice</w:t>
      </w:r>
      <w:r w:rsidRPr="00885AB3">
        <w:rPr>
          <w:rFonts w:cs="Calibri"/>
        </w:rPr>
        <w:t xml:space="preserve"> (ATAGI Advice, June 2025), to indicate the higher incidence among Aboriginal and Torres Strait Islander people.</w:t>
      </w:r>
    </w:p>
    <w:p w14:paraId="68245C68" w14:textId="7ABB5A42" w:rsidR="006A1AFC" w:rsidRPr="00885AB3" w:rsidRDefault="006A1AFC" w:rsidP="00120D61">
      <w:pPr>
        <w:pStyle w:val="3-BodyText"/>
        <w:numPr>
          <w:ilvl w:val="0"/>
          <w:numId w:val="11"/>
        </w:numPr>
        <w:rPr>
          <w:rFonts w:cs="Calibri"/>
        </w:rPr>
      </w:pPr>
      <w:r w:rsidRPr="00885AB3">
        <w:rPr>
          <w:rFonts w:cs="Calibri"/>
        </w:rPr>
        <w:t xml:space="preserve">An under-ascertainment multiplier of 2.0 to account for adjustment of test performance. As noted in paragraph </w:t>
      </w:r>
      <w:r w:rsidRPr="00885AB3">
        <w:rPr>
          <w:rFonts w:cs="Calibri"/>
        </w:rPr>
        <w:fldChar w:fldCharType="begin" w:fldLock="1"/>
      </w:r>
      <w:r w:rsidRPr="00885AB3">
        <w:rPr>
          <w:rFonts w:cs="Calibri"/>
        </w:rPr>
        <w:instrText xml:space="preserve"> REF _Ref205452880 \r \h  \* MERGEFORMAT </w:instrText>
      </w:r>
      <w:r w:rsidRPr="00885AB3">
        <w:rPr>
          <w:rFonts w:cs="Calibri"/>
        </w:rPr>
      </w:r>
      <w:r w:rsidRPr="00885AB3">
        <w:rPr>
          <w:rFonts w:cs="Calibri"/>
        </w:rPr>
        <w:fldChar w:fldCharType="separate"/>
      </w:r>
      <w:r w:rsidR="00515933" w:rsidRPr="00885AB3">
        <w:rPr>
          <w:rFonts w:cs="Calibri"/>
        </w:rPr>
        <w:t>6.71</w:t>
      </w:r>
      <w:r w:rsidRPr="00885AB3">
        <w:rPr>
          <w:rFonts w:cs="Calibri"/>
        </w:rPr>
        <w:fldChar w:fldCharType="end"/>
      </w:r>
      <w:r w:rsidRPr="00885AB3">
        <w:rPr>
          <w:rFonts w:cs="Calibri"/>
        </w:rPr>
        <w:t>, 1.5 has been recommended as a more appropriate multiplier.</w:t>
      </w:r>
    </w:p>
    <w:p w14:paraId="3A37DDE6" w14:textId="3740F41A" w:rsidR="0039303E" w:rsidRPr="00885AB3" w:rsidRDefault="0039303E" w:rsidP="00120D61">
      <w:pPr>
        <w:pStyle w:val="3-BodyText"/>
        <w:numPr>
          <w:ilvl w:val="0"/>
          <w:numId w:val="0"/>
        </w:numPr>
        <w:ind w:left="720"/>
        <w:rPr>
          <w:rFonts w:cs="Calibri"/>
        </w:rPr>
      </w:pPr>
      <w:r w:rsidRPr="00885AB3">
        <w:rPr>
          <w:rFonts w:cs="Calibri"/>
        </w:rPr>
        <w:t xml:space="preserve">The </w:t>
      </w:r>
      <w:r w:rsidR="00584B8C" w:rsidRPr="00885AB3">
        <w:rPr>
          <w:rFonts w:cs="Calibri"/>
        </w:rPr>
        <w:t>PSCR</w:t>
      </w:r>
      <w:r w:rsidR="00CF3F83" w:rsidRPr="00885AB3">
        <w:rPr>
          <w:rFonts w:cs="Calibri"/>
        </w:rPr>
        <w:t xml:space="preserve"> and pre-PBAC response</w:t>
      </w:r>
      <w:r w:rsidR="00584B8C" w:rsidRPr="00885AB3">
        <w:rPr>
          <w:rFonts w:cs="Calibri"/>
        </w:rPr>
        <w:t xml:space="preserve"> maintained that the appropriate rate and under-ascertainment multiplier</w:t>
      </w:r>
      <w:r w:rsidR="00C70B85" w:rsidRPr="00885AB3">
        <w:rPr>
          <w:rFonts w:cs="Calibri"/>
        </w:rPr>
        <w:t xml:space="preserve"> for Aboriginal and Torres Strait Islander people aged 60-74 YOA</w:t>
      </w:r>
      <w:r w:rsidR="00584B8C" w:rsidRPr="00885AB3">
        <w:rPr>
          <w:rFonts w:cs="Calibri"/>
        </w:rPr>
        <w:t xml:space="preserve"> </w:t>
      </w:r>
      <w:r w:rsidR="00FC34BF" w:rsidRPr="00885AB3">
        <w:rPr>
          <w:rFonts w:cs="Calibri"/>
        </w:rPr>
        <w:t>were</w:t>
      </w:r>
      <w:r w:rsidR="00584B8C" w:rsidRPr="00885AB3">
        <w:rPr>
          <w:rFonts w:cs="Calibri"/>
        </w:rPr>
        <w:t xml:space="preserve"> used</w:t>
      </w:r>
      <w:r w:rsidR="00FC34BF" w:rsidRPr="00885AB3">
        <w:rPr>
          <w:rFonts w:cs="Calibri"/>
        </w:rPr>
        <w:t xml:space="preserve"> in the submission.</w:t>
      </w:r>
      <w:r w:rsidR="001C78D7">
        <w:rPr>
          <w:rFonts w:cs="Calibri"/>
        </w:rPr>
        <w:t xml:space="preserve"> </w:t>
      </w:r>
    </w:p>
    <w:p w14:paraId="55F9E223" w14:textId="478A2240" w:rsidR="006A1AFC" w:rsidRPr="00885AB3" w:rsidRDefault="006A1AFC" w:rsidP="00120D61">
      <w:pPr>
        <w:pStyle w:val="3-BodyText"/>
      </w:pPr>
      <w:r w:rsidRPr="00885AB3">
        <w:t xml:space="preserve">These adjustments resulted in an applied incidence rate for Aboriginal and Torres Strait Islander people of 12.4%. </w:t>
      </w:r>
      <w:r w:rsidR="00626962" w:rsidRPr="00885AB3">
        <w:t>The ESC agreed with the evaluation that t</w:t>
      </w:r>
      <w:r w:rsidRPr="00885AB3">
        <w:t xml:space="preserve">his is likely overestimated for the same reasons as described in paragraph </w:t>
      </w:r>
      <w:r w:rsidRPr="00885AB3">
        <w:fldChar w:fldCharType="begin" w:fldLock="1"/>
      </w:r>
      <w:r w:rsidRPr="00885AB3">
        <w:instrText xml:space="preserve"> REF _Ref205372454 \r \h  \* MERGEFORMAT </w:instrText>
      </w:r>
      <w:r w:rsidRPr="00885AB3">
        <w:fldChar w:fldCharType="separate"/>
      </w:r>
      <w:r w:rsidR="00515933" w:rsidRPr="00885AB3">
        <w:t>6.71</w:t>
      </w:r>
      <w:r w:rsidRPr="00885AB3">
        <w:fldChar w:fldCharType="end"/>
      </w:r>
      <w:r w:rsidRPr="00885AB3">
        <w:t xml:space="preserve">. </w:t>
      </w:r>
      <w:r w:rsidR="002F7DBA" w:rsidRPr="00885AB3">
        <w:t>A</w:t>
      </w:r>
      <w:r w:rsidRPr="00885AB3">
        <w:t>n MA-RSV-ARD rate of 6.18</w:t>
      </w:r>
      <w:r w:rsidR="000622E6">
        <w:t>%</w:t>
      </w:r>
      <w:r w:rsidR="00B54832" w:rsidRPr="00885AB3">
        <w:rPr>
          <w:rStyle w:val="FootnoteReference"/>
          <w:rFonts w:cs="Calibri"/>
        </w:rPr>
        <w:footnoteReference w:id="7"/>
      </w:r>
      <w:r w:rsidRPr="00885AB3">
        <w:t xml:space="preserve"> was used for this population in the </w:t>
      </w:r>
      <w:proofErr w:type="spellStart"/>
      <w:r w:rsidRPr="00885AB3">
        <w:t>RSVPreF</w:t>
      </w:r>
      <w:proofErr w:type="spellEnd"/>
      <w:r w:rsidRPr="00885AB3">
        <w:t xml:space="preserve"> submission (estimated based on Table 13, </w:t>
      </w:r>
      <w:proofErr w:type="spellStart"/>
      <w:r w:rsidRPr="00885AB3">
        <w:t>RSVPreF</w:t>
      </w:r>
      <w:proofErr w:type="spellEnd"/>
      <w:r w:rsidRPr="00885AB3">
        <w:t xml:space="preserve"> PSD, November 2024).</w:t>
      </w:r>
    </w:p>
    <w:p w14:paraId="6E65492E" w14:textId="5017C8C4" w:rsidR="006A1AFC" w:rsidRPr="00885AB3" w:rsidRDefault="006A1AFC" w:rsidP="00120D61">
      <w:pPr>
        <w:pStyle w:val="3-BodyText"/>
        <w:rPr>
          <w:rFonts w:cs="Calibri"/>
          <w:iCs/>
        </w:rPr>
      </w:pPr>
      <w:bookmarkStart w:id="126" w:name="_Ref205988000"/>
      <w:r w:rsidRPr="00885AB3">
        <w:rPr>
          <w:rFonts w:cs="Calibri"/>
        </w:rPr>
        <w:t xml:space="preserve">The hospitalisation rate was estimated at 360 per 100,000 person-years for the </w:t>
      </w:r>
      <w:r w:rsidR="00EF2FA4">
        <w:rPr>
          <w:rFonts w:cs="Calibri"/>
        </w:rPr>
        <w:t xml:space="preserve">≥ </w:t>
      </w:r>
      <w:r w:rsidRPr="00885AB3">
        <w:rPr>
          <w:rFonts w:cs="Calibri"/>
        </w:rPr>
        <w:t xml:space="preserve">75 YOA population (Nazareno et al. 2022; paragraph 6.51, </w:t>
      </w:r>
      <w:proofErr w:type="spellStart"/>
      <w:r w:rsidRPr="00885AB3">
        <w:rPr>
          <w:rFonts w:cs="Calibri"/>
        </w:rPr>
        <w:t>RSVPreF</w:t>
      </w:r>
      <w:proofErr w:type="spellEnd"/>
      <w:r w:rsidRPr="00885AB3">
        <w:rPr>
          <w:rFonts w:cs="Calibri"/>
        </w:rPr>
        <w:t xml:space="preserve"> PSD, November 2024). </w:t>
      </w:r>
      <w:r w:rsidRPr="00885AB3">
        <w:rPr>
          <w:rFonts w:cs="Calibri"/>
          <w:iCs/>
        </w:rPr>
        <w:t xml:space="preserve">This is slightly lower than the estimate of 384 per 100,000 person-years previously accepted by the PBAC (paragraph 7.16, </w:t>
      </w:r>
      <w:proofErr w:type="spellStart"/>
      <w:r w:rsidRPr="00885AB3">
        <w:rPr>
          <w:rFonts w:cs="Calibri"/>
          <w:iCs/>
        </w:rPr>
        <w:t>RSVPreF</w:t>
      </w:r>
      <w:proofErr w:type="spellEnd"/>
      <w:r w:rsidRPr="00885AB3">
        <w:rPr>
          <w:rFonts w:cs="Calibri"/>
          <w:iCs/>
        </w:rPr>
        <w:t xml:space="preserve"> PSD, November 2024</w:t>
      </w:r>
      <w:bookmarkEnd w:id="126"/>
      <w:r w:rsidRPr="00885AB3">
        <w:rPr>
          <w:rFonts w:cs="Calibri"/>
          <w:iCs/>
        </w:rPr>
        <w:t>).</w:t>
      </w:r>
      <w:r w:rsidR="001C78D7">
        <w:rPr>
          <w:rFonts w:cs="Calibri"/>
          <w:iCs/>
        </w:rPr>
        <w:t xml:space="preserve"> </w:t>
      </w:r>
      <w:r w:rsidR="00553077" w:rsidRPr="00885AB3">
        <w:rPr>
          <w:rFonts w:cs="Calibri"/>
          <w:iCs/>
        </w:rPr>
        <w:t xml:space="preserve">The ESC considered this to be reasonable and </w:t>
      </w:r>
      <w:proofErr w:type="gramStart"/>
      <w:r w:rsidR="00553077" w:rsidRPr="00885AB3">
        <w:rPr>
          <w:rFonts w:cs="Calibri"/>
          <w:iCs/>
        </w:rPr>
        <w:t>similar to</w:t>
      </w:r>
      <w:proofErr w:type="gramEnd"/>
      <w:r w:rsidR="00553077" w:rsidRPr="00885AB3">
        <w:rPr>
          <w:rFonts w:cs="Calibri"/>
          <w:iCs/>
        </w:rPr>
        <w:t xml:space="preserve"> that accepted for </w:t>
      </w:r>
      <w:proofErr w:type="spellStart"/>
      <w:r w:rsidR="00553077" w:rsidRPr="00885AB3">
        <w:rPr>
          <w:rFonts w:cs="Calibri"/>
          <w:iCs/>
        </w:rPr>
        <w:t>RSVPreF</w:t>
      </w:r>
      <w:proofErr w:type="spellEnd"/>
      <w:r w:rsidR="00553077" w:rsidRPr="00885AB3">
        <w:rPr>
          <w:rFonts w:cs="Calibri"/>
          <w:iCs/>
        </w:rPr>
        <w:t xml:space="preserve"> (384</w:t>
      </w:r>
      <w:r w:rsidR="00DB0E26" w:rsidRPr="00885AB3">
        <w:rPr>
          <w:rFonts w:cs="Calibri"/>
          <w:iCs/>
        </w:rPr>
        <w:t xml:space="preserve"> per 100</w:t>
      </w:r>
      <w:r w:rsidR="00F8540C" w:rsidRPr="00885AB3">
        <w:rPr>
          <w:rFonts w:cs="Calibri"/>
          <w:iCs/>
        </w:rPr>
        <w:t>,000 person-years</w:t>
      </w:r>
      <w:r w:rsidR="00553077" w:rsidRPr="00885AB3">
        <w:rPr>
          <w:rFonts w:cs="Calibri"/>
          <w:iCs/>
        </w:rPr>
        <w:t>).</w:t>
      </w:r>
      <w:r w:rsidR="00877152" w:rsidRPr="00885AB3">
        <w:rPr>
          <w:rFonts w:cs="Calibri"/>
          <w:iCs/>
        </w:rPr>
        <w:t xml:space="preserve"> The pre-PBAC response maintained a rate of 360/100,000 .</w:t>
      </w:r>
    </w:p>
    <w:p w14:paraId="3EB55C34" w14:textId="48A89D33" w:rsidR="006A1AFC" w:rsidRPr="00885AB3" w:rsidRDefault="006A1AFC" w:rsidP="00120D61">
      <w:pPr>
        <w:pStyle w:val="3-BodyText"/>
        <w:rPr>
          <w:rFonts w:cs="Calibri"/>
          <w:iCs/>
        </w:rPr>
      </w:pPr>
      <w:r w:rsidRPr="00885AB3">
        <w:rPr>
          <w:rFonts w:cs="Calibri"/>
          <w:iCs/>
        </w:rPr>
        <w:t xml:space="preserve">The submission used a calibration approach to align the modelled RSV-related hospitalisation rate with the target hospitalisation rate (based on Nazareno et al. 2022). To match the target hospitalisation rate, the model back-calculated the proportion of RSV cases progressing to LRTD (%RSV-LRTD), while keeping the RSV incidence and hospitalisation proportion among RSV-LRTD cases unchanged (hospitalisation rate = (RSV incidence; MA-RSV-ARD) × (%RSV-LRTD) × (%RSV-LRTD hospitalised)). While this calibration introduces some uncertainty it is acceptable given the limitations of the available data. However, to better reflect inputs previously accepted by PBAC for the </w:t>
      </w:r>
      <w:r w:rsidR="00EF2FA4">
        <w:rPr>
          <w:rFonts w:cs="Calibri"/>
          <w:iCs/>
        </w:rPr>
        <w:t xml:space="preserve">≥ </w:t>
      </w:r>
      <w:r w:rsidR="00EC73E7" w:rsidRPr="00885AB3">
        <w:rPr>
          <w:rFonts w:cs="Calibri"/>
          <w:iCs/>
        </w:rPr>
        <w:t>75</w:t>
      </w:r>
      <w:r w:rsidRPr="00885AB3">
        <w:rPr>
          <w:rFonts w:cs="Calibri"/>
          <w:iCs/>
        </w:rPr>
        <w:t xml:space="preserve"> YOA population, including hospitalisation rates (384 per 100,000 person-year; paragraph 7.16, </w:t>
      </w:r>
      <w:proofErr w:type="spellStart"/>
      <w:r w:rsidRPr="00885AB3">
        <w:rPr>
          <w:rFonts w:cs="Calibri"/>
          <w:iCs/>
        </w:rPr>
        <w:t>RSVPreF</w:t>
      </w:r>
      <w:proofErr w:type="spellEnd"/>
      <w:r w:rsidRPr="00885AB3">
        <w:rPr>
          <w:rFonts w:cs="Calibri"/>
          <w:iCs/>
        </w:rPr>
        <w:t xml:space="preserve"> PSD, November 2024) and MA-RSV-ARD (4.12%; Table 13, </w:t>
      </w:r>
      <w:proofErr w:type="spellStart"/>
      <w:r w:rsidRPr="00885AB3">
        <w:rPr>
          <w:rFonts w:cs="Calibri"/>
          <w:iCs/>
        </w:rPr>
        <w:t>RSVPreF</w:t>
      </w:r>
      <w:proofErr w:type="spellEnd"/>
      <w:r w:rsidRPr="00885AB3">
        <w:rPr>
          <w:rFonts w:cs="Calibri"/>
          <w:iCs/>
        </w:rPr>
        <w:t xml:space="preserve"> PSD, November 2024), revised calibration inputs are provided in scenario 2 (see </w:t>
      </w:r>
      <w:r w:rsidRPr="00885AB3">
        <w:rPr>
          <w:rFonts w:cs="Calibri"/>
          <w:iCs/>
        </w:rPr>
        <w:fldChar w:fldCharType="begin" w:fldLock="1"/>
      </w:r>
      <w:r w:rsidRPr="00885AB3">
        <w:rPr>
          <w:rFonts w:cs="Calibri"/>
          <w:iCs/>
        </w:rPr>
        <w:instrText xml:space="preserve"> REF _Ref205826088 \h  \* MERGEFORMAT </w:instrText>
      </w:r>
      <w:r w:rsidRPr="00885AB3">
        <w:rPr>
          <w:rFonts w:cs="Calibri"/>
          <w:iCs/>
        </w:rPr>
      </w:r>
      <w:r w:rsidRPr="00885AB3">
        <w:rPr>
          <w:rFonts w:cs="Calibri"/>
          <w:iCs/>
        </w:rPr>
        <w:fldChar w:fldCharType="separate"/>
      </w:r>
      <w:r w:rsidR="00515933" w:rsidRPr="00885AB3">
        <w:rPr>
          <w:iCs/>
        </w:rPr>
        <w:t>Table 18</w:t>
      </w:r>
      <w:r w:rsidRPr="00885AB3">
        <w:rPr>
          <w:rFonts w:cs="Calibri"/>
          <w:iCs/>
        </w:rPr>
        <w:fldChar w:fldCharType="end"/>
      </w:r>
      <w:r w:rsidRPr="00885AB3">
        <w:rPr>
          <w:rFonts w:cs="Calibri"/>
          <w:iCs/>
        </w:rPr>
        <w:t xml:space="preserve">). This scenario indicates that the model was slightly sensitive to these alternative inputs. </w:t>
      </w:r>
    </w:p>
    <w:p w14:paraId="4E9EFF59" w14:textId="7C52E0B7" w:rsidR="006A1AFC" w:rsidRPr="00885AB3" w:rsidRDefault="006A1AFC" w:rsidP="00120D61">
      <w:pPr>
        <w:pStyle w:val="Caption"/>
      </w:pPr>
      <w:bookmarkStart w:id="127" w:name="_Ref206597157"/>
      <w:bookmarkStart w:id="128" w:name="_Ref205826088"/>
      <w:r w:rsidRPr="00885AB3">
        <w:lastRenderedPageBreak/>
        <w:t>Table</w:t>
      </w:r>
      <w:bookmarkEnd w:id="127"/>
      <w:r w:rsidRPr="00885AB3">
        <w:t xml:space="preserve"> </w:t>
      </w:r>
      <w:r w:rsidR="008A242D" w:rsidRPr="00885AB3">
        <w:fldChar w:fldCharType="begin" w:fldLock="1"/>
      </w:r>
      <w:r w:rsidR="008A242D" w:rsidRPr="00885AB3">
        <w:instrText xml:space="preserve"> SEQ Table \* ARABIC </w:instrText>
      </w:r>
      <w:r w:rsidR="008A242D" w:rsidRPr="00885AB3">
        <w:fldChar w:fldCharType="separate"/>
      </w:r>
      <w:r w:rsidR="00515933" w:rsidRPr="00885AB3">
        <w:t>18</w:t>
      </w:r>
      <w:r w:rsidR="008A242D" w:rsidRPr="00885AB3">
        <w:fldChar w:fldCharType="end"/>
      </w:r>
      <w:bookmarkEnd w:id="128"/>
      <w:r w:rsidRPr="00885AB3">
        <w:t xml:space="preserve">: Calibration approach presented by the submission and alternative scenario analyses conducted during the evaluation: adults </w:t>
      </w:r>
      <w:r w:rsidR="00EF2FA4">
        <w:t xml:space="preserve">≥ </w:t>
      </w:r>
      <w:r w:rsidRPr="00885AB3">
        <w:t>75 YOA model</w:t>
      </w:r>
    </w:p>
    <w:tbl>
      <w:tblPr>
        <w:tblStyle w:val="TableGrid"/>
        <w:tblW w:w="5000" w:type="pct"/>
        <w:tblLook w:val="04A0" w:firstRow="1" w:lastRow="0" w:firstColumn="1" w:lastColumn="0" w:noHBand="0" w:noVBand="1"/>
        <w:tblCaption w:val="Table 18: Calibration approach presented by the submission and alternative scenario analyses conducted during the evaluation: adults ≥75 YOA model"/>
      </w:tblPr>
      <w:tblGrid>
        <w:gridCol w:w="1287"/>
        <w:gridCol w:w="1518"/>
        <w:gridCol w:w="1518"/>
        <w:gridCol w:w="1518"/>
        <w:gridCol w:w="2094"/>
        <w:gridCol w:w="1082"/>
      </w:tblGrid>
      <w:tr w:rsidR="006A1AFC" w:rsidRPr="00885AB3" w14:paraId="6BD039B0" w14:textId="77777777" w:rsidTr="004B5AFE">
        <w:tc>
          <w:tcPr>
            <w:tcW w:w="713" w:type="pct"/>
            <w:vAlign w:val="center"/>
          </w:tcPr>
          <w:p w14:paraId="44B6C59C" w14:textId="77777777" w:rsidR="006A1AFC" w:rsidRPr="00885AB3" w:rsidRDefault="006A1AFC" w:rsidP="00120D61">
            <w:pPr>
              <w:keepNext/>
              <w:jc w:val="center"/>
              <w:rPr>
                <w:rFonts w:ascii="Arial Narrow" w:hAnsi="Arial Narrow"/>
                <w:b/>
                <w:bCs/>
                <w:sz w:val="20"/>
                <w:szCs w:val="20"/>
              </w:rPr>
            </w:pPr>
            <w:r w:rsidRPr="00885AB3">
              <w:rPr>
                <w:rFonts w:ascii="Arial Narrow" w:hAnsi="Arial Narrow"/>
                <w:b/>
                <w:bCs/>
                <w:sz w:val="20"/>
                <w:szCs w:val="20"/>
              </w:rPr>
              <w:t>Scenario</w:t>
            </w:r>
          </w:p>
        </w:tc>
        <w:tc>
          <w:tcPr>
            <w:tcW w:w="842" w:type="pct"/>
            <w:vAlign w:val="center"/>
          </w:tcPr>
          <w:p w14:paraId="32C7C811" w14:textId="77777777" w:rsidR="006A1AFC" w:rsidRPr="00885AB3" w:rsidRDefault="006A1AFC" w:rsidP="00120D61">
            <w:pPr>
              <w:keepNext/>
              <w:jc w:val="center"/>
              <w:rPr>
                <w:rFonts w:ascii="Arial Narrow" w:hAnsi="Arial Narrow"/>
                <w:b/>
                <w:bCs/>
                <w:sz w:val="20"/>
                <w:szCs w:val="20"/>
              </w:rPr>
            </w:pPr>
            <w:r w:rsidRPr="00885AB3">
              <w:rPr>
                <w:rFonts w:ascii="Arial Narrow" w:hAnsi="Arial Narrow"/>
                <w:b/>
                <w:bCs/>
                <w:sz w:val="20"/>
                <w:szCs w:val="20"/>
              </w:rPr>
              <w:t>Incidence</w:t>
            </w:r>
          </w:p>
          <w:p w14:paraId="3552F836" w14:textId="77777777" w:rsidR="006A1AFC" w:rsidRPr="00885AB3" w:rsidRDefault="006A1AFC" w:rsidP="00120D61">
            <w:pPr>
              <w:keepNext/>
              <w:jc w:val="center"/>
              <w:rPr>
                <w:rFonts w:ascii="Arial Narrow" w:hAnsi="Arial Narrow"/>
                <w:b/>
                <w:bCs/>
                <w:sz w:val="20"/>
                <w:szCs w:val="20"/>
              </w:rPr>
            </w:pPr>
            <w:r w:rsidRPr="00885AB3">
              <w:rPr>
                <w:rFonts w:ascii="Arial Narrow" w:hAnsi="Arial Narrow"/>
                <w:b/>
                <w:bCs/>
                <w:sz w:val="20"/>
                <w:szCs w:val="20"/>
              </w:rPr>
              <w:t>MA-RSV-ARD</w:t>
            </w:r>
          </w:p>
        </w:tc>
        <w:tc>
          <w:tcPr>
            <w:tcW w:w="842" w:type="pct"/>
            <w:vAlign w:val="center"/>
          </w:tcPr>
          <w:p w14:paraId="4B0906C2" w14:textId="77777777" w:rsidR="006A1AFC" w:rsidRPr="00885AB3" w:rsidRDefault="006A1AFC" w:rsidP="00120D61">
            <w:pPr>
              <w:keepNext/>
              <w:jc w:val="center"/>
              <w:rPr>
                <w:rFonts w:ascii="Arial Narrow" w:hAnsi="Arial Narrow"/>
                <w:b/>
                <w:bCs/>
                <w:sz w:val="20"/>
                <w:szCs w:val="20"/>
              </w:rPr>
            </w:pPr>
            <w:r w:rsidRPr="00885AB3">
              <w:rPr>
                <w:rFonts w:ascii="Arial Narrow" w:hAnsi="Arial Narrow"/>
                <w:b/>
                <w:bCs/>
                <w:sz w:val="20"/>
                <w:szCs w:val="20"/>
              </w:rPr>
              <w:t>Proportion of RSV that is</w:t>
            </w:r>
          </w:p>
          <w:p w14:paraId="345523D5" w14:textId="77777777" w:rsidR="006A1AFC" w:rsidRPr="00885AB3" w:rsidRDefault="006A1AFC" w:rsidP="00120D61">
            <w:pPr>
              <w:keepNext/>
              <w:jc w:val="center"/>
              <w:rPr>
                <w:rFonts w:ascii="Arial Narrow" w:hAnsi="Arial Narrow"/>
                <w:b/>
                <w:bCs/>
                <w:sz w:val="20"/>
                <w:szCs w:val="20"/>
              </w:rPr>
            </w:pPr>
            <w:r w:rsidRPr="00885AB3">
              <w:rPr>
                <w:rFonts w:ascii="Arial Narrow" w:hAnsi="Arial Narrow"/>
                <w:b/>
                <w:bCs/>
                <w:sz w:val="20"/>
                <w:szCs w:val="20"/>
              </w:rPr>
              <w:t>RSV-LRTD</w:t>
            </w:r>
          </w:p>
        </w:tc>
        <w:tc>
          <w:tcPr>
            <w:tcW w:w="842" w:type="pct"/>
            <w:vAlign w:val="center"/>
          </w:tcPr>
          <w:p w14:paraId="414C76AC" w14:textId="77777777" w:rsidR="006A1AFC" w:rsidRPr="00885AB3" w:rsidRDefault="006A1AFC" w:rsidP="00120D61">
            <w:pPr>
              <w:keepNext/>
              <w:jc w:val="center"/>
              <w:rPr>
                <w:rFonts w:ascii="Arial Narrow" w:hAnsi="Arial Narrow"/>
                <w:b/>
                <w:bCs/>
                <w:sz w:val="20"/>
                <w:szCs w:val="20"/>
              </w:rPr>
            </w:pPr>
            <w:r w:rsidRPr="00885AB3">
              <w:rPr>
                <w:rFonts w:ascii="Arial Narrow" w:hAnsi="Arial Narrow"/>
                <w:b/>
                <w:bCs/>
                <w:sz w:val="20"/>
                <w:szCs w:val="20"/>
              </w:rPr>
              <w:t xml:space="preserve">RSV-LRTD hospitalisation proportion </w:t>
            </w:r>
          </w:p>
        </w:tc>
        <w:tc>
          <w:tcPr>
            <w:tcW w:w="1161" w:type="pct"/>
            <w:vAlign w:val="center"/>
          </w:tcPr>
          <w:p w14:paraId="2D718B96" w14:textId="77777777" w:rsidR="006A1AFC" w:rsidRPr="00885AB3" w:rsidRDefault="006A1AFC" w:rsidP="00120D61">
            <w:pPr>
              <w:keepNext/>
              <w:jc w:val="center"/>
              <w:rPr>
                <w:rFonts w:ascii="Arial Narrow" w:hAnsi="Arial Narrow"/>
                <w:b/>
                <w:bCs/>
                <w:sz w:val="20"/>
                <w:szCs w:val="20"/>
              </w:rPr>
            </w:pPr>
            <w:r w:rsidRPr="00885AB3">
              <w:rPr>
                <w:rFonts w:ascii="Arial Narrow" w:hAnsi="Arial Narrow"/>
                <w:b/>
                <w:bCs/>
                <w:sz w:val="20"/>
                <w:szCs w:val="20"/>
              </w:rPr>
              <w:t>Hospitalisation rate</w:t>
            </w:r>
          </w:p>
        </w:tc>
        <w:tc>
          <w:tcPr>
            <w:tcW w:w="601" w:type="pct"/>
            <w:vAlign w:val="center"/>
          </w:tcPr>
          <w:p w14:paraId="7804D0EE" w14:textId="77777777" w:rsidR="006A1AFC" w:rsidRPr="00885AB3" w:rsidRDefault="006A1AFC" w:rsidP="00120D61">
            <w:pPr>
              <w:keepNext/>
              <w:jc w:val="center"/>
              <w:rPr>
                <w:rFonts w:ascii="Arial Narrow" w:hAnsi="Arial Narrow"/>
                <w:b/>
                <w:bCs/>
                <w:sz w:val="20"/>
                <w:szCs w:val="20"/>
              </w:rPr>
            </w:pPr>
            <w:r w:rsidRPr="00885AB3">
              <w:rPr>
                <w:rFonts w:ascii="Arial Narrow" w:hAnsi="Arial Narrow"/>
                <w:b/>
                <w:bCs/>
                <w:sz w:val="20"/>
                <w:szCs w:val="20"/>
              </w:rPr>
              <w:t>ICER</w:t>
            </w:r>
          </w:p>
        </w:tc>
      </w:tr>
      <w:tr w:rsidR="006A1AFC" w:rsidRPr="00885AB3" w14:paraId="3E153632" w14:textId="77777777" w:rsidTr="004B5AFE">
        <w:tc>
          <w:tcPr>
            <w:tcW w:w="713" w:type="pct"/>
            <w:vAlign w:val="center"/>
          </w:tcPr>
          <w:p w14:paraId="2E41FF43" w14:textId="77777777" w:rsidR="006A1AFC" w:rsidRPr="004B5AFE" w:rsidRDefault="006A1AFC" w:rsidP="00120D61">
            <w:pPr>
              <w:keepNext/>
              <w:jc w:val="center"/>
              <w:rPr>
                <w:rFonts w:ascii="Arial Narrow" w:hAnsi="Arial Narrow"/>
                <w:sz w:val="20"/>
                <w:szCs w:val="20"/>
              </w:rPr>
            </w:pPr>
            <w:r w:rsidRPr="004B5AFE">
              <w:rPr>
                <w:rFonts w:ascii="Arial Narrow" w:hAnsi="Arial Narrow"/>
                <w:sz w:val="20"/>
                <w:szCs w:val="20"/>
              </w:rPr>
              <w:t>Submission base case</w:t>
            </w:r>
          </w:p>
        </w:tc>
        <w:tc>
          <w:tcPr>
            <w:tcW w:w="842" w:type="pct"/>
            <w:vAlign w:val="center"/>
          </w:tcPr>
          <w:p w14:paraId="34EA7D97" w14:textId="77777777" w:rsidR="006A1AFC" w:rsidRPr="004B5AFE" w:rsidRDefault="006A1AFC" w:rsidP="00120D61">
            <w:pPr>
              <w:keepNext/>
              <w:jc w:val="center"/>
              <w:rPr>
                <w:rFonts w:ascii="Arial Narrow" w:hAnsi="Arial Narrow"/>
                <w:sz w:val="20"/>
                <w:szCs w:val="20"/>
              </w:rPr>
            </w:pPr>
            <w:r w:rsidRPr="004B5AFE">
              <w:rPr>
                <w:rFonts w:ascii="Arial Narrow" w:hAnsi="Arial Narrow"/>
                <w:sz w:val="20"/>
                <w:szCs w:val="20"/>
              </w:rPr>
              <w:t>6.5%</w:t>
            </w:r>
          </w:p>
          <w:p w14:paraId="22E0D1F0" w14:textId="1A401900" w:rsidR="006A1AFC" w:rsidRPr="004B5AFE" w:rsidRDefault="006A1AFC" w:rsidP="00120D61">
            <w:pPr>
              <w:keepNext/>
              <w:jc w:val="center"/>
              <w:rPr>
                <w:rFonts w:ascii="Arial Narrow" w:hAnsi="Arial Narrow"/>
                <w:sz w:val="20"/>
                <w:szCs w:val="20"/>
              </w:rPr>
            </w:pPr>
            <w:r w:rsidRPr="004B5AFE">
              <w:rPr>
                <w:rFonts w:ascii="Arial Narrow" w:hAnsi="Arial Narrow"/>
                <w:sz w:val="20"/>
                <w:szCs w:val="20"/>
              </w:rPr>
              <w:t xml:space="preserve">(paragraph </w:t>
            </w:r>
            <w:r w:rsidRPr="004B5AFE">
              <w:rPr>
                <w:rFonts w:ascii="Arial Narrow" w:hAnsi="Arial Narrow"/>
                <w:sz w:val="20"/>
                <w:szCs w:val="20"/>
              </w:rPr>
              <w:fldChar w:fldCharType="begin" w:fldLock="1"/>
            </w:r>
            <w:r w:rsidRPr="004B5AFE">
              <w:rPr>
                <w:rFonts w:ascii="Arial Narrow" w:hAnsi="Arial Narrow"/>
                <w:sz w:val="20"/>
                <w:szCs w:val="20"/>
              </w:rPr>
              <w:instrText xml:space="preserve"> REF _Ref205372454 \r \h  \* MERGEFORMAT </w:instrText>
            </w:r>
            <w:r w:rsidRPr="004B5AFE">
              <w:rPr>
                <w:rFonts w:ascii="Arial Narrow" w:hAnsi="Arial Narrow"/>
                <w:sz w:val="20"/>
                <w:szCs w:val="20"/>
              </w:rPr>
            </w:r>
            <w:r w:rsidRPr="004B5AFE">
              <w:rPr>
                <w:rFonts w:ascii="Arial Narrow" w:hAnsi="Arial Narrow"/>
                <w:sz w:val="20"/>
                <w:szCs w:val="20"/>
              </w:rPr>
              <w:fldChar w:fldCharType="separate"/>
            </w:r>
            <w:r w:rsidR="00515933" w:rsidRPr="004B5AFE">
              <w:rPr>
                <w:rFonts w:ascii="Arial Narrow" w:hAnsi="Arial Narrow"/>
                <w:sz w:val="20"/>
                <w:szCs w:val="20"/>
              </w:rPr>
              <w:t>6.71</w:t>
            </w:r>
            <w:r w:rsidRPr="004B5AFE">
              <w:rPr>
                <w:rFonts w:ascii="Arial Narrow" w:hAnsi="Arial Narrow"/>
                <w:sz w:val="20"/>
                <w:szCs w:val="20"/>
              </w:rPr>
              <w:fldChar w:fldCharType="end"/>
            </w:r>
            <w:r w:rsidRPr="004B5AFE">
              <w:rPr>
                <w:rFonts w:ascii="Arial Narrow" w:hAnsi="Arial Narrow"/>
                <w:sz w:val="20"/>
                <w:szCs w:val="20"/>
              </w:rPr>
              <w:t>)</w:t>
            </w:r>
          </w:p>
        </w:tc>
        <w:tc>
          <w:tcPr>
            <w:tcW w:w="842" w:type="pct"/>
            <w:vAlign w:val="center"/>
          </w:tcPr>
          <w:p w14:paraId="25E2B3FD" w14:textId="77777777" w:rsidR="006A1AFC" w:rsidRPr="004B5AFE" w:rsidRDefault="006A1AFC" w:rsidP="00120D61">
            <w:pPr>
              <w:keepNext/>
              <w:jc w:val="center"/>
              <w:rPr>
                <w:rFonts w:ascii="Arial Narrow" w:hAnsi="Arial Narrow"/>
                <w:sz w:val="20"/>
                <w:szCs w:val="20"/>
              </w:rPr>
            </w:pPr>
            <w:r w:rsidRPr="004B5AFE">
              <w:rPr>
                <w:rFonts w:ascii="Arial Narrow" w:hAnsi="Arial Narrow"/>
                <w:sz w:val="20"/>
                <w:szCs w:val="20"/>
              </w:rPr>
              <w:t>16.8%</w:t>
            </w:r>
          </w:p>
          <w:p w14:paraId="051FB58C" w14:textId="77777777" w:rsidR="006A1AFC" w:rsidRPr="004B5AFE" w:rsidRDefault="006A1AFC" w:rsidP="00120D61">
            <w:pPr>
              <w:keepNext/>
              <w:jc w:val="center"/>
              <w:rPr>
                <w:rFonts w:ascii="Arial Narrow" w:hAnsi="Arial Narrow"/>
                <w:sz w:val="20"/>
                <w:szCs w:val="20"/>
              </w:rPr>
            </w:pPr>
            <w:r w:rsidRPr="004B5AFE">
              <w:rPr>
                <w:rFonts w:ascii="Arial Narrow" w:hAnsi="Arial Narrow"/>
                <w:sz w:val="20"/>
                <w:szCs w:val="20"/>
              </w:rPr>
              <w:t>(back calculated)</w:t>
            </w:r>
          </w:p>
        </w:tc>
        <w:tc>
          <w:tcPr>
            <w:tcW w:w="842" w:type="pct"/>
            <w:vAlign w:val="center"/>
          </w:tcPr>
          <w:p w14:paraId="2C847E06" w14:textId="77777777" w:rsidR="006A1AFC" w:rsidRPr="004B5AFE" w:rsidRDefault="006A1AFC" w:rsidP="00120D61">
            <w:pPr>
              <w:keepNext/>
              <w:jc w:val="center"/>
              <w:rPr>
                <w:rFonts w:ascii="Arial Narrow" w:hAnsi="Arial Narrow"/>
                <w:sz w:val="20"/>
                <w:szCs w:val="20"/>
              </w:rPr>
            </w:pPr>
            <w:r w:rsidRPr="004B5AFE">
              <w:rPr>
                <w:rFonts w:ascii="Arial Narrow" w:hAnsi="Arial Narrow"/>
                <w:sz w:val="20"/>
                <w:szCs w:val="20"/>
              </w:rPr>
              <w:t>32.8%</w:t>
            </w:r>
          </w:p>
          <w:p w14:paraId="71E36E90" w14:textId="77777777" w:rsidR="006A1AFC" w:rsidRPr="004B5AFE" w:rsidRDefault="006A1AFC" w:rsidP="00120D61">
            <w:pPr>
              <w:keepNext/>
              <w:jc w:val="center"/>
              <w:rPr>
                <w:rFonts w:ascii="Arial Narrow" w:hAnsi="Arial Narrow"/>
                <w:sz w:val="20"/>
                <w:szCs w:val="20"/>
              </w:rPr>
            </w:pPr>
            <w:r w:rsidRPr="004B5AFE">
              <w:rPr>
                <w:rFonts w:ascii="Arial Narrow" w:hAnsi="Arial Narrow"/>
                <w:sz w:val="20"/>
                <w:szCs w:val="20"/>
              </w:rPr>
              <w:t>Nguyen-Van-Tam et al. (2022)</w:t>
            </w:r>
          </w:p>
        </w:tc>
        <w:tc>
          <w:tcPr>
            <w:tcW w:w="1161" w:type="pct"/>
            <w:vAlign w:val="center"/>
          </w:tcPr>
          <w:p w14:paraId="3D1587F8" w14:textId="77777777" w:rsidR="006A1AFC" w:rsidRPr="004B5AFE" w:rsidRDefault="006A1AFC" w:rsidP="00120D61">
            <w:pPr>
              <w:keepNext/>
              <w:jc w:val="center"/>
              <w:rPr>
                <w:rFonts w:ascii="Arial Narrow" w:hAnsi="Arial Narrow"/>
                <w:sz w:val="20"/>
                <w:szCs w:val="20"/>
              </w:rPr>
            </w:pPr>
            <w:r w:rsidRPr="004B5AFE">
              <w:rPr>
                <w:rFonts w:ascii="Arial Narrow" w:hAnsi="Arial Narrow"/>
                <w:sz w:val="20"/>
                <w:szCs w:val="20"/>
              </w:rPr>
              <w:t xml:space="preserve">0.00360 </w:t>
            </w:r>
          </w:p>
          <w:p w14:paraId="7E0E0018" w14:textId="6758DF04" w:rsidR="006A1AFC" w:rsidRPr="004B5AFE" w:rsidRDefault="006A1AFC" w:rsidP="00120D61">
            <w:pPr>
              <w:keepNext/>
              <w:jc w:val="center"/>
              <w:rPr>
                <w:rFonts w:ascii="Arial Narrow" w:hAnsi="Arial Narrow"/>
                <w:sz w:val="20"/>
                <w:szCs w:val="20"/>
              </w:rPr>
            </w:pPr>
            <w:r w:rsidRPr="004B5AFE">
              <w:rPr>
                <w:rFonts w:ascii="Arial Narrow" w:hAnsi="Arial Narrow"/>
                <w:sz w:val="20"/>
                <w:szCs w:val="20"/>
              </w:rPr>
              <w:t xml:space="preserve">(paragraph </w:t>
            </w:r>
            <w:r w:rsidRPr="004B5AFE">
              <w:rPr>
                <w:rFonts w:ascii="Arial Narrow" w:hAnsi="Arial Narrow"/>
                <w:sz w:val="20"/>
                <w:szCs w:val="20"/>
              </w:rPr>
              <w:fldChar w:fldCharType="begin" w:fldLock="1"/>
            </w:r>
            <w:r w:rsidRPr="004B5AFE">
              <w:rPr>
                <w:rFonts w:ascii="Arial Narrow" w:hAnsi="Arial Narrow"/>
                <w:sz w:val="20"/>
                <w:szCs w:val="20"/>
              </w:rPr>
              <w:instrText xml:space="preserve"> REF _Ref205988000 \r \h  \* MERGEFORMAT </w:instrText>
            </w:r>
            <w:r w:rsidRPr="004B5AFE">
              <w:rPr>
                <w:rFonts w:ascii="Arial Narrow" w:hAnsi="Arial Narrow"/>
                <w:sz w:val="20"/>
                <w:szCs w:val="20"/>
              </w:rPr>
            </w:r>
            <w:r w:rsidRPr="004B5AFE">
              <w:rPr>
                <w:rFonts w:ascii="Arial Narrow" w:hAnsi="Arial Narrow"/>
                <w:sz w:val="20"/>
                <w:szCs w:val="20"/>
              </w:rPr>
              <w:fldChar w:fldCharType="separate"/>
            </w:r>
            <w:r w:rsidR="00515933" w:rsidRPr="004B5AFE">
              <w:rPr>
                <w:rFonts w:ascii="Arial Narrow" w:hAnsi="Arial Narrow"/>
                <w:sz w:val="20"/>
                <w:szCs w:val="20"/>
              </w:rPr>
              <w:t>6.74</w:t>
            </w:r>
            <w:r w:rsidRPr="004B5AFE">
              <w:rPr>
                <w:rFonts w:ascii="Arial Narrow" w:hAnsi="Arial Narrow"/>
                <w:sz w:val="20"/>
                <w:szCs w:val="20"/>
              </w:rPr>
              <w:fldChar w:fldCharType="end"/>
            </w:r>
            <w:r w:rsidRPr="004B5AFE">
              <w:rPr>
                <w:rFonts w:ascii="Arial Narrow" w:hAnsi="Arial Narrow"/>
                <w:sz w:val="20"/>
                <w:szCs w:val="20"/>
              </w:rPr>
              <w:t>)</w:t>
            </w:r>
          </w:p>
        </w:tc>
        <w:tc>
          <w:tcPr>
            <w:tcW w:w="601" w:type="pct"/>
            <w:vAlign w:val="center"/>
          </w:tcPr>
          <w:p w14:paraId="7A269219" w14:textId="6E6E0596" w:rsidR="006A1AFC" w:rsidRPr="004B5AFE" w:rsidRDefault="006A1AFC" w:rsidP="00120D61">
            <w:pPr>
              <w:keepNext/>
              <w:jc w:val="center"/>
              <w:rPr>
                <w:rFonts w:ascii="Arial Narrow" w:hAnsi="Arial Narrow" w:cs="Calibri"/>
                <w:sz w:val="20"/>
                <w:szCs w:val="20"/>
                <w:vertAlign w:val="superscript"/>
              </w:rPr>
            </w:pPr>
            <w:r w:rsidRPr="004B5AFE">
              <w:rPr>
                <w:rFonts w:ascii="Arial Narrow" w:hAnsi="Arial Narrow" w:cs="Calibri"/>
                <w:sz w:val="20"/>
                <w:szCs w:val="20"/>
              </w:rPr>
              <w:t>$</w:t>
            </w:r>
            <w:r w:rsidR="004B5AFE" w:rsidRPr="004B5AFE">
              <w:rPr>
                <w:rFonts w:ascii="Arial Narrow" w:hAnsi="Arial Narrow" w:cs="Calibri"/>
                <w:sz w:val="20"/>
                <w:szCs w:val="20"/>
              </w:rPr>
              <w:t xml:space="preserve"> </w:t>
            </w:r>
            <w:r w:rsidR="004B5AFE" w:rsidRPr="004B5AFE">
              <w:rPr>
                <w:rFonts w:ascii="Arial Narrow" w:hAnsi="Arial Narrow" w:cs="Calibri"/>
                <w:sz w:val="20"/>
                <w:szCs w:val="20"/>
                <w:highlight w:val="black"/>
              </w:rPr>
              <w:t>&amp;&amp;&amp;&amp;</w:t>
            </w:r>
            <w:r w:rsidR="00E2575B" w:rsidRPr="004B5AFE">
              <w:rPr>
                <w:rFonts w:ascii="Arial Narrow" w:hAnsi="Arial Narrow" w:cs="Calibri"/>
                <w:sz w:val="20"/>
                <w:szCs w:val="20"/>
                <w:vertAlign w:val="superscript"/>
              </w:rPr>
              <w:t>1</w:t>
            </w:r>
          </w:p>
          <w:p w14:paraId="34BFD32D" w14:textId="77777777" w:rsidR="006A1AFC" w:rsidRPr="004B5AFE" w:rsidRDefault="006A1AFC" w:rsidP="00120D61">
            <w:pPr>
              <w:keepNext/>
              <w:jc w:val="center"/>
              <w:rPr>
                <w:rFonts w:ascii="Arial Narrow" w:hAnsi="Arial Narrow" w:cs="Calibri"/>
                <w:sz w:val="20"/>
                <w:szCs w:val="20"/>
              </w:rPr>
            </w:pPr>
            <w:r w:rsidRPr="004B5AFE">
              <w:rPr>
                <w:rFonts w:ascii="Arial Narrow" w:hAnsi="Arial Narrow" w:cs="Calibri"/>
                <w:sz w:val="20"/>
                <w:szCs w:val="20"/>
              </w:rPr>
              <w:t>(base case)</w:t>
            </w:r>
          </w:p>
        </w:tc>
      </w:tr>
      <w:tr w:rsidR="006A1AFC" w:rsidRPr="00885AB3" w14:paraId="3B294FB2" w14:textId="77777777" w:rsidTr="004B5AFE">
        <w:tc>
          <w:tcPr>
            <w:tcW w:w="713" w:type="pct"/>
            <w:vAlign w:val="center"/>
          </w:tcPr>
          <w:p w14:paraId="4ECCF5A1" w14:textId="77777777" w:rsidR="006A1AFC" w:rsidRPr="00885AB3" w:rsidRDefault="006A1AFC" w:rsidP="00120D61">
            <w:pPr>
              <w:keepNext/>
              <w:jc w:val="center"/>
              <w:rPr>
                <w:rFonts w:ascii="Arial Narrow" w:hAnsi="Arial Narrow"/>
                <w:sz w:val="20"/>
                <w:szCs w:val="20"/>
              </w:rPr>
            </w:pPr>
            <w:r w:rsidRPr="00885AB3">
              <w:rPr>
                <w:rFonts w:ascii="Arial Narrow" w:hAnsi="Arial Narrow"/>
                <w:sz w:val="20"/>
                <w:szCs w:val="20"/>
              </w:rPr>
              <w:t>#1</w:t>
            </w:r>
          </w:p>
        </w:tc>
        <w:tc>
          <w:tcPr>
            <w:tcW w:w="842" w:type="pct"/>
            <w:vAlign w:val="center"/>
          </w:tcPr>
          <w:p w14:paraId="27F7F6AF" w14:textId="77777777" w:rsidR="006A1AFC" w:rsidRPr="00885AB3" w:rsidRDefault="006A1AFC" w:rsidP="00120D61">
            <w:pPr>
              <w:keepNext/>
              <w:jc w:val="center"/>
              <w:rPr>
                <w:rFonts w:ascii="Arial Narrow" w:hAnsi="Arial Narrow"/>
                <w:i/>
                <w:iCs/>
                <w:sz w:val="20"/>
                <w:szCs w:val="20"/>
              </w:rPr>
            </w:pPr>
            <w:r w:rsidRPr="00885AB3">
              <w:rPr>
                <w:rFonts w:ascii="Arial Narrow" w:hAnsi="Arial Narrow"/>
                <w:sz w:val="20"/>
                <w:szCs w:val="20"/>
              </w:rPr>
              <w:t>6.5%</w:t>
            </w:r>
          </w:p>
        </w:tc>
        <w:tc>
          <w:tcPr>
            <w:tcW w:w="842" w:type="pct"/>
            <w:vAlign w:val="center"/>
          </w:tcPr>
          <w:p w14:paraId="6EBF5F34" w14:textId="77777777" w:rsidR="006A1AFC" w:rsidRPr="00885AB3" w:rsidRDefault="006A1AFC" w:rsidP="00120D61">
            <w:pPr>
              <w:keepNext/>
              <w:jc w:val="center"/>
              <w:rPr>
                <w:rFonts w:ascii="Arial Narrow" w:hAnsi="Arial Narrow"/>
                <w:sz w:val="20"/>
                <w:szCs w:val="20"/>
              </w:rPr>
            </w:pPr>
            <w:r w:rsidRPr="00885AB3">
              <w:rPr>
                <w:rFonts w:ascii="Arial Narrow" w:hAnsi="Arial Narrow"/>
                <w:sz w:val="20"/>
                <w:szCs w:val="20"/>
              </w:rPr>
              <w:t>17.95%</w:t>
            </w:r>
          </w:p>
          <w:p w14:paraId="3EB4409B" w14:textId="77777777" w:rsidR="006A1AFC" w:rsidRPr="00885AB3" w:rsidRDefault="006A1AFC" w:rsidP="00120D61">
            <w:pPr>
              <w:keepNext/>
              <w:jc w:val="center"/>
              <w:rPr>
                <w:rFonts w:ascii="Arial Narrow" w:hAnsi="Arial Narrow"/>
                <w:i/>
                <w:iCs/>
                <w:sz w:val="20"/>
                <w:szCs w:val="20"/>
              </w:rPr>
            </w:pPr>
            <w:r w:rsidRPr="00885AB3">
              <w:rPr>
                <w:rFonts w:ascii="Arial Narrow" w:hAnsi="Arial Narrow"/>
                <w:sz w:val="20"/>
                <w:szCs w:val="20"/>
              </w:rPr>
              <w:t>(back calculated)</w:t>
            </w:r>
          </w:p>
        </w:tc>
        <w:tc>
          <w:tcPr>
            <w:tcW w:w="842" w:type="pct"/>
            <w:vAlign w:val="center"/>
          </w:tcPr>
          <w:p w14:paraId="241F57BF" w14:textId="77777777" w:rsidR="006A1AFC" w:rsidRPr="00885AB3" w:rsidRDefault="006A1AFC" w:rsidP="00120D61">
            <w:pPr>
              <w:keepNext/>
              <w:jc w:val="center"/>
              <w:rPr>
                <w:rFonts w:ascii="Arial Narrow" w:hAnsi="Arial Narrow"/>
                <w:sz w:val="20"/>
                <w:szCs w:val="20"/>
              </w:rPr>
            </w:pPr>
            <w:r w:rsidRPr="00885AB3">
              <w:rPr>
                <w:rFonts w:ascii="Arial Narrow" w:hAnsi="Arial Narrow"/>
                <w:sz w:val="20"/>
                <w:szCs w:val="20"/>
              </w:rPr>
              <w:t>32.8%</w:t>
            </w:r>
          </w:p>
        </w:tc>
        <w:tc>
          <w:tcPr>
            <w:tcW w:w="1161" w:type="pct"/>
            <w:vAlign w:val="center"/>
          </w:tcPr>
          <w:p w14:paraId="61760144" w14:textId="77777777" w:rsidR="006A1AFC" w:rsidRPr="00885AB3" w:rsidRDefault="006A1AFC" w:rsidP="00120D61">
            <w:pPr>
              <w:keepNext/>
              <w:jc w:val="center"/>
              <w:rPr>
                <w:rFonts w:ascii="Arial Narrow" w:hAnsi="Arial Narrow"/>
                <w:sz w:val="20"/>
                <w:szCs w:val="20"/>
              </w:rPr>
            </w:pPr>
            <w:r w:rsidRPr="00885AB3">
              <w:rPr>
                <w:rFonts w:ascii="Arial Narrow" w:hAnsi="Arial Narrow"/>
                <w:sz w:val="20"/>
                <w:szCs w:val="20"/>
              </w:rPr>
              <w:t xml:space="preserve">0.00384 </w:t>
            </w:r>
          </w:p>
          <w:p w14:paraId="071B8777" w14:textId="77777777" w:rsidR="006A1AFC" w:rsidRPr="00885AB3" w:rsidRDefault="006A1AFC" w:rsidP="00120D61">
            <w:pPr>
              <w:keepNext/>
              <w:jc w:val="center"/>
              <w:rPr>
                <w:rFonts w:ascii="Arial Narrow" w:hAnsi="Arial Narrow"/>
                <w:sz w:val="20"/>
                <w:szCs w:val="20"/>
              </w:rPr>
            </w:pPr>
            <w:r w:rsidRPr="00885AB3">
              <w:rPr>
                <w:rFonts w:ascii="Arial Narrow" w:hAnsi="Arial Narrow"/>
                <w:sz w:val="20"/>
                <w:szCs w:val="20"/>
              </w:rPr>
              <w:t xml:space="preserve">(para 7.16, </w:t>
            </w:r>
            <w:proofErr w:type="spellStart"/>
            <w:r w:rsidRPr="00885AB3">
              <w:rPr>
                <w:rFonts w:ascii="Arial Narrow" w:hAnsi="Arial Narrow"/>
                <w:sz w:val="20"/>
                <w:szCs w:val="20"/>
              </w:rPr>
              <w:t>RSVPreF</w:t>
            </w:r>
            <w:proofErr w:type="spellEnd"/>
            <w:r w:rsidRPr="00885AB3">
              <w:rPr>
                <w:rFonts w:ascii="Arial Narrow" w:hAnsi="Arial Narrow"/>
                <w:sz w:val="20"/>
                <w:szCs w:val="20"/>
              </w:rPr>
              <w:t xml:space="preserve"> PSD, November 2024)</w:t>
            </w:r>
          </w:p>
        </w:tc>
        <w:tc>
          <w:tcPr>
            <w:tcW w:w="601" w:type="pct"/>
            <w:vAlign w:val="center"/>
          </w:tcPr>
          <w:p w14:paraId="46289A13" w14:textId="61F51788" w:rsidR="006A1AFC" w:rsidRPr="00885AB3" w:rsidRDefault="006A1AFC" w:rsidP="00120D61">
            <w:pPr>
              <w:keepNext/>
              <w:jc w:val="center"/>
              <w:rPr>
                <w:rFonts w:ascii="Arial Narrow" w:hAnsi="Arial Narrow" w:cs="Calibri"/>
                <w:sz w:val="20"/>
                <w:szCs w:val="20"/>
              </w:rPr>
            </w:pPr>
            <w:r w:rsidRPr="00885AB3">
              <w:rPr>
                <w:rFonts w:ascii="Arial Narrow" w:hAnsi="Arial Narrow" w:cs="Calibri"/>
                <w:sz w:val="20"/>
                <w:szCs w:val="20"/>
              </w:rPr>
              <w:t>$</w:t>
            </w:r>
            <w:r w:rsidR="004B5AFE" w:rsidRPr="004B5AFE">
              <w:rPr>
                <w:rFonts w:ascii="Arial Narrow" w:hAnsi="Arial Narrow" w:cs="Calibri"/>
                <w:sz w:val="20"/>
                <w:szCs w:val="20"/>
                <w:highlight w:val="black"/>
              </w:rPr>
              <w:t xml:space="preserve"> &amp;&amp;&amp;&amp;</w:t>
            </w:r>
            <w:r w:rsidR="00E2575B">
              <w:rPr>
                <w:rFonts w:ascii="Arial Narrow" w:hAnsi="Arial Narrow" w:cs="Calibri"/>
                <w:sz w:val="20"/>
                <w:szCs w:val="20"/>
                <w:vertAlign w:val="superscript"/>
              </w:rPr>
              <w:t>1</w:t>
            </w:r>
          </w:p>
          <w:p w14:paraId="1EABAD6F" w14:textId="6E53E702" w:rsidR="006A1AFC" w:rsidRPr="00885AB3" w:rsidRDefault="006A1AFC" w:rsidP="00120D61">
            <w:pPr>
              <w:keepNext/>
              <w:jc w:val="center"/>
              <w:rPr>
                <w:rFonts w:ascii="Arial Narrow" w:hAnsi="Arial Narrow" w:cs="Calibri"/>
                <w:sz w:val="20"/>
                <w:szCs w:val="20"/>
              </w:rPr>
            </w:pPr>
            <w:r w:rsidRPr="00885AB3">
              <w:rPr>
                <w:rFonts w:ascii="Arial Narrow" w:hAnsi="Arial Narrow" w:cs="Calibri"/>
                <w:sz w:val="20"/>
                <w:szCs w:val="20"/>
              </w:rPr>
              <w:t>(-</w:t>
            </w:r>
            <w:r w:rsidR="004B5AFE" w:rsidRPr="004B5AFE">
              <w:rPr>
                <w:rFonts w:ascii="Arial Narrow" w:hAnsi="Arial Narrow" w:cs="Calibri"/>
                <w:sz w:val="20"/>
                <w:szCs w:val="20"/>
                <w:highlight w:val="black"/>
              </w:rPr>
              <w:t xml:space="preserve"> &amp;&amp;&amp;&amp;</w:t>
            </w:r>
            <w:r w:rsidRPr="00885AB3">
              <w:rPr>
                <w:rFonts w:ascii="Arial Narrow" w:hAnsi="Arial Narrow" w:cs="Calibri"/>
                <w:sz w:val="20"/>
                <w:szCs w:val="20"/>
              </w:rPr>
              <w:t>%)</w:t>
            </w:r>
          </w:p>
        </w:tc>
      </w:tr>
      <w:tr w:rsidR="006A1AFC" w:rsidRPr="00885AB3" w14:paraId="3D1A7A81" w14:textId="77777777" w:rsidTr="004B5AFE">
        <w:tc>
          <w:tcPr>
            <w:tcW w:w="713" w:type="pct"/>
            <w:vAlign w:val="center"/>
          </w:tcPr>
          <w:p w14:paraId="3AE3275F" w14:textId="77777777" w:rsidR="006A1AFC" w:rsidRPr="00885AB3" w:rsidRDefault="006A1AFC" w:rsidP="00120D61">
            <w:pPr>
              <w:keepNext/>
              <w:jc w:val="center"/>
              <w:rPr>
                <w:rFonts w:ascii="Arial Narrow" w:hAnsi="Arial Narrow"/>
                <w:sz w:val="20"/>
                <w:szCs w:val="20"/>
              </w:rPr>
            </w:pPr>
            <w:r w:rsidRPr="00885AB3">
              <w:rPr>
                <w:rFonts w:ascii="Arial Narrow" w:hAnsi="Arial Narrow"/>
                <w:sz w:val="20"/>
                <w:szCs w:val="20"/>
              </w:rPr>
              <w:t>#2</w:t>
            </w:r>
          </w:p>
        </w:tc>
        <w:tc>
          <w:tcPr>
            <w:tcW w:w="842" w:type="pct"/>
            <w:vAlign w:val="center"/>
          </w:tcPr>
          <w:p w14:paraId="376A3AD5" w14:textId="77777777" w:rsidR="006A1AFC" w:rsidRPr="00885AB3" w:rsidRDefault="006A1AFC" w:rsidP="00120D61">
            <w:pPr>
              <w:keepNext/>
              <w:jc w:val="center"/>
              <w:rPr>
                <w:rFonts w:ascii="Arial Narrow" w:hAnsi="Arial Narrow"/>
                <w:sz w:val="20"/>
                <w:szCs w:val="20"/>
              </w:rPr>
            </w:pPr>
            <w:r w:rsidRPr="00885AB3">
              <w:rPr>
                <w:rFonts w:ascii="Arial Narrow" w:hAnsi="Arial Narrow"/>
                <w:sz w:val="20"/>
                <w:szCs w:val="20"/>
              </w:rPr>
              <w:t>4.12% (</w:t>
            </w:r>
            <w:bookmarkStart w:id="129" w:name="_Hlk205631160"/>
            <w:r w:rsidRPr="00885AB3">
              <w:rPr>
                <w:rFonts w:ascii="Arial Narrow" w:hAnsi="Arial Narrow"/>
                <w:sz w:val="20"/>
                <w:szCs w:val="20"/>
              </w:rPr>
              <w:t xml:space="preserve">Table 13, </w:t>
            </w:r>
            <w:proofErr w:type="spellStart"/>
            <w:r w:rsidRPr="00885AB3">
              <w:rPr>
                <w:rFonts w:ascii="Arial Narrow" w:hAnsi="Arial Narrow"/>
                <w:sz w:val="20"/>
                <w:szCs w:val="20"/>
              </w:rPr>
              <w:t>RSVPreF</w:t>
            </w:r>
            <w:proofErr w:type="spellEnd"/>
            <w:r w:rsidRPr="00885AB3">
              <w:rPr>
                <w:rFonts w:ascii="Arial Narrow" w:hAnsi="Arial Narrow"/>
                <w:sz w:val="20"/>
                <w:szCs w:val="20"/>
              </w:rPr>
              <w:t xml:space="preserve"> PSD, November 2024)</w:t>
            </w:r>
            <w:bookmarkEnd w:id="129"/>
          </w:p>
        </w:tc>
        <w:tc>
          <w:tcPr>
            <w:tcW w:w="842" w:type="pct"/>
            <w:vAlign w:val="center"/>
          </w:tcPr>
          <w:p w14:paraId="015FD69F" w14:textId="77777777" w:rsidR="006A1AFC" w:rsidRPr="00885AB3" w:rsidRDefault="006A1AFC" w:rsidP="00120D61">
            <w:pPr>
              <w:keepNext/>
              <w:jc w:val="center"/>
              <w:rPr>
                <w:rFonts w:ascii="Arial Narrow" w:hAnsi="Arial Narrow"/>
                <w:sz w:val="20"/>
                <w:szCs w:val="20"/>
              </w:rPr>
            </w:pPr>
            <w:r w:rsidRPr="00885AB3">
              <w:rPr>
                <w:rFonts w:ascii="Arial Narrow" w:hAnsi="Arial Narrow"/>
                <w:sz w:val="20"/>
                <w:szCs w:val="20"/>
              </w:rPr>
              <w:t>28.5% (back calculated)</w:t>
            </w:r>
          </w:p>
        </w:tc>
        <w:tc>
          <w:tcPr>
            <w:tcW w:w="842" w:type="pct"/>
            <w:vAlign w:val="center"/>
          </w:tcPr>
          <w:p w14:paraId="54B9520D" w14:textId="77777777" w:rsidR="006A1AFC" w:rsidRPr="00885AB3" w:rsidRDefault="006A1AFC" w:rsidP="00120D61">
            <w:pPr>
              <w:keepNext/>
              <w:jc w:val="center"/>
              <w:rPr>
                <w:rFonts w:ascii="Arial Narrow" w:hAnsi="Arial Narrow"/>
                <w:sz w:val="20"/>
                <w:szCs w:val="20"/>
              </w:rPr>
            </w:pPr>
            <w:r w:rsidRPr="00885AB3">
              <w:rPr>
                <w:rFonts w:ascii="Arial Narrow" w:hAnsi="Arial Narrow"/>
                <w:sz w:val="20"/>
                <w:szCs w:val="20"/>
              </w:rPr>
              <w:t>32.8%</w:t>
            </w:r>
          </w:p>
        </w:tc>
        <w:tc>
          <w:tcPr>
            <w:tcW w:w="1161" w:type="pct"/>
            <w:vAlign w:val="center"/>
          </w:tcPr>
          <w:p w14:paraId="648D90B7" w14:textId="77777777" w:rsidR="006A1AFC" w:rsidRPr="00885AB3" w:rsidRDefault="006A1AFC" w:rsidP="00120D61">
            <w:pPr>
              <w:keepNext/>
              <w:jc w:val="center"/>
              <w:rPr>
                <w:rFonts w:ascii="Arial Narrow" w:hAnsi="Arial Narrow"/>
                <w:sz w:val="20"/>
                <w:szCs w:val="20"/>
              </w:rPr>
            </w:pPr>
            <w:r w:rsidRPr="00885AB3">
              <w:rPr>
                <w:rFonts w:ascii="Arial Narrow" w:hAnsi="Arial Narrow"/>
                <w:sz w:val="20"/>
                <w:szCs w:val="20"/>
              </w:rPr>
              <w:t xml:space="preserve">0.00384 </w:t>
            </w:r>
          </w:p>
          <w:p w14:paraId="25F5B98A" w14:textId="77777777" w:rsidR="006A1AFC" w:rsidRPr="00885AB3" w:rsidRDefault="006A1AFC" w:rsidP="00120D61">
            <w:pPr>
              <w:keepNext/>
              <w:jc w:val="center"/>
              <w:rPr>
                <w:rFonts w:ascii="Arial Narrow" w:hAnsi="Arial Narrow"/>
                <w:sz w:val="20"/>
                <w:szCs w:val="20"/>
              </w:rPr>
            </w:pPr>
            <w:r w:rsidRPr="00885AB3">
              <w:rPr>
                <w:rFonts w:ascii="Arial Narrow" w:hAnsi="Arial Narrow"/>
                <w:sz w:val="20"/>
                <w:szCs w:val="20"/>
              </w:rPr>
              <w:t xml:space="preserve">(para 7.16, </w:t>
            </w:r>
            <w:proofErr w:type="spellStart"/>
            <w:r w:rsidRPr="00885AB3">
              <w:rPr>
                <w:rFonts w:ascii="Arial Narrow" w:hAnsi="Arial Narrow"/>
                <w:sz w:val="20"/>
                <w:szCs w:val="20"/>
              </w:rPr>
              <w:t>RSVPreF</w:t>
            </w:r>
            <w:proofErr w:type="spellEnd"/>
            <w:r w:rsidRPr="00885AB3">
              <w:rPr>
                <w:rFonts w:ascii="Arial Narrow" w:hAnsi="Arial Narrow"/>
                <w:sz w:val="20"/>
                <w:szCs w:val="20"/>
              </w:rPr>
              <w:t xml:space="preserve"> PSD, November 2024)</w:t>
            </w:r>
          </w:p>
        </w:tc>
        <w:tc>
          <w:tcPr>
            <w:tcW w:w="601" w:type="pct"/>
            <w:vAlign w:val="center"/>
          </w:tcPr>
          <w:p w14:paraId="5EDB9CAD" w14:textId="4E09CD36" w:rsidR="006A1AFC" w:rsidRPr="00885AB3" w:rsidRDefault="006A1AFC" w:rsidP="00120D61">
            <w:pPr>
              <w:keepNext/>
              <w:jc w:val="center"/>
              <w:rPr>
                <w:rFonts w:ascii="Arial Narrow" w:hAnsi="Arial Narrow" w:cs="Calibri"/>
                <w:sz w:val="20"/>
                <w:szCs w:val="20"/>
              </w:rPr>
            </w:pPr>
            <w:r w:rsidRPr="00885AB3">
              <w:rPr>
                <w:rFonts w:ascii="Arial Narrow" w:hAnsi="Arial Narrow" w:cs="Calibri"/>
                <w:sz w:val="20"/>
                <w:szCs w:val="20"/>
              </w:rPr>
              <w:t>$</w:t>
            </w:r>
            <w:r w:rsidR="004B5AFE" w:rsidRPr="004B5AFE">
              <w:rPr>
                <w:rFonts w:ascii="Arial Narrow" w:hAnsi="Arial Narrow" w:cs="Calibri"/>
                <w:sz w:val="20"/>
                <w:szCs w:val="20"/>
                <w:highlight w:val="black"/>
              </w:rPr>
              <w:t xml:space="preserve"> &amp;&amp;&amp;&amp;</w:t>
            </w:r>
            <w:r w:rsidR="00E2575B">
              <w:rPr>
                <w:rFonts w:ascii="Arial Narrow" w:hAnsi="Arial Narrow" w:cs="Calibri"/>
                <w:sz w:val="20"/>
                <w:szCs w:val="20"/>
                <w:vertAlign w:val="superscript"/>
              </w:rPr>
              <w:t>2</w:t>
            </w:r>
          </w:p>
          <w:p w14:paraId="2A1685DF" w14:textId="0362727B" w:rsidR="006A1AFC" w:rsidRPr="00885AB3" w:rsidRDefault="006A1AFC" w:rsidP="00120D61">
            <w:pPr>
              <w:keepNext/>
              <w:jc w:val="center"/>
              <w:rPr>
                <w:rFonts w:ascii="Arial Narrow" w:hAnsi="Arial Narrow" w:cs="Calibri"/>
                <w:sz w:val="20"/>
                <w:szCs w:val="20"/>
              </w:rPr>
            </w:pPr>
            <w:r w:rsidRPr="00885AB3">
              <w:rPr>
                <w:rFonts w:ascii="Arial Narrow" w:hAnsi="Arial Narrow" w:cs="Calibri"/>
                <w:sz w:val="20"/>
                <w:szCs w:val="20"/>
              </w:rPr>
              <w:t>(+</w:t>
            </w:r>
            <w:r w:rsidR="004B5AFE" w:rsidRPr="004B5AFE">
              <w:rPr>
                <w:rFonts w:ascii="Arial Narrow" w:hAnsi="Arial Narrow" w:cs="Calibri"/>
                <w:sz w:val="20"/>
                <w:szCs w:val="20"/>
                <w:highlight w:val="black"/>
              </w:rPr>
              <w:t xml:space="preserve"> &amp;&amp;&amp;&amp;</w:t>
            </w:r>
            <w:r w:rsidRPr="00885AB3">
              <w:rPr>
                <w:rFonts w:ascii="Arial Narrow" w:hAnsi="Arial Narrow" w:cs="Calibri"/>
                <w:sz w:val="20"/>
                <w:szCs w:val="20"/>
              </w:rPr>
              <w:t>%)</w:t>
            </w:r>
          </w:p>
        </w:tc>
      </w:tr>
      <w:tr w:rsidR="00D4791A" w:rsidRPr="00885AB3" w14:paraId="4A903B21" w14:textId="77777777" w:rsidTr="004B5AFE">
        <w:tc>
          <w:tcPr>
            <w:tcW w:w="713" w:type="pct"/>
            <w:vAlign w:val="center"/>
          </w:tcPr>
          <w:p w14:paraId="304501FD" w14:textId="1CF80A1B" w:rsidR="00D4791A" w:rsidRPr="00885AB3" w:rsidRDefault="00D24503" w:rsidP="00120D61">
            <w:pPr>
              <w:keepNext/>
              <w:jc w:val="center"/>
              <w:rPr>
                <w:rFonts w:ascii="Arial Narrow" w:hAnsi="Arial Narrow"/>
                <w:sz w:val="20"/>
                <w:szCs w:val="20"/>
              </w:rPr>
            </w:pPr>
            <w:r w:rsidRPr="00885AB3">
              <w:rPr>
                <w:rFonts w:ascii="Arial Narrow" w:hAnsi="Arial Narrow"/>
                <w:sz w:val="20"/>
                <w:szCs w:val="20"/>
              </w:rPr>
              <w:t>#3</w:t>
            </w:r>
          </w:p>
        </w:tc>
        <w:tc>
          <w:tcPr>
            <w:tcW w:w="842" w:type="pct"/>
            <w:vAlign w:val="center"/>
          </w:tcPr>
          <w:p w14:paraId="626A2073" w14:textId="72A85FB5" w:rsidR="00D4791A" w:rsidRPr="00885AB3" w:rsidRDefault="00D24503" w:rsidP="00120D61">
            <w:pPr>
              <w:keepNext/>
              <w:jc w:val="center"/>
              <w:rPr>
                <w:rFonts w:ascii="Arial Narrow" w:hAnsi="Arial Narrow"/>
                <w:sz w:val="20"/>
                <w:szCs w:val="20"/>
              </w:rPr>
            </w:pPr>
            <w:r w:rsidRPr="00885AB3">
              <w:rPr>
                <w:rFonts w:ascii="Arial Narrow" w:hAnsi="Arial Narrow"/>
                <w:sz w:val="20"/>
                <w:szCs w:val="20"/>
              </w:rPr>
              <w:t xml:space="preserve">4.12% (Table 13, </w:t>
            </w:r>
            <w:proofErr w:type="spellStart"/>
            <w:r w:rsidRPr="00885AB3">
              <w:rPr>
                <w:rFonts w:ascii="Arial Narrow" w:hAnsi="Arial Narrow"/>
                <w:sz w:val="20"/>
                <w:szCs w:val="20"/>
              </w:rPr>
              <w:t>RSVPreF</w:t>
            </w:r>
            <w:proofErr w:type="spellEnd"/>
            <w:r w:rsidRPr="00885AB3">
              <w:rPr>
                <w:rFonts w:ascii="Arial Narrow" w:hAnsi="Arial Narrow"/>
                <w:sz w:val="20"/>
                <w:szCs w:val="20"/>
              </w:rPr>
              <w:t xml:space="preserve"> PSD, November 2024)</w:t>
            </w:r>
          </w:p>
        </w:tc>
        <w:tc>
          <w:tcPr>
            <w:tcW w:w="842" w:type="pct"/>
            <w:vAlign w:val="center"/>
          </w:tcPr>
          <w:p w14:paraId="1C6BB7F1" w14:textId="406CA1E8" w:rsidR="00D4791A" w:rsidRPr="00885AB3" w:rsidRDefault="00D24503" w:rsidP="00120D61">
            <w:pPr>
              <w:keepNext/>
              <w:jc w:val="center"/>
              <w:rPr>
                <w:rFonts w:ascii="Arial Narrow" w:hAnsi="Arial Narrow"/>
                <w:sz w:val="20"/>
                <w:szCs w:val="20"/>
              </w:rPr>
            </w:pPr>
            <w:r w:rsidRPr="00885AB3">
              <w:rPr>
                <w:rFonts w:ascii="Arial Narrow" w:hAnsi="Arial Narrow"/>
                <w:sz w:val="20"/>
                <w:szCs w:val="20"/>
              </w:rPr>
              <w:t>16.8%</w:t>
            </w:r>
          </w:p>
        </w:tc>
        <w:tc>
          <w:tcPr>
            <w:tcW w:w="842" w:type="pct"/>
            <w:vAlign w:val="center"/>
          </w:tcPr>
          <w:p w14:paraId="6B7C5C0F" w14:textId="228C2490" w:rsidR="00D4791A" w:rsidRPr="00885AB3" w:rsidRDefault="00D24503" w:rsidP="00120D61">
            <w:pPr>
              <w:keepNext/>
              <w:jc w:val="center"/>
              <w:rPr>
                <w:rFonts w:ascii="Arial Narrow" w:hAnsi="Arial Narrow"/>
                <w:sz w:val="20"/>
                <w:szCs w:val="20"/>
              </w:rPr>
            </w:pPr>
            <w:r w:rsidRPr="00885AB3">
              <w:rPr>
                <w:rFonts w:ascii="Arial Narrow" w:hAnsi="Arial Narrow"/>
                <w:sz w:val="20"/>
                <w:szCs w:val="20"/>
              </w:rPr>
              <w:t xml:space="preserve">55.5% (back calculated) </w:t>
            </w:r>
            <w:r w:rsidRPr="00885AB3">
              <w:rPr>
                <w:rFonts w:ascii="Arial Narrow" w:hAnsi="Arial Narrow"/>
                <w:sz w:val="20"/>
                <w:szCs w:val="20"/>
                <w:vertAlign w:val="superscript"/>
              </w:rPr>
              <w:t>a</w:t>
            </w:r>
          </w:p>
        </w:tc>
        <w:tc>
          <w:tcPr>
            <w:tcW w:w="1161" w:type="pct"/>
            <w:vAlign w:val="center"/>
          </w:tcPr>
          <w:p w14:paraId="756375A3" w14:textId="77777777" w:rsidR="00D24503" w:rsidRPr="00885AB3" w:rsidRDefault="00D24503" w:rsidP="00120D61">
            <w:pPr>
              <w:keepNext/>
              <w:jc w:val="center"/>
              <w:rPr>
                <w:rFonts w:ascii="Arial Narrow" w:hAnsi="Arial Narrow"/>
                <w:sz w:val="20"/>
                <w:szCs w:val="20"/>
              </w:rPr>
            </w:pPr>
            <w:r w:rsidRPr="00885AB3">
              <w:rPr>
                <w:rFonts w:ascii="Arial Narrow" w:hAnsi="Arial Narrow"/>
                <w:sz w:val="20"/>
                <w:szCs w:val="20"/>
              </w:rPr>
              <w:t xml:space="preserve">0.00384 </w:t>
            </w:r>
          </w:p>
          <w:p w14:paraId="1CE49E8B" w14:textId="03A4D971" w:rsidR="00D4791A" w:rsidRPr="00885AB3" w:rsidRDefault="00D24503" w:rsidP="00120D61">
            <w:pPr>
              <w:keepNext/>
              <w:jc w:val="center"/>
              <w:rPr>
                <w:rFonts w:ascii="Arial Narrow" w:hAnsi="Arial Narrow"/>
                <w:sz w:val="20"/>
                <w:szCs w:val="20"/>
              </w:rPr>
            </w:pPr>
            <w:r w:rsidRPr="00885AB3">
              <w:rPr>
                <w:rFonts w:ascii="Arial Narrow" w:hAnsi="Arial Narrow"/>
                <w:sz w:val="20"/>
                <w:szCs w:val="20"/>
              </w:rPr>
              <w:t xml:space="preserve">(para 7.16, </w:t>
            </w:r>
            <w:proofErr w:type="spellStart"/>
            <w:r w:rsidRPr="00885AB3">
              <w:rPr>
                <w:rFonts w:ascii="Arial Narrow" w:hAnsi="Arial Narrow"/>
                <w:sz w:val="20"/>
                <w:szCs w:val="20"/>
              </w:rPr>
              <w:t>RSVPreF</w:t>
            </w:r>
            <w:proofErr w:type="spellEnd"/>
            <w:r w:rsidRPr="00885AB3">
              <w:rPr>
                <w:rFonts w:ascii="Arial Narrow" w:hAnsi="Arial Narrow"/>
                <w:sz w:val="20"/>
                <w:szCs w:val="20"/>
              </w:rPr>
              <w:t xml:space="preserve"> PSD, November 2024)</w:t>
            </w:r>
          </w:p>
        </w:tc>
        <w:tc>
          <w:tcPr>
            <w:tcW w:w="601" w:type="pct"/>
            <w:vAlign w:val="center"/>
          </w:tcPr>
          <w:p w14:paraId="09A2EDFA" w14:textId="35F2688E" w:rsidR="00D4791A" w:rsidRPr="00885AB3" w:rsidRDefault="00D24503" w:rsidP="00120D61">
            <w:pPr>
              <w:keepNext/>
              <w:jc w:val="center"/>
              <w:rPr>
                <w:rFonts w:ascii="Arial Narrow" w:hAnsi="Arial Narrow" w:cs="Calibri"/>
                <w:sz w:val="20"/>
                <w:szCs w:val="20"/>
              </w:rPr>
            </w:pPr>
            <w:r w:rsidRPr="00885AB3">
              <w:rPr>
                <w:rFonts w:ascii="Arial Narrow" w:hAnsi="Arial Narrow" w:cs="Calibri"/>
                <w:sz w:val="20"/>
                <w:szCs w:val="20"/>
              </w:rPr>
              <w:t>$</w:t>
            </w:r>
            <w:r w:rsidR="004B5AFE" w:rsidRPr="004B5AFE">
              <w:rPr>
                <w:rFonts w:ascii="Arial Narrow" w:hAnsi="Arial Narrow" w:cs="Calibri"/>
                <w:sz w:val="20"/>
                <w:szCs w:val="20"/>
                <w:highlight w:val="black"/>
              </w:rPr>
              <w:t xml:space="preserve"> &amp;&amp;&amp;&amp;</w:t>
            </w:r>
            <w:r w:rsidR="00E2575B">
              <w:rPr>
                <w:rFonts w:ascii="Arial Narrow" w:hAnsi="Arial Narrow" w:cs="Calibri"/>
                <w:sz w:val="20"/>
                <w:szCs w:val="20"/>
                <w:vertAlign w:val="superscript"/>
              </w:rPr>
              <w:t>2</w:t>
            </w:r>
            <w:r w:rsidR="00E2575B" w:rsidRPr="00885AB3">
              <w:rPr>
                <w:rFonts w:ascii="Arial Narrow" w:hAnsi="Arial Narrow" w:cs="Calibri"/>
                <w:sz w:val="20"/>
                <w:szCs w:val="20"/>
              </w:rPr>
              <w:t xml:space="preserve"> </w:t>
            </w:r>
            <w:r w:rsidR="004B5AFE">
              <w:rPr>
                <w:rFonts w:ascii="Arial Narrow" w:hAnsi="Arial Narrow" w:cs="Calibri"/>
                <w:sz w:val="20"/>
                <w:szCs w:val="20"/>
              </w:rPr>
              <w:br/>
            </w:r>
            <w:r w:rsidRPr="00885AB3">
              <w:rPr>
                <w:rFonts w:ascii="Arial Narrow" w:hAnsi="Arial Narrow" w:cs="Calibri"/>
                <w:sz w:val="20"/>
                <w:szCs w:val="20"/>
              </w:rPr>
              <w:t>(+</w:t>
            </w:r>
            <w:r w:rsidR="004B5AFE" w:rsidRPr="004B5AFE">
              <w:rPr>
                <w:rFonts w:ascii="Arial Narrow" w:hAnsi="Arial Narrow" w:cs="Calibri"/>
                <w:sz w:val="20"/>
                <w:szCs w:val="20"/>
                <w:highlight w:val="black"/>
              </w:rPr>
              <w:t xml:space="preserve"> &amp;&amp;&amp;&amp;</w:t>
            </w:r>
            <w:r w:rsidRPr="00885AB3">
              <w:rPr>
                <w:rFonts w:ascii="Arial Narrow" w:hAnsi="Arial Narrow" w:cs="Calibri"/>
                <w:sz w:val="20"/>
                <w:szCs w:val="20"/>
              </w:rPr>
              <w:t>%)</w:t>
            </w:r>
          </w:p>
        </w:tc>
      </w:tr>
      <w:tr w:rsidR="00D4791A" w:rsidRPr="00885AB3" w14:paraId="58DD8605" w14:textId="77777777" w:rsidTr="004B5AFE">
        <w:tc>
          <w:tcPr>
            <w:tcW w:w="713" w:type="pct"/>
            <w:vAlign w:val="center"/>
          </w:tcPr>
          <w:p w14:paraId="1A393A61" w14:textId="522CCC5F" w:rsidR="00D4791A" w:rsidRPr="00885AB3" w:rsidRDefault="00D24503" w:rsidP="00120D61">
            <w:pPr>
              <w:keepNext/>
              <w:jc w:val="center"/>
              <w:rPr>
                <w:rFonts w:ascii="Arial Narrow" w:hAnsi="Arial Narrow"/>
                <w:sz w:val="20"/>
                <w:szCs w:val="20"/>
              </w:rPr>
            </w:pPr>
            <w:r w:rsidRPr="00885AB3">
              <w:rPr>
                <w:rFonts w:ascii="Arial Narrow" w:hAnsi="Arial Narrow"/>
                <w:sz w:val="20"/>
                <w:szCs w:val="20"/>
              </w:rPr>
              <w:t>#4</w:t>
            </w:r>
          </w:p>
        </w:tc>
        <w:tc>
          <w:tcPr>
            <w:tcW w:w="842" w:type="pct"/>
            <w:vAlign w:val="center"/>
          </w:tcPr>
          <w:p w14:paraId="20816977" w14:textId="1BA92CCF" w:rsidR="00D4791A" w:rsidRPr="00885AB3" w:rsidRDefault="00D24503" w:rsidP="00120D61">
            <w:pPr>
              <w:keepNext/>
              <w:jc w:val="center"/>
              <w:rPr>
                <w:rFonts w:ascii="Arial Narrow" w:hAnsi="Arial Narrow"/>
                <w:sz w:val="20"/>
                <w:szCs w:val="20"/>
              </w:rPr>
            </w:pPr>
            <w:r w:rsidRPr="00885AB3">
              <w:rPr>
                <w:rFonts w:ascii="Arial Narrow" w:hAnsi="Arial Narrow"/>
                <w:sz w:val="20"/>
                <w:szCs w:val="20"/>
              </w:rPr>
              <w:t xml:space="preserve">4.12% (Table 13, </w:t>
            </w:r>
            <w:proofErr w:type="spellStart"/>
            <w:r w:rsidRPr="00885AB3">
              <w:rPr>
                <w:rFonts w:ascii="Arial Narrow" w:hAnsi="Arial Narrow"/>
                <w:sz w:val="20"/>
                <w:szCs w:val="20"/>
              </w:rPr>
              <w:t>RSVPreF</w:t>
            </w:r>
            <w:proofErr w:type="spellEnd"/>
            <w:r w:rsidRPr="00885AB3">
              <w:rPr>
                <w:rFonts w:ascii="Arial Narrow" w:hAnsi="Arial Narrow"/>
                <w:sz w:val="20"/>
                <w:szCs w:val="20"/>
              </w:rPr>
              <w:t xml:space="preserve"> PSD, November 2024)</w:t>
            </w:r>
          </w:p>
        </w:tc>
        <w:tc>
          <w:tcPr>
            <w:tcW w:w="842" w:type="pct"/>
            <w:vAlign w:val="center"/>
          </w:tcPr>
          <w:p w14:paraId="1FB7C5FC" w14:textId="4428C1F0" w:rsidR="00D4791A" w:rsidRPr="00885AB3" w:rsidRDefault="00D24503" w:rsidP="00120D61">
            <w:pPr>
              <w:keepNext/>
              <w:jc w:val="center"/>
              <w:rPr>
                <w:rFonts w:ascii="Arial Narrow" w:hAnsi="Arial Narrow"/>
                <w:sz w:val="20"/>
                <w:szCs w:val="20"/>
              </w:rPr>
            </w:pPr>
            <w:r w:rsidRPr="00885AB3">
              <w:rPr>
                <w:rFonts w:ascii="Arial Narrow" w:hAnsi="Arial Narrow"/>
                <w:sz w:val="20"/>
                <w:szCs w:val="20"/>
              </w:rPr>
              <w:t xml:space="preserve">30.0% </w:t>
            </w:r>
            <w:r w:rsidRPr="00885AB3">
              <w:rPr>
                <w:rFonts w:ascii="Arial Narrow" w:hAnsi="Arial Narrow"/>
                <w:sz w:val="20"/>
                <w:szCs w:val="20"/>
                <w:vertAlign w:val="superscript"/>
              </w:rPr>
              <w:t>b</w:t>
            </w:r>
          </w:p>
        </w:tc>
        <w:tc>
          <w:tcPr>
            <w:tcW w:w="842" w:type="pct"/>
            <w:vAlign w:val="center"/>
          </w:tcPr>
          <w:p w14:paraId="6AA4EBA0" w14:textId="77777777" w:rsidR="00D24503" w:rsidRPr="00885AB3" w:rsidRDefault="00D24503" w:rsidP="00120D61">
            <w:pPr>
              <w:keepNext/>
              <w:jc w:val="center"/>
              <w:rPr>
                <w:rFonts w:ascii="Arial Narrow" w:hAnsi="Arial Narrow"/>
                <w:sz w:val="20"/>
                <w:szCs w:val="20"/>
              </w:rPr>
            </w:pPr>
            <w:r w:rsidRPr="00885AB3">
              <w:rPr>
                <w:rFonts w:ascii="Arial Narrow" w:hAnsi="Arial Narrow"/>
                <w:sz w:val="20"/>
                <w:szCs w:val="20"/>
              </w:rPr>
              <w:t>31.0</w:t>
            </w:r>
          </w:p>
          <w:p w14:paraId="68332086" w14:textId="53F0585A" w:rsidR="00D4791A" w:rsidRPr="00885AB3" w:rsidRDefault="00D24503" w:rsidP="00120D61">
            <w:pPr>
              <w:keepNext/>
              <w:jc w:val="center"/>
              <w:rPr>
                <w:rFonts w:ascii="Arial Narrow" w:hAnsi="Arial Narrow"/>
                <w:sz w:val="20"/>
                <w:szCs w:val="20"/>
              </w:rPr>
            </w:pPr>
            <w:r w:rsidRPr="00885AB3">
              <w:rPr>
                <w:rFonts w:ascii="Arial Narrow" w:hAnsi="Arial Narrow"/>
                <w:sz w:val="20"/>
                <w:szCs w:val="20"/>
              </w:rPr>
              <w:t xml:space="preserve">% (back calculated) </w:t>
            </w:r>
            <w:r w:rsidRPr="00885AB3">
              <w:rPr>
                <w:rFonts w:ascii="Arial Narrow" w:hAnsi="Arial Narrow"/>
                <w:sz w:val="20"/>
                <w:szCs w:val="20"/>
                <w:vertAlign w:val="superscript"/>
              </w:rPr>
              <w:t>a</w:t>
            </w:r>
          </w:p>
        </w:tc>
        <w:tc>
          <w:tcPr>
            <w:tcW w:w="1161" w:type="pct"/>
            <w:vAlign w:val="center"/>
          </w:tcPr>
          <w:p w14:paraId="5F96533F" w14:textId="77777777" w:rsidR="00D24503" w:rsidRPr="00885AB3" w:rsidRDefault="00D24503" w:rsidP="00120D61">
            <w:pPr>
              <w:keepNext/>
              <w:jc w:val="center"/>
              <w:rPr>
                <w:rFonts w:ascii="Arial Narrow" w:hAnsi="Arial Narrow"/>
                <w:sz w:val="20"/>
                <w:szCs w:val="20"/>
              </w:rPr>
            </w:pPr>
            <w:r w:rsidRPr="00885AB3">
              <w:rPr>
                <w:rFonts w:ascii="Arial Narrow" w:hAnsi="Arial Narrow"/>
                <w:sz w:val="20"/>
                <w:szCs w:val="20"/>
              </w:rPr>
              <w:t xml:space="preserve">0.00384 </w:t>
            </w:r>
          </w:p>
          <w:p w14:paraId="0C739591" w14:textId="2504879B" w:rsidR="00D4791A" w:rsidRPr="00885AB3" w:rsidRDefault="00D24503" w:rsidP="00120D61">
            <w:pPr>
              <w:keepNext/>
              <w:jc w:val="center"/>
              <w:rPr>
                <w:rFonts w:ascii="Arial Narrow" w:hAnsi="Arial Narrow"/>
                <w:sz w:val="20"/>
                <w:szCs w:val="20"/>
              </w:rPr>
            </w:pPr>
            <w:r w:rsidRPr="00885AB3">
              <w:rPr>
                <w:rFonts w:ascii="Arial Narrow" w:hAnsi="Arial Narrow"/>
                <w:sz w:val="20"/>
                <w:szCs w:val="20"/>
              </w:rPr>
              <w:t xml:space="preserve">(para 7.16, </w:t>
            </w:r>
            <w:proofErr w:type="spellStart"/>
            <w:r w:rsidRPr="00885AB3">
              <w:rPr>
                <w:rFonts w:ascii="Arial Narrow" w:hAnsi="Arial Narrow"/>
                <w:sz w:val="20"/>
                <w:szCs w:val="20"/>
              </w:rPr>
              <w:t>RSVPreF</w:t>
            </w:r>
            <w:proofErr w:type="spellEnd"/>
            <w:r w:rsidRPr="00885AB3">
              <w:rPr>
                <w:rFonts w:ascii="Arial Narrow" w:hAnsi="Arial Narrow"/>
                <w:sz w:val="20"/>
                <w:szCs w:val="20"/>
              </w:rPr>
              <w:t xml:space="preserve"> PSD, November 2024)</w:t>
            </w:r>
          </w:p>
        </w:tc>
        <w:tc>
          <w:tcPr>
            <w:tcW w:w="601" w:type="pct"/>
            <w:vAlign w:val="center"/>
          </w:tcPr>
          <w:p w14:paraId="493D89D5" w14:textId="2FA1DF3C" w:rsidR="00D4791A" w:rsidRPr="00885AB3" w:rsidRDefault="00D24503" w:rsidP="00120D61">
            <w:pPr>
              <w:keepNext/>
              <w:jc w:val="center"/>
              <w:rPr>
                <w:rFonts w:ascii="Arial Narrow" w:hAnsi="Arial Narrow" w:cs="Calibri"/>
                <w:sz w:val="20"/>
                <w:szCs w:val="20"/>
              </w:rPr>
            </w:pPr>
            <w:r w:rsidRPr="00885AB3">
              <w:rPr>
                <w:rFonts w:ascii="Arial Narrow" w:hAnsi="Arial Narrow" w:cs="Calibri"/>
                <w:sz w:val="20"/>
                <w:szCs w:val="20"/>
              </w:rPr>
              <w:t>$</w:t>
            </w:r>
            <w:r w:rsidR="004B5AFE" w:rsidRPr="004B5AFE">
              <w:rPr>
                <w:rFonts w:ascii="Arial Narrow" w:hAnsi="Arial Narrow" w:cs="Calibri"/>
                <w:sz w:val="20"/>
                <w:szCs w:val="20"/>
                <w:highlight w:val="black"/>
              </w:rPr>
              <w:t xml:space="preserve"> &amp;&amp;&amp;&amp;</w:t>
            </w:r>
            <w:r w:rsidR="00E2575B">
              <w:rPr>
                <w:rFonts w:ascii="Arial Narrow" w:hAnsi="Arial Narrow" w:cs="Calibri"/>
                <w:sz w:val="20"/>
                <w:szCs w:val="20"/>
                <w:vertAlign w:val="superscript"/>
              </w:rPr>
              <w:t>2</w:t>
            </w:r>
            <w:r w:rsidRPr="00885AB3">
              <w:rPr>
                <w:rFonts w:ascii="Arial Narrow" w:hAnsi="Arial Narrow" w:cs="Calibri"/>
                <w:sz w:val="20"/>
                <w:szCs w:val="20"/>
              </w:rPr>
              <w:t xml:space="preserve"> </w:t>
            </w:r>
            <w:r w:rsidR="004B5AFE">
              <w:rPr>
                <w:rFonts w:ascii="Arial Narrow" w:hAnsi="Arial Narrow" w:cs="Calibri"/>
                <w:sz w:val="20"/>
                <w:szCs w:val="20"/>
              </w:rPr>
              <w:br/>
            </w:r>
            <w:r w:rsidRPr="00885AB3">
              <w:rPr>
                <w:rFonts w:ascii="Arial Narrow" w:hAnsi="Arial Narrow" w:cs="Calibri"/>
                <w:sz w:val="20"/>
                <w:szCs w:val="20"/>
              </w:rPr>
              <w:t>(+</w:t>
            </w:r>
            <w:r w:rsidR="004B5AFE" w:rsidRPr="004B5AFE">
              <w:rPr>
                <w:rFonts w:ascii="Arial Narrow" w:hAnsi="Arial Narrow" w:cs="Calibri"/>
                <w:sz w:val="20"/>
                <w:szCs w:val="20"/>
                <w:highlight w:val="black"/>
              </w:rPr>
              <w:t xml:space="preserve"> &amp;&amp;&amp;&amp;</w:t>
            </w:r>
            <w:r w:rsidRPr="00885AB3">
              <w:rPr>
                <w:rFonts w:ascii="Arial Narrow" w:hAnsi="Arial Narrow" w:cs="Calibri"/>
                <w:sz w:val="20"/>
                <w:szCs w:val="20"/>
              </w:rPr>
              <w:t>%)</w:t>
            </w:r>
          </w:p>
        </w:tc>
      </w:tr>
    </w:tbl>
    <w:p w14:paraId="3BDA6D12" w14:textId="77777777" w:rsidR="006A1AFC" w:rsidRPr="00885AB3" w:rsidRDefault="006A1AFC" w:rsidP="00120D61">
      <w:pPr>
        <w:pStyle w:val="TableNotes"/>
        <w:keepNext/>
        <w:spacing w:after="0"/>
        <w:rPr>
          <w:szCs w:val="18"/>
        </w:rPr>
      </w:pPr>
      <w:r w:rsidRPr="00885AB3">
        <w:rPr>
          <w:szCs w:val="18"/>
        </w:rPr>
        <w:t>Source: Compiled during evaluation using Attachment 17B - Moderna RSV Model_v11.14_20250613_AUS_July 2025.</w:t>
      </w:r>
    </w:p>
    <w:p w14:paraId="45972CF2" w14:textId="2F094F2A" w:rsidR="006A1AFC" w:rsidRPr="00885AB3" w:rsidRDefault="006A1AFC" w:rsidP="00120D61">
      <w:pPr>
        <w:rPr>
          <w:rStyle w:val="CommentReference"/>
          <w:rFonts w:eastAsiaTheme="majorEastAsia" w:cstheme="majorBidi"/>
          <w:sz w:val="18"/>
          <w:szCs w:val="18"/>
        </w:rPr>
      </w:pPr>
      <w:r w:rsidRPr="00885AB3">
        <w:rPr>
          <w:rFonts w:ascii="Arial Narrow" w:hAnsi="Arial Narrow"/>
          <w:sz w:val="18"/>
          <w:szCs w:val="18"/>
        </w:rPr>
        <w:t xml:space="preserve">ICER = incremental cost-effectiveness ratio; MA-RSV-ARD = medically attended respiratory syncytial virus–acute respiratory disease; para = paragraph; PSD = Public Summary Document; RSV = respiratory </w:t>
      </w:r>
      <w:r w:rsidRPr="00885AB3">
        <w:rPr>
          <w:rStyle w:val="CommentReference"/>
          <w:rFonts w:eastAsiaTheme="majorEastAsia" w:cstheme="majorBidi"/>
          <w:b w:val="0"/>
          <w:bCs/>
          <w:sz w:val="18"/>
          <w:szCs w:val="18"/>
        </w:rPr>
        <w:t>syncytial virus; RSV-LRTD = respiratory syncytial virus–lower respiratory tract disease; YOA = years of age</w:t>
      </w:r>
      <w:r w:rsidRPr="00885AB3" w:rsidDel="00F40A2D">
        <w:rPr>
          <w:rStyle w:val="CommentReference"/>
          <w:rFonts w:eastAsiaTheme="majorEastAsia" w:cstheme="majorBidi"/>
          <w:sz w:val="18"/>
          <w:szCs w:val="18"/>
        </w:rPr>
        <w:t>.</w:t>
      </w:r>
    </w:p>
    <w:p w14:paraId="7A21B5C5" w14:textId="1AA77423" w:rsidR="00942C1A" w:rsidRPr="00885AB3" w:rsidRDefault="00942C1A" w:rsidP="00120D61">
      <w:pPr>
        <w:keepNext/>
        <w:rPr>
          <w:rFonts w:ascii="Arial Narrow" w:hAnsi="Arial Narrow"/>
          <w:sz w:val="18"/>
          <w:szCs w:val="18"/>
        </w:rPr>
      </w:pPr>
      <w:r w:rsidRPr="00885AB3">
        <w:rPr>
          <w:rFonts w:ascii="Arial Narrow" w:hAnsi="Arial Narrow"/>
          <w:sz w:val="18"/>
          <w:szCs w:val="18"/>
          <w:vertAlign w:val="superscript"/>
        </w:rPr>
        <w:t xml:space="preserve">a </w:t>
      </w:r>
      <w:r w:rsidR="0052350E" w:rsidRPr="00885AB3">
        <w:rPr>
          <w:rFonts w:ascii="Arial Narrow" w:hAnsi="Arial Narrow"/>
          <w:sz w:val="18"/>
          <w:szCs w:val="18"/>
        </w:rPr>
        <w:t>A</w:t>
      </w:r>
      <w:r w:rsidRPr="00885AB3">
        <w:rPr>
          <w:rFonts w:ascii="Arial Narrow" w:hAnsi="Arial Narrow"/>
          <w:sz w:val="18"/>
          <w:szCs w:val="18"/>
        </w:rPr>
        <w:t>ssume ED = 0% (from 1.4%) for simplicity.</w:t>
      </w:r>
    </w:p>
    <w:p w14:paraId="7A473EE6" w14:textId="36D3AE41" w:rsidR="00942C1A" w:rsidRDefault="00942C1A" w:rsidP="00120D61">
      <w:pPr>
        <w:keepNext/>
        <w:rPr>
          <w:rFonts w:ascii="Arial Narrow" w:hAnsi="Arial Narrow"/>
          <w:sz w:val="18"/>
          <w:szCs w:val="18"/>
        </w:rPr>
      </w:pPr>
      <w:r w:rsidRPr="00885AB3">
        <w:rPr>
          <w:rFonts w:ascii="Arial Narrow" w:hAnsi="Arial Narrow"/>
          <w:sz w:val="18"/>
          <w:szCs w:val="18"/>
          <w:vertAlign w:val="superscript"/>
        </w:rPr>
        <w:t>b</w:t>
      </w:r>
      <w:r w:rsidRPr="00885AB3">
        <w:rPr>
          <w:rFonts w:ascii="Arial Narrow" w:hAnsi="Arial Narrow"/>
          <w:sz w:val="18"/>
          <w:szCs w:val="18"/>
        </w:rPr>
        <w:t xml:space="preserve"> </w:t>
      </w:r>
      <w:r w:rsidR="0052350E" w:rsidRPr="00885AB3">
        <w:rPr>
          <w:rFonts w:ascii="Arial Narrow" w:hAnsi="Arial Narrow"/>
          <w:sz w:val="18"/>
          <w:szCs w:val="18"/>
        </w:rPr>
        <w:t>A</w:t>
      </w:r>
      <w:r w:rsidRPr="00885AB3">
        <w:rPr>
          <w:rFonts w:ascii="Arial Narrow" w:hAnsi="Arial Narrow"/>
          <w:sz w:val="18"/>
          <w:szCs w:val="18"/>
        </w:rPr>
        <w:t>ssumption based on a midpoint of 26%-33.3% in Table 2.1-2 p15, ATAGI Advice, September 2024.</w:t>
      </w:r>
    </w:p>
    <w:p w14:paraId="0A3EDEF9" w14:textId="40A7565B" w:rsidR="00CD1CD5" w:rsidRDefault="00CD1CD5" w:rsidP="00120D61">
      <w:pPr>
        <w:keepNext/>
        <w:rPr>
          <w:rFonts w:ascii="Arial Narrow" w:hAnsi="Arial Narrow"/>
          <w:i/>
          <w:iCs/>
          <w:sz w:val="18"/>
          <w:szCs w:val="18"/>
        </w:rPr>
      </w:pPr>
      <w:r>
        <w:rPr>
          <w:rFonts w:ascii="Arial Narrow" w:hAnsi="Arial Narrow"/>
          <w:i/>
          <w:iCs/>
          <w:sz w:val="18"/>
          <w:szCs w:val="18"/>
        </w:rPr>
        <w:t>The redacted values correspond to the following ranges:</w:t>
      </w:r>
    </w:p>
    <w:p w14:paraId="5AE8B1C9" w14:textId="3001F1C3" w:rsidR="0072598A" w:rsidRDefault="008E59EB" w:rsidP="00120D61">
      <w:pPr>
        <w:keepNext/>
        <w:rPr>
          <w:rFonts w:ascii="Arial Narrow" w:hAnsi="Arial Narrow"/>
          <w:i/>
          <w:iCs/>
          <w:sz w:val="18"/>
          <w:szCs w:val="18"/>
        </w:rPr>
      </w:pPr>
      <w:r>
        <w:rPr>
          <w:rFonts w:ascii="Arial Narrow" w:hAnsi="Arial Narrow"/>
          <w:i/>
          <w:iCs/>
          <w:sz w:val="18"/>
          <w:szCs w:val="18"/>
          <w:vertAlign w:val="superscript"/>
        </w:rPr>
        <w:t>1</w:t>
      </w:r>
      <w:r w:rsidR="00E2575B">
        <w:rPr>
          <w:rFonts w:ascii="Arial Narrow" w:hAnsi="Arial Narrow"/>
          <w:i/>
          <w:iCs/>
          <w:sz w:val="18"/>
          <w:szCs w:val="18"/>
          <w:vertAlign w:val="superscript"/>
        </w:rPr>
        <w:t xml:space="preserve"> </w:t>
      </w:r>
      <w:r w:rsidR="00E2575B" w:rsidRPr="00E2575B">
        <w:rPr>
          <w:rFonts w:ascii="Arial Narrow" w:hAnsi="Arial Narrow"/>
          <w:i/>
          <w:iCs/>
          <w:sz w:val="18"/>
          <w:szCs w:val="18"/>
        </w:rPr>
        <w:t>$25,000 to &lt; $35,000</w:t>
      </w:r>
    </w:p>
    <w:p w14:paraId="22EE5D2B" w14:textId="72036F23" w:rsidR="00E2575B" w:rsidRPr="00E2575B" w:rsidRDefault="00E2575B" w:rsidP="00120D61">
      <w:pPr>
        <w:keepNext/>
        <w:rPr>
          <w:rFonts w:ascii="Arial Narrow" w:hAnsi="Arial Narrow"/>
          <w:i/>
          <w:iCs/>
          <w:sz w:val="18"/>
          <w:szCs w:val="18"/>
        </w:rPr>
      </w:pPr>
      <w:r>
        <w:rPr>
          <w:rFonts w:ascii="Arial Narrow" w:hAnsi="Arial Narrow"/>
          <w:i/>
          <w:iCs/>
          <w:sz w:val="18"/>
          <w:szCs w:val="18"/>
          <w:vertAlign w:val="superscript"/>
        </w:rPr>
        <w:t xml:space="preserve">2 </w:t>
      </w:r>
      <w:r w:rsidRPr="00E2575B">
        <w:rPr>
          <w:rFonts w:ascii="Arial Narrow" w:hAnsi="Arial Narrow"/>
          <w:i/>
          <w:iCs/>
          <w:sz w:val="18"/>
          <w:szCs w:val="18"/>
        </w:rPr>
        <w:t>$35,000 to &lt; $45,000</w:t>
      </w:r>
    </w:p>
    <w:p w14:paraId="097BDF36" w14:textId="77777777" w:rsidR="009F3221" w:rsidRPr="00885AB3" w:rsidRDefault="009F3221" w:rsidP="00120D61">
      <w:pPr>
        <w:rPr>
          <w:rStyle w:val="CommentReference"/>
          <w:rFonts w:eastAsiaTheme="majorEastAsia" w:cstheme="majorBidi"/>
          <w:sz w:val="18"/>
          <w:szCs w:val="18"/>
        </w:rPr>
      </w:pPr>
    </w:p>
    <w:p w14:paraId="53A41ED9" w14:textId="2DE9EF42" w:rsidR="006A1AFC" w:rsidRPr="00885AB3" w:rsidRDefault="006A1AFC" w:rsidP="00120D61">
      <w:pPr>
        <w:pStyle w:val="3-BodyText"/>
        <w:rPr>
          <w:rFonts w:cs="Calibri"/>
          <w:iCs/>
        </w:rPr>
      </w:pPr>
      <w:r w:rsidRPr="00885AB3">
        <w:rPr>
          <w:rFonts w:cs="Calibri"/>
        </w:rPr>
        <w:t>The submission used age-specific RSV mortality for in-hospital deaths from Hamilton et al. 2022, which</w:t>
      </w:r>
      <w:r w:rsidRPr="00885AB3" w:rsidDel="00435DD4">
        <w:rPr>
          <w:rFonts w:cs="Calibri"/>
        </w:rPr>
        <w:t xml:space="preserve"> </w:t>
      </w:r>
      <w:r w:rsidRPr="00885AB3">
        <w:rPr>
          <w:rFonts w:cs="Calibri"/>
        </w:rPr>
        <w:t xml:space="preserve">retrospectively analysed 30-day mortality following hospitalisation with RSV in Ontario, Canada. The submission stated that the study was considered the most applicable to the Australian population that reported age-specific RSV-mortality in the adult population. </w:t>
      </w:r>
      <w:r w:rsidRPr="00885AB3">
        <w:rPr>
          <w:rFonts w:cs="Calibri"/>
          <w:iCs/>
        </w:rPr>
        <w:t xml:space="preserve">The study is likely to overestimate RSV-related mortality, as it appears to examine all-cause mortality rather than RSV-specific outcomes and focuses on individuals at high risk with multiple comorbidities. The </w:t>
      </w:r>
      <w:r w:rsidR="0001559F" w:rsidRPr="00885AB3">
        <w:rPr>
          <w:rFonts w:cs="Calibri"/>
          <w:iCs/>
        </w:rPr>
        <w:t xml:space="preserve">ESC noted that the </w:t>
      </w:r>
      <w:r w:rsidRPr="00885AB3">
        <w:rPr>
          <w:rFonts w:cs="Calibri"/>
          <w:iCs/>
        </w:rPr>
        <w:t>mortality rates</w:t>
      </w:r>
      <w:r w:rsidR="00840381" w:rsidRPr="00885AB3">
        <w:rPr>
          <w:rFonts w:cs="Calibri"/>
          <w:iCs/>
        </w:rPr>
        <w:t xml:space="preserve"> ranging from </w:t>
      </w:r>
      <w:r w:rsidR="007518C1" w:rsidRPr="00885AB3">
        <w:rPr>
          <w:rFonts w:cs="Calibri"/>
          <w:iCs/>
        </w:rPr>
        <w:t>10.3</w:t>
      </w:r>
      <w:r w:rsidR="005B2DD0" w:rsidRPr="00885AB3">
        <w:rPr>
          <w:rFonts w:cs="Calibri"/>
          <w:iCs/>
        </w:rPr>
        <w:t xml:space="preserve">% to 14.9% for the </w:t>
      </w:r>
      <w:r w:rsidR="00EF2FA4">
        <w:rPr>
          <w:rFonts w:cs="Calibri"/>
          <w:iCs/>
        </w:rPr>
        <w:t xml:space="preserve">≥ </w:t>
      </w:r>
      <w:r w:rsidR="005B2DD0" w:rsidRPr="00885AB3">
        <w:rPr>
          <w:rFonts w:cs="Calibri"/>
          <w:iCs/>
        </w:rPr>
        <w:t xml:space="preserve">75 YOA </w:t>
      </w:r>
      <w:r w:rsidR="00A8595D" w:rsidRPr="00885AB3">
        <w:rPr>
          <w:rFonts w:cs="Calibri"/>
          <w:iCs/>
        </w:rPr>
        <w:t>population</w:t>
      </w:r>
      <w:r w:rsidRPr="00885AB3">
        <w:rPr>
          <w:rFonts w:cs="Calibri"/>
          <w:iCs/>
        </w:rPr>
        <w:t xml:space="preserve"> (see</w:t>
      </w:r>
      <w:r w:rsidR="00982249" w:rsidRPr="00885AB3">
        <w:rPr>
          <w:rFonts w:cs="Calibri"/>
          <w:iCs/>
        </w:rPr>
        <w:t xml:space="preserve"> </w:t>
      </w:r>
      <w:r w:rsidR="00982249" w:rsidRPr="00885AB3">
        <w:rPr>
          <w:rFonts w:cs="Calibri"/>
          <w:iCs/>
        </w:rPr>
        <w:fldChar w:fldCharType="begin" w:fldLock="1"/>
      </w:r>
      <w:r w:rsidR="00982249" w:rsidRPr="00885AB3">
        <w:rPr>
          <w:rFonts w:cs="Calibri"/>
          <w:iCs/>
        </w:rPr>
        <w:instrText xml:space="preserve"> REF _Ref207658565 \h </w:instrText>
      </w:r>
      <w:r w:rsidR="0052350E" w:rsidRPr="00885AB3">
        <w:rPr>
          <w:rFonts w:cs="Calibri"/>
          <w:iCs/>
        </w:rPr>
        <w:instrText xml:space="preserve"> \* MERGEFORMAT </w:instrText>
      </w:r>
      <w:r w:rsidR="00982249" w:rsidRPr="00885AB3">
        <w:rPr>
          <w:rFonts w:cs="Calibri"/>
          <w:iCs/>
        </w:rPr>
      </w:r>
      <w:r w:rsidR="00982249" w:rsidRPr="00885AB3">
        <w:rPr>
          <w:rFonts w:cs="Calibri"/>
          <w:iCs/>
        </w:rPr>
        <w:fldChar w:fldCharType="separate"/>
      </w:r>
      <w:r w:rsidR="00515933" w:rsidRPr="00885AB3">
        <w:rPr>
          <w:iCs/>
        </w:rPr>
        <w:t>Table 17</w:t>
      </w:r>
      <w:r w:rsidR="00982249" w:rsidRPr="00885AB3">
        <w:rPr>
          <w:rFonts w:cs="Calibri"/>
          <w:iCs/>
        </w:rPr>
        <w:fldChar w:fldCharType="end"/>
      </w:r>
      <w:r w:rsidRPr="00885AB3">
        <w:rPr>
          <w:rFonts w:cs="Calibri"/>
          <w:iCs/>
        </w:rPr>
        <w:t>) are high</w:t>
      </w:r>
      <w:r w:rsidR="00BC1C14" w:rsidRPr="00885AB3">
        <w:rPr>
          <w:rFonts w:cs="Calibri"/>
          <w:iCs/>
        </w:rPr>
        <w:t>er</w:t>
      </w:r>
      <w:r w:rsidRPr="00885AB3">
        <w:rPr>
          <w:rFonts w:cs="Calibri"/>
          <w:iCs/>
        </w:rPr>
        <w:t xml:space="preserve"> </w:t>
      </w:r>
      <w:r w:rsidR="00BC1C14" w:rsidRPr="00885AB3">
        <w:rPr>
          <w:rFonts w:cs="Calibri"/>
          <w:iCs/>
        </w:rPr>
        <w:t>than</w:t>
      </w:r>
      <w:r w:rsidRPr="00885AB3">
        <w:rPr>
          <w:rFonts w:cs="Calibri"/>
          <w:iCs/>
        </w:rPr>
        <w:t xml:space="preserve"> the 4.22% previously accepted by the PBAC for both </w:t>
      </w:r>
      <w:r w:rsidR="00EF2FA4">
        <w:rPr>
          <w:rFonts w:cs="Calibri"/>
          <w:iCs/>
        </w:rPr>
        <w:t xml:space="preserve">≥ </w:t>
      </w:r>
      <w:r w:rsidRPr="00885AB3">
        <w:rPr>
          <w:rFonts w:cs="Calibri"/>
          <w:iCs/>
        </w:rPr>
        <w:t xml:space="preserve">75 YOA and Aboriginal and Torres Strait Islander people 60–74 YOA populations (paragraph 7.16, </w:t>
      </w:r>
      <w:proofErr w:type="spellStart"/>
      <w:r w:rsidRPr="00885AB3">
        <w:rPr>
          <w:rFonts w:cs="Calibri"/>
          <w:iCs/>
        </w:rPr>
        <w:t>RSVPreF</w:t>
      </w:r>
      <w:proofErr w:type="spellEnd"/>
      <w:r w:rsidRPr="00885AB3">
        <w:rPr>
          <w:rFonts w:cs="Calibri"/>
          <w:iCs/>
        </w:rPr>
        <w:t xml:space="preserve"> PSD, November 2024).</w:t>
      </w:r>
      <w:r w:rsidR="00610B1B" w:rsidRPr="00885AB3">
        <w:rPr>
          <w:rFonts w:cs="Calibri"/>
          <w:iCs/>
        </w:rPr>
        <w:t xml:space="preserve"> The PSCR disagreed with the use of 4.22% for all age groups, </w:t>
      </w:r>
      <w:r w:rsidR="007A232A" w:rsidRPr="00885AB3">
        <w:rPr>
          <w:rFonts w:cs="Calibri"/>
          <w:iCs/>
        </w:rPr>
        <w:t xml:space="preserve">stating </w:t>
      </w:r>
      <w:r w:rsidR="00610B1B" w:rsidRPr="00885AB3">
        <w:rPr>
          <w:rFonts w:cs="Calibri"/>
          <w:iCs/>
        </w:rPr>
        <w:t xml:space="preserve">it is insufficient to capture age-related differences in mortality risk in RSV infection. </w:t>
      </w:r>
      <w:r w:rsidR="0061351E" w:rsidRPr="00885AB3">
        <w:rPr>
          <w:rFonts w:cs="Calibri"/>
          <w:iCs/>
        </w:rPr>
        <w:t>However, t</w:t>
      </w:r>
      <w:r w:rsidR="00610B1B" w:rsidRPr="00885AB3">
        <w:rPr>
          <w:rFonts w:cs="Calibri"/>
          <w:iCs/>
        </w:rPr>
        <w:t>he PSCR did not address the concerns that Hamilton (2022) might overestimate RSV-related mortality given they report all-cause mortality, not RSV-attributable mortality, and they include high-risk populations with multiple comorbidities, which may not reflect the general population.</w:t>
      </w:r>
    </w:p>
    <w:p w14:paraId="5A4049FD" w14:textId="692BFDC6" w:rsidR="006A1AFC" w:rsidRPr="00885AB3" w:rsidRDefault="006A1AFC" w:rsidP="00120D61">
      <w:pPr>
        <w:pStyle w:val="3-BodyText"/>
        <w:rPr>
          <w:rFonts w:cs="Calibri"/>
          <w:iCs/>
        </w:rPr>
      </w:pPr>
      <w:bookmarkStart w:id="130" w:name="_Ref211808301"/>
      <w:r w:rsidRPr="00885AB3">
        <w:rPr>
          <w:rFonts w:cs="Calibri"/>
          <w:iCs/>
        </w:rPr>
        <w:t xml:space="preserve">The submission </w:t>
      </w:r>
      <w:r w:rsidR="00EE55BA" w:rsidRPr="00885AB3">
        <w:rPr>
          <w:rFonts w:cs="Calibri"/>
          <w:iCs/>
        </w:rPr>
        <w:t xml:space="preserve">model </w:t>
      </w:r>
      <w:r w:rsidRPr="00885AB3">
        <w:rPr>
          <w:rFonts w:cs="Calibri"/>
          <w:iCs/>
        </w:rPr>
        <w:t xml:space="preserve">relied on efficacy data from all participants </w:t>
      </w:r>
      <w:r w:rsidR="00EF2FA4">
        <w:rPr>
          <w:rFonts w:cs="Calibri"/>
          <w:iCs/>
        </w:rPr>
        <w:t xml:space="preserve">≥ </w:t>
      </w:r>
      <w:r w:rsidRPr="00885AB3">
        <w:rPr>
          <w:rFonts w:cs="Calibri"/>
          <w:iCs/>
        </w:rPr>
        <w:t xml:space="preserve">60 YOA in </w:t>
      </w:r>
      <w:proofErr w:type="spellStart"/>
      <w:r w:rsidRPr="00885AB3">
        <w:rPr>
          <w:rFonts w:cs="Calibri"/>
          <w:iCs/>
        </w:rPr>
        <w:t>ConquerRSV</w:t>
      </w:r>
      <w:proofErr w:type="spellEnd"/>
      <w:r w:rsidRPr="00885AB3">
        <w:rPr>
          <w:rFonts w:cs="Calibri"/>
          <w:iCs/>
        </w:rPr>
        <w:t xml:space="preserve">, which differs from the proposed target population of </w:t>
      </w:r>
      <w:r w:rsidR="00EF2FA4">
        <w:rPr>
          <w:rFonts w:cs="Calibri"/>
          <w:iCs/>
        </w:rPr>
        <w:t xml:space="preserve">≥ </w:t>
      </w:r>
      <w:r w:rsidRPr="00885AB3">
        <w:rPr>
          <w:rFonts w:cs="Calibri"/>
          <w:iCs/>
        </w:rPr>
        <w:t xml:space="preserve">75 YOA. While VE was lower in the </w:t>
      </w:r>
      <w:r w:rsidR="00EF2FA4">
        <w:rPr>
          <w:rFonts w:cs="Calibri"/>
          <w:iCs/>
        </w:rPr>
        <w:t xml:space="preserve">≥ </w:t>
      </w:r>
      <w:r w:rsidRPr="00885AB3">
        <w:rPr>
          <w:rFonts w:cs="Calibri"/>
          <w:iCs/>
        </w:rPr>
        <w:t xml:space="preserve">75 YOA population than the </w:t>
      </w:r>
      <w:r w:rsidR="00EF2FA4">
        <w:rPr>
          <w:rFonts w:cs="Calibri"/>
          <w:iCs/>
        </w:rPr>
        <w:t xml:space="preserve">≥ </w:t>
      </w:r>
      <w:r w:rsidRPr="00885AB3">
        <w:rPr>
          <w:rFonts w:cs="Calibri"/>
          <w:iCs/>
        </w:rPr>
        <w:t xml:space="preserve">60 YOA population, the use of </w:t>
      </w:r>
      <w:r w:rsidR="00EF2FA4">
        <w:rPr>
          <w:rFonts w:cs="Calibri"/>
          <w:iCs/>
        </w:rPr>
        <w:t xml:space="preserve">≥ </w:t>
      </w:r>
      <w:r w:rsidRPr="00885AB3">
        <w:rPr>
          <w:rFonts w:cs="Calibri"/>
          <w:iCs/>
        </w:rPr>
        <w:t xml:space="preserve">60 YOA VE data for the </w:t>
      </w:r>
      <w:r w:rsidR="00EF2FA4">
        <w:rPr>
          <w:rFonts w:cs="Calibri"/>
          <w:iCs/>
        </w:rPr>
        <w:t xml:space="preserve">≥ </w:t>
      </w:r>
      <w:r w:rsidRPr="00885AB3">
        <w:rPr>
          <w:rFonts w:cs="Calibri"/>
          <w:iCs/>
        </w:rPr>
        <w:t xml:space="preserve">75 YOA population might be acceptable for modelling </w:t>
      </w:r>
      <w:r w:rsidRPr="00885AB3">
        <w:rPr>
          <w:rFonts w:cs="Calibri"/>
          <w:iCs/>
        </w:rPr>
        <w:lastRenderedPageBreak/>
        <w:t xml:space="preserve">purposes, noting that the limitations of the evidence </w:t>
      </w:r>
      <w:r w:rsidRPr="00885AB3">
        <w:rPr>
          <w:rFonts w:eastAsia="Calibri" w:cs="Calibri"/>
          <w:iCs/>
          <w:lang w:eastAsia="en-US"/>
        </w:rPr>
        <w:t>(paragraph</w:t>
      </w:r>
      <w:r w:rsidR="00DE1AEE" w:rsidRPr="00885AB3">
        <w:rPr>
          <w:rFonts w:eastAsia="Calibri" w:cs="Calibri"/>
          <w:iCs/>
          <w:lang w:eastAsia="en-US"/>
        </w:rPr>
        <w:t xml:space="preserve"> </w:t>
      </w:r>
      <w:r w:rsidR="00DE1AEE" w:rsidRPr="00885AB3">
        <w:rPr>
          <w:rFonts w:eastAsia="Calibri" w:cs="Calibri"/>
          <w:iCs/>
          <w:lang w:eastAsia="en-US"/>
        </w:rPr>
        <w:fldChar w:fldCharType="begin" w:fldLock="1"/>
      </w:r>
      <w:r w:rsidR="00DE1AEE" w:rsidRPr="00885AB3">
        <w:rPr>
          <w:rFonts w:eastAsia="Calibri" w:cs="Calibri"/>
          <w:iCs/>
          <w:lang w:eastAsia="en-US"/>
        </w:rPr>
        <w:instrText xml:space="preserve"> REF _Ref211333924 \r \h  \* MERGEFORMAT </w:instrText>
      </w:r>
      <w:r w:rsidR="00DE1AEE" w:rsidRPr="00885AB3">
        <w:rPr>
          <w:rFonts w:eastAsia="Calibri" w:cs="Calibri"/>
          <w:iCs/>
          <w:lang w:eastAsia="en-US"/>
        </w:rPr>
      </w:r>
      <w:r w:rsidR="00DE1AEE" w:rsidRPr="00885AB3">
        <w:rPr>
          <w:rFonts w:eastAsia="Calibri" w:cs="Calibri"/>
          <w:iCs/>
          <w:lang w:eastAsia="en-US"/>
        </w:rPr>
        <w:fldChar w:fldCharType="separate"/>
      </w:r>
      <w:r w:rsidR="00515933" w:rsidRPr="00885AB3">
        <w:rPr>
          <w:rFonts w:eastAsia="Calibri" w:cs="Calibri"/>
          <w:iCs/>
          <w:lang w:eastAsia="en-US"/>
        </w:rPr>
        <w:t>6.32</w:t>
      </w:r>
      <w:r w:rsidR="00DE1AEE" w:rsidRPr="00885AB3">
        <w:rPr>
          <w:rFonts w:eastAsia="Calibri" w:cs="Calibri"/>
          <w:iCs/>
          <w:lang w:eastAsia="en-US"/>
        </w:rPr>
        <w:fldChar w:fldCharType="end"/>
      </w:r>
      <w:r w:rsidR="00DE1AEE" w:rsidRPr="00885AB3">
        <w:rPr>
          <w:rFonts w:eastAsia="Calibri" w:cs="Calibri"/>
          <w:iCs/>
          <w:lang w:eastAsia="en-US"/>
        </w:rPr>
        <w:t xml:space="preserve">) </w:t>
      </w:r>
      <w:r w:rsidRPr="00885AB3">
        <w:rPr>
          <w:rFonts w:cs="Calibri"/>
          <w:iCs/>
        </w:rPr>
        <w:t xml:space="preserve">and that the PBAC has accepted economic models applying </w:t>
      </w:r>
      <w:r w:rsidR="00EF2FA4">
        <w:rPr>
          <w:rFonts w:cs="Calibri"/>
          <w:iCs/>
        </w:rPr>
        <w:t xml:space="preserve">≥ </w:t>
      </w:r>
      <w:r w:rsidRPr="00885AB3">
        <w:rPr>
          <w:rFonts w:cs="Calibri"/>
          <w:iCs/>
        </w:rPr>
        <w:t xml:space="preserve">60 YOA VE data for those </w:t>
      </w:r>
      <w:r w:rsidR="00EF2FA4">
        <w:rPr>
          <w:rFonts w:cs="Calibri"/>
          <w:iCs/>
        </w:rPr>
        <w:t xml:space="preserve">≥ </w:t>
      </w:r>
      <w:r w:rsidRPr="00885AB3">
        <w:rPr>
          <w:rFonts w:cs="Calibri"/>
          <w:iCs/>
        </w:rPr>
        <w:t xml:space="preserve">75 YOA populations in previous considerations of RSV vaccines (paragraph 7.14, RSVPreF3 OA PSD, July 2024; paragraph 6.45, </w:t>
      </w:r>
      <w:proofErr w:type="spellStart"/>
      <w:r w:rsidRPr="00885AB3">
        <w:rPr>
          <w:rFonts w:cs="Calibri"/>
          <w:iCs/>
        </w:rPr>
        <w:t>RSVPreF</w:t>
      </w:r>
      <w:proofErr w:type="spellEnd"/>
      <w:r w:rsidRPr="00885AB3">
        <w:rPr>
          <w:rFonts w:cs="Calibri"/>
          <w:iCs/>
        </w:rPr>
        <w:t xml:space="preserve"> PSD, November 2024).</w:t>
      </w:r>
      <w:r w:rsidR="001C78D7">
        <w:rPr>
          <w:rFonts w:cs="Calibri"/>
          <w:iCs/>
        </w:rPr>
        <w:t xml:space="preserve"> </w:t>
      </w:r>
      <w:r w:rsidRPr="00885AB3">
        <w:rPr>
          <w:rFonts w:cs="Calibri"/>
          <w:iCs/>
        </w:rPr>
        <w:t xml:space="preserve">Similarly, while the PBAC noted that a lower VE may be observed in Aboriginal and Torres Strait Islander people due to higher rates of medical risk factors and comorbidities, it accepted the use of VE estimates from the intention to treat population of </w:t>
      </w:r>
      <w:proofErr w:type="spellStart"/>
      <w:r w:rsidRPr="00885AB3">
        <w:rPr>
          <w:rFonts w:cs="Calibri"/>
          <w:iCs/>
        </w:rPr>
        <w:t>RSVPreF's</w:t>
      </w:r>
      <w:proofErr w:type="spellEnd"/>
      <w:r w:rsidRPr="00885AB3">
        <w:rPr>
          <w:rFonts w:cs="Calibri"/>
          <w:iCs/>
        </w:rPr>
        <w:t xml:space="preserve"> pivotal trial for this group in the </w:t>
      </w:r>
      <w:proofErr w:type="spellStart"/>
      <w:r w:rsidRPr="00885AB3">
        <w:rPr>
          <w:rFonts w:cs="Calibri"/>
          <w:iCs/>
        </w:rPr>
        <w:t>RSVPreF</w:t>
      </w:r>
      <w:proofErr w:type="spellEnd"/>
      <w:r w:rsidRPr="00885AB3">
        <w:rPr>
          <w:rFonts w:cs="Calibri"/>
          <w:iCs/>
        </w:rPr>
        <w:t xml:space="preserve"> submission (paragraph 6.45, </w:t>
      </w:r>
      <w:proofErr w:type="spellStart"/>
      <w:r w:rsidRPr="00885AB3">
        <w:rPr>
          <w:rFonts w:cs="Calibri"/>
          <w:iCs/>
        </w:rPr>
        <w:t>RSVPreF</w:t>
      </w:r>
      <w:proofErr w:type="spellEnd"/>
      <w:r w:rsidRPr="00885AB3">
        <w:rPr>
          <w:rFonts w:cs="Calibri"/>
          <w:iCs/>
        </w:rPr>
        <w:t xml:space="preserve"> PSD, November 2024).</w:t>
      </w:r>
      <w:bookmarkEnd w:id="130"/>
    </w:p>
    <w:p w14:paraId="6F6362F9" w14:textId="48A2203D" w:rsidR="006A1AFC" w:rsidRPr="00885AB3" w:rsidRDefault="006A1AFC" w:rsidP="00120D61">
      <w:pPr>
        <w:pStyle w:val="3-BodyText"/>
        <w:rPr>
          <w:rFonts w:cs="Calibri"/>
          <w:iCs/>
        </w:rPr>
      </w:pPr>
      <w:r w:rsidRPr="00885AB3">
        <w:rPr>
          <w:rFonts w:cs="Calibri"/>
          <w:iCs/>
        </w:rPr>
        <w:t xml:space="preserve">The estimates of VE used in the economic model are based on the waning and extrapolation model presented to ATAGI (ATAGI Advice, June 2025). The submission further incorporated seasonality and converted the estimates to annual average VE to align with the 1-year cycle length. A summary of extrapolated annual VE used in the economic model is presented in </w:t>
      </w:r>
      <w:r w:rsidRPr="00885AB3">
        <w:rPr>
          <w:rFonts w:cs="Calibri"/>
          <w:iCs/>
        </w:rPr>
        <w:fldChar w:fldCharType="begin" w:fldLock="1"/>
      </w:r>
      <w:r w:rsidRPr="00885AB3">
        <w:rPr>
          <w:rFonts w:cs="Calibri"/>
          <w:iCs/>
        </w:rPr>
        <w:instrText xml:space="preserve"> REF _Ref206475748 \h  \* MERGEFORMAT </w:instrText>
      </w:r>
      <w:r w:rsidRPr="00885AB3">
        <w:rPr>
          <w:rFonts w:cs="Calibri"/>
          <w:iCs/>
        </w:rPr>
      </w:r>
      <w:r w:rsidRPr="00885AB3">
        <w:rPr>
          <w:rFonts w:cs="Calibri"/>
          <w:iCs/>
        </w:rPr>
        <w:fldChar w:fldCharType="separate"/>
      </w:r>
      <w:r w:rsidR="00515933" w:rsidRPr="00885AB3">
        <w:rPr>
          <w:rFonts w:cs="Calibri"/>
          <w:iCs/>
        </w:rPr>
        <w:t>Table 19</w:t>
      </w:r>
      <w:r w:rsidRPr="00885AB3">
        <w:rPr>
          <w:rFonts w:cs="Calibri"/>
          <w:iCs/>
        </w:rPr>
        <w:fldChar w:fldCharType="end"/>
      </w:r>
      <w:r w:rsidRPr="00885AB3">
        <w:rPr>
          <w:rFonts w:cs="Calibri"/>
          <w:iCs/>
        </w:rPr>
        <w:t>.</w:t>
      </w:r>
    </w:p>
    <w:p w14:paraId="52D8D228" w14:textId="7BA483D2" w:rsidR="006A1AFC" w:rsidRPr="00885AB3" w:rsidRDefault="006A1AFC" w:rsidP="00120D61">
      <w:pPr>
        <w:pStyle w:val="Caption"/>
      </w:pPr>
      <w:bookmarkStart w:id="131" w:name="_Ref206475748"/>
      <w:r w:rsidRPr="00885AB3">
        <w:t xml:space="preserve">Table </w:t>
      </w:r>
      <w:r w:rsidR="008A242D" w:rsidRPr="00885AB3">
        <w:fldChar w:fldCharType="begin" w:fldLock="1"/>
      </w:r>
      <w:r w:rsidR="008A242D" w:rsidRPr="00885AB3">
        <w:instrText xml:space="preserve"> SEQ Table \* ARABIC </w:instrText>
      </w:r>
      <w:r w:rsidR="008A242D" w:rsidRPr="00885AB3">
        <w:fldChar w:fldCharType="separate"/>
      </w:r>
      <w:r w:rsidR="00515933" w:rsidRPr="00885AB3">
        <w:t>19</w:t>
      </w:r>
      <w:r w:rsidR="008A242D" w:rsidRPr="00885AB3">
        <w:fldChar w:fldCharType="end"/>
      </w:r>
      <w:bookmarkEnd w:id="131"/>
      <w:r w:rsidRPr="00885AB3">
        <w:t>:</w:t>
      </w:r>
      <w:r w:rsidRPr="00885AB3">
        <w:rPr>
          <w:i/>
          <w:iCs/>
        </w:rPr>
        <w:t xml:space="preserve"> </w:t>
      </w:r>
      <w:r w:rsidRPr="00885AB3">
        <w:t xml:space="preserve">Extrapolated VE used in the economic model </w:t>
      </w:r>
    </w:p>
    <w:tbl>
      <w:tblPr>
        <w:tblStyle w:val="TableGrid"/>
        <w:tblW w:w="5000" w:type="pct"/>
        <w:tblLook w:val="04A0" w:firstRow="1" w:lastRow="0" w:firstColumn="1" w:lastColumn="0" w:noHBand="0" w:noVBand="1"/>
        <w:tblCaption w:val="Table 19: Extrapolated VE used in the economic model "/>
      </w:tblPr>
      <w:tblGrid>
        <w:gridCol w:w="3288"/>
        <w:gridCol w:w="1237"/>
        <w:gridCol w:w="1565"/>
        <w:gridCol w:w="992"/>
        <w:gridCol w:w="857"/>
        <w:gridCol w:w="1078"/>
      </w:tblGrid>
      <w:tr w:rsidR="006A1AFC" w:rsidRPr="00885AB3" w14:paraId="0A8E669A" w14:textId="77777777">
        <w:tc>
          <w:tcPr>
            <w:tcW w:w="1823" w:type="pct"/>
            <w:vMerge w:val="restart"/>
            <w:tcMar>
              <w:left w:w="57" w:type="dxa"/>
              <w:right w:w="57" w:type="dxa"/>
            </w:tcMar>
            <w:vAlign w:val="center"/>
          </w:tcPr>
          <w:p w14:paraId="6303315B" w14:textId="77777777" w:rsidR="006A1AFC" w:rsidRPr="00885AB3" w:rsidRDefault="006A1AFC" w:rsidP="00120D61">
            <w:pPr>
              <w:pStyle w:val="TableHeader"/>
              <w:keepNext/>
              <w:rPr>
                <w:rFonts w:ascii="Arial Narrow" w:hAnsi="Arial Narrow"/>
                <w:szCs w:val="20"/>
              </w:rPr>
            </w:pPr>
            <w:r w:rsidRPr="00885AB3">
              <w:rPr>
                <w:rFonts w:ascii="Arial Narrow" w:hAnsi="Arial Narrow"/>
                <w:szCs w:val="20"/>
              </w:rPr>
              <w:t>Averaged annual VE</w:t>
            </w:r>
          </w:p>
        </w:tc>
        <w:tc>
          <w:tcPr>
            <w:tcW w:w="3177" w:type="pct"/>
            <w:gridSpan w:val="5"/>
            <w:tcMar>
              <w:left w:w="57" w:type="dxa"/>
              <w:right w:w="57" w:type="dxa"/>
            </w:tcMar>
            <w:vAlign w:val="center"/>
          </w:tcPr>
          <w:p w14:paraId="0C894E52" w14:textId="77777777" w:rsidR="006A1AFC" w:rsidRPr="00885AB3" w:rsidRDefault="006A1AFC" w:rsidP="00120D61">
            <w:pPr>
              <w:pStyle w:val="TableHeader"/>
              <w:keepNext/>
              <w:jc w:val="center"/>
              <w:rPr>
                <w:rFonts w:ascii="Arial Narrow" w:hAnsi="Arial Narrow"/>
                <w:szCs w:val="20"/>
              </w:rPr>
            </w:pPr>
            <w:r w:rsidRPr="00885AB3">
              <w:rPr>
                <w:rFonts w:ascii="Arial Narrow" w:hAnsi="Arial Narrow"/>
                <w:szCs w:val="20"/>
              </w:rPr>
              <w:t>mRNA-1345</w:t>
            </w:r>
          </w:p>
        </w:tc>
      </w:tr>
      <w:tr w:rsidR="006A1AFC" w:rsidRPr="00885AB3" w14:paraId="4F1B4438" w14:textId="77777777">
        <w:tc>
          <w:tcPr>
            <w:tcW w:w="1823" w:type="pct"/>
            <w:vMerge/>
            <w:tcMar>
              <w:left w:w="57" w:type="dxa"/>
              <w:right w:w="57" w:type="dxa"/>
            </w:tcMar>
            <w:vAlign w:val="center"/>
          </w:tcPr>
          <w:p w14:paraId="1402C803" w14:textId="77777777" w:rsidR="006A1AFC" w:rsidRPr="00885AB3" w:rsidRDefault="006A1AFC" w:rsidP="00120D61">
            <w:pPr>
              <w:pStyle w:val="TableHeader"/>
              <w:keepNext/>
              <w:rPr>
                <w:rFonts w:ascii="Arial Narrow" w:hAnsi="Arial Narrow"/>
                <w:szCs w:val="20"/>
              </w:rPr>
            </w:pPr>
          </w:p>
        </w:tc>
        <w:tc>
          <w:tcPr>
            <w:tcW w:w="686" w:type="pct"/>
            <w:tcMar>
              <w:left w:w="57" w:type="dxa"/>
              <w:right w:w="57" w:type="dxa"/>
            </w:tcMar>
            <w:vAlign w:val="center"/>
          </w:tcPr>
          <w:p w14:paraId="49BFD90E" w14:textId="77777777" w:rsidR="006A1AFC" w:rsidRPr="00885AB3" w:rsidRDefault="006A1AFC" w:rsidP="00120D61">
            <w:pPr>
              <w:pStyle w:val="TableHeader"/>
              <w:keepNext/>
              <w:jc w:val="center"/>
              <w:rPr>
                <w:rFonts w:ascii="Arial Narrow" w:hAnsi="Arial Narrow"/>
                <w:szCs w:val="20"/>
              </w:rPr>
            </w:pPr>
            <w:r w:rsidRPr="00885AB3">
              <w:rPr>
                <w:rFonts w:ascii="Arial Narrow" w:hAnsi="Arial Narrow"/>
                <w:szCs w:val="20"/>
              </w:rPr>
              <w:t>Year 1</w:t>
            </w:r>
          </w:p>
        </w:tc>
        <w:tc>
          <w:tcPr>
            <w:tcW w:w="868" w:type="pct"/>
            <w:tcMar>
              <w:left w:w="57" w:type="dxa"/>
              <w:right w:w="57" w:type="dxa"/>
            </w:tcMar>
            <w:vAlign w:val="center"/>
          </w:tcPr>
          <w:p w14:paraId="5FF6D03E" w14:textId="77777777" w:rsidR="006A1AFC" w:rsidRPr="00885AB3" w:rsidRDefault="006A1AFC" w:rsidP="00120D61">
            <w:pPr>
              <w:pStyle w:val="TableHeader"/>
              <w:keepNext/>
              <w:jc w:val="center"/>
              <w:rPr>
                <w:rFonts w:ascii="Arial Narrow" w:hAnsi="Arial Narrow"/>
                <w:szCs w:val="20"/>
              </w:rPr>
            </w:pPr>
            <w:r w:rsidRPr="00885AB3">
              <w:rPr>
                <w:rFonts w:ascii="Arial Narrow" w:hAnsi="Arial Narrow"/>
                <w:szCs w:val="20"/>
              </w:rPr>
              <w:t>Year 2</w:t>
            </w:r>
          </w:p>
        </w:tc>
        <w:tc>
          <w:tcPr>
            <w:tcW w:w="550" w:type="pct"/>
            <w:tcMar>
              <w:left w:w="57" w:type="dxa"/>
              <w:right w:w="57" w:type="dxa"/>
            </w:tcMar>
            <w:vAlign w:val="center"/>
          </w:tcPr>
          <w:p w14:paraId="1A9FB26B" w14:textId="77777777" w:rsidR="006A1AFC" w:rsidRPr="00885AB3" w:rsidRDefault="006A1AFC" w:rsidP="00120D61">
            <w:pPr>
              <w:pStyle w:val="TableHeader"/>
              <w:keepNext/>
              <w:jc w:val="center"/>
              <w:rPr>
                <w:rFonts w:ascii="Arial Narrow" w:hAnsi="Arial Narrow"/>
                <w:szCs w:val="20"/>
              </w:rPr>
            </w:pPr>
            <w:r w:rsidRPr="00885AB3">
              <w:rPr>
                <w:rFonts w:ascii="Arial Narrow" w:hAnsi="Arial Narrow"/>
                <w:szCs w:val="20"/>
              </w:rPr>
              <w:t>Year 3</w:t>
            </w:r>
          </w:p>
        </w:tc>
        <w:tc>
          <w:tcPr>
            <w:tcW w:w="475" w:type="pct"/>
            <w:tcMar>
              <w:left w:w="57" w:type="dxa"/>
              <w:right w:w="57" w:type="dxa"/>
            </w:tcMar>
            <w:vAlign w:val="center"/>
          </w:tcPr>
          <w:p w14:paraId="7B8C68D1" w14:textId="77777777" w:rsidR="006A1AFC" w:rsidRPr="00885AB3" w:rsidRDefault="006A1AFC" w:rsidP="00120D61">
            <w:pPr>
              <w:pStyle w:val="TableHeader"/>
              <w:keepNext/>
              <w:jc w:val="center"/>
              <w:rPr>
                <w:rFonts w:ascii="Arial Narrow" w:hAnsi="Arial Narrow"/>
                <w:szCs w:val="20"/>
              </w:rPr>
            </w:pPr>
            <w:r w:rsidRPr="00885AB3">
              <w:rPr>
                <w:rFonts w:ascii="Arial Narrow" w:hAnsi="Arial Narrow"/>
                <w:szCs w:val="20"/>
              </w:rPr>
              <w:t>Year 4</w:t>
            </w:r>
          </w:p>
        </w:tc>
        <w:tc>
          <w:tcPr>
            <w:tcW w:w="597" w:type="pct"/>
            <w:tcMar>
              <w:left w:w="57" w:type="dxa"/>
              <w:right w:w="57" w:type="dxa"/>
            </w:tcMar>
            <w:vAlign w:val="center"/>
          </w:tcPr>
          <w:p w14:paraId="549E11BC" w14:textId="77777777" w:rsidR="006A1AFC" w:rsidRPr="00885AB3" w:rsidRDefault="006A1AFC" w:rsidP="00120D61">
            <w:pPr>
              <w:pStyle w:val="TableHeader"/>
              <w:keepNext/>
              <w:jc w:val="center"/>
              <w:rPr>
                <w:rFonts w:ascii="Arial Narrow" w:hAnsi="Arial Narrow"/>
                <w:szCs w:val="20"/>
              </w:rPr>
            </w:pPr>
            <w:r w:rsidRPr="00885AB3">
              <w:rPr>
                <w:rFonts w:ascii="Arial Narrow" w:hAnsi="Arial Narrow"/>
                <w:szCs w:val="20"/>
              </w:rPr>
              <w:t>Year 5</w:t>
            </w:r>
          </w:p>
        </w:tc>
      </w:tr>
      <w:tr w:rsidR="006A1AFC" w:rsidRPr="00885AB3" w14:paraId="13C3D96E" w14:textId="77777777">
        <w:tc>
          <w:tcPr>
            <w:tcW w:w="5000" w:type="pct"/>
            <w:gridSpan w:val="6"/>
            <w:tcMar>
              <w:left w:w="57" w:type="dxa"/>
              <w:right w:w="57" w:type="dxa"/>
            </w:tcMar>
            <w:vAlign w:val="center"/>
          </w:tcPr>
          <w:p w14:paraId="6414F9E6" w14:textId="08E3EC5B" w:rsidR="006A1AFC" w:rsidRPr="00885AB3" w:rsidRDefault="006A1AFC" w:rsidP="00120D61">
            <w:pPr>
              <w:pStyle w:val="TableHeader"/>
              <w:keepNext/>
              <w:rPr>
                <w:rFonts w:ascii="Arial Narrow" w:hAnsi="Arial Narrow"/>
                <w:szCs w:val="20"/>
              </w:rPr>
            </w:pPr>
            <w:r w:rsidRPr="00885AB3">
              <w:rPr>
                <w:rFonts w:ascii="Arial Narrow" w:hAnsi="Arial Narrow"/>
                <w:szCs w:val="20"/>
              </w:rPr>
              <w:t xml:space="preserve">Base case </w:t>
            </w:r>
            <w:r w:rsidR="001B590E" w:rsidRPr="00885AB3">
              <w:rPr>
                <w:rFonts w:ascii="Arial Narrow" w:hAnsi="Arial Narrow"/>
                <w:szCs w:val="20"/>
              </w:rPr>
              <w:t xml:space="preserve">VE </w:t>
            </w:r>
            <w:r w:rsidRPr="00885AB3">
              <w:rPr>
                <w:rFonts w:ascii="Arial Narrow" w:hAnsi="Arial Narrow"/>
                <w:szCs w:val="20"/>
              </w:rPr>
              <w:t>values</w:t>
            </w:r>
            <w:r w:rsidR="001B590E" w:rsidRPr="00885AB3">
              <w:rPr>
                <w:rFonts w:ascii="Arial Narrow" w:hAnsi="Arial Narrow"/>
                <w:szCs w:val="20"/>
              </w:rPr>
              <w:t xml:space="preserve"> applied in the model</w:t>
            </w:r>
            <w:r w:rsidRPr="00885AB3">
              <w:rPr>
                <w:rFonts w:ascii="Arial Narrow" w:hAnsi="Arial Narrow"/>
                <w:szCs w:val="20"/>
              </w:rPr>
              <w:t xml:space="preserve"> (including seasonality) </w:t>
            </w:r>
          </w:p>
        </w:tc>
      </w:tr>
      <w:tr w:rsidR="006A1AFC" w:rsidRPr="00885AB3" w14:paraId="3C463129" w14:textId="77777777">
        <w:tc>
          <w:tcPr>
            <w:tcW w:w="1823" w:type="pct"/>
            <w:tcMar>
              <w:left w:w="57" w:type="dxa"/>
              <w:right w:w="57" w:type="dxa"/>
            </w:tcMar>
            <w:vAlign w:val="center"/>
          </w:tcPr>
          <w:p w14:paraId="5B790183" w14:textId="669597F3" w:rsidR="006A1AFC" w:rsidRPr="00885AB3" w:rsidRDefault="001C78D7" w:rsidP="00120D61">
            <w:pPr>
              <w:pStyle w:val="Tabletext8pt"/>
              <w:spacing w:before="0" w:after="0"/>
              <w:rPr>
                <w:rFonts w:ascii="Arial Narrow" w:hAnsi="Arial Narrow"/>
                <w:sz w:val="20"/>
                <w:szCs w:val="20"/>
              </w:rPr>
            </w:pPr>
            <w:r>
              <w:rPr>
                <w:rFonts w:ascii="Arial Narrow" w:hAnsi="Arial Narrow"/>
                <w:sz w:val="20"/>
                <w:szCs w:val="20"/>
              </w:rPr>
              <w:t xml:space="preserve"> </w:t>
            </w:r>
            <w:r w:rsidR="006A1AFC" w:rsidRPr="00885AB3">
              <w:rPr>
                <w:rFonts w:ascii="Arial Narrow" w:hAnsi="Arial Narrow"/>
                <w:sz w:val="20"/>
                <w:szCs w:val="20"/>
              </w:rPr>
              <w:t>RSV-ARD</w:t>
            </w:r>
          </w:p>
        </w:tc>
        <w:tc>
          <w:tcPr>
            <w:tcW w:w="686" w:type="pct"/>
            <w:tcMar>
              <w:left w:w="57" w:type="dxa"/>
              <w:right w:w="57" w:type="dxa"/>
            </w:tcMar>
            <w:vAlign w:val="center"/>
          </w:tcPr>
          <w:p w14:paraId="4C3BF367" w14:textId="77777777" w:rsidR="006A1AFC" w:rsidRPr="00885AB3" w:rsidRDefault="006A1AFC" w:rsidP="00120D61">
            <w:pPr>
              <w:pStyle w:val="Tabletext8pt"/>
              <w:spacing w:before="0" w:after="0"/>
              <w:jc w:val="center"/>
              <w:rPr>
                <w:rFonts w:ascii="Arial Narrow" w:hAnsi="Arial Narrow"/>
                <w:sz w:val="20"/>
                <w:szCs w:val="20"/>
              </w:rPr>
            </w:pPr>
            <w:r w:rsidRPr="00885AB3">
              <w:rPr>
                <w:rFonts w:ascii="Arial Narrow" w:hAnsi="Arial Narrow"/>
                <w:sz w:val="20"/>
                <w:szCs w:val="20"/>
              </w:rPr>
              <w:t>57.0%</w:t>
            </w:r>
          </w:p>
        </w:tc>
        <w:tc>
          <w:tcPr>
            <w:tcW w:w="868" w:type="pct"/>
            <w:tcMar>
              <w:left w:w="57" w:type="dxa"/>
              <w:right w:w="57" w:type="dxa"/>
            </w:tcMar>
            <w:vAlign w:val="center"/>
          </w:tcPr>
          <w:p w14:paraId="32F59714" w14:textId="77777777" w:rsidR="006A1AFC" w:rsidRPr="00885AB3" w:rsidRDefault="006A1AFC" w:rsidP="00120D61">
            <w:pPr>
              <w:pStyle w:val="Tabletext8pt"/>
              <w:spacing w:before="0" w:after="0"/>
              <w:jc w:val="center"/>
              <w:rPr>
                <w:rFonts w:ascii="Arial Narrow" w:hAnsi="Arial Narrow"/>
                <w:sz w:val="20"/>
                <w:szCs w:val="20"/>
              </w:rPr>
            </w:pPr>
            <w:r w:rsidRPr="00885AB3">
              <w:rPr>
                <w:rFonts w:ascii="Arial Narrow" w:hAnsi="Arial Narrow"/>
                <w:sz w:val="20"/>
                <w:szCs w:val="20"/>
              </w:rPr>
              <w:t>40.5%</w:t>
            </w:r>
          </w:p>
        </w:tc>
        <w:tc>
          <w:tcPr>
            <w:tcW w:w="550" w:type="pct"/>
            <w:tcMar>
              <w:left w:w="57" w:type="dxa"/>
              <w:right w:w="57" w:type="dxa"/>
            </w:tcMar>
            <w:vAlign w:val="center"/>
          </w:tcPr>
          <w:p w14:paraId="12B199E2" w14:textId="77777777" w:rsidR="006A1AFC" w:rsidRPr="00885AB3" w:rsidRDefault="006A1AFC" w:rsidP="00120D61">
            <w:pPr>
              <w:pStyle w:val="Tabletext8pt"/>
              <w:spacing w:before="0" w:after="0"/>
              <w:jc w:val="center"/>
              <w:rPr>
                <w:rFonts w:ascii="Arial Narrow" w:hAnsi="Arial Narrow"/>
                <w:sz w:val="20"/>
                <w:szCs w:val="20"/>
              </w:rPr>
            </w:pPr>
            <w:r w:rsidRPr="00885AB3">
              <w:rPr>
                <w:rFonts w:ascii="Arial Narrow" w:hAnsi="Arial Narrow"/>
                <w:sz w:val="20"/>
                <w:szCs w:val="20"/>
              </w:rPr>
              <w:t>32.4%</w:t>
            </w:r>
          </w:p>
        </w:tc>
        <w:tc>
          <w:tcPr>
            <w:tcW w:w="475" w:type="pct"/>
            <w:tcMar>
              <w:left w:w="57" w:type="dxa"/>
              <w:right w:w="57" w:type="dxa"/>
            </w:tcMar>
            <w:vAlign w:val="center"/>
          </w:tcPr>
          <w:p w14:paraId="42692EBF" w14:textId="77777777" w:rsidR="006A1AFC" w:rsidRPr="00885AB3" w:rsidRDefault="006A1AFC" w:rsidP="00120D61">
            <w:pPr>
              <w:pStyle w:val="Tabletext8pt"/>
              <w:spacing w:before="0" w:after="0"/>
              <w:jc w:val="center"/>
              <w:rPr>
                <w:rFonts w:ascii="Arial Narrow" w:hAnsi="Arial Narrow"/>
                <w:sz w:val="20"/>
                <w:szCs w:val="20"/>
              </w:rPr>
            </w:pPr>
            <w:r w:rsidRPr="00885AB3">
              <w:rPr>
                <w:rFonts w:ascii="Arial Narrow" w:hAnsi="Arial Narrow"/>
                <w:sz w:val="20"/>
                <w:szCs w:val="20"/>
              </w:rPr>
              <w:t>26.6%</w:t>
            </w:r>
          </w:p>
        </w:tc>
        <w:tc>
          <w:tcPr>
            <w:tcW w:w="597" w:type="pct"/>
            <w:tcMar>
              <w:left w:w="57" w:type="dxa"/>
              <w:right w:w="57" w:type="dxa"/>
            </w:tcMar>
            <w:vAlign w:val="center"/>
          </w:tcPr>
          <w:p w14:paraId="58331F57" w14:textId="77777777" w:rsidR="006A1AFC" w:rsidRPr="00885AB3" w:rsidRDefault="006A1AFC" w:rsidP="00120D61">
            <w:pPr>
              <w:pStyle w:val="Tabletext8pt"/>
              <w:spacing w:before="0" w:after="0"/>
              <w:jc w:val="center"/>
              <w:rPr>
                <w:rFonts w:ascii="Arial Narrow" w:hAnsi="Arial Narrow"/>
                <w:sz w:val="20"/>
                <w:szCs w:val="20"/>
              </w:rPr>
            </w:pPr>
            <w:r w:rsidRPr="00885AB3">
              <w:rPr>
                <w:rFonts w:ascii="Arial Narrow" w:hAnsi="Arial Narrow"/>
                <w:sz w:val="20"/>
                <w:szCs w:val="20"/>
              </w:rPr>
              <w:t>22.0%</w:t>
            </w:r>
          </w:p>
        </w:tc>
      </w:tr>
      <w:tr w:rsidR="006A1AFC" w:rsidRPr="00885AB3" w14:paraId="5DA22AB4" w14:textId="77777777">
        <w:tc>
          <w:tcPr>
            <w:tcW w:w="1823" w:type="pct"/>
            <w:tcMar>
              <w:left w:w="57" w:type="dxa"/>
              <w:right w:w="57" w:type="dxa"/>
            </w:tcMar>
            <w:vAlign w:val="center"/>
          </w:tcPr>
          <w:p w14:paraId="6BD8C297" w14:textId="73CC333C" w:rsidR="006A1AFC" w:rsidRPr="00885AB3" w:rsidRDefault="001C78D7" w:rsidP="00120D61">
            <w:pPr>
              <w:pStyle w:val="Tabletext8pt"/>
              <w:spacing w:before="0" w:after="0"/>
              <w:rPr>
                <w:rFonts w:ascii="Arial Narrow" w:hAnsi="Arial Narrow"/>
                <w:sz w:val="20"/>
                <w:szCs w:val="20"/>
              </w:rPr>
            </w:pPr>
            <w:r>
              <w:rPr>
                <w:rFonts w:ascii="Arial Narrow" w:hAnsi="Arial Narrow"/>
                <w:sz w:val="20"/>
                <w:szCs w:val="20"/>
              </w:rPr>
              <w:t xml:space="preserve"> </w:t>
            </w:r>
            <w:r w:rsidR="006A1AFC" w:rsidRPr="00885AB3">
              <w:rPr>
                <w:rFonts w:ascii="Arial Narrow" w:hAnsi="Arial Narrow"/>
                <w:sz w:val="20"/>
                <w:szCs w:val="20"/>
              </w:rPr>
              <w:t xml:space="preserve">RSV-LRTD </w:t>
            </w:r>
            <w:r w:rsidR="00EF2FA4">
              <w:rPr>
                <w:rFonts w:ascii="Arial Narrow" w:hAnsi="Arial Narrow"/>
                <w:sz w:val="20"/>
                <w:szCs w:val="20"/>
              </w:rPr>
              <w:t xml:space="preserve">≥ </w:t>
            </w:r>
            <w:r w:rsidR="003263D5" w:rsidRPr="00885AB3">
              <w:rPr>
                <w:rFonts w:ascii="Arial Narrow" w:hAnsi="Arial Narrow"/>
                <w:sz w:val="20"/>
                <w:szCs w:val="20"/>
              </w:rPr>
              <w:t>2 sympto</w:t>
            </w:r>
            <w:r w:rsidR="008768A9" w:rsidRPr="00885AB3">
              <w:rPr>
                <w:rFonts w:ascii="Arial Narrow" w:hAnsi="Arial Narrow"/>
                <w:sz w:val="20"/>
                <w:szCs w:val="20"/>
              </w:rPr>
              <w:t>ms</w:t>
            </w:r>
            <w:r w:rsidR="006A1AFC" w:rsidRPr="00885AB3">
              <w:rPr>
                <w:rFonts w:ascii="Arial Narrow" w:hAnsi="Arial Narrow"/>
                <w:sz w:val="20"/>
                <w:szCs w:val="20"/>
              </w:rPr>
              <w:t xml:space="preserve"> </w:t>
            </w:r>
            <w:r w:rsidR="006A1AFC" w:rsidRPr="00885AB3">
              <w:rPr>
                <w:rFonts w:ascii="Arial Narrow" w:hAnsi="Arial Narrow"/>
                <w:sz w:val="20"/>
                <w:szCs w:val="20"/>
                <w:vertAlign w:val="superscript"/>
              </w:rPr>
              <w:t>a</w:t>
            </w:r>
          </w:p>
        </w:tc>
        <w:tc>
          <w:tcPr>
            <w:tcW w:w="686" w:type="pct"/>
            <w:tcMar>
              <w:left w:w="57" w:type="dxa"/>
              <w:right w:w="57" w:type="dxa"/>
            </w:tcMar>
            <w:vAlign w:val="center"/>
          </w:tcPr>
          <w:p w14:paraId="75AE0CBE" w14:textId="3CD0D4A5" w:rsidR="006A1AFC" w:rsidRPr="00885AB3" w:rsidRDefault="006A1AFC" w:rsidP="00120D61">
            <w:pPr>
              <w:pStyle w:val="Tabletext8pt"/>
              <w:spacing w:before="0" w:after="0"/>
              <w:jc w:val="center"/>
              <w:rPr>
                <w:rFonts w:ascii="Arial Narrow" w:hAnsi="Arial Narrow"/>
                <w:sz w:val="20"/>
                <w:szCs w:val="20"/>
              </w:rPr>
            </w:pPr>
            <w:r w:rsidRPr="00885AB3">
              <w:rPr>
                <w:rFonts w:ascii="Arial Narrow" w:hAnsi="Arial Narrow"/>
                <w:sz w:val="20"/>
                <w:szCs w:val="20"/>
              </w:rPr>
              <w:t>64.2%</w:t>
            </w:r>
          </w:p>
        </w:tc>
        <w:tc>
          <w:tcPr>
            <w:tcW w:w="868" w:type="pct"/>
            <w:tcMar>
              <w:left w:w="57" w:type="dxa"/>
              <w:right w:w="57" w:type="dxa"/>
            </w:tcMar>
            <w:vAlign w:val="center"/>
          </w:tcPr>
          <w:p w14:paraId="312BD8D3" w14:textId="77777777" w:rsidR="006A1AFC" w:rsidRPr="00885AB3" w:rsidRDefault="006A1AFC" w:rsidP="00120D61">
            <w:pPr>
              <w:pStyle w:val="Tabletext8pt"/>
              <w:spacing w:before="0" w:after="0"/>
              <w:jc w:val="center"/>
              <w:rPr>
                <w:rFonts w:ascii="Arial Narrow" w:hAnsi="Arial Narrow"/>
                <w:sz w:val="20"/>
                <w:szCs w:val="20"/>
              </w:rPr>
            </w:pPr>
            <w:r w:rsidRPr="00885AB3">
              <w:rPr>
                <w:rFonts w:ascii="Arial Narrow" w:hAnsi="Arial Narrow"/>
                <w:sz w:val="20"/>
                <w:szCs w:val="20"/>
              </w:rPr>
              <w:t>45.6%</w:t>
            </w:r>
          </w:p>
        </w:tc>
        <w:tc>
          <w:tcPr>
            <w:tcW w:w="550" w:type="pct"/>
            <w:tcMar>
              <w:left w:w="57" w:type="dxa"/>
              <w:right w:w="57" w:type="dxa"/>
            </w:tcMar>
            <w:vAlign w:val="center"/>
          </w:tcPr>
          <w:p w14:paraId="7A29DD9B" w14:textId="77777777" w:rsidR="006A1AFC" w:rsidRPr="00885AB3" w:rsidRDefault="006A1AFC" w:rsidP="00120D61">
            <w:pPr>
              <w:pStyle w:val="Tabletext8pt"/>
              <w:spacing w:before="0" w:after="0"/>
              <w:jc w:val="center"/>
              <w:rPr>
                <w:rFonts w:ascii="Arial Narrow" w:hAnsi="Arial Narrow"/>
                <w:sz w:val="20"/>
                <w:szCs w:val="20"/>
              </w:rPr>
            </w:pPr>
            <w:r w:rsidRPr="00885AB3">
              <w:rPr>
                <w:rFonts w:ascii="Arial Narrow" w:hAnsi="Arial Narrow"/>
                <w:sz w:val="20"/>
                <w:szCs w:val="20"/>
              </w:rPr>
              <w:t>35.7%</w:t>
            </w:r>
          </w:p>
        </w:tc>
        <w:tc>
          <w:tcPr>
            <w:tcW w:w="475" w:type="pct"/>
            <w:tcMar>
              <w:left w:w="57" w:type="dxa"/>
              <w:right w:w="57" w:type="dxa"/>
            </w:tcMar>
            <w:vAlign w:val="center"/>
          </w:tcPr>
          <w:p w14:paraId="33278409" w14:textId="77777777" w:rsidR="006A1AFC" w:rsidRPr="00885AB3" w:rsidRDefault="006A1AFC" w:rsidP="00120D61">
            <w:pPr>
              <w:pStyle w:val="Tabletext8pt"/>
              <w:spacing w:before="0" w:after="0"/>
              <w:jc w:val="center"/>
              <w:rPr>
                <w:rFonts w:ascii="Arial Narrow" w:hAnsi="Arial Narrow"/>
                <w:sz w:val="20"/>
                <w:szCs w:val="20"/>
              </w:rPr>
            </w:pPr>
            <w:r w:rsidRPr="00885AB3">
              <w:rPr>
                <w:rFonts w:ascii="Arial Narrow" w:hAnsi="Arial Narrow"/>
                <w:sz w:val="20"/>
                <w:szCs w:val="20"/>
              </w:rPr>
              <w:t>28.4%</w:t>
            </w:r>
          </w:p>
        </w:tc>
        <w:tc>
          <w:tcPr>
            <w:tcW w:w="597" w:type="pct"/>
            <w:tcMar>
              <w:left w:w="57" w:type="dxa"/>
              <w:right w:w="57" w:type="dxa"/>
            </w:tcMar>
            <w:vAlign w:val="center"/>
          </w:tcPr>
          <w:p w14:paraId="0E012982" w14:textId="77777777" w:rsidR="006A1AFC" w:rsidRPr="00885AB3" w:rsidRDefault="006A1AFC" w:rsidP="00120D61">
            <w:pPr>
              <w:pStyle w:val="Tabletext8pt"/>
              <w:spacing w:before="0" w:after="0"/>
              <w:jc w:val="center"/>
              <w:rPr>
                <w:rFonts w:ascii="Arial Narrow" w:hAnsi="Arial Narrow"/>
                <w:sz w:val="20"/>
                <w:szCs w:val="20"/>
              </w:rPr>
            </w:pPr>
            <w:r w:rsidRPr="00885AB3">
              <w:rPr>
                <w:rFonts w:ascii="Arial Narrow" w:hAnsi="Arial Narrow"/>
                <w:sz w:val="20"/>
                <w:szCs w:val="20"/>
              </w:rPr>
              <w:t>22.5%</w:t>
            </w:r>
          </w:p>
        </w:tc>
      </w:tr>
      <w:tr w:rsidR="006A1AFC" w:rsidRPr="00885AB3" w14:paraId="785EE5A2" w14:textId="77777777">
        <w:tc>
          <w:tcPr>
            <w:tcW w:w="5000" w:type="pct"/>
            <w:gridSpan w:val="6"/>
            <w:tcMar>
              <w:left w:w="57" w:type="dxa"/>
              <w:right w:w="57" w:type="dxa"/>
            </w:tcMar>
            <w:vAlign w:val="center"/>
          </w:tcPr>
          <w:p w14:paraId="314D2A5C" w14:textId="7B107E32" w:rsidR="006A1AFC" w:rsidRPr="00885AB3" w:rsidRDefault="006A1AFC" w:rsidP="00120D61">
            <w:pPr>
              <w:pStyle w:val="TableHeader"/>
              <w:keepNext/>
              <w:rPr>
                <w:rFonts w:ascii="Arial Narrow" w:hAnsi="Arial Narrow"/>
                <w:szCs w:val="20"/>
              </w:rPr>
            </w:pPr>
            <w:r w:rsidRPr="00885AB3">
              <w:rPr>
                <w:rFonts w:ascii="Arial Narrow" w:hAnsi="Arial Narrow"/>
                <w:szCs w:val="20"/>
              </w:rPr>
              <w:t>Excluding seasonality</w:t>
            </w:r>
            <w:r w:rsidR="000943D9" w:rsidRPr="00885AB3">
              <w:rPr>
                <w:rFonts w:ascii="Arial Narrow" w:hAnsi="Arial Narrow"/>
                <w:szCs w:val="20"/>
              </w:rPr>
              <w:t xml:space="preserve"> (applied in the model)</w:t>
            </w:r>
            <w:r w:rsidRPr="00885AB3">
              <w:rPr>
                <w:rFonts w:ascii="Arial Narrow" w:hAnsi="Arial Narrow"/>
                <w:szCs w:val="20"/>
              </w:rPr>
              <w:t xml:space="preserve"> </w:t>
            </w:r>
            <w:r w:rsidRPr="00885AB3">
              <w:rPr>
                <w:rFonts w:ascii="Arial Narrow" w:hAnsi="Arial Narrow"/>
                <w:szCs w:val="20"/>
                <w:vertAlign w:val="superscript"/>
              </w:rPr>
              <w:t>b</w:t>
            </w:r>
          </w:p>
        </w:tc>
      </w:tr>
      <w:tr w:rsidR="006A1AFC" w:rsidRPr="00885AB3" w14:paraId="16E0DDE4" w14:textId="77777777">
        <w:trPr>
          <w:trHeight w:val="44"/>
        </w:trPr>
        <w:tc>
          <w:tcPr>
            <w:tcW w:w="1823" w:type="pct"/>
            <w:tcMar>
              <w:left w:w="57" w:type="dxa"/>
              <w:right w:w="57" w:type="dxa"/>
            </w:tcMar>
            <w:vAlign w:val="center"/>
          </w:tcPr>
          <w:p w14:paraId="6B9C6C5D" w14:textId="707C99F3" w:rsidR="006A1AFC" w:rsidRPr="00885AB3" w:rsidRDefault="001C78D7" w:rsidP="00120D61">
            <w:pPr>
              <w:pStyle w:val="Tabletext8pt"/>
              <w:spacing w:before="0" w:after="0"/>
              <w:rPr>
                <w:rFonts w:ascii="Arial Narrow" w:hAnsi="Arial Narrow"/>
                <w:sz w:val="20"/>
                <w:szCs w:val="20"/>
              </w:rPr>
            </w:pPr>
            <w:r>
              <w:rPr>
                <w:rFonts w:ascii="Arial Narrow" w:hAnsi="Arial Narrow"/>
                <w:sz w:val="20"/>
                <w:szCs w:val="20"/>
              </w:rPr>
              <w:t xml:space="preserve"> </w:t>
            </w:r>
            <w:r w:rsidR="006A1AFC" w:rsidRPr="00885AB3">
              <w:rPr>
                <w:rFonts w:ascii="Arial Narrow" w:hAnsi="Arial Narrow"/>
                <w:sz w:val="20"/>
                <w:szCs w:val="20"/>
              </w:rPr>
              <w:t>RSV-ARD</w:t>
            </w:r>
          </w:p>
        </w:tc>
        <w:tc>
          <w:tcPr>
            <w:tcW w:w="686" w:type="pct"/>
            <w:tcMar>
              <w:left w:w="57" w:type="dxa"/>
              <w:right w:w="57" w:type="dxa"/>
            </w:tcMar>
            <w:vAlign w:val="center"/>
          </w:tcPr>
          <w:p w14:paraId="6AF61701" w14:textId="77777777" w:rsidR="006A1AFC" w:rsidRPr="00885AB3" w:rsidRDefault="006A1AFC" w:rsidP="00120D61">
            <w:pPr>
              <w:pStyle w:val="Tabletext8pt"/>
              <w:spacing w:before="0" w:after="0"/>
              <w:jc w:val="center"/>
              <w:rPr>
                <w:rFonts w:ascii="Arial Narrow" w:hAnsi="Arial Narrow"/>
                <w:sz w:val="20"/>
                <w:szCs w:val="20"/>
              </w:rPr>
            </w:pPr>
            <w:r w:rsidRPr="00885AB3">
              <w:rPr>
                <w:rFonts w:ascii="Arial Narrow" w:hAnsi="Arial Narrow"/>
                <w:color w:val="000000"/>
                <w:sz w:val="20"/>
                <w:szCs w:val="20"/>
              </w:rPr>
              <w:t>53.9%</w:t>
            </w:r>
          </w:p>
        </w:tc>
        <w:tc>
          <w:tcPr>
            <w:tcW w:w="868" w:type="pct"/>
            <w:tcMar>
              <w:left w:w="57" w:type="dxa"/>
              <w:right w:w="57" w:type="dxa"/>
            </w:tcMar>
            <w:vAlign w:val="center"/>
          </w:tcPr>
          <w:p w14:paraId="7DDD7EDD" w14:textId="77777777" w:rsidR="006A1AFC" w:rsidRPr="00885AB3" w:rsidRDefault="006A1AFC" w:rsidP="00120D61">
            <w:pPr>
              <w:pStyle w:val="Tabletext8pt"/>
              <w:spacing w:before="0" w:after="0"/>
              <w:jc w:val="center"/>
              <w:rPr>
                <w:rFonts w:ascii="Arial Narrow" w:hAnsi="Arial Narrow"/>
                <w:sz w:val="20"/>
                <w:szCs w:val="20"/>
              </w:rPr>
            </w:pPr>
            <w:r w:rsidRPr="00885AB3">
              <w:rPr>
                <w:rFonts w:ascii="Arial Narrow" w:hAnsi="Arial Narrow"/>
                <w:color w:val="000000"/>
                <w:sz w:val="20"/>
                <w:szCs w:val="20"/>
              </w:rPr>
              <w:t>39.2%</w:t>
            </w:r>
          </w:p>
        </w:tc>
        <w:tc>
          <w:tcPr>
            <w:tcW w:w="550" w:type="pct"/>
            <w:tcMar>
              <w:left w:w="57" w:type="dxa"/>
              <w:right w:w="57" w:type="dxa"/>
            </w:tcMar>
            <w:vAlign w:val="center"/>
          </w:tcPr>
          <w:p w14:paraId="3558EE14" w14:textId="77777777" w:rsidR="006A1AFC" w:rsidRPr="00885AB3" w:rsidRDefault="006A1AFC" w:rsidP="00120D61">
            <w:pPr>
              <w:pStyle w:val="Tabletext8pt"/>
              <w:spacing w:before="0" w:after="0"/>
              <w:jc w:val="center"/>
              <w:rPr>
                <w:rFonts w:ascii="Arial Narrow" w:hAnsi="Arial Narrow"/>
                <w:sz w:val="20"/>
                <w:szCs w:val="20"/>
              </w:rPr>
            </w:pPr>
            <w:r w:rsidRPr="00885AB3">
              <w:rPr>
                <w:rFonts w:ascii="Arial Narrow" w:hAnsi="Arial Narrow"/>
                <w:color w:val="000000"/>
                <w:sz w:val="20"/>
                <w:szCs w:val="20"/>
              </w:rPr>
              <w:t>31.5%</w:t>
            </w:r>
          </w:p>
        </w:tc>
        <w:tc>
          <w:tcPr>
            <w:tcW w:w="475" w:type="pct"/>
            <w:tcMar>
              <w:left w:w="57" w:type="dxa"/>
              <w:right w:w="57" w:type="dxa"/>
            </w:tcMar>
            <w:vAlign w:val="center"/>
          </w:tcPr>
          <w:p w14:paraId="2FB2509B" w14:textId="77777777" w:rsidR="006A1AFC" w:rsidRPr="00885AB3" w:rsidRDefault="006A1AFC" w:rsidP="00120D61">
            <w:pPr>
              <w:pStyle w:val="Tabletext8pt"/>
              <w:spacing w:before="0" w:after="0"/>
              <w:jc w:val="center"/>
              <w:rPr>
                <w:rFonts w:ascii="Arial Narrow" w:hAnsi="Arial Narrow"/>
                <w:sz w:val="20"/>
                <w:szCs w:val="20"/>
              </w:rPr>
            </w:pPr>
            <w:r w:rsidRPr="00885AB3">
              <w:rPr>
                <w:rFonts w:ascii="Arial Narrow" w:hAnsi="Arial Narrow"/>
                <w:color w:val="000000"/>
                <w:sz w:val="20"/>
                <w:szCs w:val="20"/>
              </w:rPr>
              <w:t>25.9%</w:t>
            </w:r>
          </w:p>
        </w:tc>
        <w:tc>
          <w:tcPr>
            <w:tcW w:w="597" w:type="pct"/>
            <w:tcMar>
              <w:left w:w="57" w:type="dxa"/>
              <w:right w:w="57" w:type="dxa"/>
            </w:tcMar>
            <w:vAlign w:val="center"/>
          </w:tcPr>
          <w:p w14:paraId="66CB0DE4" w14:textId="77777777" w:rsidR="006A1AFC" w:rsidRPr="00885AB3" w:rsidRDefault="006A1AFC" w:rsidP="00120D61">
            <w:pPr>
              <w:pStyle w:val="Tabletext8pt"/>
              <w:spacing w:before="0" w:after="0"/>
              <w:jc w:val="center"/>
              <w:rPr>
                <w:rFonts w:ascii="Arial Narrow" w:hAnsi="Arial Narrow"/>
                <w:sz w:val="20"/>
                <w:szCs w:val="20"/>
              </w:rPr>
            </w:pPr>
            <w:r w:rsidRPr="00885AB3">
              <w:rPr>
                <w:rFonts w:ascii="Arial Narrow" w:hAnsi="Arial Narrow"/>
                <w:color w:val="000000"/>
                <w:sz w:val="20"/>
                <w:szCs w:val="20"/>
              </w:rPr>
              <w:t>21.4%</w:t>
            </w:r>
          </w:p>
        </w:tc>
      </w:tr>
      <w:tr w:rsidR="006A1AFC" w:rsidRPr="00885AB3" w14:paraId="61BBF65E" w14:textId="77777777">
        <w:tc>
          <w:tcPr>
            <w:tcW w:w="1823" w:type="pct"/>
            <w:tcMar>
              <w:left w:w="57" w:type="dxa"/>
              <w:right w:w="57" w:type="dxa"/>
            </w:tcMar>
            <w:vAlign w:val="center"/>
          </w:tcPr>
          <w:p w14:paraId="4BAD232F" w14:textId="46D46C39" w:rsidR="006A1AFC" w:rsidRPr="00885AB3" w:rsidRDefault="001C78D7" w:rsidP="00120D61">
            <w:pPr>
              <w:pStyle w:val="Tabletext8pt"/>
              <w:spacing w:before="0" w:after="0"/>
              <w:rPr>
                <w:rFonts w:ascii="Arial Narrow" w:hAnsi="Arial Narrow"/>
                <w:sz w:val="20"/>
                <w:szCs w:val="20"/>
              </w:rPr>
            </w:pPr>
            <w:r>
              <w:rPr>
                <w:rFonts w:ascii="Arial Narrow" w:hAnsi="Arial Narrow"/>
                <w:sz w:val="20"/>
                <w:szCs w:val="20"/>
              </w:rPr>
              <w:t xml:space="preserve"> </w:t>
            </w:r>
            <w:r w:rsidR="006A1AFC" w:rsidRPr="00885AB3">
              <w:rPr>
                <w:rFonts w:ascii="Arial Narrow" w:hAnsi="Arial Narrow"/>
                <w:sz w:val="20"/>
                <w:szCs w:val="20"/>
              </w:rPr>
              <w:t xml:space="preserve">RSV-LRTD </w:t>
            </w:r>
            <w:r w:rsidR="00EF2FA4">
              <w:rPr>
                <w:rFonts w:ascii="Arial Narrow" w:hAnsi="Arial Narrow"/>
                <w:sz w:val="20"/>
                <w:szCs w:val="20"/>
              </w:rPr>
              <w:t xml:space="preserve">≥ </w:t>
            </w:r>
            <w:r w:rsidR="008768A9" w:rsidRPr="00885AB3">
              <w:rPr>
                <w:rFonts w:ascii="Arial Narrow" w:hAnsi="Arial Narrow"/>
                <w:sz w:val="20"/>
                <w:szCs w:val="20"/>
              </w:rPr>
              <w:t>2 symptoms</w:t>
            </w:r>
            <w:r w:rsidR="006A1AFC" w:rsidRPr="00885AB3">
              <w:rPr>
                <w:rFonts w:ascii="Arial Narrow" w:hAnsi="Arial Narrow"/>
                <w:sz w:val="20"/>
                <w:szCs w:val="20"/>
              </w:rPr>
              <w:t xml:space="preserve"> </w:t>
            </w:r>
            <w:r w:rsidR="006A1AFC" w:rsidRPr="00885AB3">
              <w:rPr>
                <w:rFonts w:ascii="Arial Narrow" w:hAnsi="Arial Narrow"/>
                <w:sz w:val="20"/>
                <w:szCs w:val="20"/>
                <w:vertAlign w:val="superscript"/>
              </w:rPr>
              <w:t>a</w:t>
            </w:r>
          </w:p>
        </w:tc>
        <w:tc>
          <w:tcPr>
            <w:tcW w:w="686" w:type="pct"/>
            <w:tcMar>
              <w:left w:w="57" w:type="dxa"/>
              <w:right w:w="57" w:type="dxa"/>
            </w:tcMar>
            <w:vAlign w:val="center"/>
          </w:tcPr>
          <w:p w14:paraId="4C2B941F" w14:textId="77777777" w:rsidR="006A1AFC" w:rsidRPr="00885AB3" w:rsidRDefault="006A1AFC" w:rsidP="00120D61">
            <w:pPr>
              <w:pStyle w:val="Tabletext8pt"/>
              <w:spacing w:before="0" w:after="0"/>
              <w:jc w:val="center"/>
              <w:rPr>
                <w:rFonts w:ascii="Arial Narrow" w:hAnsi="Arial Narrow"/>
                <w:sz w:val="20"/>
                <w:szCs w:val="20"/>
              </w:rPr>
            </w:pPr>
            <w:r w:rsidRPr="00885AB3">
              <w:rPr>
                <w:rFonts w:ascii="Arial Narrow" w:hAnsi="Arial Narrow"/>
                <w:color w:val="000000"/>
                <w:sz w:val="20"/>
                <w:szCs w:val="20"/>
              </w:rPr>
              <w:t>60.7%</w:t>
            </w:r>
          </w:p>
        </w:tc>
        <w:tc>
          <w:tcPr>
            <w:tcW w:w="868" w:type="pct"/>
            <w:tcMar>
              <w:left w:w="57" w:type="dxa"/>
              <w:right w:w="57" w:type="dxa"/>
            </w:tcMar>
            <w:vAlign w:val="center"/>
          </w:tcPr>
          <w:p w14:paraId="3EDE3F21" w14:textId="77777777" w:rsidR="006A1AFC" w:rsidRPr="00885AB3" w:rsidRDefault="006A1AFC" w:rsidP="00120D61">
            <w:pPr>
              <w:pStyle w:val="Tabletext8pt"/>
              <w:spacing w:before="0" w:after="0"/>
              <w:jc w:val="center"/>
              <w:rPr>
                <w:rFonts w:ascii="Arial Narrow" w:hAnsi="Arial Narrow"/>
                <w:sz w:val="20"/>
                <w:szCs w:val="20"/>
              </w:rPr>
            </w:pPr>
            <w:r w:rsidRPr="00885AB3">
              <w:rPr>
                <w:rFonts w:ascii="Arial Narrow" w:hAnsi="Arial Narrow"/>
                <w:color w:val="000000"/>
                <w:sz w:val="20"/>
                <w:szCs w:val="20"/>
              </w:rPr>
              <w:t>43.9%</w:t>
            </w:r>
          </w:p>
        </w:tc>
        <w:tc>
          <w:tcPr>
            <w:tcW w:w="550" w:type="pct"/>
            <w:tcMar>
              <w:left w:w="57" w:type="dxa"/>
              <w:right w:w="57" w:type="dxa"/>
            </w:tcMar>
            <w:vAlign w:val="center"/>
          </w:tcPr>
          <w:p w14:paraId="6F28B4F8" w14:textId="77777777" w:rsidR="006A1AFC" w:rsidRPr="00885AB3" w:rsidRDefault="006A1AFC" w:rsidP="00120D61">
            <w:pPr>
              <w:pStyle w:val="Tabletext8pt"/>
              <w:spacing w:before="0" w:after="0"/>
              <w:jc w:val="center"/>
              <w:rPr>
                <w:rFonts w:ascii="Arial Narrow" w:hAnsi="Arial Narrow"/>
                <w:sz w:val="20"/>
                <w:szCs w:val="20"/>
              </w:rPr>
            </w:pPr>
            <w:r w:rsidRPr="00885AB3">
              <w:rPr>
                <w:rFonts w:ascii="Arial Narrow" w:hAnsi="Arial Narrow"/>
                <w:color w:val="000000"/>
                <w:sz w:val="20"/>
                <w:szCs w:val="20"/>
              </w:rPr>
              <w:t>34.5%</w:t>
            </w:r>
          </w:p>
        </w:tc>
        <w:tc>
          <w:tcPr>
            <w:tcW w:w="475" w:type="pct"/>
            <w:tcMar>
              <w:left w:w="57" w:type="dxa"/>
              <w:right w:w="57" w:type="dxa"/>
            </w:tcMar>
            <w:vAlign w:val="center"/>
          </w:tcPr>
          <w:p w14:paraId="07B38216" w14:textId="77777777" w:rsidR="006A1AFC" w:rsidRPr="00885AB3" w:rsidRDefault="006A1AFC" w:rsidP="00120D61">
            <w:pPr>
              <w:pStyle w:val="Tabletext8pt"/>
              <w:spacing w:before="0" w:after="0"/>
              <w:jc w:val="center"/>
              <w:rPr>
                <w:rFonts w:ascii="Arial Narrow" w:hAnsi="Arial Narrow"/>
                <w:sz w:val="20"/>
                <w:szCs w:val="20"/>
              </w:rPr>
            </w:pPr>
            <w:r w:rsidRPr="00885AB3">
              <w:rPr>
                <w:rFonts w:ascii="Arial Narrow" w:hAnsi="Arial Narrow"/>
                <w:color w:val="000000"/>
                <w:sz w:val="20"/>
                <w:szCs w:val="20"/>
              </w:rPr>
              <w:t>27.5%</w:t>
            </w:r>
          </w:p>
        </w:tc>
        <w:tc>
          <w:tcPr>
            <w:tcW w:w="597" w:type="pct"/>
            <w:tcMar>
              <w:left w:w="57" w:type="dxa"/>
              <w:right w:w="57" w:type="dxa"/>
            </w:tcMar>
            <w:vAlign w:val="center"/>
          </w:tcPr>
          <w:p w14:paraId="0C92405D" w14:textId="77777777" w:rsidR="006A1AFC" w:rsidRPr="00885AB3" w:rsidRDefault="006A1AFC" w:rsidP="00120D61">
            <w:pPr>
              <w:pStyle w:val="Tabletext8pt"/>
              <w:spacing w:before="0" w:after="0"/>
              <w:jc w:val="center"/>
              <w:rPr>
                <w:rFonts w:ascii="Arial Narrow" w:hAnsi="Arial Narrow"/>
                <w:sz w:val="20"/>
                <w:szCs w:val="20"/>
              </w:rPr>
            </w:pPr>
            <w:r w:rsidRPr="00885AB3">
              <w:rPr>
                <w:rFonts w:ascii="Arial Narrow" w:hAnsi="Arial Narrow"/>
                <w:color w:val="000000"/>
                <w:sz w:val="20"/>
                <w:szCs w:val="20"/>
              </w:rPr>
              <w:t>21.7%</w:t>
            </w:r>
          </w:p>
        </w:tc>
      </w:tr>
      <w:tr w:rsidR="006A1AFC" w:rsidRPr="00885AB3" w14:paraId="6F1CEC9D" w14:textId="77777777">
        <w:tc>
          <w:tcPr>
            <w:tcW w:w="1823" w:type="pct"/>
            <w:tcMar>
              <w:left w:w="57" w:type="dxa"/>
              <w:right w:w="57" w:type="dxa"/>
            </w:tcMar>
            <w:vAlign w:val="center"/>
          </w:tcPr>
          <w:p w14:paraId="02E7520A" w14:textId="77777777" w:rsidR="006A1AFC" w:rsidRPr="00885AB3" w:rsidRDefault="006A1AFC" w:rsidP="00120D61">
            <w:pPr>
              <w:pStyle w:val="Tabletext8pt"/>
              <w:spacing w:before="0" w:after="0"/>
              <w:rPr>
                <w:rFonts w:ascii="Arial Narrow" w:hAnsi="Arial Narrow"/>
                <w:b/>
                <w:bCs/>
                <w:sz w:val="20"/>
                <w:szCs w:val="20"/>
                <w:vertAlign w:val="superscript"/>
              </w:rPr>
            </w:pPr>
            <w:proofErr w:type="spellStart"/>
            <w:r w:rsidRPr="00885AB3">
              <w:rPr>
                <w:rFonts w:ascii="Arial Narrow" w:hAnsi="Arial Narrow"/>
                <w:b/>
                <w:bCs/>
                <w:sz w:val="20"/>
                <w:szCs w:val="20"/>
              </w:rPr>
              <w:t>ConquerRSV</w:t>
            </w:r>
            <w:proofErr w:type="spellEnd"/>
          </w:p>
        </w:tc>
        <w:tc>
          <w:tcPr>
            <w:tcW w:w="686" w:type="pct"/>
            <w:tcMar>
              <w:left w:w="57" w:type="dxa"/>
              <w:right w:w="57" w:type="dxa"/>
            </w:tcMar>
            <w:vAlign w:val="center"/>
          </w:tcPr>
          <w:p w14:paraId="7F42ED98" w14:textId="77777777" w:rsidR="006A1AFC" w:rsidRPr="00885AB3" w:rsidRDefault="006A1AFC" w:rsidP="00120D61">
            <w:pPr>
              <w:pStyle w:val="Tabletext8pt"/>
              <w:spacing w:before="0" w:after="0"/>
              <w:jc w:val="center"/>
              <w:rPr>
                <w:rFonts w:ascii="Arial Narrow" w:hAnsi="Arial Narrow"/>
                <w:b/>
                <w:bCs/>
                <w:color w:val="000000"/>
                <w:sz w:val="20"/>
                <w:szCs w:val="20"/>
              </w:rPr>
            </w:pPr>
          </w:p>
        </w:tc>
        <w:tc>
          <w:tcPr>
            <w:tcW w:w="868" w:type="pct"/>
            <w:tcMar>
              <w:left w:w="57" w:type="dxa"/>
              <w:right w:w="57" w:type="dxa"/>
            </w:tcMar>
            <w:vAlign w:val="center"/>
          </w:tcPr>
          <w:p w14:paraId="45A1E79E" w14:textId="77777777" w:rsidR="006A1AFC" w:rsidRPr="00885AB3" w:rsidRDefault="006A1AFC" w:rsidP="00120D61">
            <w:pPr>
              <w:pStyle w:val="Tabletext8pt"/>
              <w:spacing w:before="0" w:after="0"/>
              <w:jc w:val="center"/>
              <w:rPr>
                <w:rFonts w:ascii="Arial Narrow" w:hAnsi="Arial Narrow"/>
                <w:b/>
                <w:bCs/>
                <w:color w:val="000000"/>
                <w:sz w:val="20"/>
                <w:szCs w:val="20"/>
              </w:rPr>
            </w:pPr>
          </w:p>
        </w:tc>
        <w:tc>
          <w:tcPr>
            <w:tcW w:w="550" w:type="pct"/>
            <w:tcMar>
              <w:left w:w="57" w:type="dxa"/>
              <w:right w:w="57" w:type="dxa"/>
            </w:tcMar>
            <w:vAlign w:val="center"/>
          </w:tcPr>
          <w:p w14:paraId="6F3F6B7E" w14:textId="77777777" w:rsidR="006A1AFC" w:rsidRPr="00885AB3" w:rsidRDefault="006A1AFC" w:rsidP="00120D61">
            <w:pPr>
              <w:pStyle w:val="Tabletext8pt"/>
              <w:spacing w:before="0" w:after="0"/>
              <w:jc w:val="center"/>
              <w:rPr>
                <w:rFonts w:ascii="Arial Narrow" w:hAnsi="Arial Narrow"/>
                <w:color w:val="000000"/>
                <w:sz w:val="20"/>
                <w:szCs w:val="20"/>
              </w:rPr>
            </w:pPr>
          </w:p>
        </w:tc>
        <w:tc>
          <w:tcPr>
            <w:tcW w:w="475" w:type="pct"/>
            <w:tcMar>
              <w:left w:w="57" w:type="dxa"/>
              <w:right w:w="57" w:type="dxa"/>
            </w:tcMar>
            <w:vAlign w:val="center"/>
          </w:tcPr>
          <w:p w14:paraId="6F0BAB78" w14:textId="77777777" w:rsidR="006A1AFC" w:rsidRPr="00885AB3" w:rsidRDefault="006A1AFC" w:rsidP="00120D61">
            <w:pPr>
              <w:pStyle w:val="Tabletext8pt"/>
              <w:spacing w:before="0" w:after="0"/>
              <w:jc w:val="center"/>
              <w:rPr>
                <w:rFonts w:ascii="Arial Narrow" w:hAnsi="Arial Narrow"/>
                <w:color w:val="000000"/>
                <w:sz w:val="20"/>
                <w:szCs w:val="20"/>
              </w:rPr>
            </w:pPr>
          </w:p>
        </w:tc>
        <w:tc>
          <w:tcPr>
            <w:tcW w:w="597" w:type="pct"/>
            <w:tcMar>
              <w:left w:w="57" w:type="dxa"/>
              <w:right w:w="57" w:type="dxa"/>
            </w:tcMar>
            <w:vAlign w:val="center"/>
          </w:tcPr>
          <w:p w14:paraId="2DBE0D9C" w14:textId="77777777" w:rsidR="006A1AFC" w:rsidRPr="00885AB3" w:rsidRDefault="006A1AFC" w:rsidP="00120D61">
            <w:pPr>
              <w:pStyle w:val="Tabletext8pt"/>
              <w:spacing w:before="0" w:after="0"/>
              <w:jc w:val="center"/>
              <w:rPr>
                <w:rFonts w:ascii="Arial Narrow" w:hAnsi="Arial Narrow"/>
                <w:color w:val="000000"/>
                <w:sz w:val="20"/>
                <w:szCs w:val="20"/>
              </w:rPr>
            </w:pPr>
          </w:p>
        </w:tc>
      </w:tr>
      <w:tr w:rsidR="006A1AFC" w:rsidRPr="00885AB3" w14:paraId="71903F7A" w14:textId="77777777">
        <w:tc>
          <w:tcPr>
            <w:tcW w:w="1823" w:type="pct"/>
            <w:tcMar>
              <w:left w:w="57" w:type="dxa"/>
              <w:right w:w="57" w:type="dxa"/>
            </w:tcMar>
            <w:vAlign w:val="center"/>
          </w:tcPr>
          <w:p w14:paraId="43AE4629" w14:textId="26014CFA" w:rsidR="006A1AFC" w:rsidRPr="00885AB3" w:rsidRDefault="001C78D7" w:rsidP="00120D61">
            <w:pPr>
              <w:pStyle w:val="Tabletext8pt"/>
              <w:spacing w:before="0" w:after="0"/>
              <w:rPr>
                <w:rFonts w:ascii="Arial Narrow" w:hAnsi="Arial Narrow"/>
                <w:sz w:val="20"/>
                <w:szCs w:val="20"/>
              </w:rPr>
            </w:pPr>
            <w:r>
              <w:rPr>
                <w:rFonts w:ascii="Arial Narrow" w:hAnsi="Arial Narrow"/>
                <w:sz w:val="20"/>
                <w:szCs w:val="20"/>
              </w:rPr>
              <w:t xml:space="preserve"> </w:t>
            </w:r>
            <w:r w:rsidR="006A1AFC" w:rsidRPr="00885AB3">
              <w:rPr>
                <w:rFonts w:ascii="Arial Narrow" w:hAnsi="Arial Narrow"/>
                <w:sz w:val="20"/>
                <w:szCs w:val="20"/>
              </w:rPr>
              <w:t>RSV-ARD</w:t>
            </w:r>
          </w:p>
        </w:tc>
        <w:tc>
          <w:tcPr>
            <w:tcW w:w="686" w:type="pct"/>
            <w:tcMar>
              <w:left w:w="57" w:type="dxa"/>
              <w:right w:w="57" w:type="dxa"/>
            </w:tcMar>
            <w:vAlign w:val="center"/>
          </w:tcPr>
          <w:p w14:paraId="0FC667F1" w14:textId="77777777" w:rsidR="006A1AFC" w:rsidRPr="00885AB3" w:rsidRDefault="006A1AFC" w:rsidP="00120D61">
            <w:pPr>
              <w:pStyle w:val="Tabletext8pt"/>
              <w:spacing w:before="0" w:after="0"/>
              <w:jc w:val="center"/>
              <w:rPr>
                <w:rFonts w:ascii="Arial Narrow" w:hAnsi="Arial Narrow"/>
                <w:color w:val="000000"/>
                <w:sz w:val="20"/>
                <w:szCs w:val="20"/>
              </w:rPr>
            </w:pPr>
            <w:r w:rsidRPr="00885AB3">
              <w:rPr>
                <w:rFonts w:ascii="Arial Narrow" w:hAnsi="Arial Narrow"/>
                <w:color w:val="000000"/>
                <w:sz w:val="20"/>
                <w:szCs w:val="20"/>
              </w:rPr>
              <w:t>50.9%</w:t>
            </w:r>
          </w:p>
        </w:tc>
        <w:tc>
          <w:tcPr>
            <w:tcW w:w="2491" w:type="pct"/>
            <w:gridSpan w:val="4"/>
            <w:tcMar>
              <w:left w:w="57" w:type="dxa"/>
              <w:right w:w="57" w:type="dxa"/>
            </w:tcMar>
            <w:vAlign w:val="center"/>
          </w:tcPr>
          <w:p w14:paraId="498E423F" w14:textId="77777777" w:rsidR="006A1AFC" w:rsidRPr="00885AB3" w:rsidRDefault="006A1AFC" w:rsidP="00120D61">
            <w:pPr>
              <w:pStyle w:val="Tabletext8pt"/>
              <w:spacing w:before="0" w:after="0"/>
              <w:jc w:val="center"/>
              <w:rPr>
                <w:rFonts w:ascii="Arial Narrow" w:hAnsi="Arial Narrow"/>
                <w:color w:val="000000"/>
                <w:sz w:val="20"/>
                <w:szCs w:val="20"/>
              </w:rPr>
            </w:pPr>
            <w:r w:rsidRPr="00885AB3">
              <w:rPr>
                <w:rFonts w:ascii="Arial Narrow" w:hAnsi="Arial Narrow"/>
                <w:color w:val="000000"/>
                <w:sz w:val="20"/>
                <w:szCs w:val="20"/>
              </w:rPr>
              <w:t>No interval efficacy presented</w:t>
            </w:r>
          </w:p>
        </w:tc>
      </w:tr>
      <w:tr w:rsidR="006A1AFC" w:rsidRPr="00885AB3" w14:paraId="77085CB7" w14:textId="77777777">
        <w:tc>
          <w:tcPr>
            <w:tcW w:w="1823" w:type="pct"/>
            <w:tcMar>
              <w:left w:w="57" w:type="dxa"/>
              <w:right w:w="57" w:type="dxa"/>
            </w:tcMar>
            <w:vAlign w:val="center"/>
          </w:tcPr>
          <w:p w14:paraId="45E02E4C" w14:textId="73262FCF" w:rsidR="006A1AFC" w:rsidRPr="00885AB3" w:rsidRDefault="001C78D7" w:rsidP="00120D61">
            <w:pPr>
              <w:pStyle w:val="Tabletext8pt"/>
              <w:spacing w:before="0" w:after="0"/>
              <w:rPr>
                <w:rFonts w:ascii="Arial Narrow" w:hAnsi="Arial Narrow"/>
                <w:sz w:val="20"/>
                <w:szCs w:val="20"/>
              </w:rPr>
            </w:pPr>
            <w:r>
              <w:rPr>
                <w:rFonts w:ascii="Arial Narrow" w:hAnsi="Arial Narrow"/>
                <w:sz w:val="20"/>
                <w:szCs w:val="20"/>
              </w:rPr>
              <w:t xml:space="preserve"> </w:t>
            </w:r>
            <w:r w:rsidR="006A1AFC" w:rsidRPr="00885AB3">
              <w:rPr>
                <w:rFonts w:ascii="Arial Narrow" w:hAnsi="Arial Narrow"/>
                <w:sz w:val="20"/>
                <w:szCs w:val="20"/>
              </w:rPr>
              <w:t>RSV-LRTD</w:t>
            </w:r>
            <w:r w:rsidR="008768A9" w:rsidRPr="00885AB3">
              <w:rPr>
                <w:rFonts w:ascii="Arial Narrow" w:hAnsi="Arial Narrow"/>
                <w:sz w:val="20"/>
                <w:szCs w:val="20"/>
              </w:rPr>
              <w:t xml:space="preserve"> </w:t>
            </w:r>
            <w:r w:rsidR="00EF2FA4">
              <w:rPr>
                <w:rFonts w:ascii="Arial Narrow" w:hAnsi="Arial Narrow"/>
                <w:sz w:val="20"/>
                <w:szCs w:val="20"/>
              </w:rPr>
              <w:t xml:space="preserve">≥ </w:t>
            </w:r>
            <w:r w:rsidR="008768A9" w:rsidRPr="00885AB3">
              <w:rPr>
                <w:rFonts w:ascii="Arial Narrow" w:hAnsi="Arial Narrow"/>
                <w:sz w:val="20"/>
                <w:szCs w:val="20"/>
              </w:rPr>
              <w:t>2 symptoms</w:t>
            </w:r>
          </w:p>
        </w:tc>
        <w:tc>
          <w:tcPr>
            <w:tcW w:w="686" w:type="pct"/>
            <w:tcMar>
              <w:left w:w="57" w:type="dxa"/>
              <w:right w:w="57" w:type="dxa"/>
            </w:tcMar>
            <w:vAlign w:val="center"/>
          </w:tcPr>
          <w:p w14:paraId="445CE091" w14:textId="77777777" w:rsidR="006A1AFC" w:rsidRPr="00885AB3" w:rsidRDefault="006A1AFC" w:rsidP="00120D61">
            <w:pPr>
              <w:pStyle w:val="Tabletext8pt"/>
              <w:spacing w:before="0" w:after="0"/>
              <w:jc w:val="center"/>
              <w:rPr>
                <w:rFonts w:ascii="Arial Narrow" w:hAnsi="Arial Narrow"/>
                <w:color w:val="000000"/>
                <w:sz w:val="20"/>
                <w:szCs w:val="20"/>
              </w:rPr>
            </w:pPr>
            <w:r w:rsidRPr="00885AB3">
              <w:rPr>
                <w:rFonts w:ascii="Arial Narrow" w:hAnsi="Arial Narrow"/>
                <w:color w:val="000000"/>
                <w:sz w:val="20"/>
                <w:szCs w:val="20"/>
              </w:rPr>
              <w:t xml:space="preserve">56.2% </w:t>
            </w:r>
          </w:p>
        </w:tc>
        <w:tc>
          <w:tcPr>
            <w:tcW w:w="2491" w:type="pct"/>
            <w:gridSpan w:val="4"/>
            <w:tcMar>
              <w:left w:w="57" w:type="dxa"/>
              <w:right w:w="57" w:type="dxa"/>
            </w:tcMar>
            <w:vAlign w:val="center"/>
          </w:tcPr>
          <w:p w14:paraId="3A1FF50A" w14:textId="77777777" w:rsidR="006A1AFC" w:rsidRPr="00885AB3" w:rsidRDefault="006A1AFC" w:rsidP="00120D61">
            <w:pPr>
              <w:pStyle w:val="Tabletext8pt"/>
              <w:spacing w:before="0" w:after="0"/>
              <w:jc w:val="center"/>
              <w:rPr>
                <w:rFonts w:ascii="Arial Narrow" w:hAnsi="Arial Narrow"/>
                <w:color w:val="000000"/>
                <w:sz w:val="20"/>
                <w:szCs w:val="20"/>
              </w:rPr>
            </w:pPr>
            <w:r w:rsidRPr="00885AB3">
              <w:rPr>
                <w:rFonts w:ascii="Arial Narrow" w:hAnsi="Arial Narrow"/>
                <w:color w:val="000000"/>
                <w:sz w:val="20"/>
                <w:szCs w:val="20"/>
              </w:rPr>
              <w:t>No interval efficacy presented</w:t>
            </w:r>
          </w:p>
        </w:tc>
      </w:tr>
    </w:tbl>
    <w:p w14:paraId="16D9E1C0" w14:textId="77777777" w:rsidR="006A1AFC" w:rsidRPr="00885AB3" w:rsidRDefault="006A1AFC" w:rsidP="00120D61">
      <w:pPr>
        <w:keepNext/>
        <w:rPr>
          <w:rFonts w:ascii="Arial Narrow" w:hAnsi="Arial Narrow"/>
          <w:sz w:val="18"/>
          <w:szCs w:val="18"/>
        </w:rPr>
      </w:pPr>
      <w:r w:rsidRPr="00885AB3">
        <w:rPr>
          <w:rFonts w:ascii="Arial Narrow" w:hAnsi="Arial Narrow"/>
          <w:sz w:val="18"/>
          <w:szCs w:val="18"/>
        </w:rPr>
        <w:t xml:space="preserve">Source: Figure 3-2, Figure 3-3 p241; Table 2-39, p117; Table 3-21, p242 of the submission. </w:t>
      </w:r>
    </w:p>
    <w:p w14:paraId="3FB65399" w14:textId="77777777" w:rsidR="006A1AFC" w:rsidRPr="00885AB3" w:rsidRDefault="006A1AFC" w:rsidP="00120D61">
      <w:pPr>
        <w:keepNext/>
        <w:rPr>
          <w:rFonts w:ascii="Arial Narrow" w:hAnsi="Arial Narrow"/>
          <w:bCs/>
          <w:sz w:val="18"/>
          <w:szCs w:val="18"/>
        </w:rPr>
      </w:pPr>
      <w:r w:rsidRPr="00885AB3">
        <w:rPr>
          <w:rStyle w:val="CommentReference"/>
          <w:rFonts w:eastAsiaTheme="majorEastAsia" w:cstheme="majorBidi"/>
          <w:b w:val="0"/>
          <w:bCs/>
          <w:sz w:val="18"/>
          <w:szCs w:val="18"/>
        </w:rPr>
        <w:t>RSV-ARD = respiratory syncytial virus-acute respiratory disease;</w:t>
      </w:r>
      <w:r w:rsidRPr="00885AB3">
        <w:rPr>
          <w:rFonts w:ascii="Arial Narrow" w:hAnsi="Arial Narrow"/>
          <w:bCs/>
          <w:sz w:val="18"/>
          <w:szCs w:val="18"/>
        </w:rPr>
        <w:t xml:space="preserve"> RSV-LRTD = respiratory syncytial virus-lower respiratory tract disease; VE = vaccine efficacy.</w:t>
      </w:r>
    </w:p>
    <w:p w14:paraId="50B1EE0C" w14:textId="77777777" w:rsidR="006A1AFC" w:rsidRPr="00885AB3" w:rsidRDefault="006A1AFC" w:rsidP="00120D61">
      <w:pPr>
        <w:keepNext/>
        <w:rPr>
          <w:rFonts w:ascii="Arial Narrow" w:hAnsi="Arial Narrow"/>
          <w:bCs/>
          <w:sz w:val="18"/>
          <w:szCs w:val="18"/>
        </w:rPr>
      </w:pPr>
      <w:r w:rsidRPr="00885AB3">
        <w:rPr>
          <w:rFonts w:ascii="Arial Narrow" w:hAnsi="Arial Narrow"/>
          <w:bCs/>
          <w:sz w:val="18"/>
          <w:szCs w:val="18"/>
          <w:vertAlign w:val="superscript"/>
        </w:rPr>
        <w:t xml:space="preserve">a </w:t>
      </w:r>
      <w:r w:rsidRPr="00885AB3">
        <w:rPr>
          <w:rStyle w:val="CommentReference"/>
          <w:rFonts w:eastAsiaTheme="majorEastAsia" w:cstheme="majorBidi"/>
          <w:b w:val="0"/>
          <w:bCs/>
          <w:sz w:val="18"/>
          <w:szCs w:val="18"/>
        </w:rPr>
        <w:t xml:space="preserve">Due to the model structure, direct VE for RSV-LRTD is not applied independently. Instead, it is treated as incremental benefits over RSV-ARD VE. </w:t>
      </w:r>
    </w:p>
    <w:p w14:paraId="5506178D" w14:textId="77777777" w:rsidR="006A1AFC" w:rsidRPr="00885AB3" w:rsidRDefault="006A1AFC" w:rsidP="00120D61">
      <w:pPr>
        <w:keepNext/>
        <w:rPr>
          <w:rFonts w:ascii="Arial Narrow" w:hAnsi="Arial Narrow"/>
          <w:i/>
          <w:iCs/>
          <w:sz w:val="18"/>
          <w:szCs w:val="18"/>
        </w:rPr>
      </w:pPr>
      <w:r w:rsidRPr="00885AB3">
        <w:rPr>
          <w:rFonts w:ascii="Arial Narrow" w:hAnsi="Arial Narrow"/>
          <w:bCs/>
          <w:sz w:val="18"/>
          <w:szCs w:val="18"/>
          <w:vertAlign w:val="superscript"/>
        </w:rPr>
        <w:t xml:space="preserve">b </w:t>
      </w:r>
      <w:r w:rsidRPr="00885AB3">
        <w:rPr>
          <w:rFonts w:ascii="Arial Narrow" w:hAnsi="Arial Narrow"/>
          <w:bCs/>
          <w:sz w:val="18"/>
          <w:szCs w:val="18"/>
        </w:rPr>
        <w:t>Replacing the submission’s</w:t>
      </w:r>
      <w:r w:rsidRPr="00885AB3">
        <w:rPr>
          <w:rFonts w:ascii="Arial Narrow" w:hAnsi="Arial Narrow"/>
          <w:sz w:val="18"/>
          <w:szCs w:val="18"/>
        </w:rPr>
        <w:t xml:space="preserve"> value by 100%/12 in ‘Seasonality’ worksheet of the economic model.</w:t>
      </w:r>
      <w:r w:rsidRPr="00885AB3">
        <w:rPr>
          <w:rFonts w:ascii="Arial Narrow" w:hAnsi="Arial Narrow"/>
          <w:i/>
          <w:iCs/>
          <w:sz w:val="18"/>
          <w:szCs w:val="18"/>
        </w:rPr>
        <w:t xml:space="preserve"> </w:t>
      </w:r>
    </w:p>
    <w:p w14:paraId="4FB6541B" w14:textId="77777777" w:rsidR="009F3221" w:rsidRPr="00885AB3" w:rsidRDefault="009F3221" w:rsidP="00120D61">
      <w:pPr>
        <w:keepNext/>
        <w:rPr>
          <w:rFonts w:ascii="Arial Narrow" w:hAnsi="Arial Narrow"/>
          <w:i/>
          <w:iCs/>
          <w:sz w:val="18"/>
          <w:szCs w:val="18"/>
        </w:rPr>
      </w:pPr>
    </w:p>
    <w:p w14:paraId="65C26A37" w14:textId="4C3D62EE" w:rsidR="006A1AFC" w:rsidRPr="00885AB3" w:rsidRDefault="006A1AFC" w:rsidP="00120D61">
      <w:pPr>
        <w:pStyle w:val="3-BodyText"/>
        <w:rPr>
          <w:rFonts w:cs="Calibri"/>
          <w:iCs/>
        </w:rPr>
      </w:pPr>
      <w:r w:rsidRPr="00885AB3">
        <w:rPr>
          <w:rFonts w:cs="Calibri"/>
          <w:iCs/>
        </w:rPr>
        <w:t>The</w:t>
      </w:r>
      <w:r w:rsidR="00A50BBE" w:rsidRPr="00885AB3">
        <w:rPr>
          <w:rFonts w:cs="Calibri"/>
          <w:iCs/>
        </w:rPr>
        <w:t xml:space="preserve"> ESC agreed with the evaluation that</w:t>
      </w:r>
      <w:r w:rsidRPr="00885AB3">
        <w:rPr>
          <w:rFonts w:cs="Calibri"/>
          <w:iCs/>
        </w:rPr>
        <w:t xml:space="preserve"> extrapolation of VE</w:t>
      </w:r>
      <w:r w:rsidR="00A50BBE" w:rsidRPr="00885AB3">
        <w:rPr>
          <w:rFonts w:cs="Calibri"/>
          <w:iCs/>
        </w:rPr>
        <w:t xml:space="preserve"> in the submission</w:t>
      </w:r>
      <w:r w:rsidRPr="00885AB3">
        <w:rPr>
          <w:rFonts w:cs="Calibri"/>
          <w:iCs/>
        </w:rPr>
        <w:t xml:space="preserve"> presents several issues. In particular, </w:t>
      </w:r>
    </w:p>
    <w:p w14:paraId="35F43B62" w14:textId="512C2E31" w:rsidR="003378FE" w:rsidRPr="00885AB3" w:rsidRDefault="006A1AFC" w:rsidP="00120D61">
      <w:pPr>
        <w:pStyle w:val="3-BodyText"/>
        <w:numPr>
          <w:ilvl w:val="0"/>
          <w:numId w:val="21"/>
        </w:numPr>
        <w:rPr>
          <w:rFonts w:cs="Calibri"/>
          <w:iCs/>
        </w:rPr>
      </w:pPr>
      <w:r w:rsidRPr="00885AB3">
        <w:rPr>
          <w:rFonts w:cs="Calibri"/>
          <w:iCs/>
        </w:rPr>
        <w:t xml:space="preserve">Duration of follow-up: Extrapolation of the duration of protection to 5 years is based on limited follow-up data from </w:t>
      </w:r>
      <w:proofErr w:type="spellStart"/>
      <w:r w:rsidRPr="00885AB3">
        <w:rPr>
          <w:rFonts w:cs="Calibri"/>
          <w:iCs/>
        </w:rPr>
        <w:t>ConquerRSV</w:t>
      </w:r>
      <w:proofErr w:type="spellEnd"/>
      <w:r w:rsidRPr="00885AB3">
        <w:rPr>
          <w:rFonts w:cs="Calibri"/>
          <w:iCs/>
        </w:rPr>
        <w:t xml:space="preserve"> (median follow-up of 18.8 months). </w:t>
      </w:r>
      <w:r w:rsidR="00AD17DC" w:rsidRPr="00885AB3">
        <w:rPr>
          <w:rFonts w:cs="Calibri"/>
          <w:iCs/>
        </w:rPr>
        <w:t>The pre-PBAC response accepted a 4-year time horizon.</w:t>
      </w:r>
    </w:p>
    <w:p w14:paraId="6E71B2B1" w14:textId="0649A0FE" w:rsidR="006A1AFC" w:rsidRPr="00885AB3" w:rsidRDefault="00407158" w:rsidP="00120D61">
      <w:pPr>
        <w:pStyle w:val="3-BodyText"/>
        <w:numPr>
          <w:ilvl w:val="0"/>
          <w:numId w:val="21"/>
        </w:numPr>
        <w:rPr>
          <w:rFonts w:cs="Calibri"/>
          <w:iCs/>
        </w:rPr>
      </w:pPr>
      <w:r w:rsidRPr="00885AB3">
        <w:rPr>
          <w:rFonts w:cs="Calibri"/>
          <w:iCs/>
        </w:rPr>
        <w:t xml:space="preserve">Data limitations: </w:t>
      </w:r>
      <w:r w:rsidR="006A1AFC" w:rsidRPr="00885AB3">
        <w:rPr>
          <w:rFonts w:cs="Calibri"/>
          <w:iCs/>
        </w:rPr>
        <w:t xml:space="preserve">As source data were not provided, the non-linear model fit </w:t>
      </w:r>
      <w:r w:rsidR="00D15CED" w:rsidRPr="00885AB3">
        <w:rPr>
          <w:rFonts w:cs="Calibri"/>
          <w:iCs/>
        </w:rPr>
        <w:t xml:space="preserve">could not </w:t>
      </w:r>
      <w:r w:rsidR="006A1AFC" w:rsidRPr="00885AB3">
        <w:rPr>
          <w:rFonts w:cs="Calibri"/>
          <w:iCs/>
        </w:rPr>
        <w:t>be verified</w:t>
      </w:r>
      <w:r w:rsidR="00D15CED" w:rsidRPr="00885AB3">
        <w:rPr>
          <w:rFonts w:cs="Calibri"/>
          <w:iCs/>
        </w:rPr>
        <w:t xml:space="preserve"> by the evaluation</w:t>
      </w:r>
      <w:r w:rsidR="006A1AFC" w:rsidRPr="00885AB3">
        <w:rPr>
          <w:rFonts w:cs="Calibri"/>
          <w:iCs/>
        </w:rPr>
        <w:t xml:space="preserve">. The estimated VE in the model is higher than observed in </w:t>
      </w:r>
      <w:proofErr w:type="spellStart"/>
      <w:r w:rsidR="006A1AFC" w:rsidRPr="00885AB3">
        <w:rPr>
          <w:rFonts w:cs="Calibri"/>
          <w:iCs/>
        </w:rPr>
        <w:t>ConquerRSV</w:t>
      </w:r>
      <w:proofErr w:type="spellEnd"/>
      <w:r w:rsidR="006A1AFC" w:rsidRPr="00885AB3">
        <w:rPr>
          <w:rFonts w:cs="Calibri"/>
          <w:iCs/>
        </w:rPr>
        <w:t xml:space="preserve"> in Year 1 for both RSV-ARD </w:t>
      </w:r>
      <w:r w:rsidR="00412525" w:rsidRPr="00885AB3">
        <w:rPr>
          <w:rFonts w:cs="Calibri"/>
          <w:iCs/>
        </w:rPr>
        <w:t>(</w:t>
      </w:r>
      <w:r w:rsidR="00C41B30" w:rsidRPr="00885AB3">
        <w:rPr>
          <w:rFonts w:cs="Calibri"/>
          <w:iCs/>
        </w:rPr>
        <w:t xml:space="preserve">57.0% vs </w:t>
      </w:r>
      <w:r w:rsidR="00F33865" w:rsidRPr="00885AB3">
        <w:rPr>
          <w:rFonts w:cs="Calibri"/>
          <w:iCs/>
        </w:rPr>
        <w:t>50.9%</w:t>
      </w:r>
      <w:r w:rsidR="00412525" w:rsidRPr="00885AB3">
        <w:rPr>
          <w:rFonts w:cs="Calibri"/>
          <w:iCs/>
        </w:rPr>
        <w:t>)</w:t>
      </w:r>
      <w:r w:rsidR="006A1AFC" w:rsidRPr="00885AB3">
        <w:rPr>
          <w:rFonts w:cs="Calibri"/>
          <w:iCs/>
        </w:rPr>
        <w:t xml:space="preserve"> and RSV-LRTD</w:t>
      </w:r>
      <w:r w:rsidR="00847EDE" w:rsidRPr="00885AB3">
        <w:rPr>
          <w:rFonts w:cs="Calibri"/>
          <w:iCs/>
        </w:rPr>
        <w:t xml:space="preserve"> </w:t>
      </w:r>
      <w:r w:rsidR="00EF2FA4">
        <w:rPr>
          <w:rFonts w:cstheme="minorHAnsi"/>
          <w:iCs/>
          <w:szCs w:val="24"/>
        </w:rPr>
        <w:t xml:space="preserve">≥ </w:t>
      </w:r>
      <w:r w:rsidR="00847EDE" w:rsidRPr="00885AB3">
        <w:rPr>
          <w:rFonts w:cstheme="minorHAnsi"/>
          <w:iCs/>
          <w:szCs w:val="24"/>
        </w:rPr>
        <w:t>2 symptoms</w:t>
      </w:r>
      <w:r w:rsidR="00F33865" w:rsidRPr="00885AB3">
        <w:rPr>
          <w:rFonts w:cs="Calibri"/>
          <w:iCs/>
        </w:rPr>
        <w:t xml:space="preserve"> (64.2% vs 56.2%)</w:t>
      </w:r>
      <w:r w:rsidR="006A1AFC" w:rsidRPr="00885AB3">
        <w:rPr>
          <w:rFonts w:cs="Calibri"/>
          <w:iCs/>
        </w:rPr>
        <w:t>.</w:t>
      </w:r>
      <w:r w:rsidR="00810611" w:rsidRPr="00885AB3">
        <w:rPr>
          <w:rFonts w:cs="Calibri"/>
          <w:iCs/>
        </w:rPr>
        <w:t xml:space="preserve"> The </w:t>
      </w:r>
      <w:r w:rsidR="002B125D" w:rsidRPr="00885AB3">
        <w:rPr>
          <w:rFonts w:cs="Calibri"/>
          <w:iCs/>
        </w:rPr>
        <w:t xml:space="preserve">PSCR stated that </w:t>
      </w:r>
      <w:r w:rsidR="007824B0" w:rsidRPr="00885AB3">
        <w:rPr>
          <w:rFonts w:cs="Calibri"/>
          <w:iCs/>
        </w:rPr>
        <w:t>the source data used for extrapolations cannot be provided and that the processes undertaken have been described in the submission.</w:t>
      </w:r>
      <w:r w:rsidR="005900E1" w:rsidRPr="00885AB3">
        <w:rPr>
          <w:rFonts w:cs="Calibri"/>
          <w:iCs/>
        </w:rPr>
        <w:t xml:space="preserve"> However, the ESC considered that without the provision of the underlying source data, the use </w:t>
      </w:r>
      <w:r w:rsidR="005900E1" w:rsidRPr="00885AB3">
        <w:rPr>
          <w:rFonts w:cs="Calibri"/>
          <w:iCs/>
        </w:rPr>
        <w:lastRenderedPageBreak/>
        <w:t>of these data in the submission cannot be supported.</w:t>
      </w:r>
      <w:r w:rsidR="007824B0" w:rsidRPr="00885AB3">
        <w:rPr>
          <w:rFonts w:cs="Calibri"/>
          <w:iCs/>
        </w:rPr>
        <w:t xml:space="preserve"> The PSCR </w:t>
      </w:r>
      <w:r w:rsidR="008D2C8E" w:rsidRPr="00885AB3">
        <w:rPr>
          <w:rFonts w:cs="Calibri"/>
          <w:iCs/>
        </w:rPr>
        <w:t>stated</w:t>
      </w:r>
      <w:r w:rsidR="007824B0" w:rsidRPr="00885AB3">
        <w:rPr>
          <w:rFonts w:cs="Calibri"/>
          <w:iCs/>
        </w:rPr>
        <w:t xml:space="preserve"> that the non-linear waning model presented in th</w:t>
      </w:r>
      <w:r w:rsidR="0000276D" w:rsidRPr="00885AB3">
        <w:rPr>
          <w:rFonts w:cs="Calibri"/>
          <w:iCs/>
        </w:rPr>
        <w:t>e</w:t>
      </w:r>
      <w:r w:rsidR="007824B0" w:rsidRPr="00885AB3">
        <w:rPr>
          <w:rFonts w:cs="Calibri"/>
          <w:iCs/>
        </w:rPr>
        <w:t xml:space="preserve"> submission is the same that has been presented to </w:t>
      </w:r>
      <w:r w:rsidR="001306FF" w:rsidRPr="00885AB3">
        <w:rPr>
          <w:rFonts w:cs="Calibri"/>
          <w:iCs/>
        </w:rPr>
        <w:t xml:space="preserve">the </w:t>
      </w:r>
      <w:r w:rsidR="001306FF" w:rsidRPr="00885AB3">
        <w:rPr>
          <w:iCs/>
        </w:rPr>
        <w:t>Advisory Committee on Immunization Practices (</w:t>
      </w:r>
      <w:r w:rsidR="007824B0" w:rsidRPr="00885AB3">
        <w:rPr>
          <w:rFonts w:cs="Calibri"/>
          <w:iCs/>
        </w:rPr>
        <w:t>ACIP</w:t>
      </w:r>
      <w:r w:rsidR="001306FF" w:rsidRPr="00885AB3">
        <w:rPr>
          <w:rFonts w:cs="Calibri"/>
          <w:iCs/>
        </w:rPr>
        <w:t>)</w:t>
      </w:r>
      <w:r w:rsidR="00FE7DBD" w:rsidRPr="00885AB3">
        <w:rPr>
          <w:rFonts w:cs="Calibri"/>
          <w:iCs/>
        </w:rPr>
        <w:t xml:space="preserve"> </w:t>
      </w:r>
      <w:r w:rsidR="00FE7DBD" w:rsidRPr="00885AB3">
        <w:rPr>
          <w:iCs/>
        </w:rPr>
        <w:t xml:space="preserve">of the United States </w:t>
      </w:r>
      <w:proofErr w:type="spellStart"/>
      <w:r w:rsidR="00FE7DBD" w:rsidRPr="00885AB3">
        <w:rPr>
          <w:iCs/>
        </w:rPr>
        <w:t>Centers</w:t>
      </w:r>
      <w:proofErr w:type="spellEnd"/>
      <w:r w:rsidR="00FE7DBD" w:rsidRPr="00885AB3">
        <w:rPr>
          <w:iCs/>
        </w:rPr>
        <w:t xml:space="preserve"> for Disease Control and Prevention (CDC)</w:t>
      </w:r>
      <w:r w:rsidR="00645F7F" w:rsidRPr="00885AB3">
        <w:rPr>
          <w:iCs/>
        </w:rPr>
        <w:t xml:space="preserve"> (see</w:t>
      </w:r>
      <w:r w:rsidR="00AA506C" w:rsidRPr="00885AB3">
        <w:rPr>
          <w:iCs/>
        </w:rPr>
        <w:t xml:space="preserve"> also</w:t>
      </w:r>
      <w:r w:rsidR="00645F7F" w:rsidRPr="00885AB3">
        <w:rPr>
          <w:iCs/>
        </w:rPr>
        <w:t xml:space="preserve"> next dot point)</w:t>
      </w:r>
      <w:r w:rsidR="007824B0" w:rsidRPr="00885AB3">
        <w:rPr>
          <w:rFonts w:cs="Calibri"/>
          <w:iCs/>
        </w:rPr>
        <w:t>.</w:t>
      </w:r>
      <w:r w:rsidR="00F97624" w:rsidRPr="00885AB3">
        <w:rPr>
          <w:rFonts w:cs="Calibri"/>
          <w:iCs/>
        </w:rPr>
        <w:t xml:space="preserve"> </w:t>
      </w:r>
      <w:r w:rsidR="00F97624" w:rsidRPr="00885AB3">
        <w:rPr>
          <w:iCs/>
        </w:rPr>
        <w:t>The clarification sought regarding the differences in waning shapes between the submission (non-linear) and the analysis presented to ACIP (linear) remains unaddressed.</w:t>
      </w:r>
    </w:p>
    <w:p w14:paraId="1AE13407" w14:textId="43EBEA63" w:rsidR="006A1AFC" w:rsidRPr="00885AB3" w:rsidRDefault="006A1AFC" w:rsidP="00120D61">
      <w:pPr>
        <w:pStyle w:val="3-BodyText"/>
        <w:numPr>
          <w:ilvl w:val="0"/>
          <w:numId w:val="21"/>
        </w:numPr>
        <w:rPr>
          <w:rFonts w:cs="Calibri"/>
          <w:iCs/>
        </w:rPr>
      </w:pPr>
      <w:r w:rsidRPr="00885AB3">
        <w:rPr>
          <w:rFonts w:cs="Calibri"/>
          <w:iCs/>
        </w:rPr>
        <w:t>Magnitude and pattern of waning: The waning estimates, which showed a slower and more stable plateau pattern over time compared to earlier time points, are highly uncertain as they are not supported by clinical data.</w:t>
      </w:r>
      <w:r w:rsidR="001C78D7">
        <w:rPr>
          <w:rFonts w:cs="Calibri"/>
          <w:iCs/>
        </w:rPr>
        <w:t xml:space="preserve"> </w:t>
      </w:r>
      <w:r w:rsidR="00132755" w:rsidRPr="00885AB3">
        <w:rPr>
          <w:rFonts w:cs="Calibri"/>
          <w:iCs/>
        </w:rPr>
        <w:t>Uncertainties raised</w:t>
      </w:r>
      <w:r w:rsidR="0055109B" w:rsidRPr="00885AB3">
        <w:rPr>
          <w:rFonts w:cs="Calibri"/>
          <w:iCs/>
        </w:rPr>
        <w:t xml:space="preserve"> by</w:t>
      </w:r>
      <w:r w:rsidR="00132755" w:rsidRPr="00885AB3">
        <w:rPr>
          <w:rFonts w:cs="Calibri"/>
          <w:iCs/>
        </w:rPr>
        <w:t xml:space="preserve"> </w:t>
      </w:r>
      <w:r w:rsidR="00D220C6" w:rsidRPr="00885AB3">
        <w:rPr>
          <w:rFonts w:cs="Calibri"/>
          <w:iCs/>
        </w:rPr>
        <w:t>ATAGI remain.</w:t>
      </w:r>
      <w:r w:rsidR="00132755" w:rsidRPr="00885AB3">
        <w:rPr>
          <w:rFonts w:cs="Calibri"/>
          <w:iCs/>
        </w:rPr>
        <w:t xml:space="preserve"> </w:t>
      </w:r>
      <w:proofErr w:type="gramStart"/>
      <w:r w:rsidR="00603AA0" w:rsidRPr="00885AB3">
        <w:rPr>
          <w:rFonts w:cs="Calibri"/>
          <w:iCs/>
        </w:rPr>
        <w:t xml:space="preserve">In particular, </w:t>
      </w:r>
      <w:r w:rsidRPr="00885AB3">
        <w:rPr>
          <w:rFonts w:cs="Calibri"/>
          <w:iCs/>
        </w:rPr>
        <w:t>ATAGI</w:t>
      </w:r>
      <w:proofErr w:type="gramEnd"/>
      <w:r w:rsidRPr="00885AB3">
        <w:rPr>
          <w:rFonts w:cs="Calibri"/>
          <w:iCs/>
        </w:rPr>
        <w:t xml:space="preserve"> requested clarification on whether the waning model used a cumulative or interval analysis (ATAGI Advice, June 2025). The sponsor responded that the estimates were based on monthly interval-specific data; however, no source data were provided to verify this. The submission did not explicitly state whether the estimates were </w:t>
      </w:r>
      <w:r w:rsidR="00DD54B2" w:rsidRPr="00885AB3">
        <w:rPr>
          <w:rFonts w:cs="Calibri"/>
          <w:iCs/>
        </w:rPr>
        <w:t>cumulative</w:t>
      </w:r>
      <w:r w:rsidRPr="00885AB3">
        <w:rPr>
          <w:rFonts w:cs="Calibri"/>
          <w:iCs/>
        </w:rPr>
        <w:t xml:space="preserve"> or interval based. If cumulative, </w:t>
      </w:r>
      <w:r w:rsidR="007149C8" w:rsidRPr="00885AB3">
        <w:rPr>
          <w:rFonts w:cs="Calibri"/>
          <w:iCs/>
        </w:rPr>
        <w:t xml:space="preserve">the ESC noted that </w:t>
      </w:r>
      <w:r w:rsidRPr="00885AB3">
        <w:rPr>
          <w:rFonts w:cs="Calibri"/>
          <w:iCs/>
        </w:rPr>
        <w:t xml:space="preserve">it may overstate protection at later time points, as early effects inflate the average. An external waning analysis for </w:t>
      </w:r>
      <w:proofErr w:type="spellStart"/>
      <w:r w:rsidRPr="00885AB3">
        <w:rPr>
          <w:rFonts w:cs="Calibri"/>
          <w:iCs/>
        </w:rPr>
        <w:t>ConquerRSV</w:t>
      </w:r>
      <w:proofErr w:type="spellEnd"/>
      <w:r w:rsidRPr="00885AB3">
        <w:rPr>
          <w:rFonts w:cs="Calibri"/>
          <w:iCs/>
        </w:rPr>
        <w:t xml:space="preserve"> presented to the U.S. CDC assuming a linear waning pattern, suggested a more rapid decline in VE, approximately 2.4% per month</w:t>
      </w:r>
      <w:r w:rsidRPr="00885AB3">
        <w:rPr>
          <w:rStyle w:val="FootnoteReference"/>
          <w:rFonts w:cs="Calibri"/>
          <w:iCs/>
        </w:rPr>
        <w:footnoteReference w:id="8"/>
      </w:r>
      <w:r w:rsidRPr="00885AB3">
        <w:rPr>
          <w:rFonts w:cs="Calibri"/>
          <w:iCs/>
        </w:rPr>
        <w:t>. An approximate interval efficacy estimate conducted during the evaluation</w:t>
      </w:r>
      <w:r w:rsidR="000B296B" w:rsidRPr="00885AB3">
        <w:rPr>
          <w:rFonts w:cs="Calibri"/>
          <w:iCs/>
        </w:rPr>
        <w:t xml:space="preserve"> (for information purposes only)</w:t>
      </w:r>
      <w:r w:rsidRPr="00885AB3">
        <w:rPr>
          <w:rFonts w:cs="Calibri"/>
          <w:iCs/>
        </w:rPr>
        <w:t xml:space="preserve"> also showed a sharper decline, with VE for RSV-LRTD dropping to 28.3% at 12–24 months, compared to 45.6% in the submission</w:t>
      </w:r>
      <w:r w:rsidR="002902C5" w:rsidRPr="00885AB3">
        <w:rPr>
          <w:rFonts w:cs="Calibri"/>
          <w:iCs/>
        </w:rPr>
        <w:t>’s model</w:t>
      </w:r>
      <w:r w:rsidRPr="00885AB3">
        <w:rPr>
          <w:rFonts w:cs="Calibri"/>
          <w:iCs/>
        </w:rPr>
        <w:t>.</w:t>
      </w:r>
      <w:r w:rsidR="00BA2E99" w:rsidRPr="00885AB3">
        <w:rPr>
          <w:rFonts w:cs="Calibri"/>
          <w:iCs/>
        </w:rPr>
        <w:t xml:space="preserve"> </w:t>
      </w:r>
      <w:r w:rsidR="009D12F1" w:rsidRPr="00885AB3">
        <w:rPr>
          <w:rFonts w:cs="Calibri"/>
          <w:iCs/>
        </w:rPr>
        <w:t>The PSCR stated</w:t>
      </w:r>
      <w:r w:rsidR="001C78D7">
        <w:rPr>
          <w:rFonts w:cs="Calibri"/>
          <w:iCs/>
        </w:rPr>
        <w:t xml:space="preserve"> </w:t>
      </w:r>
      <w:r w:rsidR="009D12F1" w:rsidRPr="00885AB3">
        <w:rPr>
          <w:rFonts w:cs="Calibri"/>
          <w:iCs/>
        </w:rPr>
        <w:t>that this</w:t>
      </w:r>
      <w:r w:rsidR="00FB26D3" w:rsidRPr="00885AB3">
        <w:rPr>
          <w:rFonts w:cs="Calibri"/>
          <w:iCs/>
        </w:rPr>
        <w:t xml:space="preserve"> analysis was inappropriate as it lacks statistical rigour</w:t>
      </w:r>
      <w:r w:rsidR="00A064F4" w:rsidRPr="00885AB3">
        <w:rPr>
          <w:rFonts w:cs="Calibri"/>
          <w:iCs/>
        </w:rPr>
        <w:t>, however the PSCR did not provide alternative estimates of</w:t>
      </w:r>
      <w:r w:rsidR="009C14F2" w:rsidRPr="00885AB3">
        <w:rPr>
          <w:rFonts w:cstheme="minorHAnsi"/>
          <w:iCs/>
          <w:szCs w:val="24"/>
        </w:rPr>
        <w:t xml:space="preserve"> interval-specific VE</w:t>
      </w:r>
      <w:r w:rsidR="00FB26D3" w:rsidRPr="00885AB3">
        <w:rPr>
          <w:rFonts w:cs="Calibri"/>
          <w:iCs/>
        </w:rPr>
        <w:t xml:space="preserve">. </w:t>
      </w:r>
      <w:r w:rsidR="00BA2E99" w:rsidRPr="00885AB3">
        <w:rPr>
          <w:iCs/>
        </w:rPr>
        <w:t xml:space="preserve">The </w:t>
      </w:r>
      <w:r w:rsidR="008D2C8E" w:rsidRPr="00885AB3">
        <w:rPr>
          <w:iCs/>
        </w:rPr>
        <w:t>submission</w:t>
      </w:r>
      <w:r w:rsidR="00BA2E99" w:rsidRPr="00885AB3">
        <w:rPr>
          <w:iCs/>
        </w:rPr>
        <w:t xml:space="preserve"> </w:t>
      </w:r>
      <w:r w:rsidR="00A55D82" w:rsidRPr="00885AB3">
        <w:rPr>
          <w:iCs/>
        </w:rPr>
        <w:t>indicated</w:t>
      </w:r>
      <w:r w:rsidR="00BA2E99" w:rsidRPr="00885AB3">
        <w:rPr>
          <w:iCs/>
        </w:rPr>
        <w:t xml:space="preserve"> that follow-up in </w:t>
      </w:r>
      <w:proofErr w:type="spellStart"/>
      <w:r w:rsidR="00BA2E99" w:rsidRPr="00885AB3">
        <w:rPr>
          <w:iCs/>
        </w:rPr>
        <w:t>ConquerRSV</w:t>
      </w:r>
      <w:proofErr w:type="spellEnd"/>
      <w:r w:rsidR="00BA2E99" w:rsidRPr="00885AB3">
        <w:rPr>
          <w:iCs/>
        </w:rPr>
        <w:t xml:space="preserve"> </w:t>
      </w:r>
      <w:r w:rsidR="008D2C8E" w:rsidRPr="00885AB3">
        <w:rPr>
          <w:iCs/>
        </w:rPr>
        <w:t>was</w:t>
      </w:r>
      <w:r w:rsidR="00BA2E99" w:rsidRPr="00885AB3">
        <w:rPr>
          <w:iCs/>
        </w:rPr>
        <w:t xml:space="preserve"> ongoing </w:t>
      </w:r>
      <w:r w:rsidR="008D2C8E" w:rsidRPr="00885AB3">
        <w:rPr>
          <w:iCs/>
        </w:rPr>
        <w:t xml:space="preserve">at time of submission, </w:t>
      </w:r>
      <w:r w:rsidR="00BA2E99" w:rsidRPr="00885AB3">
        <w:rPr>
          <w:iCs/>
        </w:rPr>
        <w:t xml:space="preserve">with 24-month follow-up data expected, which </w:t>
      </w:r>
      <w:r w:rsidR="00F44CBC" w:rsidRPr="00885AB3">
        <w:rPr>
          <w:iCs/>
        </w:rPr>
        <w:t>would</w:t>
      </w:r>
      <w:r w:rsidR="00BA2E99" w:rsidRPr="00885AB3">
        <w:rPr>
          <w:iCs/>
        </w:rPr>
        <w:t xml:space="preserve"> allow for greater precision in the presented model</w:t>
      </w:r>
      <w:r w:rsidR="008D2C8E" w:rsidRPr="00885AB3">
        <w:rPr>
          <w:iCs/>
        </w:rPr>
        <w:t>. A</w:t>
      </w:r>
      <w:r w:rsidR="00BA2E99" w:rsidRPr="00885AB3">
        <w:rPr>
          <w:iCs/>
        </w:rPr>
        <w:t xml:space="preserve">dditional analyses, including alternative waning assumptions </w:t>
      </w:r>
      <w:r w:rsidR="00F44CBC" w:rsidRPr="00885AB3">
        <w:rPr>
          <w:iCs/>
        </w:rPr>
        <w:t>were to</w:t>
      </w:r>
      <w:r w:rsidR="00BA2E99" w:rsidRPr="00885AB3">
        <w:rPr>
          <w:iCs/>
        </w:rPr>
        <w:t xml:space="preserve"> be conducted and incorporated into the PBAC submission</w:t>
      </w:r>
      <w:r w:rsidR="00394642" w:rsidRPr="00885AB3">
        <w:rPr>
          <w:iCs/>
        </w:rPr>
        <w:t xml:space="preserve"> </w:t>
      </w:r>
      <w:r w:rsidR="00BA2E99" w:rsidRPr="00885AB3">
        <w:rPr>
          <w:iCs/>
        </w:rPr>
        <w:t>(ATAGI Advice, June 2025).</w:t>
      </w:r>
      <w:r w:rsidR="00394642" w:rsidRPr="00885AB3">
        <w:rPr>
          <w:iCs/>
        </w:rPr>
        <w:t xml:space="preserve"> No additional analyses </w:t>
      </w:r>
      <w:r w:rsidR="00085BC5" w:rsidRPr="00885AB3">
        <w:rPr>
          <w:iCs/>
        </w:rPr>
        <w:t>were</w:t>
      </w:r>
      <w:r w:rsidR="00394642" w:rsidRPr="00885AB3">
        <w:rPr>
          <w:iCs/>
        </w:rPr>
        <w:t xml:space="preserve"> presented in the submission to the PBAC.</w:t>
      </w:r>
    </w:p>
    <w:p w14:paraId="4C95B09B" w14:textId="4995E07B" w:rsidR="006A1AFC" w:rsidRPr="00885AB3" w:rsidRDefault="006A1AFC" w:rsidP="00120D61">
      <w:pPr>
        <w:pStyle w:val="3-BodyText"/>
        <w:numPr>
          <w:ilvl w:val="0"/>
          <w:numId w:val="21"/>
        </w:numPr>
        <w:rPr>
          <w:rFonts w:cs="Calibri"/>
          <w:iCs/>
        </w:rPr>
      </w:pPr>
      <w:r w:rsidRPr="00885AB3">
        <w:rPr>
          <w:rFonts w:cs="Calibri"/>
          <w:iCs/>
        </w:rPr>
        <w:t xml:space="preserve">Seasonality: The use of seasonality for RSV vaccines was not </w:t>
      </w:r>
      <w:r w:rsidR="0074211F" w:rsidRPr="00885AB3">
        <w:rPr>
          <w:rFonts w:cs="Calibri"/>
          <w:iCs/>
        </w:rPr>
        <w:t xml:space="preserve">previously </w:t>
      </w:r>
      <w:r w:rsidRPr="00885AB3">
        <w:rPr>
          <w:rFonts w:cs="Calibri"/>
          <w:iCs/>
        </w:rPr>
        <w:t xml:space="preserve">supported by ATAGI (ATAGI Advice, September 2024) </w:t>
      </w:r>
      <w:r w:rsidR="00C934A8" w:rsidRPr="00885AB3">
        <w:rPr>
          <w:rFonts w:cs="Calibri"/>
          <w:iCs/>
        </w:rPr>
        <w:t xml:space="preserve">or </w:t>
      </w:r>
      <w:r w:rsidRPr="00885AB3">
        <w:rPr>
          <w:rFonts w:cs="Calibri"/>
          <w:iCs/>
        </w:rPr>
        <w:t>PBAC (paragraph 6.51, RSVPreF3 OA PSD, July 2024).</w:t>
      </w:r>
      <w:r w:rsidR="002E6E69" w:rsidRPr="00885AB3">
        <w:rPr>
          <w:rFonts w:cs="Calibri"/>
          <w:iCs/>
        </w:rPr>
        <w:t xml:space="preserve"> The PSCR disagreed with removing the seasonality from the economic model, stating that while the optimal timing for a roll-out of a national program vaccination against RSV in older adults may vary </w:t>
      </w:r>
      <w:r w:rsidR="00EE2422" w:rsidRPr="00885AB3">
        <w:rPr>
          <w:rFonts w:cs="Calibri"/>
          <w:iCs/>
        </w:rPr>
        <w:t>between the states</w:t>
      </w:r>
      <w:r w:rsidR="002E6E69" w:rsidRPr="00885AB3">
        <w:rPr>
          <w:rFonts w:cs="Calibri"/>
          <w:iCs/>
        </w:rPr>
        <w:t xml:space="preserve">, national data on seasonality ought to be applied. </w:t>
      </w:r>
    </w:p>
    <w:p w14:paraId="25A50FC3" w14:textId="27648FAC" w:rsidR="006A1AFC" w:rsidRPr="00885AB3" w:rsidRDefault="006A1AFC" w:rsidP="00120D61">
      <w:pPr>
        <w:pStyle w:val="3-BodyText"/>
        <w:numPr>
          <w:ilvl w:val="0"/>
          <w:numId w:val="0"/>
        </w:numPr>
        <w:ind w:left="720"/>
        <w:rPr>
          <w:rFonts w:cs="Calibri"/>
          <w:iCs/>
        </w:rPr>
      </w:pPr>
      <w:r w:rsidRPr="00885AB3">
        <w:rPr>
          <w:rFonts w:cs="Calibri"/>
          <w:iCs/>
        </w:rPr>
        <w:lastRenderedPageBreak/>
        <w:t>These issues suggest that the VE used in the model is likely overestimated compared with the trial data.</w:t>
      </w:r>
      <w:r w:rsidR="001C78D7">
        <w:rPr>
          <w:rFonts w:cs="Calibri"/>
          <w:iCs/>
        </w:rPr>
        <w:t xml:space="preserve"> </w:t>
      </w:r>
      <w:r w:rsidRPr="00885AB3">
        <w:rPr>
          <w:rFonts w:cs="Calibri"/>
          <w:iCs/>
        </w:rPr>
        <w:t xml:space="preserve">Additionally, the waning of VE over time suggests a potential need for revaccination sooner than the extrapolated period of 5 years. </w:t>
      </w:r>
      <w:r w:rsidR="009113DD" w:rsidRPr="00885AB3">
        <w:rPr>
          <w:rFonts w:cs="Calibri"/>
          <w:iCs/>
        </w:rPr>
        <w:t xml:space="preserve">The ESC noted that </w:t>
      </w:r>
      <w:r w:rsidR="00714EC9" w:rsidRPr="00885AB3">
        <w:rPr>
          <w:rFonts w:cs="Calibri"/>
          <w:iCs/>
        </w:rPr>
        <w:t>r</w:t>
      </w:r>
      <w:r w:rsidRPr="00885AB3">
        <w:rPr>
          <w:rFonts w:cs="Calibri"/>
          <w:iCs/>
        </w:rPr>
        <w:t xml:space="preserve">evaccination was not considered in the current model. </w:t>
      </w:r>
    </w:p>
    <w:p w14:paraId="485A836E" w14:textId="2F13BE97" w:rsidR="006A1AFC" w:rsidRPr="00885AB3" w:rsidRDefault="006A1AFC" w:rsidP="00120D61">
      <w:pPr>
        <w:pStyle w:val="3-BodyText"/>
        <w:rPr>
          <w:rFonts w:cs="Calibri"/>
          <w:iCs/>
        </w:rPr>
      </w:pPr>
      <w:r w:rsidRPr="00885AB3">
        <w:rPr>
          <w:rFonts w:cs="Calibri"/>
          <w:iCs/>
        </w:rPr>
        <w:t>The submission used unpublished utility decrement values for RSV-related QALY loss, sourced from ACIP presentations and based on the JIVE COVID/RSV utilities study (Hutton et al. 2023, 2024). These values were derived from a time trade-off survey but the material provided with the submission lacked methodological details and could not be verified</w:t>
      </w:r>
      <w:r w:rsidR="00957870" w:rsidRPr="00885AB3">
        <w:rPr>
          <w:rFonts w:cs="Calibri"/>
          <w:iCs/>
        </w:rPr>
        <w:t xml:space="preserve"> during the evaluation</w:t>
      </w:r>
      <w:r w:rsidRPr="00885AB3">
        <w:rPr>
          <w:rFonts w:cs="Calibri"/>
          <w:iCs/>
        </w:rPr>
        <w:t>. The disutility values likely reflect a U.S. outpatient setting which may include more severe cases, compared to typical Australian GP visits</w:t>
      </w:r>
      <w:r w:rsidRPr="00885AB3" w:rsidDel="003142DE">
        <w:rPr>
          <w:rFonts w:cs="Calibri"/>
          <w:iCs/>
        </w:rPr>
        <w:t xml:space="preserve"> </w:t>
      </w:r>
      <w:r w:rsidRPr="00885AB3">
        <w:rPr>
          <w:rFonts w:cs="Calibri"/>
          <w:iCs/>
        </w:rPr>
        <w:t xml:space="preserve">and may overstate the RSV impact on disutility. The outpatient disutility (0.0185) used in the model was higher than previously considered by the PBAC in the </w:t>
      </w:r>
      <w:proofErr w:type="spellStart"/>
      <w:r w:rsidRPr="00885AB3">
        <w:rPr>
          <w:rFonts w:cs="Calibri"/>
          <w:iCs/>
        </w:rPr>
        <w:t>RSVPreF</w:t>
      </w:r>
      <w:proofErr w:type="spellEnd"/>
      <w:r w:rsidRPr="00885AB3">
        <w:rPr>
          <w:rFonts w:cs="Calibri"/>
          <w:iCs/>
        </w:rPr>
        <w:t xml:space="preserve"> model (0.0054; paragraph 6.40, </w:t>
      </w:r>
      <w:proofErr w:type="spellStart"/>
      <w:r w:rsidRPr="00885AB3">
        <w:rPr>
          <w:rFonts w:cs="Calibri"/>
          <w:iCs/>
        </w:rPr>
        <w:t>RSVPreF</w:t>
      </w:r>
      <w:proofErr w:type="spellEnd"/>
      <w:r w:rsidRPr="00885AB3">
        <w:rPr>
          <w:rFonts w:cs="Calibri"/>
          <w:iCs/>
        </w:rPr>
        <w:t xml:space="preserve"> PSD, November 2024). A sensitivity analysis using the lower </w:t>
      </w:r>
      <w:proofErr w:type="spellStart"/>
      <w:r w:rsidRPr="00885AB3">
        <w:rPr>
          <w:rFonts w:cs="Calibri"/>
          <w:iCs/>
        </w:rPr>
        <w:t>RSVPreF</w:t>
      </w:r>
      <w:proofErr w:type="spellEnd"/>
      <w:r w:rsidRPr="00885AB3">
        <w:rPr>
          <w:rFonts w:cs="Calibri"/>
          <w:iCs/>
        </w:rPr>
        <w:t xml:space="preserve"> value is</w:t>
      </w:r>
      <w:r w:rsidR="00F82B8D" w:rsidRPr="00885AB3">
        <w:rPr>
          <w:rFonts w:cs="Calibri"/>
          <w:iCs/>
        </w:rPr>
        <w:t xml:space="preserve"> presented in </w:t>
      </w:r>
      <w:r w:rsidR="00F82B8D" w:rsidRPr="00885AB3">
        <w:rPr>
          <w:rFonts w:cs="Calibri"/>
          <w:iCs/>
        </w:rPr>
        <w:fldChar w:fldCharType="begin" w:fldLock="1"/>
      </w:r>
      <w:r w:rsidR="00F82B8D" w:rsidRPr="00885AB3">
        <w:rPr>
          <w:rFonts w:cs="Calibri"/>
          <w:iCs/>
        </w:rPr>
        <w:instrText xml:space="preserve"> REF _Ref205826163 \h </w:instrText>
      </w:r>
      <w:r w:rsidR="008C28B4" w:rsidRPr="00885AB3">
        <w:rPr>
          <w:rFonts w:cs="Calibri"/>
          <w:iCs/>
        </w:rPr>
        <w:instrText xml:space="preserve"> \* MERGEFORMAT </w:instrText>
      </w:r>
      <w:r w:rsidR="00F82B8D" w:rsidRPr="00885AB3">
        <w:rPr>
          <w:rFonts w:cs="Calibri"/>
          <w:iCs/>
        </w:rPr>
      </w:r>
      <w:r w:rsidR="00F82B8D" w:rsidRPr="00885AB3">
        <w:rPr>
          <w:rFonts w:cs="Calibri"/>
          <w:iCs/>
        </w:rPr>
        <w:fldChar w:fldCharType="separate"/>
      </w:r>
      <w:r w:rsidR="00515933" w:rsidRPr="00885AB3">
        <w:rPr>
          <w:iCs/>
        </w:rPr>
        <w:t>Table 22</w:t>
      </w:r>
      <w:r w:rsidR="00F82B8D" w:rsidRPr="00885AB3">
        <w:rPr>
          <w:rFonts w:cs="Calibri"/>
          <w:iCs/>
        </w:rPr>
        <w:fldChar w:fldCharType="end"/>
      </w:r>
      <w:r w:rsidR="00486C87" w:rsidRPr="00885AB3">
        <w:rPr>
          <w:rFonts w:cs="Calibri"/>
          <w:iCs/>
        </w:rPr>
        <w:t xml:space="preserve"> (</w:t>
      </w:r>
      <w:r w:rsidR="00EF2FA4">
        <w:rPr>
          <w:rFonts w:cs="Calibri"/>
          <w:iCs/>
        </w:rPr>
        <w:t xml:space="preserve">≥ </w:t>
      </w:r>
      <w:r w:rsidR="00486C87" w:rsidRPr="00885AB3">
        <w:rPr>
          <w:rFonts w:cs="Calibri"/>
          <w:iCs/>
        </w:rPr>
        <w:t xml:space="preserve">75 YOA) and </w:t>
      </w:r>
      <w:r w:rsidR="00486C87" w:rsidRPr="00885AB3">
        <w:rPr>
          <w:rFonts w:cs="Calibri"/>
          <w:iCs/>
        </w:rPr>
        <w:fldChar w:fldCharType="begin" w:fldLock="1"/>
      </w:r>
      <w:r w:rsidR="00486C87" w:rsidRPr="00885AB3">
        <w:rPr>
          <w:rFonts w:cs="Calibri"/>
          <w:iCs/>
        </w:rPr>
        <w:instrText xml:space="preserve"> REF _Ref205905265 \h </w:instrText>
      </w:r>
      <w:r w:rsidR="008C28B4" w:rsidRPr="00885AB3">
        <w:rPr>
          <w:rFonts w:cs="Calibri"/>
          <w:iCs/>
        </w:rPr>
        <w:instrText xml:space="preserve"> \* MERGEFORMAT </w:instrText>
      </w:r>
      <w:r w:rsidR="00486C87" w:rsidRPr="00885AB3">
        <w:rPr>
          <w:rFonts w:cs="Calibri"/>
          <w:iCs/>
        </w:rPr>
      </w:r>
      <w:r w:rsidR="00486C87" w:rsidRPr="00885AB3">
        <w:rPr>
          <w:rFonts w:cs="Calibri"/>
          <w:iCs/>
        </w:rPr>
        <w:fldChar w:fldCharType="separate"/>
      </w:r>
      <w:r w:rsidR="00515933" w:rsidRPr="00885AB3">
        <w:rPr>
          <w:iCs/>
        </w:rPr>
        <w:t>Table 23</w:t>
      </w:r>
      <w:r w:rsidR="00486C87" w:rsidRPr="00885AB3">
        <w:rPr>
          <w:rFonts w:cs="Calibri"/>
          <w:iCs/>
        </w:rPr>
        <w:fldChar w:fldCharType="end"/>
      </w:r>
      <w:r w:rsidR="00486C87" w:rsidRPr="00885AB3">
        <w:rPr>
          <w:rFonts w:cs="Calibri"/>
          <w:iCs/>
        </w:rPr>
        <w:t xml:space="preserve"> (Aboriginal and Torres Strait Islander people 60-74 YOA)</w:t>
      </w:r>
      <w:r w:rsidRPr="00885AB3">
        <w:rPr>
          <w:rFonts w:cs="Calibri"/>
          <w:iCs/>
        </w:rPr>
        <w:t>.</w:t>
      </w:r>
      <w:r w:rsidR="00DC27B4" w:rsidRPr="00885AB3">
        <w:rPr>
          <w:rFonts w:cs="Calibri"/>
          <w:iCs/>
        </w:rPr>
        <w:t xml:space="preserve"> The PSCR maintained that the disutility for outpatients applied in the submission (0.0185) represents the most applicable data. The PSCR </w:t>
      </w:r>
      <w:r w:rsidR="00E96CCD" w:rsidRPr="00885AB3">
        <w:rPr>
          <w:rFonts w:cs="Calibri"/>
          <w:iCs/>
        </w:rPr>
        <w:t>stated</w:t>
      </w:r>
      <w:r w:rsidR="00DC27B4" w:rsidRPr="00885AB3">
        <w:rPr>
          <w:rFonts w:cs="Calibri"/>
          <w:iCs/>
        </w:rPr>
        <w:t xml:space="preserve"> that the disutility applied in the </w:t>
      </w:r>
      <w:proofErr w:type="spellStart"/>
      <w:r w:rsidR="00DC27B4" w:rsidRPr="00885AB3">
        <w:rPr>
          <w:rFonts w:cs="Calibri"/>
          <w:iCs/>
        </w:rPr>
        <w:t>RSVPreF</w:t>
      </w:r>
      <w:proofErr w:type="spellEnd"/>
      <w:r w:rsidR="00DC27B4" w:rsidRPr="00885AB3">
        <w:rPr>
          <w:rFonts w:cs="Calibri"/>
          <w:iCs/>
        </w:rPr>
        <w:t xml:space="preserve"> model (0.0054) is based on a conference abstract and therefore the submission’s estimate</w:t>
      </w:r>
      <w:r w:rsidR="00562F81" w:rsidRPr="00885AB3">
        <w:rPr>
          <w:rFonts w:cs="Calibri"/>
          <w:iCs/>
        </w:rPr>
        <w:t xml:space="preserve"> (from Hutton 2023, 2024)</w:t>
      </w:r>
      <w:r w:rsidR="00DC27B4" w:rsidRPr="00885AB3">
        <w:rPr>
          <w:rFonts w:cs="Calibri"/>
          <w:iCs/>
        </w:rPr>
        <w:t xml:space="preserve"> represents a more applicable and more contemporary estimate for disutility in patients with medically attended RSV.</w:t>
      </w:r>
      <w:r w:rsidR="0033634F" w:rsidRPr="00885AB3">
        <w:rPr>
          <w:rFonts w:cs="Calibri"/>
          <w:iCs/>
        </w:rPr>
        <w:t xml:space="preserve"> However, the ESC </w:t>
      </w:r>
      <w:r w:rsidR="006D59C7" w:rsidRPr="00885AB3">
        <w:rPr>
          <w:rFonts w:cs="Calibri"/>
          <w:iCs/>
        </w:rPr>
        <w:t>stated that the</w:t>
      </w:r>
      <w:r w:rsidR="0038050A" w:rsidRPr="00885AB3">
        <w:rPr>
          <w:rFonts w:cs="Calibri"/>
          <w:iCs/>
        </w:rPr>
        <w:t xml:space="preserve"> required detail of the utility derivation is not available in Hutton et al. 2024, and</w:t>
      </w:r>
      <w:r w:rsidR="009C3A41" w:rsidRPr="00885AB3">
        <w:rPr>
          <w:rFonts w:cs="Calibri"/>
          <w:iCs/>
        </w:rPr>
        <w:t xml:space="preserve"> therefore the smaller utility decrement applied in the </w:t>
      </w:r>
      <w:proofErr w:type="spellStart"/>
      <w:r w:rsidR="009C3A41" w:rsidRPr="00885AB3">
        <w:rPr>
          <w:rFonts w:cs="Calibri"/>
          <w:iCs/>
        </w:rPr>
        <w:t>RSVPreF</w:t>
      </w:r>
      <w:proofErr w:type="spellEnd"/>
      <w:r w:rsidR="009C3A41" w:rsidRPr="00885AB3">
        <w:rPr>
          <w:rFonts w:cs="Calibri"/>
          <w:iCs/>
        </w:rPr>
        <w:t xml:space="preserve"> model remains relevant to the mR</w:t>
      </w:r>
      <w:r w:rsidR="00DB199B" w:rsidRPr="00885AB3">
        <w:rPr>
          <w:rFonts w:cs="Calibri"/>
          <w:iCs/>
        </w:rPr>
        <w:t>NA</w:t>
      </w:r>
      <w:r w:rsidR="009C3A41" w:rsidRPr="00885AB3">
        <w:rPr>
          <w:rFonts w:cs="Calibri"/>
          <w:iCs/>
        </w:rPr>
        <w:t>-13</w:t>
      </w:r>
      <w:r w:rsidR="00005EEA" w:rsidRPr="00885AB3">
        <w:rPr>
          <w:rFonts w:cs="Calibri"/>
          <w:iCs/>
        </w:rPr>
        <w:t>45 model.</w:t>
      </w:r>
      <w:r w:rsidR="0038050A" w:rsidRPr="00885AB3">
        <w:rPr>
          <w:rFonts w:cs="Calibri"/>
          <w:iCs/>
        </w:rPr>
        <w:t xml:space="preserve"> </w:t>
      </w:r>
      <w:r w:rsidR="00B21195" w:rsidRPr="00885AB3">
        <w:rPr>
          <w:szCs w:val="20"/>
        </w:rPr>
        <w:t xml:space="preserve">The pre-PBAC response </w:t>
      </w:r>
      <w:r w:rsidR="00353314" w:rsidRPr="00885AB3">
        <w:rPr>
          <w:szCs w:val="20"/>
        </w:rPr>
        <w:t>stated tha</w:t>
      </w:r>
      <w:r w:rsidR="00076BFA" w:rsidRPr="00885AB3">
        <w:rPr>
          <w:szCs w:val="20"/>
        </w:rPr>
        <w:t xml:space="preserve">t the </w:t>
      </w:r>
      <w:r w:rsidR="00353314" w:rsidRPr="00885AB3">
        <w:rPr>
          <w:szCs w:val="20"/>
        </w:rPr>
        <w:t>outpatient decrement (0.0054) from Mao et al. does not report a single per-episode decrement, and includes a relatively healthy, community-dwelling cohort with only a minority of medically attended episodes, which likely understates disutility. </w:t>
      </w:r>
      <w:r w:rsidR="0011138C" w:rsidRPr="00885AB3">
        <w:rPr>
          <w:szCs w:val="20"/>
        </w:rPr>
        <w:t xml:space="preserve">The response retained the value of 0.0185 for medically attended outpatient RSV. </w:t>
      </w:r>
    </w:p>
    <w:p w14:paraId="1557BAC3" w14:textId="61E2DE68" w:rsidR="00FE20DC" w:rsidRPr="00885AB3" w:rsidRDefault="006A1AFC" w:rsidP="00120D61">
      <w:pPr>
        <w:pStyle w:val="3-BodyText"/>
        <w:rPr>
          <w:rFonts w:cs="Calibri"/>
          <w:iCs/>
        </w:rPr>
      </w:pPr>
      <w:bookmarkStart w:id="132" w:name="_Ref215583006"/>
      <w:r w:rsidRPr="00885AB3">
        <w:rPr>
          <w:rFonts w:cs="Calibri"/>
          <w:iCs/>
        </w:rPr>
        <w:t xml:space="preserve">The submission used a similar approach to previous RSV vaccine evaluations in estimating hospitalisation costs (e.g., based on AR-DRGs (E62A, E62B, E65), IHACPA 2025-2026 national efficient price determination, National Hospital Cost Data Collection 2022-23 public hospital report; Table 14, </w:t>
      </w:r>
      <w:proofErr w:type="spellStart"/>
      <w:r w:rsidRPr="00885AB3">
        <w:rPr>
          <w:rFonts w:cs="Calibri"/>
          <w:iCs/>
        </w:rPr>
        <w:t>RSVPreF</w:t>
      </w:r>
      <w:proofErr w:type="spellEnd"/>
      <w:r w:rsidRPr="00885AB3">
        <w:rPr>
          <w:rFonts w:cs="Calibri"/>
          <w:iCs/>
        </w:rPr>
        <w:t xml:space="preserve"> PSD, November 2024). However, the</w:t>
      </w:r>
      <w:r w:rsidR="000D14D5" w:rsidRPr="00885AB3">
        <w:rPr>
          <w:rFonts w:cs="Calibri"/>
          <w:iCs/>
        </w:rPr>
        <w:t xml:space="preserve"> evaluation noted that the</w:t>
      </w:r>
      <w:r w:rsidRPr="00885AB3">
        <w:rPr>
          <w:rFonts w:cs="Calibri"/>
          <w:iCs/>
        </w:rPr>
        <w:t xml:space="preserve"> submission adjusted population weights based on the risk of comorbidities, accounting for potential differences in healthcare utilisation. The PBAC did not support a severity-related adjustment when it was applied in a previous RSV submission (paragraph 6.68, RSVPreF3 OA PSD, July 2024).</w:t>
      </w:r>
      <w:r w:rsidR="002D63B1" w:rsidRPr="00885AB3">
        <w:rPr>
          <w:rFonts w:cs="Calibri"/>
          <w:iCs/>
        </w:rPr>
        <w:t xml:space="preserve"> The pre-PBAC response did not adjust the comorbidity-prevalence weighting of hospitalisation costs; it stated that the populations in question have a higher prevalence of high-risk conditions (e.g., COPD, heart failure) and therefore a costlier case-mix than the all-episode average should be reflected.</w:t>
      </w:r>
      <w:bookmarkEnd w:id="132"/>
    </w:p>
    <w:p w14:paraId="0321BF8F" w14:textId="0D802A53" w:rsidR="00B95935" w:rsidRPr="00885AB3" w:rsidRDefault="006A1AFC" w:rsidP="00120D61">
      <w:pPr>
        <w:pStyle w:val="3-BodyText"/>
      </w:pPr>
      <w:bookmarkStart w:id="133" w:name="_Ref215583028"/>
      <w:r w:rsidRPr="00885AB3">
        <w:t xml:space="preserve">The submission further assumed that all hospitalisation cases would involve an emergency department (ED) visit, and ED treatment cost ($2,044 for </w:t>
      </w:r>
      <w:r w:rsidR="00EF2FA4">
        <w:t xml:space="preserve">≥ </w:t>
      </w:r>
      <w:r w:rsidRPr="00885AB3">
        <w:t xml:space="preserve">75 YOA </w:t>
      </w:r>
      <w:r w:rsidRPr="00885AB3">
        <w:lastRenderedPageBreak/>
        <w:t>population). Th</w:t>
      </w:r>
      <w:r w:rsidR="00B95D58" w:rsidRPr="00885AB3">
        <w:t>i</w:t>
      </w:r>
      <w:r w:rsidRPr="00885AB3">
        <w:t>s double counts ED costs since the AR-DRGs already include an allowance for ED.</w:t>
      </w:r>
      <w:r w:rsidR="00D12353" w:rsidRPr="00885AB3">
        <w:t xml:space="preserve"> </w:t>
      </w:r>
      <w:r w:rsidR="00D12353" w:rsidRPr="00885AB3">
        <w:rPr>
          <w:rFonts w:cs="Calibri"/>
          <w:iCs/>
        </w:rPr>
        <w:t>The pre-PBAC response revised the hospitalisation cost to apply ED costs to ED-only episodes and subtracted ED costs from the hospitalisation unit cost</w:t>
      </w:r>
      <w:r w:rsidR="0019553D" w:rsidRPr="00885AB3">
        <w:rPr>
          <w:rFonts w:cs="Calibri"/>
          <w:iCs/>
        </w:rPr>
        <w:t>,</w:t>
      </w:r>
      <w:r w:rsidR="00D12353" w:rsidRPr="00885AB3">
        <w:rPr>
          <w:rFonts w:cs="Calibri"/>
          <w:iCs/>
        </w:rPr>
        <w:t> reducing it from $14,403 to $12,359 (</w:t>
      </w:r>
      <w:r w:rsidR="00EF2FA4">
        <w:rPr>
          <w:rFonts w:cs="Calibri"/>
          <w:iCs/>
        </w:rPr>
        <w:t xml:space="preserve">≥ </w:t>
      </w:r>
      <w:r w:rsidR="00D12353" w:rsidRPr="00885AB3">
        <w:rPr>
          <w:rFonts w:cs="Calibri"/>
          <w:iCs/>
        </w:rPr>
        <w:t>75</w:t>
      </w:r>
      <w:r w:rsidR="00B95197" w:rsidRPr="00885AB3">
        <w:rPr>
          <w:rFonts w:cs="Calibri"/>
          <w:iCs/>
        </w:rPr>
        <w:t xml:space="preserve"> YOA</w:t>
      </w:r>
      <w:r w:rsidR="00D12353" w:rsidRPr="00885AB3">
        <w:rPr>
          <w:rFonts w:cs="Calibri"/>
          <w:iCs/>
        </w:rPr>
        <w:t>) and from $15,686 to $13,447 (Aboriginal and Torres Strait Islander 60–74</w:t>
      </w:r>
      <w:r w:rsidR="00B95197" w:rsidRPr="00885AB3">
        <w:rPr>
          <w:rFonts w:cs="Calibri"/>
          <w:iCs/>
        </w:rPr>
        <w:t xml:space="preserve"> YOA</w:t>
      </w:r>
      <w:r w:rsidR="00D12353" w:rsidRPr="00885AB3">
        <w:rPr>
          <w:rFonts w:cs="Calibri"/>
          <w:iCs/>
        </w:rPr>
        <w:t>).</w:t>
      </w:r>
      <w:bookmarkEnd w:id="133"/>
      <w:r w:rsidR="001C78D7">
        <w:t xml:space="preserve"> </w:t>
      </w:r>
    </w:p>
    <w:p w14:paraId="5370F9C3" w14:textId="203CB80E" w:rsidR="006A1AFC" w:rsidRPr="00885AB3" w:rsidRDefault="00BF31E6" w:rsidP="00120D61">
      <w:pPr>
        <w:pStyle w:val="3-BodyText"/>
      </w:pPr>
      <w:r w:rsidRPr="00885AB3">
        <w:t>The evaluation noted that e</w:t>
      </w:r>
      <w:r w:rsidR="006A1AFC" w:rsidRPr="00885AB3">
        <w:t>xcluding the adjustments based on</w:t>
      </w:r>
      <w:r w:rsidR="00EB6024" w:rsidRPr="00885AB3">
        <w:t xml:space="preserve"> both</w:t>
      </w:r>
      <w:r w:rsidR="006A1AFC" w:rsidRPr="00885AB3">
        <w:t xml:space="preserve"> comorbidity prevalence</w:t>
      </w:r>
      <w:r w:rsidR="00EB6024" w:rsidRPr="00885AB3">
        <w:t xml:space="preserve"> (paragraph </w:t>
      </w:r>
      <w:r w:rsidR="00EB6024" w:rsidRPr="00885AB3">
        <w:fldChar w:fldCharType="begin" w:fldLock="1"/>
      </w:r>
      <w:r w:rsidR="00EB6024" w:rsidRPr="00885AB3">
        <w:instrText xml:space="preserve"> REF _Ref215583006 \r \h </w:instrText>
      </w:r>
      <w:r w:rsidR="005C1CE1" w:rsidRPr="00885AB3">
        <w:instrText xml:space="preserve"> \* MERGEFORMAT </w:instrText>
      </w:r>
      <w:r w:rsidR="00EB6024" w:rsidRPr="00885AB3">
        <w:fldChar w:fldCharType="separate"/>
      </w:r>
      <w:r w:rsidR="00515933" w:rsidRPr="00885AB3">
        <w:t>6.81</w:t>
      </w:r>
      <w:r w:rsidR="00EB6024" w:rsidRPr="00885AB3">
        <w:fldChar w:fldCharType="end"/>
      </w:r>
      <w:r w:rsidR="00EB6024" w:rsidRPr="00885AB3">
        <w:t>)</w:t>
      </w:r>
      <w:r w:rsidR="006A1AFC" w:rsidRPr="00885AB3">
        <w:t xml:space="preserve"> and the ED costs</w:t>
      </w:r>
      <w:r w:rsidR="00EB6024" w:rsidRPr="00885AB3">
        <w:t xml:space="preserve"> (paragraph </w:t>
      </w:r>
      <w:r w:rsidR="00EB6024" w:rsidRPr="00885AB3">
        <w:fldChar w:fldCharType="begin" w:fldLock="1"/>
      </w:r>
      <w:r w:rsidR="00EB6024" w:rsidRPr="00885AB3">
        <w:instrText xml:space="preserve"> REF _Ref215583028 \r \h </w:instrText>
      </w:r>
      <w:r w:rsidR="005C1CE1" w:rsidRPr="00885AB3">
        <w:instrText xml:space="preserve"> \* MERGEFORMAT </w:instrText>
      </w:r>
      <w:r w:rsidR="00EB6024" w:rsidRPr="00885AB3">
        <w:fldChar w:fldCharType="separate"/>
      </w:r>
      <w:r w:rsidR="00515933" w:rsidRPr="00885AB3">
        <w:t>6.82</w:t>
      </w:r>
      <w:r w:rsidR="00EB6024" w:rsidRPr="00885AB3">
        <w:fldChar w:fldCharType="end"/>
      </w:r>
      <w:r w:rsidR="00EB6024" w:rsidRPr="00885AB3">
        <w:t>)</w:t>
      </w:r>
      <w:r w:rsidR="006A1AFC" w:rsidRPr="00885AB3">
        <w:t>, the hospitalisation cost would have been $9,983 compared to $14,403 in the base case (</w:t>
      </w:r>
      <w:r w:rsidR="00EF2FA4">
        <w:t xml:space="preserve">≥ </w:t>
      </w:r>
      <w:r w:rsidR="006A1AFC" w:rsidRPr="00885AB3">
        <w:t xml:space="preserve">75 YOA population). </w:t>
      </w:r>
    </w:p>
    <w:p w14:paraId="302A8FC6" w14:textId="77777777" w:rsidR="006A1AFC" w:rsidRPr="00885AB3" w:rsidRDefault="006A1AFC" w:rsidP="00120D61">
      <w:pPr>
        <w:pStyle w:val="3-BodyText"/>
        <w:rPr>
          <w:rFonts w:cs="Calibri"/>
          <w:iCs/>
        </w:rPr>
      </w:pPr>
      <w:bookmarkStart w:id="134" w:name="_Ref211379143"/>
      <w:r w:rsidRPr="00885AB3">
        <w:rPr>
          <w:rFonts w:cs="Calibri"/>
          <w:iCs/>
        </w:rPr>
        <w:t>The model for the Aboriginal and Torres Strait Islander people 60-74 YOA population presents various issues including:</w:t>
      </w:r>
      <w:bookmarkEnd w:id="134"/>
    </w:p>
    <w:p w14:paraId="6BDA61EA" w14:textId="39FDBBEF" w:rsidR="006A1AFC" w:rsidRPr="00885AB3" w:rsidRDefault="006A1AFC" w:rsidP="00120D61">
      <w:pPr>
        <w:pStyle w:val="3-BodyText"/>
        <w:numPr>
          <w:ilvl w:val="0"/>
          <w:numId w:val="12"/>
        </w:numPr>
        <w:rPr>
          <w:rFonts w:cs="Calibri"/>
          <w:iCs/>
        </w:rPr>
      </w:pPr>
      <w:r w:rsidRPr="00885AB3">
        <w:rPr>
          <w:rFonts w:cs="Calibri"/>
          <w:iCs/>
        </w:rPr>
        <w:t>Underestimating hospitalisation rates including 96 per 100,000 person-year in 60–64 YOA to 188 per 100,000 in 65–74 YOA. The</w:t>
      </w:r>
      <w:r w:rsidR="0045172D" w:rsidRPr="00885AB3">
        <w:rPr>
          <w:rFonts w:cs="Calibri"/>
          <w:iCs/>
        </w:rPr>
        <w:t xml:space="preserve"> ESC noted that the</w:t>
      </w:r>
      <w:r w:rsidRPr="00885AB3">
        <w:rPr>
          <w:rFonts w:cs="Calibri"/>
          <w:iCs/>
        </w:rPr>
        <w:t xml:space="preserve"> PBAC previously accepted a rate of 576 per 100,000 person-year in this population (7.18, </w:t>
      </w:r>
      <w:proofErr w:type="spellStart"/>
      <w:r w:rsidRPr="00885AB3">
        <w:rPr>
          <w:rFonts w:cs="Calibri"/>
          <w:iCs/>
        </w:rPr>
        <w:t>RSVPreF</w:t>
      </w:r>
      <w:proofErr w:type="spellEnd"/>
      <w:r w:rsidRPr="00885AB3">
        <w:rPr>
          <w:rFonts w:cs="Calibri"/>
          <w:iCs/>
        </w:rPr>
        <w:t xml:space="preserve"> PSD, November 2024). </w:t>
      </w:r>
      <w:r w:rsidR="000808C4" w:rsidRPr="00885AB3">
        <w:rPr>
          <w:rFonts w:cs="Calibri"/>
          <w:iCs/>
        </w:rPr>
        <w:t>The pre-PBAC response accepted a hospitalisation rate of 576/100,000 .</w:t>
      </w:r>
    </w:p>
    <w:p w14:paraId="33EB36AF" w14:textId="0D2EFDBF" w:rsidR="006A1AFC" w:rsidRPr="00885AB3" w:rsidRDefault="006A1AFC" w:rsidP="00120D61">
      <w:pPr>
        <w:pStyle w:val="3-BodyText"/>
        <w:numPr>
          <w:ilvl w:val="0"/>
          <w:numId w:val="12"/>
        </w:numPr>
        <w:rPr>
          <w:rFonts w:cs="Calibri"/>
          <w:iCs/>
        </w:rPr>
      </w:pPr>
      <w:r w:rsidRPr="00885AB3">
        <w:rPr>
          <w:rFonts w:cs="Calibri"/>
          <w:iCs/>
        </w:rPr>
        <w:t>Applying background mortality from the general population</w:t>
      </w:r>
      <w:r w:rsidR="005D65DA" w:rsidRPr="00885AB3">
        <w:rPr>
          <w:rFonts w:cs="Calibri"/>
          <w:i/>
        </w:rPr>
        <w:t xml:space="preserve"> </w:t>
      </w:r>
      <w:r w:rsidR="006A35B4" w:rsidRPr="00885AB3">
        <w:rPr>
          <w:rFonts w:cs="Calibri"/>
          <w:iCs/>
        </w:rPr>
        <w:t>(</w:t>
      </w:r>
      <w:r w:rsidR="005D65DA" w:rsidRPr="00885AB3">
        <w:rPr>
          <w:rFonts w:cs="Calibri"/>
          <w:iCs/>
        </w:rPr>
        <w:t>ABS lifetables</w:t>
      </w:r>
      <w:r w:rsidR="006A35B4" w:rsidRPr="00885AB3">
        <w:rPr>
          <w:rFonts w:cs="Calibri"/>
          <w:iCs/>
        </w:rPr>
        <w:t>)</w:t>
      </w:r>
      <w:r w:rsidRPr="00885AB3">
        <w:rPr>
          <w:rFonts w:cs="Calibri"/>
          <w:iCs/>
        </w:rPr>
        <w:t xml:space="preserve"> rather than population-specific mortality. Due to the structure of the model, this </w:t>
      </w:r>
      <w:proofErr w:type="gramStart"/>
      <w:r w:rsidRPr="00885AB3">
        <w:rPr>
          <w:rFonts w:cs="Calibri"/>
          <w:iCs/>
        </w:rPr>
        <w:t>was not able to</w:t>
      </w:r>
      <w:proofErr w:type="gramEnd"/>
      <w:r w:rsidRPr="00885AB3">
        <w:rPr>
          <w:rFonts w:cs="Calibri"/>
          <w:iCs/>
        </w:rPr>
        <w:t xml:space="preserve"> be varied in sensitivity analyses.</w:t>
      </w:r>
      <w:r w:rsidR="001D074D" w:rsidRPr="00885AB3">
        <w:rPr>
          <w:rFonts w:cs="Calibri"/>
          <w:iCs/>
        </w:rPr>
        <w:t xml:space="preserve"> </w:t>
      </w:r>
    </w:p>
    <w:p w14:paraId="619DA7F8" w14:textId="0FB8FE2F" w:rsidR="006A1AFC" w:rsidRPr="00885AB3" w:rsidRDefault="006A1AFC" w:rsidP="00120D61">
      <w:pPr>
        <w:pStyle w:val="3-BodyText"/>
        <w:numPr>
          <w:ilvl w:val="0"/>
          <w:numId w:val="12"/>
        </w:numPr>
        <w:rPr>
          <w:rFonts w:cs="Calibri"/>
          <w:iCs/>
        </w:rPr>
      </w:pPr>
      <w:r w:rsidRPr="00885AB3">
        <w:rPr>
          <w:rFonts w:cs="Calibri"/>
          <w:iCs/>
        </w:rPr>
        <w:t xml:space="preserve">Similar issues as per the </w:t>
      </w:r>
      <w:r w:rsidR="00EF2FA4">
        <w:rPr>
          <w:rFonts w:cs="Calibri"/>
          <w:iCs/>
        </w:rPr>
        <w:t xml:space="preserve">≥ </w:t>
      </w:r>
      <w:r w:rsidRPr="00885AB3">
        <w:rPr>
          <w:rFonts w:cs="Calibri"/>
          <w:iCs/>
        </w:rPr>
        <w:t>75 YOA population (such as overestimating RSV-mortality rates, overestimating hospitalisation costs, overestimating incidence).</w:t>
      </w:r>
    </w:p>
    <w:p w14:paraId="7841D179" w14:textId="77777777" w:rsidR="006A1AFC" w:rsidRPr="00885AB3" w:rsidRDefault="006A1AFC" w:rsidP="00120D61">
      <w:pPr>
        <w:pStyle w:val="3-BodyText"/>
        <w:numPr>
          <w:ilvl w:val="0"/>
          <w:numId w:val="0"/>
        </w:numPr>
        <w:ind w:left="720"/>
        <w:rPr>
          <w:rFonts w:cs="Calibri"/>
          <w:iCs/>
        </w:rPr>
      </w:pPr>
      <w:r w:rsidRPr="00885AB3">
        <w:rPr>
          <w:rFonts w:cs="Calibri"/>
          <w:iCs/>
        </w:rPr>
        <w:t xml:space="preserve">The modelled outcomes for Aboriginal and Torres Strait Islander people aged 60–74 years may not be informative without substantial revision of the model. </w:t>
      </w:r>
    </w:p>
    <w:p w14:paraId="100DFCE1" w14:textId="5C40F9EF" w:rsidR="006A1AFC" w:rsidRPr="00885AB3" w:rsidRDefault="006A1AFC" w:rsidP="00120D61">
      <w:pPr>
        <w:pStyle w:val="3-BodyText"/>
        <w:rPr>
          <w:rFonts w:cs="Calibri"/>
          <w:iCs/>
        </w:rPr>
      </w:pPr>
      <w:r w:rsidRPr="00885AB3">
        <w:rPr>
          <w:rFonts w:cs="Calibri"/>
          <w:iCs/>
        </w:rPr>
        <w:t xml:space="preserve">A summary of the key drivers of the models is presented in </w:t>
      </w:r>
      <w:r w:rsidRPr="00885AB3">
        <w:rPr>
          <w:rFonts w:cs="Calibri"/>
          <w:iCs/>
        </w:rPr>
        <w:fldChar w:fldCharType="begin" w:fldLock="1"/>
      </w:r>
      <w:r w:rsidRPr="00885AB3">
        <w:rPr>
          <w:rFonts w:cs="Calibri"/>
          <w:iCs/>
        </w:rPr>
        <w:instrText xml:space="preserve"> REF _Ref205826119 \h  \* MERGEFORMAT </w:instrText>
      </w:r>
      <w:r w:rsidRPr="00885AB3">
        <w:rPr>
          <w:rFonts w:cs="Calibri"/>
          <w:iCs/>
        </w:rPr>
      </w:r>
      <w:r w:rsidRPr="00885AB3">
        <w:rPr>
          <w:rFonts w:cs="Calibri"/>
          <w:iCs/>
        </w:rPr>
        <w:fldChar w:fldCharType="separate"/>
      </w:r>
      <w:r w:rsidR="00515933" w:rsidRPr="00885AB3">
        <w:rPr>
          <w:rFonts w:cs="Calibri"/>
          <w:iCs/>
        </w:rPr>
        <w:t xml:space="preserve">Table </w:t>
      </w:r>
      <w:r w:rsidR="00515933" w:rsidRPr="00885AB3">
        <w:rPr>
          <w:iCs/>
        </w:rPr>
        <w:t>20</w:t>
      </w:r>
      <w:r w:rsidRPr="00885AB3">
        <w:rPr>
          <w:rFonts w:cs="Calibri"/>
          <w:iCs/>
        </w:rPr>
        <w:fldChar w:fldCharType="end"/>
      </w:r>
      <w:r w:rsidRPr="00885AB3">
        <w:rPr>
          <w:rFonts w:cs="Calibri"/>
          <w:iCs/>
        </w:rPr>
        <w:t>.</w:t>
      </w:r>
    </w:p>
    <w:p w14:paraId="03AB0933" w14:textId="5D07C44E" w:rsidR="006A1AFC" w:rsidRPr="00885AB3" w:rsidRDefault="006A1AFC" w:rsidP="00120D61">
      <w:pPr>
        <w:pStyle w:val="Caption"/>
        <w:jc w:val="left"/>
        <w:rPr>
          <w:rStyle w:val="CommentReference"/>
          <w:b/>
          <w:szCs w:val="24"/>
        </w:rPr>
      </w:pPr>
      <w:bookmarkStart w:id="135" w:name="_Ref205826119"/>
      <w:r w:rsidRPr="00885AB3">
        <w:lastRenderedPageBreak/>
        <w:t xml:space="preserve">Table </w:t>
      </w:r>
      <w:r w:rsidR="008A242D" w:rsidRPr="00885AB3">
        <w:fldChar w:fldCharType="begin" w:fldLock="1"/>
      </w:r>
      <w:r w:rsidR="008A242D" w:rsidRPr="00885AB3">
        <w:instrText xml:space="preserve"> SEQ Table \* ARABIC </w:instrText>
      </w:r>
      <w:r w:rsidR="008A242D" w:rsidRPr="00885AB3">
        <w:fldChar w:fldCharType="separate"/>
      </w:r>
      <w:r w:rsidR="00515933" w:rsidRPr="00885AB3">
        <w:t>20</w:t>
      </w:r>
      <w:r w:rsidR="008A242D" w:rsidRPr="00885AB3">
        <w:fldChar w:fldCharType="end"/>
      </w:r>
      <w:bookmarkEnd w:id="135"/>
      <w:r w:rsidRPr="00885AB3">
        <w:t>: Key drivers of the models</w:t>
      </w: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555"/>
        <w:gridCol w:w="4253"/>
        <w:gridCol w:w="3119"/>
      </w:tblGrid>
      <w:tr w:rsidR="006A1AFC" w:rsidRPr="00885AB3" w14:paraId="49892C29" w14:textId="77777777" w:rsidTr="00BB6F47">
        <w:trPr>
          <w:tblHeader/>
        </w:trPr>
        <w:tc>
          <w:tcPr>
            <w:tcW w:w="871" w:type="pct"/>
            <w:vAlign w:val="center"/>
          </w:tcPr>
          <w:p w14:paraId="538CAB9D" w14:textId="77777777" w:rsidR="006A1AFC" w:rsidRPr="00885AB3" w:rsidRDefault="006A1AFC" w:rsidP="00120D61">
            <w:pPr>
              <w:keepNext/>
              <w:rPr>
                <w:rFonts w:ascii="Arial Narrow" w:hAnsi="Arial Narrow"/>
                <w:b/>
                <w:bCs/>
                <w:sz w:val="20"/>
                <w:szCs w:val="20"/>
              </w:rPr>
            </w:pPr>
            <w:r w:rsidRPr="00885AB3">
              <w:rPr>
                <w:rFonts w:ascii="Arial Narrow" w:hAnsi="Arial Narrow"/>
                <w:b/>
                <w:bCs/>
                <w:sz w:val="20"/>
                <w:szCs w:val="20"/>
              </w:rPr>
              <w:t>Description</w:t>
            </w:r>
          </w:p>
        </w:tc>
        <w:tc>
          <w:tcPr>
            <w:tcW w:w="2382" w:type="pct"/>
            <w:vAlign w:val="center"/>
          </w:tcPr>
          <w:p w14:paraId="56A087D1" w14:textId="77777777" w:rsidR="006A1AFC" w:rsidRPr="00885AB3" w:rsidRDefault="006A1AFC" w:rsidP="00120D61">
            <w:pPr>
              <w:keepNext/>
              <w:rPr>
                <w:rFonts w:ascii="Arial Narrow" w:hAnsi="Arial Narrow"/>
                <w:b/>
                <w:bCs/>
                <w:sz w:val="20"/>
                <w:szCs w:val="20"/>
              </w:rPr>
            </w:pPr>
            <w:r w:rsidRPr="00885AB3">
              <w:rPr>
                <w:rFonts w:ascii="Arial Narrow" w:hAnsi="Arial Narrow"/>
                <w:b/>
                <w:bCs/>
                <w:sz w:val="20"/>
                <w:szCs w:val="20"/>
              </w:rPr>
              <w:t>Method/Value</w:t>
            </w:r>
          </w:p>
        </w:tc>
        <w:tc>
          <w:tcPr>
            <w:tcW w:w="1748" w:type="pct"/>
            <w:vAlign w:val="center"/>
          </w:tcPr>
          <w:p w14:paraId="67873856" w14:textId="77777777" w:rsidR="006A1AFC" w:rsidRPr="00885AB3" w:rsidRDefault="006A1AFC" w:rsidP="00120D61">
            <w:pPr>
              <w:keepNext/>
              <w:rPr>
                <w:rFonts w:ascii="Arial Narrow" w:hAnsi="Arial Narrow"/>
                <w:b/>
                <w:bCs/>
                <w:sz w:val="20"/>
                <w:szCs w:val="20"/>
              </w:rPr>
            </w:pPr>
            <w:r w:rsidRPr="00885AB3">
              <w:rPr>
                <w:rFonts w:ascii="Arial Narrow" w:hAnsi="Arial Narrow"/>
                <w:b/>
                <w:bCs/>
                <w:sz w:val="20"/>
                <w:szCs w:val="20"/>
              </w:rPr>
              <w:t>Impact</w:t>
            </w:r>
          </w:p>
        </w:tc>
      </w:tr>
      <w:tr w:rsidR="006A1AFC" w:rsidRPr="00885AB3" w14:paraId="176901B0" w14:textId="77777777">
        <w:tc>
          <w:tcPr>
            <w:tcW w:w="5000" w:type="pct"/>
            <w:gridSpan w:val="3"/>
            <w:vAlign w:val="center"/>
          </w:tcPr>
          <w:p w14:paraId="2E6FF078" w14:textId="5F3F0D03" w:rsidR="006A1AFC" w:rsidRPr="00885AB3" w:rsidRDefault="00EF2FA4" w:rsidP="00120D61">
            <w:pPr>
              <w:keepNext/>
              <w:rPr>
                <w:rFonts w:ascii="Arial Narrow" w:hAnsi="Arial Narrow"/>
                <w:b/>
                <w:bCs/>
                <w:sz w:val="20"/>
                <w:szCs w:val="20"/>
              </w:rPr>
            </w:pPr>
            <w:r>
              <w:rPr>
                <w:rFonts w:ascii="Arial Narrow" w:hAnsi="Arial Narrow"/>
                <w:b/>
                <w:bCs/>
                <w:sz w:val="20"/>
                <w:szCs w:val="20"/>
              </w:rPr>
              <w:t xml:space="preserve">≥ </w:t>
            </w:r>
            <w:r w:rsidR="00EC73E7" w:rsidRPr="00885AB3">
              <w:rPr>
                <w:rFonts w:ascii="Arial Narrow" w:hAnsi="Arial Narrow"/>
                <w:b/>
                <w:bCs/>
                <w:sz w:val="20"/>
                <w:szCs w:val="20"/>
              </w:rPr>
              <w:t>75</w:t>
            </w:r>
            <w:r w:rsidR="006A1AFC" w:rsidRPr="00885AB3">
              <w:rPr>
                <w:rFonts w:ascii="Arial Narrow" w:hAnsi="Arial Narrow"/>
                <w:b/>
                <w:bCs/>
                <w:sz w:val="20"/>
                <w:szCs w:val="20"/>
              </w:rPr>
              <w:t xml:space="preserve"> YOA population</w:t>
            </w:r>
            <w:r w:rsidR="001C78D7">
              <w:rPr>
                <w:rFonts w:ascii="Arial Narrow" w:hAnsi="Arial Narrow"/>
                <w:b/>
                <w:bCs/>
                <w:sz w:val="20"/>
                <w:szCs w:val="20"/>
              </w:rPr>
              <w:t xml:space="preserve">                       </w:t>
            </w:r>
            <w:r w:rsidR="006A1AFC" w:rsidRPr="00885AB3">
              <w:rPr>
                <w:rFonts w:ascii="Arial Narrow" w:hAnsi="Arial Narrow"/>
                <w:b/>
                <w:bCs/>
                <w:sz w:val="20"/>
                <w:szCs w:val="20"/>
              </w:rPr>
              <w:t>Base case: $</w:t>
            </w:r>
            <w:r w:rsidR="004B5AFE" w:rsidRPr="004B5AFE">
              <w:rPr>
                <w:rFonts w:ascii="Arial Narrow" w:hAnsi="Arial Narrow"/>
                <w:b/>
                <w:bCs/>
                <w:sz w:val="20"/>
                <w:szCs w:val="20"/>
                <w:highlight w:val="black"/>
              </w:rPr>
              <w:t xml:space="preserve"> &amp;&amp;&amp;&amp;</w:t>
            </w:r>
            <w:r w:rsidR="002E29E3" w:rsidRPr="002E29E3">
              <w:rPr>
                <w:rFonts w:ascii="Arial Narrow" w:hAnsi="Arial Narrow"/>
                <w:sz w:val="20"/>
                <w:szCs w:val="20"/>
                <w:vertAlign w:val="superscript"/>
              </w:rPr>
              <w:t>1</w:t>
            </w:r>
            <w:r w:rsidR="006A1AFC" w:rsidRPr="00885AB3">
              <w:rPr>
                <w:rFonts w:ascii="Arial Narrow" w:hAnsi="Arial Narrow"/>
                <w:b/>
                <w:bCs/>
                <w:sz w:val="20"/>
                <w:szCs w:val="20"/>
              </w:rPr>
              <w:t>/QALY gained</w:t>
            </w:r>
          </w:p>
        </w:tc>
      </w:tr>
      <w:tr w:rsidR="006A1AFC" w:rsidRPr="00885AB3" w14:paraId="66122F2F" w14:textId="77777777" w:rsidTr="00BB6F47">
        <w:tc>
          <w:tcPr>
            <w:tcW w:w="871" w:type="pct"/>
            <w:vAlign w:val="center"/>
          </w:tcPr>
          <w:p w14:paraId="32728B77" w14:textId="77777777" w:rsidR="006A1AFC" w:rsidRPr="00885AB3" w:rsidRDefault="006A1AFC" w:rsidP="00120D61">
            <w:pPr>
              <w:keepNext/>
              <w:rPr>
                <w:rFonts w:ascii="Arial Narrow" w:hAnsi="Arial Narrow"/>
                <w:sz w:val="20"/>
                <w:szCs w:val="20"/>
              </w:rPr>
            </w:pPr>
            <w:r w:rsidRPr="00885AB3">
              <w:rPr>
                <w:rFonts w:ascii="Arial Narrow" w:hAnsi="Arial Narrow"/>
                <w:sz w:val="20"/>
                <w:szCs w:val="20"/>
              </w:rPr>
              <w:t>VE duration</w:t>
            </w:r>
          </w:p>
        </w:tc>
        <w:tc>
          <w:tcPr>
            <w:tcW w:w="2382" w:type="pct"/>
            <w:vAlign w:val="center"/>
          </w:tcPr>
          <w:p w14:paraId="6F5D157E" w14:textId="43793F34" w:rsidR="006A1AFC" w:rsidRPr="00885AB3" w:rsidRDefault="006A1AFC" w:rsidP="00120D61">
            <w:pPr>
              <w:keepNext/>
              <w:rPr>
                <w:rFonts w:ascii="Arial Narrow" w:hAnsi="Arial Narrow"/>
                <w:sz w:val="20"/>
                <w:szCs w:val="20"/>
              </w:rPr>
            </w:pPr>
            <w:r w:rsidRPr="00885AB3">
              <w:rPr>
                <w:rFonts w:ascii="Arial Narrow" w:eastAsia="Calibri" w:hAnsi="Arial Narrow" w:cs="Calibri"/>
                <w:sz w:val="20"/>
                <w:szCs w:val="20"/>
              </w:rPr>
              <w:t>18.8</w:t>
            </w:r>
            <w:r w:rsidRPr="00885AB3">
              <w:rPr>
                <w:rFonts w:ascii="Arial Narrow" w:hAnsi="Arial Narrow"/>
                <w:sz w:val="20"/>
                <w:szCs w:val="20"/>
              </w:rPr>
              <w:t>-</w:t>
            </w:r>
            <w:r w:rsidRPr="00885AB3">
              <w:rPr>
                <w:rFonts w:ascii="Arial Narrow" w:eastAsia="Calibri" w:hAnsi="Arial Narrow" w:cs="Calibri"/>
                <w:sz w:val="20"/>
                <w:szCs w:val="20"/>
              </w:rPr>
              <w:t>month</w:t>
            </w:r>
            <w:r w:rsidRPr="00885AB3">
              <w:rPr>
                <w:rFonts w:ascii="Arial Narrow" w:hAnsi="Arial Narrow"/>
                <w:sz w:val="20"/>
                <w:szCs w:val="20"/>
              </w:rPr>
              <w:t xml:space="preserve"> VE</w:t>
            </w:r>
            <w:r w:rsidRPr="00885AB3">
              <w:rPr>
                <w:rFonts w:ascii="Arial Narrow" w:eastAsia="Calibri" w:hAnsi="Arial Narrow" w:cs="Calibri"/>
                <w:sz w:val="20"/>
                <w:szCs w:val="20"/>
              </w:rPr>
              <w:t xml:space="preserve"> data</w:t>
            </w:r>
            <w:r w:rsidRPr="00885AB3">
              <w:rPr>
                <w:rFonts w:ascii="Arial Narrow" w:hAnsi="Arial Narrow"/>
                <w:sz w:val="20"/>
                <w:szCs w:val="20"/>
              </w:rPr>
              <w:t xml:space="preserve"> of ITT population</w:t>
            </w:r>
            <w:r w:rsidRPr="00885AB3">
              <w:rPr>
                <w:rFonts w:ascii="Arial Narrow" w:eastAsia="Calibri" w:hAnsi="Arial Narrow" w:cs="Calibri"/>
                <w:sz w:val="20"/>
                <w:szCs w:val="20"/>
              </w:rPr>
              <w:t xml:space="preserve"> (</w:t>
            </w:r>
            <w:r w:rsidR="00EF2FA4">
              <w:rPr>
                <w:rFonts w:ascii="Arial Narrow" w:hAnsi="Arial Narrow"/>
                <w:sz w:val="20"/>
                <w:szCs w:val="20"/>
              </w:rPr>
              <w:t xml:space="preserve">≥ </w:t>
            </w:r>
            <w:r w:rsidR="00EC73E7" w:rsidRPr="00885AB3">
              <w:rPr>
                <w:rFonts w:ascii="Arial Narrow" w:hAnsi="Arial Narrow"/>
                <w:sz w:val="20"/>
                <w:szCs w:val="20"/>
              </w:rPr>
              <w:t>60</w:t>
            </w:r>
            <w:r w:rsidRPr="00885AB3">
              <w:rPr>
                <w:rFonts w:ascii="Arial Narrow" w:hAnsi="Arial Narrow"/>
                <w:sz w:val="20"/>
                <w:szCs w:val="20"/>
              </w:rPr>
              <w:t xml:space="preserve"> YOA; </w:t>
            </w:r>
            <w:r w:rsidRPr="00885AB3">
              <w:rPr>
                <w:rFonts w:ascii="Arial Narrow" w:eastAsia="Calibri" w:hAnsi="Arial Narrow" w:cs="Calibri"/>
                <w:sz w:val="20"/>
                <w:szCs w:val="20"/>
              </w:rPr>
              <w:t xml:space="preserve">8 March 2024 data cutoff) from </w:t>
            </w:r>
            <w:proofErr w:type="spellStart"/>
            <w:r w:rsidRPr="00885AB3">
              <w:rPr>
                <w:rFonts w:ascii="Arial Narrow" w:eastAsia="Calibri" w:hAnsi="Arial Narrow" w:cs="Calibri"/>
                <w:sz w:val="20"/>
                <w:szCs w:val="20"/>
              </w:rPr>
              <w:t>ConquerRSV</w:t>
            </w:r>
            <w:proofErr w:type="spellEnd"/>
            <w:r w:rsidRPr="00885AB3">
              <w:rPr>
                <w:rFonts w:ascii="Arial Narrow" w:eastAsia="Calibri" w:hAnsi="Arial Narrow" w:cs="Calibri"/>
                <w:sz w:val="20"/>
                <w:szCs w:val="20"/>
              </w:rPr>
              <w:t xml:space="preserve"> </w:t>
            </w:r>
            <w:r w:rsidRPr="00885AB3">
              <w:rPr>
                <w:rFonts w:ascii="Arial Narrow" w:hAnsi="Arial Narrow"/>
                <w:sz w:val="20"/>
                <w:szCs w:val="20"/>
              </w:rPr>
              <w:t>were</w:t>
            </w:r>
            <w:r w:rsidRPr="00885AB3">
              <w:rPr>
                <w:rFonts w:ascii="Arial Narrow" w:eastAsia="Calibri" w:hAnsi="Arial Narrow" w:cs="Calibri"/>
                <w:sz w:val="20"/>
                <w:szCs w:val="20"/>
              </w:rPr>
              <w:t xml:space="preserve"> extrapolated over 5 years using non-linear model.</w:t>
            </w:r>
            <w:r w:rsidRPr="00885AB3">
              <w:rPr>
                <w:rFonts w:ascii="Arial Narrow" w:hAnsi="Arial Narrow"/>
                <w:sz w:val="20"/>
                <w:szCs w:val="20"/>
              </w:rPr>
              <w:t xml:space="preserve"> </w:t>
            </w:r>
          </w:p>
        </w:tc>
        <w:tc>
          <w:tcPr>
            <w:tcW w:w="1748" w:type="pct"/>
            <w:vAlign w:val="center"/>
          </w:tcPr>
          <w:p w14:paraId="610E64A1" w14:textId="77777777" w:rsidR="006A1AFC" w:rsidRPr="00885AB3" w:rsidRDefault="006A1AFC" w:rsidP="00120D61">
            <w:pPr>
              <w:keepNext/>
              <w:rPr>
                <w:rFonts w:ascii="Arial Narrow" w:hAnsi="Arial Narrow"/>
                <w:sz w:val="20"/>
                <w:szCs w:val="20"/>
              </w:rPr>
            </w:pPr>
            <w:r w:rsidRPr="00885AB3">
              <w:rPr>
                <w:rFonts w:ascii="Arial Narrow" w:hAnsi="Arial Narrow"/>
                <w:sz w:val="20"/>
                <w:szCs w:val="20"/>
              </w:rPr>
              <w:t>High, favours mRNA-1345</w:t>
            </w:r>
          </w:p>
          <w:p w14:paraId="00375706" w14:textId="755AF419" w:rsidR="006A1AFC" w:rsidRPr="00885AB3" w:rsidRDefault="006A1AFC" w:rsidP="00120D61">
            <w:pPr>
              <w:keepNext/>
              <w:rPr>
                <w:rFonts w:ascii="Arial Narrow" w:hAnsi="Arial Narrow"/>
                <w:sz w:val="20"/>
                <w:szCs w:val="20"/>
              </w:rPr>
            </w:pPr>
            <w:r w:rsidRPr="00885AB3">
              <w:rPr>
                <w:rFonts w:ascii="Arial Narrow" w:hAnsi="Arial Narrow"/>
                <w:sz w:val="20"/>
                <w:szCs w:val="20"/>
              </w:rPr>
              <w:t>Use of 2-year duration increased the ICER to $</w:t>
            </w:r>
            <w:r w:rsidR="004B5AFE" w:rsidRPr="004B5AFE">
              <w:rPr>
                <w:rFonts w:ascii="Arial Narrow" w:hAnsi="Arial Narrow"/>
                <w:sz w:val="20"/>
                <w:szCs w:val="20"/>
                <w:highlight w:val="black"/>
              </w:rPr>
              <w:t xml:space="preserve"> &amp;&amp;&amp;&amp;</w:t>
            </w:r>
            <w:r w:rsidR="00767106">
              <w:rPr>
                <w:rFonts w:ascii="Arial Narrow" w:hAnsi="Arial Narrow"/>
                <w:sz w:val="20"/>
                <w:szCs w:val="20"/>
                <w:vertAlign w:val="superscript"/>
              </w:rPr>
              <w:t>2</w:t>
            </w:r>
            <w:r w:rsidRPr="00885AB3">
              <w:rPr>
                <w:rFonts w:ascii="Arial Narrow" w:hAnsi="Arial Narrow"/>
                <w:sz w:val="20"/>
                <w:szCs w:val="20"/>
              </w:rPr>
              <w:t>/QALY gained.</w:t>
            </w:r>
          </w:p>
        </w:tc>
      </w:tr>
      <w:tr w:rsidR="006A1AFC" w:rsidRPr="00885AB3" w14:paraId="0125274D" w14:textId="77777777" w:rsidTr="00BB6F47">
        <w:tc>
          <w:tcPr>
            <w:tcW w:w="871" w:type="pct"/>
            <w:vAlign w:val="center"/>
          </w:tcPr>
          <w:p w14:paraId="62A90C25" w14:textId="77777777" w:rsidR="006A1AFC" w:rsidRPr="00885AB3" w:rsidRDefault="006A1AFC" w:rsidP="00120D61">
            <w:pPr>
              <w:keepNext/>
              <w:rPr>
                <w:rFonts w:ascii="Arial Narrow" w:hAnsi="Arial Narrow"/>
                <w:sz w:val="20"/>
                <w:szCs w:val="20"/>
              </w:rPr>
            </w:pPr>
            <w:r w:rsidRPr="00885AB3">
              <w:rPr>
                <w:rFonts w:ascii="Arial Narrow" w:hAnsi="Arial Narrow"/>
                <w:sz w:val="20"/>
                <w:szCs w:val="20"/>
              </w:rPr>
              <w:t>RSV-related mortality</w:t>
            </w:r>
          </w:p>
        </w:tc>
        <w:tc>
          <w:tcPr>
            <w:tcW w:w="2382" w:type="pct"/>
            <w:vAlign w:val="center"/>
          </w:tcPr>
          <w:p w14:paraId="0A43C927" w14:textId="77777777" w:rsidR="006A1AFC" w:rsidRPr="00885AB3" w:rsidRDefault="006A1AFC" w:rsidP="00120D61">
            <w:pPr>
              <w:keepNext/>
              <w:rPr>
                <w:rFonts w:ascii="Arial Narrow" w:hAnsi="Arial Narrow"/>
                <w:sz w:val="20"/>
                <w:szCs w:val="20"/>
              </w:rPr>
            </w:pPr>
            <w:r w:rsidRPr="00885AB3">
              <w:rPr>
                <w:rFonts w:ascii="Arial Narrow" w:hAnsi="Arial Narrow"/>
                <w:sz w:val="20"/>
                <w:szCs w:val="20"/>
              </w:rPr>
              <w:t>High value for all-cause mortality rather than RSV-specific outcomes and focuses on individuals at high risk with multiple comorbidities (Hamilton et al. 2022).</w:t>
            </w:r>
          </w:p>
        </w:tc>
        <w:tc>
          <w:tcPr>
            <w:tcW w:w="1748" w:type="pct"/>
            <w:vAlign w:val="center"/>
          </w:tcPr>
          <w:p w14:paraId="65888B3F" w14:textId="77777777" w:rsidR="006A1AFC" w:rsidRPr="00885AB3" w:rsidRDefault="006A1AFC" w:rsidP="00120D61">
            <w:pPr>
              <w:keepNext/>
              <w:rPr>
                <w:rFonts w:ascii="Arial Narrow" w:hAnsi="Arial Narrow"/>
                <w:sz w:val="20"/>
                <w:szCs w:val="20"/>
              </w:rPr>
            </w:pPr>
            <w:r w:rsidRPr="00885AB3">
              <w:rPr>
                <w:rFonts w:ascii="Arial Narrow" w:hAnsi="Arial Narrow"/>
                <w:sz w:val="20"/>
                <w:szCs w:val="20"/>
              </w:rPr>
              <w:t>High, favours mRNA-1345</w:t>
            </w:r>
          </w:p>
          <w:p w14:paraId="4252E4ED" w14:textId="40DE72D2" w:rsidR="006A1AFC" w:rsidRPr="00885AB3" w:rsidRDefault="006A1AFC" w:rsidP="00120D61">
            <w:pPr>
              <w:keepNext/>
              <w:rPr>
                <w:rFonts w:ascii="Arial Narrow" w:hAnsi="Arial Narrow"/>
                <w:sz w:val="20"/>
                <w:szCs w:val="20"/>
              </w:rPr>
            </w:pPr>
            <w:r w:rsidRPr="00885AB3">
              <w:rPr>
                <w:rFonts w:ascii="Arial Narrow" w:hAnsi="Arial Narrow"/>
                <w:sz w:val="20"/>
                <w:szCs w:val="20"/>
              </w:rPr>
              <w:t xml:space="preserve">Use of 4.22% (para 7.16, </w:t>
            </w:r>
            <w:proofErr w:type="spellStart"/>
            <w:r w:rsidRPr="00885AB3">
              <w:rPr>
                <w:rFonts w:ascii="Arial Narrow" w:hAnsi="Arial Narrow"/>
                <w:sz w:val="20"/>
                <w:szCs w:val="20"/>
              </w:rPr>
              <w:t>RSVPreF</w:t>
            </w:r>
            <w:proofErr w:type="spellEnd"/>
            <w:r w:rsidRPr="00885AB3">
              <w:rPr>
                <w:rFonts w:ascii="Arial Narrow" w:hAnsi="Arial Narrow"/>
                <w:sz w:val="20"/>
                <w:szCs w:val="20"/>
              </w:rPr>
              <w:t xml:space="preserve"> PSD, November 2024) increased the ICER to $</w:t>
            </w:r>
            <w:r w:rsidR="004B5AFE" w:rsidRPr="004B5AFE">
              <w:rPr>
                <w:rFonts w:ascii="Arial Narrow" w:hAnsi="Arial Narrow"/>
                <w:sz w:val="20"/>
                <w:szCs w:val="20"/>
                <w:highlight w:val="black"/>
              </w:rPr>
              <w:t xml:space="preserve"> &amp;&amp;&amp;&amp;</w:t>
            </w:r>
            <w:r w:rsidR="00767106">
              <w:rPr>
                <w:rFonts w:ascii="Arial Narrow" w:hAnsi="Arial Narrow"/>
                <w:sz w:val="20"/>
                <w:szCs w:val="20"/>
                <w:vertAlign w:val="superscript"/>
              </w:rPr>
              <w:t>2</w:t>
            </w:r>
            <w:r w:rsidRPr="00885AB3">
              <w:rPr>
                <w:rFonts w:ascii="Arial Narrow" w:hAnsi="Arial Narrow"/>
                <w:sz w:val="20"/>
                <w:szCs w:val="20"/>
              </w:rPr>
              <w:t>/QALY gained.</w:t>
            </w:r>
          </w:p>
        </w:tc>
      </w:tr>
      <w:tr w:rsidR="006A1AFC" w:rsidRPr="00885AB3" w14:paraId="151841B5" w14:textId="77777777" w:rsidTr="00BB6F47">
        <w:tc>
          <w:tcPr>
            <w:tcW w:w="871" w:type="pct"/>
            <w:vAlign w:val="center"/>
          </w:tcPr>
          <w:p w14:paraId="0961683A" w14:textId="77777777" w:rsidR="006A1AFC" w:rsidRPr="00885AB3" w:rsidRDefault="006A1AFC" w:rsidP="00120D61">
            <w:pPr>
              <w:keepNext/>
              <w:rPr>
                <w:rFonts w:ascii="Arial Narrow" w:hAnsi="Arial Narrow"/>
                <w:sz w:val="20"/>
                <w:szCs w:val="20"/>
              </w:rPr>
            </w:pPr>
            <w:r w:rsidRPr="00885AB3">
              <w:rPr>
                <w:rFonts w:ascii="Arial Narrow" w:hAnsi="Arial Narrow"/>
                <w:sz w:val="20"/>
                <w:szCs w:val="20"/>
              </w:rPr>
              <w:t>Disutility (outpatient)</w:t>
            </w:r>
          </w:p>
        </w:tc>
        <w:tc>
          <w:tcPr>
            <w:tcW w:w="2382" w:type="pct"/>
            <w:vAlign w:val="center"/>
          </w:tcPr>
          <w:p w14:paraId="78E835D6" w14:textId="15C5849B" w:rsidR="006A1AFC" w:rsidRPr="00885AB3" w:rsidRDefault="006A1AFC" w:rsidP="00120D61">
            <w:pPr>
              <w:keepNext/>
              <w:rPr>
                <w:rFonts w:ascii="Arial Narrow" w:hAnsi="Arial Narrow"/>
                <w:sz w:val="20"/>
                <w:szCs w:val="20"/>
              </w:rPr>
            </w:pPr>
            <w:r w:rsidRPr="00885AB3">
              <w:rPr>
                <w:rFonts w:ascii="Arial Narrow" w:hAnsi="Arial Narrow"/>
                <w:sz w:val="20"/>
                <w:szCs w:val="20"/>
              </w:rPr>
              <w:t xml:space="preserve">High value for disutility (0.0185) </w:t>
            </w:r>
            <w:r w:rsidR="00A36F9B" w:rsidRPr="00885AB3">
              <w:rPr>
                <w:rFonts w:ascii="Arial Narrow" w:hAnsi="Arial Narrow"/>
                <w:sz w:val="20"/>
                <w:szCs w:val="20"/>
              </w:rPr>
              <w:t>applied to</w:t>
            </w:r>
            <w:r w:rsidRPr="00885AB3">
              <w:rPr>
                <w:rFonts w:ascii="Arial Narrow" w:hAnsi="Arial Narrow"/>
                <w:sz w:val="20"/>
                <w:szCs w:val="20"/>
              </w:rPr>
              <w:t xml:space="preserve"> outpatient</w:t>
            </w:r>
            <w:r w:rsidR="00A36F9B" w:rsidRPr="00885AB3">
              <w:rPr>
                <w:rFonts w:ascii="Arial Narrow" w:hAnsi="Arial Narrow"/>
                <w:sz w:val="20"/>
                <w:szCs w:val="20"/>
              </w:rPr>
              <w:t>s</w:t>
            </w:r>
            <w:r w:rsidRPr="00885AB3">
              <w:rPr>
                <w:rFonts w:ascii="Arial Narrow" w:hAnsi="Arial Narrow"/>
                <w:sz w:val="20"/>
                <w:szCs w:val="20"/>
              </w:rPr>
              <w:t xml:space="preserve"> </w:t>
            </w:r>
            <w:r w:rsidR="00A36F9B" w:rsidRPr="00885AB3">
              <w:rPr>
                <w:rFonts w:ascii="Arial Narrow" w:hAnsi="Arial Narrow"/>
                <w:sz w:val="20"/>
                <w:szCs w:val="20"/>
              </w:rPr>
              <w:t>obtained</w:t>
            </w:r>
            <w:r w:rsidRPr="00885AB3">
              <w:rPr>
                <w:rFonts w:ascii="Arial Narrow" w:hAnsi="Arial Narrow"/>
                <w:sz w:val="20"/>
                <w:szCs w:val="20"/>
              </w:rPr>
              <w:t xml:space="preserve"> from unpublished literature.</w:t>
            </w:r>
          </w:p>
        </w:tc>
        <w:tc>
          <w:tcPr>
            <w:tcW w:w="1748" w:type="pct"/>
            <w:vAlign w:val="center"/>
          </w:tcPr>
          <w:p w14:paraId="7F6643FE" w14:textId="77777777" w:rsidR="006A1AFC" w:rsidRPr="00885AB3" w:rsidRDefault="006A1AFC" w:rsidP="00120D61">
            <w:pPr>
              <w:keepNext/>
              <w:rPr>
                <w:rFonts w:ascii="Arial Narrow" w:hAnsi="Arial Narrow"/>
                <w:sz w:val="20"/>
                <w:szCs w:val="20"/>
              </w:rPr>
            </w:pPr>
            <w:r w:rsidRPr="00885AB3">
              <w:rPr>
                <w:rFonts w:ascii="Arial Narrow" w:hAnsi="Arial Narrow"/>
                <w:sz w:val="20"/>
                <w:szCs w:val="20"/>
              </w:rPr>
              <w:t>Moderate, favours mRNA-1345</w:t>
            </w:r>
          </w:p>
          <w:p w14:paraId="114B696D" w14:textId="425D4FDD" w:rsidR="006A1AFC" w:rsidRPr="00885AB3" w:rsidRDefault="006A1AFC" w:rsidP="00120D61">
            <w:pPr>
              <w:keepNext/>
              <w:rPr>
                <w:rFonts w:ascii="Arial Narrow" w:hAnsi="Arial Narrow"/>
                <w:sz w:val="20"/>
                <w:szCs w:val="20"/>
              </w:rPr>
            </w:pPr>
            <w:r w:rsidRPr="00885AB3">
              <w:rPr>
                <w:rFonts w:ascii="Arial Narrow" w:hAnsi="Arial Narrow"/>
                <w:sz w:val="20"/>
                <w:szCs w:val="20"/>
              </w:rPr>
              <w:t xml:space="preserve">Use of 0.0054 (para 6.40, </w:t>
            </w:r>
            <w:proofErr w:type="spellStart"/>
            <w:r w:rsidRPr="00885AB3">
              <w:rPr>
                <w:rFonts w:ascii="Arial Narrow" w:hAnsi="Arial Narrow"/>
                <w:sz w:val="20"/>
                <w:szCs w:val="20"/>
              </w:rPr>
              <w:t>RSVPreF</w:t>
            </w:r>
            <w:proofErr w:type="spellEnd"/>
            <w:r w:rsidRPr="00885AB3">
              <w:rPr>
                <w:rFonts w:ascii="Arial Narrow" w:hAnsi="Arial Narrow"/>
                <w:sz w:val="20"/>
                <w:szCs w:val="20"/>
              </w:rPr>
              <w:t xml:space="preserve"> PSD, November 2024) increased the ICER to $</w:t>
            </w:r>
            <w:r w:rsidR="004B5AFE" w:rsidRPr="004B5AFE">
              <w:rPr>
                <w:rFonts w:ascii="Arial Narrow" w:hAnsi="Arial Narrow"/>
                <w:sz w:val="20"/>
                <w:szCs w:val="20"/>
                <w:highlight w:val="black"/>
              </w:rPr>
              <w:t xml:space="preserve"> &amp;&amp;&amp;&amp;</w:t>
            </w:r>
            <w:r w:rsidR="00A8602F">
              <w:rPr>
                <w:rFonts w:ascii="Arial Narrow" w:hAnsi="Arial Narrow"/>
                <w:sz w:val="20"/>
                <w:szCs w:val="20"/>
                <w:vertAlign w:val="superscript"/>
              </w:rPr>
              <w:t>3</w:t>
            </w:r>
            <w:r w:rsidRPr="00885AB3">
              <w:rPr>
                <w:rFonts w:ascii="Arial Narrow" w:hAnsi="Arial Narrow"/>
                <w:sz w:val="20"/>
                <w:szCs w:val="20"/>
              </w:rPr>
              <w:t>/QALY gained.</w:t>
            </w:r>
          </w:p>
        </w:tc>
      </w:tr>
      <w:tr w:rsidR="006A1AFC" w:rsidRPr="00885AB3" w14:paraId="63270A15" w14:textId="77777777" w:rsidTr="00BB6F47">
        <w:tc>
          <w:tcPr>
            <w:tcW w:w="871" w:type="pct"/>
            <w:vAlign w:val="center"/>
          </w:tcPr>
          <w:p w14:paraId="5E9D7EB0" w14:textId="77777777" w:rsidR="006A1AFC" w:rsidRPr="00885AB3" w:rsidRDefault="006A1AFC" w:rsidP="00120D61">
            <w:pPr>
              <w:keepNext/>
              <w:rPr>
                <w:rFonts w:ascii="Arial Narrow" w:hAnsi="Arial Narrow"/>
                <w:sz w:val="20"/>
                <w:szCs w:val="20"/>
              </w:rPr>
            </w:pPr>
            <w:r w:rsidRPr="00885AB3">
              <w:rPr>
                <w:rFonts w:ascii="Arial Narrow" w:hAnsi="Arial Narrow"/>
                <w:sz w:val="20"/>
                <w:szCs w:val="20"/>
              </w:rPr>
              <w:t>Hospitalisation cost</w:t>
            </w:r>
          </w:p>
        </w:tc>
        <w:tc>
          <w:tcPr>
            <w:tcW w:w="2382" w:type="pct"/>
            <w:vAlign w:val="center"/>
          </w:tcPr>
          <w:p w14:paraId="5B122025" w14:textId="77777777" w:rsidR="006A1AFC" w:rsidRPr="00885AB3" w:rsidRDefault="006A1AFC" w:rsidP="00120D61">
            <w:pPr>
              <w:keepNext/>
              <w:rPr>
                <w:rFonts w:ascii="Arial Narrow" w:hAnsi="Arial Narrow"/>
                <w:sz w:val="20"/>
                <w:szCs w:val="20"/>
              </w:rPr>
            </w:pPr>
            <w:r w:rsidRPr="00885AB3">
              <w:rPr>
                <w:rFonts w:ascii="Arial Narrow" w:hAnsi="Arial Narrow"/>
                <w:sz w:val="20"/>
                <w:szCs w:val="20"/>
              </w:rPr>
              <w:t>High value of hospitalisation cost ($12,281.71) driven by comorbidity adjustment and additional from 100% ED assumption ($2,044).</w:t>
            </w:r>
          </w:p>
        </w:tc>
        <w:tc>
          <w:tcPr>
            <w:tcW w:w="1748" w:type="pct"/>
            <w:vAlign w:val="center"/>
          </w:tcPr>
          <w:p w14:paraId="61680F18" w14:textId="77777777" w:rsidR="006A1AFC" w:rsidRPr="00885AB3" w:rsidRDefault="006A1AFC" w:rsidP="00120D61">
            <w:pPr>
              <w:keepNext/>
              <w:rPr>
                <w:rFonts w:ascii="Arial Narrow" w:hAnsi="Arial Narrow"/>
                <w:sz w:val="20"/>
                <w:szCs w:val="20"/>
              </w:rPr>
            </w:pPr>
            <w:r w:rsidRPr="00885AB3">
              <w:rPr>
                <w:rFonts w:ascii="Arial Narrow" w:hAnsi="Arial Narrow"/>
                <w:sz w:val="20"/>
                <w:szCs w:val="20"/>
              </w:rPr>
              <w:t>Moderate, favours mRNA-1345</w:t>
            </w:r>
          </w:p>
          <w:p w14:paraId="7017FBE2" w14:textId="3BA6ADC2" w:rsidR="006A1AFC" w:rsidRPr="00885AB3" w:rsidRDefault="006A1AFC" w:rsidP="00120D61">
            <w:pPr>
              <w:keepNext/>
              <w:rPr>
                <w:rFonts w:ascii="Arial Narrow" w:hAnsi="Arial Narrow"/>
                <w:sz w:val="20"/>
                <w:szCs w:val="20"/>
              </w:rPr>
            </w:pPr>
            <w:r w:rsidRPr="00885AB3">
              <w:rPr>
                <w:rFonts w:ascii="Arial Narrow" w:hAnsi="Arial Narrow"/>
                <w:sz w:val="20"/>
                <w:szCs w:val="20"/>
              </w:rPr>
              <w:t>Use of $9,983 (without comorbidity adjustment and 0% ED) increased the ICER to $</w:t>
            </w:r>
            <w:r w:rsidR="004B5AFE" w:rsidRPr="004B5AFE">
              <w:rPr>
                <w:rFonts w:ascii="Arial Narrow" w:hAnsi="Arial Narrow"/>
                <w:sz w:val="20"/>
                <w:szCs w:val="20"/>
                <w:highlight w:val="black"/>
              </w:rPr>
              <w:t xml:space="preserve"> &amp;&amp;&amp;&amp;</w:t>
            </w:r>
            <w:r w:rsidR="00A8602F">
              <w:rPr>
                <w:rFonts w:ascii="Arial Narrow" w:hAnsi="Arial Narrow"/>
                <w:sz w:val="20"/>
                <w:szCs w:val="20"/>
                <w:vertAlign w:val="superscript"/>
              </w:rPr>
              <w:t>3</w:t>
            </w:r>
            <w:r w:rsidRPr="00885AB3">
              <w:rPr>
                <w:rFonts w:ascii="Arial Narrow" w:hAnsi="Arial Narrow"/>
                <w:sz w:val="20"/>
                <w:szCs w:val="20"/>
              </w:rPr>
              <w:t>/QALY gained.</w:t>
            </w:r>
          </w:p>
        </w:tc>
      </w:tr>
      <w:tr w:rsidR="006A1AFC" w:rsidRPr="00885AB3" w14:paraId="71AECBD1" w14:textId="77777777">
        <w:tc>
          <w:tcPr>
            <w:tcW w:w="5000" w:type="pct"/>
            <w:gridSpan w:val="3"/>
            <w:vAlign w:val="center"/>
          </w:tcPr>
          <w:p w14:paraId="6BBAA091" w14:textId="260447DB" w:rsidR="006A1AFC" w:rsidRPr="00885AB3" w:rsidRDefault="006A1AFC" w:rsidP="00120D61">
            <w:pPr>
              <w:keepNext/>
              <w:rPr>
                <w:rFonts w:ascii="Arial Narrow" w:hAnsi="Arial Narrow"/>
                <w:b/>
                <w:bCs/>
                <w:sz w:val="20"/>
                <w:szCs w:val="20"/>
              </w:rPr>
            </w:pPr>
            <w:r w:rsidRPr="00885AB3">
              <w:rPr>
                <w:rFonts w:ascii="Arial Narrow" w:hAnsi="Arial Narrow"/>
                <w:b/>
                <w:bCs/>
                <w:sz w:val="20"/>
                <w:szCs w:val="20"/>
              </w:rPr>
              <w:t>Aboriginal and Torres Strait Islander people 60-74 YOA population</w:t>
            </w:r>
            <w:r w:rsidR="001C78D7">
              <w:rPr>
                <w:rFonts w:ascii="Arial Narrow" w:hAnsi="Arial Narrow"/>
                <w:b/>
                <w:bCs/>
                <w:sz w:val="20"/>
                <w:szCs w:val="20"/>
              </w:rPr>
              <w:t xml:space="preserve">   </w:t>
            </w:r>
            <w:r w:rsidRPr="00885AB3">
              <w:rPr>
                <w:rFonts w:ascii="Arial Narrow" w:hAnsi="Arial Narrow"/>
                <w:b/>
                <w:bCs/>
                <w:sz w:val="20"/>
                <w:szCs w:val="20"/>
              </w:rPr>
              <w:t>Base case: $</w:t>
            </w:r>
            <w:r w:rsidR="004B5AFE" w:rsidRPr="004B5AFE">
              <w:rPr>
                <w:rFonts w:ascii="Arial Narrow" w:hAnsi="Arial Narrow"/>
                <w:b/>
                <w:bCs/>
                <w:sz w:val="20"/>
                <w:szCs w:val="20"/>
                <w:highlight w:val="black"/>
              </w:rPr>
              <w:t xml:space="preserve"> &amp;&amp;&amp;&amp;</w:t>
            </w:r>
            <w:r w:rsidR="005C7DAC">
              <w:rPr>
                <w:rFonts w:ascii="Arial Narrow" w:hAnsi="Arial Narrow"/>
                <w:sz w:val="20"/>
                <w:szCs w:val="20"/>
                <w:vertAlign w:val="superscript"/>
              </w:rPr>
              <w:t>1</w:t>
            </w:r>
            <w:r w:rsidRPr="00885AB3">
              <w:rPr>
                <w:rFonts w:ascii="Arial Narrow" w:hAnsi="Arial Narrow"/>
                <w:b/>
                <w:bCs/>
                <w:sz w:val="20"/>
                <w:szCs w:val="20"/>
              </w:rPr>
              <w:t xml:space="preserve">/QALY gained </w:t>
            </w:r>
          </w:p>
        </w:tc>
      </w:tr>
      <w:tr w:rsidR="006A1AFC" w:rsidRPr="00885AB3" w14:paraId="232B4A0E" w14:textId="77777777" w:rsidTr="00BB6F47">
        <w:tc>
          <w:tcPr>
            <w:tcW w:w="871" w:type="pct"/>
            <w:vAlign w:val="center"/>
          </w:tcPr>
          <w:p w14:paraId="59CDF58E" w14:textId="77777777" w:rsidR="006A1AFC" w:rsidRPr="00885AB3" w:rsidRDefault="006A1AFC" w:rsidP="00120D61">
            <w:pPr>
              <w:keepNext/>
              <w:rPr>
                <w:rFonts w:ascii="Arial Narrow" w:hAnsi="Arial Narrow"/>
                <w:sz w:val="20"/>
                <w:szCs w:val="20"/>
              </w:rPr>
            </w:pPr>
            <w:r w:rsidRPr="00885AB3">
              <w:rPr>
                <w:rFonts w:ascii="Arial Narrow" w:hAnsi="Arial Narrow"/>
                <w:sz w:val="20"/>
                <w:szCs w:val="20"/>
              </w:rPr>
              <w:t>Hospitalisation rate</w:t>
            </w:r>
          </w:p>
        </w:tc>
        <w:tc>
          <w:tcPr>
            <w:tcW w:w="2382" w:type="pct"/>
            <w:vAlign w:val="center"/>
          </w:tcPr>
          <w:p w14:paraId="4D522054" w14:textId="6A3CE9C1" w:rsidR="006A1AFC" w:rsidRPr="00885AB3" w:rsidRDefault="006A1AFC" w:rsidP="00120D61">
            <w:pPr>
              <w:keepNext/>
              <w:rPr>
                <w:rFonts w:ascii="Arial Narrow" w:hAnsi="Arial Narrow"/>
                <w:sz w:val="20"/>
                <w:szCs w:val="20"/>
              </w:rPr>
            </w:pPr>
            <w:r w:rsidRPr="00885AB3">
              <w:rPr>
                <w:rFonts w:ascii="Arial Narrow" w:hAnsi="Arial Narrow"/>
                <w:sz w:val="20"/>
                <w:szCs w:val="20"/>
              </w:rPr>
              <w:t>Applying low values (96 per 100,000 person-year in 60–64 YOA to 188 per 100,000 in 65–74 YOA) estimated based on Nazareno et al 2022.</w:t>
            </w:r>
            <w:r w:rsidR="001C78D7">
              <w:rPr>
                <w:rFonts w:ascii="Arial Narrow" w:hAnsi="Arial Narrow"/>
                <w:sz w:val="20"/>
                <w:szCs w:val="20"/>
              </w:rPr>
              <w:t xml:space="preserve"> </w:t>
            </w:r>
          </w:p>
        </w:tc>
        <w:tc>
          <w:tcPr>
            <w:tcW w:w="1748" w:type="pct"/>
            <w:vAlign w:val="center"/>
          </w:tcPr>
          <w:p w14:paraId="62AF04E4" w14:textId="77777777" w:rsidR="006A1AFC" w:rsidRPr="00885AB3" w:rsidRDefault="006A1AFC" w:rsidP="00120D61">
            <w:pPr>
              <w:keepNext/>
              <w:rPr>
                <w:rFonts w:ascii="Arial Narrow" w:hAnsi="Arial Narrow"/>
                <w:sz w:val="20"/>
                <w:szCs w:val="20"/>
              </w:rPr>
            </w:pPr>
            <w:r w:rsidRPr="00885AB3">
              <w:rPr>
                <w:rFonts w:ascii="Arial Narrow" w:hAnsi="Arial Narrow"/>
                <w:sz w:val="20"/>
                <w:szCs w:val="20"/>
              </w:rPr>
              <w:t>High, favours no vaccine</w:t>
            </w:r>
          </w:p>
          <w:p w14:paraId="6F5B7884" w14:textId="37419943" w:rsidR="006A1AFC" w:rsidRPr="00885AB3" w:rsidRDefault="006A1AFC" w:rsidP="00120D61">
            <w:pPr>
              <w:keepNext/>
              <w:rPr>
                <w:rFonts w:ascii="Arial Narrow" w:hAnsi="Arial Narrow"/>
                <w:sz w:val="20"/>
                <w:szCs w:val="20"/>
              </w:rPr>
            </w:pPr>
            <w:r w:rsidRPr="00885AB3">
              <w:rPr>
                <w:rFonts w:ascii="Arial Narrow" w:hAnsi="Arial Narrow"/>
                <w:sz w:val="20"/>
                <w:szCs w:val="20"/>
              </w:rPr>
              <w:t>Use of 567 per 100,000 person-year decreased the ICER to $</w:t>
            </w:r>
            <w:r w:rsidR="004B5AFE" w:rsidRPr="004B5AFE">
              <w:rPr>
                <w:rFonts w:ascii="Arial Narrow" w:hAnsi="Arial Narrow"/>
                <w:sz w:val="20"/>
                <w:szCs w:val="20"/>
                <w:highlight w:val="black"/>
              </w:rPr>
              <w:t xml:space="preserve"> &amp;&amp;&amp;&amp;</w:t>
            </w:r>
            <w:r w:rsidR="00F35543">
              <w:rPr>
                <w:rFonts w:ascii="Arial Narrow" w:hAnsi="Arial Narrow"/>
                <w:sz w:val="20"/>
                <w:szCs w:val="20"/>
                <w:vertAlign w:val="superscript"/>
              </w:rPr>
              <w:t>4</w:t>
            </w:r>
            <w:r w:rsidRPr="00885AB3">
              <w:rPr>
                <w:rFonts w:ascii="Arial Narrow" w:hAnsi="Arial Narrow"/>
                <w:sz w:val="20"/>
                <w:szCs w:val="20"/>
              </w:rPr>
              <w:t xml:space="preserve">/QALY </w:t>
            </w:r>
            <w:proofErr w:type="spellStart"/>
            <w:r w:rsidRPr="00885AB3">
              <w:rPr>
                <w:rFonts w:ascii="Arial Narrow" w:hAnsi="Arial Narrow"/>
                <w:sz w:val="20"/>
                <w:szCs w:val="20"/>
              </w:rPr>
              <w:t>gained</w:t>
            </w:r>
            <w:r w:rsidRPr="00885AB3">
              <w:rPr>
                <w:rFonts w:ascii="Arial Narrow" w:hAnsi="Arial Narrow"/>
                <w:sz w:val="20"/>
                <w:szCs w:val="20"/>
                <w:vertAlign w:val="superscript"/>
              </w:rPr>
              <w:t>a</w:t>
            </w:r>
            <w:proofErr w:type="spellEnd"/>
            <w:r w:rsidRPr="00885AB3">
              <w:rPr>
                <w:rFonts w:ascii="Arial Narrow" w:hAnsi="Arial Narrow"/>
                <w:sz w:val="20"/>
                <w:szCs w:val="20"/>
              </w:rPr>
              <w:t>.</w:t>
            </w:r>
          </w:p>
        </w:tc>
      </w:tr>
      <w:tr w:rsidR="006A1AFC" w:rsidRPr="00885AB3" w14:paraId="5C7D2081" w14:textId="77777777" w:rsidTr="00BB6F47">
        <w:tc>
          <w:tcPr>
            <w:tcW w:w="871" w:type="pct"/>
            <w:vAlign w:val="center"/>
          </w:tcPr>
          <w:p w14:paraId="4EC4B65B" w14:textId="77777777" w:rsidR="006A1AFC" w:rsidRPr="00885AB3" w:rsidRDefault="006A1AFC" w:rsidP="00120D61">
            <w:pPr>
              <w:pStyle w:val="Tabletext8pt"/>
              <w:spacing w:before="0" w:after="0"/>
              <w:rPr>
                <w:rFonts w:ascii="Arial Narrow" w:hAnsi="Arial Narrow"/>
                <w:sz w:val="20"/>
                <w:szCs w:val="20"/>
              </w:rPr>
            </w:pPr>
            <w:r w:rsidRPr="00885AB3">
              <w:rPr>
                <w:rFonts w:ascii="Arial Narrow" w:hAnsi="Arial Narrow"/>
                <w:sz w:val="20"/>
                <w:szCs w:val="20"/>
              </w:rPr>
              <w:t>VE duration</w:t>
            </w:r>
          </w:p>
        </w:tc>
        <w:tc>
          <w:tcPr>
            <w:tcW w:w="2382" w:type="pct"/>
            <w:vAlign w:val="center"/>
          </w:tcPr>
          <w:p w14:paraId="6B948E88" w14:textId="7EE157AF" w:rsidR="006A1AFC" w:rsidRPr="00885AB3" w:rsidRDefault="006A1AFC" w:rsidP="00120D61">
            <w:pPr>
              <w:keepNext/>
              <w:rPr>
                <w:rFonts w:ascii="Arial Narrow" w:hAnsi="Arial Narrow"/>
                <w:sz w:val="20"/>
                <w:szCs w:val="20"/>
              </w:rPr>
            </w:pPr>
            <w:r w:rsidRPr="00885AB3">
              <w:rPr>
                <w:rFonts w:ascii="Arial Narrow" w:eastAsia="Calibri" w:hAnsi="Arial Narrow" w:cs="Calibri"/>
                <w:sz w:val="20"/>
                <w:szCs w:val="20"/>
              </w:rPr>
              <w:t>18.8</w:t>
            </w:r>
            <w:r w:rsidRPr="00885AB3">
              <w:rPr>
                <w:rFonts w:ascii="Arial Narrow" w:hAnsi="Arial Narrow"/>
                <w:sz w:val="20"/>
                <w:szCs w:val="20"/>
              </w:rPr>
              <w:t>-</w:t>
            </w:r>
            <w:r w:rsidRPr="00885AB3">
              <w:rPr>
                <w:rFonts w:ascii="Arial Narrow" w:eastAsia="Calibri" w:hAnsi="Arial Narrow" w:cs="Calibri"/>
                <w:sz w:val="20"/>
                <w:szCs w:val="20"/>
              </w:rPr>
              <w:t>month</w:t>
            </w:r>
            <w:r w:rsidRPr="00885AB3">
              <w:rPr>
                <w:rFonts w:ascii="Arial Narrow" w:hAnsi="Arial Narrow"/>
                <w:sz w:val="20"/>
                <w:szCs w:val="20"/>
              </w:rPr>
              <w:t xml:space="preserve"> VE</w:t>
            </w:r>
            <w:r w:rsidRPr="00885AB3">
              <w:rPr>
                <w:rFonts w:ascii="Arial Narrow" w:eastAsia="Calibri" w:hAnsi="Arial Narrow" w:cs="Calibri"/>
                <w:sz w:val="20"/>
                <w:szCs w:val="20"/>
              </w:rPr>
              <w:t xml:space="preserve"> data</w:t>
            </w:r>
            <w:r w:rsidRPr="00885AB3">
              <w:rPr>
                <w:rFonts w:ascii="Arial Narrow" w:hAnsi="Arial Narrow"/>
                <w:sz w:val="20"/>
                <w:szCs w:val="20"/>
              </w:rPr>
              <w:t xml:space="preserve"> of ITT population</w:t>
            </w:r>
            <w:r w:rsidRPr="00885AB3">
              <w:rPr>
                <w:rFonts w:ascii="Arial Narrow" w:eastAsia="Calibri" w:hAnsi="Arial Narrow" w:cs="Calibri"/>
                <w:sz w:val="20"/>
                <w:szCs w:val="20"/>
              </w:rPr>
              <w:t xml:space="preserve"> (</w:t>
            </w:r>
            <w:r w:rsidR="00EF2FA4">
              <w:rPr>
                <w:rFonts w:ascii="Arial Narrow" w:hAnsi="Arial Narrow"/>
                <w:sz w:val="20"/>
                <w:szCs w:val="20"/>
              </w:rPr>
              <w:t xml:space="preserve">≥ </w:t>
            </w:r>
            <w:r w:rsidR="00EC73E7" w:rsidRPr="00885AB3">
              <w:rPr>
                <w:rFonts w:ascii="Arial Narrow" w:hAnsi="Arial Narrow"/>
                <w:sz w:val="20"/>
                <w:szCs w:val="20"/>
              </w:rPr>
              <w:t>60</w:t>
            </w:r>
            <w:r w:rsidRPr="00885AB3">
              <w:rPr>
                <w:rFonts w:ascii="Arial Narrow" w:hAnsi="Arial Narrow"/>
                <w:sz w:val="20"/>
                <w:szCs w:val="20"/>
              </w:rPr>
              <w:t xml:space="preserve"> YOA; </w:t>
            </w:r>
            <w:r w:rsidRPr="00885AB3">
              <w:rPr>
                <w:rFonts w:ascii="Arial Narrow" w:eastAsia="Calibri" w:hAnsi="Arial Narrow" w:cs="Calibri"/>
                <w:sz w:val="20"/>
                <w:szCs w:val="20"/>
              </w:rPr>
              <w:t xml:space="preserve">8 March 2024 data cutoff) from </w:t>
            </w:r>
            <w:proofErr w:type="spellStart"/>
            <w:r w:rsidRPr="00885AB3">
              <w:rPr>
                <w:rFonts w:ascii="Arial Narrow" w:eastAsia="Calibri" w:hAnsi="Arial Narrow" w:cs="Calibri"/>
                <w:sz w:val="20"/>
                <w:szCs w:val="20"/>
              </w:rPr>
              <w:t>ConquerRSV</w:t>
            </w:r>
            <w:proofErr w:type="spellEnd"/>
            <w:r w:rsidRPr="00885AB3">
              <w:rPr>
                <w:rFonts w:ascii="Arial Narrow" w:eastAsia="Calibri" w:hAnsi="Arial Narrow" w:cs="Calibri"/>
                <w:sz w:val="20"/>
                <w:szCs w:val="20"/>
              </w:rPr>
              <w:t xml:space="preserve"> </w:t>
            </w:r>
            <w:r w:rsidRPr="00885AB3">
              <w:rPr>
                <w:rFonts w:ascii="Arial Narrow" w:hAnsi="Arial Narrow"/>
                <w:sz w:val="20"/>
                <w:szCs w:val="20"/>
              </w:rPr>
              <w:t>were</w:t>
            </w:r>
            <w:r w:rsidRPr="00885AB3">
              <w:rPr>
                <w:rFonts w:ascii="Arial Narrow" w:eastAsia="Calibri" w:hAnsi="Arial Narrow" w:cs="Calibri"/>
                <w:sz w:val="20"/>
                <w:szCs w:val="20"/>
              </w:rPr>
              <w:t xml:space="preserve"> extrapolated over 5 years using non-linear model.</w:t>
            </w:r>
            <w:r w:rsidRPr="00885AB3">
              <w:rPr>
                <w:rFonts w:ascii="Arial Narrow" w:hAnsi="Arial Narrow"/>
                <w:sz w:val="20"/>
                <w:szCs w:val="20"/>
              </w:rPr>
              <w:t xml:space="preserve"> </w:t>
            </w:r>
          </w:p>
        </w:tc>
        <w:tc>
          <w:tcPr>
            <w:tcW w:w="1748" w:type="pct"/>
            <w:vAlign w:val="center"/>
          </w:tcPr>
          <w:p w14:paraId="3D2CF091" w14:textId="77777777" w:rsidR="006A1AFC" w:rsidRPr="00885AB3" w:rsidRDefault="006A1AFC" w:rsidP="00120D61">
            <w:pPr>
              <w:keepNext/>
              <w:rPr>
                <w:rFonts w:ascii="Arial Narrow" w:hAnsi="Arial Narrow"/>
                <w:sz w:val="20"/>
                <w:szCs w:val="20"/>
              </w:rPr>
            </w:pPr>
            <w:r w:rsidRPr="00885AB3">
              <w:rPr>
                <w:rFonts w:ascii="Arial Narrow" w:hAnsi="Arial Narrow"/>
                <w:sz w:val="20"/>
                <w:szCs w:val="20"/>
              </w:rPr>
              <w:t>High, favours mRNA-1345</w:t>
            </w:r>
          </w:p>
          <w:p w14:paraId="0015B994" w14:textId="4D59E669" w:rsidR="006A1AFC" w:rsidRPr="00885AB3" w:rsidRDefault="006A1AFC" w:rsidP="00120D61">
            <w:pPr>
              <w:keepNext/>
              <w:rPr>
                <w:rFonts w:ascii="Arial Narrow" w:hAnsi="Arial Narrow"/>
                <w:sz w:val="20"/>
                <w:szCs w:val="20"/>
              </w:rPr>
            </w:pPr>
            <w:r w:rsidRPr="00885AB3">
              <w:rPr>
                <w:rFonts w:ascii="Arial Narrow" w:hAnsi="Arial Narrow"/>
                <w:sz w:val="20"/>
                <w:szCs w:val="20"/>
              </w:rPr>
              <w:t>Use of 2-year duration increased the ICER to $</w:t>
            </w:r>
            <w:r w:rsidR="004B5AFE" w:rsidRPr="004B5AFE">
              <w:rPr>
                <w:rFonts w:ascii="Arial Narrow" w:hAnsi="Arial Narrow"/>
                <w:sz w:val="20"/>
                <w:szCs w:val="20"/>
                <w:highlight w:val="black"/>
              </w:rPr>
              <w:t xml:space="preserve"> &amp;&amp;&amp;&amp;</w:t>
            </w:r>
            <w:r w:rsidR="00767106">
              <w:rPr>
                <w:rFonts w:ascii="Arial Narrow" w:hAnsi="Arial Narrow"/>
                <w:sz w:val="20"/>
                <w:szCs w:val="20"/>
                <w:vertAlign w:val="superscript"/>
              </w:rPr>
              <w:t>2</w:t>
            </w:r>
            <w:r w:rsidRPr="00885AB3">
              <w:rPr>
                <w:rFonts w:ascii="Arial Narrow" w:hAnsi="Arial Narrow"/>
                <w:sz w:val="20"/>
                <w:szCs w:val="20"/>
              </w:rPr>
              <w:t>/QALY gained.</w:t>
            </w:r>
          </w:p>
        </w:tc>
      </w:tr>
      <w:tr w:rsidR="006A1AFC" w:rsidRPr="00885AB3" w14:paraId="4C9DE77D" w14:textId="77777777" w:rsidTr="00BB6F47">
        <w:tc>
          <w:tcPr>
            <w:tcW w:w="871" w:type="pct"/>
            <w:vAlign w:val="center"/>
          </w:tcPr>
          <w:p w14:paraId="4754E87B" w14:textId="77777777" w:rsidR="006A1AFC" w:rsidRPr="00885AB3" w:rsidRDefault="006A1AFC" w:rsidP="00120D61">
            <w:pPr>
              <w:pStyle w:val="Tabletext8pt"/>
              <w:spacing w:before="0" w:after="0"/>
              <w:rPr>
                <w:rFonts w:ascii="Arial Narrow" w:hAnsi="Arial Narrow"/>
                <w:sz w:val="20"/>
                <w:szCs w:val="20"/>
              </w:rPr>
            </w:pPr>
            <w:r w:rsidRPr="00885AB3">
              <w:rPr>
                <w:rFonts w:ascii="Arial Narrow" w:hAnsi="Arial Narrow"/>
                <w:sz w:val="20"/>
                <w:szCs w:val="20"/>
              </w:rPr>
              <w:t>RSV-related mortality</w:t>
            </w:r>
          </w:p>
        </w:tc>
        <w:tc>
          <w:tcPr>
            <w:tcW w:w="2382" w:type="pct"/>
            <w:vAlign w:val="center"/>
          </w:tcPr>
          <w:p w14:paraId="1F678237" w14:textId="77777777" w:rsidR="006A1AFC" w:rsidRPr="00885AB3" w:rsidRDefault="006A1AFC" w:rsidP="00120D61">
            <w:pPr>
              <w:keepNext/>
              <w:rPr>
                <w:rFonts w:ascii="Arial Narrow" w:hAnsi="Arial Narrow"/>
                <w:sz w:val="20"/>
                <w:szCs w:val="20"/>
              </w:rPr>
            </w:pPr>
            <w:r w:rsidRPr="00885AB3">
              <w:rPr>
                <w:rFonts w:ascii="Arial Narrow" w:hAnsi="Arial Narrow"/>
                <w:sz w:val="20"/>
                <w:szCs w:val="20"/>
              </w:rPr>
              <w:t>High value for all-cause mortality rather than RSV-specific outcomes and focuses on individuals at high risk with multiple comorbidities (Hamilton et al. 2022).</w:t>
            </w:r>
          </w:p>
        </w:tc>
        <w:tc>
          <w:tcPr>
            <w:tcW w:w="1748" w:type="pct"/>
            <w:vAlign w:val="center"/>
          </w:tcPr>
          <w:p w14:paraId="60FB2F0D" w14:textId="77777777" w:rsidR="006A1AFC" w:rsidRPr="00885AB3" w:rsidRDefault="006A1AFC" w:rsidP="00120D61">
            <w:pPr>
              <w:keepNext/>
              <w:rPr>
                <w:rFonts w:ascii="Arial Narrow" w:hAnsi="Arial Narrow"/>
                <w:sz w:val="20"/>
                <w:szCs w:val="20"/>
              </w:rPr>
            </w:pPr>
            <w:r w:rsidRPr="00885AB3">
              <w:rPr>
                <w:rFonts w:ascii="Arial Narrow" w:hAnsi="Arial Narrow"/>
                <w:sz w:val="20"/>
                <w:szCs w:val="20"/>
              </w:rPr>
              <w:t>High, favours mRNA-1345</w:t>
            </w:r>
          </w:p>
          <w:p w14:paraId="1F48F2F8" w14:textId="699D0F1E" w:rsidR="006A1AFC" w:rsidRPr="00885AB3" w:rsidRDefault="006A1AFC" w:rsidP="00120D61">
            <w:pPr>
              <w:keepNext/>
              <w:rPr>
                <w:rFonts w:ascii="Arial Narrow" w:hAnsi="Arial Narrow"/>
                <w:sz w:val="20"/>
                <w:szCs w:val="20"/>
              </w:rPr>
            </w:pPr>
            <w:r w:rsidRPr="00885AB3">
              <w:rPr>
                <w:rFonts w:ascii="Arial Narrow" w:hAnsi="Arial Narrow"/>
                <w:sz w:val="20"/>
                <w:szCs w:val="20"/>
              </w:rPr>
              <w:t xml:space="preserve">Use of 4.22% (para 7.16, </w:t>
            </w:r>
            <w:proofErr w:type="spellStart"/>
            <w:r w:rsidRPr="00885AB3">
              <w:rPr>
                <w:rFonts w:ascii="Arial Narrow" w:hAnsi="Arial Narrow"/>
                <w:sz w:val="20"/>
                <w:szCs w:val="20"/>
              </w:rPr>
              <w:t>RSVPreF</w:t>
            </w:r>
            <w:proofErr w:type="spellEnd"/>
            <w:r w:rsidRPr="00885AB3">
              <w:rPr>
                <w:rFonts w:ascii="Arial Narrow" w:hAnsi="Arial Narrow"/>
                <w:sz w:val="20"/>
                <w:szCs w:val="20"/>
              </w:rPr>
              <w:t xml:space="preserve"> PSD, November 2024) increased the ICER to $</w:t>
            </w:r>
            <w:r w:rsidR="004B5AFE" w:rsidRPr="004B5AFE">
              <w:rPr>
                <w:rFonts w:ascii="Arial Narrow" w:hAnsi="Arial Narrow"/>
                <w:sz w:val="20"/>
                <w:szCs w:val="20"/>
                <w:highlight w:val="black"/>
              </w:rPr>
              <w:t xml:space="preserve"> </w:t>
            </w:r>
            <w:r w:rsidR="004B5AFE" w:rsidRPr="004B5AFE">
              <w:rPr>
                <w:rFonts w:ascii="Arial Narrow" w:hAnsi="Arial Narrow"/>
                <w:sz w:val="20"/>
                <w:szCs w:val="20"/>
              </w:rPr>
              <w:t>&amp;&amp;&amp;&amp;</w:t>
            </w:r>
            <w:r w:rsidR="00A8602F">
              <w:rPr>
                <w:rFonts w:ascii="Arial Narrow" w:hAnsi="Arial Narrow"/>
                <w:sz w:val="20"/>
                <w:szCs w:val="20"/>
                <w:vertAlign w:val="superscript"/>
              </w:rPr>
              <w:t>3</w:t>
            </w:r>
            <w:r w:rsidRPr="00885AB3">
              <w:rPr>
                <w:rFonts w:ascii="Arial Narrow" w:hAnsi="Arial Narrow"/>
                <w:sz w:val="20"/>
                <w:szCs w:val="20"/>
              </w:rPr>
              <w:t>/QALY gained.</w:t>
            </w:r>
          </w:p>
        </w:tc>
      </w:tr>
    </w:tbl>
    <w:p w14:paraId="60C6869E" w14:textId="77777777" w:rsidR="006A1AFC" w:rsidRPr="00885AB3" w:rsidRDefault="006A1AFC" w:rsidP="00120D61">
      <w:pPr>
        <w:pStyle w:val="FooterTableFigure"/>
        <w:keepNext/>
        <w:spacing w:after="0"/>
        <w:rPr>
          <w:szCs w:val="18"/>
        </w:rPr>
      </w:pPr>
      <w:r w:rsidRPr="00885AB3">
        <w:t xml:space="preserve">Source: </w:t>
      </w:r>
      <w:r w:rsidRPr="00885AB3">
        <w:rPr>
          <w:szCs w:val="18"/>
        </w:rPr>
        <w:t>Compiled during evaluation using Attachment 17B - Moderna RSV Model_v11.14_20250613_AUS_July 2025.</w:t>
      </w:r>
    </w:p>
    <w:p w14:paraId="3B273DEE" w14:textId="51B782D1" w:rsidR="006A1AFC" w:rsidRPr="00885AB3" w:rsidRDefault="006A1AFC" w:rsidP="00120D61">
      <w:pPr>
        <w:pStyle w:val="TableNotes"/>
        <w:keepNext/>
        <w:spacing w:after="0"/>
        <w:rPr>
          <w:szCs w:val="16"/>
        </w:rPr>
      </w:pPr>
      <w:r w:rsidRPr="00885AB3">
        <w:rPr>
          <w:szCs w:val="16"/>
        </w:rPr>
        <w:t xml:space="preserve">ED = emergency department; ICER = incremental cost-effectiveness ratio; para = paragraph; PSD = Public Summary Document; </w:t>
      </w:r>
      <w:r w:rsidRPr="00885AB3">
        <w:rPr>
          <w:szCs w:val="18"/>
        </w:rPr>
        <w:t>QALYs = quality-adjusted life years;</w:t>
      </w:r>
      <w:r w:rsidRPr="00885AB3">
        <w:rPr>
          <w:szCs w:val="16"/>
        </w:rPr>
        <w:t xml:space="preserve"> </w:t>
      </w:r>
      <w:r w:rsidR="00F7550F" w:rsidRPr="00885AB3">
        <w:rPr>
          <w:rStyle w:val="CommentReference"/>
          <w:b w:val="0"/>
          <w:bCs/>
          <w:sz w:val="18"/>
          <w:szCs w:val="18"/>
        </w:rPr>
        <w:t>RSV-ARD = respiratory syncytial virus;</w:t>
      </w:r>
      <w:r w:rsidR="00F7550F" w:rsidRPr="00885AB3">
        <w:rPr>
          <w:bCs/>
          <w:szCs w:val="18"/>
        </w:rPr>
        <w:t xml:space="preserve"> </w:t>
      </w:r>
      <w:r w:rsidRPr="00885AB3">
        <w:rPr>
          <w:szCs w:val="16"/>
        </w:rPr>
        <w:t>VE = vaccine efficacy; YOA = years of age.</w:t>
      </w:r>
    </w:p>
    <w:p w14:paraId="3FBBEFCC" w14:textId="77777777" w:rsidR="003041C0" w:rsidRDefault="006A1AFC" w:rsidP="00120D61">
      <w:pPr>
        <w:pStyle w:val="TableNotes"/>
        <w:keepNext/>
        <w:spacing w:after="0"/>
        <w:rPr>
          <w:i/>
          <w:szCs w:val="18"/>
        </w:rPr>
      </w:pPr>
      <w:proofErr w:type="spellStart"/>
      <w:r w:rsidRPr="00885AB3">
        <w:rPr>
          <w:szCs w:val="16"/>
          <w:vertAlign w:val="superscript"/>
        </w:rPr>
        <w:t>a</w:t>
      </w:r>
      <w:proofErr w:type="spellEnd"/>
      <w:r w:rsidRPr="00885AB3">
        <w:rPr>
          <w:szCs w:val="16"/>
          <w:vertAlign w:val="superscript"/>
        </w:rPr>
        <w:t xml:space="preserve"> </w:t>
      </w:r>
      <w:r w:rsidRPr="00885AB3">
        <w:rPr>
          <w:szCs w:val="16"/>
        </w:rPr>
        <w:t>This estimate has been done as part of the calibration approach</w:t>
      </w:r>
      <w:r w:rsidR="00255A7F" w:rsidRPr="00885AB3">
        <w:rPr>
          <w:szCs w:val="16"/>
        </w:rPr>
        <w:t>.</w:t>
      </w:r>
    </w:p>
    <w:p w14:paraId="06150C6A" w14:textId="5273CE3E" w:rsidR="003041C0" w:rsidRPr="003041C0" w:rsidRDefault="003041C0" w:rsidP="00120D61">
      <w:pPr>
        <w:pStyle w:val="TableNotes"/>
        <w:keepNext/>
        <w:spacing w:after="0"/>
        <w:rPr>
          <w:i/>
          <w:szCs w:val="16"/>
        </w:rPr>
      </w:pPr>
      <w:r w:rsidRPr="003041C0">
        <w:rPr>
          <w:i/>
          <w:szCs w:val="16"/>
        </w:rPr>
        <w:t xml:space="preserve">The redacted values correspond to the following ranges: </w:t>
      </w:r>
    </w:p>
    <w:p w14:paraId="7089E53E" w14:textId="707AC827" w:rsidR="003041C0" w:rsidRPr="003041C0" w:rsidRDefault="003041C0" w:rsidP="00120D61">
      <w:pPr>
        <w:pStyle w:val="TableNotes"/>
        <w:keepNext/>
        <w:spacing w:after="0"/>
        <w:rPr>
          <w:i/>
          <w:szCs w:val="16"/>
        </w:rPr>
      </w:pPr>
      <w:r w:rsidRPr="003041C0">
        <w:rPr>
          <w:i/>
          <w:szCs w:val="16"/>
          <w:vertAlign w:val="superscript"/>
        </w:rPr>
        <w:t>1</w:t>
      </w:r>
      <w:r w:rsidRPr="003041C0">
        <w:rPr>
          <w:i/>
          <w:szCs w:val="16"/>
        </w:rPr>
        <w:t xml:space="preserve"> </w:t>
      </w:r>
      <w:r w:rsidR="002E29E3" w:rsidRPr="002E29E3">
        <w:rPr>
          <w:i/>
          <w:szCs w:val="16"/>
        </w:rPr>
        <w:t>$25,000 to </w:t>
      </w:r>
      <w:r w:rsidR="001C78D7">
        <w:rPr>
          <w:i/>
          <w:szCs w:val="16"/>
        </w:rPr>
        <w:t xml:space="preserve">&lt; </w:t>
      </w:r>
      <w:r w:rsidR="002E29E3" w:rsidRPr="002E29E3">
        <w:rPr>
          <w:i/>
          <w:szCs w:val="16"/>
        </w:rPr>
        <w:t>$35,000</w:t>
      </w:r>
    </w:p>
    <w:p w14:paraId="752C7834" w14:textId="6ACD915C" w:rsidR="003041C0" w:rsidRPr="003041C0" w:rsidRDefault="003041C0" w:rsidP="00120D61">
      <w:pPr>
        <w:pStyle w:val="TableNotes"/>
        <w:keepNext/>
        <w:spacing w:after="0"/>
        <w:rPr>
          <w:i/>
          <w:szCs w:val="16"/>
        </w:rPr>
      </w:pPr>
      <w:r w:rsidRPr="003041C0">
        <w:rPr>
          <w:i/>
          <w:szCs w:val="16"/>
          <w:vertAlign w:val="superscript"/>
        </w:rPr>
        <w:t>2</w:t>
      </w:r>
      <w:r w:rsidRPr="003041C0">
        <w:rPr>
          <w:i/>
          <w:szCs w:val="16"/>
        </w:rPr>
        <w:t xml:space="preserve"> </w:t>
      </w:r>
      <w:r w:rsidR="00767106" w:rsidRPr="00767106">
        <w:rPr>
          <w:i/>
          <w:szCs w:val="16"/>
        </w:rPr>
        <w:t>$55,000 to </w:t>
      </w:r>
      <w:r w:rsidR="001C78D7">
        <w:rPr>
          <w:i/>
          <w:szCs w:val="16"/>
        </w:rPr>
        <w:t xml:space="preserve">&lt; </w:t>
      </w:r>
      <w:r w:rsidR="00767106" w:rsidRPr="00767106">
        <w:rPr>
          <w:i/>
          <w:szCs w:val="16"/>
        </w:rPr>
        <w:t>$75,000</w:t>
      </w:r>
    </w:p>
    <w:p w14:paraId="460C4652" w14:textId="3AB6DAA1" w:rsidR="003041C0" w:rsidRPr="003041C0" w:rsidRDefault="003041C0" w:rsidP="00120D61">
      <w:pPr>
        <w:pStyle w:val="TableNotes"/>
        <w:keepNext/>
        <w:spacing w:after="0"/>
        <w:rPr>
          <w:i/>
          <w:szCs w:val="16"/>
        </w:rPr>
      </w:pPr>
      <w:r w:rsidRPr="003041C0">
        <w:rPr>
          <w:i/>
          <w:szCs w:val="16"/>
          <w:vertAlign w:val="superscript"/>
        </w:rPr>
        <w:t>3</w:t>
      </w:r>
      <w:r w:rsidRPr="003041C0">
        <w:rPr>
          <w:i/>
          <w:szCs w:val="16"/>
        </w:rPr>
        <w:t xml:space="preserve"> </w:t>
      </w:r>
      <w:r w:rsidR="00A8602F" w:rsidRPr="00A8602F">
        <w:rPr>
          <w:i/>
          <w:szCs w:val="16"/>
        </w:rPr>
        <w:t>$35,000 to </w:t>
      </w:r>
      <w:r w:rsidR="001C78D7">
        <w:rPr>
          <w:i/>
          <w:szCs w:val="16"/>
        </w:rPr>
        <w:t xml:space="preserve">&lt; </w:t>
      </w:r>
      <w:r w:rsidR="00A8602F" w:rsidRPr="00A8602F">
        <w:rPr>
          <w:i/>
          <w:szCs w:val="16"/>
        </w:rPr>
        <w:t>$45,000</w:t>
      </w:r>
    </w:p>
    <w:p w14:paraId="538D356C" w14:textId="345DD639" w:rsidR="00255A7F" w:rsidRPr="00885AB3" w:rsidRDefault="003041C0" w:rsidP="00120D61">
      <w:pPr>
        <w:pStyle w:val="TableNotes"/>
        <w:keepNext/>
        <w:spacing w:after="0"/>
        <w:rPr>
          <w:szCs w:val="16"/>
        </w:rPr>
      </w:pPr>
      <w:r w:rsidRPr="003041C0">
        <w:rPr>
          <w:i/>
          <w:szCs w:val="16"/>
          <w:vertAlign w:val="superscript"/>
        </w:rPr>
        <w:t>4</w:t>
      </w:r>
      <w:r w:rsidRPr="003041C0">
        <w:rPr>
          <w:i/>
          <w:szCs w:val="16"/>
        </w:rPr>
        <w:t xml:space="preserve"> </w:t>
      </w:r>
      <w:r w:rsidR="00F35543" w:rsidRPr="00F35543">
        <w:rPr>
          <w:i/>
          <w:szCs w:val="16"/>
        </w:rPr>
        <w:t xml:space="preserve">$5,000 to </w:t>
      </w:r>
      <w:r w:rsidR="001C78D7">
        <w:rPr>
          <w:i/>
          <w:szCs w:val="16"/>
        </w:rPr>
        <w:t xml:space="preserve">&lt; </w:t>
      </w:r>
      <w:r w:rsidR="00F35543" w:rsidRPr="00F35543">
        <w:rPr>
          <w:i/>
          <w:szCs w:val="16"/>
        </w:rPr>
        <w:t>$15,000</w:t>
      </w:r>
    </w:p>
    <w:p w14:paraId="6B7FA7D4" w14:textId="0A1144E8" w:rsidR="006A1AFC" w:rsidRPr="00885AB3" w:rsidRDefault="006A1AFC" w:rsidP="00120D61">
      <w:pPr>
        <w:pStyle w:val="TableNotes"/>
        <w:keepNext/>
        <w:spacing w:after="0"/>
        <w:rPr>
          <w:i/>
          <w:iCs/>
          <w:szCs w:val="16"/>
        </w:rPr>
      </w:pPr>
      <w:r w:rsidRPr="00885AB3">
        <w:rPr>
          <w:i/>
          <w:iCs/>
          <w:szCs w:val="16"/>
        </w:rPr>
        <w:t xml:space="preserve"> </w:t>
      </w:r>
    </w:p>
    <w:p w14:paraId="1B565E16" w14:textId="22010955" w:rsidR="006A1AFC" w:rsidRPr="00885AB3" w:rsidRDefault="006A1AFC" w:rsidP="00120D61">
      <w:pPr>
        <w:pStyle w:val="3-BodyText"/>
        <w:rPr>
          <w:rFonts w:cs="Calibri"/>
        </w:rPr>
      </w:pPr>
      <w:r w:rsidRPr="00885AB3">
        <w:rPr>
          <w:rFonts w:cs="Calibri"/>
        </w:rPr>
        <w:t xml:space="preserve">The submission did not present a stepped analysis. A summary of the stepped economic evaluation results estimated during the evaluation is presented in </w:t>
      </w:r>
      <w:r w:rsidRPr="00885AB3">
        <w:rPr>
          <w:rFonts w:cs="Calibri"/>
        </w:rPr>
        <w:fldChar w:fldCharType="begin" w:fldLock="1"/>
      </w:r>
      <w:r w:rsidRPr="00885AB3">
        <w:rPr>
          <w:rFonts w:cs="Calibri"/>
        </w:rPr>
        <w:instrText xml:space="preserve"> REF _Ref205826129 \h  \* MERGEFORMAT </w:instrText>
      </w:r>
      <w:r w:rsidRPr="00885AB3">
        <w:rPr>
          <w:rFonts w:cs="Calibri"/>
        </w:rPr>
      </w:r>
      <w:r w:rsidRPr="00885AB3">
        <w:rPr>
          <w:rFonts w:cs="Calibri"/>
        </w:rPr>
        <w:fldChar w:fldCharType="separate"/>
      </w:r>
      <w:r w:rsidR="00515933" w:rsidRPr="00885AB3">
        <w:rPr>
          <w:rFonts w:cs="Calibri"/>
        </w:rPr>
        <w:t xml:space="preserve">Table </w:t>
      </w:r>
      <w:r w:rsidR="00515933" w:rsidRPr="00885AB3">
        <w:t>21</w:t>
      </w:r>
      <w:r w:rsidRPr="00885AB3">
        <w:rPr>
          <w:rFonts w:cs="Calibri"/>
        </w:rPr>
        <w:fldChar w:fldCharType="end"/>
      </w:r>
      <w:r w:rsidRPr="00885AB3">
        <w:rPr>
          <w:rFonts w:cs="Calibri"/>
        </w:rPr>
        <w:t>.</w:t>
      </w:r>
    </w:p>
    <w:p w14:paraId="5B644563" w14:textId="6F4D5F60" w:rsidR="006A1AFC" w:rsidRPr="00885AB3" w:rsidRDefault="006A1AFC" w:rsidP="00120D61">
      <w:pPr>
        <w:pStyle w:val="Caption"/>
        <w:rPr>
          <w:rStyle w:val="CommentReference"/>
          <w:b/>
          <w:szCs w:val="24"/>
        </w:rPr>
      </w:pPr>
      <w:bookmarkStart w:id="136" w:name="_Ref205826129"/>
      <w:r w:rsidRPr="00885AB3">
        <w:lastRenderedPageBreak/>
        <w:t xml:space="preserve">Table </w:t>
      </w:r>
      <w:r w:rsidR="008A242D" w:rsidRPr="00885AB3">
        <w:fldChar w:fldCharType="begin" w:fldLock="1"/>
      </w:r>
      <w:r w:rsidR="008A242D" w:rsidRPr="00885AB3">
        <w:instrText xml:space="preserve"> SEQ Table \* ARABIC </w:instrText>
      </w:r>
      <w:r w:rsidR="008A242D" w:rsidRPr="00885AB3">
        <w:fldChar w:fldCharType="separate"/>
      </w:r>
      <w:r w:rsidR="00515933" w:rsidRPr="00885AB3">
        <w:t>21</w:t>
      </w:r>
      <w:r w:rsidR="008A242D" w:rsidRPr="00885AB3">
        <w:fldChar w:fldCharType="end"/>
      </w:r>
      <w:bookmarkEnd w:id="136"/>
      <w:r w:rsidRPr="00885AB3">
        <w:t>: Stepped economic evaluation results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Caption w:val="Table 21: Stepped economic evaluation results"/>
      </w:tblPr>
      <w:tblGrid>
        <w:gridCol w:w="2355"/>
        <w:gridCol w:w="2222"/>
        <w:gridCol w:w="2085"/>
        <w:gridCol w:w="2355"/>
      </w:tblGrid>
      <w:tr w:rsidR="006A1AFC" w:rsidRPr="00885AB3" w14:paraId="6E521B3D" w14:textId="77777777" w:rsidTr="00255A7F">
        <w:trPr>
          <w:cantSplit/>
        </w:trPr>
        <w:tc>
          <w:tcPr>
            <w:tcW w:w="1306" w:type="pct"/>
            <w:shd w:val="clear" w:color="auto" w:fill="FFFFFF"/>
            <w:vAlign w:val="center"/>
          </w:tcPr>
          <w:p w14:paraId="30C6C72D" w14:textId="77777777" w:rsidR="006A1AFC" w:rsidRPr="00885AB3" w:rsidRDefault="006A1AFC" w:rsidP="00120D61">
            <w:pPr>
              <w:keepNext/>
              <w:rPr>
                <w:rFonts w:ascii="Arial Narrow" w:hAnsi="Arial Narrow"/>
                <w:b/>
                <w:bCs/>
                <w:sz w:val="20"/>
                <w:szCs w:val="20"/>
                <w:u w:val="single"/>
              </w:rPr>
            </w:pPr>
          </w:p>
        </w:tc>
        <w:tc>
          <w:tcPr>
            <w:tcW w:w="1232" w:type="pct"/>
            <w:shd w:val="clear" w:color="auto" w:fill="FFFFFF"/>
          </w:tcPr>
          <w:p w14:paraId="54D3C584" w14:textId="77777777" w:rsidR="006A1AFC" w:rsidRPr="00885AB3" w:rsidRDefault="006A1AFC" w:rsidP="00120D61">
            <w:pPr>
              <w:keepNext/>
              <w:jc w:val="center"/>
              <w:rPr>
                <w:rFonts w:ascii="Arial Narrow" w:hAnsi="Arial Narrow"/>
                <w:b/>
                <w:bCs/>
                <w:sz w:val="20"/>
                <w:szCs w:val="20"/>
              </w:rPr>
            </w:pPr>
            <w:r w:rsidRPr="00885AB3">
              <w:rPr>
                <w:rFonts w:ascii="Arial Narrow" w:hAnsi="Arial Narrow"/>
                <w:b/>
                <w:bCs/>
                <w:sz w:val="20"/>
                <w:szCs w:val="20"/>
              </w:rPr>
              <w:t>mRNA-1345</w:t>
            </w:r>
          </w:p>
        </w:tc>
        <w:tc>
          <w:tcPr>
            <w:tcW w:w="1156" w:type="pct"/>
            <w:shd w:val="clear" w:color="auto" w:fill="FFFFFF"/>
          </w:tcPr>
          <w:p w14:paraId="5B4D2D52" w14:textId="77777777" w:rsidR="006A1AFC" w:rsidRPr="00885AB3" w:rsidRDefault="006A1AFC" w:rsidP="00120D61">
            <w:pPr>
              <w:keepNext/>
              <w:jc w:val="center"/>
              <w:rPr>
                <w:rFonts w:ascii="Arial Narrow" w:hAnsi="Arial Narrow"/>
                <w:b/>
                <w:bCs/>
                <w:sz w:val="20"/>
                <w:szCs w:val="20"/>
              </w:rPr>
            </w:pPr>
            <w:r w:rsidRPr="00885AB3">
              <w:rPr>
                <w:rFonts w:ascii="Arial Narrow" w:hAnsi="Arial Narrow"/>
                <w:b/>
                <w:bCs/>
                <w:sz w:val="20"/>
                <w:szCs w:val="20"/>
              </w:rPr>
              <w:t>No vaccine</w:t>
            </w:r>
          </w:p>
        </w:tc>
        <w:tc>
          <w:tcPr>
            <w:tcW w:w="1306" w:type="pct"/>
            <w:shd w:val="clear" w:color="auto" w:fill="FFFFFF"/>
          </w:tcPr>
          <w:p w14:paraId="3AD090DC" w14:textId="77777777" w:rsidR="006A1AFC" w:rsidRPr="00885AB3" w:rsidRDefault="006A1AFC" w:rsidP="00120D61">
            <w:pPr>
              <w:keepNext/>
              <w:jc w:val="center"/>
              <w:rPr>
                <w:rFonts w:ascii="Arial Narrow" w:hAnsi="Arial Narrow"/>
                <w:b/>
                <w:bCs/>
                <w:sz w:val="20"/>
                <w:szCs w:val="20"/>
              </w:rPr>
            </w:pPr>
            <w:r w:rsidRPr="00885AB3">
              <w:rPr>
                <w:rFonts w:ascii="Arial Narrow" w:hAnsi="Arial Narrow"/>
                <w:b/>
                <w:bCs/>
                <w:sz w:val="20"/>
                <w:szCs w:val="20"/>
              </w:rPr>
              <w:t>Incremental difference</w:t>
            </w:r>
          </w:p>
        </w:tc>
      </w:tr>
      <w:tr w:rsidR="006A1AFC" w:rsidRPr="00885AB3" w14:paraId="1CCD0992" w14:textId="77777777" w:rsidTr="00255A7F">
        <w:trPr>
          <w:cantSplit/>
        </w:trPr>
        <w:tc>
          <w:tcPr>
            <w:tcW w:w="5000" w:type="pct"/>
            <w:gridSpan w:val="4"/>
            <w:shd w:val="clear" w:color="auto" w:fill="FFFFFF"/>
            <w:vAlign w:val="center"/>
          </w:tcPr>
          <w:p w14:paraId="5EEBF2C3" w14:textId="2D25E95A" w:rsidR="006A1AFC" w:rsidRPr="00885AB3" w:rsidRDefault="00EF2FA4" w:rsidP="00120D61">
            <w:pPr>
              <w:keepNext/>
              <w:rPr>
                <w:rFonts w:ascii="Arial Narrow" w:hAnsi="Arial Narrow"/>
                <w:sz w:val="20"/>
                <w:szCs w:val="20"/>
              </w:rPr>
            </w:pPr>
            <w:r>
              <w:rPr>
                <w:rFonts w:ascii="Arial Narrow" w:hAnsi="Arial Narrow"/>
                <w:b/>
                <w:bCs/>
                <w:sz w:val="20"/>
                <w:szCs w:val="20"/>
                <w:u w:val="single"/>
              </w:rPr>
              <w:t xml:space="preserve">≥ </w:t>
            </w:r>
            <w:r w:rsidR="00EC73E7" w:rsidRPr="00885AB3">
              <w:rPr>
                <w:rFonts w:ascii="Arial Narrow" w:hAnsi="Arial Narrow"/>
                <w:b/>
                <w:bCs/>
                <w:sz w:val="20"/>
                <w:szCs w:val="20"/>
                <w:u w:val="single"/>
              </w:rPr>
              <w:t>75</w:t>
            </w:r>
            <w:r w:rsidR="006A1AFC" w:rsidRPr="00885AB3">
              <w:rPr>
                <w:rFonts w:ascii="Arial Narrow" w:hAnsi="Arial Narrow"/>
                <w:b/>
                <w:bCs/>
                <w:sz w:val="20"/>
                <w:szCs w:val="20"/>
                <w:u w:val="single"/>
              </w:rPr>
              <w:t xml:space="preserve"> YOA population </w:t>
            </w:r>
          </w:p>
        </w:tc>
      </w:tr>
      <w:tr w:rsidR="006A1AFC" w:rsidRPr="00885AB3" w14:paraId="23626A37" w14:textId="77777777" w:rsidTr="00255A7F">
        <w:trPr>
          <w:cantSplit/>
        </w:trPr>
        <w:tc>
          <w:tcPr>
            <w:tcW w:w="1306" w:type="pct"/>
            <w:shd w:val="clear" w:color="auto" w:fill="FFFFFF"/>
            <w:vAlign w:val="center"/>
          </w:tcPr>
          <w:p w14:paraId="00F4DAA5" w14:textId="77777777" w:rsidR="006A1AFC" w:rsidRPr="00885AB3" w:rsidRDefault="006A1AFC" w:rsidP="00120D61">
            <w:pPr>
              <w:keepNext/>
              <w:rPr>
                <w:rFonts w:ascii="Arial Narrow" w:hAnsi="Arial Narrow"/>
                <w:b/>
                <w:bCs/>
                <w:sz w:val="20"/>
                <w:szCs w:val="20"/>
              </w:rPr>
            </w:pPr>
            <w:r w:rsidRPr="00885AB3">
              <w:rPr>
                <w:rFonts w:ascii="Arial Narrow" w:hAnsi="Arial Narrow"/>
                <w:b/>
                <w:bCs/>
                <w:sz w:val="20"/>
                <w:szCs w:val="20"/>
              </w:rPr>
              <w:t>Eligible population</w:t>
            </w:r>
          </w:p>
        </w:tc>
        <w:tc>
          <w:tcPr>
            <w:tcW w:w="1232" w:type="pct"/>
            <w:shd w:val="clear" w:color="auto" w:fill="FFFFFF"/>
            <w:vAlign w:val="center"/>
          </w:tcPr>
          <w:p w14:paraId="4C748CAF" w14:textId="77777777" w:rsidR="006A1AFC" w:rsidRPr="00885AB3" w:rsidRDefault="006A1AFC" w:rsidP="00120D61">
            <w:pPr>
              <w:keepNext/>
              <w:jc w:val="center"/>
              <w:rPr>
                <w:rStyle w:val="CommentReference"/>
                <w:b w:val="0"/>
                <w:bCs/>
                <w:szCs w:val="20"/>
              </w:rPr>
            </w:pPr>
            <w:r w:rsidRPr="00885AB3">
              <w:rPr>
                <w:rStyle w:val="CommentReference"/>
                <w:bCs/>
                <w:szCs w:val="20"/>
              </w:rPr>
              <w:t>2,166,835</w:t>
            </w:r>
          </w:p>
        </w:tc>
        <w:tc>
          <w:tcPr>
            <w:tcW w:w="1156" w:type="pct"/>
            <w:shd w:val="clear" w:color="auto" w:fill="FFFFFF"/>
            <w:vAlign w:val="center"/>
          </w:tcPr>
          <w:p w14:paraId="2E45FDE1" w14:textId="77777777" w:rsidR="006A1AFC" w:rsidRPr="00885AB3" w:rsidRDefault="006A1AFC" w:rsidP="00120D61">
            <w:pPr>
              <w:keepNext/>
              <w:jc w:val="center"/>
              <w:rPr>
                <w:rFonts w:ascii="Arial Narrow" w:hAnsi="Arial Narrow"/>
                <w:b/>
                <w:bCs/>
                <w:sz w:val="20"/>
                <w:szCs w:val="20"/>
              </w:rPr>
            </w:pPr>
            <w:r w:rsidRPr="00885AB3">
              <w:rPr>
                <w:rStyle w:val="CommentReference"/>
                <w:bCs/>
                <w:szCs w:val="20"/>
              </w:rPr>
              <w:t>2,166,835</w:t>
            </w:r>
          </w:p>
        </w:tc>
        <w:tc>
          <w:tcPr>
            <w:tcW w:w="1306" w:type="pct"/>
            <w:shd w:val="clear" w:color="auto" w:fill="FFFFFF"/>
            <w:vAlign w:val="center"/>
          </w:tcPr>
          <w:p w14:paraId="4E2959AF" w14:textId="77777777" w:rsidR="006A1AFC" w:rsidRPr="00885AB3" w:rsidRDefault="006A1AFC" w:rsidP="00120D61">
            <w:pPr>
              <w:keepNext/>
              <w:jc w:val="center"/>
              <w:rPr>
                <w:rFonts w:ascii="Arial Narrow" w:hAnsi="Arial Narrow"/>
                <w:sz w:val="20"/>
                <w:szCs w:val="20"/>
              </w:rPr>
            </w:pPr>
          </w:p>
        </w:tc>
      </w:tr>
      <w:tr w:rsidR="006A1AFC" w:rsidRPr="00885AB3" w14:paraId="14DEB77B" w14:textId="77777777" w:rsidTr="00255A7F">
        <w:trPr>
          <w:cantSplit/>
        </w:trPr>
        <w:tc>
          <w:tcPr>
            <w:tcW w:w="5000" w:type="pct"/>
            <w:gridSpan w:val="4"/>
            <w:shd w:val="clear" w:color="auto" w:fill="FFFFFF"/>
            <w:vAlign w:val="center"/>
          </w:tcPr>
          <w:p w14:paraId="11917914" w14:textId="77777777" w:rsidR="006A1AFC" w:rsidRPr="00885AB3" w:rsidRDefault="006A1AFC" w:rsidP="00120D61">
            <w:pPr>
              <w:keepNext/>
              <w:rPr>
                <w:rFonts w:ascii="Arial Narrow" w:hAnsi="Arial Narrow"/>
                <w:b/>
                <w:bCs/>
                <w:sz w:val="20"/>
                <w:szCs w:val="20"/>
                <w:vertAlign w:val="superscript"/>
              </w:rPr>
            </w:pPr>
            <w:r w:rsidRPr="00885AB3">
              <w:rPr>
                <w:rFonts w:ascii="Arial Narrow" w:hAnsi="Arial Narrow"/>
                <w:b/>
                <w:bCs/>
                <w:sz w:val="20"/>
                <w:szCs w:val="20"/>
              </w:rPr>
              <w:t xml:space="preserve">Step 1: Cost-effectiveness analysis (trial follow-up: 18 months </w:t>
            </w:r>
            <w:r w:rsidRPr="00885AB3">
              <w:rPr>
                <w:rFonts w:ascii="Arial Narrow" w:hAnsi="Arial Narrow"/>
                <w:b/>
                <w:bCs/>
                <w:sz w:val="20"/>
                <w:szCs w:val="20"/>
                <w:vertAlign w:val="superscript"/>
              </w:rPr>
              <w:t>a</w:t>
            </w:r>
            <w:r w:rsidRPr="00885AB3">
              <w:rPr>
                <w:rFonts w:ascii="Arial Narrow" w:hAnsi="Arial Narrow"/>
                <w:b/>
                <w:bCs/>
                <w:sz w:val="20"/>
                <w:szCs w:val="20"/>
              </w:rPr>
              <w:t>)</w:t>
            </w:r>
          </w:p>
        </w:tc>
      </w:tr>
      <w:tr w:rsidR="006A1AFC" w:rsidRPr="00885AB3" w14:paraId="57B969FF" w14:textId="77777777" w:rsidTr="00255A7F">
        <w:trPr>
          <w:cantSplit/>
        </w:trPr>
        <w:tc>
          <w:tcPr>
            <w:tcW w:w="1306" w:type="pct"/>
          </w:tcPr>
          <w:p w14:paraId="3F319A8A" w14:textId="77777777" w:rsidR="006A1AFC" w:rsidRPr="00885AB3" w:rsidRDefault="006A1AFC" w:rsidP="00120D61">
            <w:pPr>
              <w:keepNext/>
              <w:rPr>
                <w:rFonts w:ascii="Arial Narrow" w:hAnsi="Arial Narrow"/>
                <w:sz w:val="20"/>
                <w:szCs w:val="20"/>
              </w:rPr>
            </w:pPr>
            <w:r w:rsidRPr="00885AB3">
              <w:rPr>
                <w:rFonts w:ascii="Arial Narrow" w:hAnsi="Arial Narrow"/>
                <w:sz w:val="20"/>
                <w:szCs w:val="20"/>
              </w:rPr>
              <w:t>Costs</w:t>
            </w:r>
          </w:p>
        </w:tc>
        <w:tc>
          <w:tcPr>
            <w:tcW w:w="1232" w:type="pct"/>
            <w:vAlign w:val="bottom"/>
          </w:tcPr>
          <w:p w14:paraId="6D026417" w14:textId="199E4D26" w:rsidR="006A1AFC" w:rsidRPr="00885AB3" w:rsidRDefault="006A1AFC" w:rsidP="00120D61">
            <w:pPr>
              <w:keepNext/>
              <w:jc w:val="center"/>
              <w:rPr>
                <w:rFonts w:ascii="Arial Narrow" w:hAnsi="Arial Narrow"/>
                <w:sz w:val="20"/>
                <w:szCs w:val="20"/>
              </w:rPr>
            </w:pPr>
            <w:r w:rsidRPr="00885AB3">
              <w:rPr>
                <w:rFonts w:ascii="Arial Narrow" w:hAnsi="Arial Narrow"/>
                <w:sz w:val="20"/>
                <w:szCs w:val="20"/>
              </w:rPr>
              <w:t>$</w:t>
            </w:r>
            <w:r w:rsidR="004B5AFE" w:rsidRPr="004B5AFE">
              <w:rPr>
                <w:rFonts w:ascii="Arial Narrow" w:hAnsi="Arial Narrow"/>
                <w:sz w:val="20"/>
                <w:szCs w:val="20"/>
                <w:highlight w:val="black"/>
              </w:rPr>
              <w:t xml:space="preserve"> &amp;&amp;&amp;&amp;</w:t>
            </w:r>
          </w:p>
        </w:tc>
        <w:tc>
          <w:tcPr>
            <w:tcW w:w="1156" w:type="pct"/>
            <w:vAlign w:val="bottom"/>
          </w:tcPr>
          <w:p w14:paraId="0FC6BCE5" w14:textId="77777777" w:rsidR="006A1AFC" w:rsidRPr="00885AB3" w:rsidRDefault="006A1AFC" w:rsidP="00120D61">
            <w:pPr>
              <w:keepNext/>
              <w:jc w:val="center"/>
              <w:rPr>
                <w:rFonts w:ascii="Arial Narrow" w:hAnsi="Arial Narrow"/>
                <w:sz w:val="20"/>
                <w:szCs w:val="20"/>
              </w:rPr>
            </w:pPr>
            <w:r w:rsidRPr="00885AB3">
              <w:rPr>
                <w:rFonts w:ascii="Arial Narrow" w:hAnsi="Arial Narrow"/>
                <w:sz w:val="20"/>
                <w:szCs w:val="20"/>
              </w:rPr>
              <w:t>$275,501,759</w:t>
            </w:r>
          </w:p>
        </w:tc>
        <w:tc>
          <w:tcPr>
            <w:tcW w:w="1306" w:type="pct"/>
            <w:vAlign w:val="center"/>
          </w:tcPr>
          <w:p w14:paraId="56495E74" w14:textId="1AC82341" w:rsidR="006A1AFC" w:rsidRPr="00885AB3" w:rsidRDefault="006A1AFC" w:rsidP="00120D61">
            <w:pPr>
              <w:keepNext/>
              <w:jc w:val="center"/>
              <w:rPr>
                <w:rFonts w:ascii="Arial Narrow" w:hAnsi="Arial Narrow" w:cs="Calibri"/>
                <w:color w:val="000000"/>
                <w:sz w:val="20"/>
                <w:szCs w:val="20"/>
              </w:rPr>
            </w:pPr>
            <w:r w:rsidRPr="00885AB3">
              <w:rPr>
                <w:rFonts w:ascii="Arial Narrow" w:hAnsi="Arial Narrow" w:cs="Calibri"/>
                <w:color w:val="000000"/>
                <w:sz w:val="20"/>
                <w:szCs w:val="20"/>
              </w:rPr>
              <w:t>$</w:t>
            </w:r>
            <w:r w:rsidR="004B5AFE" w:rsidRPr="004B5AFE">
              <w:rPr>
                <w:rFonts w:ascii="Arial Narrow" w:hAnsi="Arial Narrow" w:cs="Calibri"/>
                <w:color w:val="000000"/>
                <w:sz w:val="20"/>
                <w:szCs w:val="20"/>
                <w:highlight w:val="black"/>
              </w:rPr>
              <w:t xml:space="preserve"> &amp;&amp;&amp;&amp;</w:t>
            </w:r>
          </w:p>
        </w:tc>
      </w:tr>
      <w:tr w:rsidR="006A1AFC" w:rsidRPr="00885AB3" w14:paraId="4E47F55D" w14:textId="77777777" w:rsidTr="00255A7F">
        <w:trPr>
          <w:cantSplit/>
        </w:trPr>
        <w:tc>
          <w:tcPr>
            <w:tcW w:w="1306" w:type="pct"/>
          </w:tcPr>
          <w:p w14:paraId="7F243E04" w14:textId="77777777" w:rsidR="006A1AFC" w:rsidRPr="00885AB3" w:rsidRDefault="006A1AFC" w:rsidP="00120D61">
            <w:pPr>
              <w:keepNext/>
              <w:rPr>
                <w:rFonts w:ascii="Arial Narrow" w:hAnsi="Arial Narrow"/>
                <w:sz w:val="20"/>
                <w:szCs w:val="20"/>
              </w:rPr>
            </w:pPr>
            <w:r w:rsidRPr="00885AB3">
              <w:rPr>
                <w:rFonts w:ascii="Arial Narrow" w:hAnsi="Arial Narrow"/>
                <w:sz w:val="20"/>
                <w:szCs w:val="20"/>
              </w:rPr>
              <w:t>RSV-LRTD cases avoided</w:t>
            </w:r>
          </w:p>
        </w:tc>
        <w:tc>
          <w:tcPr>
            <w:tcW w:w="1232" w:type="pct"/>
            <w:vAlign w:val="center"/>
          </w:tcPr>
          <w:p w14:paraId="2C6C0C40" w14:textId="77777777" w:rsidR="006A1AFC" w:rsidRPr="00885AB3" w:rsidRDefault="006A1AFC" w:rsidP="00120D61">
            <w:pPr>
              <w:keepNext/>
              <w:jc w:val="center"/>
              <w:rPr>
                <w:rFonts w:ascii="Arial Narrow" w:hAnsi="Arial Narrow"/>
                <w:sz w:val="20"/>
                <w:szCs w:val="20"/>
              </w:rPr>
            </w:pPr>
            <w:r w:rsidRPr="00885AB3">
              <w:rPr>
                <w:rFonts w:ascii="Arial Narrow" w:hAnsi="Arial Narrow"/>
                <w:sz w:val="20"/>
                <w:szCs w:val="20"/>
              </w:rPr>
              <w:t>29,814</w:t>
            </w:r>
          </w:p>
        </w:tc>
        <w:tc>
          <w:tcPr>
            <w:tcW w:w="1156" w:type="pct"/>
            <w:vAlign w:val="center"/>
          </w:tcPr>
          <w:p w14:paraId="481EC333" w14:textId="77777777" w:rsidR="006A1AFC" w:rsidRPr="00885AB3" w:rsidRDefault="006A1AFC" w:rsidP="00120D61">
            <w:pPr>
              <w:keepNext/>
              <w:jc w:val="center"/>
              <w:rPr>
                <w:rFonts w:ascii="Arial Narrow" w:hAnsi="Arial Narrow"/>
                <w:sz w:val="20"/>
                <w:szCs w:val="20"/>
              </w:rPr>
            </w:pPr>
            <w:r w:rsidRPr="00885AB3">
              <w:rPr>
                <w:rFonts w:ascii="Arial Narrow" w:hAnsi="Arial Narrow"/>
                <w:sz w:val="20"/>
                <w:szCs w:val="20"/>
              </w:rPr>
              <w:t>46,188</w:t>
            </w:r>
          </w:p>
        </w:tc>
        <w:tc>
          <w:tcPr>
            <w:tcW w:w="1306" w:type="pct"/>
            <w:vAlign w:val="center"/>
          </w:tcPr>
          <w:p w14:paraId="5F334E19" w14:textId="77777777" w:rsidR="006A1AFC" w:rsidRPr="00885AB3" w:rsidRDefault="006A1AFC" w:rsidP="00120D61">
            <w:pPr>
              <w:keepNext/>
              <w:jc w:val="center"/>
              <w:rPr>
                <w:rFonts w:ascii="Arial Narrow" w:hAnsi="Arial Narrow" w:cs="Calibri"/>
                <w:color w:val="000000"/>
                <w:sz w:val="20"/>
                <w:szCs w:val="20"/>
              </w:rPr>
            </w:pPr>
            <w:r w:rsidRPr="00885AB3">
              <w:rPr>
                <w:rFonts w:ascii="Arial Narrow" w:hAnsi="Arial Narrow" w:cs="Calibri"/>
                <w:color w:val="000000"/>
                <w:sz w:val="20"/>
                <w:szCs w:val="20"/>
              </w:rPr>
              <w:t>16,374</w:t>
            </w:r>
          </w:p>
        </w:tc>
      </w:tr>
      <w:tr w:rsidR="006A1AFC" w:rsidRPr="00885AB3" w14:paraId="286437A6" w14:textId="77777777" w:rsidTr="00255A7F">
        <w:trPr>
          <w:cantSplit/>
        </w:trPr>
        <w:tc>
          <w:tcPr>
            <w:tcW w:w="3694" w:type="pct"/>
            <w:gridSpan w:val="3"/>
            <w:tcBorders>
              <w:right w:val="single" w:sz="4" w:space="0" w:color="000000"/>
            </w:tcBorders>
            <w:vAlign w:val="center"/>
          </w:tcPr>
          <w:p w14:paraId="399CDA49" w14:textId="77777777" w:rsidR="006A1AFC" w:rsidRPr="00885AB3" w:rsidRDefault="006A1AFC" w:rsidP="00120D61">
            <w:pPr>
              <w:keepNext/>
              <w:rPr>
                <w:rFonts w:ascii="Arial Narrow" w:hAnsi="Arial Narrow"/>
                <w:b/>
                <w:sz w:val="20"/>
                <w:szCs w:val="20"/>
              </w:rPr>
            </w:pPr>
            <w:r w:rsidRPr="00885AB3">
              <w:rPr>
                <w:rFonts w:ascii="Arial Narrow" w:hAnsi="Arial Narrow"/>
                <w:b/>
                <w:sz w:val="20"/>
                <w:szCs w:val="20"/>
              </w:rPr>
              <w:t>Incremental cost per case avoided</w:t>
            </w:r>
          </w:p>
        </w:tc>
        <w:tc>
          <w:tcPr>
            <w:tcW w:w="1306" w:type="pct"/>
            <w:tcBorders>
              <w:left w:val="single" w:sz="4" w:space="0" w:color="000000"/>
            </w:tcBorders>
            <w:vAlign w:val="center"/>
          </w:tcPr>
          <w:p w14:paraId="516EF2C4" w14:textId="2DF1E0C7" w:rsidR="006A1AFC" w:rsidRPr="0002394B" w:rsidRDefault="006A1AFC" w:rsidP="00120D61">
            <w:pPr>
              <w:keepNext/>
              <w:jc w:val="center"/>
              <w:rPr>
                <w:rFonts w:ascii="Arial Narrow" w:hAnsi="Arial Narrow" w:cs="Times New Roman"/>
                <w:color w:val="000000"/>
                <w:sz w:val="20"/>
                <w:szCs w:val="20"/>
                <w:vertAlign w:val="superscript"/>
              </w:rPr>
            </w:pPr>
            <w:r w:rsidRPr="00885AB3">
              <w:rPr>
                <w:rFonts w:ascii="Arial Narrow" w:hAnsi="Arial Narrow" w:cs="Times New Roman"/>
                <w:b/>
                <w:bCs/>
                <w:color w:val="000000"/>
                <w:sz w:val="20"/>
                <w:szCs w:val="20"/>
              </w:rPr>
              <w:t>$</w:t>
            </w:r>
            <w:r w:rsidR="004B5AFE" w:rsidRPr="004B5AFE">
              <w:rPr>
                <w:rFonts w:ascii="Arial Narrow" w:hAnsi="Arial Narrow" w:cs="Times New Roman"/>
                <w:b/>
                <w:bCs/>
                <w:color w:val="000000"/>
                <w:sz w:val="20"/>
                <w:szCs w:val="20"/>
                <w:highlight w:val="black"/>
              </w:rPr>
              <w:t xml:space="preserve"> &amp;&amp;&amp;&amp;</w:t>
            </w:r>
            <w:r w:rsidR="0002394B">
              <w:rPr>
                <w:rFonts w:ascii="Arial Narrow" w:hAnsi="Arial Narrow" w:cs="Times New Roman"/>
                <w:color w:val="000000"/>
                <w:sz w:val="20"/>
                <w:szCs w:val="20"/>
                <w:vertAlign w:val="superscript"/>
              </w:rPr>
              <w:t>1</w:t>
            </w:r>
          </w:p>
        </w:tc>
      </w:tr>
      <w:tr w:rsidR="006A1AFC" w:rsidRPr="00885AB3" w14:paraId="4C2BEF71" w14:textId="77777777" w:rsidTr="00255A7F">
        <w:trPr>
          <w:cantSplit/>
        </w:trPr>
        <w:tc>
          <w:tcPr>
            <w:tcW w:w="5000" w:type="pct"/>
            <w:gridSpan w:val="4"/>
            <w:vAlign w:val="center"/>
          </w:tcPr>
          <w:p w14:paraId="27B7AB1B" w14:textId="77777777" w:rsidR="006A1AFC" w:rsidRPr="00885AB3" w:rsidRDefault="006A1AFC" w:rsidP="00120D61">
            <w:pPr>
              <w:keepNext/>
              <w:rPr>
                <w:rFonts w:ascii="Arial Narrow" w:eastAsia="Calibri" w:hAnsi="Arial Narrow"/>
                <w:b/>
                <w:bCs/>
                <w:sz w:val="20"/>
                <w:szCs w:val="20"/>
                <w:vertAlign w:val="superscript"/>
              </w:rPr>
            </w:pPr>
            <w:r w:rsidRPr="00885AB3">
              <w:rPr>
                <w:rFonts w:ascii="Arial Narrow" w:hAnsi="Arial Narrow"/>
                <w:b/>
                <w:bCs/>
                <w:sz w:val="20"/>
                <w:szCs w:val="20"/>
              </w:rPr>
              <w:t xml:space="preserve">Step 2: Data transformed into LY (18 months </w:t>
            </w:r>
            <w:r w:rsidRPr="00885AB3">
              <w:rPr>
                <w:rFonts w:ascii="Arial Narrow" w:hAnsi="Arial Narrow"/>
                <w:b/>
                <w:bCs/>
                <w:sz w:val="20"/>
                <w:szCs w:val="20"/>
                <w:vertAlign w:val="superscript"/>
              </w:rPr>
              <w:t>a</w:t>
            </w:r>
            <w:r w:rsidRPr="00885AB3">
              <w:rPr>
                <w:rFonts w:ascii="Arial Narrow" w:hAnsi="Arial Narrow"/>
                <w:b/>
                <w:bCs/>
                <w:sz w:val="20"/>
                <w:szCs w:val="20"/>
              </w:rPr>
              <w:t>)</w:t>
            </w:r>
          </w:p>
        </w:tc>
      </w:tr>
      <w:tr w:rsidR="006A1AFC" w:rsidRPr="00885AB3" w14:paraId="7B511407" w14:textId="77777777" w:rsidTr="00255A7F">
        <w:trPr>
          <w:cantSplit/>
        </w:trPr>
        <w:tc>
          <w:tcPr>
            <w:tcW w:w="1306" w:type="pct"/>
            <w:tcBorders>
              <w:right w:val="single" w:sz="4" w:space="0" w:color="000000"/>
            </w:tcBorders>
          </w:tcPr>
          <w:p w14:paraId="4C8DAA93" w14:textId="77777777" w:rsidR="006A1AFC" w:rsidRPr="00885AB3" w:rsidRDefault="006A1AFC" w:rsidP="00120D61">
            <w:pPr>
              <w:keepNext/>
              <w:rPr>
                <w:rFonts w:ascii="Arial Narrow" w:hAnsi="Arial Narrow"/>
                <w:sz w:val="20"/>
                <w:szCs w:val="20"/>
              </w:rPr>
            </w:pPr>
            <w:r w:rsidRPr="00885AB3">
              <w:rPr>
                <w:rFonts w:ascii="Arial Narrow" w:hAnsi="Arial Narrow"/>
                <w:sz w:val="20"/>
                <w:szCs w:val="20"/>
              </w:rPr>
              <w:t>Costs</w:t>
            </w:r>
          </w:p>
        </w:tc>
        <w:tc>
          <w:tcPr>
            <w:tcW w:w="1232" w:type="pct"/>
            <w:tcBorders>
              <w:right w:val="single" w:sz="4" w:space="0" w:color="000000"/>
            </w:tcBorders>
            <w:vAlign w:val="bottom"/>
          </w:tcPr>
          <w:p w14:paraId="71D5B226" w14:textId="12553DB1" w:rsidR="006A1AFC" w:rsidRPr="00885AB3" w:rsidRDefault="006A1AFC" w:rsidP="00120D61">
            <w:pPr>
              <w:keepNext/>
              <w:jc w:val="center"/>
              <w:rPr>
                <w:rFonts w:ascii="Arial Narrow" w:hAnsi="Arial Narrow"/>
                <w:sz w:val="20"/>
                <w:szCs w:val="20"/>
              </w:rPr>
            </w:pPr>
            <w:r w:rsidRPr="00885AB3">
              <w:rPr>
                <w:rFonts w:ascii="Arial Narrow" w:hAnsi="Arial Narrow"/>
                <w:sz w:val="20"/>
                <w:szCs w:val="20"/>
              </w:rPr>
              <w:t>$</w:t>
            </w:r>
            <w:r w:rsidR="004B5AFE" w:rsidRPr="004B5AFE">
              <w:rPr>
                <w:rFonts w:ascii="Arial Narrow" w:hAnsi="Arial Narrow"/>
                <w:sz w:val="20"/>
                <w:szCs w:val="20"/>
                <w:highlight w:val="black"/>
              </w:rPr>
              <w:t xml:space="preserve"> &amp;&amp;&amp;&amp;</w:t>
            </w:r>
          </w:p>
        </w:tc>
        <w:tc>
          <w:tcPr>
            <w:tcW w:w="1156" w:type="pct"/>
            <w:tcBorders>
              <w:right w:val="single" w:sz="4" w:space="0" w:color="000000"/>
            </w:tcBorders>
            <w:vAlign w:val="bottom"/>
          </w:tcPr>
          <w:p w14:paraId="2E205976" w14:textId="77777777" w:rsidR="006A1AFC" w:rsidRPr="00885AB3" w:rsidRDefault="006A1AFC" w:rsidP="00120D61">
            <w:pPr>
              <w:keepNext/>
              <w:jc w:val="center"/>
              <w:rPr>
                <w:rFonts w:ascii="Arial Narrow" w:hAnsi="Arial Narrow"/>
                <w:sz w:val="20"/>
                <w:szCs w:val="20"/>
              </w:rPr>
            </w:pPr>
            <w:r w:rsidRPr="00885AB3">
              <w:rPr>
                <w:rFonts w:ascii="Arial Narrow" w:hAnsi="Arial Narrow"/>
                <w:sz w:val="20"/>
                <w:szCs w:val="20"/>
              </w:rPr>
              <w:t>$275,501,759</w:t>
            </w:r>
          </w:p>
        </w:tc>
        <w:tc>
          <w:tcPr>
            <w:tcW w:w="1306" w:type="pct"/>
            <w:tcBorders>
              <w:left w:val="single" w:sz="4" w:space="0" w:color="000000"/>
            </w:tcBorders>
            <w:vAlign w:val="center"/>
          </w:tcPr>
          <w:p w14:paraId="2A14CEDF" w14:textId="248DB329" w:rsidR="006A1AFC" w:rsidRPr="00885AB3" w:rsidRDefault="006A1AFC" w:rsidP="00120D61">
            <w:pPr>
              <w:keepNext/>
              <w:jc w:val="center"/>
              <w:rPr>
                <w:rFonts w:ascii="Arial Narrow" w:eastAsia="Calibri" w:hAnsi="Arial Narrow"/>
                <w:b/>
                <w:sz w:val="20"/>
                <w:szCs w:val="20"/>
              </w:rPr>
            </w:pPr>
            <w:r w:rsidRPr="00885AB3">
              <w:rPr>
                <w:rFonts w:ascii="Arial Narrow" w:hAnsi="Arial Narrow"/>
                <w:sz w:val="20"/>
                <w:szCs w:val="20"/>
              </w:rPr>
              <w:t>$</w:t>
            </w:r>
            <w:r w:rsidR="004B5AFE" w:rsidRPr="004B5AFE">
              <w:rPr>
                <w:rFonts w:ascii="Arial Narrow" w:hAnsi="Arial Narrow"/>
                <w:sz w:val="20"/>
                <w:szCs w:val="20"/>
                <w:highlight w:val="black"/>
              </w:rPr>
              <w:t xml:space="preserve"> &amp;&amp;&amp;&amp;</w:t>
            </w:r>
          </w:p>
        </w:tc>
      </w:tr>
      <w:tr w:rsidR="006A1AFC" w:rsidRPr="00885AB3" w14:paraId="668EDA6E" w14:textId="77777777" w:rsidTr="00255A7F">
        <w:trPr>
          <w:cantSplit/>
        </w:trPr>
        <w:tc>
          <w:tcPr>
            <w:tcW w:w="1306" w:type="pct"/>
            <w:tcBorders>
              <w:right w:val="single" w:sz="4" w:space="0" w:color="000000"/>
            </w:tcBorders>
          </w:tcPr>
          <w:p w14:paraId="707A5AA2" w14:textId="77777777" w:rsidR="006A1AFC" w:rsidRPr="00885AB3" w:rsidRDefault="006A1AFC" w:rsidP="00120D61">
            <w:pPr>
              <w:keepNext/>
              <w:rPr>
                <w:rFonts w:ascii="Arial Narrow" w:hAnsi="Arial Narrow"/>
                <w:sz w:val="20"/>
                <w:szCs w:val="20"/>
              </w:rPr>
            </w:pPr>
            <w:r w:rsidRPr="00885AB3">
              <w:rPr>
                <w:rFonts w:ascii="Arial Narrow" w:hAnsi="Arial Narrow"/>
                <w:sz w:val="20"/>
                <w:szCs w:val="20"/>
              </w:rPr>
              <w:t>LY lost</w:t>
            </w:r>
          </w:p>
        </w:tc>
        <w:tc>
          <w:tcPr>
            <w:tcW w:w="1232" w:type="pct"/>
            <w:tcBorders>
              <w:right w:val="single" w:sz="4" w:space="0" w:color="000000"/>
            </w:tcBorders>
            <w:vAlign w:val="center"/>
          </w:tcPr>
          <w:p w14:paraId="20F3F011" w14:textId="77777777" w:rsidR="006A1AFC" w:rsidRPr="00885AB3" w:rsidRDefault="006A1AFC" w:rsidP="00120D61">
            <w:pPr>
              <w:keepNext/>
              <w:jc w:val="center"/>
              <w:rPr>
                <w:rFonts w:ascii="Arial Narrow" w:hAnsi="Arial Narrow"/>
                <w:sz w:val="20"/>
                <w:szCs w:val="20"/>
              </w:rPr>
            </w:pPr>
            <w:r w:rsidRPr="00885AB3">
              <w:rPr>
                <w:rFonts w:ascii="Arial Narrow" w:hAnsi="Arial Narrow"/>
                <w:sz w:val="20"/>
                <w:szCs w:val="20"/>
              </w:rPr>
              <w:t>1,496,154</w:t>
            </w:r>
          </w:p>
        </w:tc>
        <w:tc>
          <w:tcPr>
            <w:tcW w:w="1156" w:type="pct"/>
            <w:tcBorders>
              <w:right w:val="single" w:sz="4" w:space="0" w:color="000000"/>
            </w:tcBorders>
            <w:vAlign w:val="center"/>
          </w:tcPr>
          <w:p w14:paraId="494D6F5A" w14:textId="77777777" w:rsidR="006A1AFC" w:rsidRPr="00885AB3" w:rsidRDefault="006A1AFC" w:rsidP="00120D61">
            <w:pPr>
              <w:keepNext/>
              <w:jc w:val="center"/>
              <w:rPr>
                <w:rFonts w:ascii="Arial Narrow" w:hAnsi="Arial Narrow"/>
                <w:sz w:val="20"/>
                <w:szCs w:val="20"/>
              </w:rPr>
            </w:pPr>
            <w:r w:rsidRPr="00885AB3">
              <w:rPr>
                <w:rFonts w:ascii="Arial Narrow" w:hAnsi="Arial Narrow"/>
                <w:sz w:val="20"/>
                <w:szCs w:val="20"/>
              </w:rPr>
              <w:t>1,500,398</w:t>
            </w:r>
          </w:p>
        </w:tc>
        <w:tc>
          <w:tcPr>
            <w:tcW w:w="1306" w:type="pct"/>
            <w:tcBorders>
              <w:left w:val="single" w:sz="4" w:space="0" w:color="000000"/>
            </w:tcBorders>
            <w:vAlign w:val="center"/>
          </w:tcPr>
          <w:p w14:paraId="3AB5ABDC" w14:textId="65A79F6A" w:rsidR="006A1AFC" w:rsidRPr="00885AB3" w:rsidRDefault="006A1AFC" w:rsidP="00120D61">
            <w:pPr>
              <w:keepNext/>
              <w:jc w:val="center"/>
              <w:rPr>
                <w:rFonts w:ascii="Arial Narrow" w:eastAsia="Calibri" w:hAnsi="Arial Narrow"/>
                <w:b/>
                <w:sz w:val="20"/>
                <w:szCs w:val="20"/>
              </w:rPr>
            </w:pPr>
            <w:r w:rsidRPr="00885AB3">
              <w:rPr>
                <w:rFonts w:ascii="Arial Narrow" w:hAnsi="Arial Narrow"/>
                <w:sz w:val="20"/>
                <w:szCs w:val="20"/>
              </w:rPr>
              <w:t>4,245</w:t>
            </w:r>
          </w:p>
        </w:tc>
      </w:tr>
      <w:tr w:rsidR="006A1AFC" w:rsidRPr="00885AB3" w14:paraId="40F3EAFC" w14:textId="77777777" w:rsidTr="00255A7F">
        <w:trPr>
          <w:cantSplit/>
        </w:trPr>
        <w:tc>
          <w:tcPr>
            <w:tcW w:w="3694" w:type="pct"/>
            <w:gridSpan w:val="3"/>
            <w:tcBorders>
              <w:right w:val="single" w:sz="4" w:space="0" w:color="000000"/>
            </w:tcBorders>
            <w:vAlign w:val="center"/>
          </w:tcPr>
          <w:p w14:paraId="115EA10E" w14:textId="77777777" w:rsidR="006A1AFC" w:rsidRPr="00885AB3" w:rsidRDefault="006A1AFC" w:rsidP="00120D61">
            <w:pPr>
              <w:keepNext/>
              <w:rPr>
                <w:rFonts w:ascii="Arial Narrow" w:hAnsi="Arial Narrow"/>
                <w:b/>
                <w:sz w:val="20"/>
                <w:szCs w:val="20"/>
              </w:rPr>
            </w:pPr>
            <w:r w:rsidRPr="00885AB3">
              <w:rPr>
                <w:rFonts w:ascii="Arial Narrow" w:hAnsi="Arial Narrow"/>
                <w:b/>
                <w:sz w:val="20"/>
                <w:szCs w:val="20"/>
              </w:rPr>
              <w:t>Incremental cost per life year gained</w:t>
            </w:r>
          </w:p>
        </w:tc>
        <w:tc>
          <w:tcPr>
            <w:tcW w:w="1306" w:type="pct"/>
            <w:tcBorders>
              <w:left w:val="single" w:sz="4" w:space="0" w:color="000000"/>
            </w:tcBorders>
            <w:vAlign w:val="center"/>
          </w:tcPr>
          <w:p w14:paraId="7655498F" w14:textId="1CEA347A" w:rsidR="006A1AFC" w:rsidRPr="00592506" w:rsidRDefault="006A1AFC" w:rsidP="00120D61">
            <w:pPr>
              <w:keepNext/>
              <w:jc w:val="center"/>
              <w:rPr>
                <w:rFonts w:ascii="Arial Narrow" w:hAnsi="Arial Narrow" w:cs="Calibri"/>
                <w:sz w:val="20"/>
                <w:szCs w:val="20"/>
                <w:vertAlign w:val="superscript"/>
              </w:rPr>
            </w:pPr>
            <w:r w:rsidRPr="00885AB3">
              <w:rPr>
                <w:rFonts w:ascii="Arial Narrow" w:eastAsia="PMingLiU" w:hAnsi="Arial Narrow" w:cs="Calibri"/>
                <w:b/>
                <w:bCs/>
                <w:sz w:val="20"/>
                <w:szCs w:val="20"/>
              </w:rPr>
              <w:t>$</w:t>
            </w:r>
            <w:r w:rsidR="004B5AFE" w:rsidRPr="004B5AFE">
              <w:rPr>
                <w:rFonts w:ascii="Arial Narrow" w:eastAsia="PMingLiU" w:hAnsi="Arial Narrow" w:cs="Calibri"/>
                <w:b/>
                <w:bCs/>
                <w:sz w:val="20"/>
                <w:szCs w:val="20"/>
                <w:highlight w:val="black"/>
              </w:rPr>
              <w:t xml:space="preserve"> &amp;&amp;&amp;&amp;</w:t>
            </w:r>
            <w:r w:rsidR="00592506">
              <w:rPr>
                <w:rFonts w:ascii="Arial Narrow" w:eastAsia="PMingLiU" w:hAnsi="Arial Narrow" w:cs="Calibri"/>
                <w:sz w:val="20"/>
                <w:szCs w:val="20"/>
                <w:vertAlign w:val="superscript"/>
              </w:rPr>
              <w:t>2</w:t>
            </w:r>
          </w:p>
        </w:tc>
      </w:tr>
      <w:tr w:rsidR="006A1AFC" w:rsidRPr="00885AB3" w14:paraId="2905EB28" w14:textId="77777777" w:rsidTr="00255A7F">
        <w:trPr>
          <w:cantSplit/>
        </w:trPr>
        <w:tc>
          <w:tcPr>
            <w:tcW w:w="5000" w:type="pct"/>
            <w:gridSpan w:val="4"/>
            <w:vAlign w:val="center"/>
          </w:tcPr>
          <w:p w14:paraId="688A9F16" w14:textId="77777777" w:rsidR="006A1AFC" w:rsidRPr="00885AB3" w:rsidRDefault="006A1AFC" w:rsidP="00120D61">
            <w:pPr>
              <w:keepNext/>
              <w:rPr>
                <w:rFonts w:ascii="Arial Narrow" w:hAnsi="Arial Narrow"/>
                <w:b/>
                <w:bCs/>
                <w:sz w:val="20"/>
                <w:szCs w:val="20"/>
                <w:vertAlign w:val="superscript"/>
              </w:rPr>
            </w:pPr>
            <w:r w:rsidRPr="00885AB3">
              <w:rPr>
                <w:rFonts w:ascii="Arial Narrow" w:hAnsi="Arial Narrow"/>
                <w:b/>
                <w:bCs/>
                <w:sz w:val="20"/>
                <w:szCs w:val="20"/>
              </w:rPr>
              <w:t xml:space="preserve">Step 3: Applied utility values (18 months </w:t>
            </w:r>
            <w:r w:rsidRPr="00885AB3">
              <w:rPr>
                <w:rFonts w:ascii="Arial Narrow" w:hAnsi="Arial Narrow"/>
                <w:b/>
                <w:bCs/>
                <w:sz w:val="20"/>
                <w:szCs w:val="20"/>
                <w:vertAlign w:val="superscript"/>
              </w:rPr>
              <w:t>a</w:t>
            </w:r>
            <w:r w:rsidRPr="00885AB3">
              <w:rPr>
                <w:rFonts w:ascii="Arial Narrow" w:hAnsi="Arial Narrow"/>
                <w:b/>
                <w:bCs/>
                <w:sz w:val="20"/>
                <w:szCs w:val="20"/>
              </w:rPr>
              <w:t>)</w:t>
            </w:r>
          </w:p>
        </w:tc>
      </w:tr>
      <w:tr w:rsidR="006A1AFC" w:rsidRPr="00885AB3" w14:paraId="48F9084C" w14:textId="77777777" w:rsidTr="00255A7F">
        <w:trPr>
          <w:cantSplit/>
        </w:trPr>
        <w:tc>
          <w:tcPr>
            <w:tcW w:w="1306" w:type="pct"/>
            <w:tcBorders>
              <w:right w:val="single" w:sz="4" w:space="0" w:color="000000"/>
            </w:tcBorders>
          </w:tcPr>
          <w:p w14:paraId="631B210A" w14:textId="77777777" w:rsidR="006A1AFC" w:rsidRPr="00885AB3" w:rsidDel="00894160" w:rsidRDefault="006A1AFC" w:rsidP="00120D61">
            <w:pPr>
              <w:keepNext/>
              <w:rPr>
                <w:rFonts w:ascii="Arial Narrow" w:hAnsi="Arial Narrow"/>
                <w:sz w:val="20"/>
                <w:szCs w:val="20"/>
              </w:rPr>
            </w:pPr>
            <w:r w:rsidRPr="00885AB3">
              <w:rPr>
                <w:rFonts w:ascii="Arial Narrow" w:hAnsi="Arial Narrow"/>
                <w:sz w:val="20"/>
                <w:szCs w:val="20"/>
              </w:rPr>
              <w:t>Costs</w:t>
            </w:r>
          </w:p>
        </w:tc>
        <w:tc>
          <w:tcPr>
            <w:tcW w:w="1232" w:type="pct"/>
            <w:tcBorders>
              <w:right w:val="single" w:sz="4" w:space="0" w:color="000000"/>
            </w:tcBorders>
            <w:vAlign w:val="bottom"/>
          </w:tcPr>
          <w:p w14:paraId="22CF6FBA" w14:textId="77C45D77" w:rsidR="006A1AFC" w:rsidRPr="00885AB3" w:rsidRDefault="006A1AFC" w:rsidP="00120D61">
            <w:pPr>
              <w:keepNext/>
              <w:jc w:val="center"/>
              <w:rPr>
                <w:rFonts w:ascii="Arial Narrow" w:hAnsi="Arial Narrow"/>
                <w:sz w:val="20"/>
                <w:szCs w:val="20"/>
              </w:rPr>
            </w:pPr>
            <w:r w:rsidRPr="00885AB3">
              <w:rPr>
                <w:rFonts w:ascii="Arial Narrow" w:hAnsi="Arial Narrow"/>
                <w:sz w:val="20"/>
                <w:szCs w:val="20"/>
              </w:rPr>
              <w:t>$</w:t>
            </w:r>
            <w:r w:rsidR="004B5AFE" w:rsidRPr="004B5AFE">
              <w:rPr>
                <w:rFonts w:ascii="Arial Narrow" w:hAnsi="Arial Narrow"/>
                <w:sz w:val="20"/>
                <w:szCs w:val="20"/>
                <w:highlight w:val="black"/>
              </w:rPr>
              <w:t xml:space="preserve"> &amp;&amp;&amp;&amp;</w:t>
            </w:r>
          </w:p>
        </w:tc>
        <w:tc>
          <w:tcPr>
            <w:tcW w:w="1156" w:type="pct"/>
            <w:tcBorders>
              <w:right w:val="single" w:sz="4" w:space="0" w:color="000000"/>
            </w:tcBorders>
            <w:vAlign w:val="bottom"/>
          </w:tcPr>
          <w:p w14:paraId="0AFDE60D" w14:textId="77777777" w:rsidR="006A1AFC" w:rsidRPr="00885AB3" w:rsidRDefault="006A1AFC" w:rsidP="00120D61">
            <w:pPr>
              <w:keepNext/>
              <w:jc w:val="center"/>
              <w:rPr>
                <w:rFonts w:ascii="Arial Narrow" w:hAnsi="Arial Narrow"/>
                <w:sz w:val="20"/>
                <w:szCs w:val="20"/>
              </w:rPr>
            </w:pPr>
            <w:r w:rsidRPr="00885AB3">
              <w:rPr>
                <w:rFonts w:ascii="Arial Narrow" w:hAnsi="Arial Narrow"/>
                <w:sz w:val="20"/>
                <w:szCs w:val="20"/>
              </w:rPr>
              <w:t>$275,501,759</w:t>
            </w:r>
          </w:p>
        </w:tc>
        <w:tc>
          <w:tcPr>
            <w:tcW w:w="1306" w:type="pct"/>
            <w:tcBorders>
              <w:left w:val="single" w:sz="4" w:space="0" w:color="000000"/>
            </w:tcBorders>
            <w:vAlign w:val="center"/>
          </w:tcPr>
          <w:p w14:paraId="496F2C08" w14:textId="6F3A8942" w:rsidR="006A1AFC" w:rsidRPr="00885AB3" w:rsidRDefault="006A1AFC" w:rsidP="00120D61">
            <w:pPr>
              <w:keepNext/>
              <w:jc w:val="center"/>
              <w:rPr>
                <w:rFonts w:ascii="Arial Narrow" w:hAnsi="Arial Narrow"/>
                <w:sz w:val="20"/>
                <w:szCs w:val="20"/>
              </w:rPr>
            </w:pPr>
            <w:r w:rsidRPr="00885AB3">
              <w:rPr>
                <w:rFonts w:ascii="Arial Narrow" w:hAnsi="Arial Narrow"/>
                <w:sz w:val="20"/>
                <w:szCs w:val="20"/>
              </w:rPr>
              <w:t>$</w:t>
            </w:r>
            <w:r w:rsidR="004B5AFE" w:rsidRPr="004B5AFE">
              <w:rPr>
                <w:rFonts w:ascii="Arial Narrow" w:hAnsi="Arial Narrow"/>
                <w:sz w:val="20"/>
                <w:szCs w:val="20"/>
                <w:highlight w:val="black"/>
              </w:rPr>
              <w:t xml:space="preserve"> &amp;&amp;&amp;&amp;</w:t>
            </w:r>
          </w:p>
        </w:tc>
      </w:tr>
      <w:tr w:rsidR="006A1AFC" w:rsidRPr="00885AB3" w14:paraId="0CC1C065" w14:textId="77777777" w:rsidTr="00255A7F">
        <w:trPr>
          <w:cantSplit/>
        </w:trPr>
        <w:tc>
          <w:tcPr>
            <w:tcW w:w="1306" w:type="pct"/>
            <w:tcBorders>
              <w:right w:val="single" w:sz="4" w:space="0" w:color="000000"/>
            </w:tcBorders>
          </w:tcPr>
          <w:p w14:paraId="14C019D6" w14:textId="77777777" w:rsidR="006A1AFC" w:rsidRPr="00885AB3" w:rsidDel="00894160" w:rsidRDefault="006A1AFC" w:rsidP="00120D61">
            <w:pPr>
              <w:keepNext/>
              <w:rPr>
                <w:rFonts w:ascii="Arial Narrow" w:hAnsi="Arial Narrow"/>
                <w:sz w:val="20"/>
                <w:szCs w:val="20"/>
              </w:rPr>
            </w:pPr>
            <w:r w:rsidRPr="00885AB3">
              <w:rPr>
                <w:rFonts w:ascii="Arial Narrow" w:hAnsi="Arial Narrow"/>
                <w:sz w:val="20"/>
                <w:szCs w:val="20"/>
              </w:rPr>
              <w:t>QALYs lost</w:t>
            </w:r>
          </w:p>
        </w:tc>
        <w:tc>
          <w:tcPr>
            <w:tcW w:w="1232" w:type="pct"/>
            <w:tcBorders>
              <w:right w:val="single" w:sz="4" w:space="0" w:color="000000"/>
            </w:tcBorders>
            <w:vAlign w:val="center"/>
          </w:tcPr>
          <w:p w14:paraId="28ABF27F" w14:textId="77777777" w:rsidR="006A1AFC" w:rsidRPr="00885AB3" w:rsidRDefault="006A1AFC" w:rsidP="00120D61">
            <w:pPr>
              <w:keepNext/>
              <w:jc w:val="center"/>
              <w:rPr>
                <w:rFonts w:ascii="Arial Narrow" w:hAnsi="Arial Narrow"/>
                <w:sz w:val="20"/>
                <w:szCs w:val="20"/>
              </w:rPr>
            </w:pPr>
            <w:r w:rsidRPr="00885AB3">
              <w:rPr>
                <w:rFonts w:ascii="Arial Narrow" w:hAnsi="Arial Narrow"/>
                <w:sz w:val="20"/>
                <w:szCs w:val="20"/>
              </w:rPr>
              <w:t>1,289,934</w:t>
            </w:r>
          </w:p>
        </w:tc>
        <w:tc>
          <w:tcPr>
            <w:tcW w:w="1156" w:type="pct"/>
            <w:tcBorders>
              <w:right w:val="single" w:sz="4" w:space="0" w:color="000000"/>
            </w:tcBorders>
            <w:vAlign w:val="center"/>
          </w:tcPr>
          <w:p w14:paraId="6782BE1D" w14:textId="77777777" w:rsidR="006A1AFC" w:rsidRPr="00885AB3" w:rsidRDefault="006A1AFC" w:rsidP="00120D61">
            <w:pPr>
              <w:keepNext/>
              <w:jc w:val="center"/>
              <w:rPr>
                <w:rFonts w:ascii="Arial Narrow" w:hAnsi="Arial Narrow"/>
                <w:sz w:val="20"/>
                <w:szCs w:val="20"/>
              </w:rPr>
            </w:pPr>
            <w:r w:rsidRPr="00885AB3">
              <w:rPr>
                <w:rFonts w:ascii="Arial Narrow" w:hAnsi="Arial Narrow"/>
                <w:sz w:val="20"/>
                <w:szCs w:val="20"/>
              </w:rPr>
              <w:t>1,295,047</w:t>
            </w:r>
          </w:p>
        </w:tc>
        <w:tc>
          <w:tcPr>
            <w:tcW w:w="1306" w:type="pct"/>
            <w:tcBorders>
              <w:left w:val="single" w:sz="4" w:space="0" w:color="000000"/>
            </w:tcBorders>
            <w:vAlign w:val="center"/>
          </w:tcPr>
          <w:p w14:paraId="1DC43F6B" w14:textId="77777777" w:rsidR="006A1AFC" w:rsidRPr="00885AB3" w:rsidRDefault="006A1AFC" w:rsidP="00120D61">
            <w:pPr>
              <w:keepNext/>
              <w:jc w:val="center"/>
              <w:rPr>
                <w:rFonts w:ascii="Arial Narrow" w:hAnsi="Arial Narrow"/>
                <w:sz w:val="20"/>
                <w:szCs w:val="20"/>
              </w:rPr>
            </w:pPr>
            <w:r w:rsidRPr="00885AB3">
              <w:rPr>
                <w:rFonts w:ascii="Arial Narrow" w:hAnsi="Arial Narrow"/>
                <w:sz w:val="20"/>
                <w:szCs w:val="20"/>
              </w:rPr>
              <w:t>5,113</w:t>
            </w:r>
          </w:p>
        </w:tc>
      </w:tr>
      <w:tr w:rsidR="006A1AFC" w:rsidRPr="00885AB3" w14:paraId="0B4409E9" w14:textId="77777777" w:rsidTr="00255A7F">
        <w:trPr>
          <w:cantSplit/>
        </w:trPr>
        <w:tc>
          <w:tcPr>
            <w:tcW w:w="3694" w:type="pct"/>
            <w:gridSpan w:val="3"/>
            <w:tcBorders>
              <w:right w:val="single" w:sz="4" w:space="0" w:color="000000"/>
            </w:tcBorders>
            <w:vAlign w:val="center"/>
          </w:tcPr>
          <w:p w14:paraId="7FFE91F8" w14:textId="77777777" w:rsidR="006A1AFC" w:rsidRPr="00885AB3" w:rsidRDefault="006A1AFC" w:rsidP="00120D61">
            <w:pPr>
              <w:keepNext/>
              <w:rPr>
                <w:rFonts w:ascii="Arial Narrow" w:hAnsi="Arial Narrow"/>
                <w:b/>
                <w:sz w:val="20"/>
                <w:szCs w:val="20"/>
              </w:rPr>
            </w:pPr>
            <w:r w:rsidRPr="00885AB3">
              <w:rPr>
                <w:rFonts w:ascii="Arial Narrow" w:hAnsi="Arial Narrow"/>
                <w:b/>
                <w:sz w:val="20"/>
                <w:szCs w:val="20"/>
              </w:rPr>
              <w:t>Incremental cost per QALY gained</w:t>
            </w:r>
          </w:p>
        </w:tc>
        <w:tc>
          <w:tcPr>
            <w:tcW w:w="1306" w:type="pct"/>
            <w:tcBorders>
              <w:left w:val="single" w:sz="4" w:space="0" w:color="000000"/>
            </w:tcBorders>
            <w:vAlign w:val="center"/>
          </w:tcPr>
          <w:p w14:paraId="6432C889" w14:textId="16C53005" w:rsidR="006A1AFC" w:rsidRPr="00E44480" w:rsidRDefault="006A1AFC" w:rsidP="00120D61">
            <w:pPr>
              <w:keepNext/>
              <w:jc w:val="center"/>
              <w:rPr>
                <w:rFonts w:ascii="Arial Narrow" w:hAnsi="Arial Narrow" w:cs="Calibri"/>
                <w:sz w:val="20"/>
                <w:szCs w:val="20"/>
              </w:rPr>
            </w:pPr>
            <w:r w:rsidRPr="00885AB3">
              <w:rPr>
                <w:rFonts w:ascii="Arial Narrow" w:eastAsia="PMingLiU" w:hAnsi="Arial Narrow" w:cs="Calibri"/>
                <w:b/>
                <w:bCs/>
                <w:sz w:val="20"/>
                <w:szCs w:val="20"/>
              </w:rPr>
              <w:t>$</w:t>
            </w:r>
            <w:r w:rsidR="004B5AFE" w:rsidRPr="004B5AFE">
              <w:rPr>
                <w:rFonts w:ascii="Arial Narrow" w:eastAsia="PMingLiU" w:hAnsi="Arial Narrow" w:cs="Calibri"/>
                <w:b/>
                <w:bCs/>
                <w:sz w:val="20"/>
                <w:szCs w:val="20"/>
                <w:highlight w:val="black"/>
              </w:rPr>
              <w:t xml:space="preserve"> &amp;&amp;&amp;&amp;</w:t>
            </w:r>
            <w:r w:rsidR="00E44480">
              <w:rPr>
                <w:rFonts w:ascii="Arial Narrow" w:eastAsia="PMingLiU" w:hAnsi="Arial Narrow" w:cs="Calibri"/>
                <w:sz w:val="20"/>
                <w:szCs w:val="20"/>
                <w:vertAlign w:val="superscript"/>
              </w:rPr>
              <w:t>3</w:t>
            </w:r>
          </w:p>
        </w:tc>
      </w:tr>
      <w:tr w:rsidR="006A1AFC" w:rsidRPr="00885AB3" w14:paraId="59D5EBEB" w14:textId="77777777" w:rsidTr="00255A7F">
        <w:trPr>
          <w:cantSplit/>
        </w:trPr>
        <w:tc>
          <w:tcPr>
            <w:tcW w:w="5000" w:type="pct"/>
            <w:gridSpan w:val="4"/>
            <w:vAlign w:val="center"/>
          </w:tcPr>
          <w:p w14:paraId="4C3CF6D3" w14:textId="77777777" w:rsidR="006A1AFC" w:rsidRPr="00885AB3" w:rsidRDefault="006A1AFC" w:rsidP="00120D61">
            <w:pPr>
              <w:keepNext/>
              <w:rPr>
                <w:rFonts w:ascii="Arial Narrow" w:hAnsi="Arial Narrow"/>
                <w:b/>
                <w:bCs/>
                <w:sz w:val="20"/>
                <w:szCs w:val="20"/>
              </w:rPr>
            </w:pPr>
            <w:r w:rsidRPr="00885AB3">
              <w:rPr>
                <w:rFonts w:ascii="Arial Narrow" w:hAnsi="Arial Narrow"/>
                <w:b/>
                <w:bCs/>
                <w:sz w:val="20"/>
                <w:szCs w:val="20"/>
              </w:rPr>
              <w:t xml:space="preserve">Step 4: Extrapolate VE to 5-year duration of protection </w:t>
            </w:r>
          </w:p>
        </w:tc>
      </w:tr>
      <w:tr w:rsidR="006A1AFC" w:rsidRPr="00885AB3" w14:paraId="2A0418A8" w14:textId="77777777" w:rsidTr="00255A7F">
        <w:trPr>
          <w:cantSplit/>
        </w:trPr>
        <w:tc>
          <w:tcPr>
            <w:tcW w:w="1306" w:type="pct"/>
            <w:tcBorders>
              <w:right w:val="single" w:sz="4" w:space="0" w:color="000000"/>
            </w:tcBorders>
          </w:tcPr>
          <w:p w14:paraId="7EC88C74" w14:textId="77777777" w:rsidR="006A1AFC" w:rsidRPr="00885AB3" w:rsidRDefault="006A1AFC" w:rsidP="00120D61">
            <w:pPr>
              <w:keepNext/>
              <w:rPr>
                <w:rFonts w:ascii="Arial Narrow" w:hAnsi="Arial Narrow"/>
                <w:sz w:val="20"/>
                <w:szCs w:val="20"/>
              </w:rPr>
            </w:pPr>
            <w:r w:rsidRPr="00885AB3">
              <w:rPr>
                <w:rFonts w:ascii="Arial Narrow" w:hAnsi="Arial Narrow"/>
                <w:sz w:val="20"/>
                <w:szCs w:val="20"/>
              </w:rPr>
              <w:t>Costs</w:t>
            </w:r>
          </w:p>
        </w:tc>
        <w:tc>
          <w:tcPr>
            <w:tcW w:w="1232" w:type="pct"/>
            <w:tcBorders>
              <w:right w:val="single" w:sz="4" w:space="0" w:color="000000"/>
            </w:tcBorders>
          </w:tcPr>
          <w:p w14:paraId="6EC14888" w14:textId="3762F6F9" w:rsidR="006A1AFC" w:rsidRPr="00885AB3" w:rsidRDefault="006A1AFC" w:rsidP="00120D61">
            <w:pPr>
              <w:keepNext/>
              <w:jc w:val="center"/>
              <w:rPr>
                <w:rFonts w:ascii="Arial Narrow" w:hAnsi="Arial Narrow"/>
                <w:sz w:val="20"/>
                <w:szCs w:val="20"/>
              </w:rPr>
            </w:pPr>
            <w:r w:rsidRPr="00885AB3">
              <w:rPr>
                <w:rFonts w:ascii="Arial Narrow" w:hAnsi="Arial Narrow"/>
                <w:sz w:val="20"/>
                <w:szCs w:val="20"/>
              </w:rPr>
              <w:t>$</w:t>
            </w:r>
            <w:r w:rsidR="004B5AFE" w:rsidRPr="004B5AFE">
              <w:rPr>
                <w:rFonts w:ascii="Arial Narrow" w:hAnsi="Arial Narrow"/>
                <w:sz w:val="20"/>
                <w:szCs w:val="20"/>
                <w:highlight w:val="black"/>
              </w:rPr>
              <w:t xml:space="preserve"> &amp;&amp;&amp;&amp;</w:t>
            </w:r>
          </w:p>
        </w:tc>
        <w:tc>
          <w:tcPr>
            <w:tcW w:w="1156" w:type="pct"/>
            <w:tcBorders>
              <w:right w:val="single" w:sz="4" w:space="0" w:color="000000"/>
            </w:tcBorders>
          </w:tcPr>
          <w:p w14:paraId="08087622" w14:textId="77777777" w:rsidR="006A1AFC" w:rsidRPr="00885AB3" w:rsidRDefault="006A1AFC" w:rsidP="00120D61">
            <w:pPr>
              <w:keepNext/>
              <w:jc w:val="center"/>
              <w:rPr>
                <w:rFonts w:ascii="Arial Narrow" w:hAnsi="Arial Narrow"/>
                <w:sz w:val="20"/>
                <w:szCs w:val="20"/>
              </w:rPr>
            </w:pPr>
            <w:r w:rsidRPr="00885AB3">
              <w:rPr>
                <w:rFonts w:ascii="Arial Narrow" w:hAnsi="Arial Narrow"/>
                <w:sz w:val="20"/>
                <w:szCs w:val="20"/>
              </w:rPr>
              <w:t>$868,403,441</w:t>
            </w:r>
          </w:p>
        </w:tc>
        <w:tc>
          <w:tcPr>
            <w:tcW w:w="1306" w:type="pct"/>
            <w:tcBorders>
              <w:left w:val="single" w:sz="4" w:space="0" w:color="000000"/>
            </w:tcBorders>
          </w:tcPr>
          <w:p w14:paraId="47A8990B" w14:textId="04D5FDAC" w:rsidR="006A1AFC" w:rsidRPr="00885AB3" w:rsidRDefault="006A1AFC" w:rsidP="00120D61">
            <w:pPr>
              <w:keepNext/>
              <w:jc w:val="center"/>
              <w:rPr>
                <w:rFonts w:ascii="Arial Narrow" w:hAnsi="Arial Narrow"/>
                <w:sz w:val="20"/>
                <w:szCs w:val="20"/>
              </w:rPr>
            </w:pPr>
            <w:r w:rsidRPr="00885AB3">
              <w:rPr>
                <w:rFonts w:ascii="Arial Narrow" w:hAnsi="Arial Narrow"/>
                <w:sz w:val="20"/>
                <w:szCs w:val="20"/>
              </w:rPr>
              <w:t>$</w:t>
            </w:r>
            <w:r w:rsidR="004B5AFE" w:rsidRPr="004B5AFE">
              <w:rPr>
                <w:rFonts w:ascii="Arial Narrow" w:hAnsi="Arial Narrow"/>
                <w:sz w:val="20"/>
                <w:szCs w:val="20"/>
                <w:highlight w:val="black"/>
              </w:rPr>
              <w:t xml:space="preserve"> &amp;&amp;&amp;&amp;</w:t>
            </w:r>
          </w:p>
        </w:tc>
      </w:tr>
      <w:tr w:rsidR="006A1AFC" w:rsidRPr="00885AB3" w14:paraId="2E43BB5A" w14:textId="77777777" w:rsidTr="00255A7F">
        <w:trPr>
          <w:cantSplit/>
        </w:trPr>
        <w:tc>
          <w:tcPr>
            <w:tcW w:w="1306" w:type="pct"/>
            <w:tcBorders>
              <w:right w:val="single" w:sz="4" w:space="0" w:color="000000"/>
            </w:tcBorders>
          </w:tcPr>
          <w:p w14:paraId="7A32C0D1" w14:textId="77777777" w:rsidR="006A1AFC" w:rsidRPr="00885AB3" w:rsidRDefault="006A1AFC" w:rsidP="00120D61">
            <w:pPr>
              <w:keepNext/>
              <w:rPr>
                <w:rFonts w:ascii="Arial Narrow" w:hAnsi="Arial Narrow"/>
                <w:sz w:val="20"/>
                <w:szCs w:val="20"/>
              </w:rPr>
            </w:pPr>
            <w:r w:rsidRPr="00885AB3">
              <w:rPr>
                <w:rFonts w:ascii="Arial Narrow" w:hAnsi="Arial Narrow"/>
                <w:sz w:val="20"/>
                <w:szCs w:val="20"/>
              </w:rPr>
              <w:t>LYs lost</w:t>
            </w:r>
          </w:p>
        </w:tc>
        <w:tc>
          <w:tcPr>
            <w:tcW w:w="1232" w:type="pct"/>
            <w:tcBorders>
              <w:right w:val="single" w:sz="4" w:space="0" w:color="000000"/>
            </w:tcBorders>
            <w:vAlign w:val="center"/>
          </w:tcPr>
          <w:p w14:paraId="081BFF53" w14:textId="77777777" w:rsidR="006A1AFC" w:rsidRPr="00885AB3" w:rsidRDefault="006A1AFC" w:rsidP="00120D61">
            <w:pPr>
              <w:keepNext/>
              <w:jc w:val="center"/>
              <w:rPr>
                <w:rFonts w:ascii="Arial Narrow" w:hAnsi="Arial Narrow"/>
                <w:sz w:val="20"/>
                <w:szCs w:val="20"/>
              </w:rPr>
            </w:pPr>
            <w:r w:rsidRPr="00885AB3">
              <w:rPr>
                <w:rFonts w:ascii="Arial Narrow" w:hAnsi="Arial Narrow" w:cs="Calibri"/>
                <w:color w:val="000000"/>
                <w:sz w:val="20"/>
                <w:szCs w:val="20"/>
              </w:rPr>
              <w:t>3,389,979</w:t>
            </w:r>
          </w:p>
        </w:tc>
        <w:tc>
          <w:tcPr>
            <w:tcW w:w="1156" w:type="pct"/>
            <w:tcBorders>
              <w:right w:val="single" w:sz="4" w:space="0" w:color="000000"/>
            </w:tcBorders>
            <w:vAlign w:val="center"/>
          </w:tcPr>
          <w:p w14:paraId="351ECE1F" w14:textId="77777777" w:rsidR="006A1AFC" w:rsidRPr="00885AB3" w:rsidRDefault="006A1AFC" w:rsidP="00120D61">
            <w:pPr>
              <w:keepNext/>
              <w:jc w:val="center"/>
              <w:rPr>
                <w:rFonts w:ascii="Arial Narrow" w:hAnsi="Arial Narrow"/>
                <w:sz w:val="20"/>
                <w:szCs w:val="20"/>
              </w:rPr>
            </w:pPr>
            <w:r w:rsidRPr="00885AB3">
              <w:rPr>
                <w:rFonts w:ascii="Arial Narrow" w:hAnsi="Arial Narrow" w:cs="Calibri"/>
                <w:color w:val="000000"/>
                <w:sz w:val="20"/>
                <w:szCs w:val="20"/>
              </w:rPr>
              <w:t>3,396,545</w:t>
            </w:r>
          </w:p>
        </w:tc>
        <w:tc>
          <w:tcPr>
            <w:tcW w:w="1306" w:type="pct"/>
            <w:tcBorders>
              <w:left w:val="single" w:sz="4" w:space="0" w:color="000000"/>
            </w:tcBorders>
            <w:vAlign w:val="center"/>
          </w:tcPr>
          <w:p w14:paraId="79D65339" w14:textId="77777777" w:rsidR="006A1AFC" w:rsidRPr="00885AB3" w:rsidRDefault="006A1AFC" w:rsidP="00120D61">
            <w:pPr>
              <w:keepNext/>
              <w:jc w:val="center"/>
              <w:rPr>
                <w:rFonts w:ascii="Arial Narrow" w:hAnsi="Arial Narrow"/>
                <w:sz w:val="20"/>
                <w:szCs w:val="20"/>
              </w:rPr>
            </w:pPr>
            <w:r w:rsidRPr="00885AB3">
              <w:rPr>
                <w:rFonts w:ascii="Arial Narrow" w:hAnsi="Arial Narrow" w:cs="Calibri"/>
                <w:color w:val="000000"/>
                <w:sz w:val="20"/>
                <w:szCs w:val="20"/>
              </w:rPr>
              <w:t>6,566</w:t>
            </w:r>
          </w:p>
        </w:tc>
      </w:tr>
      <w:tr w:rsidR="006A1AFC" w:rsidRPr="00885AB3" w14:paraId="27028B4B" w14:textId="77777777" w:rsidTr="00255A7F">
        <w:trPr>
          <w:cantSplit/>
        </w:trPr>
        <w:tc>
          <w:tcPr>
            <w:tcW w:w="1306" w:type="pct"/>
            <w:tcBorders>
              <w:right w:val="single" w:sz="4" w:space="0" w:color="000000"/>
            </w:tcBorders>
          </w:tcPr>
          <w:p w14:paraId="77773918" w14:textId="77777777" w:rsidR="006A1AFC" w:rsidRPr="00885AB3" w:rsidRDefault="006A1AFC" w:rsidP="00120D61">
            <w:pPr>
              <w:keepNext/>
              <w:rPr>
                <w:rFonts w:ascii="Arial Narrow" w:hAnsi="Arial Narrow"/>
                <w:sz w:val="20"/>
                <w:szCs w:val="20"/>
              </w:rPr>
            </w:pPr>
            <w:r w:rsidRPr="00885AB3">
              <w:rPr>
                <w:rFonts w:ascii="Arial Narrow" w:hAnsi="Arial Narrow"/>
                <w:sz w:val="20"/>
                <w:szCs w:val="20"/>
              </w:rPr>
              <w:t>QALYs lost</w:t>
            </w:r>
          </w:p>
        </w:tc>
        <w:tc>
          <w:tcPr>
            <w:tcW w:w="1232" w:type="pct"/>
            <w:tcBorders>
              <w:right w:val="single" w:sz="4" w:space="0" w:color="000000"/>
            </w:tcBorders>
            <w:vAlign w:val="center"/>
          </w:tcPr>
          <w:p w14:paraId="33D63FE9" w14:textId="77777777" w:rsidR="006A1AFC" w:rsidRPr="00885AB3" w:rsidRDefault="006A1AFC" w:rsidP="00120D61">
            <w:pPr>
              <w:keepNext/>
              <w:jc w:val="center"/>
              <w:rPr>
                <w:rFonts w:ascii="Arial Narrow" w:hAnsi="Arial Narrow"/>
                <w:sz w:val="20"/>
                <w:szCs w:val="20"/>
              </w:rPr>
            </w:pPr>
            <w:r w:rsidRPr="00885AB3">
              <w:rPr>
                <w:rFonts w:ascii="Arial Narrow" w:hAnsi="Arial Narrow"/>
                <w:sz w:val="20"/>
                <w:szCs w:val="20"/>
              </w:rPr>
              <w:t>2,923,293</w:t>
            </w:r>
          </w:p>
        </w:tc>
        <w:tc>
          <w:tcPr>
            <w:tcW w:w="1156" w:type="pct"/>
            <w:tcBorders>
              <w:right w:val="single" w:sz="4" w:space="0" w:color="000000"/>
            </w:tcBorders>
            <w:vAlign w:val="center"/>
          </w:tcPr>
          <w:p w14:paraId="3D5EA097" w14:textId="77777777" w:rsidR="006A1AFC" w:rsidRPr="00885AB3" w:rsidRDefault="006A1AFC" w:rsidP="00120D61">
            <w:pPr>
              <w:keepNext/>
              <w:jc w:val="center"/>
              <w:rPr>
                <w:rFonts w:ascii="Arial Narrow" w:hAnsi="Arial Narrow"/>
                <w:sz w:val="20"/>
                <w:szCs w:val="20"/>
              </w:rPr>
            </w:pPr>
            <w:r w:rsidRPr="00885AB3">
              <w:rPr>
                <w:rFonts w:ascii="Arial Narrow" w:hAnsi="Arial Narrow"/>
                <w:sz w:val="20"/>
                <w:szCs w:val="20"/>
              </w:rPr>
              <w:t>2,931,394</w:t>
            </w:r>
          </w:p>
        </w:tc>
        <w:tc>
          <w:tcPr>
            <w:tcW w:w="1306" w:type="pct"/>
            <w:tcBorders>
              <w:left w:val="single" w:sz="4" w:space="0" w:color="000000"/>
            </w:tcBorders>
            <w:vAlign w:val="center"/>
          </w:tcPr>
          <w:p w14:paraId="72439D9D" w14:textId="77777777" w:rsidR="006A1AFC" w:rsidRPr="00885AB3" w:rsidRDefault="006A1AFC" w:rsidP="00120D61">
            <w:pPr>
              <w:keepNext/>
              <w:jc w:val="center"/>
              <w:rPr>
                <w:rFonts w:ascii="Arial Narrow" w:hAnsi="Arial Narrow"/>
                <w:sz w:val="20"/>
                <w:szCs w:val="20"/>
              </w:rPr>
            </w:pPr>
            <w:r w:rsidRPr="00885AB3">
              <w:rPr>
                <w:rFonts w:ascii="Arial Narrow" w:hAnsi="Arial Narrow"/>
                <w:sz w:val="20"/>
                <w:szCs w:val="20"/>
              </w:rPr>
              <w:t>8,102</w:t>
            </w:r>
          </w:p>
        </w:tc>
      </w:tr>
      <w:tr w:rsidR="006A1AFC" w:rsidRPr="00885AB3" w14:paraId="6CCA714C" w14:textId="77777777" w:rsidTr="00255A7F">
        <w:trPr>
          <w:cantSplit/>
        </w:trPr>
        <w:tc>
          <w:tcPr>
            <w:tcW w:w="3694" w:type="pct"/>
            <w:gridSpan w:val="3"/>
            <w:tcBorders>
              <w:right w:val="single" w:sz="4" w:space="0" w:color="000000"/>
            </w:tcBorders>
          </w:tcPr>
          <w:p w14:paraId="27A68E72" w14:textId="77777777" w:rsidR="006A1AFC" w:rsidRPr="00885AB3" w:rsidRDefault="006A1AFC" w:rsidP="00120D61">
            <w:pPr>
              <w:keepNext/>
              <w:rPr>
                <w:rFonts w:ascii="Arial Narrow" w:hAnsi="Arial Narrow"/>
                <w:b/>
                <w:sz w:val="20"/>
                <w:szCs w:val="20"/>
              </w:rPr>
            </w:pPr>
            <w:r w:rsidRPr="00885AB3">
              <w:rPr>
                <w:rFonts w:ascii="Arial Narrow" w:hAnsi="Arial Narrow"/>
                <w:b/>
                <w:bCs/>
                <w:sz w:val="20"/>
                <w:szCs w:val="20"/>
              </w:rPr>
              <w:t>Cost per LY gained</w:t>
            </w:r>
          </w:p>
        </w:tc>
        <w:tc>
          <w:tcPr>
            <w:tcW w:w="1306" w:type="pct"/>
            <w:tcBorders>
              <w:left w:val="single" w:sz="4" w:space="0" w:color="000000"/>
            </w:tcBorders>
            <w:vAlign w:val="center"/>
          </w:tcPr>
          <w:p w14:paraId="3BB368DB" w14:textId="3AB7547A" w:rsidR="006A1AFC" w:rsidRPr="00072EDF" w:rsidRDefault="006A1AFC" w:rsidP="00120D61">
            <w:pPr>
              <w:keepNext/>
              <w:jc w:val="center"/>
              <w:rPr>
                <w:rFonts w:ascii="Arial Narrow" w:hAnsi="Arial Narrow"/>
                <w:b/>
                <w:bCs/>
                <w:sz w:val="20"/>
                <w:szCs w:val="20"/>
                <w:vertAlign w:val="superscript"/>
              </w:rPr>
            </w:pPr>
            <w:r w:rsidRPr="00885AB3">
              <w:rPr>
                <w:rFonts w:ascii="Arial Narrow" w:hAnsi="Arial Narrow" w:cs="Calibri"/>
                <w:sz w:val="20"/>
                <w:szCs w:val="20"/>
              </w:rPr>
              <w:t>$</w:t>
            </w:r>
            <w:r w:rsidR="004B5AFE" w:rsidRPr="004B5AFE">
              <w:rPr>
                <w:rFonts w:ascii="Arial Narrow" w:hAnsi="Arial Narrow" w:cs="Calibri"/>
                <w:sz w:val="20"/>
                <w:szCs w:val="20"/>
                <w:highlight w:val="black"/>
              </w:rPr>
              <w:t xml:space="preserve"> &amp;&amp;&amp;&amp;</w:t>
            </w:r>
            <w:r w:rsidR="00072EDF">
              <w:rPr>
                <w:rFonts w:ascii="Arial Narrow" w:hAnsi="Arial Narrow" w:cs="Calibri"/>
                <w:sz w:val="20"/>
                <w:szCs w:val="20"/>
                <w:vertAlign w:val="superscript"/>
              </w:rPr>
              <w:t>4</w:t>
            </w:r>
          </w:p>
        </w:tc>
      </w:tr>
      <w:tr w:rsidR="006A1AFC" w:rsidRPr="00885AB3" w14:paraId="290826A8" w14:textId="77777777" w:rsidTr="00255A7F">
        <w:trPr>
          <w:cantSplit/>
        </w:trPr>
        <w:tc>
          <w:tcPr>
            <w:tcW w:w="3694" w:type="pct"/>
            <w:gridSpan w:val="3"/>
            <w:tcBorders>
              <w:right w:val="single" w:sz="4" w:space="0" w:color="000000"/>
            </w:tcBorders>
          </w:tcPr>
          <w:p w14:paraId="2D696559" w14:textId="77777777" w:rsidR="006A1AFC" w:rsidRPr="00885AB3" w:rsidRDefault="006A1AFC" w:rsidP="00120D61">
            <w:pPr>
              <w:keepNext/>
              <w:rPr>
                <w:rFonts w:ascii="Arial Narrow" w:hAnsi="Arial Narrow"/>
                <w:b/>
                <w:sz w:val="20"/>
                <w:szCs w:val="20"/>
              </w:rPr>
            </w:pPr>
            <w:r w:rsidRPr="00885AB3">
              <w:rPr>
                <w:rFonts w:ascii="Arial Narrow" w:hAnsi="Arial Narrow"/>
                <w:b/>
                <w:sz w:val="20"/>
                <w:szCs w:val="20"/>
              </w:rPr>
              <w:t>Incremental cost per QALY</w:t>
            </w:r>
            <w:r w:rsidRPr="00885AB3" w:rsidDel="00894160">
              <w:rPr>
                <w:rFonts w:ascii="Arial Narrow" w:hAnsi="Arial Narrow"/>
                <w:b/>
                <w:sz w:val="20"/>
                <w:szCs w:val="20"/>
              </w:rPr>
              <w:t xml:space="preserve"> </w:t>
            </w:r>
            <w:r w:rsidRPr="00885AB3">
              <w:rPr>
                <w:rFonts w:ascii="Arial Narrow" w:hAnsi="Arial Narrow"/>
                <w:b/>
                <w:sz w:val="20"/>
                <w:szCs w:val="20"/>
              </w:rPr>
              <w:t>gained</w:t>
            </w:r>
            <w:r w:rsidRPr="00885AB3" w:rsidDel="00894160">
              <w:rPr>
                <w:rFonts w:ascii="Arial Narrow" w:hAnsi="Arial Narrow"/>
                <w:b/>
                <w:sz w:val="20"/>
                <w:szCs w:val="20"/>
              </w:rPr>
              <w:t xml:space="preserve"> </w:t>
            </w:r>
          </w:p>
        </w:tc>
        <w:tc>
          <w:tcPr>
            <w:tcW w:w="1306" w:type="pct"/>
            <w:tcBorders>
              <w:left w:val="single" w:sz="4" w:space="0" w:color="000000"/>
            </w:tcBorders>
            <w:vAlign w:val="center"/>
          </w:tcPr>
          <w:p w14:paraId="3F61E12C" w14:textId="32DC2AA5" w:rsidR="006A1AFC" w:rsidRPr="00072EDF" w:rsidRDefault="006A1AFC" w:rsidP="00120D61">
            <w:pPr>
              <w:keepNext/>
              <w:jc w:val="center"/>
              <w:rPr>
                <w:rFonts w:ascii="Arial Narrow" w:eastAsia="Calibri" w:hAnsi="Arial Narrow"/>
                <w:sz w:val="20"/>
                <w:szCs w:val="20"/>
                <w:vertAlign w:val="superscript"/>
              </w:rPr>
            </w:pPr>
            <w:r w:rsidRPr="00885AB3">
              <w:rPr>
                <w:rFonts w:ascii="Arial Narrow" w:hAnsi="Arial Narrow"/>
                <w:b/>
                <w:bCs/>
                <w:sz w:val="20"/>
                <w:szCs w:val="20"/>
              </w:rPr>
              <w:t>$</w:t>
            </w:r>
            <w:r w:rsidR="004B5AFE" w:rsidRPr="004B5AFE">
              <w:rPr>
                <w:rFonts w:ascii="Arial Narrow" w:hAnsi="Arial Narrow"/>
                <w:b/>
                <w:bCs/>
                <w:sz w:val="20"/>
                <w:szCs w:val="20"/>
                <w:highlight w:val="black"/>
              </w:rPr>
              <w:t xml:space="preserve"> &amp;&amp;&amp;&amp;</w:t>
            </w:r>
            <w:r w:rsidR="00072EDF" w:rsidRPr="00072EDF">
              <w:rPr>
                <w:rFonts w:ascii="Arial Narrow" w:hAnsi="Arial Narrow"/>
                <w:sz w:val="20"/>
                <w:szCs w:val="20"/>
                <w:vertAlign w:val="superscript"/>
              </w:rPr>
              <w:t>5</w:t>
            </w:r>
          </w:p>
        </w:tc>
      </w:tr>
      <w:tr w:rsidR="006A1AFC" w:rsidRPr="00885AB3" w14:paraId="32450176" w14:textId="77777777" w:rsidTr="00255A7F">
        <w:trPr>
          <w:cantSplit/>
        </w:trPr>
        <w:tc>
          <w:tcPr>
            <w:tcW w:w="5000" w:type="pct"/>
            <w:gridSpan w:val="4"/>
          </w:tcPr>
          <w:p w14:paraId="38BFD46C" w14:textId="115FE150" w:rsidR="006A1AFC" w:rsidRPr="00885AB3" w:rsidRDefault="006A1AFC" w:rsidP="00120D61">
            <w:pPr>
              <w:keepNext/>
              <w:rPr>
                <w:rFonts w:ascii="Arial Narrow" w:hAnsi="Arial Narrow"/>
                <w:sz w:val="20"/>
                <w:szCs w:val="20"/>
              </w:rPr>
            </w:pPr>
            <w:r w:rsidRPr="00885AB3">
              <w:rPr>
                <w:rFonts w:ascii="Arial Narrow" w:hAnsi="Arial Narrow"/>
                <w:b/>
                <w:bCs/>
                <w:sz w:val="20"/>
                <w:szCs w:val="20"/>
                <w:u w:val="single"/>
              </w:rPr>
              <w:t xml:space="preserve">Aboriginal and Torres Strait Islander people 60-74 YOA population </w:t>
            </w:r>
            <w:r w:rsidRPr="00885AB3">
              <w:rPr>
                <w:rFonts w:ascii="Arial Narrow" w:hAnsi="Arial Narrow"/>
                <w:b/>
                <w:bCs/>
                <w:sz w:val="20"/>
                <w:szCs w:val="20"/>
                <w:u w:val="single"/>
                <w:vertAlign w:val="superscript"/>
              </w:rPr>
              <w:t>b</w:t>
            </w:r>
            <w:r w:rsidR="001C78D7">
              <w:rPr>
                <w:rFonts w:ascii="Arial Narrow" w:hAnsi="Arial Narrow"/>
                <w:sz w:val="20"/>
                <w:szCs w:val="20"/>
                <w:u w:val="single"/>
              </w:rPr>
              <w:t xml:space="preserve">   </w:t>
            </w:r>
          </w:p>
        </w:tc>
      </w:tr>
      <w:tr w:rsidR="006A1AFC" w:rsidRPr="00885AB3" w14:paraId="7CE28118" w14:textId="77777777" w:rsidTr="00255A7F">
        <w:trPr>
          <w:cantSplit/>
        </w:trPr>
        <w:tc>
          <w:tcPr>
            <w:tcW w:w="1306" w:type="pct"/>
            <w:shd w:val="clear" w:color="auto" w:fill="FFFFFF"/>
            <w:vAlign w:val="center"/>
          </w:tcPr>
          <w:p w14:paraId="1C55D79F" w14:textId="77777777" w:rsidR="006A1AFC" w:rsidRPr="00885AB3" w:rsidRDefault="006A1AFC" w:rsidP="00120D61">
            <w:pPr>
              <w:keepNext/>
              <w:rPr>
                <w:rFonts w:ascii="Arial Narrow" w:hAnsi="Arial Narrow"/>
                <w:sz w:val="20"/>
                <w:szCs w:val="20"/>
              </w:rPr>
            </w:pPr>
          </w:p>
        </w:tc>
        <w:tc>
          <w:tcPr>
            <w:tcW w:w="1232" w:type="pct"/>
            <w:shd w:val="clear" w:color="auto" w:fill="FFFFFF"/>
          </w:tcPr>
          <w:p w14:paraId="243DBABE" w14:textId="77777777" w:rsidR="006A1AFC" w:rsidRPr="00885AB3" w:rsidRDefault="006A1AFC" w:rsidP="00120D61">
            <w:pPr>
              <w:keepNext/>
              <w:jc w:val="center"/>
              <w:rPr>
                <w:rFonts w:ascii="Arial Narrow" w:hAnsi="Arial Narrow"/>
                <w:b/>
                <w:bCs/>
                <w:sz w:val="20"/>
                <w:szCs w:val="20"/>
              </w:rPr>
            </w:pPr>
            <w:r w:rsidRPr="00885AB3">
              <w:rPr>
                <w:rFonts w:ascii="Arial Narrow" w:hAnsi="Arial Narrow"/>
                <w:b/>
                <w:bCs/>
                <w:sz w:val="20"/>
                <w:szCs w:val="20"/>
              </w:rPr>
              <w:t>mRNA-1345</w:t>
            </w:r>
          </w:p>
        </w:tc>
        <w:tc>
          <w:tcPr>
            <w:tcW w:w="1156" w:type="pct"/>
            <w:shd w:val="clear" w:color="auto" w:fill="FFFFFF"/>
          </w:tcPr>
          <w:p w14:paraId="6F31C58A" w14:textId="77777777" w:rsidR="006A1AFC" w:rsidRPr="00885AB3" w:rsidRDefault="006A1AFC" w:rsidP="00120D61">
            <w:pPr>
              <w:keepNext/>
              <w:jc w:val="center"/>
              <w:rPr>
                <w:rFonts w:ascii="Arial Narrow" w:hAnsi="Arial Narrow"/>
                <w:b/>
                <w:bCs/>
                <w:sz w:val="20"/>
                <w:szCs w:val="20"/>
              </w:rPr>
            </w:pPr>
            <w:r w:rsidRPr="00885AB3">
              <w:rPr>
                <w:rFonts w:ascii="Arial Narrow" w:hAnsi="Arial Narrow"/>
                <w:b/>
                <w:bCs/>
                <w:sz w:val="20"/>
                <w:szCs w:val="20"/>
              </w:rPr>
              <w:t>No vaccine</w:t>
            </w:r>
          </w:p>
        </w:tc>
        <w:tc>
          <w:tcPr>
            <w:tcW w:w="1306" w:type="pct"/>
            <w:shd w:val="clear" w:color="auto" w:fill="FFFFFF"/>
          </w:tcPr>
          <w:p w14:paraId="63743A03" w14:textId="77777777" w:rsidR="006A1AFC" w:rsidRPr="00885AB3" w:rsidRDefault="006A1AFC" w:rsidP="00120D61">
            <w:pPr>
              <w:keepNext/>
              <w:jc w:val="center"/>
              <w:rPr>
                <w:rFonts w:ascii="Arial Narrow" w:hAnsi="Arial Narrow"/>
                <w:b/>
                <w:bCs/>
                <w:sz w:val="20"/>
                <w:szCs w:val="20"/>
              </w:rPr>
            </w:pPr>
            <w:r w:rsidRPr="00885AB3">
              <w:rPr>
                <w:rFonts w:ascii="Arial Narrow" w:hAnsi="Arial Narrow"/>
                <w:b/>
                <w:bCs/>
                <w:sz w:val="20"/>
                <w:szCs w:val="20"/>
              </w:rPr>
              <w:t>Incremental difference</w:t>
            </w:r>
          </w:p>
        </w:tc>
      </w:tr>
      <w:tr w:rsidR="006A1AFC" w:rsidRPr="00885AB3" w14:paraId="29286D16" w14:textId="77777777" w:rsidTr="00255A7F">
        <w:trPr>
          <w:cantSplit/>
        </w:trPr>
        <w:tc>
          <w:tcPr>
            <w:tcW w:w="1306" w:type="pct"/>
            <w:shd w:val="clear" w:color="auto" w:fill="FFFFFF"/>
            <w:vAlign w:val="center"/>
          </w:tcPr>
          <w:p w14:paraId="187F672A" w14:textId="77777777" w:rsidR="006A1AFC" w:rsidRPr="00885AB3" w:rsidRDefault="006A1AFC" w:rsidP="00120D61">
            <w:pPr>
              <w:keepNext/>
              <w:rPr>
                <w:rFonts w:ascii="Arial Narrow" w:hAnsi="Arial Narrow"/>
                <w:b/>
                <w:bCs/>
                <w:sz w:val="20"/>
                <w:szCs w:val="20"/>
              </w:rPr>
            </w:pPr>
            <w:r w:rsidRPr="00885AB3">
              <w:rPr>
                <w:rFonts w:ascii="Arial Narrow" w:hAnsi="Arial Narrow"/>
                <w:b/>
                <w:bCs/>
                <w:sz w:val="20"/>
                <w:szCs w:val="20"/>
              </w:rPr>
              <w:t>Eligible population</w:t>
            </w:r>
          </w:p>
        </w:tc>
        <w:tc>
          <w:tcPr>
            <w:tcW w:w="1232" w:type="pct"/>
            <w:shd w:val="clear" w:color="auto" w:fill="FFFFFF"/>
            <w:vAlign w:val="center"/>
          </w:tcPr>
          <w:p w14:paraId="6AA56A08" w14:textId="77777777" w:rsidR="006A1AFC" w:rsidRPr="00885AB3" w:rsidRDefault="006A1AFC" w:rsidP="00120D61">
            <w:pPr>
              <w:keepNext/>
              <w:jc w:val="center"/>
              <w:rPr>
                <w:rStyle w:val="CommentReference"/>
                <w:b w:val="0"/>
                <w:szCs w:val="20"/>
              </w:rPr>
            </w:pPr>
            <w:r w:rsidRPr="00885AB3">
              <w:rPr>
                <w:rStyle w:val="CommentReference"/>
                <w:szCs w:val="20"/>
              </w:rPr>
              <w:t>80,954</w:t>
            </w:r>
          </w:p>
        </w:tc>
        <w:tc>
          <w:tcPr>
            <w:tcW w:w="1156" w:type="pct"/>
            <w:shd w:val="clear" w:color="auto" w:fill="FFFFFF"/>
            <w:vAlign w:val="center"/>
          </w:tcPr>
          <w:p w14:paraId="66E1A273" w14:textId="77777777" w:rsidR="006A1AFC" w:rsidRPr="00885AB3" w:rsidRDefault="006A1AFC" w:rsidP="00120D61">
            <w:pPr>
              <w:keepNext/>
              <w:jc w:val="center"/>
              <w:rPr>
                <w:rFonts w:ascii="Arial Narrow" w:hAnsi="Arial Narrow"/>
                <w:sz w:val="20"/>
                <w:szCs w:val="20"/>
              </w:rPr>
            </w:pPr>
            <w:r w:rsidRPr="00885AB3">
              <w:rPr>
                <w:rStyle w:val="CommentReference"/>
                <w:szCs w:val="20"/>
              </w:rPr>
              <w:t>80,954</w:t>
            </w:r>
          </w:p>
        </w:tc>
        <w:tc>
          <w:tcPr>
            <w:tcW w:w="1306" w:type="pct"/>
            <w:shd w:val="clear" w:color="auto" w:fill="FFFFFF"/>
            <w:vAlign w:val="center"/>
          </w:tcPr>
          <w:p w14:paraId="7922050B" w14:textId="77777777" w:rsidR="006A1AFC" w:rsidRPr="00885AB3" w:rsidRDefault="006A1AFC" w:rsidP="00120D61">
            <w:pPr>
              <w:keepNext/>
              <w:jc w:val="center"/>
              <w:rPr>
                <w:rFonts w:ascii="Arial Narrow" w:hAnsi="Arial Narrow"/>
                <w:sz w:val="20"/>
                <w:szCs w:val="20"/>
              </w:rPr>
            </w:pPr>
          </w:p>
        </w:tc>
      </w:tr>
      <w:tr w:rsidR="006A1AFC" w:rsidRPr="00885AB3" w14:paraId="4D85F3AD" w14:textId="77777777" w:rsidTr="00255A7F">
        <w:trPr>
          <w:cantSplit/>
        </w:trPr>
        <w:tc>
          <w:tcPr>
            <w:tcW w:w="5000" w:type="pct"/>
            <w:gridSpan w:val="4"/>
            <w:shd w:val="clear" w:color="auto" w:fill="FFFFFF"/>
            <w:vAlign w:val="center"/>
          </w:tcPr>
          <w:p w14:paraId="0EEDA2A9" w14:textId="77777777" w:rsidR="006A1AFC" w:rsidRPr="00885AB3" w:rsidRDefault="006A1AFC" w:rsidP="00120D61">
            <w:pPr>
              <w:keepNext/>
              <w:rPr>
                <w:rFonts w:ascii="Arial Narrow" w:hAnsi="Arial Narrow"/>
                <w:b/>
                <w:bCs/>
                <w:sz w:val="20"/>
                <w:szCs w:val="20"/>
                <w:vertAlign w:val="superscript"/>
              </w:rPr>
            </w:pPr>
            <w:r w:rsidRPr="00885AB3">
              <w:rPr>
                <w:rFonts w:ascii="Arial Narrow" w:hAnsi="Arial Narrow"/>
                <w:b/>
                <w:bCs/>
                <w:sz w:val="20"/>
                <w:szCs w:val="20"/>
              </w:rPr>
              <w:t xml:space="preserve">Step 1: Cost-effectiveness analysis (trial-follow up: 18 months </w:t>
            </w:r>
            <w:r w:rsidRPr="00885AB3">
              <w:rPr>
                <w:rFonts w:ascii="Arial Narrow" w:hAnsi="Arial Narrow"/>
                <w:b/>
                <w:bCs/>
                <w:sz w:val="20"/>
                <w:szCs w:val="20"/>
                <w:vertAlign w:val="superscript"/>
              </w:rPr>
              <w:t>a</w:t>
            </w:r>
            <w:r w:rsidRPr="00885AB3">
              <w:rPr>
                <w:rFonts w:ascii="Arial Narrow" w:hAnsi="Arial Narrow"/>
                <w:b/>
                <w:bCs/>
                <w:sz w:val="20"/>
                <w:szCs w:val="20"/>
              </w:rPr>
              <w:t>)</w:t>
            </w:r>
          </w:p>
        </w:tc>
      </w:tr>
      <w:tr w:rsidR="006A1AFC" w:rsidRPr="00885AB3" w14:paraId="6646811E" w14:textId="77777777" w:rsidTr="00255A7F">
        <w:trPr>
          <w:cantSplit/>
        </w:trPr>
        <w:tc>
          <w:tcPr>
            <w:tcW w:w="1306" w:type="pct"/>
          </w:tcPr>
          <w:p w14:paraId="26E21C3A" w14:textId="77777777" w:rsidR="006A1AFC" w:rsidRPr="00885AB3" w:rsidRDefault="006A1AFC" w:rsidP="00120D61">
            <w:pPr>
              <w:keepNext/>
              <w:rPr>
                <w:rFonts w:ascii="Arial Narrow" w:hAnsi="Arial Narrow"/>
                <w:sz w:val="20"/>
                <w:szCs w:val="20"/>
              </w:rPr>
            </w:pPr>
            <w:r w:rsidRPr="00885AB3">
              <w:rPr>
                <w:rFonts w:ascii="Arial Narrow" w:hAnsi="Arial Narrow"/>
                <w:sz w:val="20"/>
                <w:szCs w:val="20"/>
              </w:rPr>
              <w:t>Costs</w:t>
            </w:r>
          </w:p>
        </w:tc>
        <w:tc>
          <w:tcPr>
            <w:tcW w:w="1232" w:type="pct"/>
            <w:vAlign w:val="bottom"/>
          </w:tcPr>
          <w:p w14:paraId="4B619185" w14:textId="5BB8C8DF" w:rsidR="006A1AFC" w:rsidRPr="00885AB3" w:rsidRDefault="006A1AFC" w:rsidP="00120D61">
            <w:pPr>
              <w:keepNext/>
              <w:jc w:val="center"/>
              <w:rPr>
                <w:rFonts w:ascii="Arial Narrow" w:hAnsi="Arial Narrow"/>
                <w:sz w:val="20"/>
                <w:szCs w:val="20"/>
              </w:rPr>
            </w:pPr>
            <w:r w:rsidRPr="00885AB3">
              <w:rPr>
                <w:rFonts w:ascii="Arial Narrow" w:hAnsi="Arial Narrow"/>
                <w:sz w:val="20"/>
                <w:szCs w:val="20"/>
              </w:rPr>
              <w:t>$</w:t>
            </w:r>
            <w:r w:rsidR="004B5AFE" w:rsidRPr="004B5AFE">
              <w:rPr>
                <w:rFonts w:ascii="Arial Narrow" w:hAnsi="Arial Narrow"/>
                <w:sz w:val="20"/>
                <w:szCs w:val="20"/>
                <w:highlight w:val="black"/>
              </w:rPr>
              <w:t xml:space="preserve"> &amp;&amp;&amp;&amp;</w:t>
            </w:r>
          </w:p>
        </w:tc>
        <w:tc>
          <w:tcPr>
            <w:tcW w:w="1156" w:type="pct"/>
            <w:vAlign w:val="bottom"/>
          </w:tcPr>
          <w:p w14:paraId="79187AD9" w14:textId="77777777" w:rsidR="006A1AFC" w:rsidRPr="00885AB3" w:rsidRDefault="006A1AFC" w:rsidP="00120D61">
            <w:pPr>
              <w:keepNext/>
              <w:jc w:val="center"/>
              <w:rPr>
                <w:rFonts w:ascii="Arial Narrow" w:hAnsi="Arial Narrow"/>
                <w:sz w:val="20"/>
                <w:szCs w:val="20"/>
              </w:rPr>
            </w:pPr>
            <w:r w:rsidRPr="00885AB3">
              <w:rPr>
                <w:rFonts w:ascii="Arial Narrow" w:hAnsi="Arial Narrow"/>
                <w:sz w:val="20"/>
                <w:szCs w:val="20"/>
              </w:rPr>
              <w:t>$9,629,210</w:t>
            </w:r>
          </w:p>
        </w:tc>
        <w:tc>
          <w:tcPr>
            <w:tcW w:w="1306" w:type="pct"/>
            <w:vAlign w:val="bottom"/>
          </w:tcPr>
          <w:p w14:paraId="3B2DC760" w14:textId="00839C5D" w:rsidR="006A1AFC" w:rsidRPr="00885AB3" w:rsidRDefault="006A1AFC" w:rsidP="00120D61">
            <w:pPr>
              <w:keepNext/>
              <w:jc w:val="center"/>
              <w:rPr>
                <w:rFonts w:ascii="Arial Narrow" w:hAnsi="Arial Narrow" w:cs="Calibri"/>
                <w:color w:val="000000"/>
                <w:sz w:val="20"/>
                <w:szCs w:val="20"/>
              </w:rPr>
            </w:pPr>
            <w:r w:rsidRPr="00885AB3">
              <w:rPr>
                <w:rFonts w:ascii="Arial Narrow" w:hAnsi="Arial Narrow" w:cs="Calibri"/>
                <w:color w:val="000000"/>
                <w:sz w:val="20"/>
                <w:szCs w:val="20"/>
              </w:rPr>
              <w:t>$</w:t>
            </w:r>
            <w:r w:rsidR="004B5AFE" w:rsidRPr="004B5AFE">
              <w:rPr>
                <w:rFonts w:ascii="Arial Narrow" w:hAnsi="Arial Narrow" w:cs="Calibri"/>
                <w:color w:val="000000"/>
                <w:sz w:val="20"/>
                <w:szCs w:val="20"/>
                <w:highlight w:val="black"/>
              </w:rPr>
              <w:t xml:space="preserve"> &amp;&amp;&amp;&amp;</w:t>
            </w:r>
          </w:p>
        </w:tc>
      </w:tr>
      <w:tr w:rsidR="006A1AFC" w:rsidRPr="00885AB3" w14:paraId="2A8CFDA8" w14:textId="77777777" w:rsidTr="00255A7F">
        <w:trPr>
          <w:cantSplit/>
        </w:trPr>
        <w:tc>
          <w:tcPr>
            <w:tcW w:w="1306" w:type="pct"/>
          </w:tcPr>
          <w:p w14:paraId="39D45489" w14:textId="77777777" w:rsidR="006A1AFC" w:rsidRPr="00885AB3" w:rsidRDefault="006A1AFC" w:rsidP="00120D61">
            <w:pPr>
              <w:keepNext/>
              <w:rPr>
                <w:rFonts w:ascii="Arial Narrow" w:hAnsi="Arial Narrow"/>
                <w:sz w:val="20"/>
                <w:szCs w:val="20"/>
              </w:rPr>
            </w:pPr>
            <w:r w:rsidRPr="00885AB3">
              <w:rPr>
                <w:rFonts w:ascii="Arial Narrow" w:hAnsi="Arial Narrow"/>
                <w:sz w:val="20"/>
                <w:szCs w:val="20"/>
              </w:rPr>
              <w:t>RSV-LRTD cases avoided</w:t>
            </w:r>
          </w:p>
        </w:tc>
        <w:tc>
          <w:tcPr>
            <w:tcW w:w="1232" w:type="pct"/>
            <w:vAlign w:val="center"/>
          </w:tcPr>
          <w:p w14:paraId="21BBD02E" w14:textId="77777777" w:rsidR="006A1AFC" w:rsidRPr="00885AB3" w:rsidRDefault="006A1AFC" w:rsidP="00120D61">
            <w:pPr>
              <w:keepNext/>
              <w:jc w:val="center"/>
              <w:rPr>
                <w:rFonts w:ascii="Arial Narrow" w:hAnsi="Arial Narrow"/>
                <w:sz w:val="20"/>
                <w:szCs w:val="20"/>
              </w:rPr>
            </w:pPr>
            <w:r w:rsidRPr="00885AB3">
              <w:rPr>
                <w:rFonts w:ascii="Arial Narrow" w:hAnsi="Arial Narrow"/>
                <w:sz w:val="20"/>
                <w:szCs w:val="20"/>
              </w:rPr>
              <w:t>467</w:t>
            </w:r>
          </w:p>
        </w:tc>
        <w:tc>
          <w:tcPr>
            <w:tcW w:w="1156" w:type="pct"/>
            <w:vAlign w:val="center"/>
          </w:tcPr>
          <w:p w14:paraId="3D2E4855" w14:textId="77777777" w:rsidR="006A1AFC" w:rsidRPr="00885AB3" w:rsidRDefault="006A1AFC" w:rsidP="00120D61">
            <w:pPr>
              <w:keepNext/>
              <w:jc w:val="center"/>
              <w:rPr>
                <w:rFonts w:ascii="Arial Narrow" w:hAnsi="Arial Narrow"/>
                <w:sz w:val="20"/>
                <w:szCs w:val="20"/>
              </w:rPr>
            </w:pPr>
            <w:r w:rsidRPr="00885AB3">
              <w:rPr>
                <w:rFonts w:ascii="Arial Narrow" w:hAnsi="Arial Narrow"/>
                <w:sz w:val="20"/>
                <w:szCs w:val="20"/>
              </w:rPr>
              <w:t>720</w:t>
            </w:r>
          </w:p>
        </w:tc>
        <w:tc>
          <w:tcPr>
            <w:tcW w:w="1306" w:type="pct"/>
            <w:vAlign w:val="center"/>
          </w:tcPr>
          <w:p w14:paraId="3399B3A1" w14:textId="77777777" w:rsidR="006A1AFC" w:rsidRPr="00885AB3" w:rsidRDefault="006A1AFC" w:rsidP="00120D61">
            <w:pPr>
              <w:keepNext/>
              <w:jc w:val="center"/>
              <w:rPr>
                <w:rFonts w:ascii="Arial Narrow" w:hAnsi="Arial Narrow" w:cs="Calibri"/>
                <w:color w:val="000000"/>
                <w:sz w:val="20"/>
                <w:szCs w:val="20"/>
              </w:rPr>
            </w:pPr>
            <w:r w:rsidRPr="00885AB3">
              <w:rPr>
                <w:rFonts w:ascii="Arial Narrow" w:hAnsi="Arial Narrow" w:cs="Calibri"/>
                <w:color w:val="000000"/>
                <w:sz w:val="20"/>
                <w:szCs w:val="20"/>
              </w:rPr>
              <w:t>254</w:t>
            </w:r>
          </w:p>
        </w:tc>
      </w:tr>
      <w:tr w:rsidR="006A1AFC" w:rsidRPr="00885AB3" w14:paraId="3A98884E" w14:textId="77777777" w:rsidTr="00255A7F">
        <w:trPr>
          <w:cantSplit/>
        </w:trPr>
        <w:tc>
          <w:tcPr>
            <w:tcW w:w="3694" w:type="pct"/>
            <w:gridSpan w:val="3"/>
            <w:tcBorders>
              <w:right w:val="single" w:sz="4" w:space="0" w:color="000000"/>
            </w:tcBorders>
            <w:vAlign w:val="center"/>
          </w:tcPr>
          <w:p w14:paraId="7DEBEB85" w14:textId="77777777" w:rsidR="006A1AFC" w:rsidRPr="00885AB3" w:rsidRDefault="006A1AFC" w:rsidP="00120D61">
            <w:pPr>
              <w:keepNext/>
              <w:rPr>
                <w:rFonts w:ascii="Arial Narrow" w:hAnsi="Arial Narrow"/>
                <w:b/>
                <w:bCs/>
                <w:sz w:val="20"/>
                <w:szCs w:val="20"/>
              </w:rPr>
            </w:pPr>
            <w:r w:rsidRPr="00885AB3">
              <w:rPr>
                <w:rFonts w:ascii="Arial Narrow" w:hAnsi="Arial Narrow"/>
                <w:b/>
                <w:bCs/>
                <w:sz w:val="20"/>
                <w:szCs w:val="20"/>
              </w:rPr>
              <w:t>Incremental cost case avoided</w:t>
            </w:r>
          </w:p>
        </w:tc>
        <w:tc>
          <w:tcPr>
            <w:tcW w:w="1306" w:type="pct"/>
            <w:tcBorders>
              <w:left w:val="single" w:sz="4" w:space="0" w:color="000000"/>
            </w:tcBorders>
            <w:vAlign w:val="center"/>
          </w:tcPr>
          <w:p w14:paraId="5EB7572F" w14:textId="5CD3B662" w:rsidR="006A1AFC" w:rsidRPr="007E742B" w:rsidRDefault="0002394B" w:rsidP="00120D61">
            <w:pPr>
              <w:keepNext/>
              <w:jc w:val="center"/>
              <w:rPr>
                <w:rFonts w:ascii="Arial Narrow" w:hAnsi="Arial Narrow" w:cs="Calibri"/>
                <w:color w:val="000000"/>
                <w:sz w:val="20"/>
                <w:szCs w:val="20"/>
                <w:vertAlign w:val="superscript"/>
              </w:rPr>
            </w:pPr>
            <w:r>
              <w:rPr>
                <w:rFonts w:ascii="Arial Narrow" w:hAnsi="Arial Narrow" w:cs="Calibri"/>
                <w:b/>
                <w:bCs/>
                <w:color w:val="000000"/>
                <w:sz w:val="20"/>
                <w:szCs w:val="20"/>
              </w:rPr>
              <w:t>$</w:t>
            </w:r>
            <w:r w:rsidR="004B5AFE" w:rsidRPr="004B5AFE">
              <w:rPr>
                <w:rFonts w:ascii="Arial Narrow" w:hAnsi="Arial Narrow" w:cs="Calibri"/>
                <w:b/>
                <w:bCs/>
                <w:color w:val="000000"/>
                <w:sz w:val="20"/>
                <w:szCs w:val="20"/>
                <w:highlight w:val="black"/>
              </w:rPr>
              <w:t xml:space="preserve"> &amp;&amp;&amp;&amp;</w:t>
            </w:r>
            <w:r w:rsidR="007E742B">
              <w:rPr>
                <w:rFonts w:ascii="Arial Narrow" w:hAnsi="Arial Narrow" w:cs="Calibri"/>
                <w:color w:val="000000"/>
                <w:sz w:val="20"/>
                <w:szCs w:val="20"/>
                <w:vertAlign w:val="superscript"/>
              </w:rPr>
              <w:t>6</w:t>
            </w:r>
          </w:p>
        </w:tc>
      </w:tr>
      <w:tr w:rsidR="006A1AFC" w:rsidRPr="00885AB3" w14:paraId="2E65115B" w14:textId="77777777" w:rsidTr="00255A7F">
        <w:trPr>
          <w:cantSplit/>
        </w:trPr>
        <w:tc>
          <w:tcPr>
            <w:tcW w:w="5000" w:type="pct"/>
            <w:gridSpan w:val="4"/>
            <w:vAlign w:val="center"/>
          </w:tcPr>
          <w:p w14:paraId="08B1F733" w14:textId="77777777" w:rsidR="006A1AFC" w:rsidRPr="00885AB3" w:rsidRDefault="006A1AFC" w:rsidP="00120D61">
            <w:pPr>
              <w:keepNext/>
              <w:rPr>
                <w:rFonts w:ascii="Arial Narrow" w:eastAsia="Calibri" w:hAnsi="Arial Narrow"/>
                <w:b/>
                <w:bCs/>
                <w:sz w:val="20"/>
                <w:szCs w:val="20"/>
                <w:vertAlign w:val="superscript"/>
              </w:rPr>
            </w:pPr>
            <w:r w:rsidRPr="00885AB3">
              <w:rPr>
                <w:rFonts w:ascii="Arial Narrow" w:hAnsi="Arial Narrow"/>
                <w:b/>
                <w:bCs/>
                <w:sz w:val="20"/>
                <w:szCs w:val="20"/>
              </w:rPr>
              <w:t xml:space="preserve">Step 2: Data transformed into LY (18 months </w:t>
            </w:r>
            <w:r w:rsidRPr="00885AB3">
              <w:rPr>
                <w:rFonts w:ascii="Arial Narrow" w:hAnsi="Arial Narrow"/>
                <w:b/>
                <w:bCs/>
                <w:sz w:val="20"/>
                <w:szCs w:val="20"/>
                <w:vertAlign w:val="superscript"/>
              </w:rPr>
              <w:t>a</w:t>
            </w:r>
            <w:r w:rsidRPr="00885AB3">
              <w:rPr>
                <w:rFonts w:ascii="Arial Narrow" w:hAnsi="Arial Narrow"/>
                <w:b/>
                <w:bCs/>
                <w:sz w:val="20"/>
                <w:szCs w:val="20"/>
              </w:rPr>
              <w:t>)</w:t>
            </w:r>
          </w:p>
        </w:tc>
      </w:tr>
      <w:tr w:rsidR="006A1AFC" w:rsidRPr="00885AB3" w14:paraId="6C0DF2E1" w14:textId="77777777" w:rsidTr="00255A7F">
        <w:trPr>
          <w:cantSplit/>
        </w:trPr>
        <w:tc>
          <w:tcPr>
            <w:tcW w:w="1306" w:type="pct"/>
            <w:tcBorders>
              <w:right w:val="single" w:sz="4" w:space="0" w:color="000000"/>
            </w:tcBorders>
          </w:tcPr>
          <w:p w14:paraId="7657A1E1" w14:textId="77777777" w:rsidR="006A1AFC" w:rsidRPr="00885AB3" w:rsidRDefault="006A1AFC" w:rsidP="00120D61">
            <w:pPr>
              <w:keepNext/>
              <w:rPr>
                <w:rFonts w:ascii="Arial Narrow" w:hAnsi="Arial Narrow"/>
                <w:sz w:val="20"/>
                <w:szCs w:val="20"/>
              </w:rPr>
            </w:pPr>
            <w:r w:rsidRPr="00885AB3">
              <w:rPr>
                <w:rFonts w:ascii="Arial Narrow" w:hAnsi="Arial Narrow"/>
                <w:sz w:val="20"/>
                <w:szCs w:val="20"/>
              </w:rPr>
              <w:t>Costs</w:t>
            </w:r>
          </w:p>
        </w:tc>
        <w:tc>
          <w:tcPr>
            <w:tcW w:w="1232" w:type="pct"/>
            <w:tcBorders>
              <w:right w:val="single" w:sz="4" w:space="0" w:color="000000"/>
            </w:tcBorders>
            <w:vAlign w:val="center"/>
          </w:tcPr>
          <w:p w14:paraId="1AEA1C11" w14:textId="06681091" w:rsidR="006A1AFC" w:rsidRPr="00885AB3" w:rsidRDefault="006A1AFC" w:rsidP="00120D61">
            <w:pPr>
              <w:keepNext/>
              <w:jc w:val="center"/>
              <w:rPr>
                <w:rFonts w:ascii="Arial Narrow" w:hAnsi="Arial Narrow"/>
                <w:sz w:val="20"/>
                <w:szCs w:val="20"/>
              </w:rPr>
            </w:pPr>
            <w:r w:rsidRPr="00885AB3">
              <w:rPr>
                <w:rFonts w:ascii="Arial Narrow" w:eastAsia="PMingLiU" w:hAnsi="Arial Narrow"/>
                <w:sz w:val="20"/>
                <w:szCs w:val="20"/>
              </w:rPr>
              <w:t>$</w:t>
            </w:r>
            <w:r w:rsidR="004B5AFE" w:rsidRPr="004B5AFE">
              <w:rPr>
                <w:rFonts w:ascii="Arial Narrow" w:eastAsia="PMingLiU" w:hAnsi="Arial Narrow"/>
                <w:sz w:val="20"/>
                <w:szCs w:val="20"/>
                <w:highlight w:val="black"/>
              </w:rPr>
              <w:t xml:space="preserve"> &amp;&amp;&amp;&amp;</w:t>
            </w:r>
          </w:p>
        </w:tc>
        <w:tc>
          <w:tcPr>
            <w:tcW w:w="1156" w:type="pct"/>
            <w:tcBorders>
              <w:right w:val="single" w:sz="4" w:space="0" w:color="000000"/>
            </w:tcBorders>
            <w:vAlign w:val="center"/>
          </w:tcPr>
          <w:p w14:paraId="22437E3C" w14:textId="77777777" w:rsidR="006A1AFC" w:rsidRPr="00885AB3" w:rsidRDefault="006A1AFC" w:rsidP="00120D61">
            <w:pPr>
              <w:keepNext/>
              <w:jc w:val="center"/>
              <w:rPr>
                <w:rFonts w:ascii="Arial Narrow" w:hAnsi="Arial Narrow"/>
                <w:sz w:val="20"/>
                <w:szCs w:val="20"/>
              </w:rPr>
            </w:pPr>
            <w:r w:rsidRPr="00885AB3">
              <w:rPr>
                <w:rFonts w:ascii="Arial Narrow" w:eastAsia="PMingLiU" w:hAnsi="Arial Narrow"/>
                <w:sz w:val="20"/>
                <w:szCs w:val="20"/>
              </w:rPr>
              <w:t>$9,629,210</w:t>
            </w:r>
          </w:p>
        </w:tc>
        <w:tc>
          <w:tcPr>
            <w:tcW w:w="1306" w:type="pct"/>
            <w:tcBorders>
              <w:left w:val="single" w:sz="4" w:space="0" w:color="000000"/>
            </w:tcBorders>
            <w:vAlign w:val="center"/>
          </w:tcPr>
          <w:p w14:paraId="124E9745" w14:textId="60E59363" w:rsidR="006A1AFC" w:rsidRPr="00885AB3" w:rsidRDefault="006A1AFC" w:rsidP="00120D61">
            <w:pPr>
              <w:keepNext/>
              <w:jc w:val="center"/>
              <w:rPr>
                <w:rFonts w:ascii="Arial Narrow" w:eastAsia="Calibri" w:hAnsi="Arial Narrow"/>
                <w:b/>
                <w:sz w:val="20"/>
                <w:szCs w:val="20"/>
              </w:rPr>
            </w:pPr>
            <w:r w:rsidRPr="00885AB3">
              <w:rPr>
                <w:rFonts w:ascii="Arial Narrow" w:eastAsia="PMingLiU" w:hAnsi="Arial Narrow"/>
                <w:sz w:val="20"/>
                <w:szCs w:val="20"/>
              </w:rPr>
              <w:t>$</w:t>
            </w:r>
            <w:r w:rsidR="004B5AFE" w:rsidRPr="004B5AFE">
              <w:rPr>
                <w:rFonts w:ascii="Arial Narrow" w:eastAsia="PMingLiU" w:hAnsi="Arial Narrow"/>
                <w:sz w:val="20"/>
                <w:szCs w:val="20"/>
                <w:highlight w:val="black"/>
              </w:rPr>
              <w:t xml:space="preserve"> &amp;&amp;&amp;&amp;</w:t>
            </w:r>
          </w:p>
        </w:tc>
      </w:tr>
      <w:tr w:rsidR="006A1AFC" w:rsidRPr="00885AB3" w14:paraId="2FA679ED" w14:textId="77777777" w:rsidTr="00255A7F">
        <w:trPr>
          <w:cantSplit/>
        </w:trPr>
        <w:tc>
          <w:tcPr>
            <w:tcW w:w="1306" w:type="pct"/>
            <w:tcBorders>
              <w:right w:val="single" w:sz="4" w:space="0" w:color="000000"/>
            </w:tcBorders>
          </w:tcPr>
          <w:p w14:paraId="6E2B8025" w14:textId="77777777" w:rsidR="006A1AFC" w:rsidRPr="00885AB3" w:rsidRDefault="006A1AFC" w:rsidP="00120D61">
            <w:pPr>
              <w:keepNext/>
              <w:rPr>
                <w:rFonts w:ascii="Arial Narrow" w:hAnsi="Arial Narrow"/>
                <w:sz w:val="20"/>
                <w:szCs w:val="20"/>
              </w:rPr>
            </w:pPr>
            <w:r w:rsidRPr="00885AB3">
              <w:rPr>
                <w:rFonts w:ascii="Arial Narrow" w:hAnsi="Arial Narrow"/>
                <w:sz w:val="20"/>
                <w:szCs w:val="20"/>
              </w:rPr>
              <w:t>LY lost</w:t>
            </w:r>
          </w:p>
        </w:tc>
        <w:tc>
          <w:tcPr>
            <w:tcW w:w="1232" w:type="pct"/>
            <w:tcBorders>
              <w:right w:val="single" w:sz="4" w:space="0" w:color="000000"/>
            </w:tcBorders>
            <w:vAlign w:val="center"/>
          </w:tcPr>
          <w:p w14:paraId="15E0068D" w14:textId="77777777" w:rsidR="006A1AFC" w:rsidRPr="00885AB3" w:rsidRDefault="006A1AFC" w:rsidP="00120D61">
            <w:pPr>
              <w:keepNext/>
              <w:jc w:val="center"/>
              <w:rPr>
                <w:rFonts w:ascii="Arial Narrow" w:hAnsi="Arial Narrow"/>
                <w:sz w:val="20"/>
                <w:szCs w:val="20"/>
              </w:rPr>
            </w:pPr>
            <w:r w:rsidRPr="00885AB3">
              <w:rPr>
                <w:rFonts w:ascii="Arial Narrow" w:hAnsi="Arial Narrow"/>
                <w:sz w:val="20"/>
                <w:szCs w:val="20"/>
              </w:rPr>
              <w:t>20,039</w:t>
            </w:r>
          </w:p>
        </w:tc>
        <w:tc>
          <w:tcPr>
            <w:tcW w:w="1156" w:type="pct"/>
            <w:tcBorders>
              <w:right w:val="single" w:sz="4" w:space="0" w:color="000000"/>
            </w:tcBorders>
            <w:vAlign w:val="center"/>
          </w:tcPr>
          <w:p w14:paraId="4E68137B" w14:textId="77777777" w:rsidR="006A1AFC" w:rsidRPr="00885AB3" w:rsidRDefault="006A1AFC" w:rsidP="00120D61">
            <w:pPr>
              <w:keepNext/>
              <w:jc w:val="center"/>
              <w:rPr>
                <w:rFonts w:ascii="Arial Narrow" w:hAnsi="Arial Narrow"/>
                <w:sz w:val="20"/>
                <w:szCs w:val="20"/>
              </w:rPr>
            </w:pPr>
            <w:r w:rsidRPr="00885AB3">
              <w:rPr>
                <w:rFonts w:ascii="Arial Narrow" w:hAnsi="Arial Narrow"/>
                <w:sz w:val="20"/>
                <w:szCs w:val="20"/>
              </w:rPr>
              <w:t>20,128</w:t>
            </w:r>
          </w:p>
        </w:tc>
        <w:tc>
          <w:tcPr>
            <w:tcW w:w="1306" w:type="pct"/>
            <w:tcBorders>
              <w:left w:val="single" w:sz="4" w:space="0" w:color="000000"/>
            </w:tcBorders>
            <w:vAlign w:val="center"/>
          </w:tcPr>
          <w:p w14:paraId="09C041BC" w14:textId="77777777" w:rsidR="006A1AFC" w:rsidRPr="00885AB3" w:rsidRDefault="006A1AFC" w:rsidP="00120D61">
            <w:pPr>
              <w:keepNext/>
              <w:jc w:val="center"/>
              <w:rPr>
                <w:rFonts w:ascii="Arial Narrow" w:eastAsia="Calibri" w:hAnsi="Arial Narrow"/>
                <w:b/>
                <w:sz w:val="20"/>
                <w:szCs w:val="20"/>
              </w:rPr>
            </w:pPr>
            <w:r w:rsidRPr="00885AB3">
              <w:rPr>
                <w:rFonts w:ascii="Arial Narrow" w:hAnsi="Arial Narrow"/>
                <w:sz w:val="20"/>
                <w:szCs w:val="20"/>
              </w:rPr>
              <w:t>89</w:t>
            </w:r>
          </w:p>
        </w:tc>
      </w:tr>
      <w:tr w:rsidR="006A1AFC" w:rsidRPr="00885AB3" w14:paraId="77C673C2" w14:textId="77777777" w:rsidTr="00255A7F">
        <w:trPr>
          <w:cantSplit/>
          <w:trHeight w:val="96"/>
        </w:trPr>
        <w:tc>
          <w:tcPr>
            <w:tcW w:w="3694" w:type="pct"/>
            <w:gridSpan w:val="3"/>
            <w:tcBorders>
              <w:right w:val="single" w:sz="4" w:space="0" w:color="000000"/>
            </w:tcBorders>
            <w:vAlign w:val="center"/>
          </w:tcPr>
          <w:p w14:paraId="20A04E85" w14:textId="77777777" w:rsidR="006A1AFC" w:rsidRPr="00885AB3" w:rsidRDefault="006A1AFC" w:rsidP="00120D61">
            <w:pPr>
              <w:keepNext/>
              <w:rPr>
                <w:rFonts w:ascii="Arial Narrow" w:hAnsi="Arial Narrow"/>
                <w:b/>
                <w:bCs/>
                <w:sz w:val="20"/>
                <w:szCs w:val="20"/>
              </w:rPr>
            </w:pPr>
            <w:r w:rsidRPr="00885AB3">
              <w:rPr>
                <w:rFonts w:ascii="Arial Narrow" w:hAnsi="Arial Narrow"/>
                <w:b/>
                <w:bCs/>
                <w:sz w:val="20"/>
                <w:szCs w:val="20"/>
              </w:rPr>
              <w:t>Incremental cost per life year gained</w:t>
            </w:r>
          </w:p>
        </w:tc>
        <w:tc>
          <w:tcPr>
            <w:tcW w:w="1306" w:type="pct"/>
            <w:tcBorders>
              <w:left w:val="single" w:sz="4" w:space="0" w:color="000000"/>
            </w:tcBorders>
            <w:vAlign w:val="center"/>
          </w:tcPr>
          <w:p w14:paraId="40F0FA7D" w14:textId="5106D6F8" w:rsidR="006A1AFC" w:rsidRPr="00AA2DF5" w:rsidRDefault="006A1AFC" w:rsidP="00120D61">
            <w:pPr>
              <w:keepNext/>
              <w:jc w:val="center"/>
              <w:rPr>
                <w:rFonts w:ascii="Arial Narrow" w:hAnsi="Arial Narrow" w:cs="Calibri"/>
                <w:sz w:val="20"/>
                <w:szCs w:val="20"/>
                <w:vertAlign w:val="superscript"/>
              </w:rPr>
            </w:pPr>
            <w:r w:rsidRPr="00885AB3">
              <w:rPr>
                <w:rFonts w:ascii="Arial Narrow" w:eastAsia="PMingLiU" w:hAnsi="Arial Narrow" w:cs="Calibri"/>
                <w:b/>
                <w:bCs/>
                <w:sz w:val="20"/>
                <w:szCs w:val="20"/>
              </w:rPr>
              <w:t>$</w:t>
            </w:r>
            <w:r w:rsidR="004B5AFE" w:rsidRPr="004B5AFE">
              <w:rPr>
                <w:rFonts w:ascii="Arial Narrow" w:eastAsia="PMingLiU" w:hAnsi="Arial Narrow" w:cs="Calibri"/>
                <w:b/>
                <w:bCs/>
                <w:sz w:val="20"/>
                <w:szCs w:val="20"/>
                <w:highlight w:val="black"/>
              </w:rPr>
              <w:t xml:space="preserve"> &amp;&amp;&amp;&amp;</w:t>
            </w:r>
            <w:r w:rsidR="00AA2DF5">
              <w:rPr>
                <w:rFonts w:ascii="Arial Narrow" w:eastAsia="PMingLiU" w:hAnsi="Arial Narrow" w:cs="Calibri"/>
                <w:sz w:val="20"/>
                <w:szCs w:val="20"/>
                <w:vertAlign w:val="superscript"/>
              </w:rPr>
              <w:t>7</w:t>
            </w:r>
          </w:p>
        </w:tc>
      </w:tr>
      <w:tr w:rsidR="006A1AFC" w:rsidRPr="00885AB3" w14:paraId="1384F1F1" w14:textId="77777777" w:rsidTr="00255A7F">
        <w:trPr>
          <w:cantSplit/>
        </w:trPr>
        <w:tc>
          <w:tcPr>
            <w:tcW w:w="5000" w:type="pct"/>
            <w:gridSpan w:val="4"/>
            <w:vAlign w:val="center"/>
          </w:tcPr>
          <w:p w14:paraId="1353DE54" w14:textId="77777777" w:rsidR="006A1AFC" w:rsidRPr="00885AB3" w:rsidRDefault="006A1AFC" w:rsidP="00120D61">
            <w:pPr>
              <w:keepNext/>
              <w:rPr>
                <w:rFonts w:ascii="Arial Narrow" w:hAnsi="Arial Narrow"/>
                <w:b/>
                <w:bCs/>
                <w:sz w:val="20"/>
                <w:szCs w:val="20"/>
                <w:vertAlign w:val="superscript"/>
              </w:rPr>
            </w:pPr>
            <w:r w:rsidRPr="00885AB3">
              <w:rPr>
                <w:rFonts w:ascii="Arial Narrow" w:hAnsi="Arial Narrow"/>
                <w:b/>
                <w:bCs/>
                <w:sz w:val="20"/>
                <w:szCs w:val="20"/>
              </w:rPr>
              <w:t xml:space="preserve">Step 3: Applied utility values (18 months </w:t>
            </w:r>
            <w:r w:rsidRPr="00885AB3">
              <w:rPr>
                <w:rFonts w:ascii="Arial Narrow" w:hAnsi="Arial Narrow"/>
                <w:b/>
                <w:bCs/>
                <w:sz w:val="20"/>
                <w:szCs w:val="20"/>
                <w:vertAlign w:val="superscript"/>
              </w:rPr>
              <w:t>a</w:t>
            </w:r>
            <w:r w:rsidRPr="00885AB3">
              <w:rPr>
                <w:rFonts w:ascii="Arial Narrow" w:hAnsi="Arial Narrow"/>
                <w:b/>
                <w:bCs/>
                <w:sz w:val="20"/>
                <w:szCs w:val="20"/>
              </w:rPr>
              <w:t>)</w:t>
            </w:r>
          </w:p>
        </w:tc>
      </w:tr>
      <w:tr w:rsidR="006A1AFC" w:rsidRPr="00885AB3" w14:paraId="74F9E09C" w14:textId="77777777" w:rsidTr="00255A7F">
        <w:trPr>
          <w:cantSplit/>
        </w:trPr>
        <w:tc>
          <w:tcPr>
            <w:tcW w:w="1306" w:type="pct"/>
            <w:tcBorders>
              <w:right w:val="single" w:sz="4" w:space="0" w:color="000000"/>
            </w:tcBorders>
          </w:tcPr>
          <w:p w14:paraId="6E427195" w14:textId="77777777" w:rsidR="006A1AFC" w:rsidRPr="00885AB3" w:rsidDel="00894160" w:rsidRDefault="006A1AFC" w:rsidP="00120D61">
            <w:pPr>
              <w:keepNext/>
              <w:rPr>
                <w:rFonts w:ascii="Arial Narrow" w:hAnsi="Arial Narrow"/>
                <w:sz w:val="20"/>
                <w:szCs w:val="20"/>
              </w:rPr>
            </w:pPr>
            <w:r w:rsidRPr="00885AB3">
              <w:rPr>
                <w:rFonts w:ascii="Arial Narrow" w:hAnsi="Arial Narrow"/>
                <w:sz w:val="20"/>
                <w:szCs w:val="20"/>
              </w:rPr>
              <w:t>Costs</w:t>
            </w:r>
          </w:p>
        </w:tc>
        <w:tc>
          <w:tcPr>
            <w:tcW w:w="1232" w:type="pct"/>
            <w:tcBorders>
              <w:right w:val="single" w:sz="4" w:space="0" w:color="000000"/>
            </w:tcBorders>
            <w:vAlign w:val="center"/>
          </w:tcPr>
          <w:p w14:paraId="060C4277" w14:textId="3FADA287" w:rsidR="006A1AFC" w:rsidRPr="00885AB3" w:rsidRDefault="006A1AFC" w:rsidP="00120D61">
            <w:pPr>
              <w:keepNext/>
              <w:jc w:val="center"/>
              <w:rPr>
                <w:rFonts w:ascii="Arial Narrow" w:hAnsi="Arial Narrow"/>
                <w:sz w:val="20"/>
                <w:szCs w:val="20"/>
              </w:rPr>
            </w:pPr>
            <w:r w:rsidRPr="00885AB3">
              <w:rPr>
                <w:rFonts w:ascii="Arial Narrow" w:eastAsia="PMingLiU" w:hAnsi="Arial Narrow"/>
                <w:sz w:val="20"/>
                <w:szCs w:val="20"/>
              </w:rPr>
              <w:t>$</w:t>
            </w:r>
            <w:r w:rsidR="004B5AFE" w:rsidRPr="004B5AFE">
              <w:rPr>
                <w:rFonts w:ascii="Arial Narrow" w:eastAsia="PMingLiU" w:hAnsi="Arial Narrow"/>
                <w:sz w:val="20"/>
                <w:szCs w:val="20"/>
                <w:highlight w:val="black"/>
              </w:rPr>
              <w:t xml:space="preserve"> &amp;&amp;&amp;&amp;</w:t>
            </w:r>
          </w:p>
        </w:tc>
        <w:tc>
          <w:tcPr>
            <w:tcW w:w="1156" w:type="pct"/>
            <w:tcBorders>
              <w:right w:val="single" w:sz="4" w:space="0" w:color="000000"/>
            </w:tcBorders>
            <w:vAlign w:val="center"/>
          </w:tcPr>
          <w:p w14:paraId="1F5E80E9" w14:textId="77777777" w:rsidR="006A1AFC" w:rsidRPr="00885AB3" w:rsidRDefault="006A1AFC" w:rsidP="00120D61">
            <w:pPr>
              <w:keepNext/>
              <w:jc w:val="center"/>
              <w:rPr>
                <w:rFonts w:ascii="Arial Narrow" w:hAnsi="Arial Narrow"/>
                <w:sz w:val="20"/>
                <w:szCs w:val="20"/>
              </w:rPr>
            </w:pPr>
            <w:r w:rsidRPr="00885AB3">
              <w:rPr>
                <w:rFonts w:ascii="Arial Narrow" w:eastAsia="PMingLiU" w:hAnsi="Arial Narrow"/>
                <w:sz w:val="20"/>
                <w:szCs w:val="20"/>
              </w:rPr>
              <w:t>$9,629,210</w:t>
            </w:r>
          </w:p>
        </w:tc>
        <w:tc>
          <w:tcPr>
            <w:tcW w:w="1306" w:type="pct"/>
            <w:tcBorders>
              <w:left w:val="single" w:sz="4" w:space="0" w:color="000000"/>
            </w:tcBorders>
            <w:vAlign w:val="center"/>
          </w:tcPr>
          <w:p w14:paraId="07842E89" w14:textId="6CABEAAF" w:rsidR="006A1AFC" w:rsidRPr="00885AB3" w:rsidRDefault="006A1AFC" w:rsidP="00120D61">
            <w:pPr>
              <w:keepNext/>
              <w:jc w:val="center"/>
              <w:rPr>
                <w:rFonts w:ascii="Arial Narrow" w:hAnsi="Arial Narrow"/>
                <w:sz w:val="20"/>
                <w:szCs w:val="20"/>
              </w:rPr>
            </w:pPr>
            <w:r w:rsidRPr="00885AB3">
              <w:rPr>
                <w:rFonts w:ascii="Arial Narrow" w:eastAsia="PMingLiU" w:hAnsi="Arial Narrow"/>
                <w:sz w:val="20"/>
                <w:szCs w:val="20"/>
              </w:rPr>
              <w:t>$</w:t>
            </w:r>
            <w:r w:rsidR="004B5AFE" w:rsidRPr="004B5AFE">
              <w:rPr>
                <w:rFonts w:ascii="Arial Narrow" w:eastAsia="PMingLiU" w:hAnsi="Arial Narrow"/>
                <w:sz w:val="20"/>
                <w:szCs w:val="20"/>
                <w:highlight w:val="black"/>
              </w:rPr>
              <w:t xml:space="preserve"> &amp;&amp;&amp;&amp;</w:t>
            </w:r>
          </w:p>
        </w:tc>
      </w:tr>
      <w:tr w:rsidR="006A1AFC" w:rsidRPr="00885AB3" w14:paraId="650E8B19" w14:textId="77777777" w:rsidTr="00255A7F">
        <w:trPr>
          <w:cantSplit/>
        </w:trPr>
        <w:tc>
          <w:tcPr>
            <w:tcW w:w="1306" w:type="pct"/>
            <w:tcBorders>
              <w:right w:val="single" w:sz="4" w:space="0" w:color="000000"/>
            </w:tcBorders>
          </w:tcPr>
          <w:p w14:paraId="312AAC45" w14:textId="77777777" w:rsidR="006A1AFC" w:rsidRPr="00885AB3" w:rsidDel="00894160" w:rsidRDefault="006A1AFC" w:rsidP="00120D61">
            <w:pPr>
              <w:keepNext/>
              <w:rPr>
                <w:rFonts w:ascii="Arial Narrow" w:hAnsi="Arial Narrow"/>
                <w:sz w:val="20"/>
                <w:szCs w:val="20"/>
              </w:rPr>
            </w:pPr>
            <w:r w:rsidRPr="00885AB3">
              <w:rPr>
                <w:rFonts w:ascii="Arial Narrow" w:hAnsi="Arial Narrow"/>
                <w:sz w:val="20"/>
                <w:szCs w:val="20"/>
              </w:rPr>
              <w:t>QALYs lost</w:t>
            </w:r>
          </w:p>
        </w:tc>
        <w:tc>
          <w:tcPr>
            <w:tcW w:w="1232" w:type="pct"/>
            <w:tcBorders>
              <w:right w:val="single" w:sz="4" w:space="0" w:color="000000"/>
            </w:tcBorders>
            <w:vAlign w:val="center"/>
          </w:tcPr>
          <w:p w14:paraId="4D1FA69C" w14:textId="77777777" w:rsidR="006A1AFC" w:rsidRPr="00885AB3" w:rsidRDefault="006A1AFC" w:rsidP="00120D61">
            <w:pPr>
              <w:keepNext/>
              <w:jc w:val="center"/>
              <w:rPr>
                <w:rFonts w:ascii="Arial Narrow" w:hAnsi="Arial Narrow"/>
                <w:sz w:val="20"/>
                <w:szCs w:val="20"/>
              </w:rPr>
            </w:pPr>
            <w:r w:rsidRPr="00885AB3">
              <w:rPr>
                <w:rFonts w:ascii="Arial Narrow" w:hAnsi="Arial Narrow"/>
                <w:sz w:val="20"/>
                <w:szCs w:val="20"/>
              </w:rPr>
              <w:t>20,039</w:t>
            </w:r>
          </w:p>
        </w:tc>
        <w:tc>
          <w:tcPr>
            <w:tcW w:w="1156" w:type="pct"/>
            <w:tcBorders>
              <w:right w:val="single" w:sz="4" w:space="0" w:color="000000"/>
            </w:tcBorders>
            <w:vAlign w:val="center"/>
          </w:tcPr>
          <w:p w14:paraId="52479CD1" w14:textId="77777777" w:rsidR="006A1AFC" w:rsidRPr="00885AB3" w:rsidRDefault="006A1AFC" w:rsidP="00120D61">
            <w:pPr>
              <w:keepNext/>
              <w:jc w:val="center"/>
              <w:rPr>
                <w:rFonts w:ascii="Arial Narrow" w:hAnsi="Arial Narrow"/>
                <w:sz w:val="20"/>
                <w:szCs w:val="20"/>
              </w:rPr>
            </w:pPr>
            <w:r w:rsidRPr="00885AB3">
              <w:rPr>
                <w:rFonts w:ascii="Arial Narrow" w:hAnsi="Arial Narrow"/>
                <w:sz w:val="20"/>
                <w:szCs w:val="20"/>
              </w:rPr>
              <w:t>20,128</w:t>
            </w:r>
          </w:p>
        </w:tc>
        <w:tc>
          <w:tcPr>
            <w:tcW w:w="1306" w:type="pct"/>
            <w:tcBorders>
              <w:left w:val="single" w:sz="4" w:space="0" w:color="000000"/>
            </w:tcBorders>
            <w:vAlign w:val="center"/>
          </w:tcPr>
          <w:p w14:paraId="2057D837" w14:textId="56C9CB73" w:rsidR="006A1AFC" w:rsidRPr="00885AB3" w:rsidRDefault="006A1AFC" w:rsidP="00120D61">
            <w:pPr>
              <w:keepNext/>
              <w:jc w:val="center"/>
              <w:rPr>
                <w:rFonts w:ascii="Arial Narrow" w:hAnsi="Arial Narrow"/>
                <w:sz w:val="20"/>
                <w:szCs w:val="20"/>
              </w:rPr>
            </w:pPr>
            <w:r w:rsidRPr="00885AB3">
              <w:rPr>
                <w:rFonts w:ascii="Arial Narrow" w:hAnsi="Arial Narrow"/>
                <w:sz w:val="20"/>
                <w:szCs w:val="20"/>
              </w:rPr>
              <w:t>89</w:t>
            </w:r>
          </w:p>
        </w:tc>
      </w:tr>
      <w:tr w:rsidR="006A1AFC" w:rsidRPr="00885AB3" w14:paraId="42205E14" w14:textId="77777777" w:rsidTr="00255A7F">
        <w:trPr>
          <w:cantSplit/>
        </w:trPr>
        <w:tc>
          <w:tcPr>
            <w:tcW w:w="3694" w:type="pct"/>
            <w:gridSpan w:val="3"/>
            <w:tcBorders>
              <w:right w:val="single" w:sz="4" w:space="0" w:color="000000"/>
            </w:tcBorders>
            <w:vAlign w:val="center"/>
          </w:tcPr>
          <w:p w14:paraId="79FB251B" w14:textId="77777777" w:rsidR="006A1AFC" w:rsidRPr="00885AB3" w:rsidRDefault="006A1AFC" w:rsidP="00120D61">
            <w:pPr>
              <w:keepNext/>
              <w:rPr>
                <w:rFonts w:ascii="Arial Narrow" w:hAnsi="Arial Narrow"/>
                <w:b/>
                <w:bCs/>
                <w:sz w:val="20"/>
                <w:szCs w:val="20"/>
              </w:rPr>
            </w:pPr>
            <w:r w:rsidRPr="00885AB3">
              <w:rPr>
                <w:rFonts w:ascii="Arial Narrow" w:hAnsi="Arial Narrow"/>
                <w:b/>
                <w:bCs/>
                <w:sz w:val="20"/>
                <w:szCs w:val="20"/>
              </w:rPr>
              <w:t>Incremental cost per QALY gained</w:t>
            </w:r>
          </w:p>
        </w:tc>
        <w:tc>
          <w:tcPr>
            <w:tcW w:w="1306" w:type="pct"/>
            <w:tcBorders>
              <w:left w:val="single" w:sz="4" w:space="0" w:color="000000"/>
            </w:tcBorders>
            <w:vAlign w:val="center"/>
          </w:tcPr>
          <w:p w14:paraId="32CB73A5" w14:textId="2004A550" w:rsidR="006A1AFC" w:rsidRPr="000F61A9" w:rsidRDefault="006A1AFC" w:rsidP="00120D61">
            <w:pPr>
              <w:keepNext/>
              <w:jc w:val="center"/>
              <w:rPr>
                <w:rFonts w:ascii="Arial Narrow" w:hAnsi="Arial Narrow" w:cs="Calibri"/>
                <w:sz w:val="20"/>
                <w:szCs w:val="20"/>
                <w:vertAlign w:val="superscript"/>
              </w:rPr>
            </w:pPr>
            <w:r w:rsidRPr="00885AB3">
              <w:rPr>
                <w:rFonts w:ascii="Arial Narrow" w:eastAsia="PMingLiU" w:hAnsi="Arial Narrow" w:cs="Calibri"/>
                <w:b/>
                <w:bCs/>
                <w:sz w:val="20"/>
                <w:szCs w:val="20"/>
              </w:rPr>
              <w:t>$</w:t>
            </w:r>
            <w:r w:rsidR="004B5AFE" w:rsidRPr="004B5AFE">
              <w:rPr>
                <w:rFonts w:ascii="Arial Narrow" w:eastAsia="PMingLiU" w:hAnsi="Arial Narrow" w:cs="Calibri"/>
                <w:b/>
                <w:bCs/>
                <w:sz w:val="20"/>
                <w:szCs w:val="20"/>
                <w:highlight w:val="black"/>
              </w:rPr>
              <w:t xml:space="preserve"> &amp;&amp;&amp;&amp;</w:t>
            </w:r>
            <w:r w:rsidR="000F61A9">
              <w:rPr>
                <w:rFonts w:ascii="Arial Narrow" w:eastAsia="PMingLiU" w:hAnsi="Arial Narrow" w:cs="Calibri"/>
                <w:sz w:val="20"/>
                <w:szCs w:val="20"/>
                <w:vertAlign w:val="superscript"/>
              </w:rPr>
              <w:t>3</w:t>
            </w:r>
          </w:p>
        </w:tc>
      </w:tr>
      <w:tr w:rsidR="006A1AFC" w:rsidRPr="00885AB3" w14:paraId="3B93AF18" w14:textId="77777777" w:rsidTr="00255A7F">
        <w:trPr>
          <w:cantSplit/>
        </w:trPr>
        <w:tc>
          <w:tcPr>
            <w:tcW w:w="5000" w:type="pct"/>
            <w:gridSpan w:val="4"/>
            <w:vAlign w:val="center"/>
          </w:tcPr>
          <w:p w14:paraId="6EC5F6A3" w14:textId="77777777" w:rsidR="006A1AFC" w:rsidRPr="00885AB3" w:rsidRDefault="006A1AFC" w:rsidP="00120D61">
            <w:pPr>
              <w:keepNext/>
              <w:rPr>
                <w:rFonts w:ascii="Arial Narrow" w:hAnsi="Arial Narrow"/>
                <w:b/>
                <w:bCs/>
                <w:sz w:val="20"/>
                <w:szCs w:val="20"/>
              </w:rPr>
            </w:pPr>
            <w:r w:rsidRPr="00885AB3">
              <w:rPr>
                <w:rFonts w:ascii="Arial Narrow" w:hAnsi="Arial Narrow"/>
                <w:b/>
                <w:bCs/>
                <w:sz w:val="20"/>
                <w:szCs w:val="20"/>
              </w:rPr>
              <w:t xml:space="preserve">Step 4: Extrapolate VE to 5-year time horizon </w:t>
            </w:r>
          </w:p>
        </w:tc>
      </w:tr>
      <w:tr w:rsidR="006A1AFC" w:rsidRPr="00885AB3" w14:paraId="1BEDE7CD" w14:textId="77777777" w:rsidTr="00255A7F">
        <w:trPr>
          <w:cantSplit/>
        </w:trPr>
        <w:tc>
          <w:tcPr>
            <w:tcW w:w="1306" w:type="pct"/>
            <w:tcBorders>
              <w:right w:val="single" w:sz="4" w:space="0" w:color="000000"/>
            </w:tcBorders>
          </w:tcPr>
          <w:p w14:paraId="2BB10A81" w14:textId="77777777" w:rsidR="006A1AFC" w:rsidRPr="00885AB3" w:rsidRDefault="006A1AFC" w:rsidP="00120D61">
            <w:pPr>
              <w:keepNext/>
              <w:rPr>
                <w:rFonts w:ascii="Arial Narrow" w:hAnsi="Arial Narrow"/>
                <w:b/>
                <w:bCs/>
                <w:sz w:val="20"/>
                <w:szCs w:val="20"/>
              </w:rPr>
            </w:pPr>
            <w:r w:rsidRPr="00885AB3">
              <w:rPr>
                <w:rFonts w:ascii="Arial Narrow" w:hAnsi="Arial Narrow"/>
                <w:sz w:val="20"/>
                <w:szCs w:val="20"/>
              </w:rPr>
              <w:t>Costs</w:t>
            </w:r>
          </w:p>
        </w:tc>
        <w:tc>
          <w:tcPr>
            <w:tcW w:w="1232" w:type="pct"/>
            <w:tcBorders>
              <w:right w:val="single" w:sz="4" w:space="0" w:color="000000"/>
            </w:tcBorders>
            <w:vAlign w:val="center"/>
          </w:tcPr>
          <w:p w14:paraId="41ECC816" w14:textId="4EC62238" w:rsidR="006A1AFC" w:rsidRPr="00885AB3" w:rsidRDefault="006A1AFC" w:rsidP="00120D61">
            <w:pPr>
              <w:keepNext/>
              <w:jc w:val="center"/>
              <w:rPr>
                <w:rFonts w:ascii="Arial Narrow" w:hAnsi="Arial Narrow"/>
                <w:sz w:val="20"/>
                <w:szCs w:val="20"/>
              </w:rPr>
            </w:pPr>
            <w:r w:rsidRPr="00885AB3">
              <w:rPr>
                <w:rFonts w:ascii="Arial Narrow" w:hAnsi="Arial Narrow"/>
                <w:sz w:val="20"/>
                <w:szCs w:val="20"/>
              </w:rPr>
              <w:t>$</w:t>
            </w:r>
            <w:r w:rsidR="004B5AFE" w:rsidRPr="004B5AFE">
              <w:rPr>
                <w:rFonts w:ascii="Arial Narrow" w:hAnsi="Arial Narrow"/>
                <w:sz w:val="20"/>
                <w:szCs w:val="20"/>
                <w:highlight w:val="black"/>
              </w:rPr>
              <w:t xml:space="preserve"> &amp;&amp;&amp;&amp;</w:t>
            </w:r>
          </w:p>
        </w:tc>
        <w:tc>
          <w:tcPr>
            <w:tcW w:w="1156" w:type="pct"/>
            <w:tcBorders>
              <w:right w:val="single" w:sz="4" w:space="0" w:color="000000"/>
            </w:tcBorders>
            <w:vAlign w:val="center"/>
          </w:tcPr>
          <w:p w14:paraId="33C4C9F0" w14:textId="77777777" w:rsidR="006A1AFC" w:rsidRPr="00885AB3" w:rsidRDefault="006A1AFC" w:rsidP="00120D61">
            <w:pPr>
              <w:keepNext/>
              <w:jc w:val="center"/>
              <w:rPr>
                <w:rFonts w:ascii="Arial Narrow" w:hAnsi="Arial Narrow"/>
                <w:sz w:val="20"/>
                <w:szCs w:val="20"/>
              </w:rPr>
            </w:pPr>
            <w:r w:rsidRPr="00885AB3">
              <w:rPr>
                <w:rFonts w:ascii="Arial Narrow" w:hAnsi="Arial Narrow"/>
                <w:sz w:val="20"/>
                <w:szCs w:val="20"/>
              </w:rPr>
              <w:t>$22,582,484</w:t>
            </w:r>
          </w:p>
        </w:tc>
        <w:tc>
          <w:tcPr>
            <w:tcW w:w="1306" w:type="pct"/>
            <w:tcBorders>
              <w:left w:val="single" w:sz="4" w:space="0" w:color="000000"/>
            </w:tcBorders>
            <w:vAlign w:val="center"/>
          </w:tcPr>
          <w:p w14:paraId="1F83BCC7" w14:textId="198CFF06" w:rsidR="006A1AFC" w:rsidRPr="00885AB3" w:rsidRDefault="006A1AFC" w:rsidP="00120D61">
            <w:pPr>
              <w:keepNext/>
              <w:jc w:val="center"/>
              <w:rPr>
                <w:rFonts w:ascii="Arial Narrow" w:hAnsi="Arial Narrow"/>
                <w:sz w:val="20"/>
                <w:szCs w:val="20"/>
              </w:rPr>
            </w:pPr>
            <w:r w:rsidRPr="00885AB3">
              <w:rPr>
                <w:rFonts w:ascii="Arial Narrow" w:hAnsi="Arial Narrow"/>
                <w:sz w:val="20"/>
                <w:szCs w:val="20"/>
              </w:rPr>
              <w:t>$</w:t>
            </w:r>
            <w:r w:rsidR="004B5AFE" w:rsidRPr="004B5AFE">
              <w:rPr>
                <w:rFonts w:ascii="Arial Narrow" w:hAnsi="Arial Narrow"/>
                <w:sz w:val="20"/>
                <w:szCs w:val="20"/>
                <w:highlight w:val="black"/>
              </w:rPr>
              <w:t xml:space="preserve"> &amp;&amp;&amp;&amp;</w:t>
            </w:r>
          </w:p>
        </w:tc>
      </w:tr>
      <w:tr w:rsidR="006A1AFC" w:rsidRPr="00885AB3" w14:paraId="1CEAAAE1" w14:textId="77777777" w:rsidTr="00255A7F">
        <w:trPr>
          <w:cantSplit/>
        </w:trPr>
        <w:tc>
          <w:tcPr>
            <w:tcW w:w="1306" w:type="pct"/>
            <w:tcBorders>
              <w:right w:val="single" w:sz="4" w:space="0" w:color="000000"/>
            </w:tcBorders>
          </w:tcPr>
          <w:p w14:paraId="10E25E38" w14:textId="77777777" w:rsidR="006A1AFC" w:rsidRPr="00885AB3" w:rsidRDefault="006A1AFC" w:rsidP="00120D61">
            <w:pPr>
              <w:keepNext/>
              <w:rPr>
                <w:rFonts w:ascii="Arial Narrow" w:hAnsi="Arial Narrow"/>
                <w:sz w:val="20"/>
                <w:szCs w:val="20"/>
              </w:rPr>
            </w:pPr>
            <w:r w:rsidRPr="00885AB3">
              <w:rPr>
                <w:rFonts w:ascii="Arial Narrow" w:hAnsi="Arial Narrow"/>
                <w:sz w:val="20"/>
                <w:szCs w:val="20"/>
              </w:rPr>
              <w:t>LYs lost</w:t>
            </w:r>
          </w:p>
        </w:tc>
        <w:tc>
          <w:tcPr>
            <w:tcW w:w="1232" w:type="pct"/>
            <w:tcBorders>
              <w:right w:val="single" w:sz="4" w:space="0" w:color="000000"/>
            </w:tcBorders>
            <w:vAlign w:val="center"/>
          </w:tcPr>
          <w:p w14:paraId="57454D67" w14:textId="77777777" w:rsidR="006A1AFC" w:rsidRPr="00885AB3" w:rsidRDefault="006A1AFC" w:rsidP="00120D61">
            <w:pPr>
              <w:keepNext/>
              <w:jc w:val="center"/>
              <w:rPr>
                <w:rFonts w:ascii="Arial Narrow" w:hAnsi="Arial Narrow"/>
                <w:sz w:val="20"/>
                <w:szCs w:val="20"/>
              </w:rPr>
            </w:pPr>
            <w:r w:rsidRPr="00885AB3">
              <w:rPr>
                <w:rFonts w:ascii="Arial Narrow" w:hAnsi="Arial Narrow" w:cs="Calibri"/>
                <w:color w:val="000000"/>
                <w:sz w:val="20"/>
                <w:szCs w:val="20"/>
              </w:rPr>
              <w:t>49,435</w:t>
            </w:r>
          </w:p>
        </w:tc>
        <w:tc>
          <w:tcPr>
            <w:tcW w:w="1156" w:type="pct"/>
            <w:tcBorders>
              <w:right w:val="single" w:sz="4" w:space="0" w:color="000000"/>
            </w:tcBorders>
            <w:vAlign w:val="center"/>
          </w:tcPr>
          <w:p w14:paraId="18B75810" w14:textId="77777777" w:rsidR="006A1AFC" w:rsidRPr="00885AB3" w:rsidRDefault="006A1AFC" w:rsidP="00120D61">
            <w:pPr>
              <w:keepNext/>
              <w:jc w:val="center"/>
              <w:rPr>
                <w:rFonts w:ascii="Arial Narrow" w:hAnsi="Arial Narrow"/>
                <w:sz w:val="20"/>
                <w:szCs w:val="20"/>
              </w:rPr>
            </w:pPr>
            <w:r w:rsidRPr="00885AB3">
              <w:rPr>
                <w:rFonts w:ascii="Arial Narrow" w:hAnsi="Arial Narrow" w:cs="Calibri"/>
                <w:color w:val="000000"/>
                <w:sz w:val="20"/>
                <w:szCs w:val="20"/>
              </w:rPr>
              <w:t>49,589</w:t>
            </w:r>
          </w:p>
        </w:tc>
        <w:tc>
          <w:tcPr>
            <w:tcW w:w="1306" w:type="pct"/>
            <w:tcBorders>
              <w:left w:val="single" w:sz="4" w:space="0" w:color="000000"/>
            </w:tcBorders>
            <w:vAlign w:val="center"/>
          </w:tcPr>
          <w:p w14:paraId="4CBA2A04" w14:textId="77777777" w:rsidR="006A1AFC" w:rsidRPr="00885AB3" w:rsidRDefault="006A1AFC" w:rsidP="00120D61">
            <w:pPr>
              <w:keepNext/>
              <w:jc w:val="center"/>
              <w:rPr>
                <w:rFonts w:ascii="Arial Narrow" w:hAnsi="Arial Narrow"/>
                <w:sz w:val="20"/>
                <w:szCs w:val="20"/>
              </w:rPr>
            </w:pPr>
            <w:r w:rsidRPr="00885AB3">
              <w:rPr>
                <w:rFonts w:ascii="Arial Narrow" w:hAnsi="Arial Narrow" w:cs="Calibri"/>
                <w:color w:val="000000"/>
                <w:sz w:val="20"/>
                <w:szCs w:val="20"/>
              </w:rPr>
              <w:t>155</w:t>
            </w:r>
          </w:p>
        </w:tc>
      </w:tr>
      <w:tr w:rsidR="006A1AFC" w:rsidRPr="00885AB3" w14:paraId="50C95F60" w14:textId="77777777" w:rsidTr="00255A7F">
        <w:trPr>
          <w:cantSplit/>
        </w:trPr>
        <w:tc>
          <w:tcPr>
            <w:tcW w:w="1306" w:type="pct"/>
            <w:tcBorders>
              <w:right w:val="single" w:sz="4" w:space="0" w:color="000000"/>
            </w:tcBorders>
          </w:tcPr>
          <w:p w14:paraId="71AA41E4" w14:textId="77777777" w:rsidR="006A1AFC" w:rsidRPr="00885AB3" w:rsidRDefault="006A1AFC" w:rsidP="00120D61">
            <w:pPr>
              <w:keepNext/>
              <w:rPr>
                <w:rFonts w:ascii="Arial Narrow" w:hAnsi="Arial Narrow"/>
                <w:b/>
                <w:bCs/>
                <w:sz w:val="20"/>
                <w:szCs w:val="20"/>
              </w:rPr>
            </w:pPr>
            <w:r w:rsidRPr="00885AB3">
              <w:rPr>
                <w:rFonts w:ascii="Arial Narrow" w:hAnsi="Arial Narrow"/>
                <w:sz w:val="20"/>
                <w:szCs w:val="20"/>
              </w:rPr>
              <w:t>QALYs lost</w:t>
            </w:r>
          </w:p>
        </w:tc>
        <w:tc>
          <w:tcPr>
            <w:tcW w:w="1232" w:type="pct"/>
            <w:tcBorders>
              <w:right w:val="single" w:sz="4" w:space="0" w:color="000000"/>
            </w:tcBorders>
            <w:vAlign w:val="center"/>
          </w:tcPr>
          <w:p w14:paraId="2BAEC4F6" w14:textId="77777777" w:rsidR="006A1AFC" w:rsidRPr="00885AB3" w:rsidRDefault="006A1AFC" w:rsidP="00120D61">
            <w:pPr>
              <w:keepNext/>
              <w:jc w:val="center"/>
              <w:rPr>
                <w:rFonts w:ascii="Arial Narrow" w:hAnsi="Arial Narrow"/>
                <w:sz w:val="20"/>
                <w:szCs w:val="20"/>
              </w:rPr>
            </w:pPr>
            <w:r w:rsidRPr="00885AB3">
              <w:rPr>
                <w:rFonts w:ascii="Arial Narrow" w:hAnsi="Arial Narrow"/>
                <w:sz w:val="20"/>
                <w:szCs w:val="20"/>
              </w:rPr>
              <w:t>43,555</w:t>
            </w:r>
          </w:p>
        </w:tc>
        <w:tc>
          <w:tcPr>
            <w:tcW w:w="1156" w:type="pct"/>
            <w:tcBorders>
              <w:right w:val="single" w:sz="4" w:space="0" w:color="000000"/>
            </w:tcBorders>
            <w:vAlign w:val="center"/>
          </w:tcPr>
          <w:p w14:paraId="6AC6D207" w14:textId="77777777" w:rsidR="006A1AFC" w:rsidRPr="00885AB3" w:rsidRDefault="006A1AFC" w:rsidP="00120D61">
            <w:pPr>
              <w:keepNext/>
              <w:jc w:val="center"/>
              <w:rPr>
                <w:rFonts w:ascii="Arial Narrow" w:hAnsi="Arial Narrow"/>
                <w:sz w:val="20"/>
                <w:szCs w:val="20"/>
              </w:rPr>
            </w:pPr>
            <w:r w:rsidRPr="00885AB3">
              <w:rPr>
                <w:rFonts w:ascii="Arial Narrow" w:hAnsi="Arial Narrow"/>
                <w:sz w:val="20"/>
                <w:szCs w:val="20"/>
              </w:rPr>
              <w:t>43,886</w:t>
            </w:r>
          </w:p>
        </w:tc>
        <w:tc>
          <w:tcPr>
            <w:tcW w:w="1306" w:type="pct"/>
            <w:tcBorders>
              <w:left w:val="single" w:sz="4" w:space="0" w:color="000000"/>
            </w:tcBorders>
            <w:vAlign w:val="center"/>
          </w:tcPr>
          <w:p w14:paraId="68744D61" w14:textId="77777777" w:rsidR="006A1AFC" w:rsidRPr="00885AB3" w:rsidRDefault="006A1AFC" w:rsidP="00120D61">
            <w:pPr>
              <w:keepNext/>
              <w:jc w:val="center"/>
              <w:rPr>
                <w:rFonts w:ascii="Arial Narrow" w:hAnsi="Arial Narrow"/>
                <w:sz w:val="20"/>
                <w:szCs w:val="20"/>
              </w:rPr>
            </w:pPr>
            <w:r w:rsidRPr="00885AB3">
              <w:rPr>
                <w:rFonts w:ascii="Arial Narrow" w:hAnsi="Arial Narrow"/>
                <w:sz w:val="20"/>
                <w:szCs w:val="20"/>
              </w:rPr>
              <w:t>331</w:t>
            </w:r>
          </w:p>
        </w:tc>
      </w:tr>
      <w:tr w:rsidR="006A1AFC" w:rsidRPr="00885AB3" w14:paraId="1FA570EA" w14:textId="77777777" w:rsidTr="00255A7F">
        <w:trPr>
          <w:cantSplit/>
        </w:trPr>
        <w:tc>
          <w:tcPr>
            <w:tcW w:w="3694" w:type="pct"/>
            <w:gridSpan w:val="3"/>
            <w:tcBorders>
              <w:right w:val="single" w:sz="4" w:space="0" w:color="000000"/>
            </w:tcBorders>
          </w:tcPr>
          <w:p w14:paraId="585CB73F" w14:textId="77777777" w:rsidR="006A1AFC" w:rsidRPr="00885AB3" w:rsidRDefault="006A1AFC" w:rsidP="00120D61">
            <w:pPr>
              <w:keepNext/>
              <w:rPr>
                <w:rFonts w:ascii="Arial Narrow" w:hAnsi="Arial Narrow"/>
                <w:b/>
                <w:bCs/>
                <w:sz w:val="20"/>
                <w:szCs w:val="20"/>
              </w:rPr>
            </w:pPr>
            <w:r w:rsidRPr="00885AB3">
              <w:rPr>
                <w:rFonts w:ascii="Arial Narrow" w:hAnsi="Arial Narrow"/>
                <w:b/>
                <w:sz w:val="20"/>
                <w:szCs w:val="20"/>
              </w:rPr>
              <w:t>Cost per LY gained</w:t>
            </w:r>
          </w:p>
        </w:tc>
        <w:tc>
          <w:tcPr>
            <w:tcW w:w="1306" w:type="pct"/>
            <w:tcBorders>
              <w:left w:val="single" w:sz="4" w:space="0" w:color="000000"/>
            </w:tcBorders>
            <w:vAlign w:val="bottom"/>
          </w:tcPr>
          <w:p w14:paraId="77EECFC3" w14:textId="5C6D8E95" w:rsidR="006A1AFC" w:rsidRPr="000F61A9" w:rsidRDefault="006A1AFC" w:rsidP="00120D61">
            <w:pPr>
              <w:keepNext/>
              <w:jc w:val="center"/>
              <w:rPr>
                <w:rFonts w:ascii="Arial Narrow" w:hAnsi="Arial Narrow"/>
                <w:sz w:val="20"/>
                <w:szCs w:val="20"/>
                <w:vertAlign w:val="superscript"/>
              </w:rPr>
            </w:pPr>
            <w:r w:rsidRPr="00885AB3">
              <w:rPr>
                <w:rFonts w:ascii="Arial Narrow" w:hAnsi="Arial Narrow" w:cs="Calibri"/>
                <w:sz w:val="20"/>
                <w:szCs w:val="20"/>
              </w:rPr>
              <w:t>$</w:t>
            </w:r>
            <w:r w:rsidR="004B5AFE" w:rsidRPr="004B5AFE">
              <w:rPr>
                <w:rFonts w:ascii="Arial Narrow" w:hAnsi="Arial Narrow" w:cs="Calibri"/>
                <w:sz w:val="20"/>
                <w:szCs w:val="20"/>
                <w:highlight w:val="black"/>
              </w:rPr>
              <w:t xml:space="preserve"> &amp;&amp;&amp;&amp;</w:t>
            </w:r>
            <w:r w:rsidR="000F61A9">
              <w:rPr>
                <w:rFonts w:ascii="Arial Narrow" w:hAnsi="Arial Narrow" w:cs="Calibri"/>
                <w:sz w:val="20"/>
                <w:szCs w:val="20"/>
                <w:vertAlign w:val="superscript"/>
              </w:rPr>
              <w:t>3</w:t>
            </w:r>
          </w:p>
        </w:tc>
      </w:tr>
      <w:tr w:rsidR="006A1AFC" w:rsidRPr="00885AB3" w14:paraId="18424CFF" w14:textId="77777777" w:rsidTr="00255A7F">
        <w:trPr>
          <w:cantSplit/>
        </w:trPr>
        <w:tc>
          <w:tcPr>
            <w:tcW w:w="3694" w:type="pct"/>
            <w:gridSpan w:val="3"/>
            <w:tcBorders>
              <w:right w:val="single" w:sz="4" w:space="0" w:color="000000"/>
            </w:tcBorders>
          </w:tcPr>
          <w:p w14:paraId="28E98B43" w14:textId="77777777" w:rsidR="006A1AFC" w:rsidRPr="00885AB3" w:rsidRDefault="006A1AFC" w:rsidP="00120D61">
            <w:pPr>
              <w:keepNext/>
              <w:rPr>
                <w:rFonts w:ascii="Arial Narrow" w:hAnsi="Arial Narrow"/>
                <w:b/>
                <w:bCs/>
                <w:sz w:val="20"/>
                <w:szCs w:val="20"/>
              </w:rPr>
            </w:pPr>
            <w:r w:rsidRPr="00885AB3">
              <w:rPr>
                <w:rFonts w:ascii="Arial Narrow" w:hAnsi="Arial Narrow"/>
                <w:b/>
                <w:bCs/>
                <w:sz w:val="20"/>
                <w:szCs w:val="20"/>
              </w:rPr>
              <w:t>Incremental cost per QALY</w:t>
            </w:r>
            <w:r w:rsidRPr="00885AB3" w:rsidDel="00894160">
              <w:rPr>
                <w:rFonts w:ascii="Arial Narrow" w:hAnsi="Arial Narrow"/>
                <w:b/>
                <w:bCs/>
                <w:sz w:val="20"/>
                <w:szCs w:val="20"/>
              </w:rPr>
              <w:t xml:space="preserve"> </w:t>
            </w:r>
            <w:r w:rsidRPr="00885AB3">
              <w:rPr>
                <w:rFonts w:ascii="Arial Narrow" w:hAnsi="Arial Narrow"/>
                <w:b/>
                <w:bCs/>
                <w:sz w:val="20"/>
                <w:szCs w:val="20"/>
              </w:rPr>
              <w:t>gained</w:t>
            </w:r>
            <w:r w:rsidRPr="00885AB3" w:rsidDel="00894160">
              <w:rPr>
                <w:rFonts w:ascii="Arial Narrow" w:hAnsi="Arial Narrow"/>
                <w:b/>
                <w:bCs/>
                <w:sz w:val="20"/>
                <w:szCs w:val="20"/>
              </w:rPr>
              <w:t xml:space="preserve"> </w:t>
            </w:r>
          </w:p>
        </w:tc>
        <w:tc>
          <w:tcPr>
            <w:tcW w:w="1306" w:type="pct"/>
            <w:tcBorders>
              <w:left w:val="single" w:sz="4" w:space="0" w:color="000000"/>
            </w:tcBorders>
            <w:vAlign w:val="center"/>
          </w:tcPr>
          <w:p w14:paraId="22906368" w14:textId="16B844CD" w:rsidR="006A1AFC" w:rsidRPr="00B46555" w:rsidRDefault="006A1AFC" w:rsidP="00120D61">
            <w:pPr>
              <w:keepNext/>
              <w:jc w:val="center"/>
              <w:rPr>
                <w:rFonts w:ascii="Arial Narrow" w:eastAsia="Calibri" w:hAnsi="Arial Narrow"/>
                <w:b/>
                <w:bCs/>
                <w:sz w:val="20"/>
                <w:szCs w:val="20"/>
                <w:vertAlign w:val="superscript"/>
              </w:rPr>
            </w:pPr>
            <w:r w:rsidRPr="00885AB3">
              <w:rPr>
                <w:rFonts w:ascii="Arial Narrow" w:hAnsi="Arial Narrow"/>
                <w:b/>
                <w:bCs/>
                <w:sz w:val="20"/>
                <w:szCs w:val="20"/>
              </w:rPr>
              <w:t>$</w:t>
            </w:r>
            <w:r w:rsidR="004B5AFE" w:rsidRPr="004B5AFE">
              <w:rPr>
                <w:rFonts w:ascii="Arial Narrow" w:hAnsi="Arial Narrow"/>
                <w:b/>
                <w:bCs/>
                <w:sz w:val="20"/>
                <w:szCs w:val="20"/>
                <w:highlight w:val="black"/>
              </w:rPr>
              <w:t xml:space="preserve"> &amp;&amp;&amp;&amp;</w:t>
            </w:r>
            <w:r w:rsidR="00B46555" w:rsidRPr="00B46555">
              <w:rPr>
                <w:rFonts w:ascii="Arial Narrow" w:hAnsi="Arial Narrow"/>
                <w:sz w:val="20"/>
                <w:szCs w:val="20"/>
                <w:vertAlign w:val="superscript"/>
              </w:rPr>
              <w:t>5</w:t>
            </w:r>
          </w:p>
        </w:tc>
      </w:tr>
    </w:tbl>
    <w:p w14:paraId="42909FAA" w14:textId="77777777" w:rsidR="006A1AFC" w:rsidRPr="00885AB3" w:rsidRDefault="006A1AFC" w:rsidP="00120D61">
      <w:pPr>
        <w:pStyle w:val="TableNotes"/>
        <w:keepNext/>
        <w:spacing w:after="0"/>
        <w:rPr>
          <w:szCs w:val="18"/>
        </w:rPr>
      </w:pPr>
      <w:r w:rsidRPr="00885AB3">
        <w:rPr>
          <w:szCs w:val="18"/>
        </w:rPr>
        <w:t>Source: Compiled during evaluation using Attachment 17B - Moderna RSV Model_v11.14_20250613_AUS_July 2025.</w:t>
      </w:r>
    </w:p>
    <w:p w14:paraId="414A0C1B" w14:textId="45D50EC3" w:rsidR="006A1AFC" w:rsidRPr="00885AB3" w:rsidRDefault="006A1AFC" w:rsidP="00120D61">
      <w:pPr>
        <w:pStyle w:val="TableNotes"/>
        <w:keepNext/>
        <w:spacing w:after="0"/>
        <w:ind w:right="-329"/>
        <w:rPr>
          <w:szCs w:val="18"/>
        </w:rPr>
      </w:pPr>
      <w:r w:rsidRPr="00885AB3">
        <w:rPr>
          <w:szCs w:val="18"/>
        </w:rPr>
        <w:t>LY = life years; QALYs = quality-adjusted life years; RSV-LRTD = respiratory syncytial virus-lower respiratory tract disease; YOA = years of age.</w:t>
      </w:r>
    </w:p>
    <w:p w14:paraId="50BF4F5C" w14:textId="1F2484C5" w:rsidR="006A1AFC" w:rsidRPr="00885AB3" w:rsidRDefault="006A1AFC" w:rsidP="00120D61">
      <w:pPr>
        <w:keepNext/>
        <w:rPr>
          <w:rFonts w:ascii="Arial Narrow" w:hAnsi="Arial Narrow"/>
          <w:sz w:val="18"/>
          <w:szCs w:val="18"/>
          <w:vertAlign w:val="superscript"/>
        </w:rPr>
      </w:pPr>
      <w:r w:rsidRPr="00885AB3">
        <w:rPr>
          <w:rFonts w:ascii="Arial Narrow" w:hAnsi="Arial Narrow"/>
          <w:sz w:val="18"/>
          <w:szCs w:val="18"/>
          <w:vertAlign w:val="superscript"/>
        </w:rPr>
        <w:t>a</w:t>
      </w:r>
      <w:r w:rsidRPr="00885AB3">
        <w:rPr>
          <w:rFonts w:ascii="Arial Narrow" w:hAnsi="Arial Narrow"/>
          <w:sz w:val="18"/>
          <w:szCs w:val="18"/>
        </w:rPr>
        <w:t xml:space="preserve"> </w:t>
      </w:r>
      <w:r w:rsidR="0052350E" w:rsidRPr="00885AB3">
        <w:rPr>
          <w:rFonts w:ascii="Arial Narrow" w:hAnsi="Arial Narrow"/>
          <w:sz w:val="18"/>
          <w:szCs w:val="18"/>
        </w:rPr>
        <w:t>B</w:t>
      </w:r>
      <w:r w:rsidRPr="00885AB3">
        <w:rPr>
          <w:rFonts w:ascii="Arial Narrow" w:hAnsi="Arial Narrow"/>
          <w:sz w:val="18"/>
          <w:szCs w:val="18"/>
        </w:rPr>
        <w:t>ased on 24 months per the model’s structure.</w:t>
      </w:r>
    </w:p>
    <w:p w14:paraId="695535E7" w14:textId="77777777" w:rsidR="003E79D8" w:rsidRDefault="006A1AFC" w:rsidP="00120D61">
      <w:pPr>
        <w:rPr>
          <w:rFonts w:ascii="Arial Narrow" w:hAnsi="Arial Narrow"/>
          <w:i/>
          <w:sz w:val="18"/>
          <w:szCs w:val="18"/>
        </w:rPr>
      </w:pPr>
      <w:r w:rsidRPr="00885AB3">
        <w:rPr>
          <w:rFonts w:ascii="Arial Narrow" w:hAnsi="Arial Narrow"/>
          <w:sz w:val="18"/>
          <w:szCs w:val="18"/>
          <w:vertAlign w:val="superscript"/>
        </w:rPr>
        <w:t xml:space="preserve">b </w:t>
      </w:r>
      <w:r w:rsidRPr="00885AB3">
        <w:rPr>
          <w:rFonts w:ascii="Arial Narrow" w:hAnsi="Arial Narrow"/>
          <w:sz w:val="18"/>
          <w:szCs w:val="18"/>
        </w:rPr>
        <w:t>In the Excel model, choosing high-risk only, then minimum age at 60 YOA and maximum age 74 YOA.</w:t>
      </w:r>
      <w:r w:rsidR="003E79D8" w:rsidRPr="003E79D8">
        <w:rPr>
          <w:rFonts w:ascii="Arial Narrow" w:hAnsi="Arial Narrow"/>
          <w:i/>
          <w:sz w:val="18"/>
          <w:szCs w:val="18"/>
        </w:rPr>
        <w:t xml:space="preserve"> </w:t>
      </w:r>
    </w:p>
    <w:p w14:paraId="2F1A859B" w14:textId="4547AA18" w:rsidR="003E79D8" w:rsidRPr="003E79D8" w:rsidRDefault="003E79D8" w:rsidP="00120D61">
      <w:pPr>
        <w:rPr>
          <w:rFonts w:ascii="Arial Narrow" w:hAnsi="Arial Narrow"/>
          <w:i/>
          <w:sz w:val="18"/>
          <w:szCs w:val="18"/>
        </w:rPr>
      </w:pPr>
      <w:r w:rsidRPr="003E79D8">
        <w:rPr>
          <w:rFonts w:ascii="Arial Narrow" w:hAnsi="Arial Narrow"/>
          <w:i/>
          <w:sz w:val="18"/>
          <w:szCs w:val="18"/>
        </w:rPr>
        <w:t xml:space="preserve">The redacted values correspond to the following ranges: </w:t>
      </w:r>
    </w:p>
    <w:p w14:paraId="27845EA1" w14:textId="29E38F24" w:rsidR="003E79D8" w:rsidRPr="003E79D8" w:rsidRDefault="003E79D8" w:rsidP="00120D61">
      <w:pPr>
        <w:jc w:val="left"/>
        <w:rPr>
          <w:rFonts w:ascii="Arial Narrow" w:hAnsi="Arial Narrow"/>
          <w:i/>
          <w:sz w:val="18"/>
          <w:szCs w:val="18"/>
        </w:rPr>
      </w:pPr>
      <w:r w:rsidRPr="003E79D8">
        <w:rPr>
          <w:rFonts w:ascii="Arial Narrow" w:hAnsi="Arial Narrow"/>
          <w:i/>
          <w:sz w:val="18"/>
          <w:szCs w:val="18"/>
          <w:vertAlign w:val="superscript"/>
        </w:rPr>
        <w:t>1</w:t>
      </w:r>
      <w:r w:rsidRPr="003E79D8">
        <w:rPr>
          <w:rFonts w:ascii="Arial Narrow" w:hAnsi="Arial Narrow"/>
          <w:i/>
          <w:sz w:val="18"/>
          <w:szCs w:val="18"/>
        </w:rPr>
        <w:t xml:space="preserve"> </w:t>
      </w:r>
      <w:r w:rsidR="0002394B" w:rsidRPr="0002394B">
        <w:rPr>
          <w:rFonts w:ascii="Arial Narrow" w:hAnsi="Arial Narrow"/>
          <w:i/>
          <w:sz w:val="18"/>
          <w:szCs w:val="18"/>
        </w:rPr>
        <w:t>$15,000 to </w:t>
      </w:r>
      <w:r w:rsidR="001C78D7">
        <w:rPr>
          <w:rFonts w:ascii="Arial Narrow" w:hAnsi="Arial Narrow"/>
          <w:i/>
          <w:sz w:val="18"/>
          <w:szCs w:val="18"/>
        </w:rPr>
        <w:t xml:space="preserve">&lt; </w:t>
      </w:r>
      <w:r w:rsidR="0002394B" w:rsidRPr="0002394B">
        <w:rPr>
          <w:rFonts w:ascii="Arial Narrow" w:hAnsi="Arial Narrow"/>
          <w:i/>
          <w:sz w:val="18"/>
          <w:szCs w:val="18"/>
        </w:rPr>
        <w:t>$25,000</w:t>
      </w:r>
    </w:p>
    <w:p w14:paraId="1C2F1FBB" w14:textId="39A4E8AB" w:rsidR="003E79D8" w:rsidRPr="003E79D8" w:rsidRDefault="003E79D8" w:rsidP="00120D61">
      <w:pPr>
        <w:jc w:val="left"/>
        <w:rPr>
          <w:rFonts w:ascii="Arial Narrow" w:hAnsi="Arial Narrow"/>
          <w:i/>
          <w:sz w:val="18"/>
          <w:szCs w:val="18"/>
        </w:rPr>
      </w:pPr>
      <w:r w:rsidRPr="003E79D8">
        <w:rPr>
          <w:rFonts w:ascii="Arial Narrow" w:hAnsi="Arial Narrow"/>
          <w:i/>
          <w:sz w:val="18"/>
          <w:szCs w:val="18"/>
          <w:vertAlign w:val="superscript"/>
        </w:rPr>
        <w:t>2</w:t>
      </w:r>
      <w:r w:rsidRPr="003E79D8">
        <w:rPr>
          <w:rFonts w:ascii="Arial Narrow" w:hAnsi="Arial Narrow"/>
          <w:i/>
          <w:sz w:val="18"/>
          <w:szCs w:val="18"/>
        </w:rPr>
        <w:t xml:space="preserve"> </w:t>
      </w:r>
      <w:r w:rsidR="00E44480" w:rsidRPr="00E44480">
        <w:rPr>
          <w:rFonts w:ascii="Arial Narrow" w:hAnsi="Arial Narrow"/>
          <w:i/>
          <w:sz w:val="18"/>
          <w:szCs w:val="18"/>
        </w:rPr>
        <w:t>$75,000 to </w:t>
      </w:r>
      <w:r w:rsidR="001C78D7">
        <w:rPr>
          <w:rFonts w:ascii="Arial Narrow" w:hAnsi="Arial Narrow"/>
          <w:i/>
          <w:sz w:val="18"/>
          <w:szCs w:val="18"/>
        </w:rPr>
        <w:t xml:space="preserve">&lt; </w:t>
      </w:r>
      <w:r w:rsidR="00E44480" w:rsidRPr="00E44480">
        <w:rPr>
          <w:rFonts w:ascii="Arial Narrow" w:hAnsi="Arial Narrow"/>
          <w:i/>
          <w:sz w:val="18"/>
          <w:szCs w:val="18"/>
        </w:rPr>
        <w:t>$95,000</w:t>
      </w:r>
    </w:p>
    <w:p w14:paraId="56E10939" w14:textId="44C4AFFE" w:rsidR="003E79D8" w:rsidRPr="003E79D8" w:rsidRDefault="003E79D8" w:rsidP="00120D61">
      <w:pPr>
        <w:jc w:val="left"/>
        <w:rPr>
          <w:rFonts w:ascii="Arial Narrow" w:hAnsi="Arial Narrow"/>
          <w:i/>
          <w:sz w:val="18"/>
          <w:szCs w:val="18"/>
        </w:rPr>
      </w:pPr>
      <w:r w:rsidRPr="003E79D8">
        <w:rPr>
          <w:rFonts w:ascii="Arial Narrow" w:hAnsi="Arial Narrow"/>
          <w:i/>
          <w:sz w:val="18"/>
          <w:szCs w:val="18"/>
          <w:vertAlign w:val="superscript"/>
        </w:rPr>
        <w:t>3</w:t>
      </w:r>
      <w:r w:rsidRPr="003E79D8">
        <w:rPr>
          <w:rFonts w:ascii="Arial Narrow" w:hAnsi="Arial Narrow"/>
          <w:i/>
          <w:sz w:val="18"/>
          <w:szCs w:val="18"/>
        </w:rPr>
        <w:t xml:space="preserve"> </w:t>
      </w:r>
      <w:r w:rsidR="00750688" w:rsidRPr="00750688">
        <w:rPr>
          <w:rFonts w:ascii="Arial Narrow" w:hAnsi="Arial Narrow"/>
          <w:i/>
          <w:sz w:val="18"/>
          <w:szCs w:val="18"/>
        </w:rPr>
        <w:t>$55,000 to </w:t>
      </w:r>
      <w:r w:rsidR="001C78D7">
        <w:rPr>
          <w:rFonts w:ascii="Arial Narrow" w:hAnsi="Arial Narrow"/>
          <w:i/>
          <w:sz w:val="18"/>
          <w:szCs w:val="18"/>
        </w:rPr>
        <w:t xml:space="preserve">&lt; </w:t>
      </w:r>
      <w:r w:rsidR="00750688" w:rsidRPr="00750688">
        <w:rPr>
          <w:rFonts w:ascii="Arial Narrow" w:hAnsi="Arial Narrow"/>
          <w:i/>
          <w:sz w:val="18"/>
          <w:szCs w:val="18"/>
        </w:rPr>
        <w:t>$75,00</w:t>
      </w:r>
      <w:r w:rsidR="00750688">
        <w:rPr>
          <w:rFonts w:ascii="Arial Narrow" w:hAnsi="Arial Narrow"/>
          <w:i/>
          <w:sz w:val="18"/>
          <w:szCs w:val="18"/>
        </w:rPr>
        <w:t>0</w:t>
      </w:r>
    </w:p>
    <w:p w14:paraId="122BA3B4" w14:textId="4F121D09" w:rsidR="003E79D8" w:rsidRPr="003E79D8" w:rsidRDefault="003E79D8" w:rsidP="00120D61">
      <w:pPr>
        <w:jc w:val="left"/>
        <w:rPr>
          <w:rFonts w:ascii="Arial Narrow" w:hAnsi="Arial Narrow"/>
          <w:i/>
          <w:sz w:val="18"/>
          <w:szCs w:val="18"/>
        </w:rPr>
      </w:pPr>
      <w:r w:rsidRPr="003E79D8">
        <w:rPr>
          <w:rFonts w:ascii="Arial Narrow" w:hAnsi="Arial Narrow"/>
          <w:i/>
          <w:sz w:val="18"/>
          <w:szCs w:val="18"/>
          <w:vertAlign w:val="superscript"/>
        </w:rPr>
        <w:t>4</w:t>
      </w:r>
      <w:r w:rsidRPr="003E79D8">
        <w:rPr>
          <w:rFonts w:ascii="Arial Narrow" w:hAnsi="Arial Narrow"/>
          <w:i/>
          <w:sz w:val="18"/>
          <w:szCs w:val="18"/>
        </w:rPr>
        <w:t xml:space="preserve"> </w:t>
      </w:r>
      <w:r w:rsidR="00072EDF" w:rsidRPr="00072EDF">
        <w:rPr>
          <w:rFonts w:ascii="Arial Narrow" w:hAnsi="Arial Narrow"/>
          <w:i/>
          <w:sz w:val="18"/>
          <w:szCs w:val="18"/>
        </w:rPr>
        <w:t>$35,000 to </w:t>
      </w:r>
      <w:r w:rsidR="001C78D7">
        <w:rPr>
          <w:rFonts w:ascii="Arial Narrow" w:hAnsi="Arial Narrow"/>
          <w:i/>
          <w:sz w:val="18"/>
          <w:szCs w:val="18"/>
        </w:rPr>
        <w:t xml:space="preserve">&lt; </w:t>
      </w:r>
      <w:r w:rsidR="00072EDF" w:rsidRPr="00072EDF">
        <w:rPr>
          <w:rFonts w:ascii="Arial Narrow" w:hAnsi="Arial Narrow"/>
          <w:i/>
          <w:sz w:val="18"/>
          <w:szCs w:val="18"/>
        </w:rPr>
        <w:t>$45,000</w:t>
      </w:r>
    </w:p>
    <w:p w14:paraId="2F33FB9F" w14:textId="234D85C2" w:rsidR="003E79D8" w:rsidRPr="003E79D8" w:rsidRDefault="003E79D8" w:rsidP="00120D61">
      <w:pPr>
        <w:jc w:val="left"/>
        <w:rPr>
          <w:rFonts w:ascii="Arial Narrow" w:hAnsi="Arial Narrow"/>
          <w:i/>
          <w:sz w:val="18"/>
          <w:szCs w:val="18"/>
        </w:rPr>
      </w:pPr>
      <w:r w:rsidRPr="003E79D8">
        <w:rPr>
          <w:rFonts w:ascii="Arial Narrow" w:hAnsi="Arial Narrow"/>
          <w:i/>
          <w:sz w:val="18"/>
          <w:szCs w:val="18"/>
          <w:vertAlign w:val="superscript"/>
        </w:rPr>
        <w:t>5</w:t>
      </w:r>
      <w:r w:rsidRPr="003E79D8">
        <w:rPr>
          <w:rFonts w:ascii="Arial Narrow" w:hAnsi="Arial Narrow"/>
          <w:i/>
          <w:sz w:val="18"/>
          <w:szCs w:val="18"/>
        </w:rPr>
        <w:t xml:space="preserve"> </w:t>
      </w:r>
      <w:r w:rsidR="007E742B" w:rsidRPr="007E742B">
        <w:rPr>
          <w:rFonts w:ascii="Arial Narrow" w:hAnsi="Arial Narrow"/>
          <w:i/>
          <w:sz w:val="18"/>
          <w:szCs w:val="18"/>
        </w:rPr>
        <w:t>$25,000 to </w:t>
      </w:r>
      <w:r w:rsidR="001C78D7">
        <w:rPr>
          <w:rFonts w:ascii="Arial Narrow" w:hAnsi="Arial Narrow"/>
          <w:i/>
          <w:sz w:val="18"/>
          <w:szCs w:val="18"/>
        </w:rPr>
        <w:t xml:space="preserve">&lt; </w:t>
      </w:r>
      <w:r w:rsidR="007E742B" w:rsidRPr="007E742B">
        <w:rPr>
          <w:rFonts w:ascii="Arial Narrow" w:hAnsi="Arial Narrow"/>
          <w:i/>
          <w:sz w:val="18"/>
          <w:szCs w:val="18"/>
        </w:rPr>
        <w:t>$35,000</w:t>
      </w:r>
    </w:p>
    <w:p w14:paraId="7848C452" w14:textId="5E2B37F6" w:rsidR="003E79D8" w:rsidRDefault="003E79D8" w:rsidP="00120D61">
      <w:pPr>
        <w:jc w:val="left"/>
        <w:rPr>
          <w:rFonts w:ascii="Arial Narrow" w:hAnsi="Arial Narrow"/>
          <w:i/>
          <w:sz w:val="18"/>
          <w:szCs w:val="18"/>
        </w:rPr>
      </w:pPr>
      <w:r w:rsidRPr="003E79D8">
        <w:rPr>
          <w:rFonts w:ascii="Arial Narrow" w:hAnsi="Arial Narrow"/>
          <w:i/>
          <w:sz w:val="18"/>
          <w:szCs w:val="18"/>
          <w:vertAlign w:val="superscript"/>
        </w:rPr>
        <w:t>6</w:t>
      </w:r>
      <w:r w:rsidRPr="003E79D8">
        <w:rPr>
          <w:rFonts w:ascii="Arial Narrow" w:hAnsi="Arial Narrow"/>
          <w:i/>
          <w:sz w:val="18"/>
          <w:szCs w:val="18"/>
        </w:rPr>
        <w:t xml:space="preserve"> </w:t>
      </w:r>
      <w:r w:rsidR="00AA2DF5" w:rsidRPr="00AA2DF5">
        <w:rPr>
          <w:rFonts w:ascii="Arial Narrow" w:hAnsi="Arial Narrow"/>
          <w:i/>
          <w:sz w:val="18"/>
          <w:szCs w:val="18"/>
        </w:rPr>
        <w:t>$45,000 to </w:t>
      </w:r>
      <w:r w:rsidR="001C78D7">
        <w:rPr>
          <w:rFonts w:ascii="Arial Narrow" w:hAnsi="Arial Narrow"/>
          <w:i/>
          <w:sz w:val="18"/>
          <w:szCs w:val="18"/>
        </w:rPr>
        <w:t xml:space="preserve">&lt; </w:t>
      </w:r>
      <w:r w:rsidR="00AA2DF5" w:rsidRPr="00AA2DF5">
        <w:rPr>
          <w:rFonts w:ascii="Arial Narrow" w:hAnsi="Arial Narrow"/>
          <w:i/>
          <w:sz w:val="18"/>
          <w:szCs w:val="18"/>
        </w:rPr>
        <w:t>$55,000</w:t>
      </w:r>
    </w:p>
    <w:p w14:paraId="5654574F" w14:textId="4094CD5F" w:rsidR="006A1AFC" w:rsidRPr="00DE407B" w:rsidRDefault="00AA2DF5" w:rsidP="00120D61">
      <w:pPr>
        <w:jc w:val="left"/>
        <w:rPr>
          <w:rFonts w:ascii="Arial Narrow" w:hAnsi="Arial Narrow"/>
          <w:i/>
          <w:sz w:val="18"/>
          <w:szCs w:val="18"/>
        </w:rPr>
      </w:pPr>
      <w:r>
        <w:rPr>
          <w:rFonts w:ascii="Arial Narrow" w:hAnsi="Arial Narrow"/>
          <w:i/>
          <w:sz w:val="18"/>
          <w:szCs w:val="18"/>
          <w:vertAlign w:val="superscript"/>
        </w:rPr>
        <w:t>7</w:t>
      </w:r>
      <w:r>
        <w:rPr>
          <w:rFonts w:ascii="Arial Narrow" w:hAnsi="Arial Narrow"/>
          <w:i/>
          <w:sz w:val="18"/>
          <w:szCs w:val="18"/>
        </w:rPr>
        <w:t xml:space="preserve"> </w:t>
      </w:r>
      <w:r w:rsidR="00B46555" w:rsidRPr="00B46555">
        <w:rPr>
          <w:rFonts w:ascii="Arial Narrow" w:hAnsi="Arial Narrow"/>
          <w:i/>
          <w:sz w:val="18"/>
          <w:szCs w:val="18"/>
        </w:rPr>
        <w:t>$135,000 to </w:t>
      </w:r>
      <w:r w:rsidR="001C78D7">
        <w:rPr>
          <w:rFonts w:ascii="Arial Narrow" w:hAnsi="Arial Narrow"/>
          <w:i/>
          <w:sz w:val="18"/>
          <w:szCs w:val="18"/>
        </w:rPr>
        <w:t xml:space="preserve">&lt; </w:t>
      </w:r>
      <w:r w:rsidR="00B46555" w:rsidRPr="00B46555">
        <w:rPr>
          <w:rFonts w:ascii="Arial Narrow" w:hAnsi="Arial Narrow"/>
          <w:i/>
          <w:sz w:val="18"/>
          <w:szCs w:val="18"/>
        </w:rPr>
        <w:t>$155,000</w:t>
      </w:r>
    </w:p>
    <w:p w14:paraId="7CA65833" w14:textId="23032B29" w:rsidR="006A1AFC" w:rsidRPr="00885AB3" w:rsidRDefault="006A1AFC" w:rsidP="00120D61">
      <w:pPr>
        <w:pStyle w:val="3-BodyText"/>
        <w:rPr>
          <w:rFonts w:cs="Calibri"/>
        </w:rPr>
      </w:pPr>
      <w:r w:rsidRPr="00885AB3">
        <w:rPr>
          <w:rFonts w:cs="Calibri"/>
        </w:rPr>
        <w:lastRenderedPageBreak/>
        <w:t xml:space="preserve">The results of key univariate / multivariate sensitivity analyses for the </w:t>
      </w:r>
      <w:r w:rsidR="00EF2FA4">
        <w:rPr>
          <w:rFonts w:cs="Calibri"/>
        </w:rPr>
        <w:t xml:space="preserve">≥ </w:t>
      </w:r>
      <w:r w:rsidRPr="00885AB3">
        <w:rPr>
          <w:rFonts w:cs="Calibri"/>
        </w:rPr>
        <w:t xml:space="preserve">75 YOA population are summarised in </w:t>
      </w:r>
      <w:r w:rsidRPr="00885AB3">
        <w:rPr>
          <w:rFonts w:cs="Calibri"/>
        </w:rPr>
        <w:fldChar w:fldCharType="begin" w:fldLock="1"/>
      </w:r>
      <w:r w:rsidRPr="00885AB3">
        <w:rPr>
          <w:rFonts w:cs="Calibri"/>
        </w:rPr>
        <w:instrText xml:space="preserve"> REF _Ref205826163 \h  \* MERGEFORMAT </w:instrText>
      </w:r>
      <w:r w:rsidRPr="00885AB3">
        <w:rPr>
          <w:rFonts w:cs="Calibri"/>
        </w:rPr>
      </w:r>
      <w:r w:rsidRPr="00885AB3">
        <w:rPr>
          <w:rFonts w:cs="Calibri"/>
        </w:rPr>
        <w:fldChar w:fldCharType="separate"/>
      </w:r>
      <w:r w:rsidR="00515933" w:rsidRPr="00885AB3">
        <w:rPr>
          <w:rFonts w:cs="Calibri"/>
        </w:rPr>
        <w:t xml:space="preserve">Table </w:t>
      </w:r>
      <w:r w:rsidR="00515933" w:rsidRPr="00885AB3">
        <w:t>22</w:t>
      </w:r>
      <w:r w:rsidRPr="00885AB3">
        <w:rPr>
          <w:rFonts w:cs="Calibri"/>
        </w:rPr>
        <w:fldChar w:fldCharType="end"/>
      </w:r>
      <w:r w:rsidRPr="00885AB3">
        <w:rPr>
          <w:rFonts w:cs="Calibri"/>
        </w:rPr>
        <w:t xml:space="preserve">. </w:t>
      </w:r>
    </w:p>
    <w:p w14:paraId="149288F4" w14:textId="27A69905" w:rsidR="006A1AFC" w:rsidRPr="00885AB3" w:rsidRDefault="006A1AFC" w:rsidP="00120D61">
      <w:pPr>
        <w:pStyle w:val="Caption"/>
        <w:rPr>
          <w:rStyle w:val="CommentReference"/>
          <w:b/>
          <w:szCs w:val="24"/>
        </w:rPr>
      </w:pPr>
      <w:bookmarkStart w:id="137" w:name="_Ref205826163"/>
      <w:r w:rsidRPr="00885AB3">
        <w:t xml:space="preserve">Table </w:t>
      </w:r>
      <w:r w:rsidR="008A242D" w:rsidRPr="00885AB3">
        <w:fldChar w:fldCharType="begin" w:fldLock="1"/>
      </w:r>
      <w:r w:rsidR="008A242D" w:rsidRPr="00885AB3">
        <w:instrText xml:space="preserve"> SEQ Table \* ARABIC </w:instrText>
      </w:r>
      <w:r w:rsidR="008A242D" w:rsidRPr="00885AB3">
        <w:fldChar w:fldCharType="separate"/>
      </w:r>
      <w:r w:rsidR="00515933" w:rsidRPr="00885AB3">
        <w:t>22</w:t>
      </w:r>
      <w:r w:rsidR="008A242D" w:rsidRPr="00885AB3">
        <w:fldChar w:fldCharType="end"/>
      </w:r>
      <w:bookmarkEnd w:id="137"/>
      <w:r w:rsidRPr="00885AB3">
        <w:t xml:space="preserve">: Sensitivity analyses: </w:t>
      </w:r>
      <w:r w:rsidR="00EF2FA4">
        <w:t xml:space="preserve">≥ </w:t>
      </w:r>
      <w:r w:rsidR="00EC73E7" w:rsidRPr="00885AB3">
        <w:t>75</w:t>
      </w:r>
      <w:r w:rsidRPr="00885AB3">
        <w:t xml:space="preserve"> YOA population</w:t>
      </w:r>
    </w:p>
    <w:tbl>
      <w:tblPr>
        <w:tblStyle w:val="ASDTable2"/>
        <w:tblW w:w="8941" w:type="dxa"/>
        <w:tblInd w:w="0" w:type="dxa"/>
        <w:tblLayout w:type="fixed"/>
        <w:tblCellMar>
          <w:left w:w="57" w:type="dxa"/>
          <w:right w:w="57" w:type="dxa"/>
        </w:tblCellMar>
        <w:tblLook w:val="04A0" w:firstRow="1" w:lastRow="0" w:firstColumn="1" w:lastColumn="0" w:noHBand="0" w:noVBand="1"/>
        <w:tblCaption w:val="Table 22: Sensitivity analyses: ≥75 YOA population"/>
      </w:tblPr>
      <w:tblGrid>
        <w:gridCol w:w="421"/>
        <w:gridCol w:w="4394"/>
        <w:gridCol w:w="1376"/>
        <w:gridCol w:w="1040"/>
        <w:gridCol w:w="844"/>
        <w:gridCol w:w="866"/>
      </w:tblGrid>
      <w:tr w:rsidR="006A1AFC" w:rsidRPr="00885AB3" w14:paraId="2BBF2A5A" w14:textId="77777777">
        <w:trPr>
          <w:cantSplit/>
          <w:trHeight w:val="20"/>
          <w:tblHeader/>
        </w:trPr>
        <w:tc>
          <w:tcPr>
            <w:tcW w:w="4815" w:type="dxa"/>
            <w:gridSpan w:val="2"/>
            <w:vAlign w:val="center"/>
          </w:tcPr>
          <w:p w14:paraId="549CA5D2" w14:textId="77777777" w:rsidR="006A1AFC" w:rsidRPr="00885AB3" w:rsidRDefault="006A1AFC" w:rsidP="00120D61">
            <w:pPr>
              <w:pStyle w:val="PBACTabletext"/>
              <w:keepLines w:val="0"/>
              <w:spacing w:after="0"/>
              <w:rPr>
                <w:rFonts w:ascii="Arial Narrow" w:hAnsi="Arial Narrow"/>
                <w:b/>
                <w:bCs/>
                <w:sz w:val="20"/>
                <w:szCs w:val="20"/>
              </w:rPr>
            </w:pPr>
            <w:r w:rsidRPr="00885AB3">
              <w:rPr>
                <w:rFonts w:ascii="Arial Narrow" w:hAnsi="Arial Narrow"/>
                <w:b/>
                <w:bCs/>
                <w:sz w:val="20"/>
                <w:szCs w:val="20"/>
              </w:rPr>
              <w:t xml:space="preserve">Analysis </w:t>
            </w:r>
          </w:p>
        </w:tc>
        <w:tc>
          <w:tcPr>
            <w:tcW w:w="1376" w:type="dxa"/>
            <w:tcMar>
              <w:left w:w="28" w:type="dxa"/>
              <w:right w:w="28" w:type="dxa"/>
            </w:tcMar>
            <w:vAlign w:val="center"/>
          </w:tcPr>
          <w:p w14:paraId="18925770" w14:textId="77777777" w:rsidR="006A1AFC" w:rsidRPr="00885AB3" w:rsidRDefault="006A1AFC" w:rsidP="00120D61">
            <w:pPr>
              <w:pStyle w:val="PBACTabletext"/>
              <w:keepLines w:val="0"/>
              <w:spacing w:after="0"/>
              <w:jc w:val="center"/>
              <w:rPr>
                <w:rFonts w:ascii="Arial Narrow" w:hAnsi="Arial Narrow"/>
                <w:b/>
                <w:bCs/>
                <w:sz w:val="20"/>
                <w:szCs w:val="20"/>
              </w:rPr>
            </w:pPr>
            <w:r w:rsidRPr="00885AB3">
              <w:rPr>
                <w:rFonts w:ascii="Arial Narrow" w:hAnsi="Arial Narrow"/>
                <w:b/>
                <w:bCs/>
                <w:sz w:val="20"/>
                <w:szCs w:val="20"/>
              </w:rPr>
              <w:t>Incremental</w:t>
            </w:r>
          </w:p>
          <w:p w14:paraId="4131179D" w14:textId="77777777" w:rsidR="006A1AFC" w:rsidRPr="00885AB3" w:rsidRDefault="006A1AFC" w:rsidP="00120D61">
            <w:pPr>
              <w:pStyle w:val="PBACTabletext"/>
              <w:keepLines w:val="0"/>
              <w:spacing w:after="0"/>
              <w:jc w:val="center"/>
              <w:rPr>
                <w:rFonts w:ascii="Arial Narrow" w:hAnsi="Arial Narrow"/>
                <w:b/>
                <w:bCs/>
                <w:sz w:val="20"/>
                <w:szCs w:val="20"/>
              </w:rPr>
            </w:pPr>
            <w:r w:rsidRPr="00885AB3">
              <w:rPr>
                <w:rFonts w:ascii="Arial Narrow" w:hAnsi="Arial Narrow"/>
                <w:b/>
                <w:bCs/>
                <w:sz w:val="20"/>
                <w:szCs w:val="20"/>
              </w:rPr>
              <w:t>Costs (discounted)</w:t>
            </w:r>
          </w:p>
        </w:tc>
        <w:tc>
          <w:tcPr>
            <w:tcW w:w="1040" w:type="dxa"/>
            <w:tcMar>
              <w:left w:w="28" w:type="dxa"/>
              <w:right w:w="28" w:type="dxa"/>
            </w:tcMar>
            <w:vAlign w:val="center"/>
          </w:tcPr>
          <w:p w14:paraId="1363B728" w14:textId="77777777" w:rsidR="006A1AFC" w:rsidRPr="00885AB3" w:rsidRDefault="006A1AFC" w:rsidP="00120D61">
            <w:pPr>
              <w:pStyle w:val="PBACTabletext"/>
              <w:keepLines w:val="0"/>
              <w:spacing w:after="0"/>
              <w:jc w:val="center"/>
              <w:rPr>
                <w:rFonts w:ascii="Arial Narrow" w:hAnsi="Arial Narrow"/>
                <w:b/>
                <w:bCs/>
                <w:sz w:val="20"/>
                <w:szCs w:val="20"/>
              </w:rPr>
            </w:pPr>
            <w:r w:rsidRPr="00885AB3">
              <w:rPr>
                <w:rFonts w:ascii="Arial Narrow" w:hAnsi="Arial Narrow"/>
                <w:b/>
                <w:bCs/>
                <w:sz w:val="20"/>
                <w:szCs w:val="20"/>
              </w:rPr>
              <w:t>Incremental QALYs (discounted)</w:t>
            </w:r>
          </w:p>
        </w:tc>
        <w:tc>
          <w:tcPr>
            <w:tcW w:w="844" w:type="dxa"/>
            <w:tcMar>
              <w:left w:w="28" w:type="dxa"/>
              <w:right w:w="28" w:type="dxa"/>
            </w:tcMar>
            <w:vAlign w:val="center"/>
          </w:tcPr>
          <w:p w14:paraId="73763A31" w14:textId="77777777" w:rsidR="006A1AFC" w:rsidRPr="00885AB3" w:rsidRDefault="006A1AFC" w:rsidP="00120D61">
            <w:pPr>
              <w:pStyle w:val="PBACTabletext"/>
              <w:keepLines w:val="0"/>
              <w:spacing w:after="0"/>
              <w:jc w:val="center"/>
              <w:rPr>
                <w:rFonts w:ascii="Arial Narrow" w:hAnsi="Arial Narrow"/>
                <w:b/>
                <w:bCs/>
                <w:sz w:val="20"/>
                <w:szCs w:val="20"/>
              </w:rPr>
            </w:pPr>
            <w:r w:rsidRPr="00885AB3">
              <w:rPr>
                <w:rFonts w:ascii="Arial Narrow" w:hAnsi="Arial Narrow"/>
                <w:b/>
                <w:bCs/>
                <w:sz w:val="20"/>
                <w:szCs w:val="20"/>
              </w:rPr>
              <w:t>ICER</w:t>
            </w:r>
          </w:p>
        </w:tc>
        <w:tc>
          <w:tcPr>
            <w:tcW w:w="866" w:type="dxa"/>
            <w:tcMar>
              <w:left w:w="28" w:type="dxa"/>
              <w:right w:w="28" w:type="dxa"/>
            </w:tcMar>
            <w:vAlign w:val="center"/>
          </w:tcPr>
          <w:p w14:paraId="19A360A4" w14:textId="77777777" w:rsidR="006A1AFC" w:rsidRPr="00885AB3" w:rsidRDefault="006A1AFC" w:rsidP="00120D61">
            <w:pPr>
              <w:pStyle w:val="PBACTabletext"/>
              <w:keepLines w:val="0"/>
              <w:spacing w:after="0"/>
              <w:jc w:val="center"/>
              <w:rPr>
                <w:rFonts w:ascii="Arial Narrow" w:hAnsi="Arial Narrow"/>
                <w:b/>
                <w:bCs/>
                <w:sz w:val="20"/>
                <w:szCs w:val="20"/>
              </w:rPr>
            </w:pPr>
            <w:r w:rsidRPr="00885AB3">
              <w:rPr>
                <w:rFonts w:ascii="Arial Narrow" w:hAnsi="Arial Narrow" w:cs="Calibri"/>
                <w:b/>
                <w:bCs/>
                <w:sz w:val="20"/>
                <w:szCs w:val="20"/>
                <w:lang w:eastAsia="en-AU"/>
              </w:rPr>
              <w:t>ICER changed (%)</w:t>
            </w:r>
          </w:p>
        </w:tc>
      </w:tr>
      <w:tr w:rsidR="006A1AFC" w:rsidRPr="00885AB3" w14:paraId="07A3D611" w14:textId="77777777">
        <w:trPr>
          <w:cantSplit/>
          <w:trHeight w:val="20"/>
        </w:trPr>
        <w:tc>
          <w:tcPr>
            <w:tcW w:w="421" w:type="dxa"/>
          </w:tcPr>
          <w:p w14:paraId="5FC89011" w14:textId="77777777" w:rsidR="006A1AFC" w:rsidRPr="00885AB3" w:rsidRDefault="006A1AFC" w:rsidP="00120D61">
            <w:pPr>
              <w:pStyle w:val="PBACTabletext"/>
              <w:keepLines w:val="0"/>
              <w:spacing w:after="0"/>
              <w:rPr>
                <w:rFonts w:ascii="Arial Narrow" w:hAnsi="Arial Narrow"/>
                <w:sz w:val="20"/>
                <w:szCs w:val="20"/>
              </w:rPr>
            </w:pPr>
          </w:p>
        </w:tc>
        <w:tc>
          <w:tcPr>
            <w:tcW w:w="4394" w:type="dxa"/>
            <w:tcMar>
              <w:left w:w="28" w:type="dxa"/>
              <w:right w:w="28" w:type="dxa"/>
            </w:tcMar>
            <w:vAlign w:val="center"/>
          </w:tcPr>
          <w:p w14:paraId="2C4BC00F" w14:textId="77777777" w:rsidR="006A1AFC" w:rsidRPr="00885AB3" w:rsidRDefault="006A1AFC" w:rsidP="00120D61">
            <w:pPr>
              <w:pStyle w:val="PBACTabletext"/>
              <w:keepLines w:val="0"/>
              <w:spacing w:after="0"/>
              <w:rPr>
                <w:rFonts w:ascii="Arial Narrow" w:hAnsi="Arial Narrow"/>
                <w:sz w:val="20"/>
                <w:szCs w:val="20"/>
              </w:rPr>
            </w:pPr>
            <w:r w:rsidRPr="00885AB3">
              <w:rPr>
                <w:rFonts w:ascii="Arial Narrow" w:hAnsi="Arial Narrow"/>
                <w:sz w:val="20"/>
                <w:szCs w:val="20"/>
              </w:rPr>
              <w:t>Base-case</w:t>
            </w:r>
          </w:p>
        </w:tc>
        <w:tc>
          <w:tcPr>
            <w:tcW w:w="1376" w:type="dxa"/>
            <w:tcMar>
              <w:left w:w="28" w:type="dxa"/>
              <w:right w:w="28" w:type="dxa"/>
            </w:tcMar>
            <w:vAlign w:val="center"/>
          </w:tcPr>
          <w:p w14:paraId="7113B7CB" w14:textId="0AF96516" w:rsidR="006A1AFC" w:rsidRPr="00885AB3" w:rsidRDefault="006A1AFC" w:rsidP="00120D61">
            <w:pPr>
              <w:pStyle w:val="PBACTabletext"/>
              <w:keepLines w:val="0"/>
              <w:spacing w:after="0"/>
              <w:jc w:val="center"/>
              <w:rPr>
                <w:rFonts w:ascii="Arial Narrow" w:hAnsi="Arial Narrow"/>
                <w:sz w:val="20"/>
                <w:szCs w:val="20"/>
              </w:rPr>
            </w:pPr>
            <w:r w:rsidRPr="00885AB3">
              <w:rPr>
                <w:rFonts w:ascii="Arial Narrow" w:hAnsi="Arial Narrow" w:cs="Calibri"/>
                <w:color w:val="000000"/>
                <w:sz w:val="20"/>
                <w:szCs w:val="20"/>
              </w:rPr>
              <w:t>$</w:t>
            </w:r>
            <w:r w:rsidR="004B5AFE" w:rsidRPr="004B5AFE">
              <w:rPr>
                <w:rFonts w:ascii="Arial Narrow" w:hAnsi="Arial Narrow" w:cs="Calibri"/>
                <w:color w:val="000000"/>
                <w:sz w:val="20"/>
                <w:szCs w:val="20"/>
                <w:highlight w:val="black"/>
              </w:rPr>
              <w:t xml:space="preserve"> &amp;&amp;&amp;&amp;</w:t>
            </w:r>
          </w:p>
        </w:tc>
        <w:tc>
          <w:tcPr>
            <w:tcW w:w="1040" w:type="dxa"/>
            <w:tcMar>
              <w:left w:w="28" w:type="dxa"/>
              <w:right w:w="28" w:type="dxa"/>
            </w:tcMar>
            <w:vAlign w:val="center"/>
          </w:tcPr>
          <w:p w14:paraId="1C7ED75E" w14:textId="77777777" w:rsidR="006A1AFC" w:rsidRPr="00885AB3" w:rsidRDefault="006A1AFC" w:rsidP="00120D61">
            <w:pPr>
              <w:pStyle w:val="PBACTabletext"/>
              <w:keepLines w:val="0"/>
              <w:spacing w:after="0"/>
              <w:jc w:val="center"/>
              <w:rPr>
                <w:rFonts w:ascii="Arial Narrow" w:hAnsi="Arial Narrow"/>
                <w:sz w:val="20"/>
                <w:szCs w:val="20"/>
              </w:rPr>
            </w:pPr>
            <w:r w:rsidRPr="00885AB3">
              <w:rPr>
                <w:rFonts w:ascii="Arial Narrow" w:hAnsi="Arial Narrow" w:cs="Calibri"/>
                <w:color w:val="000000"/>
                <w:sz w:val="20"/>
                <w:szCs w:val="20"/>
              </w:rPr>
              <w:t>8,102</w:t>
            </w:r>
          </w:p>
        </w:tc>
        <w:tc>
          <w:tcPr>
            <w:tcW w:w="844" w:type="dxa"/>
            <w:tcMar>
              <w:left w:w="28" w:type="dxa"/>
              <w:right w:w="28" w:type="dxa"/>
            </w:tcMar>
            <w:vAlign w:val="center"/>
          </w:tcPr>
          <w:p w14:paraId="4918E4EC" w14:textId="6B0F5BE6" w:rsidR="006A1AFC" w:rsidRPr="00880FE9" w:rsidRDefault="006A1AFC" w:rsidP="00120D61">
            <w:pPr>
              <w:pStyle w:val="PBACTabletext"/>
              <w:keepLines w:val="0"/>
              <w:spacing w:after="0"/>
              <w:jc w:val="center"/>
              <w:rPr>
                <w:rFonts w:ascii="Arial Narrow" w:hAnsi="Arial Narrow"/>
                <w:sz w:val="20"/>
                <w:szCs w:val="20"/>
                <w:vertAlign w:val="superscript"/>
              </w:rPr>
            </w:pPr>
            <w:r w:rsidRPr="00885AB3">
              <w:rPr>
                <w:rFonts w:ascii="Arial Narrow" w:hAnsi="Arial Narrow" w:cs="Calibri"/>
                <w:sz w:val="20"/>
                <w:szCs w:val="20"/>
              </w:rPr>
              <w:t>$</w:t>
            </w:r>
            <w:r w:rsidR="004B5AFE" w:rsidRPr="004B5AFE">
              <w:rPr>
                <w:rFonts w:ascii="Arial Narrow" w:hAnsi="Arial Narrow" w:cs="Calibri"/>
                <w:sz w:val="20"/>
                <w:szCs w:val="20"/>
                <w:highlight w:val="black"/>
              </w:rPr>
              <w:t xml:space="preserve"> &amp;&amp;&amp;&amp;</w:t>
            </w:r>
            <w:r w:rsidR="00880FE9">
              <w:rPr>
                <w:rFonts w:ascii="Arial Narrow" w:hAnsi="Arial Narrow" w:cs="Calibri"/>
                <w:sz w:val="20"/>
                <w:szCs w:val="20"/>
                <w:vertAlign w:val="superscript"/>
              </w:rPr>
              <w:t>1</w:t>
            </w:r>
          </w:p>
        </w:tc>
        <w:tc>
          <w:tcPr>
            <w:tcW w:w="866" w:type="dxa"/>
            <w:tcMar>
              <w:left w:w="28" w:type="dxa"/>
              <w:right w:w="28" w:type="dxa"/>
            </w:tcMar>
            <w:vAlign w:val="center"/>
          </w:tcPr>
          <w:p w14:paraId="5B131F47" w14:textId="77777777" w:rsidR="006A1AFC" w:rsidRPr="00885AB3" w:rsidRDefault="006A1AFC" w:rsidP="00120D61">
            <w:pPr>
              <w:pStyle w:val="PBACTabletext"/>
              <w:keepLines w:val="0"/>
              <w:spacing w:after="0"/>
              <w:jc w:val="center"/>
              <w:rPr>
                <w:rFonts w:ascii="Arial Narrow" w:hAnsi="Arial Narrow" w:cs="Calibri"/>
                <w:sz w:val="20"/>
                <w:szCs w:val="20"/>
              </w:rPr>
            </w:pPr>
          </w:p>
        </w:tc>
      </w:tr>
      <w:tr w:rsidR="006A1AFC" w:rsidRPr="00885AB3" w14:paraId="0F9A9299" w14:textId="77777777">
        <w:trPr>
          <w:cantSplit/>
          <w:trHeight w:val="20"/>
        </w:trPr>
        <w:tc>
          <w:tcPr>
            <w:tcW w:w="421" w:type="dxa"/>
          </w:tcPr>
          <w:p w14:paraId="3357F38A" w14:textId="77777777" w:rsidR="006A1AFC" w:rsidRPr="00885AB3" w:rsidRDefault="006A1AFC" w:rsidP="00120D61">
            <w:pPr>
              <w:pStyle w:val="PBACTabletext"/>
              <w:keepLines w:val="0"/>
              <w:spacing w:after="0"/>
              <w:jc w:val="center"/>
              <w:rPr>
                <w:rFonts w:ascii="Arial Narrow" w:hAnsi="Arial Narrow"/>
                <w:sz w:val="20"/>
                <w:szCs w:val="20"/>
              </w:rPr>
            </w:pPr>
            <w:r w:rsidRPr="00885AB3">
              <w:rPr>
                <w:rFonts w:ascii="Arial Narrow" w:hAnsi="Arial Narrow"/>
                <w:sz w:val="20"/>
                <w:szCs w:val="20"/>
              </w:rPr>
              <w:t>A</w:t>
            </w:r>
          </w:p>
        </w:tc>
        <w:tc>
          <w:tcPr>
            <w:tcW w:w="4394" w:type="dxa"/>
            <w:tcMar>
              <w:left w:w="28" w:type="dxa"/>
              <w:right w:w="28" w:type="dxa"/>
            </w:tcMar>
            <w:vAlign w:val="center"/>
          </w:tcPr>
          <w:p w14:paraId="5026B2CC" w14:textId="77777777" w:rsidR="006A1AFC" w:rsidRPr="00885AB3" w:rsidRDefault="006A1AFC" w:rsidP="00120D61">
            <w:pPr>
              <w:pStyle w:val="PBACTabletext"/>
              <w:keepLines w:val="0"/>
              <w:spacing w:after="0"/>
              <w:rPr>
                <w:rFonts w:ascii="Arial Narrow" w:hAnsi="Arial Narrow"/>
                <w:sz w:val="20"/>
                <w:szCs w:val="20"/>
              </w:rPr>
            </w:pPr>
            <w:r w:rsidRPr="00885AB3">
              <w:rPr>
                <w:rFonts w:ascii="Arial Narrow" w:hAnsi="Arial Narrow"/>
                <w:sz w:val="20"/>
                <w:szCs w:val="20"/>
              </w:rPr>
              <w:t>Discount rate: 5% (base case: 3.5%)</w:t>
            </w:r>
          </w:p>
        </w:tc>
        <w:tc>
          <w:tcPr>
            <w:tcW w:w="1376" w:type="dxa"/>
            <w:tcMar>
              <w:left w:w="28" w:type="dxa"/>
              <w:right w:w="28" w:type="dxa"/>
            </w:tcMar>
            <w:vAlign w:val="center"/>
          </w:tcPr>
          <w:p w14:paraId="77A628C1" w14:textId="4D224255" w:rsidR="006A1AFC" w:rsidRPr="00885AB3" w:rsidRDefault="006A1AFC" w:rsidP="00120D61">
            <w:pPr>
              <w:pStyle w:val="PBACTabletext"/>
              <w:keepLines w:val="0"/>
              <w:spacing w:after="0"/>
              <w:jc w:val="center"/>
              <w:rPr>
                <w:rFonts w:ascii="Arial Narrow" w:hAnsi="Arial Narrow" w:cs="Calibri"/>
                <w:sz w:val="20"/>
                <w:szCs w:val="20"/>
              </w:rPr>
            </w:pPr>
            <w:r w:rsidRPr="00885AB3">
              <w:rPr>
                <w:rFonts w:ascii="Arial Narrow" w:hAnsi="Arial Narrow" w:cs="Calibri"/>
                <w:color w:val="000000"/>
                <w:sz w:val="20"/>
                <w:szCs w:val="20"/>
              </w:rPr>
              <w:t>$</w:t>
            </w:r>
            <w:r w:rsidR="004B5AFE" w:rsidRPr="004B5AFE">
              <w:rPr>
                <w:rFonts w:ascii="Arial Narrow" w:hAnsi="Arial Narrow" w:cs="Calibri"/>
                <w:color w:val="000000"/>
                <w:sz w:val="20"/>
                <w:szCs w:val="20"/>
                <w:highlight w:val="black"/>
              </w:rPr>
              <w:t xml:space="preserve"> &amp;&amp;&amp;&amp;</w:t>
            </w:r>
          </w:p>
        </w:tc>
        <w:tc>
          <w:tcPr>
            <w:tcW w:w="1040" w:type="dxa"/>
            <w:tcMar>
              <w:left w:w="28" w:type="dxa"/>
              <w:right w:w="28" w:type="dxa"/>
            </w:tcMar>
            <w:vAlign w:val="center"/>
          </w:tcPr>
          <w:p w14:paraId="3C765C7D" w14:textId="77777777" w:rsidR="006A1AFC" w:rsidRPr="00885AB3" w:rsidRDefault="006A1AFC" w:rsidP="00120D61">
            <w:pPr>
              <w:pStyle w:val="PBACTabletext"/>
              <w:keepLines w:val="0"/>
              <w:spacing w:after="0"/>
              <w:jc w:val="center"/>
              <w:rPr>
                <w:rFonts w:ascii="Arial Narrow" w:hAnsi="Arial Narrow" w:cs="Calibri"/>
                <w:sz w:val="20"/>
                <w:szCs w:val="20"/>
              </w:rPr>
            </w:pPr>
            <w:r w:rsidRPr="00885AB3">
              <w:rPr>
                <w:rFonts w:ascii="Arial Narrow" w:hAnsi="Arial Narrow" w:cs="Calibri"/>
                <w:color w:val="000000"/>
                <w:sz w:val="20"/>
                <w:szCs w:val="20"/>
              </w:rPr>
              <w:t>7,644</w:t>
            </w:r>
          </w:p>
        </w:tc>
        <w:tc>
          <w:tcPr>
            <w:tcW w:w="844" w:type="dxa"/>
            <w:tcMar>
              <w:left w:w="28" w:type="dxa"/>
              <w:right w:w="28" w:type="dxa"/>
            </w:tcMar>
            <w:vAlign w:val="center"/>
          </w:tcPr>
          <w:p w14:paraId="23C7024D" w14:textId="59184BD9" w:rsidR="006A1AFC" w:rsidRPr="00880FE9" w:rsidRDefault="006A1AFC" w:rsidP="00120D61">
            <w:pPr>
              <w:pStyle w:val="PBACTabletext"/>
              <w:keepLines w:val="0"/>
              <w:spacing w:after="0"/>
              <w:jc w:val="center"/>
              <w:rPr>
                <w:rFonts w:ascii="Arial Narrow" w:hAnsi="Arial Narrow" w:cs="Calibri"/>
                <w:sz w:val="20"/>
                <w:szCs w:val="20"/>
                <w:vertAlign w:val="superscript"/>
              </w:rPr>
            </w:pPr>
            <w:r w:rsidRPr="00885AB3">
              <w:rPr>
                <w:rFonts w:ascii="Arial Narrow" w:hAnsi="Arial Narrow" w:cs="Calibri"/>
                <w:color w:val="000000"/>
                <w:sz w:val="20"/>
                <w:szCs w:val="20"/>
              </w:rPr>
              <w:t>$</w:t>
            </w:r>
            <w:r w:rsidR="004B5AFE" w:rsidRPr="004B5AFE">
              <w:rPr>
                <w:rFonts w:ascii="Arial Narrow" w:hAnsi="Arial Narrow" w:cs="Calibri"/>
                <w:color w:val="000000"/>
                <w:sz w:val="20"/>
                <w:szCs w:val="20"/>
                <w:highlight w:val="black"/>
              </w:rPr>
              <w:t xml:space="preserve"> &amp;&amp;&amp;&amp;</w:t>
            </w:r>
            <w:r w:rsidR="00880FE9">
              <w:rPr>
                <w:rFonts w:ascii="Arial Narrow" w:hAnsi="Arial Narrow" w:cs="Calibri"/>
                <w:color w:val="000000"/>
                <w:sz w:val="20"/>
                <w:szCs w:val="20"/>
                <w:vertAlign w:val="superscript"/>
              </w:rPr>
              <w:t>1</w:t>
            </w:r>
          </w:p>
        </w:tc>
        <w:tc>
          <w:tcPr>
            <w:tcW w:w="866" w:type="dxa"/>
            <w:tcMar>
              <w:left w:w="28" w:type="dxa"/>
              <w:right w:w="28" w:type="dxa"/>
            </w:tcMar>
            <w:vAlign w:val="center"/>
          </w:tcPr>
          <w:p w14:paraId="24B0041D" w14:textId="1393CCC8" w:rsidR="006A1AFC" w:rsidRPr="00885AB3" w:rsidRDefault="006A1AFC" w:rsidP="00120D61">
            <w:pPr>
              <w:pStyle w:val="PBACTabletext"/>
              <w:keepLines w:val="0"/>
              <w:spacing w:after="0"/>
              <w:jc w:val="center"/>
              <w:rPr>
                <w:rFonts w:ascii="Arial Narrow" w:hAnsi="Arial Narrow" w:cs="Calibri"/>
                <w:sz w:val="20"/>
                <w:szCs w:val="20"/>
              </w:rPr>
            </w:pPr>
            <w:r w:rsidRPr="00885AB3">
              <w:rPr>
                <w:rFonts w:ascii="Arial Narrow" w:hAnsi="Arial Narrow" w:cs="Calibri"/>
                <w:color w:val="000000"/>
                <w:sz w:val="20"/>
                <w:szCs w:val="20"/>
              </w:rPr>
              <w:t>+</w:t>
            </w:r>
            <w:r w:rsidR="004B5AFE" w:rsidRPr="004B5AFE">
              <w:rPr>
                <w:rFonts w:ascii="Arial Narrow" w:hAnsi="Arial Narrow" w:cs="Calibri"/>
                <w:color w:val="000000"/>
                <w:sz w:val="20"/>
                <w:szCs w:val="20"/>
                <w:highlight w:val="black"/>
              </w:rPr>
              <w:t xml:space="preserve"> &amp;&amp;&amp;&amp;</w:t>
            </w:r>
            <w:r w:rsidRPr="00885AB3">
              <w:rPr>
                <w:rFonts w:ascii="Arial Narrow" w:hAnsi="Arial Narrow" w:cs="Calibri"/>
                <w:color w:val="000000"/>
                <w:sz w:val="20"/>
                <w:szCs w:val="20"/>
              </w:rPr>
              <w:t>%</w:t>
            </w:r>
          </w:p>
        </w:tc>
      </w:tr>
      <w:tr w:rsidR="006A1AFC" w:rsidRPr="00885AB3" w14:paraId="02CD1F96" w14:textId="77777777">
        <w:trPr>
          <w:cantSplit/>
          <w:trHeight w:val="20"/>
        </w:trPr>
        <w:tc>
          <w:tcPr>
            <w:tcW w:w="421" w:type="dxa"/>
          </w:tcPr>
          <w:p w14:paraId="37F6A4B1" w14:textId="77777777" w:rsidR="006A1AFC" w:rsidRPr="00885AB3" w:rsidRDefault="006A1AFC" w:rsidP="00120D61">
            <w:pPr>
              <w:pStyle w:val="PBACTabletext"/>
              <w:keepLines w:val="0"/>
              <w:spacing w:after="0"/>
              <w:jc w:val="center"/>
              <w:rPr>
                <w:rFonts w:ascii="Arial Narrow" w:hAnsi="Arial Narrow"/>
                <w:sz w:val="20"/>
                <w:szCs w:val="20"/>
              </w:rPr>
            </w:pPr>
          </w:p>
        </w:tc>
        <w:tc>
          <w:tcPr>
            <w:tcW w:w="4394" w:type="dxa"/>
            <w:tcMar>
              <w:left w:w="28" w:type="dxa"/>
              <w:right w:w="28" w:type="dxa"/>
            </w:tcMar>
            <w:vAlign w:val="center"/>
          </w:tcPr>
          <w:p w14:paraId="0C18DB1E" w14:textId="77777777" w:rsidR="006A1AFC" w:rsidRPr="00885AB3" w:rsidRDefault="006A1AFC" w:rsidP="00120D61">
            <w:pPr>
              <w:pStyle w:val="PBACTabletext"/>
              <w:keepLines w:val="0"/>
              <w:spacing w:after="0"/>
              <w:rPr>
                <w:rFonts w:ascii="Arial Narrow" w:hAnsi="Arial Narrow"/>
                <w:sz w:val="20"/>
                <w:szCs w:val="20"/>
              </w:rPr>
            </w:pPr>
            <w:r w:rsidRPr="00885AB3">
              <w:rPr>
                <w:rFonts w:ascii="Arial Narrow" w:hAnsi="Arial Narrow"/>
                <w:sz w:val="20"/>
                <w:szCs w:val="20"/>
              </w:rPr>
              <w:t>Discount rate: 0% (base case: 3.5%)</w:t>
            </w:r>
          </w:p>
        </w:tc>
        <w:tc>
          <w:tcPr>
            <w:tcW w:w="1376" w:type="dxa"/>
            <w:tcMar>
              <w:left w:w="28" w:type="dxa"/>
              <w:right w:w="28" w:type="dxa"/>
            </w:tcMar>
            <w:vAlign w:val="center"/>
          </w:tcPr>
          <w:p w14:paraId="309AC5F2" w14:textId="02879216" w:rsidR="006A1AFC" w:rsidRPr="00885AB3" w:rsidRDefault="006A1AFC" w:rsidP="00120D61">
            <w:pPr>
              <w:pStyle w:val="PBACTabletext"/>
              <w:keepLines w:val="0"/>
              <w:spacing w:after="0"/>
              <w:jc w:val="center"/>
              <w:rPr>
                <w:rFonts w:ascii="Arial Narrow" w:hAnsi="Arial Narrow" w:cs="Calibri"/>
                <w:sz w:val="20"/>
                <w:szCs w:val="20"/>
              </w:rPr>
            </w:pPr>
            <w:r w:rsidRPr="00885AB3">
              <w:rPr>
                <w:rFonts w:ascii="Arial Narrow" w:hAnsi="Arial Narrow" w:cs="Calibri"/>
                <w:color w:val="000000"/>
                <w:sz w:val="20"/>
                <w:szCs w:val="20"/>
              </w:rPr>
              <w:t>$</w:t>
            </w:r>
            <w:r w:rsidR="004B5AFE" w:rsidRPr="004B5AFE">
              <w:rPr>
                <w:rFonts w:ascii="Arial Narrow" w:hAnsi="Arial Narrow" w:cs="Calibri"/>
                <w:color w:val="000000"/>
                <w:sz w:val="20"/>
                <w:szCs w:val="20"/>
                <w:highlight w:val="black"/>
              </w:rPr>
              <w:t xml:space="preserve"> &amp;&amp;&amp;&amp;</w:t>
            </w:r>
          </w:p>
        </w:tc>
        <w:tc>
          <w:tcPr>
            <w:tcW w:w="1040" w:type="dxa"/>
            <w:tcMar>
              <w:left w:w="28" w:type="dxa"/>
              <w:right w:w="28" w:type="dxa"/>
            </w:tcMar>
            <w:vAlign w:val="center"/>
          </w:tcPr>
          <w:p w14:paraId="3CA8A9A9" w14:textId="77777777" w:rsidR="006A1AFC" w:rsidRPr="00885AB3" w:rsidRDefault="006A1AFC" w:rsidP="00120D61">
            <w:pPr>
              <w:pStyle w:val="PBACTabletext"/>
              <w:keepLines w:val="0"/>
              <w:spacing w:after="0"/>
              <w:jc w:val="center"/>
              <w:rPr>
                <w:rFonts w:ascii="Arial Narrow" w:hAnsi="Arial Narrow" w:cs="Calibri"/>
                <w:sz w:val="20"/>
                <w:szCs w:val="20"/>
              </w:rPr>
            </w:pPr>
            <w:r w:rsidRPr="00885AB3">
              <w:rPr>
                <w:rFonts w:ascii="Arial Narrow" w:hAnsi="Arial Narrow" w:cs="Calibri"/>
                <w:color w:val="000000"/>
                <w:sz w:val="20"/>
                <w:szCs w:val="20"/>
              </w:rPr>
              <w:t>9,470</w:t>
            </w:r>
          </w:p>
        </w:tc>
        <w:tc>
          <w:tcPr>
            <w:tcW w:w="844" w:type="dxa"/>
            <w:tcMar>
              <w:left w:w="28" w:type="dxa"/>
              <w:right w:w="28" w:type="dxa"/>
            </w:tcMar>
            <w:vAlign w:val="center"/>
          </w:tcPr>
          <w:p w14:paraId="2D817C95" w14:textId="4DE21659" w:rsidR="006A1AFC" w:rsidRPr="00880FE9" w:rsidRDefault="006A1AFC" w:rsidP="00120D61">
            <w:pPr>
              <w:pStyle w:val="PBACTabletext"/>
              <w:keepLines w:val="0"/>
              <w:spacing w:after="0"/>
              <w:jc w:val="center"/>
              <w:rPr>
                <w:rFonts w:ascii="Arial Narrow" w:hAnsi="Arial Narrow" w:cs="Calibri"/>
                <w:sz w:val="20"/>
                <w:szCs w:val="20"/>
                <w:vertAlign w:val="superscript"/>
              </w:rPr>
            </w:pPr>
            <w:r w:rsidRPr="00885AB3">
              <w:rPr>
                <w:rFonts w:ascii="Arial Narrow" w:hAnsi="Arial Narrow" w:cs="Calibri"/>
                <w:color w:val="000000"/>
                <w:sz w:val="20"/>
                <w:szCs w:val="20"/>
              </w:rPr>
              <w:t>$</w:t>
            </w:r>
            <w:r w:rsidR="004B5AFE" w:rsidRPr="004B5AFE">
              <w:rPr>
                <w:rFonts w:ascii="Arial Narrow" w:hAnsi="Arial Narrow" w:cs="Calibri"/>
                <w:color w:val="000000"/>
                <w:sz w:val="20"/>
                <w:szCs w:val="20"/>
                <w:highlight w:val="black"/>
              </w:rPr>
              <w:t xml:space="preserve"> &amp;&amp;&amp;&amp;</w:t>
            </w:r>
            <w:r w:rsidR="00880FE9">
              <w:rPr>
                <w:rFonts w:ascii="Arial Narrow" w:hAnsi="Arial Narrow" w:cs="Calibri"/>
                <w:color w:val="000000"/>
                <w:sz w:val="20"/>
                <w:szCs w:val="20"/>
                <w:vertAlign w:val="superscript"/>
              </w:rPr>
              <w:t>1</w:t>
            </w:r>
          </w:p>
        </w:tc>
        <w:tc>
          <w:tcPr>
            <w:tcW w:w="866" w:type="dxa"/>
            <w:tcMar>
              <w:left w:w="28" w:type="dxa"/>
              <w:right w:w="28" w:type="dxa"/>
            </w:tcMar>
            <w:vAlign w:val="center"/>
          </w:tcPr>
          <w:p w14:paraId="5B951ED8" w14:textId="54AE3AAB" w:rsidR="006A1AFC" w:rsidRPr="00885AB3" w:rsidRDefault="004B5AFE" w:rsidP="00120D61">
            <w:pPr>
              <w:pStyle w:val="PBACTabletext"/>
              <w:keepLines w:val="0"/>
              <w:spacing w:after="0"/>
              <w:jc w:val="center"/>
              <w:rPr>
                <w:rFonts w:ascii="Arial Narrow" w:hAnsi="Arial Narrow" w:cs="Calibri"/>
                <w:sz w:val="20"/>
                <w:szCs w:val="20"/>
              </w:rPr>
            </w:pPr>
            <w:r w:rsidRPr="004B5AFE">
              <w:rPr>
                <w:rFonts w:ascii="Arial Narrow" w:hAnsi="Arial Narrow" w:cs="Calibri"/>
                <w:color w:val="000000"/>
                <w:sz w:val="20"/>
                <w:szCs w:val="20"/>
                <w:highlight w:val="black"/>
              </w:rPr>
              <w:t xml:space="preserve"> &amp;&amp;&amp;&amp;</w:t>
            </w:r>
            <w:r w:rsidR="006A1AFC" w:rsidRPr="00885AB3">
              <w:rPr>
                <w:rFonts w:ascii="Arial Narrow" w:hAnsi="Arial Narrow" w:cs="Calibri"/>
                <w:color w:val="000000"/>
                <w:sz w:val="20"/>
                <w:szCs w:val="20"/>
              </w:rPr>
              <w:t>%</w:t>
            </w:r>
          </w:p>
        </w:tc>
      </w:tr>
      <w:tr w:rsidR="006A1AFC" w:rsidRPr="00885AB3" w14:paraId="0B0AF599" w14:textId="77777777">
        <w:trPr>
          <w:cantSplit/>
          <w:trHeight w:val="20"/>
        </w:trPr>
        <w:tc>
          <w:tcPr>
            <w:tcW w:w="421" w:type="dxa"/>
          </w:tcPr>
          <w:p w14:paraId="12416C2D" w14:textId="77777777" w:rsidR="006A1AFC" w:rsidRPr="00885AB3" w:rsidRDefault="006A1AFC" w:rsidP="00120D61">
            <w:pPr>
              <w:pStyle w:val="PBACTabletext"/>
              <w:keepLines w:val="0"/>
              <w:spacing w:after="0"/>
              <w:jc w:val="center"/>
              <w:rPr>
                <w:rFonts w:ascii="Arial Narrow" w:hAnsi="Arial Narrow"/>
                <w:b/>
                <w:bCs/>
                <w:sz w:val="20"/>
                <w:szCs w:val="20"/>
              </w:rPr>
            </w:pPr>
          </w:p>
        </w:tc>
        <w:tc>
          <w:tcPr>
            <w:tcW w:w="8520" w:type="dxa"/>
            <w:gridSpan w:val="5"/>
            <w:tcMar>
              <w:left w:w="28" w:type="dxa"/>
              <w:right w:w="28" w:type="dxa"/>
            </w:tcMar>
            <w:vAlign w:val="center"/>
          </w:tcPr>
          <w:p w14:paraId="72DFB40B" w14:textId="77777777" w:rsidR="006A1AFC" w:rsidRPr="00885AB3" w:rsidRDefault="006A1AFC" w:rsidP="00120D61">
            <w:pPr>
              <w:pStyle w:val="PBACTabletext"/>
              <w:keepLines w:val="0"/>
              <w:spacing w:after="0"/>
              <w:rPr>
                <w:rFonts w:ascii="Arial Narrow" w:hAnsi="Arial Narrow" w:cs="Calibri"/>
                <w:sz w:val="20"/>
                <w:szCs w:val="20"/>
              </w:rPr>
            </w:pPr>
            <w:r w:rsidRPr="00885AB3">
              <w:rPr>
                <w:rFonts w:ascii="Arial Narrow" w:hAnsi="Arial Narrow"/>
                <w:b/>
                <w:bCs/>
                <w:sz w:val="20"/>
                <w:szCs w:val="20"/>
              </w:rPr>
              <w:t>Seasonality (base case: seasonality applied)</w:t>
            </w:r>
          </w:p>
        </w:tc>
      </w:tr>
      <w:tr w:rsidR="006A1AFC" w:rsidRPr="00885AB3" w14:paraId="4CA6FEBC" w14:textId="77777777">
        <w:trPr>
          <w:cantSplit/>
          <w:trHeight w:val="20"/>
        </w:trPr>
        <w:tc>
          <w:tcPr>
            <w:tcW w:w="421" w:type="dxa"/>
          </w:tcPr>
          <w:p w14:paraId="3E7C9BC4" w14:textId="77777777" w:rsidR="006A1AFC" w:rsidRPr="00885AB3" w:rsidRDefault="006A1AFC" w:rsidP="00120D61">
            <w:pPr>
              <w:pStyle w:val="PBACTabletext"/>
              <w:keepLines w:val="0"/>
              <w:spacing w:after="0"/>
              <w:jc w:val="center"/>
              <w:rPr>
                <w:rFonts w:ascii="Arial Narrow" w:hAnsi="Arial Narrow"/>
                <w:sz w:val="20"/>
                <w:szCs w:val="20"/>
              </w:rPr>
            </w:pPr>
            <w:r w:rsidRPr="00885AB3">
              <w:rPr>
                <w:rFonts w:ascii="Arial Narrow" w:hAnsi="Arial Narrow"/>
                <w:sz w:val="20"/>
                <w:szCs w:val="20"/>
              </w:rPr>
              <w:t>B</w:t>
            </w:r>
          </w:p>
        </w:tc>
        <w:tc>
          <w:tcPr>
            <w:tcW w:w="4394" w:type="dxa"/>
            <w:tcMar>
              <w:left w:w="28" w:type="dxa"/>
              <w:right w:w="28" w:type="dxa"/>
            </w:tcMar>
            <w:vAlign w:val="center"/>
          </w:tcPr>
          <w:p w14:paraId="4D7075FC" w14:textId="77777777" w:rsidR="006A1AFC" w:rsidRPr="00885AB3" w:rsidRDefault="006A1AFC" w:rsidP="00120D61">
            <w:pPr>
              <w:pStyle w:val="PBACTabletext"/>
              <w:keepLines w:val="0"/>
              <w:spacing w:after="0"/>
              <w:rPr>
                <w:rFonts w:ascii="Arial Narrow" w:hAnsi="Arial Narrow"/>
                <w:sz w:val="20"/>
                <w:szCs w:val="20"/>
              </w:rPr>
            </w:pPr>
            <w:r w:rsidRPr="00885AB3">
              <w:rPr>
                <w:rFonts w:ascii="Arial Narrow" w:hAnsi="Arial Narrow"/>
                <w:sz w:val="20"/>
                <w:szCs w:val="20"/>
              </w:rPr>
              <w:t>Seasonality removed</w:t>
            </w:r>
          </w:p>
        </w:tc>
        <w:tc>
          <w:tcPr>
            <w:tcW w:w="1376" w:type="dxa"/>
            <w:tcMar>
              <w:left w:w="28" w:type="dxa"/>
              <w:right w:w="28" w:type="dxa"/>
            </w:tcMar>
            <w:vAlign w:val="center"/>
          </w:tcPr>
          <w:p w14:paraId="6E6B1ED5" w14:textId="13461C74" w:rsidR="006A1AFC" w:rsidRPr="00885AB3" w:rsidRDefault="006A1AFC" w:rsidP="00120D61">
            <w:pPr>
              <w:pStyle w:val="PBACTabletext"/>
              <w:keepLines w:val="0"/>
              <w:spacing w:after="0"/>
              <w:jc w:val="center"/>
              <w:rPr>
                <w:rFonts w:ascii="Arial Narrow" w:hAnsi="Arial Narrow" w:cs="Calibri"/>
                <w:sz w:val="20"/>
                <w:szCs w:val="20"/>
              </w:rPr>
            </w:pPr>
            <w:r w:rsidRPr="00885AB3">
              <w:rPr>
                <w:rFonts w:ascii="Arial Narrow" w:hAnsi="Arial Narrow" w:cs="Calibri"/>
                <w:color w:val="000000"/>
                <w:sz w:val="20"/>
                <w:szCs w:val="20"/>
              </w:rPr>
              <w:t>$</w:t>
            </w:r>
            <w:r w:rsidR="004B5AFE" w:rsidRPr="004B5AFE">
              <w:rPr>
                <w:rFonts w:ascii="Arial Narrow" w:hAnsi="Arial Narrow" w:cs="Calibri"/>
                <w:color w:val="000000"/>
                <w:sz w:val="20"/>
                <w:szCs w:val="20"/>
                <w:highlight w:val="black"/>
              </w:rPr>
              <w:t xml:space="preserve"> &amp;&amp;&amp;&amp;</w:t>
            </w:r>
          </w:p>
        </w:tc>
        <w:tc>
          <w:tcPr>
            <w:tcW w:w="1040" w:type="dxa"/>
            <w:tcMar>
              <w:left w:w="28" w:type="dxa"/>
              <w:right w:w="28" w:type="dxa"/>
            </w:tcMar>
            <w:vAlign w:val="center"/>
          </w:tcPr>
          <w:p w14:paraId="1E8ACCDD" w14:textId="77777777" w:rsidR="006A1AFC" w:rsidRPr="00885AB3" w:rsidRDefault="006A1AFC" w:rsidP="00120D61">
            <w:pPr>
              <w:pStyle w:val="PBACTabletext"/>
              <w:keepLines w:val="0"/>
              <w:spacing w:after="0"/>
              <w:jc w:val="center"/>
              <w:rPr>
                <w:rFonts w:ascii="Arial Narrow" w:hAnsi="Arial Narrow" w:cs="Calibri"/>
                <w:sz w:val="20"/>
                <w:szCs w:val="20"/>
              </w:rPr>
            </w:pPr>
            <w:r w:rsidRPr="00885AB3">
              <w:rPr>
                <w:rFonts w:ascii="Arial Narrow" w:hAnsi="Arial Narrow" w:cs="Calibri"/>
                <w:color w:val="000000"/>
                <w:sz w:val="20"/>
                <w:szCs w:val="20"/>
              </w:rPr>
              <w:t>7,778</w:t>
            </w:r>
          </w:p>
        </w:tc>
        <w:tc>
          <w:tcPr>
            <w:tcW w:w="844" w:type="dxa"/>
            <w:tcMar>
              <w:left w:w="28" w:type="dxa"/>
              <w:right w:w="28" w:type="dxa"/>
            </w:tcMar>
            <w:vAlign w:val="center"/>
          </w:tcPr>
          <w:p w14:paraId="4DE1FAF3" w14:textId="3715C2FB" w:rsidR="006A1AFC" w:rsidRPr="00880FE9" w:rsidRDefault="006A1AFC" w:rsidP="00120D61">
            <w:pPr>
              <w:pStyle w:val="PBACTabletext"/>
              <w:keepLines w:val="0"/>
              <w:spacing w:after="0"/>
              <w:jc w:val="center"/>
              <w:rPr>
                <w:rFonts w:ascii="Arial Narrow" w:hAnsi="Arial Narrow" w:cs="Calibri"/>
                <w:sz w:val="20"/>
                <w:szCs w:val="20"/>
                <w:vertAlign w:val="superscript"/>
              </w:rPr>
            </w:pPr>
            <w:r w:rsidRPr="00885AB3">
              <w:rPr>
                <w:rFonts w:ascii="Arial Narrow" w:hAnsi="Arial Narrow" w:cs="Calibri"/>
                <w:color w:val="000000"/>
                <w:sz w:val="20"/>
                <w:szCs w:val="20"/>
              </w:rPr>
              <w:t>$</w:t>
            </w:r>
            <w:r w:rsidR="004B5AFE" w:rsidRPr="004B5AFE">
              <w:rPr>
                <w:rFonts w:ascii="Arial Narrow" w:hAnsi="Arial Narrow" w:cs="Calibri"/>
                <w:color w:val="000000"/>
                <w:sz w:val="20"/>
                <w:szCs w:val="20"/>
                <w:highlight w:val="black"/>
              </w:rPr>
              <w:t xml:space="preserve"> &amp;&amp;&amp;&amp;</w:t>
            </w:r>
            <w:r w:rsidR="00880FE9">
              <w:rPr>
                <w:rFonts w:ascii="Arial Narrow" w:hAnsi="Arial Narrow" w:cs="Calibri"/>
                <w:color w:val="000000"/>
                <w:sz w:val="20"/>
                <w:szCs w:val="20"/>
                <w:vertAlign w:val="superscript"/>
              </w:rPr>
              <w:t>1</w:t>
            </w:r>
          </w:p>
        </w:tc>
        <w:tc>
          <w:tcPr>
            <w:tcW w:w="866" w:type="dxa"/>
            <w:tcMar>
              <w:left w:w="28" w:type="dxa"/>
              <w:right w:w="28" w:type="dxa"/>
            </w:tcMar>
            <w:vAlign w:val="center"/>
          </w:tcPr>
          <w:p w14:paraId="71650CBF" w14:textId="0936BB07" w:rsidR="006A1AFC" w:rsidRPr="00885AB3" w:rsidRDefault="006A1AFC" w:rsidP="00120D61">
            <w:pPr>
              <w:pStyle w:val="PBACTabletext"/>
              <w:keepLines w:val="0"/>
              <w:spacing w:after="0"/>
              <w:jc w:val="center"/>
              <w:rPr>
                <w:rFonts w:ascii="Arial Narrow" w:hAnsi="Arial Narrow" w:cs="Calibri"/>
                <w:sz w:val="20"/>
                <w:szCs w:val="20"/>
              </w:rPr>
            </w:pPr>
            <w:r w:rsidRPr="00885AB3">
              <w:rPr>
                <w:rFonts w:ascii="Arial Narrow" w:hAnsi="Arial Narrow" w:cs="Calibri"/>
                <w:color w:val="000000"/>
                <w:sz w:val="20"/>
                <w:szCs w:val="20"/>
              </w:rPr>
              <w:t>+</w:t>
            </w:r>
            <w:r w:rsidR="004B5AFE" w:rsidRPr="004B5AFE">
              <w:rPr>
                <w:rFonts w:ascii="Arial Narrow" w:hAnsi="Arial Narrow" w:cs="Calibri"/>
                <w:color w:val="000000"/>
                <w:sz w:val="20"/>
                <w:szCs w:val="20"/>
                <w:highlight w:val="black"/>
              </w:rPr>
              <w:t xml:space="preserve"> &amp;&amp;&amp;&amp;</w:t>
            </w:r>
            <w:r w:rsidRPr="00885AB3">
              <w:rPr>
                <w:rFonts w:ascii="Arial Narrow" w:hAnsi="Arial Narrow" w:cs="Calibri"/>
                <w:color w:val="000000"/>
                <w:sz w:val="20"/>
                <w:szCs w:val="20"/>
              </w:rPr>
              <w:t>%</w:t>
            </w:r>
          </w:p>
        </w:tc>
      </w:tr>
      <w:tr w:rsidR="006A1AFC" w:rsidRPr="00885AB3" w14:paraId="343EAFF5" w14:textId="77777777">
        <w:trPr>
          <w:cantSplit/>
          <w:trHeight w:val="20"/>
        </w:trPr>
        <w:tc>
          <w:tcPr>
            <w:tcW w:w="421" w:type="dxa"/>
          </w:tcPr>
          <w:p w14:paraId="3D875C2C" w14:textId="77777777" w:rsidR="006A1AFC" w:rsidRPr="00885AB3" w:rsidRDefault="006A1AFC" w:rsidP="00120D61">
            <w:pPr>
              <w:pStyle w:val="PBACTabletext"/>
              <w:keepLines w:val="0"/>
              <w:spacing w:after="0"/>
              <w:jc w:val="center"/>
              <w:rPr>
                <w:rFonts w:ascii="Arial Narrow" w:hAnsi="Arial Narrow"/>
                <w:b/>
                <w:bCs/>
                <w:sz w:val="20"/>
                <w:szCs w:val="20"/>
              </w:rPr>
            </w:pPr>
          </w:p>
        </w:tc>
        <w:tc>
          <w:tcPr>
            <w:tcW w:w="8520" w:type="dxa"/>
            <w:gridSpan w:val="5"/>
            <w:tcMar>
              <w:left w:w="28" w:type="dxa"/>
              <w:right w:w="28" w:type="dxa"/>
            </w:tcMar>
            <w:vAlign w:val="center"/>
          </w:tcPr>
          <w:p w14:paraId="0CE7D0B7" w14:textId="5CB6EC43" w:rsidR="006A1AFC" w:rsidRPr="00885AB3" w:rsidRDefault="006A1AFC" w:rsidP="00120D61">
            <w:pPr>
              <w:pStyle w:val="PBACTabletext"/>
              <w:keepLines w:val="0"/>
              <w:spacing w:after="0"/>
              <w:rPr>
                <w:rFonts w:ascii="Arial Narrow" w:hAnsi="Arial Narrow" w:cs="Calibri"/>
                <w:b/>
                <w:bCs/>
                <w:sz w:val="20"/>
                <w:szCs w:val="20"/>
              </w:rPr>
            </w:pPr>
            <w:r w:rsidRPr="00885AB3">
              <w:rPr>
                <w:rFonts w:ascii="Arial Narrow" w:hAnsi="Arial Narrow"/>
                <w:b/>
                <w:bCs/>
                <w:sz w:val="20"/>
                <w:szCs w:val="20"/>
              </w:rPr>
              <w:t>Hospitalisation rate, incidence rate and calibration scenario (base case: hospitalisation rate: 0.00360, MA-RSV-ARD</w:t>
            </w:r>
            <w:r w:rsidR="00E4077F" w:rsidRPr="00885AB3">
              <w:rPr>
                <w:rFonts w:ascii="Arial Narrow" w:hAnsi="Arial Narrow"/>
                <w:b/>
                <w:bCs/>
                <w:sz w:val="20"/>
                <w:szCs w:val="20"/>
              </w:rPr>
              <w:t xml:space="preserve"> incidence</w:t>
            </w:r>
            <w:r w:rsidRPr="00885AB3">
              <w:rPr>
                <w:rFonts w:ascii="Arial Narrow" w:hAnsi="Arial Narrow"/>
                <w:b/>
                <w:bCs/>
                <w:sz w:val="20"/>
                <w:szCs w:val="20"/>
              </w:rPr>
              <w:t xml:space="preserve">: 6.5%, </w:t>
            </w:r>
            <w:r w:rsidR="001A4550" w:rsidRPr="00885AB3">
              <w:rPr>
                <w:rFonts w:ascii="Arial Narrow" w:hAnsi="Arial Narrow"/>
                <w:b/>
                <w:bCs/>
                <w:sz w:val="20"/>
                <w:szCs w:val="20"/>
              </w:rPr>
              <w:t>proportion of RSV that is</w:t>
            </w:r>
            <w:r w:rsidR="001A4550" w:rsidRPr="00885AB3">
              <w:rPr>
                <w:rFonts w:ascii="Arial Narrow" w:hAnsi="Arial Narrow"/>
                <w:sz w:val="20"/>
                <w:szCs w:val="20"/>
              </w:rPr>
              <w:t xml:space="preserve"> </w:t>
            </w:r>
            <w:r w:rsidRPr="00885AB3">
              <w:rPr>
                <w:rFonts w:ascii="Arial Narrow" w:hAnsi="Arial Narrow"/>
                <w:b/>
                <w:bCs/>
                <w:sz w:val="20"/>
                <w:szCs w:val="20"/>
              </w:rPr>
              <w:t>RSV-LRTD: 16.8%, RSV-LRTD hospitalisation proportion: 32.8%)</w:t>
            </w:r>
          </w:p>
        </w:tc>
      </w:tr>
      <w:tr w:rsidR="006A1AFC" w:rsidRPr="00885AB3" w14:paraId="32E6F73F" w14:textId="77777777">
        <w:trPr>
          <w:cantSplit/>
          <w:trHeight w:val="20"/>
        </w:trPr>
        <w:tc>
          <w:tcPr>
            <w:tcW w:w="421" w:type="dxa"/>
          </w:tcPr>
          <w:p w14:paraId="63F11BAD" w14:textId="77777777" w:rsidR="006A1AFC" w:rsidRPr="00885AB3" w:rsidRDefault="006A1AFC" w:rsidP="00120D61">
            <w:pPr>
              <w:pStyle w:val="PBACTabletext"/>
              <w:keepLines w:val="0"/>
              <w:spacing w:after="0"/>
              <w:jc w:val="center"/>
              <w:rPr>
                <w:rFonts w:ascii="Arial Narrow" w:hAnsi="Arial Narrow"/>
                <w:sz w:val="20"/>
                <w:szCs w:val="20"/>
              </w:rPr>
            </w:pPr>
            <w:r w:rsidRPr="00885AB3">
              <w:rPr>
                <w:rFonts w:ascii="Arial Narrow" w:hAnsi="Arial Narrow"/>
                <w:sz w:val="20"/>
                <w:szCs w:val="20"/>
              </w:rPr>
              <w:t>C</w:t>
            </w:r>
          </w:p>
        </w:tc>
        <w:tc>
          <w:tcPr>
            <w:tcW w:w="4394" w:type="dxa"/>
            <w:tcMar>
              <w:left w:w="28" w:type="dxa"/>
              <w:right w:w="28" w:type="dxa"/>
            </w:tcMar>
            <w:vAlign w:val="center"/>
          </w:tcPr>
          <w:p w14:paraId="2427558E" w14:textId="317CCE27" w:rsidR="0000495A" w:rsidRPr="00885AB3" w:rsidRDefault="006A1AFC" w:rsidP="00120D61">
            <w:pPr>
              <w:pStyle w:val="PBACTabletext"/>
              <w:keepLines w:val="0"/>
              <w:spacing w:after="0"/>
              <w:rPr>
                <w:rFonts w:ascii="Arial Narrow" w:hAnsi="Arial Narrow"/>
                <w:sz w:val="20"/>
                <w:szCs w:val="20"/>
              </w:rPr>
            </w:pPr>
            <w:r w:rsidRPr="00885AB3">
              <w:rPr>
                <w:rFonts w:ascii="Arial Narrow" w:hAnsi="Arial Narrow"/>
                <w:sz w:val="20"/>
                <w:szCs w:val="20"/>
              </w:rPr>
              <w:t>Hospitalisation rate: 0.00384</w:t>
            </w:r>
            <w:r w:rsidR="004E5F89" w:rsidRPr="00885AB3">
              <w:rPr>
                <w:rFonts w:ascii="Arial Narrow" w:hAnsi="Arial Narrow"/>
                <w:sz w:val="20"/>
                <w:szCs w:val="20"/>
              </w:rPr>
              <w:t xml:space="preserve"> </w:t>
            </w:r>
            <w:r w:rsidR="004F7276" w:rsidRPr="00885AB3">
              <w:rPr>
                <w:rFonts w:ascii="Arial Narrow" w:hAnsi="Arial Narrow"/>
                <w:sz w:val="20"/>
                <w:szCs w:val="20"/>
              </w:rPr>
              <w:t xml:space="preserve">(para 7.16, </w:t>
            </w:r>
            <w:proofErr w:type="spellStart"/>
            <w:r w:rsidR="004F7276" w:rsidRPr="00885AB3">
              <w:rPr>
                <w:rFonts w:ascii="Arial Narrow" w:hAnsi="Arial Narrow"/>
                <w:sz w:val="20"/>
                <w:szCs w:val="20"/>
              </w:rPr>
              <w:t>RSVPreF</w:t>
            </w:r>
            <w:proofErr w:type="spellEnd"/>
            <w:r w:rsidR="004F7276" w:rsidRPr="00885AB3">
              <w:rPr>
                <w:rFonts w:ascii="Arial Narrow" w:hAnsi="Arial Narrow"/>
                <w:sz w:val="20"/>
                <w:szCs w:val="20"/>
              </w:rPr>
              <w:t xml:space="preserve"> PSD, November 2024)</w:t>
            </w:r>
            <w:r w:rsidRPr="00885AB3">
              <w:rPr>
                <w:rFonts w:ascii="Arial Narrow" w:hAnsi="Arial Narrow"/>
                <w:sz w:val="20"/>
                <w:szCs w:val="20"/>
              </w:rPr>
              <w:t xml:space="preserve">, </w:t>
            </w:r>
          </w:p>
          <w:p w14:paraId="0896DE00" w14:textId="7D96D22A" w:rsidR="00CE33A4" w:rsidRPr="00885AB3" w:rsidRDefault="006A1AFC" w:rsidP="00120D61">
            <w:pPr>
              <w:pStyle w:val="PBACTabletext"/>
              <w:keepLines w:val="0"/>
              <w:spacing w:after="0"/>
              <w:rPr>
                <w:rFonts w:ascii="Arial Narrow" w:hAnsi="Arial Narrow"/>
                <w:sz w:val="20"/>
                <w:szCs w:val="20"/>
              </w:rPr>
            </w:pPr>
            <w:r w:rsidRPr="00885AB3">
              <w:rPr>
                <w:rFonts w:ascii="Arial Narrow" w:hAnsi="Arial Narrow"/>
                <w:sz w:val="20"/>
                <w:szCs w:val="20"/>
              </w:rPr>
              <w:t>MA-RSV-ARD</w:t>
            </w:r>
            <w:r w:rsidR="00517F74" w:rsidRPr="00885AB3">
              <w:rPr>
                <w:rFonts w:ascii="Arial Narrow" w:hAnsi="Arial Narrow"/>
                <w:sz w:val="20"/>
                <w:szCs w:val="20"/>
              </w:rPr>
              <w:t xml:space="preserve"> incidence</w:t>
            </w:r>
            <w:r w:rsidRPr="00885AB3">
              <w:rPr>
                <w:rFonts w:ascii="Arial Narrow" w:hAnsi="Arial Narrow"/>
                <w:sz w:val="20"/>
                <w:szCs w:val="20"/>
              </w:rPr>
              <w:t>: 4.12%</w:t>
            </w:r>
            <w:r w:rsidR="00D32260" w:rsidRPr="00885AB3">
              <w:rPr>
                <w:rFonts w:ascii="Arial Narrow" w:hAnsi="Arial Narrow"/>
                <w:sz w:val="20"/>
                <w:szCs w:val="20"/>
              </w:rPr>
              <w:t xml:space="preserve"> (Table 13, </w:t>
            </w:r>
            <w:proofErr w:type="spellStart"/>
            <w:r w:rsidR="00D32260" w:rsidRPr="00885AB3">
              <w:rPr>
                <w:rFonts w:ascii="Arial Narrow" w:hAnsi="Arial Narrow"/>
                <w:sz w:val="20"/>
                <w:szCs w:val="20"/>
              </w:rPr>
              <w:t>RSVPreF</w:t>
            </w:r>
            <w:proofErr w:type="spellEnd"/>
            <w:r w:rsidR="00D32260" w:rsidRPr="00885AB3">
              <w:rPr>
                <w:rFonts w:ascii="Arial Narrow" w:hAnsi="Arial Narrow"/>
                <w:sz w:val="20"/>
                <w:szCs w:val="20"/>
              </w:rPr>
              <w:t xml:space="preserve"> PSD, November 2024)</w:t>
            </w:r>
            <w:r w:rsidRPr="00885AB3">
              <w:rPr>
                <w:rFonts w:ascii="Arial Narrow" w:hAnsi="Arial Narrow"/>
                <w:sz w:val="20"/>
                <w:szCs w:val="20"/>
              </w:rPr>
              <w:t xml:space="preserve">, </w:t>
            </w:r>
          </w:p>
          <w:p w14:paraId="1A28E47D" w14:textId="62A1633D" w:rsidR="00C44BE1" w:rsidRPr="00885AB3" w:rsidRDefault="00CE33A4" w:rsidP="00120D61">
            <w:pPr>
              <w:pStyle w:val="PBACTabletext"/>
              <w:keepLines w:val="0"/>
              <w:spacing w:after="0"/>
              <w:rPr>
                <w:rFonts w:ascii="Arial Narrow" w:hAnsi="Arial Narrow"/>
                <w:sz w:val="20"/>
                <w:szCs w:val="20"/>
              </w:rPr>
            </w:pPr>
            <w:r w:rsidRPr="00885AB3">
              <w:rPr>
                <w:rFonts w:ascii="Arial Narrow" w:hAnsi="Arial Narrow"/>
                <w:sz w:val="20"/>
                <w:szCs w:val="20"/>
              </w:rPr>
              <w:t xml:space="preserve">Proportion of RSV that is </w:t>
            </w:r>
            <w:r w:rsidR="006A1AFC" w:rsidRPr="00885AB3">
              <w:rPr>
                <w:rFonts w:ascii="Arial Narrow" w:hAnsi="Arial Narrow"/>
                <w:sz w:val="20"/>
                <w:szCs w:val="20"/>
              </w:rPr>
              <w:t>RSV-LRTD: 28.5%</w:t>
            </w:r>
            <w:r w:rsidR="00084A6D" w:rsidRPr="00885AB3">
              <w:rPr>
                <w:rFonts w:ascii="Arial Narrow" w:hAnsi="Arial Narrow"/>
                <w:sz w:val="20"/>
                <w:szCs w:val="20"/>
              </w:rPr>
              <w:t xml:space="preserve"> (back calculate)</w:t>
            </w:r>
            <w:r w:rsidR="006A1AFC" w:rsidRPr="00885AB3">
              <w:rPr>
                <w:rFonts w:ascii="Arial Narrow" w:hAnsi="Arial Narrow"/>
                <w:sz w:val="20"/>
                <w:szCs w:val="20"/>
              </w:rPr>
              <w:t xml:space="preserve">, </w:t>
            </w:r>
          </w:p>
          <w:p w14:paraId="5CF5444E" w14:textId="35F8FB7C" w:rsidR="00C44BE1" w:rsidRPr="00885AB3" w:rsidRDefault="006A1AFC" w:rsidP="00120D61">
            <w:pPr>
              <w:pStyle w:val="PBACTabletext"/>
              <w:keepLines w:val="0"/>
              <w:spacing w:after="0"/>
              <w:rPr>
                <w:rFonts w:ascii="Arial Narrow" w:hAnsi="Arial Narrow"/>
                <w:sz w:val="20"/>
                <w:szCs w:val="20"/>
              </w:rPr>
            </w:pPr>
            <w:r w:rsidRPr="00885AB3">
              <w:rPr>
                <w:rFonts w:ascii="Arial Narrow" w:hAnsi="Arial Narrow"/>
                <w:sz w:val="20"/>
                <w:szCs w:val="20"/>
              </w:rPr>
              <w:t xml:space="preserve">RSV-LRTD hospitalisation proportion; 32.8%; </w:t>
            </w:r>
          </w:p>
          <w:p w14:paraId="33BF953D" w14:textId="56AE2BD3" w:rsidR="006A1AFC" w:rsidRPr="00885AB3" w:rsidRDefault="006A1AFC" w:rsidP="00120D61">
            <w:pPr>
              <w:pStyle w:val="PBACTabletext"/>
              <w:keepLines w:val="0"/>
              <w:spacing w:after="0"/>
              <w:rPr>
                <w:rFonts w:ascii="Arial Narrow" w:hAnsi="Arial Narrow"/>
                <w:sz w:val="20"/>
                <w:szCs w:val="20"/>
              </w:rPr>
            </w:pPr>
            <w:r w:rsidRPr="00885AB3">
              <w:rPr>
                <w:rFonts w:ascii="Arial Narrow" w:hAnsi="Arial Narrow"/>
                <w:sz w:val="20"/>
                <w:szCs w:val="20"/>
              </w:rPr>
              <w:t xml:space="preserve">i.e. scenario #2 from </w:t>
            </w:r>
            <w:r w:rsidRPr="00885AB3">
              <w:rPr>
                <w:rFonts w:ascii="Arial Narrow" w:hAnsi="Arial Narrow"/>
                <w:szCs w:val="20"/>
              </w:rPr>
              <w:fldChar w:fldCharType="begin" w:fldLock="1"/>
            </w:r>
            <w:r w:rsidRPr="00885AB3">
              <w:rPr>
                <w:rFonts w:ascii="Arial Narrow" w:hAnsi="Arial Narrow"/>
                <w:sz w:val="20"/>
                <w:szCs w:val="20"/>
              </w:rPr>
              <w:instrText xml:space="preserve"> REF _Ref205826088 \h  \* MERGEFORMAT </w:instrText>
            </w:r>
            <w:r w:rsidRPr="00885AB3">
              <w:rPr>
                <w:rFonts w:ascii="Arial Narrow" w:hAnsi="Arial Narrow"/>
                <w:szCs w:val="20"/>
              </w:rPr>
            </w:r>
            <w:r w:rsidRPr="00885AB3">
              <w:rPr>
                <w:rFonts w:ascii="Arial Narrow" w:hAnsi="Arial Narrow"/>
                <w:szCs w:val="20"/>
              </w:rPr>
              <w:fldChar w:fldCharType="separate"/>
            </w:r>
            <w:r w:rsidR="00515933" w:rsidRPr="00885AB3">
              <w:rPr>
                <w:rFonts w:ascii="Arial Narrow" w:hAnsi="Arial Narrow"/>
                <w:sz w:val="20"/>
                <w:szCs w:val="20"/>
              </w:rPr>
              <w:t>Table 18</w:t>
            </w:r>
            <w:r w:rsidRPr="00885AB3">
              <w:rPr>
                <w:rFonts w:ascii="Arial Narrow" w:hAnsi="Arial Narrow"/>
                <w:szCs w:val="20"/>
              </w:rPr>
              <w:fldChar w:fldCharType="end"/>
            </w:r>
            <w:r w:rsidRPr="00885AB3">
              <w:rPr>
                <w:rFonts w:ascii="Arial Narrow" w:hAnsi="Arial Narrow"/>
                <w:sz w:val="20"/>
                <w:szCs w:val="20"/>
              </w:rPr>
              <w:t>.</w:t>
            </w:r>
            <w:r w:rsidRPr="00885AB3" w:rsidDel="003C5CE7">
              <w:rPr>
                <w:rFonts w:ascii="Arial Narrow" w:hAnsi="Arial Narrow"/>
                <w:sz w:val="20"/>
                <w:szCs w:val="20"/>
              </w:rPr>
              <w:t xml:space="preserve"> </w:t>
            </w:r>
          </w:p>
        </w:tc>
        <w:tc>
          <w:tcPr>
            <w:tcW w:w="1376" w:type="dxa"/>
            <w:tcMar>
              <w:left w:w="28" w:type="dxa"/>
              <w:right w:w="28" w:type="dxa"/>
            </w:tcMar>
            <w:vAlign w:val="center"/>
          </w:tcPr>
          <w:p w14:paraId="57CD1362" w14:textId="21917021" w:rsidR="006A1AFC" w:rsidRPr="00885AB3" w:rsidRDefault="006A1AFC" w:rsidP="00120D61">
            <w:pPr>
              <w:pStyle w:val="PBACTabletext"/>
              <w:keepLines w:val="0"/>
              <w:spacing w:after="0"/>
              <w:jc w:val="center"/>
              <w:rPr>
                <w:rFonts w:ascii="Arial Narrow" w:hAnsi="Arial Narrow" w:cs="Calibri"/>
                <w:sz w:val="20"/>
                <w:szCs w:val="20"/>
              </w:rPr>
            </w:pPr>
            <w:r w:rsidRPr="00885AB3">
              <w:rPr>
                <w:rFonts w:ascii="Arial Narrow" w:hAnsi="Arial Narrow" w:cs="Calibri"/>
                <w:color w:val="000000"/>
                <w:sz w:val="20"/>
                <w:szCs w:val="20"/>
              </w:rPr>
              <w:t>$</w:t>
            </w:r>
            <w:r w:rsidR="004B5AFE" w:rsidRPr="004B5AFE">
              <w:rPr>
                <w:rFonts w:ascii="Arial Narrow" w:hAnsi="Arial Narrow" w:cs="Calibri"/>
                <w:color w:val="000000"/>
                <w:sz w:val="20"/>
                <w:szCs w:val="20"/>
                <w:highlight w:val="black"/>
              </w:rPr>
              <w:t xml:space="preserve"> &amp;&amp;&amp;&amp;</w:t>
            </w:r>
          </w:p>
        </w:tc>
        <w:tc>
          <w:tcPr>
            <w:tcW w:w="1040" w:type="dxa"/>
            <w:tcMar>
              <w:left w:w="28" w:type="dxa"/>
              <w:right w:w="28" w:type="dxa"/>
            </w:tcMar>
            <w:vAlign w:val="center"/>
          </w:tcPr>
          <w:p w14:paraId="716D88B7" w14:textId="77777777" w:rsidR="006A1AFC" w:rsidRPr="00885AB3" w:rsidRDefault="006A1AFC" w:rsidP="00120D61">
            <w:pPr>
              <w:pStyle w:val="PBACTabletext"/>
              <w:keepLines w:val="0"/>
              <w:spacing w:after="0"/>
              <w:jc w:val="center"/>
              <w:rPr>
                <w:rFonts w:ascii="Arial Narrow" w:hAnsi="Arial Narrow" w:cs="Calibri"/>
                <w:sz w:val="20"/>
                <w:szCs w:val="20"/>
              </w:rPr>
            </w:pPr>
            <w:r w:rsidRPr="00885AB3">
              <w:rPr>
                <w:rFonts w:ascii="Arial Narrow" w:hAnsi="Arial Narrow" w:cs="Calibri"/>
                <w:color w:val="000000"/>
                <w:sz w:val="20"/>
                <w:szCs w:val="20"/>
              </w:rPr>
              <w:t>7,582</w:t>
            </w:r>
          </w:p>
        </w:tc>
        <w:tc>
          <w:tcPr>
            <w:tcW w:w="844" w:type="dxa"/>
            <w:tcMar>
              <w:left w:w="28" w:type="dxa"/>
              <w:right w:w="28" w:type="dxa"/>
            </w:tcMar>
            <w:vAlign w:val="center"/>
          </w:tcPr>
          <w:p w14:paraId="1222C6D3" w14:textId="5DAC5C73" w:rsidR="006A1AFC" w:rsidRPr="00880FE9" w:rsidRDefault="006A1AFC" w:rsidP="00120D61">
            <w:pPr>
              <w:pStyle w:val="PBACTabletext"/>
              <w:keepLines w:val="0"/>
              <w:spacing w:after="0"/>
              <w:jc w:val="center"/>
              <w:rPr>
                <w:rFonts w:ascii="Arial Narrow" w:hAnsi="Arial Narrow" w:cs="Calibri"/>
                <w:sz w:val="20"/>
                <w:szCs w:val="20"/>
                <w:vertAlign w:val="superscript"/>
              </w:rPr>
            </w:pPr>
            <w:r w:rsidRPr="00885AB3">
              <w:rPr>
                <w:rFonts w:ascii="Arial Narrow" w:hAnsi="Arial Narrow" w:cs="Calibri"/>
                <w:color w:val="000000"/>
                <w:sz w:val="20"/>
                <w:szCs w:val="20"/>
              </w:rPr>
              <w:t>$</w:t>
            </w:r>
            <w:r w:rsidR="004B5AFE" w:rsidRPr="004B5AFE">
              <w:rPr>
                <w:rFonts w:ascii="Arial Narrow" w:hAnsi="Arial Narrow" w:cs="Calibri"/>
                <w:color w:val="000000"/>
                <w:sz w:val="20"/>
                <w:szCs w:val="20"/>
                <w:highlight w:val="black"/>
              </w:rPr>
              <w:t xml:space="preserve"> &amp;&amp;&amp;&amp;</w:t>
            </w:r>
            <w:r w:rsidR="00880FE9">
              <w:rPr>
                <w:rFonts w:ascii="Arial Narrow" w:hAnsi="Arial Narrow" w:cs="Calibri"/>
                <w:color w:val="000000"/>
                <w:sz w:val="20"/>
                <w:szCs w:val="20"/>
                <w:vertAlign w:val="superscript"/>
              </w:rPr>
              <w:t>2</w:t>
            </w:r>
          </w:p>
        </w:tc>
        <w:tc>
          <w:tcPr>
            <w:tcW w:w="866" w:type="dxa"/>
            <w:tcMar>
              <w:left w:w="28" w:type="dxa"/>
              <w:right w:w="28" w:type="dxa"/>
            </w:tcMar>
            <w:vAlign w:val="center"/>
          </w:tcPr>
          <w:p w14:paraId="5B324752" w14:textId="5BD5230D" w:rsidR="006A1AFC" w:rsidRPr="00885AB3" w:rsidRDefault="006A1AFC" w:rsidP="00120D61">
            <w:pPr>
              <w:pStyle w:val="PBACTabletext"/>
              <w:keepLines w:val="0"/>
              <w:spacing w:after="0"/>
              <w:jc w:val="center"/>
              <w:rPr>
                <w:rFonts w:ascii="Arial Narrow" w:hAnsi="Arial Narrow" w:cs="Calibri"/>
                <w:sz w:val="20"/>
                <w:szCs w:val="20"/>
              </w:rPr>
            </w:pPr>
            <w:r w:rsidRPr="00885AB3">
              <w:rPr>
                <w:rFonts w:ascii="Arial Narrow" w:hAnsi="Arial Narrow" w:cs="Calibri"/>
                <w:color w:val="000000"/>
                <w:sz w:val="20"/>
                <w:szCs w:val="20"/>
              </w:rPr>
              <w:t>+</w:t>
            </w:r>
            <w:r w:rsidR="004B5AFE" w:rsidRPr="004B5AFE">
              <w:rPr>
                <w:rFonts w:ascii="Arial Narrow" w:hAnsi="Arial Narrow" w:cs="Calibri"/>
                <w:color w:val="000000"/>
                <w:sz w:val="20"/>
                <w:szCs w:val="20"/>
                <w:highlight w:val="black"/>
              </w:rPr>
              <w:t xml:space="preserve"> &amp;&amp;&amp;&amp;</w:t>
            </w:r>
            <w:r w:rsidRPr="00885AB3">
              <w:rPr>
                <w:rFonts w:ascii="Arial Narrow" w:hAnsi="Arial Narrow" w:cs="Calibri"/>
                <w:color w:val="000000"/>
                <w:sz w:val="20"/>
                <w:szCs w:val="20"/>
              </w:rPr>
              <w:t>%</w:t>
            </w:r>
          </w:p>
        </w:tc>
      </w:tr>
      <w:tr w:rsidR="006A1AFC" w:rsidRPr="00885AB3" w14:paraId="7518B40F" w14:textId="77777777">
        <w:trPr>
          <w:cantSplit/>
          <w:trHeight w:val="20"/>
        </w:trPr>
        <w:tc>
          <w:tcPr>
            <w:tcW w:w="421" w:type="dxa"/>
          </w:tcPr>
          <w:p w14:paraId="61A7F949" w14:textId="77777777" w:rsidR="006A1AFC" w:rsidRPr="00885AB3" w:rsidRDefault="006A1AFC" w:rsidP="00120D61">
            <w:pPr>
              <w:pStyle w:val="PBACTabletext"/>
              <w:jc w:val="center"/>
              <w:rPr>
                <w:rFonts w:ascii="Arial Narrow" w:hAnsi="Arial Narrow"/>
                <w:b/>
                <w:bCs/>
                <w:sz w:val="20"/>
                <w:szCs w:val="20"/>
              </w:rPr>
            </w:pPr>
          </w:p>
        </w:tc>
        <w:tc>
          <w:tcPr>
            <w:tcW w:w="8520" w:type="dxa"/>
            <w:gridSpan w:val="5"/>
            <w:tcMar>
              <w:left w:w="28" w:type="dxa"/>
              <w:right w:w="28" w:type="dxa"/>
            </w:tcMar>
            <w:vAlign w:val="center"/>
          </w:tcPr>
          <w:p w14:paraId="041357B7" w14:textId="3908F1CD" w:rsidR="006A1AFC" w:rsidRPr="00885AB3" w:rsidRDefault="006A1AFC" w:rsidP="00120D61">
            <w:pPr>
              <w:pStyle w:val="PBACTabletext"/>
              <w:rPr>
                <w:rFonts w:ascii="Arial Narrow" w:hAnsi="Arial Narrow"/>
                <w:b/>
                <w:bCs/>
                <w:sz w:val="20"/>
                <w:szCs w:val="20"/>
              </w:rPr>
            </w:pPr>
            <w:r w:rsidRPr="00885AB3">
              <w:rPr>
                <w:rFonts w:ascii="Arial Narrow" w:hAnsi="Arial Narrow"/>
                <w:b/>
                <w:bCs/>
                <w:sz w:val="20"/>
                <w:szCs w:val="20"/>
              </w:rPr>
              <w:t xml:space="preserve">RSV-related death (base case: 10.3% </w:t>
            </w:r>
            <w:r w:rsidR="001A7B8D" w:rsidRPr="00885AB3">
              <w:rPr>
                <w:rFonts w:ascii="Arial Narrow" w:hAnsi="Arial Narrow"/>
                <w:b/>
                <w:bCs/>
                <w:sz w:val="20"/>
                <w:szCs w:val="20"/>
              </w:rPr>
              <w:t>for</w:t>
            </w:r>
            <w:r w:rsidRPr="00885AB3">
              <w:rPr>
                <w:rFonts w:ascii="Arial Narrow" w:hAnsi="Arial Narrow"/>
                <w:b/>
                <w:bCs/>
                <w:sz w:val="20"/>
                <w:szCs w:val="20"/>
              </w:rPr>
              <w:t xml:space="preserve"> 75-84 YOA, 14.9% </w:t>
            </w:r>
            <w:r w:rsidR="001A7B8D" w:rsidRPr="00885AB3">
              <w:rPr>
                <w:rFonts w:ascii="Arial Narrow" w:hAnsi="Arial Narrow"/>
                <w:b/>
                <w:bCs/>
                <w:sz w:val="20"/>
                <w:szCs w:val="20"/>
              </w:rPr>
              <w:t>for</w:t>
            </w:r>
            <w:r w:rsidRPr="00885AB3">
              <w:rPr>
                <w:rFonts w:ascii="Arial Narrow" w:hAnsi="Arial Narrow"/>
                <w:b/>
                <w:bCs/>
                <w:sz w:val="20"/>
                <w:szCs w:val="20"/>
              </w:rPr>
              <w:t xml:space="preserve"> </w:t>
            </w:r>
            <w:r w:rsidR="00EF2FA4">
              <w:rPr>
                <w:rFonts w:ascii="Arial Narrow" w:hAnsi="Arial Narrow"/>
                <w:b/>
                <w:bCs/>
                <w:sz w:val="20"/>
                <w:szCs w:val="20"/>
              </w:rPr>
              <w:t xml:space="preserve">≥ </w:t>
            </w:r>
            <w:r w:rsidRPr="00885AB3">
              <w:rPr>
                <w:rFonts w:ascii="Arial Narrow" w:hAnsi="Arial Narrow"/>
                <w:b/>
                <w:bCs/>
                <w:sz w:val="20"/>
                <w:szCs w:val="20"/>
              </w:rPr>
              <w:t>85 YOA</w:t>
            </w:r>
            <w:r w:rsidR="001A7B8D" w:rsidRPr="00885AB3">
              <w:rPr>
                <w:rFonts w:ascii="Arial Narrow" w:hAnsi="Arial Narrow"/>
                <w:b/>
                <w:bCs/>
                <w:sz w:val="20"/>
                <w:szCs w:val="20"/>
              </w:rPr>
              <w:t>)</w:t>
            </w:r>
          </w:p>
        </w:tc>
      </w:tr>
      <w:tr w:rsidR="006A1AFC" w:rsidRPr="00885AB3" w14:paraId="65537F64" w14:textId="77777777">
        <w:trPr>
          <w:cantSplit/>
          <w:trHeight w:val="20"/>
        </w:trPr>
        <w:tc>
          <w:tcPr>
            <w:tcW w:w="421" w:type="dxa"/>
          </w:tcPr>
          <w:p w14:paraId="4FC0A693" w14:textId="77777777" w:rsidR="006A1AFC" w:rsidRPr="00885AB3" w:rsidRDefault="006A1AFC" w:rsidP="00120D61">
            <w:pPr>
              <w:pStyle w:val="PBACTabletext"/>
              <w:keepLines w:val="0"/>
              <w:spacing w:after="0"/>
              <w:jc w:val="center"/>
              <w:rPr>
                <w:rFonts w:ascii="Arial Narrow" w:hAnsi="Arial Narrow"/>
                <w:sz w:val="20"/>
                <w:szCs w:val="20"/>
              </w:rPr>
            </w:pPr>
            <w:r w:rsidRPr="00885AB3">
              <w:rPr>
                <w:rFonts w:ascii="Arial Narrow" w:hAnsi="Arial Narrow"/>
                <w:sz w:val="20"/>
                <w:szCs w:val="20"/>
              </w:rPr>
              <w:t>D</w:t>
            </w:r>
          </w:p>
        </w:tc>
        <w:tc>
          <w:tcPr>
            <w:tcW w:w="4394" w:type="dxa"/>
            <w:tcMar>
              <w:left w:w="28" w:type="dxa"/>
              <w:right w:w="28" w:type="dxa"/>
            </w:tcMar>
            <w:vAlign w:val="center"/>
          </w:tcPr>
          <w:p w14:paraId="2CC32A73" w14:textId="39C69787" w:rsidR="006A1AFC" w:rsidRPr="00885AB3" w:rsidRDefault="006A1AFC" w:rsidP="00120D61">
            <w:pPr>
              <w:pStyle w:val="PBACTabletext"/>
              <w:keepLines w:val="0"/>
              <w:spacing w:after="0"/>
              <w:rPr>
                <w:rFonts w:ascii="Arial Narrow" w:hAnsi="Arial Narrow"/>
                <w:sz w:val="20"/>
                <w:szCs w:val="20"/>
              </w:rPr>
            </w:pPr>
            <w:r w:rsidRPr="00885AB3">
              <w:rPr>
                <w:rFonts w:ascii="Arial Narrow" w:hAnsi="Arial Narrow"/>
                <w:sz w:val="20"/>
                <w:szCs w:val="20"/>
              </w:rPr>
              <w:t xml:space="preserve">4.22% (para 7.16, </w:t>
            </w:r>
            <w:proofErr w:type="spellStart"/>
            <w:r w:rsidRPr="00885AB3">
              <w:rPr>
                <w:rFonts w:ascii="Arial Narrow" w:hAnsi="Arial Narrow"/>
                <w:sz w:val="20"/>
                <w:szCs w:val="20"/>
              </w:rPr>
              <w:t>RSVPreF</w:t>
            </w:r>
            <w:proofErr w:type="spellEnd"/>
            <w:r w:rsidRPr="00885AB3">
              <w:rPr>
                <w:rFonts w:ascii="Arial Narrow" w:hAnsi="Arial Narrow"/>
                <w:sz w:val="20"/>
                <w:szCs w:val="20"/>
              </w:rPr>
              <w:t xml:space="preserve"> PSD, November 2024)</w:t>
            </w:r>
          </w:p>
        </w:tc>
        <w:tc>
          <w:tcPr>
            <w:tcW w:w="1376" w:type="dxa"/>
            <w:tcMar>
              <w:left w:w="28" w:type="dxa"/>
              <w:right w:w="28" w:type="dxa"/>
            </w:tcMar>
            <w:vAlign w:val="center"/>
          </w:tcPr>
          <w:p w14:paraId="56403779" w14:textId="388348BD" w:rsidR="006A1AFC" w:rsidRPr="00885AB3" w:rsidRDefault="006A1AFC" w:rsidP="00120D61">
            <w:pPr>
              <w:pStyle w:val="PBACTabletext"/>
              <w:keepLines w:val="0"/>
              <w:spacing w:after="0"/>
              <w:jc w:val="center"/>
              <w:rPr>
                <w:rFonts w:ascii="Arial Narrow" w:hAnsi="Arial Narrow" w:cs="Calibri"/>
                <w:color w:val="000000"/>
                <w:sz w:val="20"/>
                <w:szCs w:val="20"/>
              </w:rPr>
            </w:pPr>
            <w:r w:rsidRPr="00885AB3">
              <w:rPr>
                <w:rFonts w:ascii="Arial Narrow" w:hAnsi="Arial Narrow" w:cs="Calibri"/>
                <w:color w:val="000000"/>
                <w:sz w:val="20"/>
                <w:szCs w:val="20"/>
              </w:rPr>
              <w:t>$</w:t>
            </w:r>
            <w:r w:rsidR="004B5AFE" w:rsidRPr="004B5AFE">
              <w:rPr>
                <w:rFonts w:ascii="Arial Narrow" w:hAnsi="Arial Narrow" w:cs="Calibri"/>
                <w:color w:val="000000"/>
                <w:sz w:val="20"/>
                <w:szCs w:val="20"/>
                <w:highlight w:val="black"/>
              </w:rPr>
              <w:t xml:space="preserve"> &amp;&amp;&amp;&amp;</w:t>
            </w:r>
          </w:p>
        </w:tc>
        <w:tc>
          <w:tcPr>
            <w:tcW w:w="1040" w:type="dxa"/>
            <w:tcMar>
              <w:left w:w="28" w:type="dxa"/>
              <w:right w:w="28" w:type="dxa"/>
            </w:tcMar>
            <w:vAlign w:val="center"/>
          </w:tcPr>
          <w:p w14:paraId="789CF18C" w14:textId="77777777" w:rsidR="006A1AFC" w:rsidRPr="00885AB3" w:rsidRDefault="006A1AFC" w:rsidP="00120D61">
            <w:pPr>
              <w:pStyle w:val="PBACTabletext"/>
              <w:keepLines w:val="0"/>
              <w:spacing w:after="0"/>
              <w:jc w:val="center"/>
              <w:rPr>
                <w:rFonts w:ascii="Arial Narrow" w:hAnsi="Arial Narrow" w:cs="Calibri"/>
                <w:color w:val="000000"/>
                <w:sz w:val="20"/>
                <w:szCs w:val="20"/>
              </w:rPr>
            </w:pPr>
            <w:r w:rsidRPr="00885AB3">
              <w:rPr>
                <w:rFonts w:ascii="Arial Narrow" w:hAnsi="Arial Narrow" w:cs="Calibri"/>
                <w:color w:val="000000"/>
                <w:sz w:val="20"/>
                <w:szCs w:val="20"/>
              </w:rPr>
              <w:t>4,667</w:t>
            </w:r>
          </w:p>
        </w:tc>
        <w:tc>
          <w:tcPr>
            <w:tcW w:w="844" w:type="dxa"/>
            <w:tcMar>
              <w:left w:w="28" w:type="dxa"/>
              <w:right w:w="28" w:type="dxa"/>
            </w:tcMar>
            <w:vAlign w:val="center"/>
          </w:tcPr>
          <w:p w14:paraId="37EB8AD6" w14:textId="167CDF55" w:rsidR="006A1AFC" w:rsidRPr="00791354" w:rsidRDefault="006A1AFC" w:rsidP="00120D61">
            <w:pPr>
              <w:pStyle w:val="PBACTabletext"/>
              <w:keepLines w:val="0"/>
              <w:spacing w:after="0"/>
              <w:jc w:val="center"/>
              <w:rPr>
                <w:rFonts w:ascii="Arial Narrow" w:hAnsi="Arial Narrow" w:cs="Calibri"/>
                <w:color w:val="000000"/>
                <w:sz w:val="20"/>
                <w:szCs w:val="20"/>
                <w:vertAlign w:val="superscript"/>
              </w:rPr>
            </w:pPr>
            <w:r w:rsidRPr="00885AB3">
              <w:rPr>
                <w:rFonts w:ascii="Arial Narrow" w:hAnsi="Arial Narrow" w:cs="Calibri"/>
                <w:color w:val="000000"/>
                <w:sz w:val="20"/>
                <w:szCs w:val="20"/>
              </w:rPr>
              <w:t>$</w:t>
            </w:r>
            <w:r w:rsidR="004B5AFE" w:rsidRPr="004B5AFE">
              <w:rPr>
                <w:rFonts w:ascii="Arial Narrow" w:hAnsi="Arial Narrow" w:cs="Calibri"/>
                <w:color w:val="000000"/>
                <w:sz w:val="20"/>
                <w:szCs w:val="20"/>
                <w:highlight w:val="black"/>
              </w:rPr>
              <w:t xml:space="preserve"> &amp;&amp;&amp;&amp;</w:t>
            </w:r>
            <w:r w:rsidR="00791354">
              <w:rPr>
                <w:rFonts w:ascii="Arial Narrow" w:hAnsi="Arial Narrow" w:cs="Calibri"/>
                <w:color w:val="000000"/>
                <w:sz w:val="20"/>
                <w:szCs w:val="20"/>
                <w:vertAlign w:val="superscript"/>
              </w:rPr>
              <w:t>3</w:t>
            </w:r>
          </w:p>
        </w:tc>
        <w:tc>
          <w:tcPr>
            <w:tcW w:w="866" w:type="dxa"/>
            <w:tcMar>
              <w:left w:w="28" w:type="dxa"/>
              <w:right w:w="28" w:type="dxa"/>
            </w:tcMar>
            <w:vAlign w:val="center"/>
          </w:tcPr>
          <w:p w14:paraId="6239FAB3" w14:textId="76CB1784" w:rsidR="006A1AFC" w:rsidRPr="00885AB3" w:rsidRDefault="006A1AFC" w:rsidP="00120D61">
            <w:pPr>
              <w:pStyle w:val="PBACTabletext"/>
              <w:keepLines w:val="0"/>
              <w:spacing w:after="0"/>
              <w:jc w:val="center"/>
              <w:rPr>
                <w:rFonts w:ascii="Arial Narrow" w:hAnsi="Arial Narrow" w:cs="Calibri"/>
                <w:color w:val="000000"/>
                <w:sz w:val="20"/>
                <w:szCs w:val="20"/>
              </w:rPr>
            </w:pPr>
            <w:r w:rsidRPr="00885AB3">
              <w:rPr>
                <w:rFonts w:ascii="Arial Narrow" w:hAnsi="Arial Narrow" w:cs="Calibri"/>
                <w:color w:val="000000"/>
                <w:sz w:val="20"/>
                <w:szCs w:val="20"/>
              </w:rPr>
              <w:t>+</w:t>
            </w:r>
            <w:r w:rsidR="004B5AFE" w:rsidRPr="004B5AFE">
              <w:rPr>
                <w:rFonts w:ascii="Arial Narrow" w:hAnsi="Arial Narrow" w:cs="Calibri"/>
                <w:color w:val="000000"/>
                <w:sz w:val="20"/>
                <w:szCs w:val="20"/>
                <w:highlight w:val="black"/>
              </w:rPr>
              <w:t xml:space="preserve"> &amp;&amp;&amp;&amp;</w:t>
            </w:r>
            <w:r w:rsidRPr="00885AB3">
              <w:rPr>
                <w:rFonts w:ascii="Arial Narrow" w:hAnsi="Arial Narrow" w:cs="Calibri"/>
                <w:color w:val="000000"/>
                <w:sz w:val="20"/>
                <w:szCs w:val="20"/>
              </w:rPr>
              <w:t>%</w:t>
            </w:r>
          </w:p>
        </w:tc>
      </w:tr>
      <w:tr w:rsidR="006A1AFC" w:rsidRPr="00885AB3" w14:paraId="785DD213" w14:textId="77777777">
        <w:trPr>
          <w:cantSplit/>
          <w:trHeight w:val="20"/>
        </w:trPr>
        <w:tc>
          <w:tcPr>
            <w:tcW w:w="421" w:type="dxa"/>
          </w:tcPr>
          <w:p w14:paraId="4F4AFB6A" w14:textId="77777777" w:rsidR="006A1AFC" w:rsidRPr="00885AB3" w:rsidRDefault="006A1AFC" w:rsidP="00120D61">
            <w:pPr>
              <w:pStyle w:val="PBACTabletext"/>
              <w:keepLines w:val="0"/>
              <w:spacing w:after="0"/>
              <w:jc w:val="center"/>
              <w:rPr>
                <w:rFonts w:ascii="Arial Narrow" w:hAnsi="Arial Narrow"/>
                <w:sz w:val="20"/>
                <w:szCs w:val="20"/>
              </w:rPr>
            </w:pPr>
          </w:p>
        </w:tc>
        <w:tc>
          <w:tcPr>
            <w:tcW w:w="4394" w:type="dxa"/>
            <w:tcMar>
              <w:left w:w="28" w:type="dxa"/>
              <w:right w:w="28" w:type="dxa"/>
            </w:tcMar>
            <w:vAlign w:val="center"/>
          </w:tcPr>
          <w:p w14:paraId="0A9BF46B" w14:textId="77777777" w:rsidR="006A1AFC" w:rsidRPr="00885AB3" w:rsidRDefault="006A1AFC" w:rsidP="00120D61">
            <w:pPr>
              <w:pStyle w:val="PBACTabletext"/>
              <w:keepLines w:val="0"/>
              <w:spacing w:after="0"/>
              <w:rPr>
                <w:rFonts w:ascii="Arial Narrow" w:hAnsi="Arial Narrow"/>
                <w:sz w:val="20"/>
                <w:szCs w:val="20"/>
              </w:rPr>
            </w:pPr>
            <w:r w:rsidRPr="00885AB3">
              <w:rPr>
                <w:rFonts w:ascii="Arial Narrow" w:hAnsi="Arial Narrow"/>
                <w:sz w:val="20"/>
                <w:szCs w:val="20"/>
              </w:rPr>
              <w:t>8.00% (ATAGI’s advised upper bound for a sensitivity analysis)</w:t>
            </w:r>
          </w:p>
        </w:tc>
        <w:tc>
          <w:tcPr>
            <w:tcW w:w="1376" w:type="dxa"/>
            <w:tcMar>
              <w:left w:w="28" w:type="dxa"/>
              <w:right w:w="28" w:type="dxa"/>
            </w:tcMar>
            <w:vAlign w:val="center"/>
          </w:tcPr>
          <w:p w14:paraId="1BFC575C" w14:textId="31974D3A" w:rsidR="006A1AFC" w:rsidRPr="00885AB3" w:rsidRDefault="006A1AFC" w:rsidP="00120D61">
            <w:pPr>
              <w:pStyle w:val="PBACTabletext"/>
              <w:keepLines w:val="0"/>
              <w:spacing w:after="0"/>
              <w:jc w:val="center"/>
              <w:rPr>
                <w:rFonts w:ascii="Arial Narrow" w:hAnsi="Arial Narrow" w:cs="Calibri"/>
                <w:color w:val="000000"/>
                <w:sz w:val="20"/>
                <w:szCs w:val="20"/>
              </w:rPr>
            </w:pPr>
            <w:r w:rsidRPr="00885AB3">
              <w:rPr>
                <w:rFonts w:ascii="Arial Narrow" w:hAnsi="Arial Narrow" w:cs="Calibri"/>
                <w:color w:val="000000"/>
                <w:sz w:val="20"/>
                <w:szCs w:val="20"/>
              </w:rPr>
              <w:t>$</w:t>
            </w:r>
            <w:r w:rsidR="004B5AFE" w:rsidRPr="004B5AFE">
              <w:rPr>
                <w:rFonts w:ascii="Arial Narrow" w:hAnsi="Arial Narrow" w:cs="Calibri"/>
                <w:color w:val="000000"/>
                <w:sz w:val="20"/>
                <w:szCs w:val="20"/>
                <w:highlight w:val="black"/>
              </w:rPr>
              <w:t xml:space="preserve"> &amp;&amp;&amp;&amp;</w:t>
            </w:r>
          </w:p>
        </w:tc>
        <w:tc>
          <w:tcPr>
            <w:tcW w:w="1040" w:type="dxa"/>
            <w:tcMar>
              <w:left w:w="28" w:type="dxa"/>
              <w:right w:w="28" w:type="dxa"/>
            </w:tcMar>
            <w:vAlign w:val="center"/>
          </w:tcPr>
          <w:p w14:paraId="3AB01786" w14:textId="77777777" w:rsidR="006A1AFC" w:rsidRPr="00885AB3" w:rsidRDefault="006A1AFC" w:rsidP="00120D61">
            <w:pPr>
              <w:pStyle w:val="PBACTabletext"/>
              <w:keepLines w:val="0"/>
              <w:spacing w:after="0"/>
              <w:jc w:val="center"/>
              <w:rPr>
                <w:rFonts w:ascii="Arial Narrow" w:hAnsi="Arial Narrow" w:cs="Calibri"/>
                <w:color w:val="000000"/>
                <w:sz w:val="20"/>
                <w:szCs w:val="20"/>
              </w:rPr>
            </w:pPr>
            <w:r w:rsidRPr="00885AB3">
              <w:rPr>
                <w:rFonts w:ascii="Arial Narrow" w:hAnsi="Arial Narrow" w:cs="Calibri"/>
                <w:color w:val="000000"/>
                <w:sz w:val="20"/>
                <w:szCs w:val="20"/>
              </w:rPr>
              <w:t>6,628</w:t>
            </w:r>
          </w:p>
        </w:tc>
        <w:tc>
          <w:tcPr>
            <w:tcW w:w="844" w:type="dxa"/>
            <w:tcMar>
              <w:left w:w="28" w:type="dxa"/>
              <w:right w:w="28" w:type="dxa"/>
            </w:tcMar>
            <w:vAlign w:val="center"/>
          </w:tcPr>
          <w:p w14:paraId="108344E0" w14:textId="3BC72BF2" w:rsidR="006A1AFC" w:rsidRPr="00880FE9" w:rsidRDefault="006A1AFC" w:rsidP="00120D61">
            <w:pPr>
              <w:pStyle w:val="PBACTabletext"/>
              <w:keepLines w:val="0"/>
              <w:spacing w:after="0"/>
              <w:jc w:val="center"/>
              <w:rPr>
                <w:rFonts w:ascii="Arial Narrow" w:hAnsi="Arial Narrow" w:cs="Calibri"/>
                <w:color w:val="000000"/>
                <w:sz w:val="20"/>
                <w:szCs w:val="20"/>
                <w:vertAlign w:val="superscript"/>
              </w:rPr>
            </w:pPr>
            <w:r w:rsidRPr="00885AB3">
              <w:rPr>
                <w:rFonts w:ascii="Arial Narrow" w:hAnsi="Arial Narrow" w:cs="Calibri"/>
                <w:color w:val="000000"/>
                <w:sz w:val="20"/>
                <w:szCs w:val="20"/>
              </w:rPr>
              <w:t>$</w:t>
            </w:r>
            <w:r w:rsidR="004B5AFE" w:rsidRPr="004B5AFE">
              <w:rPr>
                <w:rFonts w:ascii="Arial Narrow" w:hAnsi="Arial Narrow" w:cs="Calibri"/>
                <w:color w:val="000000"/>
                <w:sz w:val="20"/>
                <w:szCs w:val="20"/>
                <w:highlight w:val="black"/>
              </w:rPr>
              <w:t xml:space="preserve"> &amp;&amp;&amp;&amp;</w:t>
            </w:r>
            <w:r w:rsidR="00880FE9">
              <w:rPr>
                <w:rFonts w:ascii="Arial Narrow" w:hAnsi="Arial Narrow" w:cs="Calibri"/>
                <w:color w:val="000000"/>
                <w:sz w:val="20"/>
                <w:szCs w:val="20"/>
                <w:vertAlign w:val="superscript"/>
              </w:rPr>
              <w:t>2</w:t>
            </w:r>
          </w:p>
        </w:tc>
        <w:tc>
          <w:tcPr>
            <w:tcW w:w="866" w:type="dxa"/>
            <w:tcMar>
              <w:left w:w="28" w:type="dxa"/>
              <w:right w:w="28" w:type="dxa"/>
            </w:tcMar>
            <w:vAlign w:val="center"/>
          </w:tcPr>
          <w:p w14:paraId="16F60D02" w14:textId="54A8B2B5" w:rsidR="006A1AFC" w:rsidRPr="00885AB3" w:rsidRDefault="006A1AFC" w:rsidP="00120D61">
            <w:pPr>
              <w:pStyle w:val="PBACTabletext"/>
              <w:keepLines w:val="0"/>
              <w:spacing w:after="0"/>
              <w:jc w:val="center"/>
              <w:rPr>
                <w:rFonts w:ascii="Arial Narrow" w:hAnsi="Arial Narrow" w:cs="Calibri"/>
                <w:color w:val="000000"/>
                <w:sz w:val="20"/>
                <w:szCs w:val="20"/>
              </w:rPr>
            </w:pPr>
            <w:r w:rsidRPr="00885AB3">
              <w:rPr>
                <w:rFonts w:ascii="Arial Narrow" w:hAnsi="Arial Narrow" w:cs="Calibri"/>
                <w:color w:val="000000"/>
                <w:sz w:val="20"/>
                <w:szCs w:val="20"/>
              </w:rPr>
              <w:t>+</w:t>
            </w:r>
            <w:r w:rsidR="004B5AFE" w:rsidRPr="004B5AFE">
              <w:rPr>
                <w:rFonts w:ascii="Arial Narrow" w:hAnsi="Arial Narrow" w:cs="Calibri"/>
                <w:color w:val="000000"/>
                <w:sz w:val="20"/>
                <w:szCs w:val="20"/>
                <w:highlight w:val="black"/>
              </w:rPr>
              <w:t xml:space="preserve"> &amp;&amp;&amp;&amp;</w:t>
            </w:r>
            <w:r w:rsidRPr="00885AB3">
              <w:rPr>
                <w:rFonts w:ascii="Arial Narrow" w:hAnsi="Arial Narrow" w:cs="Calibri"/>
                <w:color w:val="000000"/>
                <w:sz w:val="20"/>
                <w:szCs w:val="20"/>
              </w:rPr>
              <w:t>%</w:t>
            </w:r>
          </w:p>
        </w:tc>
      </w:tr>
      <w:tr w:rsidR="006A1AFC" w:rsidRPr="00885AB3" w14:paraId="458C3CAD" w14:textId="77777777">
        <w:trPr>
          <w:cantSplit/>
          <w:trHeight w:val="20"/>
        </w:trPr>
        <w:tc>
          <w:tcPr>
            <w:tcW w:w="421" w:type="dxa"/>
          </w:tcPr>
          <w:p w14:paraId="425126A0" w14:textId="77777777" w:rsidR="006A1AFC" w:rsidRPr="00885AB3" w:rsidRDefault="006A1AFC" w:rsidP="00120D61">
            <w:pPr>
              <w:pStyle w:val="PBACTabletext"/>
              <w:keepLines w:val="0"/>
              <w:spacing w:after="0"/>
              <w:jc w:val="center"/>
              <w:rPr>
                <w:rFonts w:ascii="Arial Narrow" w:hAnsi="Arial Narrow"/>
                <w:b/>
                <w:bCs/>
                <w:sz w:val="20"/>
                <w:szCs w:val="20"/>
              </w:rPr>
            </w:pPr>
          </w:p>
        </w:tc>
        <w:tc>
          <w:tcPr>
            <w:tcW w:w="8520" w:type="dxa"/>
            <w:gridSpan w:val="5"/>
            <w:tcMar>
              <w:left w:w="28" w:type="dxa"/>
              <w:right w:w="28" w:type="dxa"/>
            </w:tcMar>
            <w:vAlign w:val="center"/>
          </w:tcPr>
          <w:p w14:paraId="3E43AE8D" w14:textId="77777777" w:rsidR="006A1AFC" w:rsidRPr="00885AB3" w:rsidRDefault="006A1AFC" w:rsidP="00120D61">
            <w:pPr>
              <w:pStyle w:val="PBACTabletext"/>
              <w:keepLines w:val="0"/>
              <w:spacing w:after="0"/>
              <w:rPr>
                <w:rFonts w:ascii="Arial Narrow" w:hAnsi="Arial Narrow" w:cs="Calibri"/>
                <w:b/>
                <w:bCs/>
                <w:sz w:val="20"/>
                <w:szCs w:val="20"/>
              </w:rPr>
            </w:pPr>
            <w:r w:rsidRPr="00885AB3">
              <w:rPr>
                <w:rFonts w:ascii="Arial Narrow" w:hAnsi="Arial Narrow"/>
                <w:b/>
                <w:bCs/>
                <w:sz w:val="20"/>
                <w:szCs w:val="20"/>
              </w:rPr>
              <w:t>Hospitalisation cost (base case: $14,403 per case with comorbidity prevalence adjustment and 100% ED)</w:t>
            </w:r>
          </w:p>
        </w:tc>
      </w:tr>
      <w:tr w:rsidR="006A1AFC" w:rsidRPr="00885AB3" w14:paraId="5C14B6BE" w14:textId="77777777">
        <w:trPr>
          <w:cantSplit/>
          <w:trHeight w:val="20"/>
        </w:trPr>
        <w:tc>
          <w:tcPr>
            <w:tcW w:w="421" w:type="dxa"/>
          </w:tcPr>
          <w:p w14:paraId="30009071" w14:textId="77777777" w:rsidR="006A1AFC" w:rsidRPr="00885AB3" w:rsidRDefault="006A1AFC" w:rsidP="00120D61">
            <w:pPr>
              <w:pStyle w:val="PBACTabletext"/>
              <w:keepLines w:val="0"/>
              <w:spacing w:after="0"/>
              <w:jc w:val="center"/>
              <w:rPr>
                <w:rFonts w:ascii="Arial Narrow" w:hAnsi="Arial Narrow"/>
                <w:sz w:val="20"/>
                <w:szCs w:val="20"/>
              </w:rPr>
            </w:pPr>
            <w:r w:rsidRPr="00885AB3">
              <w:rPr>
                <w:rFonts w:ascii="Arial Narrow" w:hAnsi="Arial Narrow"/>
                <w:sz w:val="20"/>
                <w:szCs w:val="20"/>
              </w:rPr>
              <w:t>E</w:t>
            </w:r>
          </w:p>
        </w:tc>
        <w:tc>
          <w:tcPr>
            <w:tcW w:w="4394" w:type="dxa"/>
            <w:tcMar>
              <w:left w:w="28" w:type="dxa"/>
              <w:right w:w="28" w:type="dxa"/>
            </w:tcMar>
            <w:vAlign w:val="center"/>
          </w:tcPr>
          <w:p w14:paraId="20B1FF7E" w14:textId="77777777" w:rsidR="006A1AFC" w:rsidRPr="00885AB3" w:rsidRDefault="006A1AFC" w:rsidP="00120D61">
            <w:pPr>
              <w:pStyle w:val="PBACTabletext"/>
              <w:keepLines w:val="0"/>
              <w:spacing w:after="0"/>
              <w:rPr>
                <w:rFonts w:ascii="Arial Narrow" w:hAnsi="Arial Narrow"/>
                <w:sz w:val="20"/>
                <w:szCs w:val="20"/>
              </w:rPr>
            </w:pPr>
            <w:r w:rsidRPr="00885AB3">
              <w:rPr>
                <w:rFonts w:ascii="Arial Narrow" w:hAnsi="Arial Narrow"/>
                <w:sz w:val="20"/>
                <w:szCs w:val="20"/>
              </w:rPr>
              <w:t>$9,983 (without comorbidity adjustment and 0% ED)</w:t>
            </w:r>
          </w:p>
        </w:tc>
        <w:tc>
          <w:tcPr>
            <w:tcW w:w="1376" w:type="dxa"/>
            <w:tcMar>
              <w:left w:w="28" w:type="dxa"/>
              <w:right w:w="28" w:type="dxa"/>
            </w:tcMar>
            <w:vAlign w:val="center"/>
          </w:tcPr>
          <w:p w14:paraId="67A34057" w14:textId="3BCA1561" w:rsidR="006A1AFC" w:rsidRPr="00885AB3" w:rsidRDefault="006A1AFC" w:rsidP="00120D61">
            <w:pPr>
              <w:pStyle w:val="PBACTabletext"/>
              <w:keepLines w:val="0"/>
              <w:spacing w:after="0"/>
              <w:jc w:val="center"/>
              <w:rPr>
                <w:rFonts w:ascii="Arial Narrow" w:hAnsi="Arial Narrow" w:cs="Calibri"/>
                <w:color w:val="000000"/>
                <w:sz w:val="20"/>
                <w:szCs w:val="20"/>
              </w:rPr>
            </w:pPr>
            <w:r w:rsidRPr="00885AB3">
              <w:rPr>
                <w:rFonts w:ascii="Arial Narrow" w:hAnsi="Arial Narrow" w:cs="Calibri"/>
                <w:color w:val="000000"/>
                <w:sz w:val="20"/>
                <w:szCs w:val="20"/>
              </w:rPr>
              <w:t>$</w:t>
            </w:r>
            <w:r w:rsidR="004B5AFE" w:rsidRPr="004B5AFE">
              <w:rPr>
                <w:rFonts w:ascii="Arial Narrow" w:hAnsi="Arial Narrow" w:cs="Calibri"/>
                <w:color w:val="000000"/>
                <w:sz w:val="20"/>
                <w:szCs w:val="20"/>
                <w:highlight w:val="black"/>
              </w:rPr>
              <w:t xml:space="preserve"> &amp;&amp;&amp;&amp;</w:t>
            </w:r>
          </w:p>
        </w:tc>
        <w:tc>
          <w:tcPr>
            <w:tcW w:w="1040" w:type="dxa"/>
            <w:tcMar>
              <w:left w:w="28" w:type="dxa"/>
              <w:right w:w="28" w:type="dxa"/>
            </w:tcMar>
            <w:vAlign w:val="center"/>
          </w:tcPr>
          <w:p w14:paraId="7CE832F4" w14:textId="77777777" w:rsidR="006A1AFC" w:rsidRPr="00885AB3" w:rsidRDefault="006A1AFC" w:rsidP="00120D61">
            <w:pPr>
              <w:pStyle w:val="PBACTabletext"/>
              <w:keepLines w:val="0"/>
              <w:spacing w:after="0"/>
              <w:jc w:val="center"/>
              <w:rPr>
                <w:rFonts w:ascii="Arial Narrow" w:hAnsi="Arial Narrow" w:cs="Calibri"/>
                <w:color w:val="000000"/>
                <w:sz w:val="20"/>
                <w:szCs w:val="20"/>
              </w:rPr>
            </w:pPr>
            <w:r w:rsidRPr="00885AB3">
              <w:rPr>
                <w:rFonts w:ascii="Arial Narrow" w:hAnsi="Arial Narrow" w:cs="Calibri"/>
                <w:color w:val="000000"/>
                <w:sz w:val="20"/>
                <w:szCs w:val="20"/>
              </w:rPr>
              <w:t>8,102</w:t>
            </w:r>
          </w:p>
        </w:tc>
        <w:tc>
          <w:tcPr>
            <w:tcW w:w="844" w:type="dxa"/>
            <w:tcMar>
              <w:left w:w="28" w:type="dxa"/>
              <w:right w:w="28" w:type="dxa"/>
            </w:tcMar>
            <w:vAlign w:val="center"/>
          </w:tcPr>
          <w:p w14:paraId="72F7A350" w14:textId="52AF6723" w:rsidR="006A1AFC" w:rsidRPr="00791354" w:rsidRDefault="006A1AFC" w:rsidP="00120D61">
            <w:pPr>
              <w:pStyle w:val="PBACTabletext"/>
              <w:keepLines w:val="0"/>
              <w:spacing w:after="0"/>
              <w:jc w:val="center"/>
              <w:rPr>
                <w:rFonts w:ascii="Arial Narrow" w:hAnsi="Arial Narrow" w:cs="Calibri"/>
                <w:color w:val="000000"/>
                <w:sz w:val="20"/>
                <w:szCs w:val="20"/>
                <w:vertAlign w:val="superscript"/>
              </w:rPr>
            </w:pPr>
            <w:r w:rsidRPr="00885AB3">
              <w:rPr>
                <w:rFonts w:ascii="Arial Narrow" w:hAnsi="Arial Narrow" w:cs="Calibri"/>
                <w:color w:val="000000"/>
                <w:sz w:val="20"/>
                <w:szCs w:val="20"/>
              </w:rPr>
              <w:t>$</w:t>
            </w:r>
            <w:r w:rsidR="004B5AFE" w:rsidRPr="004B5AFE">
              <w:rPr>
                <w:rFonts w:ascii="Arial Narrow" w:hAnsi="Arial Narrow" w:cs="Calibri"/>
                <w:color w:val="000000"/>
                <w:sz w:val="20"/>
                <w:szCs w:val="20"/>
                <w:highlight w:val="black"/>
              </w:rPr>
              <w:t xml:space="preserve"> &amp;&amp;&amp;&amp;</w:t>
            </w:r>
            <w:r w:rsidR="00791354">
              <w:rPr>
                <w:rFonts w:ascii="Arial Narrow" w:hAnsi="Arial Narrow" w:cs="Calibri"/>
                <w:color w:val="000000"/>
                <w:sz w:val="20"/>
                <w:szCs w:val="20"/>
                <w:vertAlign w:val="superscript"/>
              </w:rPr>
              <w:t>2</w:t>
            </w:r>
          </w:p>
        </w:tc>
        <w:tc>
          <w:tcPr>
            <w:tcW w:w="866" w:type="dxa"/>
            <w:tcMar>
              <w:left w:w="28" w:type="dxa"/>
              <w:right w:w="28" w:type="dxa"/>
            </w:tcMar>
            <w:vAlign w:val="center"/>
          </w:tcPr>
          <w:p w14:paraId="21412AD3" w14:textId="62F69C8B" w:rsidR="006A1AFC" w:rsidRPr="00885AB3" w:rsidRDefault="006A1AFC" w:rsidP="00120D61">
            <w:pPr>
              <w:pStyle w:val="PBACTabletext"/>
              <w:keepLines w:val="0"/>
              <w:spacing w:after="0"/>
              <w:jc w:val="center"/>
              <w:rPr>
                <w:rFonts w:ascii="Arial Narrow" w:hAnsi="Arial Narrow" w:cs="Calibri"/>
                <w:color w:val="000000"/>
                <w:sz w:val="20"/>
                <w:szCs w:val="20"/>
              </w:rPr>
            </w:pPr>
            <w:r w:rsidRPr="00885AB3">
              <w:rPr>
                <w:rFonts w:ascii="Arial Narrow" w:hAnsi="Arial Narrow" w:cs="Calibri"/>
                <w:color w:val="000000"/>
                <w:sz w:val="20"/>
                <w:szCs w:val="20"/>
              </w:rPr>
              <w:t>+</w:t>
            </w:r>
            <w:r w:rsidR="004B5AFE" w:rsidRPr="004B5AFE">
              <w:rPr>
                <w:rFonts w:ascii="Arial Narrow" w:hAnsi="Arial Narrow" w:cs="Calibri"/>
                <w:color w:val="000000"/>
                <w:sz w:val="20"/>
                <w:szCs w:val="20"/>
                <w:highlight w:val="black"/>
              </w:rPr>
              <w:t xml:space="preserve"> &amp;&amp;&amp;&amp;</w:t>
            </w:r>
            <w:r w:rsidRPr="00885AB3">
              <w:rPr>
                <w:rFonts w:ascii="Arial Narrow" w:hAnsi="Arial Narrow" w:cs="Calibri"/>
                <w:color w:val="000000"/>
                <w:sz w:val="20"/>
                <w:szCs w:val="20"/>
              </w:rPr>
              <w:t>%</w:t>
            </w:r>
          </w:p>
        </w:tc>
      </w:tr>
      <w:tr w:rsidR="006A1AFC" w:rsidRPr="00885AB3" w14:paraId="4D39A5EC" w14:textId="77777777">
        <w:trPr>
          <w:cantSplit/>
          <w:trHeight w:val="20"/>
        </w:trPr>
        <w:tc>
          <w:tcPr>
            <w:tcW w:w="421" w:type="dxa"/>
          </w:tcPr>
          <w:p w14:paraId="21B38BEA" w14:textId="77777777" w:rsidR="006A1AFC" w:rsidRPr="00885AB3" w:rsidRDefault="006A1AFC" w:rsidP="00120D61">
            <w:pPr>
              <w:pStyle w:val="PBACTabletext"/>
              <w:keepLines w:val="0"/>
              <w:spacing w:after="0"/>
              <w:jc w:val="center"/>
              <w:rPr>
                <w:rFonts w:ascii="Arial Narrow" w:hAnsi="Arial Narrow"/>
                <w:b/>
                <w:bCs/>
                <w:sz w:val="20"/>
                <w:szCs w:val="20"/>
              </w:rPr>
            </w:pPr>
          </w:p>
        </w:tc>
        <w:tc>
          <w:tcPr>
            <w:tcW w:w="8520" w:type="dxa"/>
            <w:gridSpan w:val="5"/>
            <w:tcMar>
              <w:left w:w="28" w:type="dxa"/>
              <w:right w:w="28" w:type="dxa"/>
            </w:tcMar>
            <w:vAlign w:val="center"/>
          </w:tcPr>
          <w:p w14:paraId="000B5146" w14:textId="77777777" w:rsidR="006A1AFC" w:rsidRPr="00885AB3" w:rsidRDefault="006A1AFC" w:rsidP="00120D61">
            <w:pPr>
              <w:pStyle w:val="PBACTabletext"/>
              <w:keepLines w:val="0"/>
              <w:spacing w:after="0"/>
              <w:rPr>
                <w:rFonts w:ascii="Arial Narrow" w:hAnsi="Arial Narrow" w:cs="Calibri"/>
                <w:b/>
                <w:bCs/>
                <w:sz w:val="20"/>
                <w:szCs w:val="20"/>
              </w:rPr>
            </w:pPr>
            <w:r w:rsidRPr="00885AB3">
              <w:rPr>
                <w:rFonts w:ascii="Arial Narrow" w:hAnsi="Arial Narrow"/>
                <w:b/>
                <w:bCs/>
                <w:sz w:val="20"/>
                <w:szCs w:val="20"/>
              </w:rPr>
              <w:t>Vaccine administration cost (base case: $17.57)</w:t>
            </w:r>
          </w:p>
        </w:tc>
      </w:tr>
      <w:tr w:rsidR="006A1AFC" w:rsidRPr="00885AB3" w14:paraId="6EF1E162" w14:textId="77777777">
        <w:trPr>
          <w:cantSplit/>
          <w:trHeight w:val="20"/>
        </w:trPr>
        <w:tc>
          <w:tcPr>
            <w:tcW w:w="421" w:type="dxa"/>
          </w:tcPr>
          <w:p w14:paraId="379F311E" w14:textId="77777777" w:rsidR="006A1AFC" w:rsidRPr="00885AB3" w:rsidRDefault="006A1AFC" w:rsidP="00120D61">
            <w:pPr>
              <w:pStyle w:val="PBACTabletext"/>
              <w:keepLines w:val="0"/>
              <w:spacing w:after="0"/>
              <w:jc w:val="center"/>
              <w:rPr>
                <w:rFonts w:ascii="Arial Narrow" w:hAnsi="Arial Narrow"/>
                <w:sz w:val="20"/>
                <w:szCs w:val="20"/>
              </w:rPr>
            </w:pPr>
            <w:r w:rsidRPr="00885AB3">
              <w:rPr>
                <w:rFonts w:ascii="Arial Narrow" w:hAnsi="Arial Narrow"/>
                <w:sz w:val="20"/>
                <w:szCs w:val="20"/>
              </w:rPr>
              <w:t>F</w:t>
            </w:r>
          </w:p>
        </w:tc>
        <w:tc>
          <w:tcPr>
            <w:tcW w:w="4394" w:type="dxa"/>
            <w:tcMar>
              <w:left w:w="28" w:type="dxa"/>
              <w:right w:w="28" w:type="dxa"/>
            </w:tcMar>
            <w:vAlign w:val="center"/>
          </w:tcPr>
          <w:p w14:paraId="712C1FF7" w14:textId="011A0AB9" w:rsidR="006A1AFC" w:rsidRPr="00885AB3" w:rsidRDefault="006A1AFC" w:rsidP="00120D61">
            <w:pPr>
              <w:pStyle w:val="PBACTabletext"/>
              <w:keepLines w:val="0"/>
              <w:spacing w:after="0"/>
              <w:rPr>
                <w:rFonts w:ascii="Arial Narrow" w:hAnsi="Arial Narrow"/>
                <w:sz w:val="20"/>
                <w:szCs w:val="20"/>
              </w:rPr>
            </w:pPr>
            <w:r w:rsidRPr="00885AB3">
              <w:rPr>
                <w:rFonts w:ascii="Arial Narrow" w:hAnsi="Arial Narrow"/>
                <w:sz w:val="20"/>
                <w:szCs w:val="20"/>
              </w:rPr>
              <w:t>$7.00 (</w:t>
            </w:r>
            <w:r w:rsidR="006178C6" w:rsidRPr="00885AB3">
              <w:rPr>
                <w:rFonts w:ascii="Arial Narrow" w:hAnsi="Arial Narrow"/>
                <w:sz w:val="20"/>
                <w:szCs w:val="20"/>
              </w:rPr>
              <w:t>para 6.40</w:t>
            </w:r>
            <w:r w:rsidRPr="00885AB3">
              <w:rPr>
                <w:rFonts w:ascii="Arial Narrow" w:hAnsi="Arial Narrow"/>
                <w:sz w:val="20"/>
                <w:szCs w:val="20"/>
              </w:rPr>
              <w:t xml:space="preserve">, </w:t>
            </w:r>
            <w:proofErr w:type="spellStart"/>
            <w:r w:rsidRPr="00885AB3">
              <w:rPr>
                <w:rFonts w:ascii="Arial Narrow" w:hAnsi="Arial Narrow"/>
                <w:sz w:val="20"/>
                <w:szCs w:val="20"/>
              </w:rPr>
              <w:t>RSVPreF</w:t>
            </w:r>
            <w:proofErr w:type="spellEnd"/>
            <w:r w:rsidRPr="00885AB3">
              <w:rPr>
                <w:rFonts w:ascii="Arial Narrow" w:hAnsi="Arial Narrow"/>
                <w:sz w:val="20"/>
                <w:szCs w:val="20"/>
              </w:rPr>
              <w:t xml:space="preserve"> PSD, November 2024)</w:t>
            </w:r>
          </w:p>
        </w:tc>
        <w:tc>
          <w:tcPr>
            <w:tcW w:w="1376" w:type="dxa"/>
            <w:tcMar>
              <w:left w:w="28" w:type="dxa"/>
              <w:right w:w="28" w:type="dxa"/>
            </w:tcMar>
            <w:vAlign w:val="center"/>
          </w:tcPr>
          <w:p w14:paraId="44D33F4A" w14:textId="2012FA1D" w:rsidR="006A1AFC" w:rsidRPr="00885AB3" w:rsidRDefault="006A1AFC" w:rsidP="00120D61">
            <w:pPr>
              <w:pStyle w:val="PBACTabletext"/>
              <w:keepLines w:val="0"/>
              <w:spacing w:after="0"/>
              <w:jc w:val="center"/>
              <w:rPr>
                <w:rFonts w:ascii="Arial Narrow" w:hAnsi="Arial Narrow" w:cs="Calibri"/>
                <w:sz w:val="20"/>
                <w:szCs w:val="20"/>
              </w:rPr>
            </w:pPr>
            <w:r w:rsidRPr="00885AB3">
              <w:rPr>
                <w:rFonts w:ascii="Arial Narrow" w:hAnsi="Arial Narrow" w:cs="Calibri"/>
                <w:color w:val="000000"/>
                <w:sz w:val="20"/>
                <w:szCs w:val="20"/>
              </w:rPr>
              <w:t>$</w:t>
            </w:r>
            <w:r w:rsidR="004B5AFE" w:rsidRPr="004B5AFE">
              <w:rPr>
                <w:rFonts w:ascii="Arial Narrow" w:hAnsi="Arial Narrow" w:cs="Calibri"/>
                <w:color w:val="000000"/>
                <w:sz w:val="20"/>
                <w:szCs w:val="20"/>
                <w:highlight w:val="black"/>
              </w:rPr>
              <w:t xml:space="preserve"> &amp;&amp;&amp;&amp;</w:t>
            </w:r>
          </w:p>
        </w:tc>
        <w:tc>
          <w:tcPr>
            <w:tcW w:w="1040" w:type="dxa"/>
            <w:tcMar>
              <w:left w:w="28" w:type="dxa"/>
              <w:right w:w="28" w:type="dxa"/>
            </w:tcMar>
            <w:vAlign w:val="center"/>
          </w:tcPr>
          <w:p w14:paraId="772FDDC2" w14:textId="77777777" w:rsidR="006A1AFC" w:rsidRPr="00885AB3" w:rsidRDefault="006A1AFC" w:rsidP="00120D61">
            <w:pPr>
              <w:pStyle w:val="PBACTabletext"/>
              <w:keepLines w:val="0"/>
              <w:spacing w:after="0"/>
              <w:jc w:val="center"/>
              <w:rPr>
                <w:rFonts w:ascii="Arial Narrow" w:hAnsi="Arial Narrow" w:cs="Calibri"/>
                <w:sz w:val="20"/>
                <w:szCs w:val="20"/>
              </w:rPr>
            </w:pPr>
            <w:r w:rsidRPr="00885AB3">
              <w:rPr>
                <w:rFonts w:ascii="Arial Narrow" w:hAnsi="Arial Narrow" w:cs="Calibri"/>
                <w:color w:val="000000"/>
                <w:sz w:val="20"/>
                <w:szCs w:val="20"/>
              </w:rPr>
              <w:t>8,102</w:t>
            </w:r>
          </w:p>
        </w:tc>
        <w:tc>
          <w:tcPr>
            <w:tcW w:w="844" w:type="dxa"/>
            <w:tcMar>
              <w:left w:w="28" w:type="dxa"/>
              <w:right w:w="28" w:type="dxa"/>
            </w:tcMar>
            <w:vAlign w:val="center"/>
          </w:tcPr>
          <w:p w14:paraId="025B608E" w14:textId="3187335B" w:rsidR="006A1AFC" w:rsidRPr="00880FE9" w:rsidRDefault="006A1AFC" w:rsidP="00120D61">
            <w:pPr>
              <w:pStyle w:val="PBACTabletext"/>
              <w:keepLines w:val="0"/>
              <w:spacing w:after="0"/>
              <w:jc w:val="center"/>
              <w:rPr>
                <w:rFonts w:ascii="Arial Narrow" w:hAnsi="Arial Narrow" w:cs="Calibri"/>
                <w:sz w:val="20"/>
                <w:szCs w:val="20"/>
                <w:vertAlign w:val="superscript"/>
              </w:rPr>
            </w:pPr>
            <w:r w:rsidRPr="00885AB3">
              <w:rPr>
                <w:rFonts w:ascii="Arial Narrow" w:hAnsi="Arial Narrow" w:cs="Calibri"/>
                <w:color w:val="000000"/>
                <w:sz w:val="20"/>
                <w:szCs w:val="20"/>
              </w:rPr>
              <w:t>$</w:t>
            </w:r>
            <w:r w:rsidR="004B5AFE" w:rsidRPr="004B5AFE">
              <w:rPr>
                <w:rFonts w:ascii="Arial Narrow" w:hAnsi="Arial Narrow" w:cs="Calibri"/>
                <w:color w:val="000000"/>
                <w:sz w:val="20"/>
                <w:szCs w:val="20"/>
                <w:highlight w:val="black"/>
              </w:rPr>
              <w:t xml:space="preserve"> &amp;&amp;&amp;&amp;</w:t>
            </w:r>
            <w:r w:rsidR="00880FE9">
              <w:rPr>
                <w:rFonts w:ascii="Arial Narrow" w:hAnsi="Arial Narrow" w:cs="Calibri"/>
                <w:color w:val="000000"/>
                <w:sz w:val="20"/>
                <w:szCs w:val="20"/>
                <w:vertAlign w:val="superscript"/>
              </w:rPr>
              <w:t>1</w:t>
            </w:r>
          </w:p>
        </w:tc>
        <w:tc>
          <w:tcPr>
            <w:tcW w:w="866" w:type="dxa"/>
            <w:tcMar>
              <w:left w:w="28" w:type="dxa"/>
              <w:right w:w="28" w:type="dxa"/>
            </w:tcMar>
            <w:vAlign w:val="center"/>
          </w:tcPr>
          <w:p w14:paraId="0693CB7B" w14:textId="20669E5D" w:rsidR="006A1AFC" w:rsidRPr="00885AB3" w:rsidRDefault="006A1AFC" w:rsidP="00120D61">
            <w:pPr>
              <w:pStyle w:val="PBACTabletext"/>
              <w:keepLines w:val="0"/>
              <w:spacing w:after="0"/>
              <w:jc w:val="center"/>
              <w:rPr>
                <w:rFonts w:ascii="Arial Narrow" w:hAnsi="Arial Narrow" w:cs="Calibri"/>
                <w:sz w:val="20"/>
                <w:szCs w:val="20"/>
              </w:rPr>
            </w:pPr>
            <w:r w:rsidRPr="00885AB3">
              <w:rPr>
                <w:rFonts w:ascii="Arial Narrow" w:hAnsi="Arial Narrow" w:cs="Calibri"/>
                <w:color w:val="000000"/>
                <w:sz w:val="20"/>
                <w:szCs w:val="20"/>
              </w:rPr>
              <w:t>-</w:t>
            </w:r>
            <w:r w:rsidR="004B5AFE" w:rsidRPr="004B5AFE">
              <w:rPr>
                <w:rFonts w:ascii="Arial Narrow" w:hAnsi="Arial Narrow" w:cs="Calibri"/>
                <w:color w:val="000000"/>
                <w:sz w:val="20"/>
                <w:szCs w:val="20"/>
                <w:highlight w:val="black"/>
              </w:rPr>
              <w:t xml:space="preserve"> &amp;&amp;&amp;&amp;</w:t>
            </w:r>
            <w:r w:rsidRPr="00885AB3">
              <w:rPr>
                <w:rFonts w:ascii="Arial Narrow" w:hAnsi="Arial Narrow" w:cs="Calibri"/>
                <w:color w:val="000000"/>
                <w:sz w:val="20"/>
                <w:szCs w:val="20"/>
              </w:rPr>
              <w:t>%</w:t>
            </w:r>
          </w:p>
        </w:tc>
      </w:tr>
      <w:tr w:rsidR="006A1AFC" w:rsidRPr="00885AB3" w14:paraId="7F186EA9" w14:textId="77777777">
        <w:trPr>
          <w:cantSplit/>
          <w:trHeight w:val="20"/>
        </w:trPr>
        <w:tc>
          <w:tcPr>
            <w:tcW w:w="421" w:type="dxa"/>
          </w:tcPr>
          <w:p w14:paraId="50606A2C" w14:textId="77777777" w:rsidR="006A1AFC" w:rsidRPr="00885AB3" w:rsidRDefault="006A1AFC" w:rsidP="00120D61">
            <w:pPr>
              <w:pStyle w:val="PBACTabletext"/>
              <w:keepLines w:val="0"/>
              <w:spacing w:after="0"/>
              <w:jc w:val="center"/>
              <w:rPr>
                <w:rFonts w:ascii="Arial Narrow" w:hAnsi="Arial Narrow"/>
                <w:sz w:val="20"/>
                <w:szCs w:val="20"/>
              </w:rPr>
            </w:pPr>
          </w:p>
        </w:tc>
        <w:tc>
          <w:tcPr>
            <w:tcW w:w="4394" w:type="dxa"/>
            <w:tcMar>
              <w:left w:w="28" w:type="dxa"/>
              <w:right w:w="28" w:type="dxa"/>
            </w:tcMar>
            <w:vAlign w:val="center"/>
          </w:tcPr>
          <w:p w14:paraId="1DD5F52D" w14:textId="77777777" w:rsidR="006A1AFC" w:rsidRPr="00885AB3" w:rsidRDefault="006A1AFC" w:rsidP="00120D61">
            <w:pPr>
              <w:pStyle w:val="PBACTabletext"/>
              <w:keepLines w:val="0"/>
              <w:spacing w:after="0"/>
              <w:rPr>
                <w:rFonts w:ascii="Arial Narrow" w:hAnsi="Arial Narrow"/>
                <w:b/>
                <w:bCs/>
                <w:sz w:val="20"/>
                <w:szCs w:val="20"/>
              </w:rPr>
            </w:pPr>
            <w:r w:rsidRPr="00885AB3">
              <w:rPr>
                <w:rFonts w:ascii="Arial Narrow" w:hAnsi="Arial Narrow"/>
                <w:b/>
                <w:bCs/>
                <w:sz w:val="20"/>
                <w:szCs w:val="20"/>
              </w:rPr>
              <w:t>Disutility (base case; 0.0185 for outpatients)</w:t>
            </w:r>
          </w:p>
        </w:tc>
        <w:tc>
          <w:tcPr>
            <w:tcW w:w="1376" w:type="dxa"/>
            <w:tcMar>
              <w:left w:w="28" w:type="dxa"/>
              <w:right w:w="28" w:type="dxa"/>
            </w:tcMar>
            <w:vAlign w:val="center"/>
          </w:tcPr>
          <w:p w14:paraId="342B74FF" w14:textId="77777777" w:rsidR="006A1AFC" w:rsidRPr="00885AB3" w:rsidRDefault="006A1AFC" w:rsidP="00120D61">
            <w:pPr>
              <w:pStyle w:val="PBACTabletext"/>
              <w:keepLines w:val="0"/>
              <w:spacing w:after="0"/>
              <w:jc w:val="center"/>
              <w:rPr>
                <w:rFonts w:ascii="Arial Narrow" w:hAnsi="Arial Narrow" w:cs="Calibri"/>
                <w:color w:val="000000"/>
                <w:sz w:val="20"/>
                <w:szCs w:val="20"/>
              </w:rPr>
            </w:pPr>
          </w:p>
        </w:tc>
        <w:tc>
          <w:tcPr>
            <w:tcW w:w="1040" w:type="dxa"/>
            <w:tcMar>
              <w:left w:w="28" w:type="dxa"/>
              <w:right w:w="28" w:type="dxa"/>
            </w:tcMar>
            <w:vAlign w:val="center"/>
          </w:tcPr>
          <w:p w14:paraId="02343694" w14:textId="77777777" w:rsidR="006A1AFC" w:rsidRPr="00885AB3" w:rsidRDefault="006A1AFC" w:rsidP="00120D61">
            <w:pPr>
              <w:pStyle w:val="PBACTabletext"/>
              <w:keepLines w:val="0"/>
              <w:spacing w:after="0"/>
              <w:jc w:val="center"/>
              <w:rPr>
                <w:rFonts w:ascii="Arial Narrow" w:hAnsi="Arial Narrow" w:cs="Calibri"/>
                <w:color w:val="000000"/>
                <w:sz w:val="20"/>
                <w:szCs w:val="20"/>
              </w:rPr>
            </w:pPr>
          </w:p>
        </w:tc>
        <w:tc>
          <w:tcPr>
            <w:tcW w:w="844" w:type="dxa"/>
            <w:tcMar>
              <w:left w:w="28" w:type="dxa"/>
              <w:right w:w="28" w:type="dxa"/>
            </w:tcMar>
            <w:vAlign w:val="center"/>
          </w:tcPr>
          <w:p w14:paraId="281E7A5F" w14:textId="77777777" w:rsidR="006A1AFC" w:rsidRPr="00885AB3" w:rsidRDefault="006A1AFC" w:rsidP="00120D61">
            <w:pPr>
              <w:pStyle w:val="PBACTabletext"/>
              <w:keepLines w:val="0"/>
              <w:spacing w:after="0"/>
              <w:jc w:val="center"/>
              <w:rPr>
                <w:rFonts w:ascii="Arial Narrow" w:hAnsi="Arial Narrow" w:cs="Calibri"/>
                <w:color w:val="000000"/>
                <w:sz w:val="20"/>
                <w:szCs w:val="20"/>
              </w:rPr>
            </w:pPr>
          </w:p>
        </w:tc>
        <w:tc>
          <w:tcPr>
            <w:tcW w:w="866" w:type="dxa"/>
            <w:tcMar>
              <w:left w:w="28" w:type="dxa"/>
              <w:right w:w="28" w:type="dxa"/>
            </w:tcMar>
            <w:vAlign w:val="center"/>
          </w:tcPr>
          <w:p w14:paraId="3449679B" w14:textId="77777777" w:rsidR="006A1AFC" w:rsidRPr="00885AB3" w:rsidRDefault="006A1AFC" w:rsidP="00120D61">
            <w:pPr>
              <w:pStyle w:val="PBACTabletext"/>
              <w:keepLines w:val="0"/>
              <w:spacing w:after="0"/>
              <w:jc w:val="center"/>
              <w:rPr>
                <w:rFonts w:ascii="Arial Narrow" w:hAnsi="Arial Narrow" w:cs="Calibri"/>
                <w:color w:val="000000"/>
                <w:sz w:val="20"/>
                <w:szCs w:val="20"/>
              </w:rPr>
            </w:pPr>
          </w:p>
        </w:tc>
      </w:tr>
      <w:tr w:rsidR="006A1AFC" w:rsidRPr="00885AB3" w14:paraId="0E834042" w14:textId="77777777">
        <w:trPr>
          <w:cantSplit/>
          <w:trHeight w:val="20"/>
        </w:trPr>
        <w:tc>
          <w:tcPr>
            <w:tcW w:w="421" w:type="dxa"/>
          </w:tcPr>
          <w:p w14:paraId="675A42ED" w14:textId="77777777" w:rsidR="006A1AFC" w:rsidRPr="00885AB3" w:rsidRDefault="006A1AFC" w:rsidP="00120D61">
            <w:pPr>
              <w:pStyle w:val="PBACTabletext"/>
              <w:keepLines w:val="0"/>
              <w:spacing w:after="0"/>
              <w:jc w:val="center"/>
              <w:rPr>
                <w:rFonts w:ascii="Arial Narrow" w:hAnsi="Arial Narrow"/>
                <w:sz w:val="20"/>
                <w:szCs w:val="20"/>
              </w:rPr>
            </w:pPr>
            <w:r w:rsidRPr="00885AB3">
              <w:rPr>
                <w:rFonts w:ascii="Arial Narrow" w:hAnsi="Arial Narrow"/>
                <w:sz w:val="20"/>
                <w:szCs w:val="20"/>
              </w:rPr>
              <w:t>G</w:t>
            </w:r>
          </w:p>
        </w:tc>
        <w:tc>
          <w:tcPr>
            <w:tcW w:w="4394" w:type="dxa"/>
            <w:tcMar>
              <w:left w:w="28" w:type="dxa"/>
              <w:right w:w="28" w:type="dxa"/>
            </w:tcMar>
            <w:vAlign w:val="center"/>
          </w:tcPr>
          <w:p w14:paraId="0CC66FEB" w14:textId="77777777" w:rsidR="006A1AFC" w:rsidRPr="00885AB3" w:rsidRDefault="006A1AFC" w:rsidP="00120D61">
            <w:pPr>
              <w:pStyle w:val="PBACTabletext"/>
              <w:keepLines w:val="0"/>
              <w:spacing w:after="0"/>
              <w:rPr>
                <w:rFonts w:ascii="Arial Narrow" w:hAnsi="Arial Narrow"/>
                <w:sz w:val="20"/>
                <w:szCs w:val="20"/>
              </w:rPr>
            </w:pPr>
            <w:r w:rsidRPr="00885AB3">
              <w:rPr>
                <w:rFonts w:ascii="Arial Narrow" w:hAnsi="Arial Narrow"/>
                <w:sz w:val="20"/>
                <w:szCs w:val="20"/>
              </w:rPr>
              <w:t xml:space="preserve">0.0054 (para 6.40, </w:t>
            </w:r>
            <w:proofErr w:type="spellStart"/>
            <w:r w:rsidRPr="00885AB3">
              <w:rPr>
                <w:rFonts w:ascii="Arial Narrow" w:hAnsi="Arial Narrow"/>
                <w:sz w:val="20"/>
                <w:szCs w:val="20"/>
              </w:rPr>
              <w:t>RSVPreF</w:t>
            </w:r>
            <w:proofErr w:type="spellEnd"/>
            <w:r w:rsidRPr="00885AB3">
              <w:rPr>
                <w:rFonts w:ascii="Arial Narrow" w:hAnsi="Arial Narrow"/>
                <w:sz w:val="20"/>
                <w:szCs w:val="20"/>
              </w:rPr>
              <w:t xml:space="preserve"> PSD, November 2024)</w:t>
            </w:r>
          </w:p>
        </w:tc>
        <w:tc>
          <w:tcPr>
            <w:tcW w:w="1376" w:type="dxa"/>
            <w:tcMar>
              <w:left w:w="28" w:type="dxa"/>
              <w:right w:w="28" w:type="dxa"/>
            </w:tcMar>
            <w:vAlign w:val="center"/>
          </w:tcPr>
          <w:p w14:paraId="33C03A7A" w14:textId="7D47FFD8" w:rsidR="006A1AFC" w:rsidRPr="00885AB3" w:rsidRDefault="006A1AFC" w:rsidP="00120D61">
            <w:pPr>
              <w:pStyle w:val="PBACTabletext"/>
              <w:keepLines w:val="0"/>
              <w:spacing w:after="0"/>
              <w:jc w:val="center"/>
              <w:rPr>
                <w:rFonts w:ascii="Arial Narrow" w:hAnsi="Arial Narrow" w:cs="Calibri"/>
                <w:color w:val="000000"/>
                <w:sz w:val="20"/>
                <w:szCs w:val="20"/>
              </w:rPr>
            </w:pPr>
            <w:r w:rsidRPr="00885AB3">
              <w:rPr>
                <w:rFonts w:ascii="Arial Narrow" w:hAnsi="Arial Narrow" w:cs="Calibri"/>
                <w:color w:val="000000"/>
                <w:sz w:val="20"/>
                <w:szCs w:val="20"/>
              </w:rPr>
              <w:t>$</w:t>
            </w:r>
            <w:r w:rsidR="004B5AFE" w:rsidRPr="004B5AFE">
              <w:rPr>
                <w:rFonts w:ascii="Arial Narrow" w:hAnsi="Arial Narrow" w:cs="Calibri"/>
                <w:color w:val="000000"/>
                <w:sz w:val="20"/>
                <w:szCs w:val="20"/>
                <w:highlight w:val="black"/>
              </w:rPr>
              <w:t xml:space="preserve"> &amp;&amp;&amp;&amp;</w:t>
            </w:r>
          </w:p>
        </w:tc>
        <w:tc>
          <w:tcPr>
            <w:tcW w:w="1040" w:type="dxa"/>
            <w:tcMar>
              <w:left w:w="28" w:type="dxa"/>
              <w:right w:w="28" w:type="dxa"/>
            </w:tcMar>
            <w:vAlign w:val="center"/>
          </w:tcPr>
          <w:p w14:paraId="70902552" w14:textId="77777777" w:rsidR="006A1AFC" w:rsidRPr="00885AB3" w:rsidRDefault="006A1AFC" w:rsidP="00120D61">
            <w:pPr>
              <w:pStyle w:val="PBACTabletext"/>
              <w:keepLines w:val="0"/>
              <w:spacing w:after="0"/>
              <w:jc w:val="center"/>
              <w:rPr>
                <w:rFonts w:ascii="Arial Narrow" w:hAnsi="Arial Narrow" w:cs="Calibri"/>
                <w:color w:val="000000"/>
                <w:sz w:val="20"/>
                <w:szCs w:val="20"/>
              </w:rPr>
            </w:pPr>
            <w:r w:rsidRPr="00885AB3">
              <w:rPr>
                <w:rFonts w:ascii="Arial Narrow" w:hAnsi="Arial Narrow" w:cs="Calibri"/>
                <w:color w:val="000000"/>
                <w:sz w:val="20"/>
                <w:szCs w:val="20"/>
              </w:rPr>
              <w:t>6,481</w:t>
            </w:r>
          </w:p>
        </w:tc>
        <w:tc>
          <w:tcPr>
            <w:tcW w:w="844" w:type="dxa"/>
            <w:tcMar>
              <w:left w:w="28" w:type="dxa"/>
              <w:right w:w="28" w:type="dxa"/>
            </w:tcMar>
            <w:vAlign w:val="center"/>
          </w:tcPr>
          <w:p w14:paraId="64F4B42C" w14:textId="7C7F93E1" w:rsidR="006A1AFC" w:rsidRPr="00791354" w:rsidRDefault="006A1AFC" w:rsidP="00120D61">
            <w:pPr>
              <w:pStyle w:val="PBACTabletext"/>
              <w:keepLines w:val="0"/>
              <w:spacing w:after="0"/>
              <w:jc w:val="center"/>
              <w:rPr>
                <w:rFonts w:ascii="Arial Narrow" w:hAnsi="Arial Narrow" w:cs="Calibri"/>
                <w:color w:val="000000"/>
                <w:sz w:val="20"/>
                <w:szCs w:val="20"/>
                <w:vertAlign w:val="superscript"/>
              </w:rPr>
            </w:pPr>
            <w:r w:rsidRPr="00885AB3">
              <w:rPr>
                <w:rFonts w:ascii="Arial Narrow" w:hAnsi="Arial Narrow" w:cs="Calibri"/>
                <w:color w:val="000000"/>
                <w:sz w:val="20"/>
                <w:szCs w:val="20"/>
              </w:rPr>
              <w:t>$</w:t>
            </w:r>
            <w:r w:rsidR="004B5AFE" w:rsidRPr="004B5AFE">
              <w:rPr>
                <w:rFonts w:ascii="Arial Narrow" w:hAnsi="Arial Narrow" w:cs="Calibri"/>
                <w:color w:val="000000"/>
                <w:sz w:val="20"/>
                <w:szCs w:val="20"/>
                <w:highlight w:val="black"/>
              </w:rPr>
              <w:t xml:space="preserve"> &amp;&amp;&amp;&amp;</w:t>
            </w:r>
            <w:r w:rsidR="00791354">
              <w:rPr>
                <w:rFonts w:ascii="Arial Narrow" w:hAnsi="Arial Narrow" w:cs="Calibri"/>
                <w:color w:val="000000"/>
                <w:sz w:val="20"/>
                <w:szCs w:val="20"/>
                <w:vertAlign w:val="superscript"/>
              </w:rPr>
              <w:t>2</w:t>
            </w:r>
          </w:p>
        </w:tc>
        <w:tc>
          <w:tcPr>
            <w:tcW w:w="866" w:type="dxa"/>
            <w:tcMar>
              <w:left w:w="28" w:type="dxa"/>
              <w:right w:w="28" w:type="dxa"/>
            </w:tcMar>
            <w:vAlign w:val="center"/>
          </w:tcPr>
          <w:p w14:paraId="1AB0DFB7" w14:textId="07FEEA20" w:rsidR="006A1AFC" w:rsidRPr="00885AB3" w:rsidRDefault="006A1AFC" w:rsidP="00120D61">
            <w:pPr>
              <w:pStyle w:val="PBACTabletext"/>
              <w:keepLines w:val="0"/>
              <w:spacing w:after="0"/>
              <w:jc w:val="center"/>
              <w:rPr>
                <w:rFonts w:ascii="Arial Narrow" w:hAnsi="Arial Narrow" w:cs="Calibri"/>
                <w:color w:val="000000"/>
                <w:sz w:val="20"/>
                <w:szCs w:val="20"/>
              </w:rPr>
            </w:pPr>
            <w:r w:rsidRPr="00885AB3">
              <w:rPr>
                <w:rFonts w:ascii="Arial Narrow" w:hAnsi="Arial Narrow" w:cs="Calibri"/>
                <w:color w:val="000000"/>
                <w:sz w:val="20"/>
                <w:szCs w:val="20"/>
              </w:rPr>
              <w:t>+</w:t>
            </w:r>
            <w:r w:rsidR="004B5AFE" w:rsidRPr="004B5AFE">
              <w:rPr>
                <w:rFonts w:ascii="Arial Narrow" w:hAnsi="Arial Narrow" w:cs="Calibri"/>
                <w:color w:val="000000"/>
                <w:sz w:val="20"/>
                <w:szCs w:val="20"/>
                <w:highlight w:val="black"/>
              </w:rPr>
              <w:t xml:space="preserve"> &amp;&amp;&amp;&amp;</w:t>
            </w:r>
            <w:r w:rsidRPr="00885AB3">
              <w:rPr>
                <w:rFonts w:ascii="Arial Narrow" w:hAnsi="Arial Narrow" w:cs="Calibri"/>
                <w:color w:val="000000"/>
                <w:sz w:val="20"/>
                <w:szCs w:val="20"/>
              </w:rPr>
              <w:t>%</w:t>
            </w:r>
          </w:p>
        </w:tc>
      </w:tr>
      <w:tr w:rsidR="006A1AFC" w:rsidRPr="00885AB3" w14:paraId="6789D1AA" w14:textId="77777777">
        <w:trPr>
          <w:cantSplit/>
          <w:trHeight w:val="20"/>
        </w:trPr>
        <w:tc>
          <w:tcPr>
            <w:tcW w:w="421" w:type="dxa"/>
          </w:tcPr>
          <w:p w14:paraId="5C44D01C" w14:textId="77777777" w:rsidR="006A1AFC" w:rsidRPr="00885AB3" w:rsidRDefault="006A1AFC" w:rsidP="00120D61">
            <w:pPr>
              <w:pStyle w:val="PBACTabletext"/>
              <w:keepLines w:val="0"/>
              <w:spacing w:after="0"/>
              <w:jc w:val="center"/>
              <w:rPr>
                <w:rFonts w:ascii="Arial Narrow" w:hAnsi="Arial Narrow"/>
                <w:sz w:val="20"/>
                <w:szCs w:val="20"/>
              </w:rPr>
            </w:pPr>
          </w:p>
        </w:tc>
        <w:tc>
          <w:tcPr>
            <w:tcW w:w="8520" w:type="dxa"/>
            <w:gridSpan w:val="5"/>
            <w:tcMar>
              <w:left w:w="28" w:type="dxa"/>
              <w:right w:w="28" w:type="dxa"/>
            </w:tcMar>
            <w:vAlign w:val="center"/>
          </w:tcPr>
          <w:p w14:paraId="56F09B7C" w14:textId="77777777" w:rsidR="006A1AFC" w:rsidRPr="00885AB3" w:rsidRDefault="006A1AFC" w:rsidP="00120D61">
            <w:pPr>
              <w:pStyle w:val="PBACTabletext"/>
              <w:keepLines w:val="0"/>
              <w:spacing w:after="0"/>
              <w:rPr>
                <w:rFonts w:ascii="Arial Narrow" w:hAnsi="Arial Narrow" w:cs="Calibri"/>
                <w:color w:val="000000"/>
                <w:sz w:val="20"/>
                <w:szCs w:val="20"/>
              </w:rPr>
            </w:pPr>
            <w:r w:rsidRPr="00885AB3">
              <w:rPr>
                <w:rFonts w:ascii="Arial Narrow" w:hAnsi="Arial Narrow"/>
                <w:b/>
                <w:bCs/>
                <w:sz w:val="20"/>
                <w:szCs w:val="20"/>
              </w:rPr>
              <w:t>VE duration (base case: 5-year duration of protection)</w:t>
            </w:r>
          </w:p>
        </w:tc>
      </w:tr>
      <w:tr w:rsidR="006A1AFC" w:rsidRPr="00885AB3" w14:paraId="0E8021BB" w14:textId="77777777">
        <w:trPr>
          <w:cantSplit/>
          <w:trHeight w:val="20"/>
        </w:trPr>
        <w:tc>
          <w:tcPr>
            <w:tcW w:w="421" w:type="dxa"/>
          </w:tcPr>
          <w:p w14:paraId="2D3D5CFF" w14:textId="77777777" w:rsidR="006A1AFC" w:rsidRPr="00885AB3" w:rsidRDefault="006A1AFC" w:rsidP="00120D61">
            <w:pPr>
              <w:pStyle w:val="PBACTabletext"/>
              <w:keepLines w:val="0"/>
              <w:spacing w:after="0"/>
              <w:jc w:val="center"/>
              <w:rPr>
                <w:rFonts w:ascii="Arial Narrow" w:hAnsi="Arial Narrow"/>
                <w:sz w:val="20"/>
                <w:szCs w:val="20"/>
              </w:rPr>
            </w:pPr>
            <w:r w:rsidRPr="00885AB3">
              <w:rPr>
                <w:rFonts w:ascii="Arial Narrow" w:hAnsi="Arial Narrow"/>
                <w:sz w:val="20"/>
                <w:szCs w:val="20"/>
              </w:rPr>
              <w:t>H</w:t>
            </w:r>
          </w:p>
        </w:tc>
        <w:tc>
          <w:tcPr>
            <w:tcW w:w="4394" w:type="dxa"/>
            <w:tcMar>
              <w:left w:w="28" w:type="dxa"/>
              <w:right w:w="28" w:type="dxa"/>
            </w:tcMar>
            <w:vAlign w:val="center"/>
          </w:tcPr>
          <w:p w14:paraId="26256E3E" w14:textId="77777777" w:rsidR="006A1AFC" w:rsidRPr="00885AB3" w:rsidRDefault="006A1AFC" w:rsidP="00120D61">
            <w:pPr>
              <w:pStyle w:val="PBACTabletext"/>
              <w:keepLines w:val="0"/>
              <w:spacing w:after="0"/>
              <w:rPr>
                <w:rFonts w:ascii="Arial Narrow" w:hAnsi="Arial Narrow"/>
                <w:sz w:val="20"/>
                <w:szCs w:val="20"/>
              </w:rPr>
            </w:pPr>
            <w:r w:rsidRPr="00885AB3">
              <w:rPr>
                <w:rFonts w:ascii="Arial Narrow" w:hAnsi="Arial Narrow"/>
                <w:sz w:val="20"/>
                <w:szCs w:val="20"/>
              </w:rPr>
              <w:t xml:space="preserve">1-year </w:t>
            </w:r>
          </w:p>
        </w:tc>
        <w:tc>
          <w:tcPr>
            <w:tcW w:w="1376" w:type="dxa"/>
            <w:tcMar>
              <w:left w:w="28" w:type="dxa"/>
              <w:right w:w="28" w:type="dxa"/>
            </w:tcMar>
            <w:vAlign w:val="bottom"/>
          </w:tcPr>
          <w:p w14:paraId="0502FE91" w14:textId="193633BB" w:rsidR="006A1AFC" w:rsidRPr="00885AB3" w:rsidRDefault="006A1AFC" w:rsidP="00120D61">
            <w:pPr>
              <w:pStyle w:val="PBACTabletext"/>
              <w:keepLines w:val="0"/>
              <w:spacing w:after="0"/>
              <w:jc w:val="center"/>
              <w:rPr>
                <w:rFonts w:ascii="Arial Narrow" w:hAnsi="Arial Narrow" w:cs="Calibri"/>
                <w:color w:val="000000"/>
                <w:sz w:val="20"/>
                <w:szCs w:val="20"/>
              </w:rPr>
            </w:pPr>
            <w:r w:rsidRPr="00885AB3">
              <w:rPr>
                <w:rFonts w:ascii="Arial Narrow" w:hAnsi="Arial Narrow" w:cs="Calibri"/>
                <w:color w:val="000000"/>
                <w:sz w:val="20"/>
                <w:szCs w:val="20"/>
              </w:rPr>
              <w:t>$</w:t>
            </w:r>
            <w:r w:rsidR="004B5AFE" w:rsidRPr="004B5AFE">
              <w:rPr>
                <w:rFonts w:ascii="Arial Narrow" w:hAnsi="Arial Narrow" w:cs="Calibri"/>
                <w:color w:val="000000"/>
                <w:sz w:val="20"/>
                <w:szCs w:val="20"/>
                <w:highlight w:val="black"/>
              </w:rPr>
              <w:t xml:space="preserve"> &amp;&amp;&amp;&amp;</w:t>
            </w:r>
          </w:p>
        </w:tc>
        <w:tc>
          <w:tcPr>
            <w:tcW w:w="1040" w:type="dxa"/>
            <w:tcMar>
              <w:left w:w="28" w:type="dxa"/>
              <w:right w:w="28" w:type="dxa"/>
            </w:tcMar>
            <w:vAlign w:val="bottom"/>
          </w:tcPr>
          <w:p w14:paraId="5EECC36F" w14:textId="77777777" w:rsidR="006A1AFC" w:rsidRPr="00885AB3" w:rsidRDefault="006A1AFC" w:rsidP="00120D61">
            <w:pPr>
              <w:pStyle w:val="PBACTabletext"/>
              <w:keepLines w:val="0"/>
              <w:spacing w:after="0"/>
              <w:jc w:val="center"/>
              <w:rPr>
                <w:rFonts w:ascii="Arial Narrow" w:hAnsi="Arial Narrow" w:cs="Calibri"/>
                <w:color w:val="000000"/>
                <w:sz w:val="20"/>
                <w:szCs w:val="20"/>
              </w:rPr>
            </w:pPr>
            <w:r w:rsidRPr="00885AB3">
              <w:rPr>
                <w:rFonts w:ascii="Arial Narrow" w:hAnsi="Arial Narrow" w:cs="Calibri"/>
                <w:color w:val="000000"/>
                <w:sz w:val="20"/>
                <w:szCs w:val="20"/>
              </w:rPr>
              <w:t>3,124</w:t>
            </w:r>
          </w:p>
        </w:tc>
        <w:tc>
          <w:tcPr>
            <w:tcW w:w="844" w:type="dxa"/>
            <w:tcMar>
              <w:left w:w="28" w:type="dxa"/>
              <w:right w:w="28" w:type="dxa"/>
            </w:tcMar>
            <w:vAlign w:val="bottom"/>
          </w:tcPr>
          <w:p w14:paraId="3C127375" w14:textId="646701B7" w:rsidR="006A1AFC" w:rsidRPr="00A906E5" w:rsidRDefault="006A1AFC" w:rsidP="00120D61">
            <w:pPr>
              <w:pStyle w:val="PBACTabletext"/>
              <w:keepLines w:val="0"/>
              <w:spacing w:after="0"/>
              <w:jc w:val="center"/>
              <w:rPr>
                <w:rFonts w:ascii="Arial Narrow" w:hAnsi="Arial Narrow" w:cs="Calibri"/>
                <w:color w:val="000000"/>
                <w:sz w:val="20"/>
                <w:szCs w:val="20"/>
                <w:vertAlign w:val="superscript"/>
              </w:rPr>
            </w:pPr>
            <w:r w:rsidRPr="00885AB3">
              <w:rPr>
                <w:rFonts w:ascii="Arial Narrow" w:hAnsi="Arial Narrow" w:cs="Calibri"/>
                <w:color w:val="000000"/>
                <w:sz w:val="20"/>
                <w:szCs w:val="20"/>
              </w:rPr>
              <w:t>$</w:t>
            </w:r>
            <w:r w:rsidR="004B5AFE" w:rsidRPr="004B5AFE">
              <w:rPr>
                <w:rFonts w:ascii="Arial Narrow" w:hAnsi="Arial Narrow" w:cs="Calibri"/>
                <w:color w:val="000000"/>
                <w:sz w:val="20"/>
                <w:szCs w:val="20"/>
                <w:highlight w:val="black"/>
              </w:rPr>
              <w:t xml:space="preserve"> &amp;&amp;&amp;&amp;</w:t>
            </w:r>
            <w:r w:rsidR="00A906E5">
              <w:rPr>
                <w:rFonts w:ascii="Arial Narrow" w:hAnsi="Arial Narrow" w:cs="Calibri"/>
                <w:color w:val="000000"/>
                <w:sz w:val="20"/>
                <w:szCs w:val="20"/>
                <w:vertAlign w:val="superscript"/>
              </w:rPr>
              <w:t>4</w:t>
            </w:r>
          </w:p>
        </w:tc>
        <w:tc>
          <w:tcPr>
            <w:tcW w:w="866" w:type="dxa"/>
            <w:tcMar>
              <w:left w:w="28" w:type="dxa"/>
              <w:right w:w="28" w:type="dxa"/>
            </w:tcMar>
            <w:vAlign w:val="bottom"/>
          </w:tcPr>
          <w:p w14:paraId="2AE42C31" w14:textId="14C95ACC" w:rsidR="006A1AFC" w:rsidRPr="00885AB3" w:rsidRDefault="006A1AFC" w:rsidP="00120D61">
            <w:pPr>
              <w:pStyle w:val="PBACTabletext"/>
              <w:keepLines w:val="0"/>
              <w:spacing w:after="0"/>
              <w:jc w:val="center"/>
              <w:rPr>
                <w:rFonts w:ascii="Arial Narrow" w:hAnsi="Arial Narrow" w:cs="Calibri"/>
                <w:color w:val="000000"/>
                <w:sz w:val="20"/>
                <w:szCs w:val="20"/>
              </w:rPr>
            </w:pPr>
            <w:r w:rsidRPr="00885AB3">
              <w:rPr>
                <w:rFonts w:ascii="Arial Narrow" w:hAnsi="Arial Narrow" w:cs="Calibri"/>
                <w:color w:val="000000"/>
                <w:sz w:val="20"/>
                <w:szCs w:val="20"/>
              </w:rPr>
              <w:t>+</w:t>
            </w:r>
            <w:r w:rsidR="004B5AFE" w:rsidRPr="004B5AFE">
              <w:rPr>
                <w:rFonts w:ascii="Arial Narrow" w:hAnsi="Arial Narrow" w:cs="Calibri"/>
                <w:color w:val="000000"/>
                <w:sz w:val="20"/>
                <w:szCs w:val="20"/>
                <w:highlight w:val="black"/>
              </w:rPr>
              <w:t xml:space="preserve"> &amp;&amp;&amp;&amp;</w:t>
            </w:r>
            <w:r w:rsidRPr="00885AB3">
              <w:rPr>
                <w:rFonts w:ascii="Arial Narrow" w:hAnsi="Arial Narrow" w:cs="Calibri"/>
                <w:color w:val="000000"/>
                <w:sz w:val="20"/>
                <w:szCs w:val="20"/>
              </w:rPr>
              <w:t>%</w:t>
            </w:r>
          </w:p>
        </w:tc>
      </w:tr>
      <w:tr w:rsidR="006A1AFC" w:rsidRPr="00885AB3" w14:paraId="0FCD2117" w14:textId="77777777">
        <w:trPr>
          <w:cantSplit/>
          <w:trHeight w:val="20"/>
        </w:trPr>
        <w:tc>
          <w:tcPr>
            <w:tcW w:w="421" w:type="dxa"/>
          </w:tcPr>
          <w:p w14:paraId="649AB2D0" w14:textId="77777777" w:rsidR="006A1AFC" w:rsidRPr="00885AB3" w:rsidRDefault="006A1AFC" w:rsidP="00120D61">
            <w:pPr>
              <w:pStyle w:val="PBACTabletext"/>
              <w:keepLines w:val="0"/>
              <w:spacing w:after="0"/>
              <w:jc w:val="center"/>
              <w:rPr>
                <w:rFonts w:ascii="Arial Narrow" w:hAnsi="Arial Narrow"/>
                <w:sz w:val="20"/>
                <w:szCs w:val="20"/>
              </w:rPr>
            </w:pPr>
            <w:r w:rsidRPr="00885AB3">
              <w:rPr>
                <w:rFonts w:ascii="Arial Narrow" w:hAnsi="Arial Narrow"/>
                <w:sz w:val="20"/>
                <w:szCs w:val="20"/>
              </w:rPr>
              <w:t>I</w:t>
            </w:r>
          </w:p>
        </w:tc>
        <w:tc>
          <w:tcPr>
            <w:tcW w:w="4394" w:type="dxa"/>
            <w:tcMar>
              <w:left w:w="28" w:type="dxa"/>
              <w:right w:w="28" w:type="dxa"/>
            </w:tcMar>
            <w:vAlign w:val="center"/>
          </w:tcPr>
          <w:p w14:paraId="1DCAB207" w14:textId="77777777" w:rsidR="006A1AFC" w:rsidRPr="00885AB3" w:rsidRDefault="006A1AFC" w:rsidP="00120D61">
            <w:pPr>
              <w:pStyle w:val="PBACTabletext"/>
              <w:keepLines w:val="0"/>
              <w:spacing w:after="0"/>
              <w:rPr>
                <w:rFonts w:ascii="Arial Narrow" w:hAnsi="Arial Narrow"/>
                <w:sz w:val="20"/>
                <w:szCs w:val="20"/>
              </w:rPr>
            </w:pPr>
            <w:r w:rsidRPr="00885AB3">
              <w:rPr>
                <w:rFonts w:ascii="Arial Narrow" w:hAnsi="Arial Narrow"/>
                <w:sz w:val="20"/>
                <w:szCs w:val="20"/>
              </w:rPr>
              <w:t xml:space="preserve">2-year </w:t>
            </w:r>
          </w:p>
        </w:tc>
        <w:tc>
          <w:tcPr>
            <w:tcW w:w="1376" w:type="dxa"/>
            <w:tcMar>
              <w:left w:w="28" w:type="dxa"/>
              <w:right w:w="28" w:type="dxa"/>
            </w:tcMar>
            <w:vAlign w:val="center"/>
          </w:tcPr>
          <w:p w14:paraId="041C6F91" w14:textId="0788D150" w:rsidR="006A1AFC" w:rsidRPr="00885AB3" w:rsidRDefault="006A1AFC" w:rsidP="00120D61">
            <w:pPr>
              <w:pStyle w:val="PBACTabletext"/>
              <w:keepLines w:val="0"/>
              <w:spacing w:after="0"/>
              <w:jc w:val="center"/>
              <w:rPr>
                <w:rFonts w:ascii="Arial Narrow" w:hAnsi="Arial Narrow" w:cs="Calibri"/>
                <w:color w:val="000000"/>
                <w:sz w:val="20"/>
                <w:szCs w:val="20"/>
              </w:rPr>
            </w:pPr>
            <w:r w:rsidRPr="00885AB3">
              <w:rPr>
                <w:rFonts w:ascii="Arial Narrow" w:hAnsi="Arial Narrow" w:cs="Calibri"/>
                <w:color w:val="000000"/>
                <w:sz w:val="20"/>
                <w:szCs w:val="20"/>
              </w:rPr>
              <w:t>$</w:t>
            </w:r>
            <w:r w:rsidR="004B5AFE" w:rsidRPr="004B5AFE">
              <w:rPr>
                <w:rFonts w:ascii="Arial Narrow" w:hAnsi="Arial Narrow" w:cs="Calibri"/>
                <w:color w:val="000000"/>
                <w:sz w:val="20"/>
                <w:szCs w:val="20"/>
                <w:highlight w:val="black"/>
              </w:rPr>
              <w:t xml:space="preserve"> &amp;&amp;&amp;&amp;</w:t>
            </w:r>
          </w:p>
        </w:tc>
        <w:tc>
          <w:tcPr>
            <w:tcW w:w="1040" w:type="dxa"/>
            <w:tcMar>
              <w:left w:w="28" w:type="dxa"/>
              <w:right w:w="28" w:type="dxa"/>
            </w:tcMar>
            <w:vAlign w:val="center"/>
          </w:tcPr>
          <w:p w14:paraId="51F0C9EB" w14:textId="77777777" w:rsidR="006A1AFC" w:rsidRPr="00885AB3" w:rsidRDefault="006A1AFC" w:rsidP="00120D61">
            <w:pPr>
              <w:pStyle w:val="PBACTabletext"/>
              <w:keepLines w:val="0"/>
              <w:spacing w:after="0"/>
              <w:jc w:val="center"/>
              <w:rPr>
                <w:rFonts w:ascii="Arial Narrow" w:hAnsi="Arial Narrow" w:cs="Calibri"/>
                <w:color w:val="000000"/>
                <w:sz w:val="20"/>
                <w:szCs w:val="20"/>
              </w:rPr>
            </w:pPr>
            <w:r w:rsidRPr="00885AB3">
              <w:rPr>
                <w:rFonts w:ascii="Arial Narrow" w:hAnsi="Arial Narrow" w:cs="Calibri"/>
                <w:color w:val="000000"/>
                <w:sz w:val="20"/>
                <w:szCs w:val="20"/>
              </w:rPr>
              <w:t>5,113</w:t>
            </w:r>
          </w:p>
        </w:tc>
        <w:tc>
          <w:tcPr>
            <w:tcW w:w="844" w:type="dxa"/>
            <w:tcMar>
              <w:left w:w="28" w:type="dxa"/>
              <w:right w:w="28" w:type="dxa"/>
            </w:tcMar>
            <w:vAlign w:val="center"/>
          </w:tcPr>
          <w:p w14:paraId="1D7F17B6" w14:textId="77FE33CB" w:rsidR="006A1AFC" w:rsidRPr="00791354" w:rsidRDefault="006A1AFC" w:rsidP="00120D61">
            <w:pPr>
              <w:pStyle w:val="PBACTabletext"/>
              <w:keepLines w:val="0"/>
              <w:spacing w:after="0"/>
              <w:jc w:val="center"/>
              <w:rPr>
                <w:rFonts w:ascii="Arial Narrow" w:hAnsi="Arial Narrow" w:cs="Calibri"/>
                <w:color w:val="000000"/>
                <w:sz w:val="20"/>
                <w:szCs w:val="20"/>
                <w:vertAlign w:val="superscript"/>
              </w:rPr>
            </w:pPr>
            <w:r w:rsidRPr="00885AB3">
              <w:rPr>
                <w:rFonts w:ascii="Arial Narrow" w:hAnsi="Arial Narrow" w:cs="Calibri"/>
                <w:color w:val="000000"/>
                <w:sz w:val="20"/>
                <w:szCs w:val="20"/>
              </w:rPr>
              <w:t>$</w:t>
            </w:r>
            <w:r w:rsidR="004B5AFE" w:rsidRPr="004B5AFE">
              <w:rPr>
                <w:rFonts w:ascii="Arial Narrow" w:hAnsi="Arial Narrow" w:cs="Calibri"/>
                <w:color w:val="000000"/>
                <w:sz w:val="20"/>
                <w:szCs w:val="20"/>
                <w:highlight w:val="black"/>
              </w:rPr>
              <w:t xml:space="preserve"> &amp;&amp;&amp;&amp;</w:t>
            </w:r>
            <w:r w:rsidR="00791354">
              <w:rPr>
                <w:rFonts w:ascii="Arial Narrow" w:hAnsi="Arial Narrow" w:cs="Calibri"/>
                <w:color w:val="000000"/>
                <w:sz w:val="20"/>
                <w:szCs w:val="20"/>
                <w:vertAlign w:val="superscript"/>
              </w:rPr>
              <w:t>3</w:t>
            </w:r>
          </w:p>
        </w:tc>
        <w:tc>
          <w:tcPr>
            <w:tcW w:w="866" w:type="dxa"/>
            <w:tcMar>
              <w:left w:w="28" w:type="dxa"/>
              <w:right w:w="28" w:type="dxa"/>
            </w:tcMar>
            <w:vAlign w:val="center"/>
          </w:tcPr>
          <w:p w14:paraId="2FBD64B4" w14:textId="5BC57E0F" w:rsidR="006A1AFC" w:rsidRPr="00885AB3" w:rsidRDefault="006A1AFC" w:rsidP="00120D61">
            <w:pPr>
              <w:pStyle w:val="PBACTabletext"/>
              <w:keepLines w:val="0"/>
              <w:spacing w:after="0"/>
              <w:jc w:val="center"/>
              <w:rPr>
                <w:rFonts w:ascii="Arial Narrow" w:hAnsi="Arial Narrow" w:cs="Calibri"/>
                <w:color w:val="000000"/>
                <w:sz w:val="20"/>
                <w:szCs w:val="20"/>
              </w:rPr>
            </w:pPr>
            <w:r w:rsidRPr="00885AB3">
              <w:rPr>
                <w:rFonts w:ascii="Arial Narrow" w:hAnsi="Arial Narrow" w:cs="Calibri"/>
                <w:color w:val="000000"/>
                <w:sz w:val="20"/>
                <w:szCs w:val="20"/>
              </w:rPr>
              <w:t>+</w:t>
            </w:r>
            <w:r w:rsidR="004B5AFE" w:rsidRPr="004B5AFE">
              <w:rPr>
                <w:rFonts w:ascii="Arial Narrow" w:hAnsi="Arial Narrow" w:cs="Calibri"/>
                <w:color w:val="000000"/>
                <w:sz w:val="20"/>
                <w:szCs w:val="20"/>
                <w:highlight w:val="black"/>
              </w:rPr>
              <w:t xml:space="preserve"> &amp;&amp;&amp;&amp;</w:t>
            </w:r>
            <w:r w:rsidRPr="00885AB3">
              <w:rPr>
                <w:rFonts w:ascii="Arial Narrow" w:hAnsi="Arial Narrow" w:cs="Calibri"/>
                <w:color w:val="000000"/>
                <w:sz w:val="20"/>
                <w:szCs w:val="20"/>
              </w:rPr>
              <w:t>%</w:t>
            </w:r>
          </w:p>
        </w:tc>
      </w:tr>
      <w:tr w:rsidR="006A1AFC" w:rsidRPr="00885AB3" w14:paraId="68A3804F" w14:textId="77777777">
        <w:trPr>
          <w:cantSplit/>
          <w:trHeight w:val="20"/>
        </w:trPr>
        <w:tc>
          <w:tcPr>
            <w:tcW w:w="421" w:type="dxa"/>
          </w:tcPr>
          <w:p w14:paraId="4B7B1EB6" w14:textId="77777777" w:rsidR="006A1AFC" w:rsidRPr="00885AB3" w:rsidRDefault="006A1AFC" w:rsidP="00120D61">
            <w:pPr>
              <w:pStyle w:val="PBACTabletext"/>
              <w:keepLines w:val="0"/>
              <w:spacing w:after="0"/>
              <w:jc w:val="center"/>
              <w:rPr>
                <w:rFonts w:ascii="Arial Narrow" w:hAnsi="Arial Narrow"/>
                <w:sz w:val="20"/>
                <w:szCs w:val="20"/>
              </w:rPr>
            </w:pPr>
            <w:r w:rsidRPr="00885AB3">
              <w:rPr>
                <w:rFonts w:ascii="Arial Narrow" w:hAnsi="Arial Narrow"/>
                <w:sz w:val="20"/>
                <w:szCs w:val="20"/>
              </w:rPr>
              <w:t>J</w:t>
            </w:r>
          </w:p>
        </w:tc>
        <w:tc>
          <w:tcPr>
            <w:tcW w:w="4394" w:type="dxa"/>
            <w:tcMar>
              <w:left w:w="28" w:type="dxa"/>
              <w:right w:w="28" w:type="dxa"/>
            </w:tcMar>
            <w:vAlign w:val="center"/>
          </w:tcPr>
          <w:p w14:paraId="4D55FE2A" w14:textId="77777777" w:rsidR="006A1AFC" w:rsidRPr="00885AB3" w:rsidRDefault="006A1AFC" w:rsidP="00120D61">
            <w:pPr>
              <w:pStyle w:val="PBACTabletext"/>
              <w:keepLines w:val="0"/>
              <w:spacing w:after="0"/>
              <w:rPr>
                <w:rFonts w:ascii="Arial Narrow" w:hAnsi="Arial Narrow"/>
                <w:sz w:val="20"/>
                <w:szCs w:val="20"/>
              </w:rPr>
            </w:pPr>
            <w:r w:rsidRPr="00885AB3">
              <w:rPr>
                <w:rFonts w:ascii="Arial Narrow" w:hAnsi="Arial Narrow"/>
                <w:sz w:val="20"/>
                <w:szCs w:val="20"/>
              </w:rPr>
              <w:t xml:space="preserve">3-year </w:t>
            </w:r>
          </w:p>
        </w:tc>
        <w:tc>
          <w:tcPr>
            <w:tcW w:w="1376" w:type="dxa"/>
            <w:tcMar>
              <w:left w:w="28" w:type="dxa"/>
              <w:right w:w="28" w:type="dxa"/>
            </w:tcMar>
            <w:vAlign w:val="center"/>
          </w:tcPr>
          <w:p w14:paraId="7704671F" w14:textId="0DE3CE97" w:rsidR="006A1AFC" w:rsidRPr="00885AB3" w:rsidRDefault="006A1AFC" w:rsidP="00120D61">
            <w:pPr>
              <w:pStyle w:val="PBACTabletext"/>
              <w:keepLines w:val="0"/>
              <w:spacing w:after="0"/>
              <w:jc w:val="center"/>
              <w:rPr>
                <w:rFonts w:ascii="Arial Narrow" w:hAnsi="Arial Narrow" w:cs="Calibri"/>
                <w:color w:val="000000"/>
                <w:sz w:val="20"/>
                <w:szCs w:val="20"/>
              </w:rPr>
            </w:pPr>
            <w:r w:rsidRPr="00885AB3">
              <w:rPr>
                <w:rFonts w:ascii="Arial Narrow" w:hAnsi="Arial Narrow" w:cs="Calibri"/>
                <w:color w:val="000000"/>
                <w:sz w:val="20"/>
                <w:szCs w:val="20"/>
              </w:rPr>
              <w:t>$</w:t>
            </w:r>
            <w:r w:rsidR="004B5AFE" w:rsidRPr="004B5AFE">
              <w:rPr>
                <w:rFonts w:ascii="Arial Narrow" w:hAnsi="Arial Narrow" w:cs="Calibri"/>
                <w:color w:val="000000"/>
                <w:sz w:val="20"/>
                <w:szCs w:val="20"/>
                <w:highlight w:val="black"/>
              </w:rPr>
              <w:t xml:space="preserve"> &amp;&amp;&amp;&amp;</w:t>
            </w:r>
          </w:p>
        </w:tc>
        <w:tc>
          <w:tcPr>
            <w:tcW w:w="1040" w:type="dxa"/>
            <w:tcMar>
              <w:left w:w="28" w:type="dxa"/>
              <w:right w:w="28" w:type="dxa"/>
            </w:tcMar>
            <w:vAlign w:val="center"/>
          </w:tcPr>
          <w:p w14:paraId="7EF5169B" w14:textId="77777777" w:rsidR="006A1AFC" w:rsidRPr="00885AB3" w:rsidRDefault="006A1AFC" w:rsidP="00120D61">
            <w:pPr>
              <w:pStyle w:val="PBACTabletext"/>
              <w:keepLines w:val="0"/>
              <w:spacing w:after="0"/>
              <w:jc w:val="center"/>
              <w:rPr>
                <w:rFonts w:ascii="Arial Narrow" w:hAnsi="Arial Narrow" w:cs="Calibri"/>
                <w:color w:val="000000"/>
                <w:sz w:val="20"/>
                <w:szCs w:val="20"/>
              </w:rPr>
            </w:pPr>
            <w:r w:rsidRPr="00885AB3">
              <w:rPr>
                <w:rFonts w:ascii="Arial Narrow" w:hAnsi="Arial Narrow" w:cs="Calibri"/>
                <w:color w:val="000000"/>
                <w:sz w:val="20"/>
                <w:szCs w:val="20"/>
              </w:rPr>
              <w:t>6,492</w:t>
            </w:r>
          </w:p>
        </w:tc>
        <w:tc>
          <w:tcPr>
            <w:tcW w:w="844" w:type="dxa"/>
            <w:tcMar>
              <w:left w:w="28" w:type="dxa"/>
              <w:right w:w="28" w:type="dxa"/>
            </w:tcMar>
            <w:vAlign w:val="center"/>
          </w:tcPr>
          <w:p w14:paraId="1B712C60" w14:textId="7DEC9576" w:rsidR="006A1AFC" w:rsidRPr="000F6296" w:rsidRDefault="006A1AFC" w:rsidP="00120D61">
            <w:pPr>
              <w:pStyle w:val="PBACTabletext"/>
              <w:keepLines w:val="0"/>
              <w:spacing w:after="0"/>
              <w:jc w:val="center"/>
              <w:rPr>
                <w:rFonts w:ascii="Arial Narrow" w:hAnsi="Arial Narrow" w:cs="Calibri"/>
                <w:color w:val="000000"/>
                <w:sz w:val="20"/>
                <w:szCs w:val="20"/>
                <w:vertAlign w:val="superscript"/>
              </w:rPr>
            </w:pPr>
            <w:r w:rsidRPr="00885AB3">
              <w:rPr>
                <w:rFonts w:ascii="Arial Narrow" w:hAnsi="Arial Narrow" w:cs="Calibri"/>
                <w:color w:val="000000"/>
                <w:sz w:val="20"/>
                <w:szCs w:val="20"/>
              </w:rPr>
              <w:t>$</w:t>
            </w:r>
            <w:r w:rsidR="004B5AFE" w:rsidRPr="004B5AFE">
              <w:rPr>
                <w:rFonts w:ascii="Arial Narrow" w:hAnsi="Arial Narrow" w:cs="Calibri"/>
                <w:color w:val="000000"/>
                <w:sz w:val="20"/>
                <w:szCs w:val="20"/>
                <w:highlight w:val="black"/>
              </w:rPr>
              <w:t xml:space="preserve"> &amp;&amp;&amp;&amp;</w:t>
            </w:r>
            <w:r w:rsidR="000F6296">
              <w:rPr>
                <w:rFonts w:ascii="Arial Narrow" w:hAnsi="Arial Narrow" w:cs="Calibri"/>
                <w:color w:val="000000"/>
                <w:sz w:val="20"/>
                <w:szCs w:val="20"/>
                <w:vertAlign w:val="superscript"/>
              </w:rPr>
              <w:t>5</w:t>
            </w:r>
          </w:p>
        </w:tc>
        <w:tc>
          <w:tcPr>
            <w:tcW w:w="866" w:type="dxa"/>
            <w:tcMar>
              <w:left w:w="28" w:type="dxa"/>
              <w:right w:w="28" w:type="dxa"/>
            </w:tcMar>
            <w:vAlign w:val="center"/>
          </w:tcPr>
          <w:p w14:paraId="5FC02049" w14:textId="37588FA2" w:rsidR="006A1AFC" w:rsidRPr="00885AB3" w:rsidRDefault="006A1AFC" w:rsidP="00120D61">
            <w:pPr>
              <w:pStyle w:val="PBACTabletext"/>
              <w:keepLines w:val="0"/>
              <w:spacing w:after="0"/>
              <w:jc w:val="center"/>
              <w:rPr>
                <w:rFonts w:ascii="Arial Narrow" w:hAnsi="Arial Narrow" w:cs="Calibri"/>
                <w:color w:val="000000"/>
                <w:sz w:val="20"/>
                <w:szCs w:val="20"/>
              </w:rPr>
            </w:pPr>
            <w:r w:rsidRPr="00885AB3">
              <w:rPr>
                <w:rFonts w:ascii="Arial Narrow" w:hAnsi="Arial Narrow" w:cs="Calibri"/>
                <w:color w:val="000000"/>
                <w:sz w:val="20"/>
                <w:szCs w:val="20"/>
              </w:rPr>
              <w:t>+</w:t>
            </w:r>
            <w:r w:rsidR="004B5AFE" w:rsidRPr="004B5AFE">
              <w:rPr>
                <w:rFonts w:ascii="Arial Narrow" w:hAnsi="Arial Narrow" w:cs="Calibri"/>
                <w:color w:val="000000"/>
                <w:sz w:val="20"/>
                <w:szCs w:val="20"/>
                <w:highlight w:val="black"/>
              </w:rPr>
              <w:t xml:space="preserve"> &amp;&amp;&amp;&amp;</w:t>
            </w:r>
            <w:r w:rsidRPr="00885AB3">
              <w:rPr>
                <w:rFonts w:ascii="Arial Narrow" w:hAnsi="Arial Narrow" w:cs="Calibri"/>
                <w:color w:val="000000"/>
                <w:sz w:val="20"/>
                <w:szCs w:val="20"/>
              </w:rPr>
              <w:t>%</w:t>
            </w:r>
          </w:p>
        </w:tc>
      </w:tr>
      <w:tr w:rsidR="006A1AFC" w:rsidRPr="00885AB3" w14:paraId="18307EB2" w14:textId="77777777">
        <w:trPr>
          <w:cantSplit/>
          <w:trHeight w:val="20"/>
        </w:trPr>
        <w:tc>
          <w:tcPr>
            <w:tcW w:w="421" w:type="dxa"/>
          </w:tcPr>
          <w:p w14:paraId="637E5733" w14:textId="77777777" w:rsidR="006A1AFC" w:rsidRPr="00885AB3" w:rsidRDefault="006A1AFC" w:rsidP="00120D61">
            <w:pPr>
              <w:pStyle w:val="PBACTabletext"/>
              <w:keepLines w:val="0"/>
              <w:spacing w:after="0"/>
              <w:jc w:val="center"/>
              <w:rPr>
                <w:rFonts w:ascii="Arial Narrow" w:hAnsi="Arial Narrow"/>
                <w:b/>
                <w:bCs/>
                <w:sz w:val="20"/>
                <w:szCs w:val="20"/>
              </w:rPr>
            </w:pPr>
          </w:p>
        </w:tc>
        <w:tc>
          <w:tcPr>
            <w:tcW w:w="4394" w:type="dxa"/>
            <w:tcMar>
              <w:left w:w="28" w:type="dxa"/>
              <w:right w:w="28" w:type="dxa"/>
            </w:tcMar>
            <w:vAlign w:val="center"/>
          </w:tcPr>
          <w:p w14:paraId="00E42D14" w14:textId="77777777" w:rsidR="006A1AFC" w:rsidRPr="00885AB3" w:rsidRDefault="006A1AFC" w:rsidP="00120D61">
            <w:pPr>
              <w:pStyle w:val="PBACTabletext"/>
              <w:keepLines w:val="0"/>
              <w:spacing w:after="0"/>
              <w:rPr>
                <w:rFonts w:ascii="Arial Narrow" w:hAnsi="Arial Narrow"/>
                <w:b/>
                <w:bCs/>
                <w:sz w:val="20"/>
                <w:szCs w:val="20"/>
              </w:rPr>
            </w:pPr>
            <w:r w:rsidRPr="00885AB3">
              <w:rPr>
                <w:rFonts w:ascii="Arial Narrow" w:hAnsi="Arial Narrow"/>
                <w:b/>
                <w:bCs/>
                <w:sz w:val="20"/>
                <w:szCs w:val="20"/>
              </w:rPr>
              <w:t xml:space="preserve">Multivariate </w:t>
            </w:r>
          </w:p>
        </w:tc>
        <w:tc>
          <w:tcPr>
            <w:tcW w:w="1376" w:type="dxa"/>
            <w:tcMar>
              <w:left w:w="28" w:type="dxa"/>
              <w:right w:w="28" w:type="dxa"/>
            </w:tcMar>
            <w:vAlign w:val="center"/>
          </w:tcPr>
          <w:p w14:paraId="4CA1FACF" w14:textId="77777777" w:rsidR="006A1AFC" w:rsidRPr="00885AB3" w:rsidRDefault="006A1AFC" w:rsidP="00120D61">
            <w:pPr>
              <w:pStyle w:val="PBACTabletext"/>
              <w:keepLines w:val="0"/>
              <w:spacing w:after="0"/>
              <w:jc w:val="center"/>
              <w:rPr>
                <w:rFonts w:ascii="Arial Narrow" w:hAnsi="Arial Narrow" w:cs="Calibri"/>
                <w:sz w:val="20"/>
                <w:szCs w:val="20"/>
              </w:rPr>
            </w:pPr>
          </w:p>
        </w:tc>
        <w:tc>
          <w:tcPr>
            <w:tcW w:w="1040" w:type="dxa"/>
            <w:tcMar>
              <w:left w:w="28" w:type="dxa"/>
              <w:right w:w="28" w:type="dxa"/>
            </w:tcMar>
            <w:vAlign w:val="center"/>
          </w:tcPr>
          <w:p w14:paraId="7D1FA6EC" w14:textId="77777777" w:rsidR="006A1AFC" w:rsidRPr="00885AB3" w:rsidRDefault="006A1AFC" w:rsidP="00120D61">
            <w:pPr>
              <w:pStyle w:val="PBACTabletext"/>
              <w:keepLines w:val="0"/>
              <w:spacing w:after="0"/>
              <w:jc w:val="center"/>
              <w:rPr>
                <w:rFonts w:ascii="Arial Narrow" w:hAnsi="Arial Narrow" w:cs="Calibri"/>
                <w:sz w:val="20"/>
                <w:szCs w:val="20"/>
              </w:rPr>
            </w:pPr>
          </w:p>
        </w:tc>
        <w:tc>
          <w:tcPr>
            <w:tcW w:w="844" w:type="dxa"/>
            <w:tcMar>
              <w:left w:w="28" w:type="dxa"/>
              <w:right w:w="28" w:type="dxa"/>
            </w:tcMar>
            <w:vAlign w:val="center"/>
          </w:tcPr>
          <w:p w14:paraId="42539B3A" w14:textId="77777777" w:rsidR="006A1AFC" w:rsidRPr="00885AB3" w:rsidRDefault="006A1AFC" w:rsidP="00120D61">
            <w:pPr>
              <w:pStyle w:val="PBACTabletext"/>
              <w:keepLines w:val="0"/>
              <w:spacing w:after="0"/>
              <w:jc w:val="center"/>
              <w:rPr>
                <w:rFonts w:ascii="Arial Narrow" w:hAnsi="Arial Narrow" w:cs="Calibri"/>
                <w:sz w:val="20"/>
                <w:szCs w:val="20"/>
              </w:rPr>
            </w:pPr>
          </w:p>
        </w:tc>
        <w:tc>
          <w:tcPr>
            <w:tcW w:w="866" w:type="dxa"/>
            <w:tcMar>
              <w:left w:w="28" w:type="dxa"/>
              <w:right w:w="28" w:type="dxa"/>
            </w:tcMar>
            <w:vAlign w:val="center"/>
          </w:tcPr>
          <w:p w14:paraId="1C76E4B4" w14:textId="77777777" w:rsidR="006A1AFC" w:rsidRPr="00885AB3" w:rsidRDefault="006A1AFC" w:rsidP="00120D61">
            <w:pPr>
              <w:pStyle w:val="PBACTabletext"/>
              <w:keepLines w:val="0"/>
              <w:spacing w:after="0"/>
              <w:jc w:val="center"/>
              <w:rPr>
                <w:rFonts w:ascii="Arial Narrow" w:hAnsi="Arial Narrow" w:cs="Calibri"/>
                <w:sz w:val="20"/>
                <w:szCs w:val="20"/>
              </w:rPr>
            </w:pPr>
          </w:p>
        </w:tc>
      </w:tr>
      <w:tr w:rsidR="006A1AFC" w:rsidRPr="00885AB3" w14:paraId="26785E80" w14:textId="77777777">
        <w:trPr>
          <w:cantSplit/>
          <w:trHeight w:val="20"/>
        </w:trPr>
        <w:tc>
          <w:tcPr>
            <w:tcW w:w="421" w:type="dxa"/>
          </w:tcPr>
          <w:p w14:paraId="17793A13" w14:textId="77777777" w:rsidR="006A1AFC" w:rsidRPr="00885AB3" w:rsidRDefault="006A1AFC" w:rsidP="00120D61">
            <w:pPr>
              <w:pStyle w:val="PBACTabletext"/>
              <w:keepLines w:val="0"/>
              <w:spacing w:after="0"/>
              <w:jc w:val="center"/>
              <w:rPr>
                <w:rFonts w:ascii="Arial Narrow" w:hAnsi="Arial Narrow"/>
                <w:sz w:val="20"/>
                <w:szCs w:val="20"/>
              </w:rPr>
            </w:pPr>
            <w:r w:rsidRPr="00885AB3">
              <w:rPr>
                <w:rFonts w:ascii="Arial Narrow" w:hAnsi="Arial Narrow"/>
                <w:sz w:val="20"/>
                <w:szCs w:val="20"/>
              </w:rPr>
              <w:t>K</w:t>
            </w:r>
          </w:p>
        </w:tc>
        <w:tc>
          <w:tcPr>
            <w:tcW w:w="4394" w:type="dxa"/>
            <w:tcMar>
              <w:left w:w="28" w:type="dxa"/>
              <w:right w:w="28" w:type="dxa"/>
            </w:tcMar>
            <w:vAlign w:val="center"/>
          </w:tcPr>
          <w:p w14:paraId="20B5A25A" w14:textId="77777777" w:rsidR="006A1AFC" w:rsidRPr="00885AB3" w:rsidRDefault="006A1AFC" w:rsidP="00120D61">
            <w:pPr>
              <w:pStyle w:val="PBACTabletext"/>
              <w:keepLines w:val="0"/>
              <w:spacing w:after="0"/>
              <w:rPr>
                <w:rFonts w:ascii="Arial Narrow" w:hAnsi="Arial Narrow"/>
                <w:sz w:val="20"/>
                <w:szCs w:val="20"/>
              </w:rPr>
            </w:pPr>
            <w:r w:rsidRPr="00885AB3">
              <w:rPr>
                <w:rFonts w:ascii="Arial Narrow" w:hAnsi="Arial Narrow"/>
                <w:sz w:val="20"/>
                <w:szCs w:val="20"/>
              </w:rPr>
              <w:t>(A B C D E F G)</w:t>
            </w:r>
          </w:p>
        </w:tc>
        <w:tc>
          <w:tcPr>
            <w:tcW w:w="1376" w:type="dxa"/>
            <w:tcMar>
              <w:left w:w="28" w:type="dxa"/>
              <w:right w:w="28" w:type="dxa"/>
            </w:tcMar>
            <w:vAlign w:val="bottom"/>
          </w:tcPr>
          <w:p w14:paraId="73221A0E" w14:textId="7D7FED02" w:rsidR="006A1AFC" w:rsidRPr="00885AB3" w:rsidRDefault="006A1AFC" w:rsidP="00120D61">
            <w:pPr>
              <w:pStyle w:val="PBACTabletext"/>
              <w:keepLines w:val="0"/>
              <w:spacing w:after="0"/>
              <w:jc w:val="center"/>
              <w:rPr>
                <w:rFonts w:ascii="Arial Narrow" w:hAnsi="Arial Narrow" w:cs="Calibri"/>
                <w:color w:val="FF0000"/>
                <w:sz w:val="20"/>
                <w:szCs w:val="20"/>
              </w:rPr>
            </w:pPr>
            <w:r w:rsidRPr="00885AB3">
              <w:rPr>
                <w:rFonts w:ascii="Arial Narrow" w:hAnsi="Arial Narrow" w:cs="Calibri"/>
                <w:color w:val="000000"/>
                <w:sz w:val="20"/>
                <w:szCs w:val="20"/>
              </w:rPr>
              <w:t>$</w:t>
            </w:r>
            <w:r w:rsidR="004B5AFE" w:rsidRPr="004B5AFE">
              <w:rPr>
                <w:rFonts w:ascii="Arial Narrow" w:hAnsi="Arial Narrow" w:cs="Calibri"/>
                <w:color w:val="000000"/>
                <w:sz w:val="20"/>
                <w:szCs w:val="20"/>
                <w:highlight w:val="black"/>
              </w:rPr>
              <w:t xml:space="preserve"> &amp;&amp;&amp;&amp;</w:t>
            </w:r>
          </w:p>
        </w:tc>
        <w:tc>
          <w:tcPr>
            <w:tcW w:w="1040" w:type="dxa"/>
            <w:tcMar>
              <w:left w:w="28" w:type="dxa"/>
              <w:right w:w="28" w:type="dxa"/>
            </w:tcMar>
            <w:vAlign w:val="bottom"/>
          </w:tcPr>
          <w:p w14:paraId="7E4E703C" w14:textId="77777777" w:rsidR="006A1AFC" w:rsidRPr="00885AB3" w:rsidRDefault="006A1AFC" w:rsidP="00120D61">
            <w:pPr>
              <w:pStyle w:val="PBACTabletext"/>
              <w:keepLines w:val="0"/>
              <w:spacing w:after="0"/>
              <w:jc w:val="center"/>
              <w:rPr>
                <w:rFonts w:ascii="Arial Narrow" w:hAnsi="Arial Narrow" w:cs="Calibri"/>
                <w:color w:val="FF0000"/>
                <w:sz w:val="20"/>
                <w:szCs w:val="20"/>
              </w:rPr>
            </w:pPr>
            <w:r w:rsidRPr="00885AB3">
              <w:rPr>
                <w:rFonts w:ascii="Arial Narrow" w:hAnsi="Arial Narrow" w:cs="Calibri"/>
                <w:color w:val="000000"/>
                <w:sz w:val="20"/>
                <w:szCs w:val="20"/>
              </w:rPr>
              <w:t>2,630</w:t>
            </w:r>
          </w:p>
        </w:tc>
        <w:tc>
          <w:tcPr>
            <w:tcW w:w="844" w:type="dxa"/>
            <w:tcMar>
              <w:left w:w="28" w:type="dxa"/>
              <w:right w:w="28" w:type="dxa"/>
            </w:tcMar>
            <w:vAlign w:val="bottom"/>
          </w:tcPr>
          <w:p w14:paraId="2234B665" w14:textId="380A5DF3" w:rsidR="006A1AFC" w:rsidRPr="00156A72" w:rsidRDefault="006A1AFC" w:rsidP="00120D61">
            <w:pPr>
              <w:pStyle w:val="PBACTabletext"/>
              <w:keepLines w:val="0"/>
              <w:spacing w:after="0"/>
              <w:jc w:val="center"/>
              <w:rPr>
                <w:rFonts w:ascii="Arial Narrow" w:hAnsi="Arial Narrow" w:cs="Calibri"/>
                <w:color w:val="FF0000"/>
                <w:sz w:val="20"/>
                <w:szCs w:val="20"/>
                <w:vertAlign w:val="superscript"/>
              </w:rPr>
            </w:pPr>
            <w:r w:rsidRPr="00885AB3">
              <w:rPr>
                <w:rFonts w:ascii="Arial Narrow" w:hAnsi="Arial Narrow" w:cs="Calibri"/>
                <w:color w:val="000000"/>
                <w:sz w:val="20"/>
                <w:szCs w:val="20"/>
              </w:rPr>
              <w:t>$</w:t>
            </w:r>
            <w:r w:rsidR="004B5AFE" w:rsidRPr="004B5AFE">
              <w:rPr>
                <w:rFonts w:ascii="Arial Narrow" w:hAnsi="Arial Narrow" w:cs="Calibri"/>
                <w:color w:val="000000"/>
                <w:sz w:val="20"/>
                <w:szCs w:val="20"/>
                <w:highlight w:val="black"/>
              </w:rPr>
              <w:t xml:space="preserve"> &amp;&amp;&amp;&amp;</w:t>
            </w:r>
            <w:r w:rsidR="00156A72">
              <w:rPr>
                <w:rFonts w:ascii="Arial Narrow" w:hAnsi="Arial Narrow" w:cs="Calibri"/>
                <w:color w:val="000000"/>
                <w:sz w:val="20"/>
                <w:szCs w:val="20"/>
                <w:vertAlign w:val="superscript"/>
              </w:rPr>
              <w:t>6</w:t>
            </w:r>
          </w:p>
        </w:tc>
        <w:tc>
          <w:tcPr>
            <w:tcW w:w="866" w:type="dxa"/>
            <w:tcMar>
              <w:left w:w="28" w:type="dxa"/>
              <w:right w:w="28" w:type="dxa"/>
            </w:tcMar>
            <w:vAlign w:val="bottom"/>
          </w:tcPr>
          <w:p w14:paraId="5B45F943" w14:textId="52F28B11" w:rsidR="006A1AFC" w:rsidRPr="00885AB3" w:rsidRDefault="006A1AFC" w:rsidP="00120D61">
            <w:pPr>
              <w:pStyle w:val="PBACTabletext"/>
              <w:keepLines w:val="0"/>
              <w:spacing w:after="0"/>
              <w:jc w:val="center"/>
              <w:rPr>
                <w:rFonts w:ascii="Arial Narrow" w:hAnsi="Arial Narrow" w:cs="Calibri"/>
                <w:color w:val="FF0000"/>
                <w:sz w:val="20"/>
                <w:szCs w:val="20"/>
              </w:rPr>
            </w:pPr>
            <w:r w:rsidRPr="00885AB3">
              <w:rPr>
                <w:rFonts w:ascii="Arial Narrow" w:hAnsi="Arial Narrow" w:cs="Calibri"/>
                <w:color w:val="000000"/>
                <w:sz w:val="20"/>
                <w:szCs w:val="20"/>
              </w:rPr>
              <w:t>+</w:t>
            </w:r>
            <w:r w:rsidR="004B5AFE" w:rsidRPr="004B5AFE">
              <w:rPr>
                <w:rFonts w:ascii="Arial Narrow" w:hAnsi="Arial Narrow" w:cs="Calibri"/>
                <w:color w:val="000000"/>
                <w:sz w:val="20"/>
                <w:szCs w:val="20"/>
                <w:highlight w:val="black"/>
              </w:rPr>
              <w:t xml:space="preserve"> &amp;&amp;&amp;&amp;</w:t>
            </w:r>
            <w:r w:rsidRPr="00885AB3">
              <w:rPr>
                <w:rFonts w:ascii="Arial Narrow" w:hAnsi="Arial Narrow" w:cs="Calibri"/>
                <w:color w:val="000000"/>
                <w:sz w:val="20"/>
                <w:szCs w:val="20"/>
              </w:rPr>
              <w:t>%</w:t>
            </w:r>
          </w:p>
        </w:tc>
      </w:tr>
      <w:tr w:rsidR="006A1AFC" w:rsidRPr="00885AB3" w14:paraId="6BADA5B8" w14:textId="77777777">
        <w:trPr>
          <w:cantSplit/>
          <w:trHeight w:val="20"/>
        </w:trPr>
        <w:tc>
          <w:tcPr>
            <w:tcW w:w="421" w:type="dxa"/>
          </w:tcPr>
          <w:p w14:paraId="72CE2233" w14:textId="77777777" w:rsidR="006A1AFC" w:rsidRPr="00885AB3" w:rsidRDefault="006A1AFC" w:rsidP="00120D61">
            <w:pPr>
              <w:pStyle w:val="PBACTabletext"/>
              <w:keepLines w:val="0"/>
              <w:spacing w:after="0"/>
              <w:jc w:val="center"/>
              <w:rPr>
                <w:rFonts w:ascii="Arial Narrow" w:hAnsi="Arial Narrow"/>
                <w:sz w:val="20"/>
                <w:szCs w:val="20"/>
              </w:rPr>
            </w:pPr>
            <w:r w:rsidRPr="00885AB3">
              <w:rPr>
                <w:rFonts w:ascii="Arial Narrow" w:hAnsi="Arial Narrow"/>
                <w:sz w:val="20"/>
                <w:szCs w:val="20"/>
              </w:rPr>
              <w:t>L</w:t>
            </w:r>
          </w:p>
        </w:tc>
        <w:tc>
          <w:tcPr>
            <w:tcW w:w="4394" w:type="dxa"/>
            <w:tcMar>
              <w:left w:w="28" w:type="dxa"/>
              <w:right w:w="28" w:type="dxa"/>
            </w:tcMar>
            <w:vAlign w:val="center"/>
          </w:tcPr>
          <w:p w14:paraId="6902E63A" w14:textId="77777777" w:rsidR="006A1AFC" w:rsidRPr="00885AB3" w:rsidRDefault="006A1AFC" w:rsidP="00120D61">
            <w:pPr>
              <w:pStyle w:val="PBACTabletext"/>
              <w:keepLines w:val="0"/>
              <w:spacing w:after="0"/>
              <w:rPr>
                <w:rFonts w:ascii="Arial Narrow" w:hAnsi="Arial Narrow"/>
                <w:sz w:val="20"/>
                <w:szCs w:val="20"/>
              </w:rPr>
            </w:pPr>
            <w:r w:rsidRPr="00885AB3">
              <w:rPr>
                <w:rFonts w:ascii="Arial Narrow" w:hAnsi="Arial Narrow"/>
                <w:sz w:val="20"/>
                <w:szCs w:val="20"/>
              </w:rPr>
              <w:t>(A B C D E F G) + H</w:t>
            </w:r>
          </w:p>
        </w:tc>
        <w:tc>
          <w:tcPr>
            <w:tcW w:w="1376" w:type="dxa"/>
            <w:tcMar>
              <w:left w:w="28" w:type="dxa"/>
              <w:right w:w="28" w:type="dxa"/>
            </w:tcMar>
            <w:vAlign w:val="bottom"/>
          </w:tcPr>
          <w:p w14:paraId="2F4727E5" w14:textId="1DC0D423" w:rsidR="006A1AFC" w:rsidRPr="00885AB3" w:rsidRDefault="006A1AFC" w:rsidP="00120D61">
            <w:pPr>
              <w:pStyle w:val="PBACTabletext"/>
              <w:keepLines w:val="0"/>
              <w:spacing w:after="0"/>
              <w:jc w:val="center"/>
              <w:rPr>
                <w:rFonts w:ascii="Arial Narrow" w:hAnsi="Arial Narrow" w:cs="Calibri"/>
                <w:color w:val="FF0000"/>
                <w:sz w:val="20"/>
                <w:szCs w:val="20"/>
              </w:rPr>
            </w:pPr>
            <w:r w:rsidRPr="00885AB3">
              <w:rPr>
                <w:rFonts w:ascii="Arial Narrow" w:hAnsi="Arial Narrow" w:cs="Calibri"/>
                <w:color w:val="000000"/>
                <w:sz w:val="20"/>
                <w:szCs w:val="20"/>
              </w:rPr>
              <w:t>$</w:t>
            </w:r>
            <w:r w:rsidR="004B5AFE" w:rsidRPr="004B5AFE">
              <w:rPr>
                <w:rFonts w:ascii="Arial Narrow" w:hAnsi="Arial Narrow" w:cs="Calibri"/>
                <w:color w:val="000000"/>
                <w:sz w:val="20"/>
                <w:szCs w:val="20"/>
                <w:highlight w:val="black"/>
              </w:rPr>
              <w:t xml:space="preserve"> &amp;&amp;&amp;&amp;</w:t>
            </w:r>
          </w:p>
        </w:tc>
        <w:tc>
          <w:tcPr>
            <w:tcW w:w="1040" w:type="dxa"/>
            <w:tcMar>
              <w:left w:w="28" w:type="dxa"/>
              <w:right w:w="28" w:type="dxa"/>
            </w:tcMar>
            <w:vAlign w:val="bottom"/>
          </w:tcPr>
          <w:p w14:paraId="57D25A73" w14:textId="77777777" w:rsidR="006A1AFC" w:rsidRPr="00885AB3" w:rsidRDefault="006A1AFC" w:rsidP="00120D61">
            <w:pPr>
              <w:pStyle w:val="PBACTabletext"/>
              <w:keepLines w:val="0"/>
              <w:spacing w:after="0"/>
              <w:jc w:val="center"/>
              <w:rPr>
                <w:rFonts w:ascii="Arial Narrow" w:hAnsi="Arial Narrow" w:cs="Calibri"/>
                <w:color w:val="FF0000"/>
                <w:sz w:val="20"/>
                <w:szCs w:val="20"/>
              </w:rPr>
            </w:pPr>
            <w:r w:rsidRPr="00885AB3">
              <w:rPr>
                <w:rFonts w:ascii="Arial Narrow" w:hAnsi="Arial Narrow" w:cs="Calibri"/>
                <w:color w:val="000000"/>
                <w:sz w:val="20"/>
                <w:szCs w:val="20"/>
              </w:rPr>
              <w:t>990</w:t>
            </w:r>
          </w:p>
        </w:tc>
        <w:tc>
          <w:tcPr>
            <w:tcW w:w="844" w:type="dxa"/>
            <w:tcMar>
              <w:left w:w="28" w:type="dxa"/>
              <w:right w:w="28" w:type="dxa"/>
            </w:tcMar>
            <w:vAlign w:val="bottom"/>
          </w:tcPr>
          <w:p w14:paraId="3BE4DAF3" w14:textId="0094BA49" w:rsidR="006A1AFC" w:rsidRPr="00667753" w:rsidRDefault="006A1AFC" w:rsidP="00120D61">
            <w:pPr>
              <w:pStyle w:val="PBACTabletext"/>
              <w:keepLines w:val="0"/>
              <w:spacing w:after="0"/>
              <w:jc w:val="center"/>
              <w:rPr>
                <w:rFonts w:ascii="Arial Narrow" w:hAnsi="Arial Narrow" w:cs="Calibri"/>
                <w:color w:val="FF0000"/>
                <w:sz w:val="20"/>
                <w:szCs w:val="20"/>
                <w:vertAlign w:val="superscript"/>
              </w:rPr>
            </w:pPr>
            <w:r w:rsidRPr="00885AB3">
              <w:rPr>
                <w:rFonts w:ascii="Arial Narrow" w:hAnsi="Arial Narrow" w:cs="Calibri"/>
                <w:color w:val="000000"/>
                <w:sz w:val="20"/>
                <w:szCs w:val="20"/>
              </w:rPr>
              <w:t>$</w:t>
            </w:r>
            <w:r w:rsidR="004B5AFE" w:rsidRPr="004B5AFE">
              <w:rPr>
                <w:rFonts w:ascii="Arial Narrow" w:hAnsi="Arial Narrow" w:cs="Calibri"/>
                <w:color w:val="000000"/>
                <w:sz w:val="20"/>
                <w:szCs w:val="20"/>
                <w:highlight w:val="black"/>
              </w:rPr>
              <w:t xml:space="preserve"> &amp;&amp;&amp;&amp;</w:t>
            </w:r>
            <w:r w:rsidR="00667753">
              <w:rPr>
                <w:rFonts w:ascii="Arial Narrow" w:hAnsi="Arial Narrow" w:cs="Calibri"/>
                <w:color w:val="000000"/>
                <w:sz w:val="20"/>
                <w:szCs w:val="20"/>
                <w:vertAlign w:val="superscript"/>
              </w:rPr>
              <w:t>7</w:t>
            </w:r>
          </w:p>
        </w:tc>
        <w:tc>
          <w:tcPr>
            <w:tcW w:w="866" w:type="dxa"/>
            <w:tcMar>
              <w:left w:w="28" w:type="dxa"/>
              <w:right w:w="28" w:type="dxa"/>
            </w:tcMar>
            <w:vAlign w:val="bottom"/>
          </w:tcPr>
          <w:p w14:paraId="55B068B4" w14:textId="7D41473D" w:rsidR="006A1AFC" w:rsidRPr="00885AB3" w:rsidRDefault="006A1AFC" w:rsidP="00120D61">
            <w:pPr>
              <w:pStyle w:val="PBACTabletext"/>
              <w:keepLines w:val="0"/>
              <w:spacing w:after="0"/>
              <w:jc w:val="center"/>
              <w:rPr>
                <w:rFonts w:ascii="Arial Narrow" w:hAnsi="Arial Narrow" w:cs="Calibri"/>
                <w:color w:val="FF0000"/>
                <w:sz w:val="20"/>
                <w:szCs w:val="20"/>
              </w:rPr>
            </w:pPr>
            <w:r w:rsidRPr="00885AB3">
              <w:rPr>
                <w:rFonts w:ascii="Arial Narrow" w:hAnsi="Arial Narrow" w:cs="Calibri"/>
                <w:color w:val="000000"/>
                <w:sz w:val="20"/>
                <w:szCs w:val="20"/>
              </w:rPr>
              <w:t>+</w:t>
            </w:r>
            <w:r w:rsidR="004B5AFE" w:rsidRPr="004B5AFE">
              <w:rPr>
                <w:rFonts w:ascii="Arial Narrow" w:hAnsi="Arial Narrow" w:cs="Calibri"/>
                <w:color w:val="000000"/>
                <w:sz w:val="20"/>
                <w:szCs w:val="20"/>
                <w:highlight w:val="black"/>
              </w:rPr>
              <w:t xml:space="preserve"> &amp;&amp;&amp;&amp;</w:t>
            </w:r>
            <w:r w:rsidRPr="00885AB3">
              <w:rPr>
                <w:rFonts w:ascii="Arial Narrow" w:hAnsi="Arial Narrow" w:cs="Calibri"/>
                <w:color w:val="000000"/>
                <w:sz w:val="20"/>
                <w:szCs w:val="20"/>
              </w:rPr>
              <w:t>%</w:t>
            </w:r>
          </w:p>
        </w:tc>
      </w:tr>
      <w:tr w:rsidR="006A1AFC" w:rsidRPr="00885AB3" w14:paraId="7697EC88" w14:textId="77777777">
        <w:trPr>
          <w:cantSplit/>
          <w:trHeight w:val="20"/>
        </w:trPr>
        <w:tc>
          <w:tcPr>
            <w:tcW w:w="421" w:type="dxa"/>
          </w:tcPr>
          <w:p w14:paraId="7FBB65FF" w14:textId="77777777" w:rsidR="006A1AFC" w:rsidRPr="00885AB3" w:rsidRDefault="006A1AFC" w:rsidP="00120D61">
            <w:pPr>
              <w:pStyle w:val="PBACTabletext"/>
              <w:keepLines w:val="0"/>
              <w:spacing w:after="0"/>
              <w:jc w:val="center"/>
              <w:rPr>
                <w:rFonts w:ascii="Arial Narrow" w:hAnsi="Arial Narrow"/>
                <w:sz w:val="20"/>
                <w:szCs w:val="20"/>
              </w:rPr>
            </w:pPr>
            <w:r w:rsidRPr="00885AB3">
              <w:rPr>
                <w:rFonts w:ascii="Arial Narrow" w:hAnsi="Arial Narrow"/>
                <w:sz w:val="20"/>
                <w:szCs w:val="20"/>
              </w:rPr>
              <w:t>M</w:t>
            </w:r>
          </w:p>
        </w:tc>
        <w:tc>
          <w:tcPr>
            <w:tcW w:w="4394" w:type="dxa"/>
            <w:tcMar>
              <w:left w:w="28" w:type="dxa"/>
              <w:right w:w="28" w:type="dxa"/>
            </w:tcMar>
            <w:vAlign w:val="center"/>
          </w:tcPr>
          <w:p w14:paraId="5344E60A" w14:textId="77777777" w:rsidR="006A1AFC" w:rsidRPr="00885AB3" w:rsidRDefault="006A1AFC" w:rsidP="00120D61">
            <w:pPr>
              <w:pStyle w:val="PBACTabletext"/>
              <w:keepLines w:val="0"/>
              <w:spacing w:after="0"/>
              <w:rPr>
                <w:rFonts w:ascii="Arial Narrow" w:hAnsi="Arial Narrow"/>
                <w:sz w:val="20"/>
                <w:szCs w:val="20"/>
              </w:rPr>
            </w:pPr>
            <w:r w:rsidRPr="00885AB3">
              <w:rPr>
                <w:rFonts w:ascii="Arial Narrow" w:hAnsi="Arial Narrow"/>
                <w:sz w:val="20"/>
                <w:szCs w:val="20"/>
              </w:rPr>
              <w:t>(A B C D E F G) + I</w:t>
            </w:r>
          </w:p>
        </w:tc>
        <w:tc>
          <w:tcPr>
            <w:tcW w:w="1376" w:type="dxa"/>
            <w:tcMar>
              <w:left w:w="28" w:type="dxa"/>
              <w:right w:w="28" w:type="dxa"/>
            </w:tcMar>
            <w:vAlign w:val="bottom"/>
          </w:tcPr>
          <w:p w14:paraId="1539F7F6" w14:textId="3BAE5130" w:rsidR="006A1AFC" w:rsidRPr="00885AB3" w:rsidRDefault="006A1AFC" w:rsidP="00120D61">
            <w:pPr>
              <w:pStyle w:val="PBACTabletext"/>
              <w:keepLines w:val="0"/>
              <w:spacing w:after="0"/>
              <w:jc w:val="center"/>
              <w:rPr>
                <w:rFonts w:ascii="Arial Narrow" w:hAnsi="Arial Narrow" w:cs="Calibri"/>
                <w:color w:val="FF0000"/>
                <w:sz w:val="20"/>
                <w:szCs w:val="20"/>
              </w:rPr>
            </w:pPr>
            <w:r w:rsidRPr="00885AB3">
              <w:rPr>
                <w:rFonts w:ascii="Arial Narrow" w:hAnsi="Arial Narrow" w:cs="Calibri"/>
                <w:color w:val="000000"/>
                <w:sz w:val="20"/>
                <w:szCs w:val="20"/>
              </w:rPr>
              <w:t>$</w:t>
            </w:r>
            <w:r w:rsidR="004B5AFE" w:rsidRPr="004B5AFE">
              <w:rPr>
                <w:rFonts w:ascii="Arial Narrow" w:hAnsi="Arial Narrow" w:cs="Calibri"/>
                <w:color w:val="000000"/>
                <w:sz w:val="20"/>
                <w:szCs w:val="20"/>
                <w:highlight w:val="black"/>
              </w:rPr>
              <w:t xml:space="preserve"> &amp;&amp;&amp;&amp;</w:t>
            </w:r>
          </w:p>
        </w:tc>
        <w:tc>
          <w:tcPr>
            <w:tcW w:w="1040" w:type="dxa"/>
            <w:tcMar>
              <w:left w:w="28" w:type="dxa"/>
              <w:right w:w="28" w:type="dxa"/>
            </w:tcMar>
            <w:vAlign w:val="bottom"/>
          </w:tcPr>
          <w:p w14:paraId="6BEA422D" w14:textId="77777777" w:rsidR="006A1AFC" w:rsidRPr="00885AB3" w:rsidRDefault="006A1AFC" w:rsidP="00120D61">
            <w:pPr>
              <w:pStyle w:val="PBACTabletext"/>
              <w:keepLines w:val="0"/>
              <w:spacing w:after="0"/>
              <w:jc w:val="center"/>
              <w:rPr>
                <w:rFonts w:ascii="Arial Narrow" w:hAnsi="Arial Narrow" w:cs="Calibri"/>
                <w:color w:val="FF0000"/>
                <w:sz w:val="20"/>
                <w:szCs w:val="20"/>
              </w:rPr>
            </w:pPr>
            <w:r w:rsidRPr="00885AB3">
              <w:rPr>
                <w:rFonts w:ascii="Arial Narrow" w:hAnsi="Arial Narrow" w:cs="Calibri"/>
                <w:color w:val="000000"/>
                <w:sz w:val="20"/>
                <w:szCs w:val="20"/>
              </w:rPr>
              <w:t>1,645</w:t>
            </w:r>
          </w:p>
        </w:tc>
        <w:tc>
          <w:tcPr>
            <w:tcW w:w="844" w:type="dxa"/>
            <w:tcMar>
              <w:left w:w="28" w:type="dxa"/>
              <w:right w:w="28" w:type="dxa"/>
            </w:tcMar>
            <w:vAlign w:val="bottom"/>
          </w:tcPr>
          <w:p w14:paraId="14F99FD4" w14:textId="68332762" w:rsidR="006A1AFC" w:rsidRPr="00667753" w:rsidRDefault="006A1AFC" w:rsidP="00120D61">
            <w:pPr>
              <w:pStyle w:val="PBACTabletext"/>
              <w:keepLines w:val="0"/>
              <w:spacing w:after="0"/>
              <w:jc w:val="center"/>
              <w:rPr>
                <w:rFonts w:ascii="Arial Narrow" w:hAnsi="Arial Narrow" w:cs="Calibri"/>
                <w:color w:val="FF0000"/>
                <w:sz w:val="20"/>
                <w:szCs w:val="20"/>
                <w:vertAlign w:val="superscript"/>
              </w:rPr>
            </w:pPr>
            <w:r w:rsidRPr="00885AB3">
              <w:rPr>
                <w:rFonts w:ascii="Arial Narrow" w:hAnsi="Arial Narrow" w:cs="Calibri"/>
                <w:color w:val="000000"/>
                <w:sz w:val="20"/>
                <w:szCs w:val="20"/>
              </w:rPr>
              <w:t>$</w:t>
            </w:r>
            <w:r w:rsidR="004B5AFE" w:rsidRPr="004B5AFE">
              <w:rPr>
                <w:rFonts w:ascii="Arial Narrow" w:hAnsi="Arial Narrow" w:cs="Calibri"/>
                <w:color w:val="000000"/>
                <w:sz w:val="20"/>
                <w:szCs w:val="20"/>
                <w:highlight w:val="black"/>
              </w:rPr>
              <w:t xml:space="preserve"> &amp;&amp;&amp;&amp;</w:t>
            </w:r>
            <w:r w:rsidR="00667753">
              <w:rPr>
                <w:rFonts w:ascii="Arial Narrow" w:hAnsi="Arial Narrow" w:cs="Calibri"/>
                <w:color w:val="000000"/>
                <w:sz w:val="20"/>
                <w:szCs w:val="20"/>
                <w:vertAlign w:val="superscript"/>
              </w:rPr>
              <w:t>8</w:t>
            </w:r>
          </w:p>
        </w:tc>
        <w:tc>
          <w:tcPr>
            <w:tcW w:w="866" w:type="dxa"/>
            <w:tcMar>
              <w:left w:w="28" w:type="dxa"/>
              <w:right w:w="28" w:type="dxa"/>
            </w:tcMar>
            <w:vAlign w:val="bottom"/>
          </w:tcPr>
          <w:p w14:paraId="477535A6" w14:textId="3CCFC684" w:rsidR="006A1AFC" w:rsidRPr="00885AB3" w:rsidRDefault="006A1AFC" w:rsidP="00120D61">
            <w:pPr>
              <w:pStyle w:val="PBACTabletext"/>
              <w:keepLines w:val="0"/>
              <w:spacing w:after="0"/>
              <w:jc w:val="center"/>
              <w:rPr>
                <w:rFonts w:ascii="Arial Narrow" w:hAnsi="Arial Narrow" w:cs="Calibri"/>
                <w:color w:val="FF0000"/>
                <w:sz w:val="20"/>
                <w:szCs w:val="20"/>
              </w:rPr>
            </w:pPr>
            <w:r w:rsidRPr="00885AB3">
              <w:rPr>
                <w:rFonts w:ascii="Arial Narrow" w:hAnsi="Arial Narrow" w:cs="Calibri"/>
                <w:color w:val="000000"/>
                <w:sz w:val="20"/>
                <w:szCs w:val="20"/>
              </w:rPr>
              <w:t>+</w:t>
            </w:r>
            <w:r w:rsidR="004B5AFE" w:rsidRPr="004B5AFE">
              <w:rPr>
                <w:rFonts w:ascii="Arial Narrow" w:hAnsi="Arial Narrow" w:cs="Calibri"/>
                <w:color w:val="000000"/>
                <w:sz w:val="20"/>
                <w:szCs w:val="20"/>
                <w:highlight w:val="black"/>
              </w:rPr>
              <w:t xml:space="preserve"> &amp;&amp;&amp;&amp;</w:t>
            </w:r>
            <w:r w:rsidRPr="00885AB3">
              <w:rPr>
                <w:rFonts w:ascii="Arial Narrow" w:hAnsi="Arial Narrow" w:cs="Calibri"/>
                <w:color w:val="000000"/>
                <w:sz w:val="20"/>
                <w:szCs w:val="20"/>
              </w:rPr>
              <w:t>%</w:t>
            </w:r>
          </w:p>
        </w:tc>
      </w:tr>
      <w:tr w:rsidR="006A1AFC" w:rsidRPr="00885AB3" w14:paraId="15DDBD58" w14:textId="77777777">
        <w:trPr>
          <w:cantSplit/>
          <w:trHeight w:val="20"/>
        </w:trPr>
        <w:tc>
          <w:tcPr>
            <w:tcW w:w="421" w:type="dxa"/>
          </w:tcPr>
          <w:p w14:paraId="3D5A0555" w14:textId="77777777" w:rsidR="006A1AFC" w:rsidRPr="00885AB3" w:rsidRDefault="006A1AFC" w:rsidP="00120D61">
            <w:pPr>
              <w:pStyle w:val="PBACTabletext"/>
              <w:keepLines w:val="0"/>
              <w:spacing w:after="0"/>
              <w:jc w:val="center"/>
              <w:rPr>
                <w:rFonts w:ascii="Arial Narrow" w:hAnsi="Arial Narrow"/>
                <w:sz w:val="20"/>
                <w:szCs w:val="20"/>
              </w:rPr>
            </w:pPr>
            <w:r w:rsidRPr="00885AB3">
              <w:rPr>
                <w:rFonts w:ascii="Arial Narrow" w:hAnsi="Arial Narrow"/>
                <w:sz w:val="20"/>
                <w:szCs w:val="20"/>
              </w:rPr>
              <w:t>N</w:t>
            </w:r>
          </w:p>
        </w:tc>
        <w:tc>
          <w:tcPr>
            <w:tcW w:w="4394" w:type="dxa"/>
            <w:tcMar>
              <w:left w:w="28" w:type="dxa"/>
              <w:right w:w="28" w:type="dxa"/>
            </w:tcMar>
            <w:vAlign w:val="center"/>
          </w:tcPr>
          <w:p w14:paraId="418B6552" w14:textId="77777777" w:rsidR="006A1AFC" w:rsidRPr="00885AB3" w:rsidRDefault="006A1AFC" w:rsidP="00120D61">
            <w:pPr>
              <w:pStyle w:val="PBACTabletext"/>
              <w:keepLines w:val="0"/>
              <w:spacing w:after="0"/>
              <w:rPr>
                <w:rFonts w:ascii="Arial Narrow" w:hAnsi="Arial Narrow"/>
                <w:sz w:val="20"/>
                <w:szCs w:val="20"/>
              </w:rPr>
            </w:pPr>
            <w:r w:rsidRPr="00885AB3">
              <w:rPr>
                <w:rFonts w:ascii="Arial Narrow" w:hAnsi="Arial Narrow"/>
                <w:sz w:val="20"/>
                <w:szCs w:val="20"/>
              </w:rPr>
              <w:t>(A B C D E F G) + J</w:t>
            </w:r>
          </w:p>
        </w:tc>
        <w:tc>
          <w:tcPr>
            <w:tcW w:w="1376" w:type="dxa"/>
            <w:tcMar>
              <w:left w:w="28" w:type="dxa"/>
              <w:right w:w="28" w:type="dxa"/>
            </w:tcMar>
            <w:vAlign w:val="bottom"/>
          </w:tcPr>
          <w:p w14:paraId="1BBAD3A8" w14:textId="2E10BB57" w:rsidR="006A1AFC" w:rsidRPr="00885AB3" w:rsidRDefault="006A1AFC" w:rsidP="00120D61">
            <w:pPr>
              <w:pStyle w:val="PBACTabletext"/>
              <w:keepLines w:val="0"/>
              <w:spacing w:after="0"/>
              <w:jc w:val="center"/>
              <w:rPr>
                <w:rFonts w:ascii="Arial Narrow" w:hAnsi="Arial Narrow" w:cs="Calibri"/>
                <w:color w:val="FF0000"/>
                <w:sz w:val="20"/>
                <w:szCs w:val="20"/>
              </w:rPr>
            </w:pPr>
            <w:r w:rsidRPr="00885AB3">
              <w:rPr>
                <w:rFonts w:ascii="Arial Narrow" w:hAnsi="Arial Narrow" w:cs="Calibri"/>
                <w:color w:val="000000"/>
                <w:sz w:val="20"/>
                <w:szCs w:val="20"/>
              </w:rPr>
              <w:t>$</w:t>
            </w:r>
            <w:r w:rsidR="004B5AFE" w:rsidRPr="004B5AFE">
              <w:rPr>
                <w:rFonts w:ascii="Arial Narrow" w:hAnsi="Arial Narrow" w:cs="Calibri"/>
                <w:color w:val="000000"/>
                <w:sz w:val="20"/>
                <w:szCs w:val="20"/>
                <w:highlight w:val="black"/>
              </w:rPr>
              <w:t xml:space="preserve"> &amp;&amp;&amp;&amp;</w:t>
            </w:r>
          </w:p>
        </w:tc>
        <w:tc>
          <w:tcPr>
            <w:tcW w:w="1040" w:type="dxa"/>
            <w:tcMar>
              <w:left w:w="28" w:type="dxa"/>
              <w:right w:w="28" w:type="dxa"/>
            </w:tcMar>
            <w:vAlign w:val="bottom"/>
          </w:tcPr>
          <w:p w14:paraId="695697D7" w14:textId="77777777" w:rsidR="006A1AFC" w:rsidRPr="00885AB3" w:rsidRDefault="006A1AFC" w:rsidP="00120D61">
            <w:pPr>
              <w:pStyle w:val="PBACTabletext"/>
              <w:keepLines w:val="0"/>
              <w:spacing w:after="0"/>
              <w:jc w:val="center"/>
              <w:rPr>
                <w:rFonts w:ascii="Arial Narrow" w:hAnsi="Arial Narrow" w:cs="Calibri"/>
                <w:color w:val="FF0000"/>
                <w:sz w:val="20"/>
                <w:szCs w:val="20"/>
              </w:rPr>
            </w:pPr>
            <w:r w:rsidRPr="00885AB3">
              <w:rPr>
                <w:rFonts w:ascii="Arial Narrow" w:hAnsi="Arial Narrow" w:cs="Calibri"/>
                <w:color w:val="000000"/>
                <w:sz w:val="20"/>
                <w:szCs w:val="20"/>
              </w:rPr>
              <w:t>2,101</w:t>
            </w:r>
          </w:p>
        </w:tc>
        <w:tc>
          <w:tcPr>
            <w:tcW w:w="844" w:type="dxa"/>
            <w:tcMar>
              <w:left w:w="28" w:type="dxa"/>
              <w:right w:w="28" w:type="dxa"/>
            </w:tcMar>
            <w:vAlign w:val="bottom"/>
          </w:tcPr>
          <w:p w14:paraId="3A0BFBB5" w14:textId="5269B39D" w:rsidR="006A1AFC" w:rsidRPr="00B97B6A" w:rsidRDefault="006A1AFC" w:rsidP="00120D61">
            <w:pPr>
              <w:pStyle w:val="PBACTabletext"/>
              <w:keepLines w:val="0"/>
              <w:spacing w:after="0"/>
              <w:jc w:val="center"/>
              <w:rPr>
                <w:rFonts w:ascii="Arial Narrow" w:hAnsi="Arial Narrow" w:cs="Calibri"/>
                <w:color w:val="FF0000"/>
                <w:sz w:val="20"/>
                <w:szCs w:val="20"/>
                <w:vertAlign w:val="superscript"/>
              </w:rPr>
            </w:pPr>
            <w:r w:rsidRPr="00885AB3">
              <w:rPr>
                <w:rFonts w:ascii="Arial Narrow" w:hAnsi="Arial Narrow" w:cs="Calibri"/>
                <w:color w:val="000000"/>
                <w:sz w:val="20"/>
                <w:szCs w:val="20"/>
              </w:rPr>
              <w:t>$</w:t>
            </w:r>
            <w:r w:rsidR="004B5AFE" w:rsidRPr="004B5AFE">
              <w:rPr>
                <w:rFonts w:ascii="Arial Narrow" w:hAnsi="Arial Narrow" w:cs="Calibri"/>
                <w:color w:val="000000"/>
                <w:sz w:val="20"/>
                <w:szCs w:val="20"/>
                <w:highlight w:val="black"/>
              </w:rPr>
              <w:t xml:space="preserve"> &amp;&amp;&amp;&amp;</w:t>
            </w:r>
            <w:r w:rsidR="00B97B6A">
              <w:rPr>
                <w:rFonts w:ascii="Arial Narrow" w:hAnsi="Arial Narrow" w:cs="Calibri"/>
                <w:color w:val="000000"/>
                <w:sz w:val="20"/>
                <w:szCs w:val="20"/>
                <w:vertAlign w:val="superscript"/>
              </w:rPr>
              <w:t>6</w:t>
            </w:r>
          </w:p>
        </w:tc>
        <w:tc>
          <w:tcPr>
            <w:tcW w:w="866" w:type="dxa"/>
            <w:tcMar>
              <w:left w:w="28" w:type="dxa"/>
              <w:right w:w="28" w:type="dxa"/>
            </w:tcMar>
            <w:vAlign w:val="bottom"/>
          </w:tcPr>
          <w:p w14:paraId="78C4181B" w14:textId="2CA3C1B1" w:rsidR="006A1AFC" w:rsidRPr="00885AB3" w:rsidRDefault="006A1AFC" w:rsidP="00120D61">
            <w:pPr>
              <w:pStyle w:val="PBACTabletext"/>
              <w:keepLines w:val="0"/>
              <w:spacing w:after="0"/>
              <w:jc w:val="center"/>
              <w:rPr>
                <w:rFonts w:ascii="Arial Narrow" w:hAnsi="Arial Narrow" w:cs="Calibri"/>
                <w:color w:val="FF0000"/>
                <w:sz w:val="20"/>
                <w:szCs w:val="20"/>
              </w:rPr>
            </w:pPr>
            <w:r w:rsidRPr="00885AB3">
              <w:rPr>
                <w:rFonts w:ascii="Arial Narrow" w:hAnsi="Arial Narrow" w:cs="Calibri"/>
                <w:color w:val="000000"/>
                <w:sz w:val="20"/>
                <w:szCs w:val="20"/>
              </w:rPr>
              <w:t>+</w:t>
            </w:r>
            <w:r w:rsidR="004B5AFE" w:rsidRPr="004B5AFE">
              <w:rPr>
                <w:rFonts w:ascii="Arial Narrow" w:hAnsi="Arial Narrow" w:cs="Calibri"/>
                <w:color w:val="000000"/>
                <w:sz w:val="20"/>
                <w:szCs w:val="20"/>
                <w:highlight w:val="black"/>
              </w:rPr>
              <w:t xml:space="preserve"> &amp;&amp;&amp;&amp;</w:t>
            </w:r>
            <w:r w:rsidRPr="00885AB3">
              <w:rPr>
                <w:rFonts w:ascii="Arial Narrow" w:hAnsi="Arial Narrow" w:cs="Calibri"/>
                <w:color w:val="000000"/>
                <w:sz w:val="20"/>
                <w:szCs w:val="20"/>
              </w:rPr>
              <w:t>%</w:t>
            </w:r>
          </w:p>
        </w:tc>
      </w:tr>
    </w:tbl>
    <w:p w14:paraId="40509FB3" w14:textId="77777777" w:rsidR="006A1AFC" w:rsidRPr="00885AB3" w:rsidRDefault="006A1AFC" w:rsidP="00120D61">
      <w:pPr>
        <w:pStyle w:val="TableNotes"/>
        <w:keepNext/>
        <w:spacing w:after="0"/>
        <w:rPr>
          <w:szCs w:val="18"/>
        </w:rPr>
      </w:pPr>
      <w:r w:rsidRPr="00885AB3">
        <w:rPr>
          <w:szCs w:val="16"/>
        </w:rPr>
        <w:t xml:space="preserve">Source: </w:t>
      </w:r>
      <w:r w:rsidRPr="00885AB3">
        <w:rPr>
          <w:szCs w:val="18"/>
        </w:rPr>
        <w:t>Compiled during evaluation using Attachment 17B - Moderna RSV Model_v11.14_20250613_AUS_July 2025.</w:t>
      </w:r>
    </w:p>
    <w:p w14:paraId="6AF0CACB" w14:textId="77777777" w:rsidR="00EA6426" w:rsidRDefault="006A1AFC" w:rsidP="00120D61">
      <w:pPr>
        <w:pStyle w:val="TableNotes"/>
        <w:keepNext/>
        <w:spacing w:after="0"/>
        <w:rPr>
          <w:i/>
          <w:szCs w:val="18"/>
        </w:rPr>
      </w:pPr>
      <w:r w:rsidRPr="00885AB3">
        <w:rPr>
          <w:szCs w:val="16"/>
        </w:rPr>
        <w:t>ATAGI = Australian Technical Advisory Group on Immunisation; ED = emergency department; ICER = incremental cost-effectiveness ratio; MA-RSV-ARD = medically attended respiratory syncytial virus–acute respiratory disease; MBS = Medicare Benefits Schedule</w:t>
      </w:r>
      <w:r w:rsidR="00961219" w:rsidRPr="00885AB3">
        <w:rPr>
          <w:szCs w:val="16"/>
        </w:rPr>
        <w:t xml:space="preserve">; </w:t>
      </w:r>
      <w:r w:rsidR="00B12A5C" w:rsidRPr="00885AB3">
        <w:rPr>
          <w:szCs w:val="16"/>
        </w:rPr>
        <w:t xml:space="preserve">para = </w:t>
      </w:r>
      <w:r w:rsidR="00B12A5C" w:rsidRPr="00885AB3">
        <w:rPr>
          <w:szCs w:val="16"/>
        </w:rPr>
        <w:lastRenderedPageBreak/>
        <w:t xml:space="preserve">paragraph; </w:t>
      </w:r>
      <w:r w:rsidRPr="00885AB3">
        <w:rPr>
          <w:szCs w:val="16"/>
        </w:rPr>
        <w:t xml:space="preserve">PSD = Public Summary Document; </w:t>
      </w:r>
      <w:r w:rsidR="00A349CF" w:rsidRPr="00885AB3">
        <w:rPr>
          <w:szCs w:val="16"/>
        </w:rPr>
        <w:t xml:space="preserve">QALY = quality adjusted life year; </w:t>
      </w:r>
      <w:r w:rsidRPr="00885AB3">
        <w:rPr>
          <w:szCs w:val="16"/>
        </w:rPr>
        <w:t>RSV-LRTD = respiratory syncytial virus–lower respiratory tract disease; VE = vaccine efficacy; YOA = years of age.</w:t>
      </w:r>
      <w:r w:rsidR="00EA6426" w:rsidRPr="00EA6426">
        <w:rPr>
          <w:i/>
          <w:szCs w:val="18"/>
        </w:rPr>
        <w:t xml:space="preserve"> </w:t>
      </w:r>
    </w:p>
    <w:p w14:paraId="7F7BB77B" w14:textId="7F0E8427" w:rsidR="00EA6426" w:rsidRPr="00EA6426" w:rsidRDefault="00EA6426" w:rsidP="00120D61">
      <w:pPr>
        <w:pStyle w:val="TableNotes"/>
        <w:keepNext/>
        <w:spacing w:after="0"/>
        <w:rPr>
          <w:i/>
          <w:szCs w:val="16"/>
        </w:rPr>
      </w:pPr>
      <w:r w:rsidRPr="00EA6426">
        <w:rPr>
          <w:i/>
          <w:szCs w:val="16"/>
        </w:rPr>
        <w:t xml:space="preserve">The redacted values correspond to the following ranges: </w:t>
      </w:r>
    </w:p>
    <w:p w14:paraId="483ADE1F" w14:textId="7B1B901B" w:rsidR="00EA6426" w:rsidRPr="00EA6426" w:rsidRDefault="00EA6426" w:rsidP="00120D61">
      <w:pPr>
        <w:pStyle w:val="TableNotes"/>
        <w:keepNext/>
        <w:spacing w:after="0"/>
        <w:rPr>
          <w:i/>
          <w:szCs w:val="16"/>
        </w:rPr>
      </w:pPr>
      <w:r w:rsidRPr="00EA6426">
        <w:rPr>
          <w:i/>
          <w:szCs w:val="16"/>
          <w:vertAlign w:val="superscript"/>
        </w:rPr>
        <w:t>1</w:t>
      </w:r>
      <w:r w:rsidRPr="00EA6426">
        <w:rPr>
          <w:i/>
          <w:szCs w:val="16"/>
        </w:rPr>
        <w:t xml:space="preserve"> </w:t>
      </w:r>
      <w:r w:rsidR="00880FE9" w:rsidRPr="00880FE9">
        <w:rPr>
          <w:i/>
          <w:szCs w:val="16"/>
        </w:rPr>
        <w:t xml:space="preserve">$25,000 to </w:t>
      </w:r>
      <w:r w:rsidR="001C78D7">
        <w:rPr>
          <w:i/>
          <w:szCs w:val="16"/>
        </w:rPr>
        <w:t xml:space="preserve">&lt; </w:t>
      </w:r>
      <w:r w:rsidR="00880FE9" w:rsidRPr="00880FE9">
        <w:rPr>
          <w:i/>
          <w:szCs w:val="16"/>
        </w:rPr>
        <w:t>$35,000</w:t>
      </w:r>
    </w:p>
    <w:p w14:paraId="15682F98" w14:textId="6B53A151" w:rsidR="00EA6426" w:rsidRPr="00EA6426" w:rsidRDefault="00EA6426" w:rsidP="00120D61">
      <w:pPr>
        <w:pStyle w:val="TableNotes"/>
        <w:keepNext/>
        <w:spacing w:after="0"/>
        <w:rPr>
          <w:i/>
          <w:szCs w:val="16"/>
        </w:rPr>
      </w:pPr>
      <w:r w:rsidRPr="00EA6426">
        <w:rPr>
          <w:i/>
          <w:szCs w:val="16"/>
          <w:vertAlign w:val="superscript"/>
        </w:rPr>
        <w:t>2</w:t>
      </w:r>
      <w:r w:rsidRPr="00EA6426">
        <w:rPr>
          <w:i/>
          <w:szCs w:val="16"/>
        </w:rPr>
        <w:t xml:space="preserve"> </w:t>
      </w:r>
      <w:r w:rsidR="00880FE9" w:rsidRPr="00880FE9">
        <w:rPr>
          <w:i/>
          <w:szCs w:val="16"/>
        </w:rPr>
        <w:t xml:space="preserve">$35,000 to </w:t>
      </w:r>
      <w:r w:rsidR="001C78D7">
        <w:rPr>
          <w:i/>
          <w:szCs w:val="16"/>
        </w:rPr>
        <w:t xml:space="preserve">&lt; </w:t>
      </w:r>
      <w:r w:rsidR="00880FE9" w:rsidRPr="00880FE9">
        <w:rPr>
          <w:i/>
          <w:szCs w:val="16"/>
        </w:rPr>
        <w:t>$45,000</w:t>
      </w:r>
    </w:p>
    <w:p w14:paraId="58F69603" w14:textId="4BDD41D4" w:rsidR="00EA6426" w:rsidRPr="00EA6426" w:rsidRDefault="00EA6426" w:rsidP="00120D61">
      <w:pPr>
        <w:pStyle w:val="TableNotes"/>
        <w:keepNext/>
        <w:spacing w:after="0"/>
        <w:rPr>
          <w:i/>
          <w:szCs w:val="16"/>
        </w:rPr>
      </w:pPr>
      <w:r w:rsidRPr="00EA6426">
        <w:rPr>
          <w:i/>
          <w:szCs w:val="16"/>
          <w:vertAlign w:val="superscript"/>
        </w:rPr>
        <w:t>3</w:t>
      </w:r>
      <w:r w:rsidRPr="00EA6426">
        <w:rPr>
          <w:i/>
          <w:szCs w:val="16"/>
        </w:rPr>
        <w:t xml:space="preserve"> $55,000 to </w:t>
      </w:r>
      <w:r w:rsidR="001C78D7">
        <w:rPr>
          <w:i/>
          <w:szCs w:val="16"/>
        </w:rPr>
        <w:t xml:space="preserve">&lt; </w:t>
      </w:r>
      <w:r w:rsidRPr="00EA6426">
        <w:rPr>
          <w:i/>
          <w:szCs w:val="16"/>
        </w:rPr>
        <w:t>$75,000</w:t>
      </w:r>
    </w:p>
    <w:p w14:paraId="2A8F241B" w14:textId="00D45D06" w:rsidR="00667753" w:rsidRDefault="00EA6426" w:rsidP="00120D61">
      <w:pPr>
        <w:pStyle w:val="TableNotes"/>
        <w:keepNext/>
        <w:spacing w:after="0"/>
        <w:rPr>
          <w:i/>
          <w:szCs w:val="16"/>
        </w:rPr>
      </w:pPr>
      <w:r w:rsidRPr="00EA6426">
        <w:rPr>
          <w:i/>
          <w:szCs w:val="16"/>
          <w:vertAlign w:val="superscript"/>
        </w:rPr>
        <w:t>4</w:t>
      </w:r>
      <w:r w:rsidRPr="00EA6426">
        <w:rPr>
          <w:i/>
          <w:szCs w:val="16"/>
        </w:rPr>
        <w:t xml:space="preserve"> </w:t>
      </w:r>
      <w:r w:rsidR="000F6296" w:rsidRPr="000F6296">
        <w:rPr>
          <w:i/>
          <w:szCs w:val="16"/>
        </w:rPr>
        <w:t xml:space="preserve">$115,000 to </w:t>
      </w:r>
      <w:r w:rsidR="001C78D7">
        <w:rPr>
          <w:i/>
          <w:szCs w:val="16"/>
        </w:rPr>
        <w:t xml:space="preserve">&lt; </w:t>
      </w:r>
      <w:r w:rsidR="000F6296" w:rsidRPr="000F6296">
        <w:rPr>
          <w:i/>
          <w:szCs w:val="16"/>
        </w:rPr>
        <w:t>$135,000</w:t>
      </w:r>
    </w:p>
    <w:p w14:paraId="385C217F" w14:textId="4746A349" w:rsidR="00EA6426" w:rsidRPr="00EA6426" w:rsidRDefault="00EA6426" w:rsidP="00120D61">
      <w:pPr>
        <w:pStyle w:val="TableNotes"/>
        <w:keepNext/>
        <w:spacing w:after="0"/>
        <w:rPr>
          <w:i/>
          <w:szCs w:val="16"/>
        </w:rPr>
      </w:pPr>
      <w:r w:rsidRPr="00EA6426">
        <w:rPr>
          <w:i/>
          <w:szCs w:val="16"/>
          <w:vertAlign w:val="superscript"/>
        </w:rPr>
        <w:t>5</w:t>
      </w:r>
      <w:r w:rsidRPr="00EA6426">
        <w:rPr>
          <w:i/>
          <w:szCs w:val="16"/>
        </w:rPr>
        <w:t xml:space="preserve"> </w:t>
      </w:r>
      <w:r w:rsidR="000F6296" w:rsidRPr="000F6296">
        <w:rPr>
          <w:i/>
          <w:szCs w:val="16"/>
        </w:rPr>
        <w:t xml:space="preserve">$45,000 to </w:t>
      </w:r>
      <w:r w:rsidR="001C78D7">
        <w:rPr>
          <w:i/>
          <w:szCs w:val="16"/>
        </w:rPr>
        <w:t xml:space="preserve">&lt; </w:t>
      </w:r>
      <w:r w:rsidR="000F6296" w:rsidRPr="000F6296">
        <w:rPr>
          <w:i/>
          <w:szCs w:val="16"/>
        </w:rPr>
        <w:t>$55,000</w:t>
      </w:r>
    </w:p>
    <w:p w14:paraId="417DD696" w14:textId="3431BBF9" w:rsidR="00EA6426" w:rsidRPr="00EA6426" w:rsidRDefault="00EA6426" w:rsidP="00120D61">
      <w:pPr>
        <w:pStyle w:val="TableNotes"/>
        <w:keepNext/>
        <w:spacing w:after="0"/>
        <w:rPr>
          <w:i/>
          <w:szCs w:val="16"/>
        </w:rPr>
      </w:pPr>
      <w:r w:rsidRPr="00EA6426">
        <w:rPr>
          <w:i/>
          <w:szCs w:val="16"/>
          <w:vertAlign w:val="superscript"/>
        </w:rPr>
        <w:t>6</w:t>
      </w:r>
      <w:r w:rsidRPr="00EA6426">
        <w:rPr>
          <w:i/>
          <w:szCs w:val="16"/>
        </w:rPr>
        <w:t xml:space="preserve"> </w:t>
      </w:r>
      <w:r w:rsidR="00156A72" w:rsidRPr="00156A72">
        <w:rPr>
          <w:i/>
          <w:szCs w:val="16"/>
        </w:rPr>
        <w:t xml:space="preserve">$95,000 to </w:t>
      </w:r>
      <w:r w:rsidR="001C78D7">
        <w:rPr>
          <w:i/>
          <w:szCs w:val="16"/>
        </w:rPr>
        <w:t xml:space="preserve">&lt; </w:t>
      </w:r>
      <w:r w:rsidR="00156A72" w:rsidRPr="00156A72">
        <w:rPr>
          <w:i/>
          <w:szCs w:val="16"/>
        </w:rPr>
        <w:t>$115,000</w:t>
      </w:r>
    </w:p>
    <w:p w14:paraId="139DFCFB" w14:textId="26DEBC51" w:rsidR="00EA6426" w:rsidRDefault="00EA6426" w:rsidP="00120D61">
      <w:pPr>
        <w:pStyle w:val="TableNotes"/>
        <w:keepNext/>
        <w:spacing w:after="0"/>
        <w:rPr>
          <w:i/>
          <w:szCs w:val="16"/>
        </w:rPr>
      </w:pPr>
      <w:r w:rsidRPr="00EA6426">
        <w:rPr>
          <w:i/>
          <w:szCs w:val="16"/>
          <w:vertAlign w:val="superscript"/>
        </w:rPr>
        <w:t>7</w:t>
      </w:r>
      <w:r w:rsidRPr="00EA6426">
        <w:rPr>
          <w:i/>
          <w:szCs w:val="16"/>
        </w:rPr>
        <w:t xml:space="preserve"> </w:t>
      </w:r>
      <w:r w:rsidR="00667753" w:rsidRPr="00667753">
        <w:rPr>
          <w:i/>
          <w:szCs w:val="16"/>
        </w:rPr>
        <w:t xml:space="preserve">$355,000 to </w:t>
      </w:r>
      <w:r w:rsidR="001C78D7">
        <w:rPr>
          <w:i/>
          <w:szCs w:val="16"/>
        </w:rPr>
        <w:t xml:space="preserve">&lt; </w:t>
      </w:r>
      <w:r w:rsidR="00667753" w:rsidRPr="00667753">
        <w:rPr>
          <w:i/>
          <w:szCs w:val="16"/>
        </w:rPr>
        <w:t>$455,000</w:t>
      </w:r>
    </w:p>
    <w:p w14:paraId="64347581" w14:textId="5EE5AFB9" w:rsidR="00667753" w:rsidRPr="00EA6426" w:rsidRDefault="00667753" w:rsidP="00120D61">
      <w:pPr>
        <w:pStyle w:val="TableNotes"/>
        <w:keepNext/>
        <w:spacing w:after="0"/>
        <w:rPr>
          <w:i/>
          <w:szCs w:val="16"/>
        </w:rPr>
      </w:pPr>
      <w:r>
        <w:rPr>
          <w:i/>
          <w:szCs w:val="16"/>
          <w:vertAlign w:val="superscript"/>
        </w:rPr>
        <w:t>8</w:t>
      </w:r>
      <w:r>
        <w:rPr>
          <w:i/>
          <w:szCs w:val="16"/>
        </w:rPr>
        <w:t xml:space="preserve"> </w:t>
      </w:r>
      <w:r w:rsidR="00B97B6A" w:rsidRPr="00B97B6A">
        <w:rPr>
          <w:i/>
          <w:szCs w:val="16"/>
        </w:rPr>
        <w:t>$155,000 to </w:t>
      </w:r>
      <w:r w:rsidR="001C78D7">
        <w:rPr>
          <w:i/>
          <w:szCs w:val="16"/>
        </w:rPr>
        <w:t xml:space="preserve">&lt; </w:t>
      </w:r>
      <w:r w:rsidR="00B97B6A" w:rsidRPr="00B97B6A">
        <w:rPr>
          <w:i/>
          <w:szCs w:val="16"/>
        </w:rPr>
        <w:t>$255,000</w:t>
      </w:r>
    </w:p>
    <w:p w14:paraId="700B5AF5" w14:textId="2EFEDD69" w:rsidR="006A1AFC" w:rsidRPr="00885AB3" w:rsidRDefault="006A1AFC" w:rsidP="00120D61">
      <w:pPr>
        <w:pStyle w:val="TableNotes"/>
        <w:keepNext/>
        <w:spacing w:after="0"/>
        <w:rPr>
          <w:szCs w:val="16"/>
        </w:rPr>
      </w:pPr>
    </w:p>
    <w:p w14:paraId="5E4AE0C2" w14:textId="77777777" w:rsidR="006A1AFC" w:rsidRPr="00885AB3" w:rsidRDefault="006A1AFC" w:rsidP="00120D61">
      <w:pPr>
        <w:pStyle w:val="TableNotes"/>
        <w:spacing w:after="0"/>
        <w:rPr>
          <w:szCs w:val="16"/>
        </w:rPr>
      </w:pPr>
    </w:p>
    <w:p w14:paraId="799D524F" w14:textId="5C3E221D" w:rsidR="006A1AFC" w:rsidRPr="00885AB3" w:rsidRDefault="006A1AFC" w:rsidP="00120D61">
      <w:pPr>
        <w:pStyle w:val="3-BodyText"/>
        <w:spacing w:after="0"/>
        <w:rPr>
          <w:rFonts w:cs="Calibri"/>
          <w:szCs w:val="16"/>
        </w:rPr>
      </w:pPr>
      <w:r w:rsidRPr="00885AB3">
        <w:rPr>
          <w:rFonts w:cs="Calibri"/>
        </w:rPr>
        <w:t xml:space="preserve">The results of key univariate / multivariate sensitivity analyses for Aboriginal and Torres Strait Islander people 60-74 YOA are summarised in </w:t>
      </w:r>
      <w:r w:rsidRPr="00885AB3">
        <w:rPr>
          <w:rFonts w:cs="Calibri"/>
        </w:rPr>
        <w:fldChar w:fldCharType="begin" w:fldLock="1"/>
      </w:r>
      <w:r w:rsidRPr="00885AB3">
        <w:rPr>
          <w:rFonts w:cs="Calibri"/>
        </w:rPr>
        <w:instrText xml:space="preserve"> REF _Ref205905265 \h  \* MERGEFORMAT </w:instrText>
      </w:r>
      <w:r w:rsidRPr="00885AB3">
        <w:rPr>
          <w:rFonts w:cs="Calibri"/>
        </w:rPr>
      </w:r>
      <w:r w:rsidRPr="00885AB3">
        <w:rPr>
          <w:rFonts w:cs="Calibri"/>
        </w:rPr>
        <w:fldChar w:fldCharType="separate"/>
      </w:r>
      <w:r w:rsidR="00515933" w:rsidRPr="00885AB3">
        <w:rPr>
          <w:rFonts w:cs="Calibri"/>
        </w:rPr>
        <w:t xml:space="preserve">Table </w:t>
      </w:r>
      <w:r w:rsidR="00515933" w:rsidRPr="00885AB3">
        <w:t>23</w:t>
      </w:r>
      <w:r w:rsidRPr="00885AB3">
        <w:rPr>
          <w:rFonts w:cs="Calibri"/>
        </w:rPr>
        <w:fldChar w:fldCharType="end"/>
      </w:r>
      <w:r w:rsidRPr="00885AB3">
        <w:rPr>
          <w:rFonts w:cs="Calibri"/>
        </w:rPr>
        <w:t>.</w:t>
      </w:r>
    </w:p>
    <w:p w14:paraId="236B86C1" w14:textId="77777777" w:rsidR="006A1AFC" w:rsidRPr="00885AB3" w:rsidRDefault="006A1AFC" w:rsidP="00120D61">
      <w:pPr>
        <w:pStyle w:val="TableNotes"/>
        <w:spacing w:after="0"/>
        <w:rPr>
          <w:szCs w:val="16"/>
        </w:rPr>
      </w:pPr>
    </w:p>
    <w:p w14:paraId="6F1D5CDF" w14:textId="1A4B785B" w:rsidR="006A1AFC" w:rsidRPr="00885AB3" w:rsidRDefault="006A1AFC" w:rsidP="00120D61">
      <w:pPr>
        <w:pStyle w:val="Caption"/>
      </w:pPr>
      <w:bookmarkStart w:id="138" w:name="_Ref205905265"/>
      <w:bookmarkStart w:id="139" w:name="_Ref211378921"/>
      <w:r w:rsidRPr="00885AB3">
        <w:lastRenderedPageBreak/>
        <w:t xml:space="preserve">Table </w:t>
      </w:r>
      <w:r w:rsidR="008A242D" w:rsidRPr="00885AB3">
        <w:fldChar w:fldCharType="begin" w:fldLock="1"/>
      </w:r>
      <w:r w:rsidR="008A242D" w:rsidRPr="00885AB3">
        <w:instrText xml:space="preserve"> SEQ Table \* ARABIC </w:instrText>
      </w:r>
      <w:r w:rsidR="008A242D" w:rsidRPr="00885AB3">
        <w:fldChar w:fldCharType="separate"/>
      </w:r>
      <w:r w:rsidR="00515933" w:rsidRPr="00885AB3">
        <w:t>23</w:t>
      </w:r>
      <w:r w:rsidR="008A242D" w:rsidRPr="00885AB3">
        <w:fldChar w:fldCharType="end"/>
      </w:r>
      <w:bookmarkEnd w:id="138"/>
      <w:r w:rsidRPr="00885AB3">
        <w:t>: Sensitivity analyses: the Aboriginal and Torres Strait Islander people 60-74 YOA model</w:t>
      </w:r>
      <w:bookmarkEnd w:id="139"/>
    </w:p>
    <w:tbl>
      <w:tblPr>
        <w:tblStyle w:val="ASDTable2"/>
        <w:tblW w:w="4993" w:type="pct"/>
        <w:tblInd w:w="0" w:type="dxa"/>
        <w:tblCellMar>
          <w:left w:w="57" w:type="dxa"/>
          <w:right w:w="57" w:type="dxa"/>
        </w:tblCellMar>
        <w:tblLook w:val="04A0" w:firstRow="1" w:lastRow="0" w:firstColumn="1" w:lastColumn="0" w:noHBand="0" w:noVBand="1"/>
        <w:tblCaption w:val="Table 23: Sensitivity analyses: the Aboriginal and Torres Strait Islander people 60-74 YOA model"/>
      </w:tblPr>
      <w:tblGrid>
        <w:gridCol w:w="420"/>
        <w:gridCol w:w="4378"/>
        <w:gridCol w:w="1370"/>
        <w:gridCol w:w="1041"/>
        <w:gridCol w:w="940"/>
        <w:gridCol w:w="855"/>
      </w:tblGrid>
      <w:tr w:rsidR="006A1AFC" w:rsidRPr="00885AB3" w14:paraId="64B1D610" w14:textId="77777777" w:rsidTr="0006117D">
        <w:trPr>
          <w:cantSplit/>
          <w:trHeight w:val="20"/>
          <w:tblHeader/>
        </w:trPr>
        <w:tc>
          <w:tcPr>
            <w:tcW w:w="2664" w:type="pct"/>
            <w:gridSpan w:val="2"/>
            <w:vAlign w:val="center"/>
          </w:tcPr>
          <w:p w14:paraId="5480D125" w14:textId="77777777" w:rsidR="006A1AFC" w:rsidRPr="00885AB3" w:rsidRDefault="006A1AFC" w:rsidP="00120D61">
            <w:pPr>
              <w:pStyle w:val="PBACTabletext"/>
              <w:keepLines w:val="0"/>
              <w:spacing w:after="0"/>
              <w:rPr>
                <w:rFonts w:ascii="Arial Narrow" w:hAnsi="Arial Narrow"/>
                <w:b/>
                <w:bCs/>
                <w:sz w:val="20"/>
                <w:szCs w:val="20"/>
              </w:rPr>
            </w:pPr>
            <w:r w:rsidRPr="00885AB3">
              <w:rPr>
                <w:rFonts w:ascii="Arial Narrow" w:hAnsi="Arial Narrow"/>
                <w:b/>
                <w:bCs/>
                <w:sz w:val="20"/>
                <w:szCs w:val="20"/>
              </w:rPr>
              <w:t xml:space="preserve">Analysis </w:t>
            </w:r>
          </w:p>
        </w:tc>
        <w:tc>
          <w:tcPr>
            <w:tcW w:w="761" w:type="pct"/>
            <w:tcMar>
              <w:left w:w="28" w:type="dxa"/>
              <w:right w:w="28" w:type="dxa"/>
            </w:tcMar>
            <w:vAlign w:val="center"/>
          </w:tcPr>
          <w:p w14:paraId="6CE45546" w14:textId="77777777" w:rsidR="006A1AFC" w:rsidRPr="00885AB3" w:rsidRDefault="006A1AFC" w:rsidP="00120D61">
            <w:pPr>
              <w:pStyle w:val="PBACTabletext"/>
              <w:keepLines w:val="0"/>
              <w:spacing w:after="0"/>
              <w:jc w:val="center"/>
              <w:rPr>
                <w:rFonts w:ascii="Arial Narrow" w:hAnsi="Arial Narrow"/>
                <w:b/>
                <w:bCs/>
                <w:sz w:val="20"/>
                <w:szCs w:val="20"/>
              </w:rPr>
            </w:pPr>
            <w:r w:rsidRPr="00885AB3">
              <w:rPr>
                <w:rFonts w:ascii="Arial Narrow" w:hAnsi="Arial Narrow"/>
                <w:b/>
                <w:bCs/>
                <w:sz w:val="20"/>
                <w:szCs w:val="20"/>
              </w:rPr>
              <w:t>Incremental</w:t>
            </w:r>
          </w:p>
          <w:p w14:paraId="0EA860A9" w14:textId="77777777" w:rsidR="006A1AFC" w:rsidRPr="00885AB3" w:rsidRDefault="006A1AFC" w:rsidP="00120D61">
            <w:pPr>
              <w:pStyle w:val="PBACTabletext"/>
              <w:keepLines w:val="0"/>
              <w:spacing w:after="0"/>
              <w:jc w:val="center"/>
              <w:rPr>
                <w:rFonts w:ascii="Arial Narrow" w:hAnsi="Arial Narrow"/>
                <w:b/>
                <w:bCs/>
                <w:sz w:val="20"/>
                <w:szCs w:val="20"/>
              </w:rPr>
            </w:pPr>
            <w:r w:rsidRPr="00885AB3">
              <w:rPr>
                <w:rFonts w:ascii="Arial Narrow" w:hAnsi="Arial Narrow"/>
                <w:b/>
                <w:bCs/>
                <w:sz w:val="20"/>
                <w:szCs w:val="20"/>
              </w:rPr>
              <w:t>Costs (discounted)</w:t>
            </w:r>
          </w:p>
        </w:tc>
        <w:tc>
          <w:tcPr>
            <w:tcW w:w="578" w:type="pct"/>
            <w:tcMar>
              <w:left w:w="28" w:type="dxa"/>
              <w:right w:w="28" w:type="dxa"/>
            </w:tcMar>
            <w:vAlign w:val="center"/>
          </w:tcPr>
          <w:p w14:paraId="6C90DB2E" w14:textId="77777777" w:rsidR="006A1AFC" w:rsidRPr="00885AB3" w:rsidRDefault="006A1AFC" w:rsidP="00120D61">
            <w:pPr>
              <w:pStyle w:val="PBACTabletext"/>
              <w:keepLines w:val="0"/>
              <w:spacing w:after="0"/>
              <w:jc w:val="center"/>
              <w:rPr>
                <w:rFonts w:ascii="Arial Narrow" w:hAnsi="Arial Narrow"/>
                <w:b/>
                <w:bCs/>
                <w:sz w:val="20"/>
                <w:szCs w:val="20"/>
              </w:rPr>
            </w:pPr>
            <w:r w:rsidRPr="00885AB3">
              <w:rPr>
                <w:rFonts w:ascii="Arial Narrow" w:hAnsi="Arial Narrow"/>
                <w:b/>
                <w:bCs/>
                <w:sz w:val="20"/>
                <w:szCs w:val="20"/>
              </w:rPr>
              <w:t>Incremental QALYs (discounted)</w:t>
            </w:r>
          </w:p>
        </w:tc>
        <w:tc>
          <w:tcPr>
            <w:tcW w:w="522" w:type="pct"/>
            <w:tcMar>
              <w:left w:w="28" w:type="dxa"/>
              <w:right w:w="28" w:type="dxa"/>
            </w:tcMar>
            <w:vAlign w:val="center"/>
          </w:tcPr>
          <w:p w14:paraId="0C355EDD" w14:textId="77777777" w:rsidR="006A1AFC" w:rsidRPr="00885AB3" w:rsidRDefault="006A1AFC" w:rsidP="00120D61">
            <w:pPr>
              <w:pStyle w:val="PBACTabletext"/>
              <w:keepLines w:val="0"/>
              <w:spacing w:after="0"/>
              <w:jc w:val="center"/>
              <w:rPr>
                <w:rFonts w:ascii="Arial Narrow" w:hAnsi="Arial Narrow"/>
                <w:b/>
                <w:bCs/>
                <w:sz w:val="20"/>
                <w:szCs w:val="20"/>
              </w:rPr>
            </w:pPr>
            <w:r w:rsidRPr="00885AB3">
              <w:rPr>
                <w:rFonts w:ascii="Arial Narrow" w:hAnsi="Arial Narrow"/>
                <w:b/>
                <w:bCs/>
                <w:sz w:val="20"/>
                <w:szCs w:val="20"/>
              </w:rPr>
              <w:t>ICER</w:t>
            </w:r>
          </w:p>
        </w:tc>
        <w:tc>
          <w:tcPr>
            <w:tcW w:w="476" w:type="pct"/>
            <w:tcMar>
              <w:left w:w="28" w:type="dxa"/>
              <w:right w:w="28" w:type="dxa"/>
            </w:tcMar>
            <w:vAlign w:val="center"/>
          </w:tcPr>
          <w:p w14:paraId="7684EE2B" w14:textId="77777777" w:rsidR="006A1AFC" w:rsidRPr="00885AB3" w:rsidRDefault="006A1AFC" w:rsidP="00120D61">
            <w:pPr>
              <w:pStyle w:val="PBACTabletext"/>
              <w:keepLines w:val="0"/>
              <w:spacing w:after="0"/>
              <w:jc w:val="center"/>
              <w:rPr>
                <w:rFonts w:ascii="Arial Narrow" w:hAnsi="Arial Narrow"/>
                <w:b/>
                <w:bCs/>
                <w:sz w:val="20"/>
                <w:szCs w:val="20"/>
              </w:rPr>
            </w:pPr>
            <w:r w:rsidRPr="00885AB3">
              <w:rPr>
                <w:rFonts w:ascii="Arial Narrow" w:hAnsi="Arial Narrow" w:cs="Calibri"/>
                <w:b/>
                <w:bCs/>
                <w:sz w:val="20"/>
                <w:szCs w:val="20"/>
                <w:lang w:eastAsia="en-AU"/>
              </w:rPr>
              <w:t>ICER changed (%)</w:t>
            </w:r>
          </w:p>
        </w:tc>
      </w:tr>
      <w:tr w:rsidR="006A1AFC" w:rsidRPr="00885AB3" w14:paraId="303B981F" w14:textId="77777777" w:rsidTr="0006117D">
        <w:trPr>
          <w:cantSplit/>
          <w:trHeight w:val="20"/>
        </w:trPr>
        <w:tc>
          <w:tcPr>
            <w:tcW w:w="233" w:type="pct"/>
          </w:tcPr>
          <w:p w14:paraId="156E1A21" w14:textId="77777777" w:rsidR="006A1AFC" w:rsidRPr="00885AB3" w:rsidRDefault="006A1AFC" w:rsidP="00120D61">
            <w:pPr>
              <w:pStyle w:val="PBACTabletext"/>
              <w:keepLines w:val="0"/>
              <w:spacing w:after="0"/>
              <w:rPr>
                <w:rFonts w:ascii="Arial Narrow" w:hAnsi="Arial Narrow"/>
                <w:sz w:val="20"/>
                <w:szCs w:val="20"/>
              </w:rPr>
            </w:pPr>
          </w:p>
        </w:tc>
        <w:tc>
          <w:tcPr>
            <w:tcW w:w="2431" w:type="pct"/>
            <w:tcMar>
              <w:left w:w="28" w:type="dxa"/>
              <w:right w:w="28" w:type="dxa"/>
            </w:tcMar>
            <w:vAlign w:val="center"/>
          </w:tcPr>
          <w:p w14:paraId="3BED1032" w14:textId="77777777" w:rsidR="006A1AFC" w:rsidRPr="00885AB3" w:rsidRDefault="006A1AFC" w:rsidP="00120D61">
            <w:pPr>
              <w:pStyle w:val="PBACTabletext"/>
              <w:keepLines w:val="0"/>
              <w:spacing w:after="0"/>
              <w:rPr>
                <w:rFonts w:ascii="Arial Narrow" w:hAnsi="Arial Narrow"/>
                <w:sz w:val="20"/>
                <w:szCs w:val="20"/>
              </w:rPr>
            </w:pPr>
            <w:r w:rsidRPr="00885AB3">
              <w:rPr>
                <w:rFonts w:ascii="Arial Narrow" w:hAnsi="Arial Narrow"/>
                <w:sz w:val="20"/>
                <w:szCs w:val="20"/>
              </w:rPr>
              <w:t>Base-case</w:t>
            </w:r>
          </w:p>
        </w:tc>
        <w:tc>
          <w:tcPr>
            <w:tcW w:w="761" w:type="pct"/>
            <w:tcMar>
              <w:left w:w="28" w:type="dxa"/>
              <w:right w:w="28" w:type="dxa"/>
            </w:tcMar>
            <w:vAlign w:val="center"/>
          </w:tcPr>
          <w:p w14:paraId="10932E73" w14:textId="3CC1B886" w:rsidR="006A1AFC" w:rsidRPr="00885AB3" w:rsidRDefault="006A1AFC" w:rsidP="00120D61">
            <w:pPr>
              <w:pStyle w:val="PBACTabletext"/>
              <w:keepLines w:val="0"/>
              <w:spacing w:after="0"/>
              <w:jc w:val="center"/>
              <w:rPr>
                <w:rFonts w:ascii="Arial Narrow" w:hAnsi="Arial Narrow"/>
                <w:sz w:val="20"/>
                <w:szCs w:val="20"/>
              </w:rPr>
            </w:pPr>
            <w:r w:rsidRPr="00885AB3">
              <w:rPr>
                <w:rFonts w:ascii="Arial Narrow" w:hAnsi="Arial Narrow" w:cs="Calibri"/>
                <w:color w:val="000000"/>
                <w:sz w:val="20"/>
                <w:szCs w:val="20"/>
              </w:rPr>
              <w:t>$</w:t>
            </w:r>
            <w:r w:rsidR="004B5AFE" w:rsidRPr="004B5AFE">
              <w:rPr>
                <w:rFonts w:ascii="Arial Narrow" w:hAnsi="Arial Narrow" w:cs="Calibri"/>
                <w:color w:val="000000"/>
                <w:sz w:val="20"/>
                <w:szCs w:val="20"/>
                <w:highlight w:val="black"/>
              </w:rPr>
              <w:t xml:space="preserve"> &amp;&amp;&amp;&amp;</w:t>
            </w:r>
          </w:p>
        </w:tc>
        <w:tc>
          <w:tcPr>
            <w:tcW w:w="578" w:type="pct"/>
            <w:tcMar>
              <w:left w:w="28" w:type="dxa"/>
              <w:right w:w="28" w:type="dxa"/>
            </w:tcMar>
            <w:vAlign w:val="center"/>
          </w:tcPr>
          <w:p w14:paraId="7969B4E9" w14:textId="77777777" w:rsidR="006A1AFC" w:rsidRPr="00885AB3" w:rsidRDefault="006A1AFC" w:rsidP="00120D61">
            <w:pPr>
              <w:pStyle w:val="PBACTabletext"/>
              <w:keepLines w:val="0"/>
              <w:spacing w:after="0"/>
              <w:jc w:val="center"/>
              <w:rPr>
                <w:rFonts w:ascii="Arial Narrow" w:hAnsi="Arial Narrow"/>
                <w:sz w:val="20"/>
                <w:szCs w:val="20"/>
              </w:rPr>
            </w:pPr>
            <w:r w:rsidRPr="00885AB3">
              <w:rPr>
                <w:rFonts w:ascii="Arial Narrow" w:hAnsi="Arial Narrow" w:cs="Calibri"/>
                <w:color w:val="000000"/>
                <w:sz w:val="20"/>
                <w:szCs w:val="20"/>
              </w:rPr>
              <w:t>331</w:t>
            </w:r>
          </w:p>
        </w:tc>
        <w:tc>
          <w:tcPr>
            <w:tcW w:w="522" w:type="pct"/>
            <w:tcMar>
              <w:left w:w="28" w:type="dxa"/>
              <w:right w:w="28" w:type="dxa"/>
            </w:tcMar>
            <w:vAlign w:val="center"/>
          </w:tcPr>
          <w:p w14:paraId="674E4541" w14:textId="5B34444A" w:rsidR="006A1AFC" w:rsidRPr="00855051" w:rsidRDefault="006A1AFC" w:rsidP="00120D61">
            <w:pPr>
              <w:pStyle w:val="PBACTabletext"/>
              <w:keepLines w:val="0"/>
              <w:spacing w:after="0"/>
              <w:jc w:val="center"/>
              <w:rPr>
                <w:rFonts w:ascii="Arial Narrow" w:hAnsi="Arial Narrow"/>
                <w:sz w:val="20"/>
                <w:szCs w:val="20"/>
                <w:vertAlign w:val="superscript"/>
              </w:rPr>
            </w:pPr>
            <w:r w:rsidRPr="00885AB3">
              <w:rPr>
                <w:rFonts w:ascii="Arial Narrow" w:hAnsi="Arial Narrow" w:cs="Calibri"/>
                <w:sz w:val="20"/>
                <w:szCs w:val="20"/>
              </w:rPr>
              <w:t>$</w:t>
            </w:r>
            <w:r w:rsidR="004B5AFE" w:rsidRPr="004B5AFE">
              <w:rPr>
                <w:rFonts w:ascii="Arial Narrow" w:hAnsi="Arial Narrow" w:cs="Calibri"/>
                <w:sz w:val="20"/>
                <w:szCs w:val="20"/>
                <w:highlight w:val="black"/>
              </w:rPr>
              <w:t xml:space="preserve"> &amp;&amp;&amp;&amp;</w:t>
            </w:r>
            <w:r w:rsidR="00855051">
              <w:rPr>
                <w:rFonts w:ascii="Arial Narrow" w:hAnsi="Arial Narrow" w:cs="Calibri"/>
                <w:sz w:val="20"/>
                <w:szCs w:val="20"/>
                <w:vertAlign w:val="superscript"/>
              </w:rPr>
              <w:t>1</w:t>
            </w:r>
          </w:p>
        </w:tc>
        <w:tc>
          <w:tcPr>
            <w:tcW w:w="476" w:type="pct"/>
            <w:tcMar>
              <w:left w:w="28" w:type="dxa"/>
              <w:right w:w="28" w:type="dxa"/>
            </w:tcMar>
            <w:vAlign w:val="center"/>
          </w:tcPr>
          <w:p w14:paraId="40C3BD22" w14:textId="77777777" w:rsidR="006A1AFC" w:rsidRPr="00885AB3" w:rsidRDefault="006A1AFC" w:rsidP="00120D61">
            <w:pPr>
              <w:pStyle w:val="PBACTabletext"/>
              <w:keepLines w:val="0"/>
              <w:spacing w:after="0"/>
              <w:jc w:val="center"/>
              <w:rPr>
                <w:rFonts w:ascii="Arial Narrow" w:hAnsi="Arial Narrow" w:cs="Calibri"/>
                <w:sz w:val="20"/>
                <w:szCs w:val="20"/>
              </w:rPr>
            </w:pPr>
          </w:p>
        </w:tc>
      </w:tr>
      <w:tr w:rsidR="006A1AFC" w:rsidRPr="00885AB3" w14:paraId="1FB56C95" w14:textId="77777777" w:rsidTr="0006117D">
        <w:trPr>
          <w:cantSplit/>
          <w:trHeight w:val="20"/>
        </w:trPr>
        <w:tc>
          <w:tcPr>
            <w:tcW w:w="233" w:type="pct"/>
          </w:tcPr>
          <w:p w14:paraId="79479DC6" w14:textId="77777777" w:rsidR="006A1AFC" w:rsidRPr="00885AB3" w:rsidRDefault="006A1AFC" w:rsidP="00120D61">
            <w:pPr>
              <w:pStyle w:val="PBACTabletext"/>
              <w:keepLines w:val="0"/>
              <w:spacing w:after="0"/>
              <w:jc w:val="center"/>
              <w:rPr>
                <w:rFonts w:ascii="Arial Narrow" w:hAnsi="Arial Narrow"/>
                <w:sz w:val="20"/>
                <w:szCs w:val="20"/>
              </w:rPr>
            </w:pPr>
            <w:r w:rsidRPr="00885AB3">
              <w:rPr>
                <w:rFonts w:ascii="Arial Narrow" w:hAnsi="Arial Narrow"/>
                <w:sz w:val="20"/>
                <w:szCs w:val="20"/>
              </w:rPr>
              <w:t>A</w:t>
            </w:r>
          </w:p>
        </w:tc>
        <w:tc>
          <w:tcPr>
            <w:tcW w:w="2431" w:type="pct"/>
            <w:tcMar>
              <w:left w:w="28" w:type="dxa"/>
              <w:right w:w="28" w:type="dxa"/>
            </w:tcMar>
            <w:vAlign w:val="center"/>
          </w:tcPr>
          <w:p w14:paraId="4B7C9DD4" w14:textId="77777777" w:rsidR="006A1AFC" w:rsidRPr="00885AB3" w:rsidRDefault="006A1AFC" w:rsidP="00120D61">
            <w:pPr>
              <w:pStyle w:val="PBACTabletext"/>
              <w:keepLines w:val="0"/>
              <w:spacing w:after="0"/>
              <w:rPr>
                <w:rFonts w:ascii="Arial Narrow" w:hAnsi="Arial Narrow"/>
                <w:sz w:val="20"/>
                <w:szCs w:val="20"/>
              </w:rPr>
            </w:pPr>
            <w:r w:rsidRPr="00885AB3">
              <w:rPr>
                <w:rFonts w:ascii="Arial Narrow" w:hAnsi="Arial Narrow"/>
                <w:sz w:val="20"/>
                <w:szCs w:val="20"/>
              </w:rPr>
              <w:t>Discount rate: 5% (base case: 3.5%)</w:t>
            </w:r>
          </w:p>
        </w:tc>
        <w:tc>
          <w:tcPr>
            <w:tcW w:w="761" w:type="pct"/>
            <w:tcMar>
              <w:left w:w="28" w:type="dxa"/>
              <w:right w:w="28" w:type="dxa"/>
            </w:tcMar>
            <w:vAlign w:val="center"/>
          </w:tcPr>
          <w:p w14:paraId="06BFB33F" w14:textId="6E566346" w:rsidR="006A1AFC" w:rsidRPr="00885AB3" w:rsidRDefault="006A1AFC" w:rsidP="00120D61">
            <w:pPr>
              <w:pStyle w:val="PBACTabletext"/>
              <w:keepLines w:val="0"/>
              <w:spacing w:after="0"/>
              <w:jc w:val="center"/>
              <w:rPr>
                <w:rFonts w:ascii="Arial Narrow" w:hAnsi="Arial Narrow" w:cs="Calibri"/>
                <w:sz w:val="20"/>
                <w:szCs w:val="20"/>
              </w:rPr>
            </w:pPr>
            <w:r w:rsidRPr="00885AB3">
              <w:rPr>
                <w:rFonts w:ascii="Arial Narrow" w:hAnsi="Arial Narrow" w:cs="Calibri"/>
                <w:color w:val="000000"/>
                <w:sz w:val="20"/>
                <w:szCs w:val="20"/>
              </w:rPr>
              <w:t>$</w:t>
            </w:r>
            <w:r w:rsidR="004B5AFE" w:rsidRPr="004B5AFE">
              <w:rPr>
                <w:rFonts w:ascii="Arial Narrow" w:hAnsi="Arial Narrow" w:cs="Calibri"/>
                <w:color w:val="000000"/>
                <w:sz w:val="20"/>
                <w:szCs w:val="20"/>
                <w:highlight w:val="black"/>
              </w:rPr>
              <w:t xml:space="preserve"> &amp;&amp;&amp;&amp;</w:t>
            </w:r>
          </w:p>
        </w:tc>
        <w:tc>
          <w:tcPr>
            <w:tcW w:w="578" w:type="pct"/>
            <w:tcMar>
              <w:left w:w="28" w:type="dxa"/>
              <w:right w:w="28" w:type="dxa"/>
            </w:tcMar>
            <w:vAlign w:val="center"/>
          </w:tcPr>
          <w:p w14:paraId="034C3A94" w14:textId="77777777" w:rsidR="006A1AFC" w:rsidRPr="00885AB3" w:rsidRDefault="006A1AFC" w:rsidP="00120D61">
            <w:pPr>
              <w:pStyle w:val="PBACTabletext"/>
              <w:keepLines w:val="0"/>
              <w:spacing w:after="0"/>
              <w:jc w:val="center"/>
              <w:rPr>
                <w:rFonts w:ascii="Arial Narrow" w:hAnsi="Arial Narrow" w:cs="Calibri"/>
                <w:sz w:val="20"/>
                <w:szCs w:val="20"/>
              </w:rPr>
            </w:pPr>
            <w:r w:rsidRPr="00885AB3">
              <w:rPr>
                <w:rFonts w:ascii="Arial Narrow" w:hAnsi="Arial Narrow" w:cs="Calibri"/>
                <w:color w:val="000000"/>
                <w:sz w:val="20"/>
                <w:szCs w:val="20"/>
              </w:rPr>
              <w:t>311</w:t>
            </w:r>
          </w:p>
        </w:tc>
        <w:tc>
          <w:tcPr>
            <w:tcW w:w="522" w:type="pct"/>
            <w:tcMar>
              <w:left w:w="28" w:type="dxa"/>
              <w:right w:w="28" w:type="dxa"/>
            </w:tcMar>
            <w:vAlign w:val="center"/>
          </w:tcPr>
          <w:p w14:paraId="1E6FE635" w14:textId="33155465" w:rsidR="006A1AFC" w:rsidRPr="00855051" w:rsidRDefault="006A1AFC" w:rsidP="00120D61">
            <w:pPr>
              <w:pStyle w:val="PBACTabletext"/>
              <w:keepLines w:val="0"/>
              <w:spacing w:after="0"/>
              <w:jc w:val="center"/>
              <w:rPr>
                <w:rFonts w:ascii="Arial Narrow" w:hAnsi="Arial Narrow" w:cs="Calibri"/>
                <w:sz w:val="20"/>
                <w:szCs w:val="20"/>
                <w:vertAlign w:val="superscript"/>
              </w:rPr>
            </w:pPr>
            <w:r w:rsidRPr="00885AB3">
              <w:rPr>
                <w:rFonts w:ascii="Arial Narrow" w:hAnsi="Arial Narrow" w:cs="Calibri"/>
                <w:color w:val="000000"/>
                <w:sz w:val="20"/>
                <w:szCs w:val="20"/>
              </w:rPr>
              <w:t>$</w:t>
            </w:r>
            <w:r w:rsidR="004B5AFE" w:rsidRPr="004B5AFE">
              <w:rPr>
                <w:rFonts w:ascii="Arial Narrow" w:hAnsi="Arial Narrow" w:cs="Calibri"/>
                <w:color w:val="000000"/>
                <w:sz w:val="20"/>
                <w:szCs w:val="20"/>
                <w:highlight w:val="black"/>
              </w:rPr>
              <w:t xml:space="preserve"> &amp;&amp;&amp;&amp;</w:t>
            </w:r>
            <w:r w:rsidR="00855051">
              <w:rPr>
                <w:rFonts w:ascii="Arial Narrow" w:hAnsi="Arial Narrow" w:cs="Calibri"/>
                <w:color w:val="000000"/>
                <w:sz w:val="20"/>
                <w:szCs w:val="20"/>
                <w:vertAlign w:val="superscript"/>
              </w:rPr>
              <w:t>1</w:t>
            </w:r>
          </w:p>
        </w:tc>
        <w:tc>
          <w:tcPr>
            <w:tcW w:w="476" w:type="pct"/>
            <w:tcMar>
              <w:left w:w="28" w:type="dxa"/>
              <w:right w:w="28" w:type="dxa"/>
            </w:tcMar>
            <w:vAlign w:val="center"/>
          </w:tcPr>
          <w:p w14:paraId="45DF39B3" w14:textId="2217EE5A" w:rsidR="006A1AFC" w:rsidRPr="00885AB3" w:rsidRDefault="006A1AFC" w:rsidP="00120D61">
            <w:pPr>
              <w:pStyle w:val="PBACTabletext"/>
              <w:keepLines w:val="0"/>
              <w:spacing w:after="0"/>
              <w:jc w:val="center"/>
              <w:rPr>
                <w:rFonts w:ascii="Arial Narrow" w:hAnsi="Arial Narrow" w:cs="Calibri"/>
                <w:sz w:val="20"/>
                <w:szCs w:val="20"/>
              </w:rPr>
            </w:pPr>
            <w:r w:rsidRPr="00885AB3">
              <w:rPr>
                <w:rFonts w:ascii="Arial Narrow" w:hAnsi="Arial Narrow" w:cs="Calibri"/>
                <w:color w:val="000000"/>
                <w:sz w:val="20"/>
                <w:szCs w:val="20"/>
              </w:rPr>
              <w:t>+</w:t>
            </w:r>
            <w:r w:rsidR="004B5AFE" w:rsidRPr="004B5AFE">
              <w:rPr>
                <w:rFonts w:ascii="Arial Narrow" w:hAnsi="Arial Narrow" w:cs="Calibri"/>
                <w:color w:val="000000"/>
                <w:sz w:val="20"/>
                <w:szCs w:val="20"/>
                <w:highlight w:val="black"/>
              </w:rPr>
              <w:t xml:space="preserve"> &amp;&amp;&amp;&amp;</w:t>
            </w:r>
            <w:r w:rsidRPr="00885AB3">
              <w:rPr>
                <w:rFonts w:ascii="Arial Narrow" w:hAnsi="Arial Narrow" w:cs="Calibri"/>
                <w:color w:val="000000"/>
                <w:sz w:val="20"/>
                <w:szCs w:val="20"/>
              </w:rPr>
              <w:t>%</w:t>
            </w:r>
          </w:p>
        </w:tc>
      </w:tr>
      <w:tr w:rsidR="006A1AFC" w:rsidRPr="00885AB3" w14:paraId="57C64E9F" w14:textId="77777777" w:rsidTr="0006117D">
        <w:trPr>
          <w:cantSplit/>
          <w:trHeight w:val="20"/>
        </w:trPr>
        <w:tc>
          <w:tcPr>
            <w:tcW w:w="233" w:type="pct"/>
          </w:tcPr>
          <w:p w14:paraId="0E1360D4" w14:textId="77777777" w:rsidR="006A1AFC" w:rsidRPr="00885AB3" w:rsidRDefault="006A1AFC" w:rsidP="00120D61">
            <w:pPr>
              <w:pStyle w:val="PBACTabletext"/>
              <w:keepLines w:val="0"/>
              <w:spacing w:after="0"/>
              <w:jc w:val="center"/>
              <w:rPr>
                <w:rFonts w:ascii="Arial Narrow" w:hAnsi="Arial Narrow"/>
                <w:sz w:val="20"/>
                <w:szCs w:val="20"/>
              </w:rPr>
            </w:pPr>
          </w:p>
        </w:tc>
        <w:tc>
          <w:tcPr>
            <w:tcW w:w="2431" w:type="pct"/>
            <w:tcMar>
              <w:left w:w="28" w:type="dxa"/>
              <w:right w:w="28" w:type="dxa"/>
            </w:tcMar>
            <w:vAlign w:val="center"/>
          </w:tcPr>
          <w:p w14:paraId="1876708C" w14:textId="77777777" w:rsidR="006A1AFC" w:rsidRPr="00885AB3" w:rsidRDefault="006A1AFC" w:rsidP="00120D61">
            <w:pPr>
              <w:pStyle w:val="PBACTabletext"/>
              <w:keepLines w:val="0"/>
              <w:spacing w:after="0"/>
              <w:rPr>
                <w:rFonts w:ascii="Arial Narrow" w:hAnsi="Arial Narrow"/>
                <w:sz w:val="20"/>
                <w:szCs w:val="20"/>
              </w:rPr>
            </w:pPr>
            <w:r w:rsidRPr="00885AB3">
              <w:rPr>
                <w:rFonts w:ascii="Arial Narrow" w:hAnsi="Arial Narrow"/>
                <w:sz w:val="20"/>
                <w:szCs w:val="20"/>
              </w:rPr>
              <w:t>Discount rate: 0% (base case: 3.5%)</w:t>
            </w:r>
          </w:p>
        </w:tc>
        <w:tc>
          <w:tcPr>
            <w:tcW w:w="761" w:type="pct"/>
            <w:tcMar>
              <w:left w:w="28" w:type="dxa"/>
              <w:right w:w="28" w:type="dxa"/>
            </w:tcMar>
            <w:vAlign w:val="center"/>
          </w:tcPr>
          <w:p w14:paraId="12C861EF" w14:textId="59EBA3FF" w:rsidR="006A1AFC" w:rsidRPr="00885AB3" w:rsidRDefault="006A1AFC" w:rsidP="00120D61">
            <w:pPr>
              <w:pStyle w:val="PBACTabletext"/>
              <w:keepLines w:val="0"/>
              <w:spacing w:after="0"/>
              <w:jc w:val="center"/>
              <w:rPr>
                <w:rFonts w:ascii="Arial Narrow" w:hAnsi="Arial Narrow" w:cs="Calibri"/>
                <w:sz w:val="20"/>
                <w:szCs w:val="20"/>
              </w:rPr>
            </w:pPr>
            <w:r w:rsidRPr="00885AB3">
              <w:rPr>
                <w:rFonts w:ascii="Arial Narrow" w:hAnsi="Arial Narrow" w:cs="Calibri"/>
                <w:color w:val="000000"/>
                <w:sz w:val="20"/>
                <w:szCs w:val="20"/>
              </w:rPr>
              <w:t>$</w:t>
            </w:r>
            <w:r w:rsidR="004B5AFE" w:rsidRPr="004B5AFE">
              <w:rPr>
                <w:rFonts w:ascii="Arial Narrow" w:hAnsi="Arial Narrow" w:cs="Calibri"/>
                <w:color w:val="000000"/>
                <w:sz w:val="20"/>
                <w:szCs w:val="20"/>
                <w:highlight w:val="black"/>
              </w:rPr>
              <w:t xml:space="preserve"> &amp;&amp;&amp;&amp;</w:t>
            </w:r>
          </w:p>
        </w:tc>
        <w:tc>
          <w:tcPr>
            <w:tcW w:w="578" w:type="pct"/>
            <w:tcMar>
              <w:left w:w="28" w:type="dxa"/>
              <w:right w:w="28" w:type="dxa"/>
            </w:tcMar>
            <w:vAlign w:val="center"/>
          </w:tcPr>
          <w:p w14:paraId="2C61D4B5" w14:textId="77777777" w:rsidR="006A1AFC" w:rsidRPr="00885AB3" w:rsidRDefault="006A1AFC" w:rsidP="00120D61">
            <w:pPr>
              <w:pStyle w:val="PBACTabletext"/>
              <w:keepLines w:val="0"/>
              <w:spacing w:after="0"/>
              <w:jc w:val="center"/>
              <w:rPr>
                <w:rFonts w:ascii="Arial Narrow" w:hAnsi="Arial Narrow" w:cs="Calibri"/>
                <w:sz w:val="20"/>
                <w:szCs w:val="20"/>
              </w:rPr>
            </w:pPr>
            <w:r w:rsidRPr="00885AB3">
              <w:rPr>
                <w:rFonts w:ascii="Arial Narrow" w:hAnsi="Arial Narrow" w:cs="Calibri"/>
                <w:color w:val="000000"/>
                <w:sz w:val="20"/>
                <w:szCs w:val="20"/>
              </w:rPr>
              <w:t>398</w:t>
            </w:r>
          </w:p>
        </w:tc>
        <w:tc>
          <w:tcPr>
            <w:tcW w:w="522" w:type="pct"/>
            <w:tcMar>
              <w:left w:w="28" w:type="dxa"/>
              <w:right w:w="28" w:type="dxa"/>
            </w:tcMar>
            <w:vAlign w:val="center"/>
          </w:tcPr>
          <w:p w14:paraId="4029F726" w14:textId="43317948" w:rsidR="006A1AFC" w:rsidRPr="00855051" w:rsidRDefault="006A1AFC" w:rsidP="00120D61">
            <w:pPr>
              <w:pStyle w:val="PBACTabletext"/>
              <w:keepLines w:val="0"/>
              <w:spacing w:after="0"/>
              <w:jc w:val="center"/>
              <w:rPr>
                <w:rFonts w:ascii="Arial Narrow" w:hAnsi="Arial Narrow" w:cs="Calibri"/>
                <w:sz w:val="20"/>
                <w:szCs w:val="20"/>
                <w:vertAlign w:val="superscript"/>
              </w:rPr>
            </w:pPr>
            <w:r w:rsidRPr="00885AB3">
              <w:rPr>
                <w:rFonts w:ascii="Arial Narrow" w:hAnsi="Arial Narrow" w:cs="Calibri"/>
                <w:color w:val="000000"/>
                <w:sz w:val="20"/>
                <w:szCs w:val="20"/>
              </w:rPr>
              <w:t>$</w:t>
            </w:r>
            <w:r w:rsidR="004B5AFE" w:rsidRPr="004B5AFE">
              <w:rPr>
                <w:rFonts w:ascii="Arial Narrow" w:hAnsi="Arial Narrow" w:cs="Calibri"/>
                <w:color w:val="000000"/>
                <w:sz w:val="20"/>
                <w:szCs w:val="20"/>
                <w:highlight w:val="black"/>
              </w:rPr>
              <w:t xml:space="preserve"> &amp;&amp;&amp;&amp;</w:t>
            </w:r>
            <w:r w:rsidR="00855051">
              <w:rPr>
                <w:rFonts w:ascii="Arial Narrow" w:hAnsi="Arial Narrow" w:cs="Calibri"/>
                <w:color w:val="000000"/>
                <w:sz w:val="20"/>
                <w:szCs w:val="20"/>
                <w:vertAlign w:val="superscript"/>
              </w:rPr>
              <w:t>2</w:t>
            </w:r>
          </w:p>
        </w:tc>
        <w:tc>
          <w:tcPr>
            <w:tcW w:w="476" w:type="pct"/>
            <w:tcMar>
              <w:left w:w="28" w:type="dxa"/>
              <w:right w:w="28" w:type="dxa"/>
            </w:tcMar>
            <w:vAlign w:val="center"/>
          </w:tcPr>
          <w:p w14:paraId="24FB4D04" w14:textId="0250D586" w:rsidR="006A1AFC" w:rsidRPr="00885AB3" w:rsidRDefault="006A1AFC" w:rsidP="00120D61">
            <w:pPr>
              <w:pStyle w:val="PBACTabletext"/>
              <w:keepLines w:val="0"/>
              <w:spacing w:after="0"/>
              <w:jc w:val="center"/>
              <w:rPr>
                <w:rFonts w:ascii="Arial Narrow" w:hAnsi="Arial Narrow" w:cs="Calibri"/>
                <w:sz w:val="20"/>
                <w:szCs w:val="20"/>
              </w:rPr>
            </w:pPr>
            <w:r w:rsidRPr="00885AB3">
              <w:rPr>
                <w:rFonts w:ascii="Arial Narrow" w:hAnsi="Arial Narrow" w:cs="Calibri"/>
                <w:color w:val="000000"/>
                <w:sz w:val="20"/>
                <w:szCs w:val="20"/>
              </w:rPr>
              <w:t>-</w:t>
            </w:r>
            <w:r w:rsidR="004B5AFE" w:rsidRPr="004B5AFE">
              <w:rPr>
                <w:rFonts w:ascii="Arial Narrow" w:hAnsi="Arial Narrow" w:cs="Calibri"/>
                <w:color w:val="000000"/>
                <w:sz w:val="20"/>
                <w:szCs w:val="20"/>
                <w:highlight w:val="black"/>
              </w:rPr>
              <w:t xml:space="preserve"> &amp;&amp;&amp;&amp;</w:t>
            </w:r>
            <w:r w:rsidRPr="00885AB3">
              <w:rPr>
                <w:rFonts w:ascii="Arial Narrow" w:hAnsi="Arial Narrow" w:cs="Calibri"/>
                <w:color w:val="000000"/>
                <w:sz w:val="20"/>
                <w:szCs w:val="20"/>
              </w:rPr>
              <w:t>%</w:t>
            </w:r>
          </w:p>
        </w:tc>
      </w:tr>
      <w:tr w:rsidR="006A1AFC" w:rsidRPr="00885AB3" w14:paraId="3D6CE0D8" w14:textId="77777777" w:rsidTr="0006117D">
        <w:trPr>
          <w:cantSplit/>
          <w:trHeight w:val="20"/>
        </w:trPr>
        <w:tc>
          <w:tcPr>
            <w:tcW w:w="233" w:type="pct"/>
          </w:tcPr>
          <w:p w14:paraId="6DC2FE21" w14:textId="77777777" w:rsidR="006A1AFC" w:rsidRPr="00885AB3" w:rsidRDefault="006A1AFC" w:rsidP="00120D61">
            <w:pPr>
              <w:pStyle w:val="PBACTabletext"/>
              <w:keepLines w:val="0"/>
              <w:spacing w:after="0"/>
              <w:jc w:val="center"/>
              <w:rPr>
                <w:rFonts w:ascii="Arial Narrow" w:hAnsi="Arial Narrow"/>
                <w:b/>
                <w:bCs/>
                <w:sz w:val="20"/>
                <w:szCs w:val="20"/>
              </w:rPr>
            </w:pPr>
          </w:p>
        </w:tc>
        <w:tc>
          <w:tcPr>
            <w:tcW w:w="4767" w:type="pct"/>
            <w:gridSpan w:val="5"/>
            <w:tcMar>
              <w:left w:w="28" w:type="dxa"/>
              <w:right w:w="28" w:type="dxa"/>
            </w:tcMar>
            <w:vAlign w:val="center"/>
          </w:tcPr>
          <w:p w14:paraId="6C9C260E" w14:textId="77777777" w:rsidR="006A1AFC" w:rsidRPr="00885AB3" w:rsidRDefault="006A1AFC" w:rsidP="00120D61">
            <w:pPr>
              <w:pStyle w:val="PBACTabletext"/>
              <w:keepLines w:val="0"/>
              <w:spacing w:after="0"/>
              <w:rPr>
                <w:rFonts w:ascii="Arial Narrow" w:hAnsi="Arial Narrow" w:cs="Calibri"/>
                <w:sz w:val="20"/>
                <w:szCs w:val="20"/>
              </w:rPr>
            </w:pPr>
            <w:r w:rsidRPr="00885AB3">
              <w:rPr>
                <w:rFonts w:ascii="Arial Narrow" w:hAnsi="Arial Narrow"/>
                <w:b/>
                <w:bCs/>
                <w:sz w:val="20"/>
                <w:szCs w:val="20"/>
              </w:rPr>
              <w:t>Seasonality (base case: seasonality applied)</w:t>
            </w:r>
          </w:p>
        </w:tc>
      </w:tr>
      <w:tr w:rsidR="006A1AFC" w:rsidRPr="00885AB3" w14:paraId="455BF572" w14:textId="77777777" w:rsidTr="0006117D">
        <w:trPr>
          <w:cantSplit/>
          <w:trHeight w:val="20"/>
        </w:trPr>
        <w:tc>
          <w:tcPr>
            <w:tcW w:w="233" w:type="pct"/>
          </w:tcPr>
          <w:p w14:paraId="14FA9EC1" w14:textId="77777777" w:rsidR="006A1AFC" w:rsidRPr="00885AB3" w:rsidRDefault="006A1AFC" w:rsidP="00120D61">
            <w:pPr>
              <w:pStyle w:val="PBACTabletext"/>
              <w:keepLines w:val="0"/>
              <w:spacing w:after="0"/>
              <w:jc w:val="center"/>
              <w:rPr>
                <w:rFonts w:ascii="Arial Narrow" w:hAnsi="Arial Narrow"/>
                <w:sz w:val="20"/>
                <w:szCs w:val="20"/>
              </w:rPr>
            </w:pPr>
            <w:r w:rsidRPr="00885AB3">
              <w:rPr>
                <w:rFonts w:ascii="Arial Narrow" w:hAnsi="Arial Narrow"/>
                <w:sz w:val="20"/>
                <w:szCs w:val="20"/>
              </w:rPr>
              <w:t>B</w:t>
            </w:r>
          </w:p>
        </w:tc>
        <w:tc>
          <w:tcPr>
            <w:tcW w:w="2431" w:type="pct"/>
            <w:tcMar>
              <w:left w:w="28" w:type="dxa"/>
              <w:right w:w="28" w:type="dxa"/>
            </w:tcMar>
            <w:vAlign w:val="center"/>
          </w:tcPr>
          <w:p w14:paraId="6DA9153F" w14:textId="77777777" w:rsidR="006A1AFC" w:rsidRPr="00885AB3" w:rsidRDefault="006A1AFC" w:rsidP="00120D61">
            <w:pPr>
              <w:pStyle w:val="PBACTabletext"/>
              <w:keepLines w:val="0"/>
              <w:spacing w:after="0"/>
              <w:rPr>
                <w:rFonts w:ascii="Arial Narrow" w:hAnsi="Arial Narrow"/>
                <w:sz w:val="20"/>
                <w:szCs w:val="20"/>
              </w:rPr>
            </w:pPr>
            <w:r w:rsidRPr="00885AB3">
              <w:rPr>
                <w:rFonts w:ascii="Arial Narrow" w:hAnsi="Arial Narrow"/>
                <w:sz w:val="20"/>
                <w:szCs w:val="20"/>
              </w:rPr>
              <w:t>Seasonality removed</w:t>
            </w:r>
          </w:p>
        </w:tc>
        <w:tc>
          <w:tcPr>
            <w:tcW w:w="761" w:type="pct"/>
            <w:tcMar>
              <w:left w:w="28" w:type="dxa"/>
              <w:right w:w="28" w:type="dxa"/>
            </w:tcMar>
            <w:vAlign w:val="center"/>
          </w:tcPr>
          <w:p w14:paraId="0AA10880" w14:textId="3B1F0F54" w:rsidR="006A1AFC" w:rsidRPr="00885AB3" w:rsidRDefault="006A1AFC" w:rsidP="00120D61">
            <w:pPr>
              <w:pStyle w:val="PBACTabletext"/>
              <w:keepLines w:val="0"/>
              <w:spacing w:after="0"/>
              <w:jc w:val="center"/>
              <w:rPr>
                <w:rFonts w:ascii="Arial Narrow" w:hAnsi="Arial Narrow" w:cs="Calibri"/>
                <w:sz w:val="20"/>
                <w:szCs w:val="20"/>
              </w:rPr>
            </w:pPr>
            <w:r w:rsidRPr="00885AB3">
              <w:rPr>
                <w:rFonts w:ascii="Arial Narrow" w:hAnsi="Arial Narrow" w:cs="Calibri"/>
                <w:color w:val="000000"/>
                <w:sz w:val="20"/>
                <w:szCs w:val="20"/>
              </w:rPr>
              <w:t>$</w:t>
            </w:r>
            <w:r w:rsidR="004B5AFE" w:rsidRPr="004B5AFE">
              <w:rPr>
                <w:rFonts w:ascii="Arial Narrow" w:hAnsi="Arial Narrow" w:cs="Calibri"/>
                <w:color w:val="000000"/>
                <w:sz w:val="20"/>
                <w:szCs w:val="20"/>
                <w:highlight w:val="black"/>
              </w:rPr>
              <w:t xml:space="preserve"> &amp;&amp;&amp;&amp;</w:t>
            </w:r>
          </w:p>
        </w:tc>
        <w:tc>
          <w:tcPr>
            <w:tcW w:w="578" w:type="pct"/>
            <w:tcMar>
              <w:left w:w="28" w:type="dxa"/>
              <w:right w:w="28" w:type="dxa"/>
            </w:tcMar>
            <w:vAlign w:val="center"/>
          </w:tcPr>
          <w:p w14:paraId="5ECFDEA8" w14:textId="77777777" w:rsidR="006A1AFC" w:rsidRPr="00885AB3" w:rsidRDefault="006A1AFC" w:rsidP="00120D61">
            <w:pPr>
              <w:pStyle w:val="PBACTabletext"/>
              <w:keepLines w:val="0"/>
              <w:spacing w:after="0"/>
              <w:jc w:val="center"/>
              <w:rPr>
                <w:rFonts w:ascii="Arial Narrow" w:hAnsi="Arial Narrow" w:cs="Calibri"/>
                <w:sz w:val="20"/>
                <w:szCs w:val="20"/>
              </w:rPr>
            </w:pPr>
            <w:r w:rsidRPr="00885AB3">
              <w:rPr>
                <w:rFonts w:ascii="Arial Narrow" w:hAnsi="Arial Narrow" w:cs="Calibri"/>
                <w:color w:val="000000"/>
                <w:sz w:val="20"/>
                <w:szCs w:val="20"/>
              </w:rPr>
              <w:t>318</w:t>
            </w:r>
          </w:p>
        </w:tc>
        <w:tc>
          <w:tcPr>
            <w:tcW w:w="522" w:type="pct"/>
            <w:tcMar>
              <w:left w:w="28" w:type="dxa"/>
              <w:right w:w="28" w:type="dxa"/>
            </w:tcMar>
            <w:vAlign w:val="center"/>
          </w:tcPr>
          <w:p w14:paraId="679DA9CC" w14:textId="46175897" w:rsidR="006A1AFC" w:rsidRPr="00855051" w:rsidRDefault="006A1AFC" w:rsidP="00120D61">
            <w:pPr>
              <w:pStyle w:val="PBACTabletext"/>
              <w:keepLines w:val="0"/>
              <w:spacing w:after="0"/>
              <w:jc w:val="center"/>
              <w:rPr>
                <w:rFonts w:ascii="Arial Narrow" w:hAnsi="Arial Narrow" w:cs="Calibri"/>
                <w:sz w:val="20"/>
                <w:szCs w:val="20"/>
                <w:vertAlign w:val="superscript"/>
              </w:rPr>
            </w:pPr>
            <w:r w:rsidRPr="00885AB3">
              <w:rPr>
                <w:rFonts w:ascii="Arial Narrow" w:hAnsi="Arial Narrow" w:cs="Calibri"/>
                <w:color w:val="000000"/>
                <w:sz w:val="20"/>
                <w:szCs w:val="20"/>
              </w:rPr>
              <w:t>$</w:t>
            </w:r>
            <w:r w:rsidR="004B5AFE" w:rsidRPr="004B5AFE">
              <w:rPr>
                <w:rFonts w:ascii="Arial Narrow" w:hAnsi="Arial Narrow" w:cs="Calibri"/>
                <w:color w:val="000000"/>
                <w:sz w:val="20"/>
                <w:szCs w:val="20"/>
                <w:highlight w:val="black"/>
              </w:rPr>
              <w:t xml:space="preserve"> &amp;&amp;&amp;&amp;</w:t>
            </w:r>
            <w:r w:rsidR="00855051">
              <w:rPr>
                <w:rFonts w:ascii="Arial Narrow" w:hAnsi="Arial Narrow" w:cs="Calibri"/>
                <w:color w:val="000000"/>
                <w:sz w:val="20"/>
                <w:szCs w:val="20"/>
                <w:vertAlign w:val="superscript"/>
              </w:rPr>
              <w:t>1</w:t>
            </w:r>
          </w:p>
        </w:tc>
        <w:tc>
          <w:tcPr>
            <w:tcW w:w="476" w:type="pct"/>
            <w:tcMar>
              <w:left w:w="28" w:type="dxa"/>
              <w:right w:w="28" w:type="dxa"/>
            </w:tcMar>
            <w:vAlign w:val="center"/>
          </w:tcPr>
          <w:p w14:paraId="2687DDFD" w14:textId="27F72264" w:rsidR="006A1AFC" w:rsidRPr="00885AB3" w:rsidRDefault="006A1AFC" w:rsidP="00120D61">
            <w:pPr>
              <w:pStyle w:val="PBACTabletext"/>
              <w:keepLines w:val="0"/>
              <w:spacing w:after="0"/>
              <w:jc w:val="center"/>
              <w:rPr>
                <w:rFonts w:ascii="Arial Narrow" w:hAnsi="Arial Narrow" w:cs="Calibri"/>
                <w:sz w:val="20"/>
                <w:szCs w:val="20"/>
              </w:rPr>
            </w:pPr>
            <w:r w:rsidRPr="00885AB3">
              <w:rPr>
                <w:rFonts w:ascii="Arial Narrow" w:hAnsi="Arial Narrow" w:cs="Calibri"/>
                <w:color w:val="000000"/>
                <w:sz w:val="20"/>
                <w:szCs w:val="20"/>
              </w:rPr>
              <w:t>+</w:t>
            </w:r>
            <w:r w:rsidR="004B5AFE" w:rsidRPr="004B5AFE">
              <w:rPr>
                <w:rFonts w:ascii="Arial Narrow" w:hAnsi="Arial Narrow" w:cs="Calibri"/>
                <w:color w:val="000000"/>
                <w:sz w:val="20"/>
                <w:szCs w:val="20"/>
                <w:highlight w:val="black"/>
              </w:rPr>
              <w:t xml:space="preserve"> &amp;&amp;&amp;&amp;</w:t>
            </w:r>
            <w:r w:rsidRPr="00885AB3">
              <w:rPr>
                <w:rFonts w:ascii="Arial Narrow" w:hAnsi="Arial Narrow" w:cs="Calibri"/>
                <w:color w:val="000000"/>
                <w:sz w:val="20"/>
                <w:szCs w:val="20"/>
              </w:rPr>
              <w:t>%</w:t>
            </w:r>
          </w:p>
        </w:tc>
      </w:tr>
      <w:tr w:rsidR="006A1AFC" w:rsidRPr="00885AB3" w14:paraId="1B7A0C71" w14:textId="77777777" w:rsidTr="0006117D">
        <w:trPr>
          <w:cantSplit/>
          <w:trHeight w:val="20"/>
        </w:trPr>
        <w:tc>
          <w:tcPr>
            <w:tcW w:w="233" w:type="pct"/>
          </w:tcPr>
          <w:p w14:paraId="73E3FBA4" w14:textId="77777777" w:rsidR="006A1AFC" w:rsidRPr="00885AB3" w:rsidRDefault="006A1AFC" w:rsidP="00120D61">
            <w:pPr>
              <w:pStyle w:val="PBACTabletext"/>
              <w:keepLines w:val="0"/>
              <w:spacing w:after="0"/>
              <w:jc w:val="center"/>
              <w:rPr>
                <w:rFonts w:ascii="Arial Narrow" w:hAnsi="Arial Narrow"/>
                <w:b/>
                <w:bCs/>
                <w:sz w:val="20"/>
                <w:szCs w:val="20"/>
              </w:rPr>
            </w:pPr>
          </w:p>
        </w:tc>
        <w:tc>
          <w:tcPr>
            <w:tcW w:w="4767" w:type="pct"/>
            <w:gridSpan w:val="5"/>
            <w:tcMar>
              <w:left w:w="28" w:type="dxa"/>
              <w:right w:w="28" w:type="dxa"/>
            </w:tcMar>
            <w:vAlign w:val="center"/>
          </w:tcPr>
          <w:p w14:paraId="0C39ABA2" w14:textId="6A82DDB5" w:rsidR="006A1AFC" w:rsidRPr="00885AB3" w:rsidRDefault="006A1AFC" w:rsidP="00120D61">
            <w:pPr>
              <w:pStyle w:val="PBACTabletext"/>
              <w:keepLines w:val="0"/>
              <w:spacing w:after="0"/>
              <w:rPr>
                <w:rFonts w:ascii="Arial Narrow" w:hAnsi="Arial Narrow" w:cs="Calibri"/>
                <w:b/>
                <w:bCs/>
                <w:sz w:val="20"/>
                <w:szCs w:val="20"/>
              </w:rPr>
            </w:pPr>
            <w:r w:rsidRPr="00885AB3">
              <w:rPr>
                <w:rFonts w:ascii="Arial Narrow" w:hAnsi="Arial Narrow"/>
                <w:b/>
                <w:bCs/>
                <w:sz w:val="20"/>
                <w:szCs w:val="20"/>
              </w:rPr>
              <w:t>Hospitalisation rate and calibration scenario (base case: hospitalisation rate: 0.00096 (60-64 YOA) 0.00188 (65-74 YOA), MA-RSV-ARD</w:t>
            </w:r>
            <w:r w:rsidR="00BA2B7F" w:rsidRPr="00885AB3">
              <w:rPr>
                <w:rFonts w:ascii="Arial Narrow" w:hAnsi="Arial Narrow"/>
                <w:b/>
                <w:bCs/>
                <w:sz w:val="20"/>
                <w:szCs w:val="20"/>
              </w:rPr>
              <w:t xml:space="preserve"> incidence</w:t>
            </w:r>
            <w:r w:rsidRPr="00885AB3">
              <w:rPr>
                <w:rFonts w:ascii="Arial Narrow" w:hAnsi="Arial Narrow"/>
                <w:b/>
                <w:bCs/>
                <w:sz w:val="20"/>
                <w:szCs w:val="20"/>
              </w:rPr>
              <w:t xml:space="preserve">: 12.4%, </w:t>
            </w:r>
            <w:r w:rsidR="006C2726" w:rsidRPr="00885AB3">
              <w:rPr>
                <w:rFonts w:ascii="Arial Narrow" w:hAnsi="Arial Narrow"/>
                <w:b/>
                <w:bCs/>
                <w:sz w:val="20"/>
                <w:szCs w:val="20"/>
              </w:rPr>
              <w:t>proportion of RSV that is</w:t>
            </w:r>
            <w:r w:rsidR="006C2726" w:rsidRPr="00885AB3">
              <w:rPr>
                <w:rFonts w:ascii="Arial Narrow" w:hAnsi="Arial Narrow"/>
                <w:sz w:val="20"/>
                <w:szCs w:val="20"/>
              </w:rPr>
              <w:t xml:space="preserve"> </w:t>
            </w:r>
            <w:r w:rsidRPr="00885AB3">
              <w:rPr>
                <w:rFonts w:ascii="Arial Narrow" w:hAnsi="Arial Narrow"/>
                <w:b/>
                <w:bCs/>
                <w:sz w:val="20"/>
                <w:szCs w:val="20"/>
              </w:rPr>
              <w:t>RSV-LRTD: 2.4% (60-64 YOA) 4.6% (65-74 YOA), RSV-LRTD hospitalisation proportion; 32.8%)</w:t>
            </w:r>
          </w:p>
        </w:tc>
      </w:tr>
      <w:tr w:rsidR="006A1AFC" w:rsidRPr="00885AB3" w14:paraId="30F3FFA0" w14:textId="77777777" w:rsidTr="0006117D">
        <w:trPr>
          <w:cantSplit/>
          <w:trHeight w:val="20"/>
        </w:trPr>
        <w:tc>
          <w:tcPr>
            <w:tcW w:w="233" w:type="pct"/>
          </w:tcPr>
          <w:p w14:paraId="343C136F" w14:textId="77777777" w:rsidR="006A1AFC" w:rsidRPr="00885AB3" w:rsidRDefault="006A1AFC" w:rsidP="00120D61">
            <w:pPr>
              <w:pStyle w:val="PBACTabletext"/>
              <w:keepLines w:val="0"/>
              <w:spacing w:after="0"/>
              <w:jc w:val="center"/>
              <w:rPr>
                <w:rFonts w:ascii="Arial Narrow" w:hAnsi="Arial Narrow"/>
                <w:sz w:val="20"/>
                <w:szCs w:val="20"/>
              </w:rPr>
            </w:pPr>
            <w:r w:rsidRPr="00885AB3">
              <w:rPr>
                <w:rFonts w:ascii="Arial Narrow" w:hAnsi="Arial Narrow"/>
                <w:sz w:val="20"/>
                <w:szCs w:val="20"/>
              </w:rPr>
              <w:t>C</w:t>
            </w:r>
          </w:p>
        </w:tc>
        <w:tc>
          <w:tcPr>
            <w:tcW w:w="2431" w:type="pct"/>
            <w:tcMar>
              <w:left w:w="28" w:type="dxa"/>
              <w:right w:w="28" w:type="dxa"/>
            </w:tcMar>
            <w:vAlign w:val="center"/>
          </w:tcPr>
          <w:p w14:paraId="7FC24EA1" w14:textId="1D68CECF" w:rsidR="006A1AFC" w:rsidRPr="00885AB3" w:rsidRDefault="006A1AFC" w:rsidP="00120D61">
            <w:pPr>
              <w:pStyle w:val="PBACTabletext"/>
              <w:keepLines w:val="0"/>
              <w:spacing w:after="0"/>
              <w:rPr>
                <w:rFonts w:ascii="Arial Narrow" w:hAnsi="Arial Narrow"/>
                <w:sz w:val="20"/>
                <w:szCs w:val="20"/>
              </w:rPr>
            </w:pPr>
            <w:r w:rsidRPr="00885AB3">
              <w:rPr>
                <w:rFonts w:ascii="Arial Narrow" w:hAnsi="Arial Narrow"/>
                <w:sz w:val="20"/>
                <w:szCs w:val="20"/>
              </w:rPr>
              <w:t xml:space="preserve">Hospitalisation rate: 0.00567 (para 7.18, </w:t>
            </w:r>
            <w:proofErr w:type="spellStart"/>
            <w:r w:rsidRPr="00885AB3">
              <w:rPr>
                <w:rFonts w:ascii="Arial Narrow" w:hAnsi="Arial Narrow"/>
                <w:sz w:val="20"/>
                <w:szCs w:val="20"/>
              </w:rPr>
              <w:t>RSVPreF</w:t>
            </w:r>
            <w:proofErr w:type="spellEnd"/>
            <w:r w:rsidRPr="00885AB3">
              <w:rPr>
                <w:rFonts w:ascii="Arial Narrow" w:hAnsi="Arial Narrow"/>
                <w:sz w:val="20"/>
                <w:szCs w:val="20"/>
              </w:rPr>
              <w:t xml:space="preserve"> PSD, November 2024),</w:t>
            </w:r>
          </w:p>
          <w:p w14:paraId="5C4F775D" w14:textId="0A814FB1" w:rsidR="006A1AFC" w:rsidRPr="00885AB3" w:rsidRDefault="006A1AFC" w:rsidP="00120D61">
            <w:pPr>
              <w:pStyle w:val="PBACTabletext"/>
              <w:keepLines w:val="0"/>
              <w:spacing w:after="0"/>
              <w:rPr>
                <w:rFonts w:ascii="Arial Narrow" w:hAnsi="Arial Narrow"/>
                <w:sz w:val="20"/>
                <w:szCs w:val="20"/>
              </w:rPr>
            </w:pPr>
            <w:r w:rsidRPr="00885AB3">
              <w:rPr>
                <w:rFonts w:ascii="Arial Narrow" w:hAnsi="Arial Narrow"/>
                <w:sz w:val="20"/>
                <w:szCs w:val="20"/>
              </w:rPr>
              <w:t>MA-RSV-ARD</w:t>
            </w:r>
            <w:r w:rsidR="006C2726" w:rsidRPr="00885AB3">
              <w:rPr>
                <w:rFonts w:ascii="Arial Narrow" w:hAnsi="Arial Narrow"/>
                <w:sz w:val="20"/>
                <w:szCs w:val="20"/>
              </w:rPr>
              <w:t xml:space="preserve"> incidence</w:t>
            </w:r>
            <w:r w:rsidRPr="00885AB3">
              <w:rPr>
                <w:rFonts w:ascii="Arial Narrow" w:hAnsi="Arial Narrow"/>
                <w:sz w:val="20"/>
                <w:szCs w:val="20"/>
              </w:rPr>
              <w:t xml:space="preserve">: 6.18% (Table 13, </w:t>
            </w:r>
            <w:proofErr w:type="spellStart"/>
            <w:r w:rsidRPr="00885AB3">
              <w:rPr>
                <w:rFonts w:ascii="Arial Narrow" w:hAnsi="Arial Narrow"/>
                <w:sz w:val="20"/>
                <w:szCs w:val="20"/>
              </w:rPr>
              <w:t>RSVPreF</w:t>
            </w:r>
            <w:proofErr w:type="spellEnd"/>
            <w:r w:rsidRPr="00885AB3">
              <w:rPr>
                <w:rFonts w:ascii="Arial Narrow" w:hAnsi="Arial Narrow"/>
                <w:sz w:val="20"/>
                <w:szCs w:val="20"/>
              </w:rPr>
              <w:t xml:space="preserve"> PSD, November 2024)</w:t>
            </w:r>
          </w:p>
          <w:p w14:paraId="6FA314CE" w14:textId="7A4A0C58" w:rsidR="006A1AFC" w:rsidRPr="00885AB3" w:rsidRDefault="006C2726" w:rsidP="00120D61">
            <w:pPr>
              <w:pStyle w:val="PBACTabletext"/>
              <w:keepLines w:val="0"/>
              <w:spacing w:after="0"/>
              <w:rPr>
                <w:rFonts w:ascii="Arial Narrow" w:hAnsi="Arial Narrow"/>
                <w:sz w:val="20"/>
                <w:szCs w:val="20"/>
              </w:rPr>
            </w:pPr>
            <w:r w:rsidRPr="00885AB3">
              <w:rPr>
                <w:rFonts w:ascii="Arial Narrow" w:hAnsi="Arial Narrow"/>
                <w:sz w:val="20"/>
                <w:szCs w:val="20"/>
              </w:rPr>
              <w:t xml:space="preserve">Proportion of RSV that is </w:t>
            </w:r>
            <w:r w:rsidR="006A1AFC" w:rsidRPr="00885AB3">
              <w:rPr>
                <w:rFonts w:ascii="Arial Narrow" w:hAnsi="Arial Narrow"/>
                <w:sz w:val="20"/>
                <w:szCs w:val="20"/>
              </w:rPr>
              <w:t>RSV-LRTD: 28% (back-calculate)</w:t>
            </w:r>
          </w:p>
          <w:p w14:paraId="5E6223DC" w14:textId="77777777" w:rsidR="006A1AFC" w:rsidRPr="00885AB3" w:rsidRDefault="006A1AFC" w:rsidP="00120D61">
            <w:pPr>
              <w:pStyle w:val="PBACTabletext"/>
              <w:keepLines w:val="0"/>
              <w:spacing w:after="0"/>
              <w:rPr>
                <w:rFonts w:ascii="Arial Narrow" w:hAnsi="Arial Narrow"/>
                <w:sz w:val="20"/>
                <w:szCs w:val="20"/>
              </w:rPr>
            </w:pPr>
            <w:r w:rsidRPr="00885AB3">
              <w:rPr>
                <w:rFonts w:ascii="Arial Narrow" w:hAnsi="Arial Narrow"/>
                <w:sz w:val="20"/>
                <w:szCs w:val="20"/>
              </w:rPr>
              <w:t>RSV-LRTD hospitalisation proportion; 32.8%</w:t>
            </w:r>
          </w:p>
        </w:tc>
        <w:tc>
          <w:tcPr>
            <w:tcW w:w="761" w:type="pct"/>
            <w:tcMar>
              <w:left w:w="28" w:type="dxa"/>
              <w:right w:w="28" w:type="dxa"/>
            </w:tcMar>
            <w:vAlign w:val="center"/>
          </w:tcPr>
          <w:p w14:paraId="7606A707" w14:textId="439CF267" w:rsidR="006A1AFC" w:rsidRPr="00885AB3" w:rsidRDefault="006A1AFC" w:rsidP="00120D61">
            <w:pPr>
              <w:pStyle w:val="PBACTabletext"/>
              <w:keepLines w:val="0"/>
              <w:spacing w:after="0"/>
              <w:jc w:val="center"/>
              <w:rPr>
                <w:rFonts w:ascii="Arial Narrow" w:hAnsi="Arial Narrow" w:cs="Calibri"/>
                <w:sz w:val="20"/>
                <w:szCs w:val="20"/>
              </w:rPr>
            </w:pPr>
            <w:r w:rsidRPr="00885AB3">
              <w:rPr>
                <w:rFonts w:ascii="Arial Narrow" w:hAnsi="Arial Narrow" w:cs="Calibri"/>
                <w:color w:val="000000"/>
                <w:sz w:val="20"/>
                <w:szCs w:val="20"/>
              </w:rPr>
              <w:t>$</w:t>
            </w:r>
            <w:r w:rsidR="004B5AFE" w:rsidRPr="004B5AFE">
              <w:rPr>
                <w:rFonts w:ascii="Arial Narrow" w:hAnsi="Arial Narrow" w:cs="Calibri"/>
                <w:color w:val="000000"/>
                <w:sz w:val="20"/>
                <w:szCs w:val="20"/>
                <w:highlight w:val="black"/>
              </w:rPr>
              <w:t xml:space="preserve"> &amp;&amp;&amp;&amp;</w:t>
            </w:r>
          </w:p>
        </w:tc>
        <w:tc>
          <w:tcPr>
            <w:tcW w:w="578" w:type="pct"/>
            <w:tcMar>
              <w:left w:w="28" w:type="dxa"/>
              <w:right w:w="28" w:type="dxa"/>
            </w:tcMar>
            <w:vAlign w:val="center"/>
          </w:tcPr>
          <w:p w14:paraId="7842BE43" w14:textId="77777777" w:rsidR="006A1AFC" w:rsidRPr="00885AB3" w:rsidRDefault="006A1AFC" w:rsidP="00120D61">
            <w:pPr>
              <w:pStyle w:val="PBACTabletext"/>
              <w:keepLines w:val="0"/>
              <w:spacing w:after="0"/>
              <w:jc w:val="center"/>
              <w:rPr>
                <w:rFonts w:ascii="Arial Narrow" w:hAnsi="Arial Narrow" w:cs="Calibri"/>
                <w:sz w:val="20"/>
                <w:szCs w:val="20"/>
              </w:rPr>
            </w:pPr>
            <w:r w:rsidRPr="00885AB3">
              <w:rPr>
                <w:rFonts w:ascii="Arial Narrow" w:hAnsi="Arial Narrow" w:cs="Calibri"/>
                <w:color w:val="000000"/>
                <w:sz w:val="20"/>
                <w:szCs w:val="20"/>
              </w:rPr>
              <w:t>626</w:t>
            </w:r>
          </w:p>
        </w:tc>
        <w:tc>
          <w:tcPr>
            <w:tcW w:w="522" w:type="pct"/>
            <w:tcMar>
              <w:left w:w="28" w:type="dxa"/>
              <w:right w:w="28" w:type="dxa"/>
            </w:tcMar>
            <w:vAlign w:val="center"/>
          </w:tcPr>
          <w:p w14:paraId="338A00F5" w14:textId="2C72E17E" w:rsidR="006A1AFC" w:rsidRPr="00FA2F68" w:rsidRDefault="006A1AFC" w:rsidP="00120D61">
            <w:pPr>
              <w:pStyle w:val="PBACTabletext"/>
              <w:keepLines w:val="0"/>
              <w:spacing w:after="0"/>
              <w:jc w:val="center"/>
              <w:rPr>
                <w:rFonts w:ascii="Arial Narrow" w:hAnsi="Arial Narrow" w:cs="Calibri"/>
                <w:sz w:val="20"/>
                <w:szCs w:val="20"/>
                <w:vertAlign w:val="superscript"/>
              </w:rPr>
            </w:pPr>
            <w:r w:rsidRPr="00885AB3">
              <w:rPr>
                <w:rFonts w:ascii="Arial Narrow" w:hAnsi="Arial Narrow" w:cs="Calibri"/>
                <w:color w:val="000000"/>
                <w:sz w:val="20"/>
                <w:szCs w:val="20"/>
              </w:rPr>
              <w:t>$</w:t>
            </w:r>
            <w:r w:rsidR="004B5AFE" w:rsidRPr="004B5AFE">
              <w:rPr>
                <w:rFonts w:ascii="Arial Narrow" w:hAnsi="Arial Narrow" w:cs="Calibri"/>
                <w:color w:val="000000"/>
                <w:sz w:val="20"/>
                <w:szCs w:val="20"/>
                <w:highlight w:val="black"/>
              </w:rPr>
              <w:t xml:space="preserve"> &amp;&amp;&amp;&amp;</w:t>
            </w:r>
            <w:r w:rsidR="00FA2F68">
              <w:rPr>
                <w:rFonts w:ascii="Arial Narrow" w:hAnsi="Arial Narrow" w:cs="Calibri"/>
                <w:color w:val="000000"/>
                <w:sz w:val="20"/>
                <w:szCs w:val="20"/>
                <w:vertAlign w:val="superscript"/>
              </w:rPr>
              <w:t>3</w:t>
            </w:r>
          </w:p>
        </w:tc>
        <w:tc>
          <w:tcPr>
            <w:tcW w:w="476" w:type="pct"/>
            <w:tcMar>
              <w:left w:w="28" w:type="dxa"/>
              <w:right w:w="28" w:type="dxa"/>
            </w:tcMar>
            <w:vAlign w:val="center"/>
          </w:tcPr>
          <w:p w14:paraId="50539124" w14:textId="3D759678" w:rsidR="006A1AFC" w:rsidRPr="00885AB3" w:rsidRDefault="006A1AFC" w:rsidP="00120D61">
            <w:pPr>
              <w:pStyle w:val="PBACTabletext"/>
              <w:keepLines w:val="0"/>
              <w:spacing w:after="0"/>
              <w:jc w:val="center"/>
              <w:rPr>
                <w:rFonts w:ascii="Arial Narrow" w:hAnsi="Arial Narrow" w:cs="Calibri"/>
                <w:sz w:val="20"/>
                <w:szCs w:val="20"/>
              </w:rPr>
            </w:pPr>
            <w:r w:rsidRPr="00885AB3">
              <w:rPr>
                <w:rFonts w:ascii="Arial Narrow" w:hAnsi="Arial Narrow" w:cs="Calibri"/>
                <w:color w:val="000000"/>
                <w:sz w:val="20"/>
                <w:szCs w:val="20"/>
              </w:rPr>
              <w:t>-</w:t>
            </w:r>
            <w:r w:rsidR="004B5AFE" w:rsidRPr="004B5AFE">
              <w:rPr>
                <w:rFonts w:ascii="Arial Narrow" w:hAnsi="Arial Narrow" w:cs="Calibri"/>
                <w:color w:val="000000"/>
                <w:sz w:val="20"/>
                <w:szCs w:val="20"/>
                <w:highlight w:val="black"/>
              </w:rPr>
              <w:t xml:space="preserve"> &amp;&amp;&amp;&amp;</w:t>
            </w:r>
            <w:r w:rsidRPr="00885AB3">
              <w:rPr>
                <w:rFonts w:ascii="Arial Narrow" w:hAnsi="Arial Narrow" w:cs="Calibri"/>
                <w:color w:val="000000"/>
                <w:sz w:val="20"/>
                <w:szCs w:val="20"/>
              </w:rPr>
              <w:t>%</w:t>
            </w:r>
          </w:p>
        </w:tc>
      </w:tr>
      <w:tr w:rsidR="006A1AFC" w:rsidRPr="00885AB3" w14:paraId="3557D485" w14:textId="77777777" w:rsidTr="0006117D">
        <w:trPr>
          <w:cantSplit/>
          <w:trHeight w:val="20"/>
        </w:trPr>
        <w:tc>
          <w:tcPr>
            <w:tcW w:w="233" w:type="pct"/>
          </w:tcPr>
          <w:p w14:paraId="1BA26608" w14:textId="77777777" w:rsidR="006A1AFC" w:rsidRPr="00885AB3" w:rsidRDefault="006A1AFC" w:rsidP="00120D61">
            <w:pPr>
              <w:pStyle w:val="PBACTabletext"/>
              <w:jc w:val="center"/>
              <w:rPr>
                <w:rFonts w:ascii="Arial Narrow" w:hAnsi="Arial Narrow"/>
                <w:b/>
                <w:bCs/>
                <w:sz w:val="20"/>
                <w:szCs w:val="20"/>
              </w:rPr>
            </w:pPr>
          </w:p>
        </w:tc>
        <w:tc>
          <w:tcPr>
            <w:tcW w:w="4767" w:type="pct"/>
            <w:gridSpan w:val="5"/>
            <w:tcMar>
              <w:left w:w="28" w:type="dxa"/>
              <w:right w:w="28" w:type="dxa"/>
            </w:tcMar>
            <w:vAlign w:val="center"/>
          </w:tcPr>
          <w:p w14:paraId="403110A1" w14:textId="2373E743" w:rsidR="006A1AFC" w:rsidRPr="00885AB3" w:rsidRDefault="006A1AFC" w:rsidP="00120D61">
            <w:pPr>
              <w:pStyle w:val="PBACTabletext"/>
              <w:rPr>
                <w:rFonts w:ascii="Arial Narrow" w:hAnsi="Arial Narrow"/>
                <w:b/>
                <w:bCs/>
                <w:sz w:val="20"/>
                <w:szCs w:val="20"/>
              </w:rPr>
            </w:pPr>
            <w:r w:rsidRPr="00885AB3">
              <w:rPr>
                <w:rFonts w:ascii="Arial Narrow" w:hAnsi="Arial Narrow"/>
                <w:b/>
                <w:bCs/>
                <w:sz w:val="20"/>
                <w:szCs w:val="20"/>
              </w:rPr>
              <w:t xml:space="preserve">RSV-related death probability (base case: 10.3% </w:t>
            </w:r>
            <w:r w:rsidR="00192FA4" w:rsidRPr="00885AB3">
              <w:rPr>
                <w:rFonts w:ascii="Arial Narrow" w:hAnsi="Arial Narrow"/>
                <w:b/>
                <w:bCs/>
                <w:sz w:val="20"/>
                <w:szCs w:val="20"/>
              </w:rPr>
              <w:t>for</w:t>
            </w:r>
            <w:r w:rsidRPr="00885AB3">
              <w:rPr>
                <w:rFonts w:ascii="Arial Narrow" w:hAnsi="Arial Narrow"/>
                <w:b/>
                <w:bCs/>
                <w:sz w:val="20"/>
                <w:szCs w:val="20"/>
              </w:rPr>
              <w:t xml:space="preserve">75-84 YOA, 14.9% </w:t>
            </w:r>
            <w:r w:rsidR="00192FA4" w:rsidRPr="00885AB3">
              <w:rPr>
                <w:rFonts w:ascii="Arial Narrow" w:hAnsi="Arial Narrow"/>
                <w:b/>
                <w:bCs/>
                <w:sz w:val="20"/>
                <w:szCs w:val="20"/>
              </w:rPr>
              <w:t xml:space="preserve">for </w:t>
            </w:r>
            <w:r w:rsidR="00EF2FA4">
              <w:rPr>
                <w:rFonts w:ascii="Arial Narrow" w:hAnsi="Arial Narrow"/>
                <w:b/>
                <w:bCs/>
                <w:sz w:val="20"/>
                <w:szCs w:val="20"/>
              </w:rPr>
              <w:t xml:space="preserve">≥ </w:t>
            </w:r>
            <w:r w:rsidRPr="00885AB3">
              <w:rPr>
                <w:rFonts w:ascii="Arial Narrow" w:hAnsi="Arial Narrow"/>
                <w:b/>
                <w:bCs/>
                <w:sz w:val="20"/>
                <w:szCs w:val="20"/>
              </w:rPr>
              <w:t>85 YOA)</w:t>
            </w:r>
          </w:p>
        </w:tc>
      </w:tr>
      <w:tr w:rsidR="006A1AFC" w:rsidRPr="00885AB3" w14:paraId="4FE78FD6" w14:textId="77777777" w:rsidTr="0006117D">
        <w:trPr>
          <w:cantSplit/>
          <w:trHeight w:val="20"/>
        </w:trPr>
        <w:tc>
          <w:tcPr>
            <w:tcW w:w="233" w:type="pct"/>
          </w:tcPr>
          <w:p w14:paraId="0580B89A" w14:textId="77777777" w:rsidR="006A1AFC" w:rsidRPr="00885AB3" w:rsidRDefault="006A1AFC" w:rsidP="00120D61">
            <w:pPr>
              <w:pStyle w:val="PBACTabletext"/>
              <w:keepLines w:val="0"/>
              <w:spacing w:after="0"/>
              <w:jc w:val="center"/>
              <w:rPr>
                <w:rFonts w:ascii="Arial Narrow" w:hAnsi="Arial Narrow"/>
                <w:sz w:val="20"/>
                <w:szCs w:val="20"/>
              </w:rPr>
            </w:pPr>
            <w:r w:rsidRPr="00885AB3">
              <w:rPr>
                <w:rFonts w:ascii="Arial Narrow" w:hAnsi="Arial Narrow"/>
                <w:sz w:val="20"/>
                <w:szCs w:val="20"/>
              </w:rPr>
              <w:t>D</w:t>
            </w:r>
          </w:p>
        </w:tc>
        <w:tc>
          <w:tcPr>
            <w:tcW w:w="2431" w:type="pct"/>
            <w:tcMar>
              <w:left w:w="28" w:type="dxa"/>
              <w:right w:w="28" w:type="dxa"/>
            </w:tcMar>
            <w:vAlign w:val="center"/>
          </w:tcPr>
          <w:p w14:paraId="3636ADF5" w14:textId="7B2D80D7" w:rsidR="006A1AFC" w:rsidRPr="00885AB3" w:rsidRDefault="006A1AFC" w:rsidP="00120D61">
            <w:pPr>
              <w:pStyle w:val="PBACTabletext"/>
              <w:keepLines w:val="0"/>
              <w:spacing w:after="0"/>
              <w:rPr>
                <w:rFonts w:ascii="Arial Narrow" w:hAnsi="Arial Narrow"/>
                <w:sz w:val="20"/>
                <w:szCs w:val="20"/>
              </w:rPr>
            </w:pPr>
            <w:r w:rsidRPr="00885AB3">
              <w:rPr>
                <w:rFonts w:ascii="Arial Narrow" w:hAnsi="Arial Narrow"/>
                <w:sz w:val="20"/>
                <w:szCs w:val="20"/>
              </w:rPr>
              <w:t xml:space="preserve">4.22% (para 7.16, </w:t>
            </w:r>
            <w:proofErr w:type="spellStart"/>
            <w:r w:rsidRPr="00885AB3">
              <w:rPr>
                <w:rFonts w:ascii="Arial Narrow" w:hAnsi="Arial Narrow"/>
                <w:sz w:val="20"/>
                <w:szCs w:val="20"/>
              </w:rPr>
              <w:t>RSVPreF</w:t>
            </w:r>
            <w:proofErr w:type="spellEnd"/>
            <w:r w:rsidRPr="00885AB3">
              <w:rPr>
                <w:rFonts w:ascii="Arial Narrow" w:hAnsi="Arial Narrow"/>
                <w:sz w:val="20"/>
                <w:szCs w:val="20"/>
              </w:rPr>
              <w:t xml:space="preserve"> PSD, November 2024).</w:t>
            </w:r>
          </w:p>
        </w:tc>
        <w:tc>
          <w:tcPr>
            <w:tcW w:w="761" w:type="pct"/>
            <w:tcMar>
              <w:left w:w="28" w:type="dxa"/>
              <w:right w:w="28" w:type="dxa"/>
            </w:tcMar>
            <w:vAlign w:val="center"/>
          </w:tcPr>
          <w:p w14:paraId="6ABC6AD1" w14:textId="060AC376" w:rsidR="006A1AFC" w:rsidRPr="00885AB3" w:rsidRDefault="006A1AFC" w:rsidP="00120D61">
            <w:pPr>
              <w:pStyle w:val="PBACTabletext"/>
              <w:keepLines w:val="0"/>
              <w:spacing w:after="0"/>
              <w:jc w:val="center"/>
              <w:rPr>
                <w:rFonts w:ascii="Arial Narrow" w:hAnsi="Arial Narrow" w:cs="Calibri"/>
                <w:color w:val="000000"/>
                <w:sz w:val="20"/>
                <w:szCs w:val="20"/>
              </w:rPr>
            </w:pPr>
            <w:r w:rsidRPr="00885AB3">
              <w:rPr>
                <w:rFonts w:ascii="Arial Narrow" w:hAnsi="Arial Narrow" w:cs="Calibri"/>
                <w:color w:val="000000"/>
                <w:sz w:val="20"/>
                <w:szCs w:val="20"/>
              </w:rPr>
              <w:t>$</w:t>
            </w:r>
            <w:r w:rsidR="004B5AFE" w:rsidRPr="004B5AFE">
              <w:rPr>
                <w:rFonts w:ascii="Arial Narrow" w:hAnsi="Arial Narrow" w:cs="Calibri"/>
                <w:color w:val="000000"/>
                <w:sz w:val="20"/>
                <w:szCs w:val="20"/>
                <w:highlight w:val="black"/>
              </w:rPr>
              <w:t xml:space="preserve"> &amp;&amp;&amp;&amp;</w:t>
            </w:r>
          </w:p>
        </w:tc>
        <w:tc>
          <w:tcPr>
            <w:tcW w:w="578" w:type="pct"/>
            <w:tcMar>
              <w:left w:w="28" w:type="dxa"/>
              <w:right w:w="28" w:type="dxa"/>
            </w:tcMar>
            <w:vAlign w:val="center"/>
          </w:tcPr>
          <w:p w14:paraId="595AB375" w14:textId="77777777" w:rsidR="006A1AFC" w:rsidRPr="00885AB3" w:rsidRDefault="006A1AFC" w:rsidP="00120D61">
            <w:pPr>
              <w:pStyle w:val="PBACTabletext"/>
              <w:keepLines w:val="0"/>
              <w:spacing w:after="0"/>
              <w:jc w:val="center"/>
              <w:rPr>
                <w:rFonts w:ascii="Arial Narrow" w:hAnsi="Arial Narrow" w:cs="Calibri"/>
                <w:color w:val="000000"/>
                <w:sz w:val="20"/>
                <w:szCs w:val="20"/>
              </w:rPr>
            </w:pPr>
            <w:r w:rsidRPr="00885AB3">
              <w:rPr>
                <w:rFonts w:ascii="Arial Narrow" w:hAnsi="Arial Narrow" w:cs="Calibri"/>
                <w:color w:val="000000"/>
                <w:sz w:val="20"/>
                <w:szCs w:val="20"/>
              </w:rPr>
              <w:t>270</w:t>
            </w:r>
          </w:p>
        </w:tc>
        <w:tc>
          <w:tcPr>
            <w:tcW w:w="522" w:type="pct"/>
            <w:tcMar>
              <w:left w:w="28" w:type="dxa"/>
              <w:right w:w="28" w:type="dxa"/>
            </w:tcMar>
            <w:vAlign w:val="center"/>
          </w:tcPr>
          <w:p w14:paraId="07A3800D" w14:textId="279D99AC" w:rsidR="006A1AFC" w:rsidRPr="0083039F" w:rsidRDefault="006A1AFC" w:rsidP="00120D61">
            <w:pPr>
              <w:pStyle w:val="PBACTabletext"/>
              <w:keepLines w:val="0"/>
              <w:spacing w:after="0"/>
              <w:jc w:val="center"/>
              <w:rPr>
                <w:rFonts w:ascii="Arial Narrow" w:hAnsi="Arial Narrow" w:cs="Calibri"/>
                <w:color w:val="000000"/>
                <w:sz w:val="20"/>
                <w:szCs w:val="20"/>
                <w:vertAlign w:val="superscript"/>
              </w:rPr>
            </w:pPr>
            <w:r w:rsidRPr="00885AB3">
              <w:rPr>
                <w:rFonts w:ascii="Arial Narrow" w:hAnsi="Arial Narrow" w:cs="Calibri"/>
                <w:color w:val="000000"/>
                <w:sz w:val="20"/>
                <w:szCs w:val="20"/>
              </w:rPr>
              <w:t>$</w:t>
            </w:r>
            <w:r w:rsidR="004B5AFE" w:rsidRPr="004B5AFE">
              <w:rPr>
                <w:rFonts w:ascii="Arial Narrow" w:hAnsi="Arial Narrow" w:cs="Calibri"/>
                <w:color w:val="000000"/>
                <w:sz w:val="20"/>
                <w:szCs w:val="20"/>
                <w:highlight w:val="black"/>
              </w:rPr>
              <w:t xml:space="preserve"> &amp;&amp;&amp;&amp;</w:t>
            </w:r>
            <w:r w:rsidR="0083039F">
              <w:rPr>
                <w:rFonts w:ascii="Arial Narrow" w:hAnsi="Arial Narrow" w:cs="Calibri"/>
                <w:color w:val="000000"/>
                <w:sz w:val="20"/>
                <w:szCs w:val="20"/>
                <w:vertAlign w:val="superscript"/>
              </w:rPr>
              <w:t>4</w:t>
            </w:r>
          </w:p>
        </w:tc>
        <w:tc>
          <w:tcPr>
            <w:tcW w:w="476" w:type="pct"/>
            <w:tcMar>
              <w:left w:w="28" w:type="dxa"/>
              <w:right w:w="28" w:type="dxa"/>
            </w:tcMar>
            <w:vAlign w:val="center"/>
          </w:tcPr>
          <w:p w14:paraId="26741F75" w14:textId="4F2647BD" w:rsidR="006A1AFC" w:rsidRPr="00885AB3" w:rsidRDefault="006A1AFC" w:rsidP="00120D61">
            <w:pPr>
              <w:pStyle w:val="PBACTabletext"/>
              <w:keepLines w:val="0"/>
              <w:spacing w:after="0"/>
              <w:jc w:val="center"/>
              <w:rPr>
                <w:rFonts w:ascii="Arial Narrow" w:hAnsi="Arial Narrow" w:cs="Calibri"/>
                <w:color w:val="000000"/>
                <w:sz w:val="20"/>
                <w:szCs w:val="20"/>
              </w:rPr>
            </w:pPr>
            <w:r w:rsidRPr="00885AB3">
              <w:rPr>
                <w:rFonts w:ascii="Arial Narrow" w:hAnsi="Arial Narrow" w:cs="Calibri"/>
                <w:color w:val="000000"/>
                <w:sz w:val="20"/>
                <w:szCs w:val="20"/>
              </w:rPr>
              <w:t>+</w:t>
            </w:r>
            <w:r w:rsidR="004B5AFE" w:rsidRPr="004B5AFE">
              <w:rPr>
                <w:rFonts w:ascii="Arial Narrow" w:hAnsi="Arial Narrow" w:cs="Calibri"/>
                <w:color w:val="000000"/>
                <w:sz w:val="20"/>
                <w:szCs w:val="20"/>
                <w:highlight w:val="black"/>
              </w:rPr>
              <w:t xml:space="preserve"> &amp;&amp;&amp;&amp;</w:t>
            </w:r>
            <w:r w:rsidRPr="00885AB3">
              <w:rPr>
                <w:rFonts w:ascii="Arial Narrow" w:hAnsi="Arial Narrow" w:cs="Calibri"/>
                <w:color w:val="000000"/>
                <w:sz w:val="20"/>
                <w:szCs w:val="20"/>
              </w:rPr>
              <w:t>%</w:t>
            </w:r>
          </w:p>
        </w:tc>
      </w:tr>
      <w:tr w:rsidR="006A1AFC" w:rsidRPr="00885AB3" w14:paraId="3BA78FC1" w14:textId="77777777" w:rsidTr="0006117D">
        <w:trPr>
          <w:cantSplit/>
          <w:trHeight w:val="20"/>
        </w:trPr>
        <w:tc>
          <w:tcPr>
            <w:tcW w:w="233" w:type="pct"/>
          </w:tcPr>
          <w:p w14:paraId="0185F7C3" w14:textId="77777777" w:rsidR="006A1AFC" w:rsidRPr="00885AB3" w:rsidRDefault="006A1AFC" w:rsidP="00120D61">
            <w:pPr>
              <w:pStyle w:val="PBACTabletext"/>
              <w:keepLines w:val="0"/>
              <w:spacing w:after="0"/>
              <w:jc w:val="center"/>
              <w:rPr>
                <w:rFonts w:ascii="Arial Narrow" w:hAnsi="Arial Narrow"/>
                <w:sz w:val="20"/>
                <w:szCs w:val="20"/>
              </w:rPr>
            </w:pPr>
          </w:p>
        </w:tc>
        <w:tc>
          <w:tcPr>
            <w:tcW w:w="2431" w:type="pct"/>
            <w:tcMar>
              <w:left w:w="28" w:type="dxa"/>
              <w:right w:w="28" w:type="dxa"/>
            </w:tcMar>
            <w:vAlign w:val="center"/>
          </w:tcPr>
          <w:p w14:paraId="0B7EA05A" w14:textId="77777777" w:rsidR="006A1AFC" w:rsidRPr="00885AB3" w:rsidRDefault="006A1AFC" w:rsidP="00120D61">
            <w:pPr>
              <w:pStyle w:val="PBACTabletext"/>
              <w:keepLines w:val="0"/>
              <w:spacing w:after="0"/>
              <w:rPr>
                <w:rFonts w:ascii="Arial Narrow" w:hAnsi="Arial Narrow"/>
                <w:sz w:val="20"/>
                <w:szCs w:val="20"/>
              </w:rPr>
            </w:pPr>
            <w:r w:rsidRPr="00885AB3">
              <w:rPr>
                <w:rFonts w:ascii="Arial Narrow" w:hAnsi="Arial Narrow"/>
                <w:sz w:val="20"/>
                <w:szCs w:val="20"/>
              </w:rPr>
              <w:t>8.00% (ATAGI’s advised upper bound for a sensitivity analysis)</w:t>
            </w:r>
          </w:p>
        </w:tc>
        <w:tc>
          <w:tcPr>
            <w:tcW w:w="761" w:type="pct"/>
            <w:tcMar>
              <w:left w:w="28" w:type="dxa"/>
              <w:right w:w="28" w:type="dxa"/>
            </w:tcMar>
            <w:vAlign w:val="center"/>
          </w:tcPr>
          <w:p w14:paraId="13DA4C21" w14:textId="767D3683" w:rsidR="006A1AFC" w:rsidRPr="00885AB3" w:rsidRDefault="006A1AFC" w:rsidP="00120D61">
            <w:pPr>
              <w:pStyle w:val="PBACTabletext"/>
              <w:keepLines w:val="0"/>
              <w:spacing w:after="0"/>
              <w:jc w:val="center"/>
              <w:rPr>
                <w:rFonts w:ascii="Arial Narrow" w:hAnsi="Arial Narrow" w:cs="Calibri"/>
                <w:color w:val="000000"/>
                <w:sz w:val="20"/>
                <w:szCs w:val="20"/>
              </w:rPr>
            </w:pPr>
            <w:r w:rsidRPr="00885AB3">
              <w:rPr>
                <w:rFonts w:ascii="Arial Narrow" w:hAnsi="Arial Narrow" w:cs="Calibri"/>
                <w:color w:val="000000"/>
                <w:sz w:val="20"/>
                <w:szCs w:val="20"/>
              </w:rPr>
              <w:t>$</w:t>
            </w:r>
            <w:r w:rsidR="004B5AFE" w:rsidRPr="004B5AFE">
              <w:rPr>
                <w:rFonts w:ascii="Arial Narrow" w:hAnsi="Arial Narrow" w:cs="Calibri"/>
                <w:color w:val="000000"/>
                <w:sz w:val="20"/>
                <w:szCs w:val="20"/>
                <w:highlight w:val="black"/>
              </w:rPr>
              <w:t xml:space="preserve"> &amp;&amp;&amp;&amp;</w:t>
            </w:r>
          </w:p>
        </w:tc>
        <w:tc>
          <w:tcPr>
            <w:tcW w:w="578" w:type="pct"/>
            <w:tcMar>
              <w:left w:w="28" w:type="dxa"/>
              <w:right w:w="28" w:type="dxa"/>
            </w:tcMar>
            <w:vAlign w:val="center"/>
          </w:tcPr>
          <w:p w14:paraId="38A74C24" w14:textId="77777777" w:rsidR="006A1AFC" w:rsidRPr="00885AB3" w:rsidRDefault="006A1AFC" w:rsidP="00120D61">
            <w:pPr>
              <w:pStyle w:val="PBACTabletext"/>
              <w:keepLines w:val="0"/>
              <w:spacing w:after="0"/>
              <w:jc w:val="center"/>
              <w:rPr>
                <w:rFonts w:ascii="Arial Narrow" w:hAnsi="Arial Narrow" w:cs="Calibri"/>
                <w:color w:val="000000"/>
                <w:sz w:val="20"/>
                <w:szCs w:val="20"/>
              </w:rPr>
            </w:pPr>
            <w:r w:rsidRPr="00885AB3">
              <w:rPr>
                <w:rFonts w:ascii="Arial Narrow" w:hAnsi="Arial Narrow" w:cs="Calibri"/>
                <w:color w:val="000000"/>
                <w:sz w:val="20"/>
                <w:szCs w:val="20"/>
              </w:rPr>
              <w:t>336</w:t>
            </w:r>
          </w:p>
        </w:tc>
        <w:tc>
          <w:tcPr>
            <w:tcW w:w="522" w:type="pct"/>
            <w:tcMar>
              <w:left w:w="28" w:type="dxa"/>
              <w:right w:w="28" w:type="dxa"/>
            </w:tcMar>
            <w:vAlign w:val="center"/>
          </w:tcPr>
          <w:p w14:paraId="0520E17A" w14:textId="11CB587A" w:rsidR="006A1AFC" w:rsidRPr="00855051" w:rsidRDefault="006A1AFC" w:rsidP="00120D61">
            <w:pPr>
              <w:pStyle w:val="PBACTabletext"/>
              <w:keepLines w:val="0"/>
              <w:spacing w:after="0"/>
              <w:jc w:val="center"/>
              <w:rPr>
                <w:rFonts w:ascii="Arial Narrow" w:hAnsi="Arial Narrow" w:cs="Calibri"/>
                <w:color w:val="000000"/>
                <w:sz w:val="20"/>
                <w:szCs w:val="20"/>
                <w:vertAlign w:val="superscript"/>
              </w:rPr>
            </w:pPr>
            <w:r w:rsidRPr="00885AB3">
              <w:rPr>
                <w:rFonts w:ascii="Arial Narrow" w:hAnsi="Arial Narrow" w:cs="Calibri"/>
                <w:color w:val="000000"/>
                <w:sz w:val="20"/>
                <w:szCs w:val="20"/>
              </w:rPr>
              <w:t>$</w:t>
            </w:r>
            <w:r w:rsidR="004B5AFE" w:rsidRPr="004B5AFE">
              <w:rPr>
                <w:rFonts w:ascii="Arial Narrow" w:hAnsi="Arial Narrow" w:cs="Calibri"/>
                <w:color w:val="000000"/>
                <w:sz w:val="20"/>
                <w:szCs w:val="20"/>
                <w:highlight w:val="black"/>
              </w:rPr>
              <w:t xml:space="preserve"> &amp;&amp;&amp;&amp;</w:t>
            </w:r>
            <w:r w:rsidR="00855051">
              <w:rPr>
                <w:rFonts w:ascii="Arial Narrow" w:hAnsi="Arial Narrow" w:cs="Calibri"/>
                <w:color w:val="000000"/>
                <w:sz w:val="20"/>
                <w:szCs w:val="20"/>
                <w:vertAlign w:val="superscript"/>
              </w:rPr>
              <w:t>1</w:t>
            </w:r>
          </w:p>
        </w:tc>
        <w:tc>
          <w:tcPr>
            <w:tcW w:w="476" w:type="pct"/>
            <w:tcMar>
              <w:left w:w="28" w:type="dxa"/>
              <w:right w:w="28" w:type="dxa"/>
            </w:tcMar>
            <w:vAlign w:val="center"/>
          </w:tcPr>
          <w:p w14:paraId="5976BFC3" w14:textId="523CE907" w:rsidR="006A1AFC" w:rsidRPr="00885AB3" w:rsidRDefault="006A1AFC" w:rsidP="00120D61">
            <w:pPr>
              <w:pStyle w:val="PBACTabletext"/>
              <w:keepLines w:val="0"/>
              <w:spacing w:after="0"/>
              <w:jc w:val="center"/>
              <w:rPr>
                <w:rFonts w:ascii="Arial Narrow" w:hAnsi="Arial Narrow" w:cs="Calibri"/>
                <w:color w:val="000000"/>
                <w:sz w:val="20"/>
                <w:szCs w:val="20"/>
              </w:rPr>
            </w:pPr>
            <w:r w:rsidRPr="00885AB3">
              <w:rPr>
                <w:rFonts w:ascii="Arial Narrow" w:hAnsi="Arial Narrow" w:cs="Calibri"/>
                <w:color w:val="000000"/>
                <w:sz w:val="20"/>
                <w:szCs w:val="20"/>
              </w:rPr>
              <w:t>-</w:t>
            </w:r>
            <w:r w:rsidR="004B5AFE" w:rsidRPr="004B5AFE">
              <w:rPr>
                <w:rFonts w:ascii="Arial Narrow" w:hAnsi="Arial Narrow" w:cs="Calibri"/>
                <w:color w:val="000000"/>
                <w:sz w:val="20"/>
                <w:szCs w:val="20"/>
                <w:highlight w:val="black"/>
              </w:rPr>
              <w:t xml:space="preserve"> &amp;&amp;&amp;&amp;</w:t>
            </w:r>
            <w:r w:rsidRPr="00885AB3">
              <w:rPr>
                <w:rFonts w:ascii="Arial Narrow" w:hAnsi="Arial Narrow" w:cs="Calibri"/>
                <w:color w:val="000000"/>
                <w:sz w:val="20"/>
                <w:szCs w:val="20"/>
              </w:rPr>
              <w:t>%</w:t>
            </w:r>
          </w:p>
        </w:tc>
      </w:tr>
      <w:tr w:rsidR="006A1AFC" w:rsidRPr="00885AB3" w14:paraId="76897E8F" w14:textId="77777777" w:rsidTr="0006117D">
        <w:trPr>
          <w:cantSplit/>
          <w:trHeight w:val="20"/>
        </w:trPr>
        <w:tc>
          <w:tcPr>
            <w:tcW w:w="233" w:type="pct"/>
          </w:tcPr>
          <w:p w14:paraId="2642B8E1" w14:textId="77777777" w:rsidR="006A1AFC" w:rsidRPr="00885AB3" w:rsidRDefault="006A1AFC" w:rsidP="00120D61">
            <w:pPr>
              <w:pStyle w:val="PBACTabletext"/>
              <w:keepLines w:val="0"/>
              <w:spacing w:after="0"/>
              <w:jc w:val="center"/>
              <w:rPr>
                <w:rFonts w:ascii="Arial Narrow" w:hAnsi="Arial Narrow"/>
                <w:b/>
                <w:bCs/>
                <w:sz w:val="20"/>
                <w:szCs w:val="20"/>
              </w:rPr>
            </w:pPr>
          </w:p>
        </w:tc>
        <w:tc>
          <w:tcPr>
            <w:tcW w:w="4767" w:type="pct"/>
            <w:gridSpan w:val="5"/>
            <w:tcMar>
              <w:left w:w="28" w:type="dxa"/>
              <w:right w:w="28" w:type="dxa"/>
            </w:tcMar>
            <w:vAlign w:val="center"/>
          </w:tcPr>
          <w:p w14:paraId="68BB5A71" w14:textId="77777777" w:rsidR="006A1AFC" w:rsidRPr="00885AB3" w:rsidRDefault="006A1AFC" w:rsidP="00120D61">
            <w:pPr>
              <w:pStyle w:val="PBACTabletext"/>
              <w:keepLines w:val="0"/>
              <w:spacing w:after="0"/>
              <w:rPr>
                <w:rFonts w:ascii="Arial Narrow" w:hAnsi="Arial Narrow" w:cs="Calibri"/>
                <w:b/>
                <w:bCs/>
                <w:sz w:val="20"/>
                <w:szCs w:val="20"/>
              </w:rPr>
            </w:pPr>
            <w:r w:rsidRPr="00885AB3">
              <w:rPr>
                <w:rFonts w:ascii="Arial Narrow" w:hAnsi="Arial Narrow"/>
                <w:b/>
                <w:bCs/>
                <w:sz w:val="20"/>
                <w:szCs w:val="20"/>
              </w:rPr>
              <w:t>Hospitalisation cost (base case: $15,686 per case with comorbidity prevalence adjustment and 100% ED)</w:t>
            </w:r>
          </w:p>
        </w:tc>
      </w:tr>
      <w:tr w:rsidR="006A1AFC" w:rsidRPr="00885AB3" w14:paraId="1C89FA40" w14:textId="77777777" w:rsidTr="0006117D">
        <w:trPr>
          <w:cantSplit/>
          <w:trHeight w:val="20"/>
        </w:trPr>
        <w:tc>
          <w:tcPr>
            <w:tcW w:w="233" w:type="pct"/>
          </w:tcPr>
          <w:p w14:paraId="13C9282B" w14:textId="77777777" w:rsidR="006A1AFC" w:rsidRPr="00885AB3" w:rsidRDefault="006A1AFC" w:rsidP="00120D61">
            <w:pPr>
              <w:pStyle w:val="PBACTabletext"/>
              <w:keepLines w:val="0"/>
              <w:spacing w:after="0"/>
              <w:jc w:val="center"/>
              <w:rPr>
                <w:rFonts w:ascii="Arial Narrow" w:hAnsi="Arial Narrow"/>
                <w:sz w:val="20"/>
                <w:szCs w:val="20"/>
              </w:rPr>
            </w:pPr>
            <w:r w:rsidRPr="00885AB3">
              <w:rPr>
                <w:rFonts w:ascii="Arial Narrow" w:hAnsi="Arial Narrow"/>
                <w:sz w:val="20"/>
                <w:szCs w:val="20"/>
              </w:rPr>
              <w:t>E</w:t>
            </w:r>
          </w:p>
        </w:tc>
        <w:tc>
          <w:tcPr>
            <w:tcW w:w="2431" w:type="pct"/>
            <w:tcMar>
              <w:left w:w="28" w:type="dxa"/>
              <w:right w:w="28" w:type="dxa"/>
            </w:tcMar>
            <w:vAlign w:val="center"/>
          </w:tcPr>
          <w:p w14:paraId="2716A29C" w14:textId="77777777" w:rsidR="006A1AFC" w:rsidRPr="00885AB3" w:rsidRDefault="006A1AFC" w:rsidP="00120D61">
            <w:pPr>
              <w:pStyle w:val="PBACTabletext"/>
              <w:keepLines w:val="0"/>
              <w:spacing w:after="0"/>
              <w:rPr>
                <w:rFonts w:ascii="Arial Narrow" w:hAnsi="Arial Narrow"/>
                <w:sz w:val="20"/>
                <w:szCs w:val="20"/>
              </w:rPr>
            </w:pPr>
            <w:r w:rsidRPr="00885AB3">
              <w:rPr>
                <w:rFonts w:ascii="Arial Narrow" w:hAnsi="Arial Narrow"/>
                <w:sz w:val="20"/>
                <w:szCs w:val="20"/>
              </w:rPr>
              <w:t>$9,983 (without comorbidity prevalence adjustment and 0% ED)</w:t>
            </w:r>
          </w:p>
        </w:tc>
        <w:tc>
          <w:tcPr>
            <w:tcW w:w="761" w:type="pct"/>
            <w:tcMar>
              <w:left w:w="28" w:type="dxa"/>
              <w:right w:w="28" w:type="dxa"/>
            </w:tcMar>
            <w:vAlign w:val="bottom"/>
          </w:tcPr>
          <w:p w14:paraId="2A68FBDC" w14:textId="5FDC2381" w:rsidR="006A1AFC" w:rsidRPr="00885AB3" w:rsidRDefault="006A1AFC" w:rsidP="00120D61">
            <w:pPr>
              <w:pStyle w:val="PBACTabletext"/>
              <w:keepLines w:val="0"/>
              <w:spacing w:after="0"/>
              <w:jc w:val="center"/>
              <w:rPr>
                <w:rFonts w:ascii="Arial Narrow" w:hAnsi="Arial Narrow" w:cs="Calibri"/>
                <w:color w:val="000000"/>
                <w:sz w:val="20"/>
                <w:szCs w:val="20"/>
              </w:rPr>
            </w:pPr>
            <w:r w:rsidRPr="00885AB3">
              <w:rPr>
                <w:rFonts w:ascii="Arial Narrow" w:hAnsi="Arial Narrow" w:cs="Calibri"/>
                <w:color w:val="000000"/>
                <w:sz w:val="20"/>
                <w:szCs w:val="20"/>
              </w:rPr>
              <w:t>$</w:t>
            </w:r>
            <w:r w:rsidR="004B5AFE" w:rsidRPr="004B5AFE">
              <w:rPr>
                <w:rFonts w:ascii="Arial Narrow" w:hAnsi="Arial Narrow" w:cs="Calibri"/>
                <w:color w:val="000000"/>
                <w:sz w:val="20"/>
                <w:szCs w:val="20"/>
                <w:highlight w:val="black"/>
              </w:rPr>
              <w:t xml:space="preserve"> &amp;&amp;&amp;&amp;</w:t>
            </w:r>
          </w:p>
        </w:tc>
        <w:tc>
          <w:tcPr>
            <w:tcW w:w="578" w:type="pct"/>
            <w:tcMar>
              <w:left w:w="28" w:type="dxa"/>
              <w:right w:w="28" w:type="dxa"/>
            </w:tcMar>
            <w:vAlign w:val="bottom"/>
          </w:tcPr>
          <w:p w14:paraId="189301D0" w14:textId="77777777" w:rsidR="006A1AFC" w:rsidRPr="00885AB3" w:rsidRDefault="006A1AFC" w:rsidP="00120D61">
            <w:pPr>
              <w:pStyle w:val="PBACTabletext"/>
              <w:keepLines w:val="0"/>
              <w:spacing w:after="0"/>
              <w:jc w:val="center"/>
              <w:rPr>
                <w:rFonts w:ascii="Arial Narrow" w:hAnsi="Arial Narrow" w:cs="Calibri"/>
                <w:color w:val="000000"/>
                <w:sz w:val="20"/>
                <w:szCs w:val="20"/>
              </w:rPr>
            </w:pPr>
            <w:r w:rsidRPr="00885AB3">
              <w:rPr>
                <w:rFonts w:ascii="Arial Narrow" w:hAnsi="Arial Narrow" w:cs="Calibri"/>
                <w:color w:val="000000"/>
                <w:sz w:val="20"/>
                <w:szCs w:val="20"/>
              </w:rPr>
              <w:t>331</w:t>
            </w:r>
          </w:p>
        </w:tc>
        <w:tc>
          <w:tcPr>
            <w:tcW w:w="522" w:type="pct"/>
            <w:tcMar>
              <w:left w:w="28" w:type="dxa"/>
              <w:right w:w="28" w:type="dxa"/>
            </w:tcMar>
            <w:vAlign w:val="bottom"/>
          </w:tcPr>
          <w:p w14:paraId="5AB948B3" w14:textId="273AAF72" w:rsidR="006A1AFC" w:rsidRPr="00855051" w:rsidRDefault="006A1AFC" w:rsidP="00120D61">
            <w:pPr>
              <w:pStyle w:val="PBACTabletext"/>
              <w:keepLines w:val="0"/>
              <w:spacing w:after="0"/>
              <w:jc w:val="center"/>
              <w:rPr>
                <w:rFonts w:ascii="Arial Narrow" w:hAnsi="Arial Narrow" w:cs="Calibri"/>
                <w:color w:val="000000"/>
                <w:sz w:val="20"/>
                <w:szCs w:val="20"/>
                <w:vertAlign w:val="superscript"/>
              </w:rPr>
            </w:pPr>
            <w:r w:rsidRPr="00885AB3">
              <w:rPr>
                <w:rFonts w:ascii="Arial Narrow" w:hAnsi="Arial Narrow" w:cs="Calibri"/>
                <w:color w:val="000000"/>
                <w:sz w:val="20"/>
                <w:szCs w:val="20"/>
              </w:rPr>
              <w:t>$</w:t>
            </w:r>
            <w:r w:rsidR="004B5AFE" w:rsidRPr="004B5AFE">
              <w:rPr>
                <w:rFonts w:ascii="Arial Narrow" w:hAnsi="Arial Narrow" w:cs="Calibri"/>
                <w:color w:val="000000"/>
                <w:sz w:val="20"/>
                <w:szCs w:val="20"/>
                <w:highlight w:val="black"/>
              </w:rPr>
              <w:t xml:space="preserve"> &amp;&amp;&amp;&amp;</w:t>
            </w:r>
            <w:r w:rsidR="00855051">
              <w:rPr>
                <w:rFonts w:ascii="Arial Narrow" w:hAnsi="Arial Narrow" w:cs="Calibri"/>
                <w:color w:val="000000"/>
                <w:sz w:val="20"/>
                <w:szCs w:val="20"/>
                <w:vertAlign w:val="superscript"/>
              </w:rPr>
              <w:t>1</w:t>
            </w:r>
          </w:p>
        </w:tc>
        <w:tc>
          <w:tcPr>
            <w:tcW w:w="476" w:type="pct"/>
            <w:tcMar>
              <w:left w:w="28" w:type="dxa"/>
              <w:right w:w="28" w:type="dxa"/>
            </w:tcMar>
            <w:vAlign w:val="bottom"/>
          </w:tcPr>
          <w:p w14:paraId="1126E774" w14:textId="174C6E13" w:rsidR="006A1AFC" w:rsidRPr="00885AB3" w:rsidRDefault="006A1AFC" w:rsidP="00120D61">
            <w:pPr>
              <w:pStyle w:val="PBACTabletext"/>
              <w:keepLines w:val="0"/>
              <w:spacing w:after="0"/>
              <w:jc w:val="center"/>
              <w:rPr>
                <w:rFonts w:ascii="Arial Narrow" w:hAnsi="Arial Narrow" w:cs="Calibri"/>
                <w:color w:val="000000"/>
                <w:sz w:val="20"/>
                <w:szCs w:val="20"/>
              </w:rPr>
            </w:pPr>
            <w:r w:rsidRPr="00885AB3">
              <w:rPr>
                <w:rFonts w:ascii="Arial Narrow" w:hAnsi="Arial Narrow" w:cs="Calibri"/>
                <w:color w:val="000000"/>
                <w:sz w:val="20"/>
                <w:szCs w:val="20"/>
              </w:rPr>
              <w:t>+</w:t>
            </w:r>
            <w:r w:rsidR="004B5AFE" w:rsidRPr="004B5AFE">
              <w:rPr>
                <w:rFonts w:ascii="Arial Narrow" w:hAnsi="Arial Narrow" w:cs="Calibri"/>
                <w:color w:val="000000"/>
                <w:sz w:val="20"/>
                <w:szCs w:val="20"/>
                <w:highlight w:val="black"/>
              </w:rPr>
              <w:t xml:space="preserve"> &amp;&amp;&amp;&amp;</w:t>
            </w:r>
            <w:r w:rsidRPr="00885AB3">
              <w:rPr>
                <w:rFonts w:ascii="Arial Narrow" w:hAnsi="Arial Narrow" w:cs="Calibri"/>
                <w:color w:val="000000"/>
                <w:sz w:val="20"/>
                <w:szCs w:val="20"/>
              </w:rPr>
              <w:t>%</w:t>
            </w:r>
          </w:p>
        </w:tc>
      </w:tr>
      <w:tr w:rsidR="006A1AFC" w:rsidRPr="00885AB3" w14:paraId="073E0D74" w14:textId="77777777" w:rsidTr="0006117D">
        <w:trPr>
          <w:cantSplit/>
          <w:trHeight w:val="20"/>
        </w:trPr>
        <w:tc>
          <w:tcPr>
            <w:tcW w:w="233" w:type="pct"/>
          </w:tcPr>
          <w:p w14:paraId="74522A0F" w14:textId="77777777" w:rsidR="006A1AFC" w:rsidRPr="00885AB3" w:rsidRDefault="006A1AFC" w:rsidP="00120D61">
            <w:pPr>
              <w:pStyle w:val="PBACTabletext"/>
              <w:keepLines w:val="0"/>
              <w:spacing w:after="0"/>
              <w:jc w:val="center"/>
              <w:rPr>
                <w:rFonts w:ascii="Arial Narrow" w:hAnsi="Arial Narrow"/>
                <w:b/>
                <w:bCs/>
                <w:sz w:val="20"/>
                <w:szCs w:val="20"/>
              </w:rPr>
            </w:pPr>
          </w:p>
        </w:tc>
        <w:tc>
          <w:tcPr>
            <w:tcW w:w="4767" w:type="pct"/>
            <w:gridSpan w:val="5"/>
            <w:tcMar>
              <w:left w:w="28" w:type="dxa"/>
              <w:right w:w="28" w:type="dxa"/>
            </w:tcMar>
            <w:vAlign w:val="center"/>
          </w:tcPr>
          <w:p w14:paraId="0F24863A" w14:textId="77777777" w:rsidR="006A1AFC" w:rsidRPr="00885AB3" w:rsidRDefault="006A1AFC" w:rsidP="00120D61">
            <w:pPr>
              <w:pStyle w:val="PBACTabletext"/>
              <w:keepLines w:val="0"/>
              <w:spacing w:after="0"/>
              <w:rPr>
                <w:rFonts w:ascii="Arial Narrow" w:hAnsi="Arial Narrow" w:cs="Calibri"/>
                <w:b/>
                <w:bCs/>
                <w:sz w:val="20"/>
                <w:szCs w:val="20"/>
              </w:rPr>
            </w:pPr>
            <w:r w:rsidRPr="00885AB3">
              <w:rPr>
                <w:rFonts w:ascii="Arial Narrow" w:hAnsi="Arial Narrow"/>
                <w:b/>
                <w:bCs/>
                <w:sz w:val="20"/>
                <w:szCs w:val="20"/>
              </w:rPr>
              <w:t>Vaccine administration cost (base case: $17.57)</w:t>
            </w:r>
          </w:p>
        </w:tc>
      </w:tr>
      <w:tr w:rsidR="006A1AFC" w:rsidRPr="00885AB3" w14:paraId="623AAF5C" w14:textId="77777777" w:rsidTr="0006117D">
        <w:trPr>
          <w:cantSplit/>
          <w:trHeight w:val="20"/>
        </w:trPr>
        <w:tc>
          <w:tcPr>
            <w:tcW w:w="233" w:type="pct"/>
          </w:tcPr>
          <w:p w14:paraId="7296DF53" w14:textId="77777777" w:rsidR="006A1AFC" w:rsidRPr="00885AB3" w:rsidRDefault="006A1AFC" w:rsidP="00120D61">
            <w:pPr>
              <w:pStyle w:val="PBACTabletext"/>
              <w:keepLines w:val="0"/>
              <w:spacing w:after="0"/>
              <w:jc w:val="center"/>
              <w:rPr>
                <w:rFonts w:ascii="Arial Narrow" w:hAnsi="Arial Narrow"/>
                <w:sz w:val="20"/>
                <w:szCs w:val="20"/>
              </w:rPr>
            </w:pPr>
            <w:r w:rsidRPr="00885AB3">
              <w:rPr>
                <w:rFonts w:ascii="Arial Narrow" w:hAnsi="Arial Narrow"/>
                <w:sz w:val="20"/>
                <w:szCs w:val="20"/>
              </w:rPr>
              <w:t>F</w:t>
            </w:r>
          </w:p>
        </w:tc>
        <w:tc>
          <w:tcPr>
            <w:tcW w:w="2431" w:type="pct"/>
            <w:tcMar>
              <w:left w:w="28" w:type="dxa"/>
              <w:right w:w="28" w:type="dxa"/>
            </w:tcMar>
            <w:vAlign w:val="center"/>
          </w:tcPr>
          <w:p w14:paraId="2102583C" w14:textId="255A5AB4" w:rsidR="006A1AFC" w:rsidRPr="00885AB3" w:rsidRDefault="006A1AFC" w:rsidP="00120D61">
            <w:pPr>
              <w:pStyle w:val="PBACTabletext"/>
              <w:keepLines w:val="0"/>
              <w:spacing w:after="0"/>
              <w:rPr>
                <w:rFonts w:ascii="Arial Narrow" w:hAnsi="Arial Narrow"/>
                <w:sz w:val="20"/>
                <w:szCs w:val="20"/>
              </w:rPr>
            </w:pPr>
            <w:r w:rsidRPr="00885AB3">
              <w:rPr>
                <w:rFonts w:ascii="Arial Narrow" w:hAnsi="Arial Narrow"/>
                <w:sz w:val="20"/>
                <w:szCs w:val="20"/>
              </w:rPr>
              <w:t>$7.00 (</w:t>
            </w:r>
            <w:r w:rsidR="000A56E9" w:rsidRPr="00885AB3">
              <w:rPr>
                <w:rFonts w:ascii="Arial Narrow" w:hAnsi="Arial Narrow"/>
                <w:sz w:val="20"/>
                <w:szCs w:val="20"/>
              </w:rPr>
              <w:t>para 6.40</w:t>
            </w:r>
            <w:r w:rsidRPr="00885AB3">
              <w:rPr>
                <w:rFonts w:ascii="Arial Narrow" w:hAnsi="Arial Narrow"/>
                <w:sz w:val="20"/>
                <w:szCs w:val="20"/>
              </w:rPr>
              <w:t xml:space="preserve">, </w:t>
            </w:r>
            <w:proofErr w:type="spellStart"/>
            <w:r w:rsidRPr="00885AB3">
              <w:rPr>
                <w:rFonts w:ascii="Arial Narrow" w:hAnsi="Arial Narrow"/>
                <w:sz w:val="20"/>
                <w:szCs w:val="20"/>
              </w:rPr>
              <w:t>RSVPreF</w:t>
            </w:r>
            <w:proofErr w:type="spellEnd"/>
            <w:r w:rsidRPr="00885AB3">
              <w:rPr>
                <w:rFonts w:ascii="Arial Narrow" w:hAnsi="Arial Narrow"/>
                <w:sz w:val="20"/>
                <w:szCs w:val="20"/>
              </w:rPr>
              <w:t xml:space="preserve"> PSD, November 2024)</w:t>
            </w:r>
          </w:p>
        </w:tc>
        <w:tc>
          <w:tcPr>
            <w:tcW w:w="761" w:type="pct"/>
            <w:tcMar>
              <w:left w:w="28" w:type="dxa"/>
              <w:right w:w="28" w:type="dxa"/>
            </w:tcMar>
            <w:vAlign w:val="center"/>
          </w:tcPr>
          <w:p w14:paraId="71FFAA9E" w14:textId="088AF75F" w:rsidR="006A1AFC" w:rsidRPr="00885AB3" w:rsidRDefault="006A1AFC" w:rsidP="00120D61">
            <w:pPr>
              <w:pStyle w:val="PBACTabletext"/>
              <w:keepLines w:val="0"/>
              <w:spacing w:after="0"/>
              <w:jc w:val="center"/>
              <w:rPr>
                <w:rFonts w:ascii="Arial Narrow" w:hAnsi="Arial Narrow" w:cs="Calibri"/>
                <w:sz w:val="20"/>
                <w:szCs w:val="20"/>
              </w:rPr>
            </w:pPr>
            <w:r w:rsidRPr="00885AB3">
              <w:rPr>
                <w:rFonts w:ascii="Arial Narrow" w:hAnsi="Arial Narrow" w:cs="Calibri"/>
                <w:color w:val="000000"/>
                <w:sz w:val="20"/>
                <w:szCs w:val="20"/>
              </w:rPr>
              <w:t>$</w:t>
            </w:r>
            <w:r w:rsidR="004B5AFE" w:rsidRPr="004B5AFE">
              <w:rPr>
                <w:rFonts w:ascii="Arial Narrow" w:hAnsi="Arial Narrow" w:cs="Calibri"/>
                <w:color w:val="000000"/>
                <w:sz w:val="20"/>
                <w:szCs w:val="20"/>
                <w:highlight w:val="black"/>
              </w:rPr>
              <w:t xml:space="preserve"> &amp;&amp;&amp;&amp;</w:t>
            </w:r>
          </w:p>
        </w:tc>
        <w:tc>
          <w:tcPr>
            <w:tcW w:w="578" w:type="pct"/>
            <w:tcMar>
              <w:left w:w="28" w:type="dxa"/>
              <w:right w:w="28" w:type="dxa"/>
            </w:tcMar>
            <w:vAlign w:val="center"/>
          </w:tcPr>
          <w:p w14:paraId="784171C5" w14:textId="77777777" w:rsidR="006A1AFC" w:rsidRPr="00885AB3" w:rsidRDefault="006A1AFC" w:rsidP="00120D61">
            <w:pPr>
              <w:pStyle w:val="PBACTabletext"/>
              <w:keepLines w:val="0"/>
              <w:spacing w:after="0"/>
              <w:jc w:val="center"/>
              <w:rPr>
                <w:rFonts w:ascii="Arial Narrow" w:hAnsi="Arial Narrow" w:cs="Calibri"/>
                <w:sz w:val="20"/>
                <w:szCs w:val="20"/>
              </w:rPr>
            </w:pPr>
            <w:r w:rsidRPr="00885AB3">
              <w:rPr>
                <w:rFonts w:ascii="Arial Narrow" w:hAnsi="Arial Narrow" w:cs="Calibri"/>
                <w:color w:val="000000"/>
                <w:sz w:val="20"/>
                <w:szCs w:val="20"/>
              </w:rPr>
              <w:t>331</w:t>
            </w:r>
          </w:p>
        </w:tc>
        <w:tc>
          <w:tcPr>
            <w:tcW w:w="522" w:type="pct"/>
            <w:tcMar>
              <w:left w:w="28" w:type="dxa"/>
              <w:right w:w="28" w:type="dxa"/>
            </w:tcMar>
            <w:vAlign w:val="center"/>
          </w:tcPr>
          <w:p w14:paraId="01B694DF" w14:textId="0A179BA5" w:rsidR="006A1AFC" w:rsidRPr="00855051" w:rsidRDefault="006A1AFC" w:rsidP="00120D61">
            <w:pPr>
              <w:pStyle w:val="PBACTabletext"/>
              <w:keepLines w:val="0"/>
              <w:spacing w:after="0"/>
              <w:jc w:val="center"/>
              <w:rPr>
                <w:rFonts w:ascii="Arial Narrow" w:hAnsi="Arial Narrow" w:cs="Calibri"/>
                <w:sz w:val="20"/>
                <w:szCs w:val="20"/>
                <w:vertAlign w:val="superscript"/>
              </w:rPr>
            </w:pPr>
            <w:r w:rsidRPr="00885AB3">
              <w:rPr>
                <w:rFonts w:ascii="Arial Narrow" w:hAnsi="Arial Narrow" w:cs="Calibri"/>
                <w:color w:val="000000"/>
                <w:sz w:val="20"/>
                <w:szCs w:val="20"/>
              </w:rPr>
              <w:t>$</w:t>
            </w:r>
            <w:r w:rsidR="004B5AFE" w:rsidRPr="004B5AFE">
              <w:rPr>
                <w:rFonts w:ascii="Arial Narrow" w:hAnsi="Arial Narrow" w:cs="Calibri"/>
                <w:color w:val="000000"/>
                <w:sz w:val="20"/>
                <w:szCs w:val="20"/>
                <w:highlight w:val="black"/>
              </w:rPr>
              <w:t xml:space="preserve"> &amp;&amp;&amp;&amp;</w:t>
            </w:r>
            <w:r w:rsidR="00855051">
              <w:rPr>
                <w:rFonts w:ascii="Arial Narrow" w:hAnsi="Arial Narrow" w:cs="Calibri"/>
                <w:color w:val="000000"/>
                <w:sz w:val="20"/>
                <w:szCs w:val="20"/>
                <w:vertAlign w:val="superscript"/>
              </w:rPr>
              <w:t>1</w:t>
            </w:r>
          </w:p>
        </w:tc>
        <w:tc>
          <w:tcPr>
            <w:tcW w:w="476" w:type="pct"/>
            <w:tcMar>
              <w:left w:w="28" w:type="dxa"/>
              <w:right w:w="28" w:type="dxa"/>
            </w:tcMar>
            <w:vAlign w:val="center"/>
          </w:tcPr>
          <w:p w14:paraId="5479DDB1" w14:textId="0705ED96" w:rsidR="006A1AFC" w:rsidRPr="00885AB3" w:rsidRDefault="006A1AFC" w:rsidP="00120D61">
            <w:pPr>
              <w:pStyle w:val="PBACTabletext"/>
              <w:keepLines w:val="0"/>
              <w:spacing w:after="0"/>
              <w:jc w:val="center"/>
              <w:rPr>
                <w:rFonts w:ascii="Arial Narrow" w:hAnsi="Arial Narrow" w:cs="Calibri"/>
                <w:sz w:val="20"/>
                <w:szCs w:val="20"/>
              </w:rPr>
            </w:pPr>
            <w:r w:rsidRPr="00885AB3">
              <w:rPr>
                <w:rFonts w:ascii="Arial Narrow" w:hAnsi="Arial Narrow" w:cs="Calibri"/>
                <w:color w:val="000000"/>
                <w:sz w:val="20"/>
                <w:szCs w:val="20"/>
              </w:rPr>
              <w:t>-</w:t>
            </w:r>
            <w:r w:rsidR="004B5AFE" w:rsidRPr="004B5AFE">
              <w:rPr>
                <w:rFonts w:ascii="Arial Narrow" w:hAnsi="Arial Narrow" w:cs="Calibri"/>
                <w:color w:val="000000"/>
                <w:sz w:val="20"/>
                <w:szCs w:val="20"/>
                <w:highlight w:val="black"/>
              </w:rPr>
              <w:t xml:space="preserve"> &amp;&amp;&amp;&amp;</w:t>
            </w:r>
            <w:r w:rsidRPr="00885AB3">
              <w:rPr>
                <w:rFonts w:ascii="Arial Narrow" w:hAnsi="Arial Narrow" w:cs="Calibri"/>
                <w:color w:val="000000"/>
                <w:sz w:val="20"/>
                <w:szCs w:val="20"/>
              </w:rPr>
              <w:t>%</w:t>
            </w:r>
          </w:p>
        </w:tc>
      </w:tr>
      <w:tr w:rsidR="006A1AFC" w:rsidRPr="00885AB3" w14:paraId="306C3A38" w14:textId="77777777" w:rsidTr="0006117D">
        <w:trPr>
          <w:cantSplit/>
          <w:trHeight w:val="20"/>
        </w:trPr>
        <w:tc>
          <w:tcPr>
            <w:tcW w:w="233" w:type="pct"/>
          </w:tcPr>
          <w:p w14:paraId="00664806" w14:textId="77777777" w:rsidR="006A1AFC" w:rsidRPr="00885AB3" w:rsidRDefault="006A1AFC" w:rsidP="00120D61">
            <w:pPr>
              <w:pStyle w:val="PBACTabletext"/>
              <w:keepLines w:val="0"/>
              <w:spacing w:after="0"/>
              <w:jc w:val="center"/>
              <w:rPr>
                <w:rFonts w:ascii="Arial Narrow" w:hAnsi="Arial Narrow"/>
                <w:sz w:val="20"/>
                <w:szCs w:val="20"/>
              </w:rPr>
            </w:pPr>
          </w:p>
        </w:tc>
        <w:tc>
          <w:tcPr>
            <w:tcW w:w="2431" w:type="pct"/>
            <w:tcMar>
              <w:left w:w="28" w:type="dxa"/>
              <w:right w:w="28" w:type="dxa"/>
            </w:tcMar>
            <w:vAlign w:val="center"/>
          </w:tcPr>
          <w:p w14:paraId="6EE5BB5C" w14:textId="77777777" w:rsidR="006A1AFC" w:rsidRPr="00885AB3" w:rsidRDefault="006A1AFC" w:rsidP="00120D61">
            <w:pPr>
              <w:pStyle w:val="PBACTabletext"/>
              <w:keepLines w:val="0"/>
              <w:spacing w:after="0"/>
              <w:rPr>
                <w:rFonts w:ascii="Arial Narrow" w:hAnsi="Arial Narrow"/>
                <w:b/>
                <w:bCs/>
                <w:sz w:val="20"/>
                <w:szCs w:val="20"/>
              </w:rPr>
            </w:pPr>
            <w:r w:rsidRPr="00885AB3">
              <w:rPr>
                <w:rFonts w:ascii="Arial Narrow" w:hAnsi="Arial Narrow"/>
                <w:b/>
                <w:bCs/>
                <w:sz w:val="20"/>
                <w:szCs w:val="20"/>
              </w:rPr>
              <w:t>Disutility (base case; 0.0185 for outpatients)</w:t>
            </w:r>
          </w:p>
        </w:tc>
        <w:tc>
          <w:tcPr>
            <w:tcW w:w="761" w:type="pct"/>
            <w:tcMar>
              <w:left w:w="28" w:type="dxa"/>
              <w:right w:w="28" w:type="dxa"/>
            </w:tcMar>
            <w:vAlign w:val="center"/>
          </w:tcPr>
          <w:p w14:paraId="7E51A690" w14:textId="77777777" w:rsidR="006A1AFC" w:rsidRPr="00885AB3" w:rsidRDefault="006A1AFC" w:rsidP="00120D61">
            <w:pPr>
              <w:pStyle w:val="PBACTabletext"/>
              <w:keepLines w:val="0"/>
              <w:spacing w:after="0"/>
              <w:jc w:val="center"/>
              <w:rPr>
                <w:rFonts w:ascii="Arial Narrow" w:hAnsi="Arial Narrow" w:cs="Calibri"/>
                <w:color w:val="000000"/>
                <w:sz w:val="20"/>
                <w:szCs w:val="20"/>
              </w:rPr>
            </w:pPr>
          </w:p>
        </w:tc>
        <w:tc>
          <w:tcPr>
            <w:tcW w:w="578" w:type="pct"/>
            <w:tcMar>
              <w:left w:w="28" w:type="dxa"/>
              <w:right w:w="28" w:type="dxa"/>
            </w:tcMar>
            <w:vAlign w:val="center"/>
          </w:tcPr>
          <w:p w14:paraId="1D6FF15A" w14:textId="77777777" w:rsidR="006A1AFC" w:rsidRPr="00885AB3" w:rsidRDefault="006A1AFC" w:rsidP="00120D61">
            <w:pPr>
              <w:pStyle w:val="PBACTabletext"/>
              <w:keepLines w:val="0"/>
              <w:spacing w:after="0"/>
              <w:jc w:val="center"/>
              <w:rPr>
                <w:rFonts w:ascii="Arial Narrow" w:hAnsi="Arial Narrow" w:cs="Calibri"/>
                <w:color w:val="000000"/>
                <w:sz w:val="20"/>
                <w:szCs w:val="20"/>
              </w:rPr>
            </w:pPr>
          </w:p>
        </w:tc>
        <w:tc>
          <w:tcPr>
            <w:tcW w:w="522" w:type="pct"/>
            <w:tcMar>
              <w:left w:w="28" w:type="dxa"/>
              <w:right w:w="28" w:type="dxa"/>
            </w:tcMar>
            <w:vAlign w:val="center"/>
          </w:tcPr>
          <w:p w14:paraId="6A8ADA17" w14:textId="77777777" w:rsidR="006A1AFC" w:rsidRPr="00885AB3" w:rsidRDefault="006A1AFC" w:rsidP="00120D61">
            <w:pPr>
              <w:pStyle w:val="PBACTabletext"/>
              <w:keepLines w:val="0"/>
              <w:spacing w:after="0"/>
              <w:jc w:val="center"/>
              <w:rPr>
                <w:rFonts w:ascii="Arial Narrow" w:hAnsi="Arial Narrow" w:cs="Calibri"/>
                <w:color w:val="000000"/>
                <w:sz w:val="20"/>
                <w:szCs w:val="20"/>
              </w:rPr>
            </w:pPr>
          </w:p>
        </w:tc>
        <w:tc>
          <w:tcPr>
            <w:tcW w:w="476" w:type="pct"/>
            <w:tcMar>
              <w:left w:w="28" w:type="dxa"/>
              <w:right w:w="28" w:type="dxa"/>
            </w:tcMar>
            <w:vAlign w:val="center"/>
          </w:tcPr>
          <w:p w14:paraId="6BDDA0BC" w14:textId="77777777" w:rsidR="006A1AFC" w:rsidRPr="00885AB3" w:rsidRDefault="006A1AFC" w:rsidP="00120D61">
            <w:pPr>
              <w:pStyle w:val="PBACTabletext"/>
              <w:keepLines w:val="0"/>
              <w:spacing w:after="0"/>
              <w:jc w:val="center"/>
              <w:rPr>
                <w:rFonts w:ascii="Arial Narrow" w:hAnsi="Arial Narrow" w:cs="Calibri"/>
                <w:color w:val="000000"/>
                <w:sz w:val="20"/>
                <w:szCs w:val="20"/>
              </w:rPr>
            </w:pPr>
          </w:p>
        </w:tc>
      </w:tr>
      <w:tr w:rsidR="006A1AFC" w:rsidRPr="00885AB3" w14:paraId="6E91E2D2" w14:textId="77777777" w:rsidTr="0006117D">
        <w:trPr>
          <w:cantSplit/>
          <w:trHeight w:val="20"/>
        </w:trPr>
        <w:tc>
          <w:tcPr>
            <w:tcW w:w="233" w:type="pct"/>
          </w:tcPr>
          <w:p w14:paraId="43023BCD" w14:textId="77777777" w:rsidR="006A1AFC" w:rsidRPr="00885AB3" w:rsidRDefault="006A1AFC" w:rsidP="00120D61">
            <w:pPr>
              <w:pStyle w:val="PBACTabletext"/>
              <w:keepLines w:val="0"/>
              <w:spacing w:after="0"/>
              <w:jc w:val="center"/>
              <w:rPr>
                <w:rFonts w:ascii="Arial Narrow" w:hAnsi="Arial Narrow"/>
                <w:sz w:val="20"/>
                <w:szCs w:val="20"/>
              </w:rPr>
            </w:pPr>
            <w:r w:rsidRPr="00885AB3">
              <w:rPr>
                <w:rFonts w:ascii="Arial Narrow" w:hAnsi="Arial Narrow"/>
                <w:sz w:val="20"/>
                <w:szCs w:val="20"/>
              </w:rPr>
              <w:t>G</w:t>
            </w:r>
          </w:p>
        </w:tc>
        <w:tc>
          <w:tcPr>
            <w:tcW w:w="2431" w:type="pct"/>
            <w:tcMar>
              <w:left w:w="28" w:type="dxa"/>
              <w:right w:w="28" w:type="dxa"/>
            </w:tcMar>
            <w:vAlign w:val="center"/>
          </w:tcPr>
          <w:p w14:paraId="47BD0FEC" w14:textId="4D514F73" w:rsidR="006A1AFC" w:rsidRPr="00885AB3" w:rsidRDefault="006A1AFC" w:rsidP="00120D61">
            <w:pPr>
              <w:pStyle w:val="PBACTabletext"/>
              <w:keepLines w:val="0"/>
              <w:spacing w:after="0"/>
              <w:rPr>
                <w:rFonts w:ascii="Arial Narrow" w:hAnsi="Arial Narrow"/>
                <w:sz w:val="20"/>
                <w:szCs w:val="20"/>
              </w:rPr>
            </w:pPr>
            <w:r w:rsidRPr="00885AB3">
              <w:rPr>
                <w:rFonts w:ascii="Arial Narrow" w:hAnsi="Arial Narrow"/>
                <w:sz w:val="20"/>
                <w:szCs w:val="20"/>
              </w:rPr>
              <w:t xml:space="preserve">0.0054 (para 6.40, </w:t>
            </w:r>
            <w:proofErr w:type="spellStart"/>
            <w:r w:rsidRPr="00885AB3">
              <w:rPr>
                <w:rFonts w:ascii="Arial Narrow" w:hAnsi="Arial Narrow"/>
                <w:sz w:val="20"/>
                <w:szCs w:val="20"/>
              </w:rPr>
              <w:t>RSVPreF</w:t>
            </w:r>
            <w:proofErr w:type="spellEnd"/>
            <w:r w:rsidRPr="00885AB3">
              <w:rPr>
                <w:rFonts w:ascii="Arial Narrow" w:hAnsi="Arial Narrow"/>
                <w:sz w:val="20"/>
                <w:szCs w:val="20"/>
              </w:rPr>
              <w:t xml:space="preserve"> PSD, November 2024)</w:t>
            </w:r>
          </w:p>
        </w:tc>
        <w:tc>
          <w:tcPr>
            <w:tcW w:w="761" w:type="pct"/>
            <w:tcMar>
              <w:left w:w="28" w:type="dxa"/>
              <w:right w:w="28" w:type="dxa"/>
            </w:tcMar>
            <w:vAlign w:val="bottom"/>
          </w:tcPr>
          <w:p w14:paraId="3B18B284" w14:textId="67BFF8D2" w:rsidR="006A1AFC" w:rsidRPr="00885AB3" w:rsidRDefault="006A1AFC" w:rsidP="00120D61">
            <w:pPr>
              <w:pStyle w:val="PBACTabletext"/>
              <w:keepLines w:val="0"/>
              <w:spacing w:after="0"/>
              <w:jc w:val="center"/>
              <w:rPr>
                <w:rFonts w:ascii="Arial Narrow" w:hAnsi="Arial Narrow" w:cs="Calibri"/>
                <w:color w:val="000000"/>
                <w:sz w:val="20"/>
                <w:szCs w:val="20"/>
              </w:rPr>
            </w:pPr>
            <w:r w:rsidRPr="00885AB3">
              <w:rPr>
                <w:rFonts w:ascii="Arial Narrow" w:hAnsi="Arial Narrow" w:cs="Calibri"/>
                <w:color w:val="000000"/>
                <w:sz w:val="20"/>
                <w:szCs w:val="20"/>
              </w:rPr>
              <w:t>$</w:t>
            </w:r>
            <w:r w:rsidR="004B5AFE" w:rsidRPr="004B5AFE">
              <w:rPr>
                <w:rFonts w:ascii="Arial Narrow" w:hAnsi="Arial Narrow" w:cs="Calibri"/>
                <w:color w:val="000000"/>
                <w:sz w:val="20"/>
                <w:szCs w:val="20"/>
                <w:highlight w:val="black"/>
              </w:rPr>
              <w:t xml:space="preserve"> &amp;&amp;&amp;&amp;</w:t>
            </w:r>
          </w:p>
        </w:tc>
        <w:tc>
          <w:tcPr>
            <w:tcW w:w="578" w:type="pct"/>
            <w:tcMar>
              <w:left w:w="28" w:type="dxa"/>
              <w:right w:w="28" w:type="dxa"/>
            </w:tcMar>
            <w:vAlign w:val="bottom"/>
          </w:tcPr>
          <w:p w14:paraId="3D854D5E" w14:textId="77777777" w:rsidR="006A1AFC" w:rsidRPr="00885AB3" w:rsidRDefault="006A1AFC" w:rsidP="00120D61">
            <w:pPr>
              <w:pStyle w:val="PBACTabletext"/>
              <w:keepLines w:val="0"/>
              <w:spacing w:after="0"/>
              <w:jc w:val="center"/>
              <w:rPr>
                <w:rFonts w:ascii="Arial Narrow" w:hAnsi="Arial Narrow" w:cs="Calibri"/>
                <w:color w:val="000000"/>
                <w:sz w:val="20"/>
                <w:szCs w:val="20"/>
              </w:rPr>
            </w:pPr>
            <w:r w:rsidRPr="00885AB3">
              <w:rPr>
                <w:rFonts w:ascii="Arial Narrow" w:hAnsi="Arial Narrow" w:cs="Calibri"/>
                <w:color w:val="000000"/>
                <w:sz w:val="20"/>
                <w:szCs w:val="20"/>
              </w:rPr>
              <w:t>319</w:t>
            </w:r>
          </w:p>
        </w:tc>
        <w:tc>
          <w:tcPr>
            <w:tcW w:w="522" w:type="pct"/>
            <w:tcMar>
              <w:left w:w="28" w:type="dxa"/>
              <w:right w:w="28" w:type="dxa"/>
            </w:tcMar>
            <w:vAlign w:val="bottom"/>
          </w:tcPr>
          <w:p w14:paraId="3DF5D9B4" w14:textId="4B6D6902" w:rsidR="006A1AFC" w:rsidRPr="00855051" w:rsidRDefault="006A1AFC" w:rsidP="00120D61">
            <w:pPr>
              <w:pStyle w:val="PBACTabletext"/>
              <w:keepLines w:val="0"/>
              <w:spacing w:after="0"/>
              <w:jc w:val="center"/>
              <w:rPr>
                <w:rFonts w:ascii="Arial Narrow" w:hAnsi="Arial Narrow" w:cs="Calibri"/>
                <w:color w:val="000000"/>
                <w:sz w:val="20"/>
                <w:szCs w:val="20"/>
                <w:vertAlign w:val="superscript"/>
              </w:rPr>
            </w:pPr>
            <w:r w:rsidRPr="00885AB3">
              <w:rPr>
                <w:rFonts w:ascii="Arial Narrow" w:hAnsi="Arial Narrow" w:cs="Calibri"/>
                <w:color w:val="000000"/>
                <w:sz w:val="20"/>
                <w:szCs w:val="20"/>
              </w:rPr>
              <w:t>$</w:t>
            </w:r>
            <w:r w:rsidR="004B5AFE" w:rsidRPr="004B5AFE">
              <w:rPr>
                <w:rFonts w:ascii="Arial Narrow" w:hAnsi="Arial Narrow" w:cs="Calibri"/>
                <w:color w:val="000000"/>
                <w:sz w:val="20"/>
                <w:szCs w:val="20"/>
                <w:highlight w:val="black"/>
              </w:rPr>
              <w:t xml:space="preserve"> &amp;&amp;&amp;&amp;</w:t>
            </w:r>
            <w:r w:rsidR="00855051">
              <w:rPr>
                <w:rFonts w:ascii="Arial Narrow" w:hAnsi="Arial Narrow" w:cs="Calibri"/>
                <w:color w:val="000000"/>
                <w:sz w:val="20"/>
                <w:szCs w:val="20"/>
                <w:vertAlign w:val="superscript"/>
              </w:rPr>
              <w:t>1</w:t>
            </w:r>
          </w:p>
        </w:tc>
        <w:tc>
          <w:tcPr>
            <w:tcW w:w="476" w:type="pct"/>
            <w:tcMar>
              <w:left w:w="28" w:type="dxa"/>
              <w:right w:w="28" w:type="dxa"/>
            </w:tcMar>
            <w:vAlign w:val="bottom"/>
          </w:tcPr>
          <w:p w14:paraId="1BAD9DF8" w14:textId="36B80558" w:rsidR="006A1AFC" w:rsidRPr="00885AB3" w:rsidRDefault="006A1AFC" w:rsidP="00120D61">
            <w:pPr>
              <w:pStyle w:val="PBACTabletext"/>
              <w:keepLines w:val="0"/>
              <w:spacing w:after="0"/>
              <w:jc w:val="center"/>
              <w:rPr>
                <w:rFonts w:ascii="Arial Narrow" w:hAnsi="Arial Narrow" w:cs="Calibri"/>
                <w:color w:val="000000"/>
                <w:sz w:val="20"/>
                <w:szCs w:val="20"/>
              </w:rPr>
            </w:pPr>
            <w:r w:rsidRPr="00885AB3">
              <w:rPr>
                <w:rFonts w:ascii="Arial Narrow" w:hAnsi="Arial Narrow" w:cs="Calibri"/>
                <w:color w:val="000000"/>
                <w:sz w:val="20"/>
                <w:szCs w:val="20"/>
              </w:rPr>
              <w:t>+</w:t>
            </w:r>
            <w:r w:rsidR="004B5AFE" w:rsidRPr="004B5AFE">
              <w:rPr>
                <w:rFonts w:ascii="Arial Narrow" w:hAnsi="Arial Narrow" w:cs="Calibri"/>
                <w:color w:val="000000"/>
                <w:sz w:val="20"/>
                <w:szCs w:val="20"/>
                <w:highlight w:val="black"/>
              </w:rPr>
              <w:t xml:space="preserve"> &amp;&amp;&amp;&amp;</w:t>
            </w:r>
            <w:r w:rsidRPr="00885AB3">
              <w:rPr>
                <w:rFonts w:ascii="Arial Narrow" w:hAnsi="Arial Narrow" w:cs="Calibri"/>
                <w:color w:val="000000"/>
                <w:sz w:val="20"/>
                <w:szCs w:val="20"/>
              </w:rPr>
              <w:t>%</w:t>
            </w:r>
          </w:p>
        </w:tc>
      </w:tr>
      <w:tr w:rsidR="006A1AFC" w:rsidRPr="00885AB3" w14:paraId="38972264" w14:textId="77777777" w:rsidTr="0006117D">
        <w:trPr>
          <w:cantSplit/>
          <w:trHeight w:val="20"/>
        </w:trPr>
        <w:tc>
          <w:tcPr>
            <w:tcW w:w="233" w:type="pct"/>
          </w:tcPr>
          <w:p w14:paraId="6DB7872D" w14:textId="77777777" w:rsidR="006A1AFC" w:rsidRPr="00885AB3" w:rsidRDefault="006A1AFC" w:rsidP="00120D61">
            <w:pPr>
              <w:pStyle w:val="PBACTabletext"/>
              <w:keepLines w:val="0"/>
              <w:spacing w:after="0"/>
              <w:jc w:val="center"/>
              <w:rPr>
                <w:rFonts w:ascii="Arial Narrow" w:hAnsi="Arial Narrow"/>
                <w:sz w:val="20"/>
                <w:szCs w:val="20"/>
              </w:rPr>
            </w:pPr>
          </w:p>
        </w:tc>
        <w:tc>
          <w:tcPr>
            <w:tcW w:w="4767" w:type="pct"/>
            <w:gridSpan w:val="5"/>
            <w:tcMar>
              <w:left w:w="28" w:type="dxa"/>
              <w:right w:w="28" w:type="dxa"/>
            </w:tcMar>
            <w:vAlign w:val="center"/>
          </w:tcPr>
          <w:p w14:paraId="34C9B0F9" w14:textId="77777777" w:rsidR="006A1AFC" w:rsidRPr="00885AB3" w:rsidRDefault="006A1AFC" w:rsidP="00120D61">
            <w:pPr>
              <w:pStyle w:val="PBACTabletext"/>
              <w:keepLines w:val="0"/>
              <w:spacing w:after="0"/>
              <w:rPr>
                <w:rFonts w:ascii="Arial Narrow" w:hAnsi="Arial Narrow" w:cs="Calibri"/>
                <w:color w:val="000000"/>
                <w:sz w:val="20"/>
                <w:szCs w:val="20"/>
              </w:rPr>
            </w:pPr>
            <w:r w:rsidRPr="00885AB3">
              <w:rPr>
                <w:rFonts w:ascii="Arial Narrow" w:hAnsi="Arial Narrow"/>
                <w:b/>
                <w:bCs/>
                <w:sz w:val="20"/>
                <w:szCs w:val="20"/>
              </w:rPr>
              <w:t>VE duration (base case: 5-year duration of protection)</w:t>
            </w:r>
          </w:p>
        </w:tc>
      </w:tr>
      <w:tr w:rsidR="006A1AFC" w:rsidRPr="00885AB3" w14:paraId="1C157D27" w14:textId="77777777" w:rsidTr="0006117D">
        <w:trPr>
          <w:cantSplit/>
          <w:trHeight w:val="20"/>
        </w:trPr>
        <w:tc>
          <w:tcPr>
            <w:tcW w:w="233" w:type="pct"/>
          </w:tcPr>
          <w:p w14:paraId="190F1951" w14:textId="77777777" w:rsidR="006A1AFC" w:rsidRPr="00885AB3" w:rsidRDefault="006A1AFC" w:rsidP="00120D61">
            <w:pPr>
              <w:pStyle w:val="PBACTabletext"/>
              <w:keepLines w:val="0"/>
              <w:spacing w:after="0"/>
              <w:jc w:val="center"/>
              <w:rPr>
                <w:rFonts w:ascii="Arial Narrow" w:hAnsi="Arial Narrow"/>
                <w:sz w:val="20"/>
                <w:szCs w:val="20"/>
              </w:rPr>
            </w:pPr>
            <w:r w:rsidRPr="00885AB3">
              <w:rPr>
                <w:rFonts w:ascii="Arial Narrow" w:hAnsi="Arial Narrow"/>
                <w:sz w:val="20"/>
                <w:szCs w:val="20"/>
              </w:rPr>
              <w:t>H</w:t>
            </w:r>
          </w:p>
        </w:tc>
        <w:tc>
          <w:tcPr>
            <w:tcW w:w="2431" w:type="pct"/>
            <w:tcMar>
              <w:left w:w="28" w:type="dxa"/>
              <w:right w:w="28" w:type="dxa"/>
            </w:tcMar>
            <w:vAlign w:val="center"/>
          </w:tcPr>
          <w:p w14:paraId="734AFABC" w14:textId="77777777" w:rsidR="006A1AFC" w:rsidRPr="00885AB3" w:rsidRDefault="006A1AFC" w:rsidP="00120D61">
            <w:pPr>
              <w:pStyle w:val="PBACTabletext"/>
              <w:keepLines w:val="0"/>
              <w:spacing w:after="0"/>
              <w:rPr>
                <w:rFonts w:ascii="Arial Narrow" w:hAnsi="Arial Narrow"/>
                <w:sz w:val="20"/>
                <w:szCs w:val="20"/>
              </w:rPr>
            </w:pPr>
            <w:r w:rsidRPr="00885AB3">
              <w:rPr>
                <w:rFonts w:ascii="Arial Narrow" w:hAnsi="Arial Narrow"/>
                <w:sz w:val="20"/>
                <w:szCs w:val="20"/>
              </w:rPr>
              <w:t xml:space="preserve">1-year </w:t>
            </w:r>
          </w:p>
        </w:tc>
        <w:tc>
          <w:tcPr>
            <w:tcW w:w="761" w:type="pct"/>
            <w:tcMar>
              <w:left w:w="28" w:type="dxa"/>
              <w:right w:w="28" w:type="dxa"/>
            </w:tcMar>
            <w:vAlign w:val="bottom"/>
          </w:tcPr>
          <w:p w14:paraId="1E81F4FC" w14:textId="5BBA04AD" w:rsidR="006A1AFC" w:rsidRPr="00885AB3" w:rsidRDefault="006A1AFC" w:rsidP="00120D61">
            <w:pPr>
              <w:pStyle w:val="PBACTabletext"/>
              <w:keepLines w:val="0"/>
              <w:spacing w:after="0"/>
              <w:jc w:val="center"/>
              <w:rPr>
                <w:rFonts w:ascii="Arial Narrow" w:hAnsi="Arial Narrow" w:cs="Calibri"/>
                <w:color w:val="000000"/>
                <w:sz w:val="20"/>
                <w:szCs w:val="20"/>
              </w:rPr>
            </w:pPr>
            <w:r w:rsidRPr="00885AB3">
              <w:rPr>
                <w:rFonts w:ascii="Arial Narrow" w:hAnsi="Arial Narrow" w:cs="Calibri"/>
                <w:color w:val="000000"/>
                <w:sz w:val="20"/>
                <w:szCs w:val="20"/>
              </w:rPr>
              <w:t>$</w:t>
            </w:r>
            <w:r w:rsidR="004B5AFE" w:rsidRPr="004B5AFE">
              <w:rPr>
                <w:rFonts w:ascii="Arial Narrow" w:hAnsi="Arial Narrow" w:cs="Calibri"/>
                <w:color w:val="000000"/>
                <w:sz w:val="20"/>
                <w:szCs w:val="20"/>
                <w:highlight w:val="black"/>
              </w:rPr>
              <w:t xml:space="preserve"> &amp;&amp;&amp;&amp;</w:t>
            </w:r>
          </w:p>
        </w:tc>
        <w:tc>
          <w:tcPr>
            <w:tcW w:w="578" w:type="pct"/>
            <w:tcMar>
              <w:left w:w="28" w:type="dxa"/>
              <w:right w:w="28" w:type="dxa"/>
            </w:tcMar>
            <w:vAlign w:val="bottom"/>
          </w:tcPr>
          <w:p w14:paraId="7AA03698" w14:textId="77777777" w:rsidR="006A1AFC" w:rsidRPr="00885AB3" w:rsidRDefault="006A1AFC" w:rsidP="00120D61">
            <w:pPr>
              <w:pStyle w:val="PBACTabletext"/>
              <w:keepLines w:val="0"/>
              <w:spacing w:after="0"/>
              <w:jc w:val="center"/>
              <w:rPr>
                <w:rFonts w:ascii="Arial Narrow" w:hAnsi="Arial Narrow" w:cs="Calibri"/>
                <w:color w:val="000000"/>
                <w:sz w:val="20"/>
                <w:szCs w:val="20"/>
              </w:rPr>
            </w:pPr>
            <w:r w:rsidRPr="00885AB3">
              <w:rPr>
                <w:rFonts w:ascii="Arial Narrow" w:hAnsi="Arial Narrow" w:cs="Calibri"/>
                <w:color w:val="000000"/>
                <w:sz w:val="20"/>
                <w:szCs w:val="20"/>
              </w:rPr>
              <w:t>112</w:t>
            </w:r>
          </w:p>
        </w:tc>
        <w:tc>
          <w:tcPr>
            <w:tcW w:w="522" w:type="pct"/>
            <w:tcMar>
              <w:left w:w="28" w:type="dxa"/>
              <w:right w:w="28" w:type="dxa"/>
            </w:tcMar>
            <w:vAlign w:val="bottom"/>
          </w:tcPr>
          <w:p w14:paraId="6F5B5742" w14:textId="101DDE0D" w:rsidR="006A1AFC" w:rsidRPr="004F199C" w:rsidRDefault="006A1AFC" w:rsidP="00120D61">
            <w:pPr>
              <w:pStyle w:val="PBACTabletext"/>
              <w:keepLines w:val="0"/>
              <w:spacing w:after="0"/>
              <w:jc w:val="center"/>
              <w:rPr>
                <w:rFonts w:ascii="Arial Narrow" w:hAnsi="Arial Narrow" w:cs="Calibri"/>
                <w:color w:val="000000"/>
                <w:sz w:val="20"/>
                <w:szCs w:val="20"/>
                <w:vertAlign w:val="superscript"/>
              </w:rPr>
            </w:pPr>
            <w:r w:rsidRPr="00885AB3">
              <w:rPr>
                <w:rFonts w:ascii="Arial Narrow" w:hAnsi="Arial Narrow" w:cs="Calibri"/>
                <w:color w:val="000000"/>
                <w:sz w:val="20"/>
                <w:szCs w:val="20"/>
              </w:rPr>
              <w:t>$</w:t>
            </w:r>
            <w:r w:rsidR="004B5AFE" w:rsidRPr="004B5AFE">
              <w:rPr>
                <w:rFonts w:ascii="Arial Narrow" w:hAnsi="Arial Narrow" w:cs="Calibri"/>
                <w:color w:val="000000"/>
                <w:sz w:val="20"/>
                <w:szCs w:val="20"/>
                <w:highlight w:val="black"/>
              </w:rPr>
              <w:t xml:space="preserve"> &amp;&amp;&amp;&amp;</w:t>
            </w:r>
            <w:r w:rsidR="004F199C">
              <w:rPr>
                <w:rFonts w:ascii="Arial Narrow" w:hAnsi="Arial Narrow" w:cs="Calibri"/>
                <w:color w:val="000000"/>
                <w:sz w:val="20"/>
                <w:szCs w:val="20"/>
                <w:vertAlign w:val="superscript"/>
              </w:rPr>
              <w:t>5</w:t>
            </w:r>
          </w:p>
        </w:tc>
        <w:tc>
          <w:tcPr>
            <w:tcW w:w="476" w:type="pct"/>
            <w:tcMar>
              <w:left w:w="28" w:type="dxa"/>
              <w:right w:w="28" w:type="dxa"/>
            </w:tcMar>
            <w:vAlign w:val="bottom"/>
          </w:tcPr>
          <w:p w14:paraId="1E2F6A80" w14:textId="748359C1" w:rsidR="006A1AFC" w:rsidRPr="00885AB3" w:rsidRDefault="006A1AFC" w:rsidP="00120D61">
            <w:pPr>
              <w:pStyle w:val="PBACTabletext"/>
              <w:keepLines w:val="0"/>
              <w:spacing w:after="0"/>
              <w:jc w:val="center"/>
              <w:rPr>
                <w:rFonts w:ascii="Arial Narrow" w:hAnsi="Arial Narrow" w:cs="Calibri"/>
                <w:color w:val="000000"/>
                <w:sz w:val="20"/>
                <w:szCs w:val="20"/>
              </w:rPr>
            </w:pPr>
            <w:r w:rsidRPr="00885AB3">
              <w:rPr>
                <w:rFonts w:ascii="Arial Narrow" w:hAnsi="Arial Narrow" w:cs="Calibri"/>
                <w:color w:val="000000"/>
                <w:sz w:val="20"/>
                <w:szCs w:val="20"/>
              </w:rPr>
              <w:t>+</w:t>
            </w:r>
            <w:r w:rsidR="004B5AFE" w:rsidRPr="004B5AFE">
              <w:rPr>
                <w:rFonts w:ascii="Arial Narrow" w:hAnsi="Arial Narrow" w:cs="Calibri"/>
                <w:color w:val="000000"/>
                <w:sz w:val="20"/>
                <w:szCs w:val="20"/>
                <w:highlight w:val="black"/>
              </w:rPr>
              <w:t xml:space="preserve"> &amp;&amp;&amp;&amp;</w:t>
            </w:r>
            <w:r w:rsidRPr="00885AB3">
              <w:rPr>
                <w:rFonts w:ascii="Arial Narrow" w:hAnsi="Arial Narrow" w:cs="Calibri"/>
                <w:color w:val="000000"/>
                <w:sz w:val="20"/>
                <w:szCs w:val="20"/>
              </w:rPr>
              <w:t>%</w:t>
            </w:r>
          </w:p>
        </w:tc>
      </w:tr>
      <w:tr w:rsidR="006A1AFC" w:rsidRPr="00885AB3" w14:paraId="53BF5498" w14:textId="77777777" w:rsidTr="0006117D">
        <w:trPr>
          <w:cantSplit/>
          <w:trHeight w:val="20"/>
        </w:trPr>
        <w:tc>
          <w:tcPr>
            <w:tcW w:w="233" w:type="pct"/>
          </w:tcPr>
          <w:p w14:paraId="7F6F1409" w14:textId="77777777" w:rsidR="006A1AFC" w:rsidRPr="00885AB3" w:rsidRDefault="006A1AFC" w:rsidP="00120D61">
            <w:pPr>
              <w:pStyle w:val="PBACTabletext"/>
              <w:keepLines w:val="0"/>
              <w:spacing w:after="0"/>
              <w:jc w:val="center"/>
              <w:rPr>
                <w:rFonts w:ascii="Arial Narrow" w:hAnsi="Arial Narrow"/>
                <w:sz w:val="20"/>
                <w:szCs w:val="20"/>
              </w:rPr>
            </w:pPr>
            <w:r w:rsidRPr="00885AB3">
              <w:rPr>
                <w:rFonts w:ascii="Arial Narrow" w:hAnsi="Arial Narrow"/>
                <w:sz w:val="20"/>
                <w:szCs w:val="20"/>
              </w:rPr>
              <w:t>I</w:t>
            </w:r>
          </w:p>
        </w:tc>
        <w:tc>
          <w:tcPr>
            <w:tcW w:w="2431" w:type="pct"/>
            <w:tcMar>
              <w:left w:w="28" w:type="dxa"/>
              <w:right w:w="28" w:type="dxa"/>
            </w:tcMar>
            <w:vAlign w:val="center"/>
          </w:tcPr>
          <w:p w14:paraId="6360996D" w14:textId="77777777" w:rsidR="006A1AFC" w:rsidRPr="00885AB3" w:rsidRDefault="006A1AFC" w:rsidP="00120D61">
            <w:pPr>
              <w:pStyle w:val="PBACTabletext"/>
              <w:keepLines w:val="0"/>
              <w:spacing w:after="0"/>
              <w:rPr>
                <w:rFonts w:ascii="Arial Narrow" w:hAnsi="Arial Narrow"/>
                <w:sz w:val="20"/>
                <w:szCs w:val="20"/>
              </w:rPr>
            </w:pPr>
            <w:r w:rsidRPr="00885AB3">
              <w:rPr>
                <w:rFonts w:ascii="Arial Narrow" w:hAnsi="Arial Narrow"/>
                <w:sz w:val="20"/>
                <w:szCs w:val="20"/>
              </w:rPr>
              <w:t xml:space="preserve">2-year </w:t>
            </w:r>
          </w:p>
        </w:tc>
        <w:tc>
          <w:tcPr>
            <w:tcW w:w="761" w:type="pct"/>
            <w:tcMar>
              <w:left w:w="28" w:type="dxa"/>
              <w:right w:w="28" w:type="dxa"/>
            </w:tcMar>
            <w:vAlign w:val="center"/>
          </w:tcPr>
          <w:p w14:paraId="0BEAC3B1" w14:textId="0B62C713" w:rsidR="006A1AFC" w:rsidRPr="00885AB3" w:rsidRDefault="006A1AFC" w:rsidP="00120D61">
            <w:pPr>
              <w:pStyle w:val="PBACTabletext"/>
              <w:keepLines w:val="0"/>
              <w:spacing w:after="0"/>
              <w:jc w:val="center"/>
              <w:rPr>
                <w:rFonts w:ascii="Arial Narrow" w:hAnsi="Arial Narrow" w:cs="Calibri"/>
                <w:color w:val="000000"/>
                <w:sz w:val="20"/>
                <w:szCs w:val="20"/>
              </w:rPr>
            </w:pPr>
            <w:r w:rsidRPr="00885AB3">
              <w:rPr>
                <w:rFonts w:ascii="Arial Narrow" w:hAnsi="Arial Narrow" w:cs="Calibri"/>
                <w:color w:val="000000"/>
                <w:sz w:val="20"/>
                <w:szCs w:val="20"/>
              </w:rPr>
              <w:t>$</w:t>
            </w:r>
            <w:r w:rsidR="004B5AFE" w:rsidRPr="004B5AFE">
              <w:rPr>
                <w:rFonts w:ascii="Arial Narrow" w:hAnsi="Arial Narrow" w:cs="Calibri"/>
                <w:color w:val="000000"/>
                <w:sz w:val="20"/>
                <w:szCs w:val="20"/>
                <w:highlight w:val="black"/>
              </w:rPr>
              <w:t xml:space="preserve"> &amp;&amp;&amp;&amp;</w:t>
            </w:r>
          </w:p>
        </w:tc>
        <w:tc>
          <w:tcPr>
            <w:tcW w:w="578" w:type="pct"/>
            <w:tcMar>
              <w:left w:w="28" w:type="dxa"/>
              <w:right w:w="28" w:type="dxa"/>
            </w:tcMar>
            <w:vAlign w:val="center"/>
          </w:tcPr>
          <w:p w14:paraId="48620FA7" w14:textId="77777777" w:rsidR="006A1AFC" w:rsidRPr="00885AB3" w:rsidRDefault="006A1AFC" w:rsidP="00120D61">
            <w:pPr>
              <w:pStyle w:val="PBACTabletext"/>
              <w:keepLines w:val="0"/>
              <w:spacing w:after="0"/>
              <w:jc w:val="center"/>
              <w:rPr>
                <w:rFonts w:ascii="Arial Narrow" w:hAnsi="Arial Narrow" w:cs="Calibri"/>
                <w:color w:val="000000"/>
                <w:sz w:val="20"/>
                <w:szCs w:val="20"/>
              </w:rPr>
            </w:pPr>
            <w:r w:rsidRPr="00885AB3">
              <w:rPr>
                <w:rFonts w:ascii="Arial Narrow" w:hAnsi="Arial Narrow" w:cs="Calibri"/>
                <w:color w:val="000000"/>
                <w:sz w:val="20"/>
                <w:szCs w:val="20"/>
              </w:rPr>
              <w:t>189</w:t>
            </w:r>
          </w:p>
        </w:tc>
        <w:tc>
          <w:tcPr>
            <w:tcW w:w="522" w:type="pct"/>
            <w:tcMar>
              <w:left w:w="28" w:type="dxa"/>
              <w:right w:w="28" w:type="dxa"/>
            </w:tcMar>
            <w:vAlign w:val="center"/>
          </w:tcPr>
          <w:p w14:paraId="74FF55E7" w14:textId="12FD0D31" w:rsidR="006A1AFC" w:rsidRPr="007F2AFC" w:rsidRDefault="006A1AFC" w:rsidP="00120D61">
            <w:pPr>
              <w:pStyle w:val="PBACTabletext"/>
              <w:keepLines w:val="0"/>
              <w:spacing w:after="0"/>
              <w:jc w:val="center"/>
              <w:rPr>
                <w:rFonts w:ascii="Arial Narrow" w:hAnsi="Arial Narrow" w:cs="Calibri"/>
                <w:color w:val="000000"/>
                <w:sz w:val="20"/>
                <w:szCs w:val="20"/>
                <w:vertAlign w:val="superscript"/>
              </w:rPr>
            </w:pPr>
            <w:r w:rsidRPr="00885AB3">
              <w:rPr>
                <w:rFonts w:ascii="Arial Narrow" w:hAnsi="Arial Narrow" w:cs="Calibri"/>
                <w:color w:val="000000"/>
                <w:sz w:val="20"/>
                <w:szCs w:val="20"/>
              </w:rPr>
              <w:t>$</w:t>
            </w:r>
            <w:r w:rsidR="004B5AFE" w:rsidRPr="004B5AFE">
              <w:rPr>
                <w:rFonts w:ascii="Arial Narrow" w:hAnsi="Arial Narrow" w:cs="Calibri"/>
                <w:color w:val="000000"/>
                <w:sz w:val="20"/>
                <w:szCs w:val="20"/>
                <w:highlight w:val="black"/>
              </w:rPr>
              <w:t xml:space="preserve"> &amp;&amp;&amp;&amp;</w:t>
            </w:r>
            <w:r w:rsidR="007F2AFC">
              <w:rPr>
                <w:rFonts w:ascii="Arial Narrow" w:hAnsi="Arial Narrow" w:cs="Calibri"/>
                <w:color w:val="000000"/>
                <w:sz w:val="20"/>
                <w:szCs w:val="20"/>
                <w:vertAlign w:val="superscript"/>
              </w:rPr>
              <w:t>6</w:t>
            </w:r>
          </w:p>
        </w:tc>
        <w:tc>
          <w:tcPr>
            <w:tcW w:w="476" w:type="pct"/>
            <w:tcMar>
              <w:left w:w="28" w:type="dxa"/>
              <w:right w:w="28" w:type="dxa"/>
            </w:tcMar>
            <w:vAlign w:val="center"/>
          </w:tcPr>
          <w:p w14:paraId="028F6FC4" w14:textId="5B26D3FF" w:rsidR="006A1AFC" w:rsidRPr="00885AB3" w:rsidRDefault="006A1AFC" w:rsidP="00120D61">
            <w:pPr>
              <w:pStyle w:val="PBACTabletext"/>
              <w:keepLines w:val="0"/>
              <w:spacing w:after="0"/>
              <w:jc w:val="center"/>
              <w:rPr>
                <w:rFonts w:ascii="Arial Narrow" w:hAnsi="Arial Narrow" w:cs="Calibri"/>
                <w:color w:val="000000"/>
                <w:sz w:val="20"/>
                <w:szCs w:val="20"/>
              </w:rPr>
            </w:pPr>
            <w:r w:rsidRPr="00885AB3">
              <w:rPr>
                <w:rFonts w:ascii="Arial Narrow" w:hAnsi="Arial Narrow" w:cs="Calibri"/>
                <w:color w:val="000000"/>
                <w:sz w:val="20"/>
                <w:szCs w:val="20"/>
              </w:rPr>
              <w:t>+</w:t>
            </w:r>
            <w:r w:rsidR="004B5AFE" w:rsidRPr="004B5AFE">
              <w:rPr>
                <w:rFonts w:ascii="Arial Narrow" w:hAnsi="Arial Narrow" w:cs="Calibri"/>
                <w:color w:val="000000"/>
                <w:sz w:val="20"/>
                <w:szCs w:val="20"/>
                <w:highlight w:val="black"/>
              </w:rPr>
              <w:t xml:space="preserve"> &amp;&amp;&amp;&amp;</w:t>
            </w:r>
            <w:r w:rsidRPr="00885AB3">
              <w:rPr>
                <w:rFonts w:ascii="Arial Narrow" w:hAnsi="Arial Narrow" w:cs="Calibri"/>
                <w:color w:val="000000"/>
                <w:sz w:val="20"/>
                <w:szCs w:val="20"/>
              </w:rPr>
              <w:t>%</w:t>
            </w:r>
          </w:p>
        </w:tc>
      </w:tr>
      <w:tr w:rsidR="006A1AFC" w:rsidRPr="00885AB3" w14:paraId="79FCC0B0" w14:textId="77777777" w:rsidTr="0006117D">
        <w:trPr>
          <w:cantSplit/>
          <w:trHeight w:val="20"/>
        </w:trPr>
        <w:tc>
          <w:tcPr>
            <w:tcW w:w="233" w:type="pct"/>
          </w:tcPr>
          <w:p w14:paraId="6E1D335E" w14:textId="77777777" w:rsidR="006A1AFC" w:rsidRPr="00885AB3" w:rsidRDefault="006A1AFC" w:rsidP="00120D61">
            <w:pPr>
              <w:pStyle w:val="PBACTabletext"/>
              <w:keepLines w:val="0"/>
              <w:spacing w:after="0"/>
              <w:jc w:val="center"/>
              <w:rPr>
                <w:rFonts w:ascii="Arial Narrow" w:hAnsi="Arial Narrow"/>
                <w:sz w:val="20"/>
                <w:szCs w:val="20"/>
              </w:rPr>
            </w:pPr>
            <w:r w:rsidRPr="00885AB3">
              <w:rPr>
                <w:rFonts w:ascii="Arial Narrow" w:hAnsi="Arial Narrow"/>
                <w:sz w:val="20"/>
                <w:szCs w:val="20"/>
              </w:rPr>
              <w:t>J</w:t>
            </w:r>
          </w:p>
        </w:tc>
        <w:tc>
          <w:tcPr>
            <w:tcW w:w="2431" w:type="pct"/>
            <w:tcMar>
              <w:left w:w="28" w:type="dxa"/>
              <w:right w:w="28" w:type="dxa"/>
            </w:tcMar>
            <w:vAlign w:val="center"/>
          </w:tcPr>
          <w:p w14:paraId="7148A06C" w14:textId="77777777" w:rsidR="006A1AFC" w:rsidRPr="00885AB3" w:rsidRDefault="006A1AFC" w:rsidP="00120D61">
            <w:pPr>
              <w:pStyle w:val="PBACTabletext"/>
              <w:keepLines w:val="0"/>
              <w:spacing w:after="0"/>
              <w:rPr>
                <w:rFonts w:ascii="Arial Narrow" w:hAnsi="Arial Narrow"/>
                <w:sz w:val="20"/>
                <w:szCs w:val="20"/>
              </w:rPr>
            </w:pPr>
            <w:r w:rsidRPr="00885AB3">
              <w:rPr>
                <w:rFonts w:ascii="Arial Narrow" w:hAnsi="Arial Narrow"/>
                <w:sz w:val="20"/>
                <w:szCs w:val="20"/>
              </w:rPr>
              <w:t xml:space="preserve">3-year </w:t>
            </w:r>
          </w:p>
        </w:tc>
        <w:tc>
          <w:tcPr>
            <w:tcW w:w="761" w:type="pct"/>
            <w:tcMar>
              <w:left w:w="28" w:type="dxa"/>
              <w:right w:w="28" w:type="dxa"/>
            </w:tcMar>
            <w:vAlign w:val="center"/>
          </w:tcPr>
          <w:p w14:paraId="0A3F3212" w14:textId="3A348AA6" w:rsidR="006A1AFC" w:rsidRPr="00885AB3" w:rsidRDefault="006A1AFC" w:rsidP="00120D61">
            <w:pPr>
              <w:pStyle w:val="PBACTabletext"/>
              <w:keepLines w:val="0"/>
              <w:spacing w:after="0"/>
              <w:jc w:val="center"/>
              <w:rPr>
                <w:rFonts w:ascii="Arial Narrow" w:hAnsi="Arial Narrow" w:cs="Calibri"/>
                <w:color w:val="000000"/>
                <w:sz w:val="20"/>
                <w:szCs w:val="20"/>
              </w:rPr>
            </w:pPr>
            <w:r w:rsidRPr="00885AB3">
              <w:rPr>
                <w:rFonts w:ascii="Arial Narrow" w:hAnsi="Arial Narrow" w:cs="Calibri"/>
                <w:color w:val="000000"/>
                <w:sz w:val="20"/>
                <w:szCs w:val="20"/>
              </w:rPr>
              <w:t>$</w:t>
            </w:r>
            <w:r w:rsidR="004B5AFE" w:rsidRPr="004B5AFE">
              <w:rPr>
                <w:rFonts w:ascii="Arial Narrow" w:hAnsi="Arial Narrow" w:cs="Calibri"/>
                <w:color w:val="000000"/>
                <w:sz w:val="20"/>
                <w:szCs w:val="20"/>
                <w:highlight w:val="black"/>
              </w:rPr>
              <w:t xml:space="preserve"> &amp;&amp;&amp;&amp;</w:t>
            </w:r>
          </w:p>
        </w:tc>
        <w:tc>
          <w:tcPr>
            <w:tcW w:w="578" w:type="pct"/>
            <w:tcMar>
              <w:left w:w="28" w:type="dxa"/>
              <w:right w:w="28" w:type="dxa"/>
            </w:tcMar>
            <w:vAlign w:val="center"/>
          </w:tcPr>
          <w:p w14:paraId="35708022" w14:textId="77777777" w:rsidR="006A1AFC" w:rsidRPr="00885AB3" w:rsidRDefault="006A1AFC" w:rsidP="00120D61">
            <w:pPr>
              <w:pStyle w:val="PBACTabletext"/>
              <w:keepLines w:val="0"/>
              <w:spacing w:after="0"/>
              <w:jc w:val="center"/>
              <w:rPr>
                <w:rFonts w:ascii="Arial Narrow" w:hAnsi="Arial Narrow" w:cs="Calibri"/>
                <w:color w:val="000000"/>
                <w:sz w:val="20"/>
                <w:szCs w:val="20"/>
              </w:rPr>
            </w:pPr>
            <w:r w:rsidRPr="00885AB3">
              <w:rPr>
                <w:rFonts w:ascii="Arial Narrow" w:hAnsi="Arial Narrow" w:cs="Calibri"/>
                <w:color w:val="000000"/>
                <w:sz w:val="20"/>
                <w:szCs w:val="20"/>
              </w:rPr>
              <w:t>249</w:t>
            </w:r>
          </w:p>
        </w:tc>
        <w:tc>
          <w:tcPr>
            <w:tcW w:w="522" w:type="pct"/>
            <w:tcMar>
              <w:left w:w="28" w:type="dxa"/>
              <w:right w:w="28" w:type="dxa"/>
            </w:tcMar>
            <w:vAlign w:val="center"/>
          </w:tcPr>
          <w:p w14:paraId="37F0568B" w14:textId="010FF0F3" w:rsidR="006A1AFC" w:rsidRPr="001957C9" w:rsidRDefault="006A1AFC" w:rsidP="00120D61">
            <w:pPr>
              <w:pStyle w:val="PBACTabletext"/>
              <w:keepLines w:val="0"/>
              <w:spacing w:after="0"/>
              <w:jc w:val="center"/>
              <w:rPr>
                <w:rFonts w:ascii="Arial Narrow" w:hAnsi="Arial Narrow" w:cs="Calibri"/>
                <w:color w:val="000000"/>
                <w:sz w:val="20"/>
                <w:szCs w:val="20"/>
                <w:vertAlign w:val="superscript"/>
              </w:rPr>
            </w:pPr>
            <w:r w:rsidRPr="00885AB3">
              <w:rPr>
                <w:rFonts w:ascii="Arial Narrow" w:hAnsi="Arial Narrow" w:cs="Calibri"/>
                <w:color w:val="000000"/>
                <w:sz w:val="20"/>
                <w:szCs w:val="20"/>
              </w:rPr>
              <w:t>$</w:t>
            </w:r>
            <w:r w:rsidR="004B5AFE" w:rsidRPr="004B5AFE">
              <w:rPr>
                <w:rFonts w:ascii="Arial Narrow" w:hAnsi="Arial Narrow" w:cs="Calibri"/>
                <w:color w:val="000000"/>
                <w:sz w:val="20"/>
                <w:szCs w:val="20"/>
                <w:highlight w:val="black"/>
              </w:rPr>
              <w:t xml:space="preserve"> &amp;&amp;&amp;&amp;</w:t>
            </w:r>
            <w:r w:rsidR="001957C9">
              <w:rPr>
                <w:rFonts w:ascii="Arial Narrow" w:hAnsi="Arial Narrow" w:cs="Calibri"/>
                <w:color w:val="000000"/>
                <w:sz w:val="20"/>
                <w:szCs w:val="20"/>
                <w:vertAlign w:val="superscript"/>
              </w:rPr>
              <w:t>7</w:t>
            </w:r>
          </w:p>
        </w:tc>
        <w:tc>
          <w:tcPr>
            <w:tcW w:w="476" w:type="pct"/>
            <w:tcMar>
              <w:left w:w="28" w:type="dxa"/>
              <w:right w:w="28" w:type="dxa"/>
            </w:tcMar>
            <w:vAlign w:val="center"/>
          </w:tcPr>
          <w:p w14:paraId="1A34E332" w14:textId="706FF1DF" w:rsidR="006A1AFC" w:rsidRPr="00885AB3" w:rsidRDefault="006A1AFC" w:rsidP="00120D61">
            <w:pPr>
              <w:pStyle w:val="PBACTabletext"/>
              <w:keepLines w:val="0"/>
              <w:spacing w:after="0"/>
              <w:jc w:val="center"/>
              <w:rPr>
                <w:rFonts w:ascii="Arial Narrow" w:hAnsi="Arial Narrow" w:cs="Calibri"/>
                <w:color w:val="000000"/>
                <w:sz w:val="20"/>
                <w:szCs w:val="20"/>
              </w:rPr>
            </w:pPr>
            <w:r w:rsidRPr="00885AB3">
              <w:rPr>
                <w:rFonts w:ascii="Arial Narrow" w:hAnsi="Arial Narrow" w:cs="Calibri"/>
                <w:color w:val="000000"/>
                <w:sz w:val="20"/>
                <w:szCs w:val="20"/>
              </w:rPr>
              <w:t>+</w:t>
            </w:r>
            <w:r w:rsidR="004B5AFE" w:rsidRPr="004B5AFE">
              <w:rPr>
                <w:rFonts w:ascii="Arial Narrow" w:hAnsi="Arial Narrow" w:cs="Calibri"/>
                <w:color w:val="000000"/>
                <w:sz w:val="20"/>
                <w:szCs w:val="20"/>
                <w:highlight w:val="black"/>
              </w:rPr>
              <w:t xml:space="preserve"> &amp;&amp;&amp;&amp;</w:t>
            </w:r>
            <w:r w:rsidRPr="00885AB3">
              <w:rPr>
                <w:rFonts w:ascii="Arial Narrow" w:hAnsi="Arial Narrow" w:cs="Calibri"/>
                <w:color w:val="000000"/>
                <w:sz w:val="20"/>
                <w:szCs w:val="20"/>
              </w:rPr>
              <w:t>%</w:t>
            </w:r>
          </w:p>
        </w:tc>
      </w:tr>
      <w:tr w:rsidR="006A1AFC" w:rsidRPr="00885AB3" w14:paraId="48F6478B" w14:textId="77777777" w:rsidTr="0006117D">
        <w:trPr>
          <w:cantSplit/>
          <w:trHeight w:val="20"/>
        </w:trPr>
        <w:tc>
          <w:tcPr>
            <w:tcW w:w="233" w:type="pct"/>
          </w:tcPr>
          <w:p w14:paraId="707923BC" w14:textId="77777777" w:rsidR="006A1AFC" w:rsidRPr="00885AB3" w:rsidRDefault="006A1AFC" w:rsidP="00120D61">
            <w:pPr>
              <w:pStyle w:val="PBACTabletext"/>
              <w:keepLines w:val="0"/>
              <w:spacing w:after="0"/>
              <w:jc w:val="center"/>
              <w:rPr>
                <w:rFonts w:ascii="Arial Narrow" w:hAnsi="Arial Narrow"/>
                <w:b/>
                <w:bCs/>
                <w:sz w:val="20"/>
                <w:szCs w:val="20"/>
              </w:rPr>
            </w:pPr>
          </w:p>
        </w:tc>
        <w:tc>
          <w:tcPr>
            <w:tcW w:w="2431" w:type="pct"/>
            <w:tcMar>
              <w:left w:w="28" w:type="dxa"/>
              <w:right w:w="28" w:type="dxa"/>
            </w:tcMar>
            <w:vAlign w:val="center"/>
          </w:tcPr>
          <w:p w14:paraId="725CD09D" w14:textId="77777777" w:rsidR="006A1AFC" w:rsidRPr="00885AB3" w:rsidRDefault="006A1AFC" w:rsidP="00120D61">
            <w:pPr>
              <w:pStyle w:val="PBACTabletext"/>
              <w:keepLines w:val="0"/>
              <w:spacing w:after="0"/>
              <w:rPr>
                <w:rFonts w:ascii="Arial Narrow" w:hAnsi="Arial Narrow"/>
                <w:b/>
                <w:bCs/>
                <w:sz w:val="20"/>
                <w:szCs w:val="20"/>
              </w:rPr>
            </w:pPr>
            <w:r w:rsidRPr="00885AB3">
              <w:rPr>
                <w:rFonts w:ascii="Arial Narrow" w:hAnsi="Arial Narrow"/>
                <w:b/>
                <w:bCs/>
                <w:sz w:val="20"/>
                <w:szCs w:val="20"/>
              </w:rPr>
              <w:t xml:space="preserve">Multivariate </w:t>
            </w:r>
          </w:p>
        </w:tc>
        <w:tc>
          <w:tcPr>
            <w:tcW w:w="761" w:type="pct"/>
            <w:tcMar>
              <w:left w:w="28" w:type="dxa"/>
              <w:right w:w="28" w:type="dxa"/>
            </w:tcMar>
            <w:vAlign w:val="center"/>
          </w:tcPr>
          <w:p w14:paraId="6DBC17D6" w14:textId="77777777" w:rsidR="006A1AFC" w:rsidRPr="00885AB3" w:rsidRDefault="006A1AFC" w:rsidP="00120D61">
            <w:pPr>
              <w:pStyle w:val="PBACTabletext"/>
              <w:keepLines w:val="0"/>
              <w:spacing w:after="0"/>
              <w:jc w:val="center"/>
              <w:rPr>
                <w:rFonts w:ascii="Arial Narrow" w:hAnsi="Arial Narrow" w:cs="Calibri"/>
                <w:sz w:val="20"/>
                <w:szCs w:val="20"/>
              </w:rPr>
            </w:pPr>
          </w:p>
        </w:tc>
        <w:tc>
          <w:tcPr>
            <w:tcW w:w="578" w:type="pct"/>
            <w:tcMar>
              <w:left w:w="28" w:type="dxa"/>
              <w:right w:w="28" w:type="dxa"/>
            </w:tcMar>
            <w:vAlign w:val="center"/>
          </w:tcPr>
          <w:p w14:paraId="63EB4FDF" w14:textId="77777777" w:rsidR="006A1AFC" w:rsidRPr="00885AB3" w:rsidRDefault="006A1AFC" w:rsidP="00120D61">
            <w:pPr>
              <w:pStyle w:val="PBACTabletext"/>
              <w:keepLines w:val="0"/>
              <w:spacing w:after="0"/>
              <w:jc w:val="center"/>
              <w:rPr>
                <w:rFonts w:ascii="Arial Narrow" w:hAnsi="Arial Narrow" w:cs="Calibri"/>
                <w:sz w:val="20"/>
                <w:szCs w:val="20"/>
              </w:rPr>
            </w:pPr>
          </w:p>
        </w:tc>
        <w:tc>
          <w:tcPr>
            <w:tcW w:w="522" w:type="pct"/>
            <w:tcMar>
              <w:left w:w="28" w:type="dxa"/>
              <w:right w:w="28" w:type="dxa"/>
            </w:tcMar>
            <w:vAlign w:val="center"/>
          </w:tcPr>
          <w:p w14:paraId="556403D7" w14:textId="77777777" w:rsidR="006A1AFC" w:rsidRPr="00885AB3" w:rsidRDefault="006A1AFC" w:rsidP="00120D61">
            <w:pPr>
              <w:pStyle w:val="PBACTabletext"/>
              <w:keepLines w:val="0"/>
              <w:spacing w:after="0"/>
              <w:jc w:val="center"/>
              <w:rPr>
                <w:rFonts w:ascii="Arial Narrow" w:hAnsi="Arial Narrow" w:cs="Calibri"/>
                <w:sz w:val="20"/>
                <w:szCs w:val="20"/>
              </w:rPr>
            </w:pPr>
          </w:p>
        </w:tc>
        <w:tc>
          <w:tcPr>
            <w:tcW w:w="476" w:type="pct"/>
            <w:tcMar>
              <w:left w:w="28" w:type="dxa"/>
              <w:right w:w="28" w:type="dxa"/>
            </w:tcMar>
            <w:vAlign w:val="center"/>
          </w:tcPr>
          <w:p w14:paraId="78F4232C" w14:textId="77777777" w:rsidR="006A1AFC" w:rsidRPr="00885AB3" w:rsidRDefault="006A1AFC" w:rsidP="00120D61">
            <w:pPr>
              <w:pStyle w:val="PBACTabletext"/>
              <w:keepLines w:val="0"/>
              <w:spacing w:after="0"/>
              <w:jc w:val="center"/>
              <w:rPr>
                <w:rFonts w:ascii="Arial Narrow" w:hAnsi="Arial Narrow" w:cs="Calibri"/>
                <w:sz w:val="20"/>
                <w:szCs w:val="20"/>
              </w:rPr>
            </w:pPr>
          </w:p>
        </w:tc>
      </w:tr>
      <w:tr w:rsidR="006A1AFC" w:rsidRPr="00885AB3" w14:paraId="336A5658" w14:textId="77777777" w:rsidTr="0006117D">
        <w:trPr>
          <w:cantSplit/>
          <w:trHeight w:val="20"/>
        </w:trPr>
        <w:tc>
          <w:tcPr>
            <w:tcW w:w="233" w:type="pct"/>
          </w:tcPr>
          <w:p w14:paraId="2B238361" w14:textId="77777777" w:rsidR="006A1AFC" w:rsidRPr="00885AB3" w:rsidRDefault="006A1AFC" w:rsidP="00120D61">
            <w:pPr>
              <w:pStyle w:val="PBACTabletext"/>
              <w:keepLines w:val="0"/>
              <w:spacing w:after="0"/>
              <w:jc w:val="center"/>
              <w:rPr>
                <w:rFonts w:ascii="Arial Narrow" w:hAnsi="Arial Narrow"/>
                <w:sz w:val="20"/>
                <w:szCs w:val="20"/>
              </w:rPr>
            </w:pPr>
            <w:r w:rsidRPr="00885AB3">
              <w:rPr>
                <w:rFonts w:ascii="Arial Narrow" w:hAnsi="Arial Narrow"/>
                <w:sz w:val="20"/>
                <w:szCs w:val="20"/>
              </w:rPr>
              <w:t>K</w:t>
            </w:r>
          </w:p>
        </w:tc>
        <w:tc>
          <w:tcPr>
            <w:tcW w:w="2431" w:type="pct"/>
            <w:tcMar>
              <w:left w:w="28" w:type="dxa"/>
              <w:right w:w="28" w:type="dxa"/>
            </w:tcMar>
            <w:vAlign w:val="center"/>
          </w:tcPr>
          <w:p w14:paraId="0C73D896" w14:textId="77777777" w:rsidR="006A1AFC" w:rsidRPr="00885AB3" w:rsidRDefault="006A1AFC" w:rsidP="00120D61">
            <w:pPr>
              <w:pStyle w:val="PBACTabletext"/>
              <w:keepLines w:val="0"/>
              <w:spacing w:after="0"/>
              <w:rPr>
                <w:rFonts w:ascii="Arial Narrow" w:hAnsi="Arial Narrow"/>
                <w:sz w:val="20"/>
                <w:szCs w:val="20"/>
              </w:rPr>
            </w:pPr>
            <w:r w:rsidRPr="00885AB3">
              <w:rPr>
                <w:rFonts w:ascii="Arial Narrow" w:hAnsi="Arial Narrow"/>
                <w:sz w:val="20"/>
                <w:szCs w:val="20"/>
              </w:rPr>
              <w:t>(A B C D E F G)</w:t>
            </w:r>
          </w:p>
        </w:tc>
        <w:tc>
          <w:tcPr>
            <w:tcW w:w="761" w:type="pct"/>
            <w:tcMar>
              <w:left w:w="28" w:type="dxa"/>
              <w:right w:w="28" w:type="dxa"/>
            </w:tcMar>
            <w:vAlign w:val="bottom"/>
          </w:tcPr>
          <w:p w14:paraId="5348BCBF" w14:textId="16133C4A" w:rsidR="006A1AFC" w:rsidRPr="00885AB3" w:rsidRDefault="006A1AFC" w:rsidP="00120D61">
            <w:pPr>
              <w:pStyle w:val="PBACTabletext"/>
              <w:keepLines w:val="0"/>
              <w:spacing w:after="0"/>
              <w:jc w:val="center"/>
              <w:rPr>
                <w:rFonts w:ascii="Arial Narrow" w:hAnsi="Arial Narrow" w:cs="Calibri"/>
                <w:color w:val="FF0000"/>
                <w:sz w:val="20"/>
                <w:szCs w:val="20"/>
              </w:rPr>
            </w:pPr>
            <w:r w:rsidRPr="00885AB3">
              <w:rPr>
                <w:rFonts w:ascii="Arial Narrow" w:hAnsi="Arial Narrow" w:cs="Calibri"/>
                <w:color w:val="000000"/>
                <w:sz w:val="20"/>
                <w:szCs w:val="20"/>
              </w:rPr>
              <w:t>$</w:t>
            </w:r>
            <w:r w:rsidR="004B5AFE" w:rsidRPr="004B5AFE">
              <w:rPr>
                <w:rFonts w:ascii="Arial Narrow" w:hAnsi="Arial Narrow" w:cs="Calibri"/>
                <w:color w:val="000000"/>
                <w:sz w:val="20"/>
                <w:szCs w:val="20"/>
                <w:highlight w:val="black"/>
              </w:rPr>
              <w:t xml:space="preserve"> &amp;&amp;&amp;&amp;</w:t>
            </w:r>
          </w:p>
        </w:tc>
        <w:tc>
          <w:tcPr>
            <w:tcW w:w="578" w:type="pct"/>
            <w:tcMar>
              <w:left w:w="28" w:type="dxa"/>
              <w:right w:w="28" w:type="dxa"/>
            </w:tcMar>
            <w:vAlign w:val="bottom"/>
          </w:tcPr>
          <w:p w14:paraId="287DC574" w14:textId="77777777" w:rsidR="006A1AFC" w:rsidRPr="00885AB3" w:rsidRDefault="006A1AFC" w:rsidP="00120D61">
            <w:pPr>
              <w:pStyle w:val="PBACTabletext"/>
              <w:keepLines w:val="0"/>
              <w:spacing w:after="0"/>
              <w:jc w:val="center"/>
              <w:rPr>
                <w:rFonts w:ascii="Arial Narrow" w:hAnsi="Arial Narrow" w:cs="Calibri"/>
                <w:color w:val="FF0000"/>
                <w:sz w:val="20"/>
                <w:szCs w:val="20"/>
              </w:rPr>
            </w:pPr>
            <w:r w:rsidRPr="00885AB3">
              <w:rPr>
                <w:rFonts w:ascii="Arial Narrow" w:hAnsi="Arial Narrow" w:cs="Calibri"/>
                <w:color w:val="000000"/>
                <w:sz w:val="20"/>
                <w:szCs w:val="20"/>
              </w:rPr>
              <w:t>285</w:t>
            </w:r>
          </w:p>
        </w:tc>
        <w:tc>
          <w:tcPr>
            <w:tcW w:w="522" w:type="pct"/>
            <w:tcMar>
              <w:left w:w="28" w:type="dxa"/>
              <w:right w:w="28" w:type="dxa"/>
            </w:tcMar>
            <w:vAlign w:val="bottom"/>
          </w:tcPr>
          <w:p w14:paraId="7C0CB35A" w14:textId="4B348A26" w:rsidR="006A1AFC" w:rsidRPr="00855051" w:rsidRDefault="006A1AFC" w:rsidP="00120D61">
            <w:pPr>
              <w:pStyle w:val="PBACTabletext"/>
              <w:keepLines w:val="0"/>
              <w:spacing w:after="0"/>
              <w:jc w:val="center"/>
              <w:rPr>
                <w:rFonts w:ascii="Arial Narrow" w:hAnsi="Arial Narrow" w:cs="Calibri"/>
                <w:color w:val="FF0000"/>
                <w:sz w:val="20"/>
                <w:szCs w:val="20"/>
                <w:vertAlign w:val="superscript"/>
              </w:rPr>
            </w:pPr>
            <w:r w:rsidRPr="00885AB3">
              <w:rPr>
                <w:rFonts w:ascii="Arial Narrow" w:hAnsi="Arial Narrow" w:cs="Calibri"/>
                <w:color w:val="000000"/>
                <w:sz w:val="20"/>
                <w:szCs w:val="20"/>
              </w:rPr>
              <w:t>$</w:t>
            </w:r>
            <w:r w:rsidR="004B5AFE" w:rsidRPr="004B5AFE">
              <w:rPr>
                <w:rFonts w:ascii="Arial Narrow" w:hAnsi="Arial Narrow" w:cs="Calibri"/>
                <w:color w:val="000000"/>
                <w:sz w:val="20"/>
                <w:szCs w:val="20"/>
                <w:highlight w:val="black"/>
              </w:rPr>
              <w:t xml:space="preserve"> &amp;&amp;&amp;&amp;</w:t>
            </w:r>
            <w:r w:rsidR="00855051">
              <w:rPr>
                <w:rFonts w:ascii="Arial Narrow" w:hAnsi="Arial Narrow" w:cs="Calibri"/>
                <w:color w:val="000000"/>
                <w:sz w:val="20"/>
                <w:szCs w:val="20"/>
                <w:vertAlign w:val="superscript"/>
              </w:rPr>
              <w:t>1</w:t>
            </w:r>
          </w:p>
        </w:tc>
        <w:tc>
          <w:tcPr>
            <w:tcW w:w="476" w:type="pct"/>
            <w:tcMar>
              <w:left w:w="28" w:type="dxa"/>
              <w:right w:w="28" w:type="dxa"/>
            </w:tcMar>
            <w:vAlign w:val="bottom"/>
          </w:tcPr>
          <w:p w14:paraId="0E497717" w14:textId="7DA0A4DE" w:rsidR="006A1AFC" w:rsidRPr="00885AB3" w:rsidRDefault="006A1AFC" w:rsidP="00120D61">
            <w:pPr>
              <w:pStyle w:val="PBACTabletext"/>
              <w:keepLines w:val="0"/>
              <w:spacing w:after="0"/>
              <w:jc w:val="center"/>
              <w:rPr>
                <w:rFonts w:ascii="Arial Narrow" w:hAnsi="Arial Narrow" w:cs="Calibri"/>
                <w:color w:val="FF0000"/>
                <w:sz w:val="20"/>
                <w:szCs w:val="20"/>
              </w:rPr>
            </w:pPr>
            <w:r w:rsidRPr="00885AB3">
              <w:rPr>
                <w:rFonts w:ascii="Arial Narrow" w:hAnsi="Arial Narrow" w:cs="Calibri"/>
                <w:color w:val="000000"/>
                <w:sz w:val="20"/>
                <w:szCs w:val="20"/>
              </w:rPr>
              <w:t>-</w:t>
            </w:r>
            <w:r w:rsidR="004B5AFE" w:rsidRPr="004B5AFE">
              <w:rPr>
                <w:rFonts w:ascii="Arial Narrow" w:hAnsi="Arial Narrow" w:cs="Calibri"/>
                <w:color w:val="000000"/>
                <w:sz w:val="20"/>
                <w:szCs w:val="20"/>
                <w:highlight w:val="black"/>
              </w:rPr>
              <w:t xml:space="preserve"> &amp;&amp;&amp;&amp;</w:t>
            </w:r>
            <w:r w:rsidRPr="00885AB3">
              <w:rPr>
                <w:rFonts w:ascii="Arial Narrow" w:hAnsi="Arial Narrow" w:cs="Calibri"/>
                <w:color w:val="000000"/>
                <w:sz w:val="20"/>
                <w:szCs w:val="20"/>
              </w:rPr>
              <w:t>%</w:t>
            </w:r>
          </w:p>
        </w:tc>
      </w:tr>
      <w:tr w:rsidR="006A1AFC" w:rsidRPr="00885AB3" w14:paraId="4EBFB289" w14:textId="77777777" w:rsidTr="0006117D">
        <w:trPr>
          <w:cantSplit/>
          <w:trHeight w:val="20"/>
        </w:trPr>
        <w:tc>
          <w:tcPr>
            <w:tcW w:w="233" w:type="pct"/>
          </w:tcPr>
          <w:p w14:paraId="117F2F29" w14:textId="77777777" w:rsidR="006A1AFC" w:rsidRPr="00885AB3" w:rsidRDefault="006A1AFC" w:rsidP="00120D61">
            <w:pPr>
              <w:pStyle w:val="PBACTabletext"/>
              <w:keepLines w:val="0"/>
              <w:spacing w:after="0"/>
              <w:jc w:val="center"/>
              <w:rPr>
                <w:rFonts w:ascii="Arial Narrow" w:hAnsi="Arial Narrow"/>
                <w:sz w:val="20"/>
                <w:szCs w:val="20"/>
              </w:rPr>
            </w:pPr>
            <w:r w:rsidRPr="00885AB3">
              <w:rPr>
                <w:rFonts w:ascii="Arial Narrow" w:hAnsi="Arial Narrow"/>
                <w:sz w:val="20"/>
                <w:szCs w:val="20"/>
              </w:rPr>
              <w:t>L</w:t>
            </w:r>
          </w:p>
        </w:tc>
        <w:tc>
          <w:tcPr>
            <w:tcW w:w="2431" w:type="pct"/>
            <w:tcMar>
              <w:left w:w="28" w:type="dxa"/>
              <w:right w:w="28" w:type="dxa"/>
            </w:tcMar>
            <w:vAlign w:val="center"/>
          </w:tcPr>
          <w:p w14:paraId="5740EC6B" w14:textId="77777777" w:rsidR="006A1AFC" w:rsidRPr="00885AB3" w:rsidRDefault="006A1AFC" w:rsidP="00120D61">
            <w:pPr>
              <w:pStyle w:val="PBACTabletext"/>
              <w:keepLines w:val="0"/>
              <w:spacing w:after="0"/>
              <w:rPr>
                <w:rFonts w:ascii="Arial Narrow" w:hAnsi="Arial Narrow"/>
                <w:sz w:val="20"/>
                <w:szCs w:val="20"/>
              </w:rPr>
            </w:pPr>
            <w:r w:rsidRPr="00885AB3">
              <w:rPr>
                <w:rFonts w:ascii="Arial Narrow" w:hAnsi="Arial Narrow"/>
                <w:sz w:val="20"/>
                <w:szCs w:val="20"/>
              </w:rPr>
              <w:t>(A B C D E F G) + H</w:t>
            </w:r>
          </w:p>
        </w:tc>
        <w:tc>
          <w:tcPr>
            <w:tcW w:w="761" w:type="pct"/>
            <w:tcMar>
              <w:left w:w="28" w:type="dxa"/>
              <w:right w:w="28" w:type="dxa"/>
            </w:tcMar>
            <w:vAlign w:val="bottom"/>
          </w:tcPr>
          <w:p w14:paraId="70BAAB5F" w14:textId="7273E77D" w:rsidR="006A1AFC" w:rsidRPr="00885AB3" w:rsidRDefault="006A1AFC" w:rsidP="00120D61">
            <w:pPr>
              <w:pStyle w:val="PBACTabletext"/>
              <w:keepLines w:val="0"/>
              <w:spacing w:after="0"/>
              <w:jc w:val="center"/>
              <w:rPr>
                <w:rFonts w:ascii="Arial Narrow" w:hAnsi="Arial Narrow" w:cs="Calibri"/>
                <w:color w:val="FF0000"/>
                <w:sz w:val="20"/>
                <w:szCs w:val="20"/>
              </w:rPr>
            </w:pPr>
            <w:r w:rsidRPr="00885AB3">
              <w:rPr>
                <w:rFonts w:ascii="Arial Narrow" w:hAnsi="Arial Narrow" w:cs="Calibri"/>
                <w:color w:val="000000"/>
                <w:sz w:val="20"/>
                <w:szCs w:val="20"/>
              </w:rPr>
              <w:t>$</w:t>
            </w:r>
            <w:r w:rsidR="004B5AFE" w:rsidRPr="004B5AFE">
              <w:rPr>
                <w:rFonts w:ascii="Arial Narrow" w:hAnsi="Arial Narrow" w:cs="Calibri"/>
                <w:color w:val="000000"/>
                <w:sz w:val="20"/>
                <w:szCs w:val="20"/>
                <w:highlight w:val="black"/>
              </w:rPr>
              <w:t xml:space="preserve"> &amp;&amp;&amp;&amp;</w:t>
            </w:r>
          </w:p>
        </w:tc>
        <w:tc>
          <w:tcPr>
            <w:tcW w:w="578" w:type="pct"/>
            <w:tcMar>
              <w:left w:w="28" w:type="dxa"/>
              <w:right w:w="28" w:type="dxa"/>
            </w:tcMar>
            <w:vAlign w:val="bottom"/>
          </w:tcPr>
          <w:p w14:paraId="444D47EF" w14:textId="77777777" w:rsidR="006A1AFC" w:rsidRPr="00885AB3" w:rsidRDefault="006A1AFC" w:rsidP="00120D61">
            <w:pPr>
              <w:pStyle w:val="PBACTabletext"/>
              <w:keepLines w:val="0"/>
              <w:spacing w:after="0"/>
              <w:jc w:val="center"/>
              <w:rPr>
                <w:rFonts w:ascii="Arial Narrow" w:hAnsi="Arial Narrow" w:cs="Calibri"/>
                <w:color w:val="FF0000"/>
                <w:sz w:val="20"/>
                <w:szCs w:val="20"/>
              </w:rPr>
            </w:pPr>
            <w:r w:rsidRPr="00885AB3">
              <w:rPr>
                <w:rFonts w:ascii="Arial Narrow" w:hAnsi="Arial Narrow" w:cs="Calibri"/>
                <w:color w:val="000000"/>
                <w:sz w:val="20"/>
                <w:szCs w:val="20"/>
              </w:rPr>
              <w:t>95</w:t>
            </w:r>
          </w:p>
        </w:tc>
        <w:tc>
          <w:tcPr>
            <w:tcW w:w="522" w:type="pct"/>
            <w:tcMar>
              <w:left w:w="28" w:type="dxa"/>
              <w:right w:w="28" w:type="dxa"/>
            </w:tcMar>
            <w:vAlign w:val="bottom"/>
          </w:tcPr>
          <w:p w14:paraId="63CD6F5E" w14:textId="72F5C6FC" w:rsidR="006A1AFC" w:rsidRPr="004F199C" w:rsidRDefault="006A1AFC" w:rsidP="00120D61">
            <w:pPr>
              <w:pStyle w:val="PBACTabletext"/>
              <w:keepLines w:val="0"/>
              <w:spacing w:after="0"/>
              <w:jc w:val="center"/>
              <w:rPr>
                <w:rFonts w:ascii="Arial Narrow" w:hAnsi="Arial Narrow" w:cs="Calibri"/>
                <w:color w:val="FF0000"/>
                <w:sz w:val="20"/>
                <w:szCs w:val="20"/>
                <w:vertAlign w:val="superscript"/>
              </w:rPr>
            </w:pPr>
            <w:r w:rsidRPr="00885AB3">
              <w:rPr>
                <w:rFonts w:ascii="Arial Narrow" w:hAnsi="Arial Narrow" w:cs="Calibri"/>
                <w:color w:val="000000"/>
                <w:sz w:val="20"/>
                <w:szCs w:val="20"/>
              </w:rPr>
              <w:t>$</w:t>
            </w:r>
            <w:r w:rsidR="004B5AFE" w:rsidRPr="004B5AFE">
              <w:rPr>
                <w:rFonts w:ascii="Arial Narrow" w:hAnsi="Arial Narrow" w:cs="Calibri"/>
                <w:color w:val="000000"/>
                <w:sz w:val="20"/>
                <w:szCs w:val="20"/>
                <w:highlight w:val="black"/>
              </w:rPr>
              <w:t xml:space="preserve"> &amp;&amp;&amp;&amp;</w:t>
            </w:r>
            <w:r w:rsidR="004F199C">
              <w:rPr>
                <w:rFonts w:ascii="Arial Narrow" w:hAnsi="Arial Narrow" w:cs="Calibri"/>
                <w:color w:val="000000"/>
                <w:sz w:val="20"/>
                <w:szCs w:val="20"/>
                <w:vertAlign w:val="superscript"/>
              </w:rPr>
              <w:t>5</w:t>
            </w:r>
          </w:p>
        </w:tc>
        <w:tc>
          <w:tcPr>
            <w:tcW w:w="476" w:type="pct"/>
            <w:tcMar>
              <w:left w:w="28" w:type="dxa"/>
              <w:right w:w="28" w:type="dxa"/>
            </w:tcMar>
            <w:vAlign w:val="bottom"/>
          </w:tcPr>
          <w:p w14:paraId="5B36574B" w14:textId="7296A864" w:rsidR="006A1AFC" w:rsidRPr="00885AB3" w:rsidRDefault="006A1AFC" w:rsidP="00120D61">
            <w:pPr>
              <w:pStyle w:val="PBACTabletext"/>
              <w:keepLines w:val="0"/>
              <w:spacing w:after="0"/>
              <w:jc w:val="center"/>
              <w:rPr>
                <w:rFonts w:ascii="Arial Narrow" w:hAnsi="Arial Narrow" w:cs="Calibri"/>
                <w:color w:val="FF0000"/>
                <w:sz w:val="20"/>
                <w:szCs w:val="20"/>
              </w:rPr>
            </w:pPr>
            <w:r w:rsidRPr="00885AB3">
              <w:rPr>
                <w:rFonts w:ascii="Arial Narrow" w:hAnsi="Arial Narrow" w:cs="Calibri"/>
                <w:color w:val="000000"/>
                <w:sz w:val="20"/>
                <w:szCs w:val="20"/>
              </w:rPr>
              <w:t>+</w:t>
            </w:r>
            <w:r w:rsidR="004B5AFE" w:rsidRPr="004B5AFE">
              <w:rPr>
                <w:rFonts w:ascii="Arial Narrow" w:hAnsi="Arial Narrow" w:cs="Calibri"/>
                <w:color w:val="000000"/>
                <w:sz w:val="20"/>
                <w:szCs w:val="20"/>
                <w:highlight w:val="black"/>
              </w:rPr>
              <w:t xml:space="preserve"> &amp;&amp;&amp;&amp;</w:t>
            </w:r>
            <w:r w:rsidRPr="00885AB3">
              <w:rPr>
                <w:rFonts w:ascii="Arial Narrow" w:hAnsi="Arial Narrow" w:cs="Calibri"/>
                <w:color w:val="000000"/>
                <w:sz w:val="20"/>
                <w:szCs w:val="20"/>
              </w:rPr>
              <w:t>%</w:t>
            </w:r>
          </w:p>
        </w:tc>
      </w:tr>
      <w:tr w:rsidR="006A1AFC" w:rsidRPr="00885AB3" w14:paraId="4AFCA0C0" w14:textId="77777777" w:rsidTr="0006117D">
        <w:trPr>
          <w:cantSplit/>
          <w:trHeight w:val="20"/>
        </w:trPr>
        <w:tc>
          <w:tcPr>
            <w:tcW w:w="233" w:type="pct"/>
          </w:tcPr>
          <w:p w14:paraId="2B3106E4" w14:textId="77777777" w:rsidR="006A1AFC" w:rsidRPr="00885AB3" w:rsidRDefault="006A1AFC" w:rsidP="00120D61">
            <w:pPr>
              <w:pStyle w:val="PBACTabletext"/>
              <w:keepLines w:val="0"/>
              <w:spacing w:after="0"/>
              <w:jc w:val="center"/>
              <w:rPr>
                <w:rFonts w:ascii="Arial Narrow" w:hAnsi="Arial Narrow"/>
                <w:sz w:val="20"/>
                <w:szCs w:val="20"/>
              </w:rPr>
            </w:pPr>
            <w:r w:rsidRPr="00885AB3">
              <w:rPr>
                <w:rFonts w:ascii="Arial Narrow" w:hAnsi="Arial Narrow"/>
                <w:sz w:val="20"/>
                <w:szCs w:val="20"/>
              </w:rPr>
              <w:t>M</w:t>
            </w:r>
          </w:p>
        </w:tc>
        <w:tc>
          <w:tcPr>
            <w:tcW w:w="2431" w:type="pct"/>
            <w:tcMar>
              <w:left w:w="28" w:type="dxa"/>
              <w:right w:w="28" w:type="dxa"/>
            </w:tcMar>
            <w:vAlign w:val="center"/>
          </w:tcPr>
          <w:p w14:paraId="12E2197F" w14:textId="77777777" w:rsidR="006A1AFC" w:rsidRPr="00885AB3" w:rsidRDefault="006A1AFC" w:rsidP="00120D61">
            <w:pPr>
              <w:pStyle w:val="PBACTabletext"/>
              <w:keepLines w:val="0"/>
              <w:spacing w:after="0"/>
              <w:rPr>
                <w:rFonts w:ascii="Arial Narrow" w:hAnsi="Arial Narrow"/>
                <w:sz w:val="20"/>
                <w:szCs w:val="20"/>
              </w:rPr>
            </w:pPr>
            <w:r w:rsidRPr="00885AB3">
              <w:rPr>
                <w:rFonts w:ascii="Arial Narrow" w:hAnsi="Arial Narrow"/>
                <w:sz w:val="20"/>
                <w:szCs w:val="20"/>
              </w:rPr>
              <w:t>(A B C D E F G) + I</w:t>
            </w:r>
          </w:p>
        </w:tc>
        <w:tc>
          <w:tcPr>
            <w:tcW w:w="761" w:type="pct"/>
            <w:tcMar>
              <w:left w:w="28" w:type="dxa"/>
              <w:right w:w="28" w:type="dxa"/>
            </w:tcMar>
            <w:vAlign w:val="bottom"/>
          </w:tcPr>
          <w:p w14:paraId="06F8C740" w14:textId="26A3C01E" w:rsidR="006A1AFC" w:rsidRPr="00885AB3" w:rsidRDefault="006A1AFC" w:rsidP="00120D61">
            <w:pPr>
              <w:pStyle w:val="PBACTabletext"/>
              <w:keepLines w:val="0"/>
              <w:spacing w:after="0"/>
              <w:jc w:val="center"/>
              <w:rPr>
                <w:rFonts w:ascii="Arial Narrow" w:hAnsi="Arial Narrow" w:cs="Calibri"/>
                <w:color w:val="FF0000"/>
                <w:sz w:val="20"/>
                <w:szCs w:val="20"/>
              </w:rPr>
            </w:pPr>
            <w:r w:rsidRPr="00885AB3">
              <w:rPr>
                <w:rFonts w:ascii="Arial Narrow" w:hAnsi="Arial Narrow" w:cs="Calibri"/>
                <w:color w:val="000000"/>
                <w:sz w:val="20"/>
                <w:szCs w:val="20"/>
              </w:rPr>
              <w:t>$</w:t>
            </w:r>
            <w:r w:rsidR="004B5AFE" w:rsidRPr="004B5AFE">
              <w:rPr>
                <w:rFonts w:ascii="Arial Narrow" w:hAnsi="Arial Narrow" w:cs="Calibri"/>
                <w:color w:val="000000"/>
                <w:sz w:val="20"/>
                <w:szCs w:val="20"/>
                <w:highlight w:val="black"/>
              </w:rPr>
              <w:t xml:space="preserve"> &amp;&amp;&amp;&amp;</w:t>
            </w:r>
          </w:p>
        </w:tc>
        <w:tc>
          <w:tcPr>
            <w:tcW w:w="578" w:type="pct"/>
            <w:tcMar>
              <w:left w:w="28" w:type="dxa"/>
              <w:right w:w="28" w:type="dxa"/>
            </w:tcMar>
            <w:vAlign w:val="bottom"/>
          </w:tcPr>
          <w:p w14:paraId="110098E0" w14:textId="77777777" w:rsidR="006A1AFC" w:rsidRPr="00885AB3" w:rsidRDefault="006A1AFC" w:rsidP="00120D61">
            <w:pPr>
              <w:pStyle w:val="PBACTabletext"/>
              <w:keepLines w:val="0"/>
              <w:spacing w:after="0"/>
              <w:jc w:val="center"/>
              <w:rPr>
                <w:rFonts w:ascii="Arial Narrow" w:hAnsi="Arial Narrow" w:cs="Calibri"/>
                <w:color w:val="FF0000"/>
                <w:sz w:val="20"/>
                <w:szCs w:val="20"/>
              </w:rPr>
            </w:pPr>
            <w:r w:rsidRPr="00885AB3">
              <w:rPr>
                <w:rFonts w:ascii="Arial Narrow" w:hAnsi="Arial Narrow" w:cs="Calibri"/>
                <w:color w:val="000000"/>
                <w:sz w:val="20"/>
                <w:szCs w:val="20"/>
              </w:rPr>
              <w:t>163</w:t>
            </w:r>
          </w:p>
        </w:tc>
        <w:tc>
          <w:tcPr>
            <w:tcW w:w="522" w:type="pct"/>
            <w:tcMar>
              <w:left w:w="28" w:type="dxa"/>
              <w:right w:w="28" w:type="dxa"/>
            </w:tcMar>
            <w:vAlign w:val="bottom"/>
          </w:tcPr>
          <w:p w14:paraId="5EF58CCF" w14:textId="7BA4A130" w:rsidR="006A1AFC" w:rsidRPr="007F2AFC" w:rsidRDefault="006A1AFC" w:rsidP="00120D61">
            <w:pPr>
              <w:pStyle w:val="PBACTabletext"/>
              <w:keepLines w:val="0"/>
              <w:spacing w:after="0"/>
              <w:jc w:val="center"/>
              <w:rPr>
                <w:rFonts w:ascii="Arial Narrow" w:hAnsi="Arial Narrow" w:cs="Calibri"/>
                <w:color w:val="FF0000"/>
                <w:sz w:val="20"/>
                <w:szCs w:val="20"/>
                <w:vertAlign w:val="superscript"/>
              </w:rPr>
            </w:pPr>
            <w:r w:rsidRPr="00885AB3">
              <w:rPr>
                <w:rFonts w:ascii="Arial Narrow" w:hAnsi="Arial Narrow" w:cs="Calibri"/>
                <w:color w:val="000000"/>
                <w:sz w:val="20"/>
                <w:szCs w:val="20"/>
              </w:rPr>
              <w:t>$</w:t>
            </w:r>
            <w:r w:rsidR="004B5AFE" w:rsidRPr="004B5AFE">
              <w:rPr>
                <w:rFonts w:ascii="Arial Narrow" w:hAnsi="Arial Narrow" w:cs="Calibri"/>
                <w:color w:val="000000"/>
                <w:sz w:val="20"/>
                <w:szCs w:val="20"/>
                <w:highlight w:val="black"/>
              </w:rPr>
              <w:t xml:space="preserve"> &amp;&amp;&amp;&amp;</w:t>
            </w:r>
            <w:r w:rsidR="007F2AFC">
              <w:rPr>
                <w:rFonts w:ascii="Arial Narrow" w:hAnsi="Arial Narrow" w:cs="Calibri"/>
                <w:color w:val="000000"/>
                <w:sz w:val="20"/>
                <w:szCs w:val="20"/>
                <w:vertAlign w:val="superscript"/>
              </w:rPr>
              <w:t>6</w:t>
            </w:r>
          </w:p>
        </w:tc>
        <w:tc>
          <w:tcPr>
            <w:tcW w:w="476" w:type="pct"/>
            <w:tcMar>
              <w:left w:w="28" w:type="dxa"/>
              <w:right w:w="28" w:type="dxa"/>
            </w:tcMar>
            <w:vAlign w:val="bottom"/>
          </w:tcPr>
          <w:p w14:paraId="0D27CD53" w14:textId="2C9BF573" w:rsidR="006A1AFC" w:rsidRPr="00885AB3" w:rsidRDefault="006A1AFC" w:rsidP="00120D61">
            <w:pPr>
              <w:pStyle w:val="PBACTabletext"/>
              <w:keepLines w:val="0"/>
              <w:spacing w:after="0"/>
              <w:jc w:val="center"/>
              <w:rPr>
                <w:rFonts w:ascii="Arial Narrow" w:hAnsi="Arial Narrow" w:cs="Calibri"/>
                <w:color w:val="FF0000"/>
                <w:sz w:val="20"/>
                <w:szCs w:val="20"/>
              </w:rPr>
            </w:pPr>
            <w:r w:rsidRPr="00885AB3">
              <w:rPr>
                <w:rFonts w:ascii="Arial Narrow" w:hAnsi="Arial Narrow" w:cs="Calibri"/>
                <w:color w:val="000000"/>
                <w:sz w:val="20"/>
                <w:szCs w:val="20"/>
              </w:rPr>
              <w:t>+</w:t>
            </w:r>
            <w:r w:rsidR="004B5AFE" w:rsidRPr="004B5AFE">
              <w:rPr>
                <w:rFonts w:ascii="Arial Narrow" w:hAnsi="Arial Narrow" w:cs="Calibri"/>
                <w:color w:val="000000"/>
                <w:sz w:val="20"/>
                <w:szCs w:val="20"/>
                <w:highlight w:val="black"/>
              </w:rPr>
              <w:t xml:space="preserve"> &amp;&amp;&amp;&amp;</w:t>
            </w:r>
            <w:r w:rsidRPr="00885AB3">
              <w:rPr>
                <w:rFonts w:ascii="Arial Narrow" w:hAnsi="Arial Narrow" w:cs="Calibri"/>
                <w:color w:val="000000"/>
                <w:sz w:val="20"/>
                <w:szCs w:val="20"/>
              </w:rPr>
              <w:t>%</w:t>
            </w:r>
          </w:p>
        </w:tc>
      </w:tr>
      <w:tr w:rsidR="006A1AFC" w:rsidRPr="00885AB3" w14:paraId="3094A899" w14:textId="77777777" w:rsidTr="0006117D">
        <w:trPr>
          <w:cantSplit/>
          <w:trHeight w:val="20"/>
        </w:trPr>
        <w:tc>
          <w:tcPr>
            <w:tcW w:w="233" w:type="pct"/>
          </w:tcPr>
          <w:p w14:paraId="58AFB70C" w14:textId="77777777" w:rsidR="006A1AFC" w:rsidRPr="00885AB3" w:rsidRDefault="006A1AFC" w:rsidP="00120D61">
            <w:pPr>
              <w:pStyle w:val="PBACTabletext"/>
              <w:keepLines w:val="0"/>
              <w:spacing w:after="0"/>
              <w:jc w:val="center"/>
              <w:rPr>
                <w:rFonts w:ascii="Arial Narrow" w:hAnsi="Arial Narrow"/>
                <w:sz w:val="20"/>
                <w:szCs w:val="20"/>
              </w:rPr>
            </w:pPr>
            <w:r w:rsidRPr="00885AB3">
              <w:rPr>
                <w:rFonts w:ascii="Arial Narrow" w:hAnsi="Arial Narrow"/>
                <w:sz w:val="20"/>
                <w:szCs w:val="20"/>
              </w:rPr>
              <w:t>N</w:t>
            </w:r>
          </w:p>
        </w:tc>
        <w:tc>
          <w:tcPr>
            <w:tcW w:w="2431" w:type="pct"/>
            <w:tcMar>
              <w:left w:w="28" w:type="dxa"/>
              <w:right w:w="28" w:type="dxa"/>
            </w:tcMar>
            <w:vAlign w:val="center"/>
          </w:tcPr>
          <w:p w14:paraId="680E2445" w14:textId="77777777" w:rsidR="006A1AFC" w:rsidRPr="00885AB3" w:rsidRDefault="006A1AFC" w:rsidP="00120D61">
            <w:pPr>
              <w:pStyle w:val="PBACTabletext"/>
              <w:keepLines w:val="0"/>
              <w:spacing w:after="0"/>
              <w:rPr>
                <w:rFonts w:ascii="Arial Narrow" w:hAnsi="Arial Narrow"/>
                <w:sz w:val="20"/>
                <w:szCs w:val="20"/>
              </w:rPr>
            </w:pPr>
            <w:r w:rsidRPr="00885AB3">
              <w:rPr>
                <w:rFonts w:ascii="Arial Narrow" w:hAnsi="Arial Narrow"/>
                <w:sz w:val="20"/>
                <w:szCs w:val="20"/>
              </w:rPr>
              <w:t>(A B C D E F G) + J</w:t>
            </w:r>
          </w:p>
        </w:tc>
        <w:tc>
          <w:tcPr>
            <w:tcW w:w="761" w:type="pct"/>
            <w:tcMar>
              <w:left w:w="28" w:type="dxa"/>
              <w:right w:w="28" w:type="dxa"/>
            </w:tcMar>
            <w:vAlign w:val="bottom"/>
          </w:tcPr>
          <w:p w14:paraId="01924DE7" w14:textId="60C6C59B" w:rsidR="006A1AFC" w:rsidRPr="00885AB3" w:rsidRDefault="006A1AFC" w:rsidP="00120D61">
            <w:pPr>
              <w:pStyle w:val="PBACTabletext"/>
              <w:keepLines w:val="0"/>
              <w:spacing w:after="0"/>
              <w:jc w:val="center"/>
              <w:rPr>
                <w:rFonts w:ascii="Arial Narrow" w:hAnsi="Arial Narrow" w:cs="Calibri"/>
                <w:color w:val="FF0000"/>
                <w:sz w:val="20"/>
                <w:szCs w:val="20"/>
              </w:rPr>
            </w:pPr>
            <w:r w:rsidRPr="00885AB3">
              <w:rPr>
                <w:rFonts w:ascii="Arial Narrow" w:hAnsi="Arial Narrow" w:cs="Calibri"/>
                <w:color w:val="000000"/>
                <w:sz w:val="20"/>
                <w:szCs w:val="20"/>
              </w:rPr>
              <w:t>$</w:t>
            </w:r>
            <w:r w:rsidR="004B5AFE" w:rsidRPr="004B5AFE">
              <w:rPr>
                <w:rFonts w:ascii="Arial Narrow" w:hAnsi="Arial Narrow" w:cs="Calibri"/>
                <w:color w:val="000000"/>
                <w:sz w:val="20"/>
                <w:szCs w:val="20"/>
                <w:highlight w:val="black"/>
              </w:rPr>
              <w:t xml:space="preserve"> &amp;&amp;&amp;&amp;</w:t>
            </w:r>
          </w:p>
        </w:tc>
        <w:tc>
          <w:tcPr>
            <w:tcW w:w="578" w:type="pct"/>
            <w:tcMar>
              <w:left w:w="28" w:type="dxa"/>
              <w:right w:w="28" w:type="dxa"/>
            </w:tcMar>
            <w:vAlign w:val="bottom"/>
          </w:tcPr>
          <w:p w14:paraId="64C33A6F" w14:textId="77777777" w:rsidR="006A1AFC" w:rsidRPr="00885AB3" w:rsidRDefault="006A1AFC" w:rsidP="00120D61">
            <w:pPr>
              <w:pStyle w:val="PBACTabletext"/>
              <w:keepLines w:val="0"/>
              <w:spacing w:after="0"/>
              <w:jc w:val="center"/>
              <w:rPr>
                <w:rFonts w:ascii="Arial Narrow" w:hAnsi="Arial Narrow" w:cs="Calibri"/>
                <w:color w:val="FF0000"/>
                <w:sz w:val="20"/>
                <w:szCs w:val="20"/>
              </w:rPr>
            </w:pPr>
            <w:r w:rsidRPr="00885AB3">
              <w:rPr>
                <w:rFonts w:ascii="Arial Narrow" w:hAnsi="Arial Narrow" w:cs="Calibri"/>
                <w:color w:val="000000"/>
                <w:sz w:val="20"/>
                <w:szCs w:val="20"/>
              </w:rPr>
              <w:t>214</w:t>
            </w:r>
          </w:p>
        </w:tc>
        <w:tc>
          <w:tcPr>
            <w:tcW w:w="522" w:type="pct"/>
            <w:tcMar>
              <w:left w:w="28" w:type="dxa"/>
              <w:right w:w="28" w:type="dxa"/>
            </w:tcMar>
            <w:vAlign w:val="bottom"/>
          </w:tcPr>
          <w:p w14:paraId="30A591E9" w14:textId="091A6F4F" w:rsidR="006A1AFC" w:rsidRPr="001957C9" w:rsidRDefault="006A1AFC" w:rsidP="00120D61">
            <w:pPr>
              <w:pStyle w:val="PBACTabletext"/>
              <w:keepLines w:val="0"/>
              <w:spacing w:after="0"/>
              <w:jc w:val="center"/>
              <w:rPr>
                <w:rFonts w:ascii="Arial Narrow" w:hAnsi="Arial Narrow" w:cs="Calibri"/>
                <w:color w:val="FF0000"/>
                <w:sz w:val="20"/>
                <w:szCs w:val="20"/>
                <w:vertAlign w:val="superscript"/>
              </w:rPr>
            </w:pPr>
            <w:r w:rsidRPr="00885AB3">
              <w:rPr>
                <w:rFonts w:ascii="Arial Narrow" w:hAnsi="Arial Narrow" w:cs="Calibri"/>
                <w:color w:val="000000"/>
                <w:sz w:val="20"/>
                <w:szCs w:val="20"/>
              </w:rPr>
              <w:t>$</w:t>
            </w:r>
            <w:r w:rsidR="004B5AFE" w:rsidRPr="004B5AFE">
              <w:rPr>
                <w:rFonts w:ascii="Arial Narrow" w:hAnsi="Arial Narrow" w:cs="Calibri"/>
                <w:color w:val="000000"/>
                <w:sz w:val="20"/>
                <w:szCs w:val="20"/>
                <w:highlight w:val="black"/>
              </w:rPr>
              <w:t xml:space="preserve"> &amp;&amp;&amp;&amp;</w:t>
            </w:r>
            <w:r w:rsidR="001957C9">
              <w:rPr>
                <w:rFonts w:ascii="Arial Narrow" w:hAnsi="Arial Narrow" w:cs="Calibri"/>
                <w:color w:val="000000"/>
                <w:sz w:val="20"/>
                <w:szCs w:val="20"/>
                <w:vertAlign w:val="superscript"/>
              </w:rPr>
              <w:t>7</w:t>
            </w:r>
          </w:p>
        </w:tc>
        <w:tc>
          <w:tcPr>
            <w:tcW w:w="476" w:type="pct"/>
            <w:tcMar>
              <w:left w:w="28" w:type="dxa"/>
              <w:right w:w="28" w:type="dxa"/>
            </w:tcMar>
            <w:vAlign w:val="bottom"/>
          </w:tcPr>
          <w:p w14:paraId="5ADB77ED" w14:textId="1067AD75" w:rsidR="006A1AFC" w:rsidRPr="00885AB3" w:rsidRDefault="006A1AFC" w:rsidP="00120D61">
            <w:pPr>
              <w:pStyle w:val="PBACTabletext"/>
              <w:keepLines w:val="0"/>
              <w:spacing w:after="0"/>
              <w:jc w:val="center"/>
              <w:rPr>
                <w:rFonts w:ascii="Arial Narrow" w:hAnsi="Arial Narrow" w:cs="Calibri"/>
                <w:color w:val="FF0000"/>
                <w:sz w:val="20"/>
                <w:szCs w:val="20"/>
              </w:rPr>
            </w:pPr>
            <w:r w:rsidRPr="00885AB3">
              <w:rPr>
                <w:rFonts w:ascii="Arial Narrow" w:hAnsi="Arial Narrow" w:cs="Calibri"/>
                <w:color w:val="000000"/>
                <w:sz w:val="20"/>
                <w:szCs w:val="20"/>
              </w:rPr>
              <w:t>+</w:t>
            </w:r>
            <w:r w:rsidR="004B5AFE" w:rsidRPr="004B5AFE">
              <w:rPr>
                <w:rFonts w:ascii="Arial Narrow" w:hAnsi="Arial Narrow" w:cs="Calibri"/>
                <w:color w:val="000000"/>
                <w:sz w:val="20"/>
                <w:szCs w:val="20"/>
                <w:highlight w:val="black"/>
              </w:rPr>
              <w:t xml:space="preserve"> &amp;&amp;&amp;&amp;</w:t>
            </w:r>
            <w:r w:rsidRPr="00885AB3">
              <w:rPr>
                <w:rFonts w:ascii="Arial Narrow" w:hAnsi="Arial Narrow" w:cs="Calibri"/>
                <w:color w:val="000000"/>
                <w:sz w:val="20"/>
                <w:szCs w:val="20"/>
              </w:rPr>
              <w:t>%</w:t>
            </w:r>
          </w:p>
        </w:tc>
      </w:tr>
    </w:tbl>
    <w:p w14:paraId="15F631D7" w14:textId="77777777" w:rsidR="006A1AFC" w:rsidRPr="00885AB3" w:rsidRDefault="006A1AFC" w:rsidP="00120D61">
      <w:pPr>
        <w:pStyle w:val="TableNotes"/>
        <w:keepNext/>
        <w:spacing w:after="0"/>
        <w:rPr>
          <w:szCs w:val="18"/>
        </w:rPr>
      </w:pPr>
      <w:r w:rsidRPr="00885AB3">
        <w:rPr>
          <w:szCs w:val="16"/>
        </w:rPr>
        <w:t xml:space="preserve">Source: </w:t>
      </w:r>
      <w:r w:rsidRPr="00885AB3">
        <w:rPr>
          <w:szCs w:val="18"/>
        </w:rPr>
        <w:t>Compiled during evaluation using Attachment 17B - Moderna RSV Model_v11.14_20250613_AUS_July 2025.</w:t>
      </w:r>
    </w:p>
    <w:p w14:paraId="70691148" w14:textId="77777777" w:rsidR="00B97B6A" w:rsidRDefault="006A1AFC" w:rsidP="00120D61">
      <w:pPr>
        <w:pStyle w:val="TableNotes"/>
        <w:keepNext/>
        <w:spacing w:after="0"/>
        <w:rPr>
          <w:i/>
          <w:szCs w:val="16"/>
        </w:rPr>
      </w:pPr>
      <w:r w:rsidRPr="00885AB3">
        <w:rPr>
          <w:szCs w:val="16"/>
        </w:rPr>
        <w:t xml:space="preserve">ATAGI = Australian Technical Advisory Group on Immunisation; ED = emergency department; ICER = incremental cost-effectiveness ratio; MA-RSV-ARD = medically attended respiratory syncytial virus–acute respiratory disease; MBS = Medicare Benefits Schedule; </w:t>
      </w:r>
      <w:r w:rsidR="000A56E9" w:rsidRPr="00885AB3">
        <w:rPr>
          <w:szCs w:val="16"/>
        </w:rPr>
        <w:t xml:space="preserve">para = paragraph; </w:t>
      </w:r>
      <w:r w:rsidRPr="00885AB3">
        <w:rPr>
          <w:szCs w:val="16"/>
        </w:rPr>
        <w:t>PSD = Public Summary Document; RSV-LRTD = respiratory syncytial virus–lower respiratory tract disease</w:t>
      </w:r>
      <w:r w:rsidR="00383E39" w:rsidRPr="00885AB3">
        <w:rPr>
          <w:szCs w:val="16"/>
        </w:rPr>
        <w:t>;</w:t>
      </w:r>
      <w:r w:rsidRPr="00885AB3">
        <w:rPr>
          <w:szCs w:val="16"/>
        </w:rPr>
        <w:t xml:space="preserve"> VE = vaccine efficacy; YOA = years of age.</w:t>
      </w:r>
    </w:p>
    <w:p w14:paraId="3B2A17DC" w14:textId="311E3F24" w:rsidR="00B97B6A" w:rsidRPr="00B97B6A" w:rsidRDefault="00B97B6A" w:rsidP="00120D61">
      <w:pPr>
        <w:pStyle w:val="TableNotes"/>
        <w:keepNext/>
        <w:spacing w:after="0"/>
        <w:rPr>
          <w:i/>
          <w:szCs w:val="16"/>
        </w:rPr>
      </w:pPr>
      <w:r w:rsidRPr="00B97B6A">
        <w:rPr>
          <w:i/>
          <w:szCs w:val="16"/>
        </w:rPr>
        <w:t xml:space="preserve">The redacted values correspond to the following ranges: </w:t>
      </w:r>
    </w:p>
    <w:p w14:paraId="58E23839" w14:textId="270D0AAB" w:rsidR="00B97B6A" w:rsidRPr="00B97B6A" w:rsidRDefault="00B97B6A" w:rsidP="00120D61">
      <w:pPr>
        <w:pStyle w:val="TableNotes"/>
        <w:spacing w:after="0"/>
        <w:rPr>
          <w:i/>
          <w:szCs w:val="16"/>
        </w:rPr>
      </w:pPr>
      <w:r w:rsidRPr="00B97B6A">
        <w:rPr>
          <w:i/>
          <w:szCs w:val="16"/>
          <w:vertAlign w:val="superscript"/>
        </w:rPr>
        <w:t>1</w:t>
      </w:r>
      <w:r w:rsidRPr="00B97B6A">
        <w:rPr>
          <w:i/>
          <w:szCs w:val="16"/>
        </w:rPr>
        <w:t xml:space="preserve"> $25,000 to </w:t>
      </w:r>
      <w:r w:rsidR="001C78D7">
        <w:rPr>
          <w:i/>
          <w:szCs w:val="16"/>
        </w:rPr>
        <w:t xml:space="preserve">&lt; </w:t>
      </w:r>
      <w:r w:rsidRPr="00B97B6A">
        <w:rPr>
          <w:i/>
          <w:szCs w:val="16"/>
        </w:rPr>
        <w:t>$35,000</w:t>
      </w:r>
    </w:p>
    <w:p w14:paraId="7993D2B9" w14:textId="69932E25" w:rsidR="00B97B6A" w:rsidRPr="00B97B6A" w:rsidRDefault="00B97B6A" w:rsidP="00120D61">
      <w:pPr>
        <w:pStyle w:val="TableNotes"/>
        <w:spacing w:after="0"/>
        <w:rPr>
          <w:i/>
          <w:szCs w:val="16"/>
        </w:rPr>
      </w:pPr>
      <w:r w:rsidRPr="00B97B6A">
        <w:rPr>
          <w:i/>
          <w:szCs w:val="16"/>
          <w:vertAlign w:val="superscript"/>
        </w:rPr>
        <w:t>2</w:t>
      </w:r>
      <w:r w:rsidRPr="00B97B6A">
        <w:rPr>
          <w:i/>
          <w:szCs w:val="16"/>
        </w:rPr>
        <w:t xml:space="preserve"> </w:t>
      </w:r>
      <w:r w:rsidR="00A662FE" w:rsidRPr="00A662FE">
        <w:rPr>
          <w:i/>
          <w:szCs w:val="16"/>
        </w:rPr>
        <w:t xml:space="preserve">$15,000 to </w:t>
      </w:r>
      <w:r w:rsidR="001C78D7">
        <w:rPr>
          <w:i/>
          <w:szCs w:val="16"/>
        </w:rPr>
        <w:t xml:space="preserve">&lt; </w:t>
      </w:r>
      <w:r w:rsidR="00A662FE" w:rsidRPr="00A662FE">
        <w:rPr>
          <w:i/>
          <w:szCs w:val="16"/>
        </w:rPr>
        <w:t>$25,000</w:t>
      </w:r>
    </w:p>
    <w:p w14:paraId="7E9CA04C" w14:textId="10BE6BFB" w:rsidR="00684103" w:rsidRDefault="00B97B6A" w:rsidP="00120D61">
      <w:pPr>
        <w:pStyle w:val="TableNotes"/>
        <w:spacing w:after="0"/>
        <w:rPr>
          <w:i/>
          <w:szCs w:val="16"/>
        </w:rPr>
      </w:pPr>
      <w:r w:rsidRPr="00B97B6A">
        <w:rPr>
          <w:i/>
          <w:szCs w:val="16"/>
          <w:vertAlign w:val="superscript"/>
        </w:rPr>
        <w:t>3</w:t>
      </w:r>
      <w:r w:rsidRPr="00B97B6A">
        <w:rPr>
          <w:i/>
          <w:szCs w:val="16"/>
        </w:rPr>
        <w:t xml:space="preserve"> </w:t>
      </w:r>
      <w:r w:rsidR="00316BAE" w:rsidRPr="00316BAE">
        <w:rPr>
          <w:i/>
          <w:szCs w:val="16"/>
        </w:rPr>
        <w:t xml:space="preserve">$5,000 to </w:t>
      </w:r>
      <w:r w:rsidR="001C78D7">
        <w:rPr>
          <w:i/>
          <w:szCs w:val="16"/>
        </w:rPr>
        <w:t xml:space="preserve">&lt; </w:t>
      </w:r>
      <w:r w:rsidR="00316BAE" w:rsidRPr="00316BAE">
        <w:rPr>
          <w:i/>
          <w:szCs w:val="16"/>
        </w:rPr>
        <w:t xml:space="preserve">$15,000 </w:t>
      </w:r>
    </w:p>
    <w:p w14:paraId="46E56295" w14:textId="028C468E" w:rsidR="00B97B6A" w:rsidRPr="00B97B6A" w:rsidRDefault="00B97B6A" w:rsidP="00120D61">
      <w:pPr>
        <w:pStyle w:val="TableNotes"/>
        <w:spacing w:after="0"/>
        <w:rPr>
          <w:i/>
          <w:szCs w:val="16"/>
        </w:rPr>
      </w:pPr>
      <w:r w:rsidRPr="00B97B6A">
        <w:rPr>
          <w:i/>
          <w:szCs w:val="16"/>
          <w:vertAlign w:val="superscript"/>
        </w:rPr>
        <w:t>4</w:t>
      </w:r>
      <w:r w:rsidRPr="00B97B6A">
        <w:rPr>
          <w:i/>
          <w:szCs w:val="16"/>
        </w:rPr>
        <w:t xml:space="preserve"> </w:t>
      </w:r>
      <w:r w:rsidR="0083039F" w:rsidRPr="0083039F">
        <w:rPr>
          <w:i/>
          <w:szCs w:val="16"/>
        </w:rPr>
        <w:t xml:space="preserve">$35,000 to </w:t>
      </w:r>
      <w:r w:rsidR="001C78D7">
        <w:rPr>
          <w:i/>
          <w:szCs w:val="16"/>
        </w:rPr>
        <w:t xml:space="preserve">&lt; </w:t>
      </w:r>
      <w:r w:rsidR="0083039F" w:rsidRPr="0083039F">
        <w:rPr>
          <w:i/>
          <w:szCs w:val="16"/>
        </w:rPr>
        <w:t>$45,000</w:t>
      </w:r>
    </w:p>
    <w:p w14:paraId="6903C618" w14:textId="4B9CDAEF" w:rsidR="00B97B6A" w:rsidRPr="00B97B6A" w:rsidRDefault="00B97B6A" w:rsidP="00120D61">
      <w:pPr>
        <w:pStyle w:val="TableNotes"/>
        <w:spacing w:after="0"/>
        <w:rPr>
          <w:i/>
          <w:szCs w:val="16"/>
        </w:rPr>
      </w:pPr>
      <w:r w:rsidRPr="00B97B6A">
        <w:rPr>
          <w:i/>
          <w:szCs w:val="16"/>
          <w:vertAlign w:val="superscript"/>
        </w:rPr>
        <w:t>5</w:t>
      </w:r>
      <w:r w:rsidRPr="00B97B6A">
        <w:rPr>
          <w:i/>
          <w:szCs w:val="16"/>
        </w:rPr>
        <w:t xml:space="preserve"> </w:t>
      </w:r>
      <w:r w:rsidR="004F199C" w:rsidRPr="004F199C">
        <w:rPr>
          <w:i/>
          <w:szCs w:val="16"/>
        </w:rPr>
        <w:t xml:space="preserve">$115,000 to </w:t>
      </w:r>
      <w:r w:rsidR="001C78D7">
        <w:rPr>
          <w:i/>
          <w:szCs w:val="16"/>
        </w:rPr>
        <w:t xml:space="preserve">&lt; </w:t>
      </w:r>
      <w:r w:rsidR="004F199C" w:rsidRPr="004F199C">
        <w:rPr>
          <w:i/>
          <w:szCs w:val="16"/>
        </w:rPr>
        <w:t>$135,000</w:t>
      </w:r>
    </w:p>
    <w:p w14:paraId="50D369FF" w14:textId="07E103A6" w:rsidR="00B97B6A" w:rsidRPr="00B97B6A" w:rsidRDefault="00B97B6A" w:rsidP="00120D61">
      <w:pPr>
        <w:pStyle w:val="TableNotes"/>
        <w:spacing w:after="0"/>
        <w:rPr>
          <w:i/>
          <w:szCs w:val="16"/>
        </w:rPr>
      </w:pPr>
      <w:r w:rsidRPr="00B97B6A">
        <w:rPr>
          <w:i/>
          <w:szCs w:val="16"/>
          <w:vertAlign w:val="superscript"/>
        </w:rPr>
        <w:t>6</w:t>
      </w:r>
      <w:r w:rsidRPr="00B97B6A">
        <w:rPr>
          <w:i/>
          <w:szCs w:val="16"/>
        </w:rPr>
        <w:t xml:space="preserve"> </w:t>
      </w:r>
      <w:r w:rsidR="007F2AFC" w:rsidRPr="007F2AFC">
        <w:rPr>
          <w:i/>
          <w:szCs w:val="16"/>
        </w:rPr>
        <w:t xml:space="preserve">$55,000 to </w:t>
      </w:r>
      <w:r w:rsidR="001C78D7">
        <w:rPr>
          <w:i/>
          <w:szCs w:val="16"/>
        </w:rPr>
        <w:t xml:space="preserve">&lt; </w:t>
      </w:r>
      <w:r w:rsidR="007F2AFC" w:rsidRPr="007F2AFC">
        <w:rPr>
          <w:i/>
          <w:szCs w:val="16"/>
        </w:rPr>
        <w:t>$75,000</w:t>
      </w:r>
    </w:p>
    <w:p w14:paraId="59964F53" w14:textId="14F349F2" w:rsidR="00B97B6A" w:rsidRPr="00B97B6A" w:rsidRDefault="00B97B6A" w:rsidP="00120D61">
      <w:pPr>
        <w:pStyle w:val="TableNotes"/>
        <w:spacing w:after="0"/>
        <w:rPr>
          <w:i/>
          <w:szCs w:val="16"/>
        </w:rPr>
      </w:pPr>
      <w:r w:rsidRPr="00B97B6A">
        <w:rPr>
          <w:i/>
          <w:szCs w:val="16"/>
          <w:vertAlign w:val="superscript"/>
        </w:rPr>
        <w:t>7</w:t>
      </w:r>
      <w:r w:rsidRPr="00B97B6A">
        <w:rPr>
          <w:i/>
          <w:szCs w:val="16"/>
        </w:rPr>
        <w:t xml:space="preserve"> </w:t>
      </w:r>
      <w:r w:rsidR="001957C9" w:rsidRPr="001957C9">
        <w:rPr>
          <w:i/>
          <w:szCs w:val="16"/>
        </w:rPr>
        <w:t xml:space="preserve">$45,000 to </w:t>
      </w:r>
      <w:r w:rsidR="001C78D7">
        <w:rPr>
          <w:i/>
          <w:szCs w:val="16"/>
        </w:rPr>
        <w:t xml:space="preserve">&lt; </w:t>
      </w:r>
      <w:r w:rsidR="001957C9" w:rsidRPr="001957C9">
        <w:rPr>
          <w:i/>
          <w:szCs w:val="16"/>
        </w:rPr>
        <w:t>$55,000</w:t>
      </w:r>
    </w:p>
    <w:p w14:paraId="766E0E5F" w14:textId="4ADA1313" w:rsidR="00B97B6A" w:rsidRPr="00B97B6A" w:rsidRDefault="00B97B6A" w:rsidP="00120D61">
      <w:pPr>
        <w:pStyle w:val="TableNotes"/>
        <w:spacing w:after="0"/>
        <w:rPr>
          <w:i/>
          <w:szCs w:val="16"/>
        </w:rPr>
      </w:pPr>
      <w:r w:rsidRPr="00B97B6A">
        <w:rPr>
          <w:i/>
          <w:szCs w:val="16"/>
          <w:vertAlign w:val="superscript"/>
        </w:rPr>
        <w:t>8</w:t>
      </w:r>
      <w:r w:rsidRPr="00B97B6A">
        <w:rPr>
          <w:i/>
          <w:szCs w:val="16"/>
        </w:rPr>
        <w:t xml:space="preserve"> $155,000 to </w:t>
      </w:r>
      <w:r w:rsidR="001C78D7">
        <w:rPr>
          <w:i/>
          <w:szCs w:val="16"/>
        </w:rPr>
        <w:t xml:space="preserve">&lt; </w:t>
      </w:r>
      <w:r w:rsidRPr="00B97B6A">
        <w:rPr>
          <w:i/>
          <w:szCs w:val="16"/>
        </w:rPr>
        <w:t>$255,000</w:t>
      </w:r>
    </w:p>
    <w:p w14:paraId="20E2BDE7" w14:textId="772A4FF0" w:rsidR="006A1AFC" w:rsidRPr="00885AB3" w:rsidRDefault="006A1AFC" w:rsidP="00120D61">
      <w:pPr>
        <w:pStyle w:val="TableNotes"/>
        <w:keepNext/>
        <w:spacing w:after="0"/>
        <w:rPr>
          <w:szCs w:val="16"/>
        </w:rPr>
      </w:pPr>
    </w:p>
    <w:p w14:paraId="3FCFD919" w14:textId="77777777" w:rsidR="006A1AFC" w:rsidRPr="00885AB3" w:rsidRDefault="006A1AFC" w:rsidP="00120D61">
      <w:pPr>
        <w:pStyle w:val="TableNotes"/>
        <w:spacing w:after="0"/>
        <w:rPr>
          <w:szCs w:val="16"/>
        </w:rPr>
      </w:pPr>
    </w:p>
    <w:p w14:paraId="2C970207" w14:textId="77777777" w:rsidR="00AC409E" w:rsidRPr="00885AB3" w:rsidRDefault="00AC409E" w:rsidP="00120D61">
      <w:pPr>
        <w:pStyle w:val="TableNotes"/>
        <w:spacing w:after="0"/>
        <w:rPr>
          <w:szCs w:val="16"/>
        </w:rPr>
      </w:pPr>
    </w:p>
    <w:p w14:paraId="153D3499" w14:textId="2EF44704" w:rsidR="00AC409E" w:rsidRPr="00885AB3" w:rsidRDefault="000B501F" w:rsidP="00120D61">
      <w:pPr>
        <w:pStyle w:val="3-BodyText"/>
        <w:spacing w:after="0"/>
        <w:rPr>
          <w:szCs w:val="16"/>
        </w:rPr>
      </w:pPr>
      <w:bookmarkStart w:id="140" w:name="_Ref211850370"/>
      <w:r w:rsidRPr="00885AB3">
        <w:lastRenderedPageBreak/>
        <w:t>The ESC noted numerous concerns regarding the economic model, as discussed above</w:t>
      </w:r>
      <w:r w:rsidR="00ED7258" w:rsidRPr="00885AB3">
        <w:t xml:space="preserve">. The ESC considered that </w:t>
      </w:r>
      <w:r w:rsidR="00ED7258" w:rsidRPr="00885AB3">
        <w:rPr>
          <w:rFonts w:cs="Calibri"/>
        </w:rPr>
        <w:t>to determine an appropriate cost-effective price for mRNA</w:t>
      </w:r>
      <w:r w:rsidR="00ED7258" w:rsidRPr="00885AB3">
        <w:rPr>
          <w:rFonts w:cs="Calibri"/>
        </w:rPr>
        <w:noBreakHyphen/>
        <w:t>1345 against placebo, several</w:t>
      </w:r>
      <w:r w:rsidRPr="00885AB3">
        <w:t xml:space="preserve"> model inputs would require revision to address the identified concerns. The ESC considered the </w:t>
      </w:r>
      <w:r w:rsidRPr="00885AB3">
        <w:rPr>
          <w:rFonts w:cstheme="minorHAnsi"/>
        </w:rPr>
        <w:t>modelled VE estimates to be unreliable</w:t>
      </w:r>
      <w:r w:rsidR="00ED7258" w:rsidRPr="00885AB3">
        <w:rPr>
          <w:rFonts w:cstheme="minorHAnsi"/>
        </w:rPr>
        <w:t xml:space="preserve">, noting that the duration of protection from the vaccine was uncertain but data suggested more rapid waning of effect with </w:t>
      </w:r>
      <w:r w:rsidR="00ED7258" w:rsidRPr="00885AB3">
        <w:t>mRNA</w:t>
      </w:r>
      <w:r w:rsidR="00ED7258" w:rsidRPr="00885AB3">
        <w:noBreakHyphen/>
        <w:t xml:space="preserve">1345 than </w:t>
      </w:r>
      <w:proofErr w:type="spellStart"/>
      <w:r w:rsidR="00ED7258" w:rsidRPr="00885AB3">
        <w:t>RSVPreF</w:t>
      </w:r>
      <w:proofErr w:type="spellEnd"/>
      <w:r w:rsidR="00ED7258" w:rsidRPr="00885AB3">
        <w:t xml:space="preserve"> and RSVPreF3 OA (paragraph </w:t>
      </w:r>
      <w:r w:rsidR="00ED7258" w:rsidRPr="00885AB3">
        <w:fldChar w:fldCharType="begin" w:fldLock="1"/>
      </w:r>
      <w:r w:rsidR="00ED7258" w:rsidRPr="00885AB3">
        <w:instrText xml:space="preserve"> REF _Ref211850226 \r \h </w:instrText>
      </w:r>
      <w:r w:rsidR="005F5B2F" w:rsidRPr="00885AB3">
        <w:instrText xml:space="preserve"> \* MERGEFORMAT </w:instrText>
      </w:r>
      <w:r w:rsidR="00ED7258" w:rsidRPr="00885AB3">
        <w:fldChar w:fldCharType="separate"/>
      </w:r>
      <w:r w:rsidR="00515933" w:rsidRPr="00885AB3">
        <w:t>2.7</w:t>
      </w:r>
      <w:r w:rsidR="00ED7258" w:rsidRPr="00885AB3">
        <w:fldChar w:fldCharType="end"/>
      </w:r>
      <w:r w:rsidR="00ED7258" w:rsidRPr="00885AB3">
        <w:t xml:space="preserve">). </w:t>
      </w:r>
      <w:r w:rsidRPr="00885AB3">
        <w:t xml:space="preserve">Other key concerns were: </w:t>
      </w:r>
      <w:r w:rsidR="007402E5" w:rsidRPr="00885AB3">
        <w:t>h</w:t>
      </w:r>
      <w:r w:rsidRPr="00885AB3">
        <w:t>ospitalisation rate, RSV</w:t>
      </w:r>
      <w:r w:rsidR="00ED7258" w:rsidRPr="00885AB3">
        <w:noBreakHyphen/>
      </w:r>
      <w:r w:rsidRPr="00885AB3">
        <w:t xml:space="preserve">related mortality, </w:t>
      </w:r>
      <w:r w:rsidR="007402E5" w:rsidRPr="00885AB3">
        <w:t>u</w:t>
      </w:r>
      <w:r w:rsidRPr="00885AB3">
        <w:t xml:space="preserve">tility values, RSV management costs, and </w:t>
      </w:r>
      <w:r w:rsidR="007402E5" w:rsidRPr="00885AB3">
        <w:t>d</w:t>
      </w:r>
      <w:r w:rsidRPr="00885AB3">
        <w:t xml:space="preserve">iscount rate. </w:t>
      </w:r>
      <w:r w:rsidR="00ED7258" w:rsidRPr="00885AB3">
        <w:rPr>
          <w:rFonts w:cs="Calibri"/>
        </w:rPr>
        <w:t xml:space="preserve">The ESC considered that key model parameters such as discount rate, </w:t>
      </w:r>
      <w:r w:rsidRPr="00885AB3">
        <w:rPr>
          <w:rFonts w:cs="Calibri"/>
        </w:rPr>
        <w:t>baseline risks and management costs should be consistent with the models of other RSV vaccines considered by the PBAC. The ESC noted the multivariate sensitivity analyses prepared during the evaluation and considered these were informative.</w:t>
      </w:r>
      <w:bookmarkEnd w:id="140"/>
      <w:r w:rsidR="001C78D7">
        <w:rPr>
          <w:rFonts w:cs="Calibri"/>
        </w:rPr>
        <w:t xml:space="preserve"> </w:t>
      </w:r>
    </w:p>
    <w:p w14:paraId="23C87CE9" w14:textId="77777777" w:rsidR="006A1AFC" w:rsidRPr="00885AB3" w:rsidRDefault="006A1AFC" w:rsidP="00120D61">
      <w:pPr>
        <w:pStyle w:val="4-SubsectionHeading"/>
        <w:rPr>
          <w:rFonts w:ascii="Calibri" w:hAnsi="Calibri" w:cs="Calibri"/>
        </w:rPr>
      </w:pPr>
      <w:bookmarkStart w:id="141" w:name="_Toc22897646"/>
      <w:bookmarkStart w:id="142" w:name="_Toc198731711"/>
      <w:bookmarkStart w:id="143" w:name="_Toc208998518"/>
      <w:bookmarkStart w:id="144" w:name="_Hlk107307804"/>
      <w:r w:rsidRPr="00885AB3">
        <w:rPr>
          <w:rFonts w:ascii="Calibri" w:hAnsi="Calibri" w:cs="Calibri"/>
        </w:rPr>
        <w:t>mRNA-1345 cost per person</w:t>
      </w:r>
      <w:bookmarkEnd w:id="141"/>
      <w:bookmarkEnd w:id="142"/>
      <w:bookmarkEnd w:id="143"/>
    </w:p>
    <w:p w14:paraId="5D6CAE8A" w14:textId="15CCABCB" w:rsidR="006A1AFC" w:rsidRPr="00885AB3" w:rsidRDefault="006A1AFC" w:rsidP="00120D61">
      <w:pPr>
        <w:pStyle w:val="3-BodyText"/>
        <w:rPr>
          <w:rFonts w:cs="Calibri"/>
        </w:rPr>
      </w:pPr>
      <w:bookmarkStart w:id="145" w:name="_Ref104805102"/>
      <w:r w:rsidRPr="00885AB3">
        <w:rPr>
          <w:rFonts w:cs="Calibri"/>
        </w:rPr>
        <w:t xml:space="preserve">The intervention costs per patient are presented in </w:t>
      </w:r>
      <w:r w:rsidRPr="00885AB3">
        <w:rPr>
          <w:rFonts w:cs="Calibri"/>
        </w:rPr>
        <w:fldChar w:fldCharType="begin" w:fldLock="1"/>
      </w:r>
      <w:r w:rsidRPr="00885AB3">
        <w:rPr>
          <w:rFonts w:cs="Calibri"/>
        </w:rPr>
        <w:instrText xml:space="preserve"> REF _Ref205826172 \h  \* MERGEFORMAT </w:instrText>
      </w:r>
      <w:r w:rsidRPr="00885AB3">
        <w:rPr>
          <w:rFonts w:cs="Calibri"/>
        </w:rPr>
      </w:r>
      <w:r w:rsidRPr="00885AB3">
        <w:rPr>
          <w:rFonts w:cs="Calibri"/>
        </w:rPr>
        <w:fldChar w:fldCharType="separate"/>
      </w:r>
      <w:r w:rsidR="00515933" w:rsidRPr="00885AB3">
        <w:rPr>
          <w:rFonts w:cs="Calibri"/>
        </w:rPr>
        <w:t xml:space="preserve">Table </w:t>
      </w:r>
      <w:r w:rsidR="00515933" w:rsidRPr="00885AB3">
        <w:t>24</w:t>
      </w:r>
      <w:r w:rsidRPr="00885AB3">
        <w:rPr>
          <w:rFonts w:cs="Calibri"/>
        </w:rPr>
        <w:fldChar w:fldCharType="end"/>
      </w:r>
      <w:r w:rsidRPr="00885AB3">
        <w:rPr>
          <w:rFonts w:cs="Calibri"/>
        </w:rPr>
        <w:t>.</w:t>
      </w:r>
    </w:p>
    <w:p w14:paraId="2D70D14E" w14:textId="7E049AC2" w:rsidR="006A1AFC" w:rsidRPr="00885AB3" w:rsidRDefault="006A1AFC" w:rsidP="00120D61">
      <w:pPr>
        <w:pStyle w:val="Caption"/>
        <w:rPr>
          <w:rStyle w:val="CommentReference"/>
          <w:b/>
          <w:szCs w:val="24"/>
        </w:rPr>
      </w:pPr>
      <w:bookmarkStart w:id="146" w:name="_Ref205826172"/>
      <w:bookmarkEnd w:id="145"/>
      <w:r w:rsidRPr="00885AB3">
        <w:t xml:space="preserve">Table </w:t>
      </w:r>
      <w:r w:rsidR="008A242D" w:rsidRPr="00885AB3">
        <w:fldChar w:fldCharType="begin" w:fldLock="1"/>
      </w:r>
      <w:r w:rsidR="008A242D" w:rsidRPr="00885AB3">
        <w:instrText xml:space="preserve"> SEQ Table \* ARABIC </w:instrText>
      </w:r>
      <w:r w:rsidR="008A242D" w:rsidRPr="00885AB3">
        <w:fldChar w:fldCharType="separate"/>
      </w:r>
      <w:r w:rsidR="00515933" w:rsidRPr="00885AB3">
        <w:t>24</w:t>
      </w:r>
      <w:r w:rsidR="008A242D" w:rsidRPr="00885AB3">
        <w:fldChar w:fldCharType="end"/>
      </w:r>
      <w:bookmarkEnd w:id="146"/>
      <w:r w:rsidRPr="00885AB3">
        <w:t>: Vaccine cost per person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24: Vaccine cost per person"/>
      </w:tblPr>
      <w:tblGrid>
        <w:gridCol w:w="1804"/>
        <w:gridCol w:w="1804"/>
        <w:gridCol w:w="1803"/>
        <w:gridCol w:w="1803"/>
        <w:gridCol w:w="1803"/>
      </w:tblGrid>
      <w:tr w:rsidR="006A1AFC" w:rsidRPr="00885AB3" w14:paraId="3C036132" w14:textId="77777777">
        <w:trPr>
          <w:cantSplit/>
          <w:trHeight w:val="807"/>
          <w:tblHeader/>
          <w:jc w:val="center"/>
        </w:trPr>
        <w:tc>
          <w:tcPr>
            <w:tcW w:w="1000" w:type="pct"/>
            <w:vAlign w:val="center"/>
          </w:tcPr>
          <w:p w14:paraId="5C1A69C3" w14:textId="77777777" w:rsidR="006A1AFC" w:rsidRPr="00885AB3" w:rsidRDefault="006A1AFC" w:rsidP="00120D61">
            <w:pPr>
              <w:rPr>
                <w:rFonts w:ascii="Arial Narrow" w:hAnsi="Arial Narrow"/>
                <w:sz w:val="20"/>
                <w:szCs w:val="20"/>
              </w:rPr>
            </w:pPr>
          </w:p>
        </w:tc>
        <w:tc>
          <w:tcPr>
            <w:tcW w:w="1000" w:type="pct"/>
            <w:vAlign w:val="center"/>
          </w:tcPr>
          <w:p w14:paraId="7C58422A" w14:textId="77777777" w:rsidR="006A1AFC" w:rsidRPr="00885AB3" w:rsidRDefault="006A1AFC" w:rsidP="00120D61">
            <w:pPr>
              <w:jc w:val="center"/>
              <w:rPr>
                <w:rFonts w:ascii="Arial Narrow" w:hAnsi="Arial Narrow"/>
                <w:b/>
                <w:bCs/>
                <w:sz w:val="20"/>
                <w:szCs w:val="20"/>
              </w:rPr>
            </w:pPr>
            <w:r w:rsidRPr="00885AB3">
              <w:rPr>
                <w:rFonts w:ascii="Arial Narrow" w:hAnsi="Arial Narrow"/>
                <w:b/>
                <w:bCs/>
                <w:sz w:val="20"/>
                <w:szCs w:val="20"/>
              </w:rPr>
              <w:t>Trial dose and duration</w:t>
            </w:r>
          </w:p>
        </w:tc>
        <w:tc>
          <w:tcPr>
            <w:tcW w:w="1000" w:type="pct"/>
            <w:vAlign w:val="center"/>
          </w:tcPr>
          <w:p w14:paraId="60EF4DC7" w14:textId="77777777" w:rsidR="006A1AFC" w:rsidRPr="00885AB3" w:rsidRDefault="006A1AFC" w:rsidP="00120D61">
            <w:pPr>
              <w:jc w:val="center"/>
              <w:rPr>
                <w:rFonts w:ascii="Arial Narrow" w:hAnsi="Arial Narrow"/>
                <w:b/>
                <w:bCs/>
                <w:sz w:val="20"/>
                <w:szCs w:val="20"/>
              </w:rPr>
            </w:pPr>
            <w:r w:rsidRPr="00885AB3">
              <w:rPr>
                <w:rFonts w:ascii="Arial Narrow" w:hAnsi="Arial Narrow"/>
                <w:b/>
                <w:bCs/>
                <w:sz w:val="20"/>
                <w:szCs w:val="20"/>
              </w:rPr>
              <w:t>Cost-minimisation approach</w:t>
            </w:r>
          </w:p>
        </w:tc>
        <w:tc>
          <w:tcPr>
            <w:tcW w:w="1000" w:type="pct"/>
            <w:vAlign w:val="center"/>
          </w:tcPr>
          <w:p w14:paraId="5787A355" w14:textId="77777777" w:rsidR="006A1AFC" w:rsidRPr="00885AB3" w:rsidRDefault="006A1AFC" w:rsidP="00120D61">
            <w:pPr>
              <w:jc w:val="center"/>
              <w:rPr>
                <w:rFonts w:ascii="Arial Narrow" w:hAnsi="Arial Narrow"/>
                <w:b/>
                <w:bCs/>
                <w:sz w:val="20"/>
                <w:szCs w:val="20"/>
              </w:rPr>
            </w:pPr>
            <w:r w:rsidRPr="00885AB3">
              <w:rPr>
                <w:rFonts w:ascii="Arial Narrow" w:hAnsi="Arial Narrow"/>
                <w:b/>
                <w:bCs/>
                <w:sz w:val="20"/>
                <w:szCs w:val="20"/>
              </w:rPr>
              <w:t>Cost utility analysis</w:t>
            </w:r>
          </w:p>
        </w:tc>
        <w:tc>
          <w:tcPr>
            <w:tcW w:w="1000" w:type="pct"/>
            <w:vAlign w:val="center"/>
          </w:tcPr>
          <w:p w14:paraId="0991DE22" w14:textId="77777777" w:rsidR="006A1AFC" w:rsidRPr="00885AB3" w:rsidRDefault="006A1AFC" w:rsidP="00120D61">
            <w:pPr>
              <w:jc w:val="center"/>
              <w:rPr>
                <w:rFonts w:ascii="Arial Narrow" w:hAnsi="Arial Narrow"/>
                <w:b/>
                <w:bCs/>
                <w:sz w:val="20"/>
                <w:szCs w:val="20"/>
              </w:rPr>
            </w:pPr>
            <w:r w:rsidRPr="00885AB3">
              <w:rPr>
                <w:rFonts w:ascii="Arial Narrow" w:hAnsi="Arial Narrow"/>
                <w:b/>
                <w:bCs/>
                <w:sz w:val="20"/>
                <w:szCs w:val="20"/>
              </w:rPr>
              <w:t>Financial estimates</w:t>
            </w:r>
          </w:p>
        </w:tc>
      </w:tr>
      <w:tr w:rsidR="006A1AFC" w:rsidRPr="00885AB3" w14:paraId="08579772" w14:textId="77777777">
        <w:trPr>
          <w:cantSplit/>
          <w:jc w:val="center"/>
        </w:trPr>
        <w:tc>
          <w:tcPr>
            <w:tcW w:w="1000" w:type="pct"/>
            <w:vAlign w:val="center"/>
          </w:tcPr>
          <w:p w14:paraId="68B48065" w14:textId="77777777" w:rsidR="006A1AFC" w:rsidRPr="00885AB3" w:rsidRDefault="006A1AFC" w:rsidP="00120D61">
            <w:pPr>
              <w:rPr>
                <w:rFonts w:ascii="Arial Narrow" w:hAnsi="Arial Narrow"/>
                <w:sz w:val="20"/>
                <w:szCs w:val="20"/>
              </w:rPr>
            </w:pPr>
            <w:r w:rsidRPr="00885AB3">
              <w:rPr>
                <w:rFonts w:ascii="Arial Narrow" w:hAnsi="Arial Narrow"/>
                <w:sz w:val="20"/>
                <w:szCs w:val="20"/>
              </w:rPr>
              <w:t>Mean dose</w:t>
            </w:r>
          </w:p>
        </w:tc>
        <w:tc>
          <w:tcPr>
            <w:tcW w:w="1000" w:type="pct"/>
            <w:vAlign w:val="center"/>
          </w:tcPr>
          <w:p w14:paraId="6FAE9C99" w14:textId="77777777" w:rsidR="006A1AFC" w:rsidRPr="00885AB3" w:rsidRDefault="006A1AFC" w:rsidP="00120D61">
            <w:pPr>
              <w:jc w:val="center"/>
              <w:rPr>
                <w:rFonts w:ascii="Arial Narrow" w:hAnsi="Arial Narrow"/>
                <w:sz w:val="20"/>
                <w:szCs w:val="20"/>
              </w:rPr>
            </w:pPr>
            <w:r w:rsidRPr="00885AB3">
              <w:rPr>
                <w:rFonts w:ascii="Arial Narrow" w:hAnsi="Arial Narrow"/>
                <w:sz w:val="20"/>
                <w:szCs w:val="20"/>
              </w:rPr>
              <w:t>1 dose</w:t>
            </w:r>
          </w:p>
        </w:tc>
        <w:tc>
          <w:tcPr>
            <w:tcW w:w="1000" w:type="pct"/>
            <w:vAlign w:val="center"/>
          </w:tcPr>
          <w:p w14:paraId="18BA87BB" w14:textId="77777777" w:rsidR="006A1AFC" w:rsidRPr="00885AB3" w:rsidRDefault="006A1AFC" w:rsidP="00120D61">
            <w:pPr>
              <w:jc w:val="center"/>
              <w:rPr>
                <w:rFonts w:ascii="Arial Narrow" w:hAnsi="Arial Narrow"/>
                <w:sz w:val="20"/>
                <w:szCs w:val="20"/>
              </w:rPr>
            </w:pPr>
            <w:r w:rsidRPr="00885AB3">
              <w:rPr>
                <w:rFonts w:ascii="Arial Narrow" w:hAnsi="Arial Narrow"/>
                <w:sz w:val="20"/>
                <w:szCs w:val="20"/>
              </w:rPr>
              <w:t>1 dose</w:t>
            </w:r>
          </w:p>
        </w:tc>
        <w:tc>
          <w:tcPr>
            <w:tcW w:w="1000" w:type="pct"/>
            <w:vAlign w:val="center"/>
          </w:tcPr>
          <w:p w14:paraId="46F5C502" w14:textId="77777777" w:rsidR="006A1AFC" w:rsidRPr="00885AB3" w:rsidRDefault="006A1AFC" w:rsidP="00120D61">
            <w:pPr>
              <w:jc w:val="center"/>
              <w:rPr>
                <w:rFonts w:ascii="Arial Narrow" w:hAnsi="Arial Narrow"/>
                <w:sz w:val="20"/>
                <w:szCs w:val="20"/>
              </w:rPr>
            </w:pPr>
            <w:r w:rsidRPr="00885AB3">
              <w:rPr>
                <w:rFonts w:ascii="Arial Narrow" w:hAnsi="Arial Narrow"/>
                <w:sz w:val="20"/>
                <w:szCs w:val="20"/>
              </w:rPr>
              <w:t>1 dose</w:t>
            </w:r>
          </w:p>
        </w:tc>
        <w:tc>
          <w:tcPr>
            <w:tcW w:w="1000" w:type="pct"/>
            <w:vAlign w:val="center"/>
          </w:tcPr>
          <w:p w14:paraId="5D93C0C8" w14:textId="77777777" w:rsidR="006A1AFC" w:rsidRPr="00885AB3" w:rsidRDefault="006A1AFC" w:rsidP="00120D61">
            <w:pPr>
              <w:jc w:val="center"/>
              <w:rPr>
                <w:rFonts w:ascii="Arial Narrow" w:hAnsi="Arial Narrow"/>
                <w:sz w:val="20"/>
                <w:szCs w:val="20"/>
              </w:rPr>
            </w:pPr>
            <w:r w:rsidRPr="00885AB3">
              <w:rPr>
                <w:rFonts w:ascii="Arial Narrow" w:hAnsi="Arial Narrow"/>
                <w:sz w:val="20"/>
                <w:szCs w:val="20"/>
              </w:rPr>
              <w:t>1 dose</w:t>
            </w:r>
          </w:p>
        </w:tc>
      </w:tr>
      <w:tr w:rsidR="006A1AFC" w:rsidRPr="00885AB3" w14:paraId="2EBEF0B7" w14:textId="77777777">
        <w:trPr>
          <w:cantSplit/>
          <w:jc w:val="center"/>
        </w:trPr>
        <w:tc>
          <w:tcPr>
            <w:tcW w:w="1000" w:type="pct"/>
            <w:vAlign w:val="center"/>
          </w:tcPr>
          <w:p w14:paraId="23599B46" w14:textId="77777777" w:rsidR="006A1AFC" w:rsidRPr="00885AB3" w:rsidRDefault="006A1AFC" w:rsidP="00120D61">
            <w:pPr>
              <w:rPr>
                <w:rFonts w:ascii="Arial Narrow" w:hAnsi="Arial Narrow"/>
                <w:sz w:val="20"/>
                <w:szCs w:val="20"/>
              </w:rPr>
            </w:pPr>
            <w:r w:rsidRPr="00885AB3">
              <w:rPr>
                <w:rFonts w:ascii="Arial Narrow" w:hAnsi="Arial Narrow"/>
                <w:sz w:val="20"/>
                <w:szCs w:val="20"/>
              </w:rPr>
              <w:t>Mean duration</w:t>
            </w:r>
          </w:p>
        </w:tc>
        <w:tc>
          <w:tcPr>
            <w:tcW w:w="1000" w:type="pct"/>
            <w:vAlign w:val="center"/>
          </w:tcPr>
          <w:p w14:paraId="3FA6A25F" w14:textId="77777777" w:rsidR="006A1AFC" w:rsidRPr="00885AB3" w:rsidRDefault="006A1AFC" w:rsidP="00120D61">
            <w:pPr>
              <w:jc w:val="center"/>
              <w:rPr>
                <w:rFonts w:ascii="Arial Narrow" w:hAnsi="Arial Narrow"/>
                <w:sz w:val="20"/>
                <w:szCs w:val="20"/>
                <w:vertAlign w:val="superscript"/>
              </w:rPr>
            </w:pPr>
            <w:r w:rsidRPr="00885AB3">
              <w:rPr>
                <w:rFonts w:ascii="Arial Narrow" w:hAnsi="Arial Narrow"/>
                <w:sz w:val="20"/>
                <w:szCs w:val="20"/>
              </w:rPr>
              <w:t>One-off</w:t>
            </w:r>
          </w:p>
        </w:tc>
        <w:tc>
          <w:tcPr>
            <w:tcW w:w="1000" w:type="pct"/>
            <w:vAlign w:val="center"/>
          </w:tcPr>
          <w:p w14:paraId="76AFFD76" w14:textId="77777777" w:rsidR="006A1AFC" w:rsidRPr="00885AB3" w:rsidRDefault="006A1AFC" w:rsidP="00120D61">
            <w:pPr>
              <w:jc w:val="center"/>
              <w:rPr>
                <w:rFonts w:ascii="Arial Narrow" w:hAnsi="Arial Narrow"/>
                <w:sz w:val="20"/>
                <w:szCs w:val="20"/>
              </w:rPr>
            </w:pPr>
            <w:r w:rsidRPr="00885AB3">
              <w:rPr>
                <w:rFonts w:ascii="Arial Narrow" w:hAnsi="Arial Narrow"/>
                <w:sz w:val="20"/>
                <w:szCs w:val="20"/>
              </w:rPr>
              <w:t>One-off</w:t>
            </w:r>
          </w:p>
        </w:tc>
        <w:tc>
          <w:tcPr>
            <w:tcW w:w="1000" w:type="pct"/>
            <w:vAlign w:val="center"/>
          </w:tcPr>
          <w:p w14:paraId="589B87BC" w14:textId="77777777" w:rsidR="006A1AFC" w:rsidRPr="00885AB3" w:rsidRDefault="006A1AFC" w:rsidP="00120D61">
            <w:pPr>
              <w:jc w:val="center"/>
              <w:rPr>
                <w:rFonts w:ascii="Arial Narrow" w:hAnsi="Arial Narrow"/>
                <w:sz w:val="20"/>
                <w:szCs w:val="20"/>
              </w:rPr>
            </w:pPr>
            <w:r w:rsidRPr="00885AB3">
              <w:rPr>
                <w:rFonts w:ascii="Arial Narrow" w:hAnsi="Arial Narrow"/>
                <w:sz w:val="20"/>
                <w:szCs w:val="20"/>
              </w:rPr>
              <w:t>One-off</w:t>
            </w:r>
          </w:p>
        </w:tc>
        <w:tc>
          <w:tcPr>
            <w:tcW w:w="1000" w:type="pct"/>
            <w:vAlign w:val="center"/>
          </w:tcPr>
          <w:p w14:paraId="61B3187A" w14:textId="77777777" w:rsidR="006A1AFC" w:rsidRPr="00885AB3" w:rsidRDefault="006A1AFC" w:rsidP="00120D61">
            <w:pPr>
              <w:jc w:val="center"/>
              <w:rPr>
                <w:rFonts w:ascii="Arial Narrow" w:hAnsi="Arial Narrow"/>
                <w:sz w:val="20"/>
                <w:szCs w:val="20"/>
              </w:rPr>
            </w:pPr>
            <w:r w:rsidRPr="00885AB3">
              <w:rPr>
                <w:rFonts w:ascii="Arial Narrow" w:hAnsi="Arial Narrow"/>
                <w:sz w:val="20"/>
                <w:szCs w:val="20"/>
              </w:rPr>
              <w:t>One-off</w:t>
            </w:r>
          </w:p>
        </w:tc>
      </w:tr>
      <w:tr w:rsidR="006A1AFC" w:rsidRPr="00885AB3" w14:paraId="0F08F4E4" w14:textId="77777777">
        <w:trPr>
          <w:cantSplit/>
          <w:jc w:val="center"/>
        </w:trPr>
        <w:tc>
          <w:tcPr>
            <w:tcW w:w="1000" w:type="pct"/>
            <w:vAlign w:val="center"/>
          </w:tcPr>
          <w:p w14:paraId="6E2561A3" w14:textId="77777777" w:rsidR="006A1AFC" w:rsidRPr="00885AB3" w:rsidRDefault="006A1AFC" w:rsidP="00120D61">
            <w:pPr>
              <w:rPr>
                <w:rFonts w:ascii="Arial Narrow" w:hAnsi="Arial Narrow"/>
                <w:sz w:val="20"/>
                <w:szCs w:val="20"/>
              </w:rPr>
            </w:pPr>
            <w:r w:rsidRPr="00885AB3">
              <w:rPr>
                <w:rFonts w:ascii="Arial Narrow" w:hAnsi="Arial Narrow"/>
                <w:sz w:val="20"/>
                <w:szCs w:val="20"/>
              </w:rPr>
              <w:t>Vaccine acquisition</w:t>
            </w:r>
          </w:p>
        </w:tc>
        <w:tc>
          <w:tcPr>
            <w:tcW w:w="1000" w:type="pct"/>
            <w:vAlign w:val="center"/>
          </w:tcPr>
          <w:p w14:paraId="2B1F9D28" w14:textId="70D63570" w:rsidR="006A1AFC" w:rsidRPr="00885AB3" w:rsidRDefault="006A1AFC" w:rsidP="00120D61">
            <w:pPr>
              <w:jc w:val="center"/>
              <w:rPr>
                <w:rFonts w:ascii="Arial Narrow" w:hAnsi="Arial Narrow"/>
                <w:sz w:val="20"/>
                <w:szCs w:val="20"/>
              </w:rPr>
            </w:pPr>
            <w:r w:rsidRPr="00885AB3">
              <w:rPr>
                <w:rFonts w:ascii="Arial Narrow" w:hAnsi="Arial Narrow"/>
                <w:sz w:val="20"/>
                <w:szCs w:val="20"/>
              </w:rPr>
              <w:t>$</w:t>
            </w:r>
            <w:r w:rsidR="004B5AFE" w:rsidRPr="004B5AFE">
              <w:rPr>
                <w:rFonts w:ascii="Arial Narrow" w:hAnsi="Arial Narrow"/>
                <w:sz w:val="20"/>
                <w:szCs w:val="20"/>
                <w:highlight w:val="black"/>
              </w:rPr>
              <w:t xml:space="preserve"> &amp;&amp;&amp;&amp;</w:t>
            </w:r>
          </w:p>
        </w:tc>
        <w:tc>
          <w:tcPr>
            <w:tcW w:w="1000" w:type="pct"/>
            <w:vAlign w:val="center"/>
          </w:tcPr>
          <w:p w14:paraId="76DCD395" w14:textId="29D03844" w:rsidR="006A1AFC" w:rsidRPr="00885AB3" w:rsidRDefault="006A1AFC" w:rsidP="00120D61">
            <w:pPr>
              <w:jc w:val="center"/>
              <w:rPr>
                <w:rFonts w:ascii="Arial Narrow" w:hAnsi="Arial Narrow"/>
                <w:sz w:val="20"/>
                <w:szCs w:val="20"/>
              </w:rPr>
            </w:pPr>
            <w:r w:rsidRPr="00885AB3">
              <w:rPr>
                <w:rFonts w:ascii="Arial Narrow" w:hAnsi="Arial Narrow"/>
                <w:sz w:val="20"/>
                <w:szCs w:val="20"/>
              </w:rPr>
              <w:t>$</w:t>
            </w:r>
            <w:r w:rsidR="004B5AFE" w:rsidRPr="004B5AFE">
              <w:rPr>
                <w:rFonts w:ascii="Arial Narrow" w:hAnsi="Arial Narrow"/>
                <w:sz w:val="20"/>
                <w:szCs w:val="20"/>
                <w:highlight w:val="black"/>
              </w:rPr>
              <w:t xml:space="preserve"> &amp;&amp;&amp;&amp;</w:t>
            </w:r>
          </w:p>
        </w:tc>
        <w:tc>
          <w:tcPr>
            <w:tcW w:w="1000" w:type="pct"/>
            <w:vAlign w:val="center"/>
          </w:tcPr>
          <w:p w14:paraId="10ADE2FC" w14:textId="3091858B" w:rsidR="006A1AFC" w:rsidRPr="00885AB3" w:rsidRDefault="006A1AFC" w:rsidP="00120D61">
            <w:pPr>
              <w:jc w:val="center"/>
              <w:rPr>
                <w:rFonts w:ascii="Arial Narrow" w:hAnsi="Arial Narrow"/>
                <w:sz w:val="20"/>
                <w:szCs w:val="20"/>
              </w:rPr>
            </w:pPr>
            <w:r w:rsidRPr="00885AB3">
              <w:rPr>
                <w:rFonts w:ascii="Arial Narrow" w:hAnsi="Arial Narrow"/>
                <w:sz w:val="20"/>
                <w:szCs w:val="20"/>
              </w:rPr>
              <w:t>$</w:t>
            </w:r>
            <w:r w:rsidR="004B5AFE" w:rsidRPr="004B5AFE">
              <w:rPr>
                <w:rFonts w:ascii="Arial Narrow" w:hAnsi="Arial Narrow"/>
                <w:sz w:val="20"/>
                <w:szCs w:val="20"/>
                <w:highlight w:val="black"/>
              </w:rPr>
              <w:t xml:space="preserve"> &amp;&amp;&amp;&amp;</w:t>
            </w:r>
          </w:p>
        </w:tc>
        <w:tc>
          <w:tcPr>
            <w:tcW w:w="1000" w:type="pct"/>
            <w:vAlign w:val="center"/>
          </w:tcPr>
          <w:p w14:paraId="79E987BA" w14:textId="42CD35B7" w:rsidR="006A1AFC" w:rsidRPr="00885AB3" w:rsidRDefault="006A1AFC" w:rsidP="00120D61">
            <w:pPr>
              <w:jc w:val="center"/>
              <w:rPr>
                <w:rFonts w:ascii="Arial Narrow" w:hAnsi="Arial Narrow"/>
                <w:sz w:val="20"/>
                <w:szCs w:val="20"/>
              </w:rPr>
            </w:pPr>
            <w:r w:rsidRPr="00885AB3">
              <w:rPr>
                <w:rFonts w:ascii="Arial Narrow" w:hAnsi="Arial Narrow"/>
                <w:sz w:val="20"/>
                <w:szCs w:val="20"/>
              </w:rPr>
              <w:t>$</w:t>
            </w:r>
            <w:r w:rsidR="004B5AFE" w:rsidRPr="004B5AFE">
              <w:rPr>
                <w:rFonts w:ascii="Arial Narrow" w:hAnsi="Arial Narrow"/>
                <w:sz w:val="20"/>
                <w:szCs w:val="20"/>
                <w:highlight w:val="black"/>
              </w:rPr>
              <w:t xml:space="preserve"> &amp;&amp;&amp;&amp;</w:t>
            </w:r>
          </w:p>
        </w:tc>
      </w:tr>
      <w:tr w:rsidR="006A1AFC" w:rsidRPr="00885AB3" w14:paraId="1C0EB040" w14:textId="77777777">
        <w:trPr>
          <w:cantSplit/>
          <w:jc w:val="center"/>
        </w:trPr>
        <w:tc>
          <w:tcPr>
            <w:tcW w:w="1000" w:type="pct"/>
            <w:vAlign w:val="center"/>
          </w:tcPr>
          <w:p w14:paraId="65A78E4A" w14:textId="77777777" w:rsidR="006A1AFC" w:rsidRPr="00885AB3" w:rsidRDefault="006A1AFC" w:rsidP="00120D61">
            <w:pPr>
              <w:rPr>
                <w:rFonts w:ascii="Arial Narrow" w:hAnsi="Arial Narrow"/>
                <w:sz w:val="20"/>
                <w:szCs w:val="20"/>
                <w:vertAlign w:val="superscript"/>
              </w:rPr>
            </w:pPr>
            <w:r w:rsidRPr="00885AB3">
              <w:rPr>
                <w:rFonts w:ascii="Arial Narrow" w:hAnsi="Arial Narrow"/>
                <w:sz w:val="20"/>
                <w:szCs w:val="20"/>
              </w:rPr>
              <w:t xml:space="preserve">Administration fee </w:t>
            </w:r>
            <w:r w:rsidRPr="00885AB3">
              <w:rPr>
                <w:rFonts w:ascii="Arial Narrow" w:hAnsi="Arial Narrow"/>
                <w:sz w:val="20"/>
                <w:szCs w:val="20"/>
                <w:vertAlign w:val="superscript"/>
              </w:rPr>
              <w:t>a</w:t>
            </w:r>
          </w:p>
        </w:tc>
        <w:tc>
          <w:tcPr>
            <w:tcW w:w="1000" w:type="pct"/>
            <w:vAlign w:val="center"/>
          </w:tcPr>
          <w:p w14:paraId="680AA750" w14:textId="77777777" w:rsidR="006A1AFC" w:rsidRPr="00885AB3" w:rsidRDefault="006A1AFC" w:rsidP="00120D61">
            <w:pPr>
              <w:jc w:val="center"/>
              <w:rPr>
                <w:rFonts w:ascii="Arial Narrow" w:hAnsi="Arial Narrow"/>
                <w:iCs/>
                <w:sz w:val="20"/>
                <w:szCs w:val="20"/>
              </w:rPr>
            </w:pPr>
            <w:r w:rsidRPr="00885AB3">
              <w:rPr>
                <w:rFonts w:ascii="Arial Narrow" w:hAnsi="Arial Narrow"/>
                <w:iCs/>
                <w:sz w:val="20"/>
                <w:szCs w:val="20"/>
              </w:rPr>
              <w:t>$19.60</w:t>
            </w:r>
          </w:p>
        </w:tc>
        <w:tc>
          <w:tcPr>
            <w:tcW w:w="1000" w:type="pct"/>
            <w:vAlign w:val="center"/>
          </w:tcPr>
          <w:p w14:paraId="7BC1A09E" w14:textId="77777777" w:rsidR="006A1AFC" w:rsidRPr="00885AB3" w:rsidRDefault="006A1AFC" w:rsidP="00120D61">
            <w:pPr>
              <w:jc w:val="center"/>
              <w:rPr>
                <w:rFonts w:ascii="Arial Narrow" w:hAnsi="Arial Narrow"/>
                <w:sz w:val="20"/>
                <w:szCs w:val="20"/>
              </w:rPr>
            </w:pPr>
            <w:r w:rsidRPr="00885AB3">
              <w:rPr>
                <w:rFonts w:ascii="Arial Narrow" w:hAnsi="Arial Narrow"/>
                <w:sz w:val="20"/>
                <w:szCs w:val="20"/>
              </w:rPr>
              <w:t>$19.60</w:t>
            </w:r>
          </w:p>
        </w:tc>
        <w:tc>
          <w:tcPr>
            <w:tcW w:w="1000" w:type="pct"/>
            <w:vAlign w:val="center"/>
          </w:tcPr>
          <w:p w14:paraId="4E3BD791" w14:textId="77777777" w:rsidR="006A1AFC" w:rsidRPr="00885AB3" w:rsidRDefault="006A1AFC" w:rsidP="00120D61">
            <w:pPr>
              <w:jc w:val="center"/>
              <w:rPr>
                <w:rFonts w:ascii="Arial Narrow" w:hAnsi="Arial Narrow"/>
                <w:sz w:val="20"/>
                <w:szCs w:val="20"/>
              </w:rPr>
            </w:pPr>
            <w:r w:rsidRPr="00885AB3">
              <w:rPr>
                <w:rFonts w:ascii="Arial Narrow" w:hAnsi="Arial Narrow"/>
                <w:sz w:val="20"/>
                <w:szCs w:val="20"/>
              </w:rPr>
              <w:t>$17.57</w:t>
            </w:r>
          </w:p>
        </w:tc>
        <w:tc>
          <w:tcPr>
            <w:tcW w:w="1000" w:type="pct"/>
            <w:vAlign w:val="center"/>
          </w:tcPr>
          <w:p w14:paraId="68C9AD6A" w14:textId="77777777" w:rsidR="006A1AFC" w:rsidRPr="00885AB3" w:rsidRDefault="006A1AFC" w:rsidP="00120D61">
            <w:pPr>
              <w:jc w:val="center"/>
              <w:rPr>
                <w:rFonts w:ascii="Arial Narrow" w:hAnsi="Arial Narrow"/>
                <w:sz w:val="20"/>
                <w:szCs w:val="20"/>
              </w:rPr>
            </w:pPr>
            <w:r w:rsidRPr="00885AB3">
              <w:rPr>
                <w:rFonts w:ascii="Arial Narrow" w:hAnsi="Arial Narrow"/>
                <w:sz w:val="20"/>
                <w:szCs w:val="20"/>
              </w:rPr>
              <w:t>$19.60</w:t>
            </w:r>
          </w:p>
        </w:tc>
      </w:tr>
      <w:tr w:rsidR="006A1AFC" w:rsidRPr="00885AB3" w14:paraId="4E34CF47" w14:textId="77777777">
        <w:trPr>
          <w:cantSplit/>
          <w:jc w:val="center"/>
        </w:trPr>
        <w:tc>
          <w:tcPr>
            <w:tcW w:w="1000" w:type="pct"/>
            <w:vAlign w:val="center"/>
          </w:tcPr>
          <w:p w14:paraId="7A8C3A93" w14:textId="77777777" w:rsidR="006A1AFC" w:rsidRPr="00885AB3" w:rsidRDefault="006A1AFC" w:rsidP="00120D61">
            <w:pPr>
              <w:rPr>
                <w:rFonts w:ascii="Arial Narrow" w:hAnsi="Arial Narrow"/>
                <w:sz w:val="20"/>
                <w:szCs w:val="20"/>
              </w:rPr>
            </w:pPr>
            <w:r w:rsidRPr="00885AB3">
              <w:rPr>
                <w:rFonts w:ascii="Arial Narrow" w:hAnsi="Arial Narrow"/>
                <w:sz w:val="20"/>
                <w:szCs w:val="20"/>
              </w:rPr>
              <w:t>Cost/person/course</w:t>
            </w:r>
          </w:p>
        </w:tc>
        <w:tc>
          <w:tcPr>
            <w:tcW w:w="1000" w:type="pct"/>
            <w:vAlign w:val="center"/>
          </w:tcPr>
          <w:p w14:paraId="70B00380" w14:textId="724CBBB9" w:rsidR="006A1AFC" w:rsidRPr="00885AB3" w:rsidRDefault="006A1AFC" w:rsidP="00120D61">
            <w:pPr>
              <w:jc w:val="center"/>
              <w:rPr>
                <w:rFonts w:ascii="Arial Narrow" w:hAnsi="Arial Narrow"/>
                <w:sz w:val="20"/>
                <w:szCs w:val="20"/>
              </w:rPr>
            </w:pPr>
            <w:r w:rsidRPr="00885AB3">
              <w:rPr>
                <w:rFonts w:ascii="Arial Narrow" w:hAnsi="Arial Narrow"/>
                <w:sz w:val="20"/>
                <w:szCs w:val="20"/>
              </w:rPr>
              <w:t>$</w:t>
            </w:r>
            <w:r w:rsidR="004B5AFE" w:rsidRPr="004B5AFE">
              <w:rPr>
                <w:rFonts w:ascii="Arial Narrow" w:hAnsi="Arial Narrow"/>
                <w:sz w:val="20"/>
                <w:szCs w:val="20"/>
                <w:highlight w:val="black"/>
              </w:rPr>
              <w:t xml:space="preserve"> &amp;&amp;&amp;&amp;</w:t>
            </w:r>
          </w:p>
        </w:tc>
        <w:tc>
          <w:tcPr>
            <w:tcW w:w="1000" w:type="pct"/>
          </w:tcPr>
          <w:p w14:paraId="2B832722" w14:textId="6E15F107" w:rsidR="006A1AFC" w:rsidRPr="00885AB3" w:rsidRDefault="006A1AFC" w:rsidP="00120D61">
            <w:pPr>
              <w:jc w:val="center"/>
              <w:rPr>
                <w:rFonts w:ascii="Arial Narrow" w:hAnsi="Arial Narrow"/>
                <w:sz w:val="20"/>
                <w:szCs w:val="20"/>
              </w:rPr>
            </w:pPr>
            <w:r w:rsidRPr="00885AB3">
              <w:rPr>
                <w:rFonts w:ascii="Arial Narrow" w:hAnsi="Arial Narrow"/>
                <w:sz w:val="20"/>
                <w:szCs w:val="20"/>
              </w:rPr>
              <w:t>$</w:t>
            </w:r>
            <w:r w:rsidR="004B5AFE" w:rsidRPr="004B5AFE">
              <w:rPr>
                <w:rFonts w:ascii="Arial Narrow" w:hAnsi="Arial Narrow"/>
                <w:sz w:val="20"/>
                <w:szCs w:val="20"/>
                <w:highlight w:val="black"/>
              </w:rPr>
              <w:t xml:space="preserve"> &amp;&amp;&amp;&amp;</w:t>
            </w:r>
          </w:p>
        </w:tc>
        <w:tc>
          <w:tcPr>
            <w:tcW w:w="1000" w:type="pct"/>
          </w:tcPr>
          <w:p w14:paraId="618110E7" w14:textId="7647254D" w:rsidR="006A1AFC" w:rsidRPr="00885AB3" w:rsidRDefault="006A1AFC" w:rsidP="00120D61">
            <w:pPr>
              <w:jc w:val="center"/>
              <w:rPr>
                <w:rFonts w:ascii="Arial Narrow" w:hAnsi="Arial Narrow"/>
                <w:sz w:val="20"/>
                <w:szCs w:val="20"/>
              </w:rPr>
            </w:pPr>
            <w:r w:rsidRPr="00885AB3">
              <w:rPr>
                <w:rFonts w:ascii="Arial Narrow" w:hAnsi="Arial Narrow"/>
                <w:sz w:val="20"/>
                <w:szCs w:val="20"/>
              </w:rPr>
              <w:t>$</w:t>
            </w:r>
            <w:r w:rsidR="004B5AFE" w:rsidRPr="004B5AFE">
              <w:rPr>
                <w:rFonts w:ascii="Arial Narrow" w:hAnsi="Arial Narrow"/>
                <w:sz w:val="20"/>
                <w:szCs w:val="20"/>
                <w:highlight w:val="black"/>
              </w:rPr>
              <w:t xml:space="preserve"> &amp;&amp;&amp;&amp;</w:t>
            </w:r>
          </w:p>
        </w:tc>
        <w:tc>
          <w:tcPr>
            <w:tcW w:w="1000" w:type="pct"/>
          </w:tcPr>
          <w:p w14:paraId="2F7247AF" w14:textId="145979AF" w:rsidR="006A1AFC" w:rsidRPr="00885AB3" w:rsidRDefault="006A1AFC" w:rsidP="00120D61">
            <w:pPr>
              <w:jc w:val="center"/>
              <w:rPr>
                <w:rFonts w:ascii="Arial Narrow" w:hAnsi="Arial Narrow"/>
                <w:sz w:val="20"/>
                <w:szCs w:val="20"/>
              </w:rPr>
            </w:pPr>
            <w:r w:rsidRPr="00885AB3">
              <w:rPr>
                <w:rFonts w:ascii="Arial Narrow" w:hAnsi="Arial Narrow"/>
                <w:sz w:val="20"/>
                <w:szCs w:val="20"/>
              </w:rPr>
              <w:t>$</w:t>
            </w:r>
            <w:r w:rsidR="004B5AFE" w:rsidRPr="004B5AFE">
              <w:rPr>
                <w:rFonts w:ascii="Arial Narrow" w:hAnsi="Arial Narrow"/>
                <w:sz w:val="20"/>
                <w:szCs w:val="20"/>
                <w:highlight w:val="black"/>
              </w:rPr>
              <w:t xml:space="preserve"> &amp;&amp;&amp;&amp;</w:t>
            </w:r>
          </w:p>
        </w:tc>
      </w:tr>
    </w:tbl>
    <w:p w14:paraId="5B00B44D" w14:textId="77777777" w:rsidR="006A1AFC" w:rsidRPr="00885AB3" w:rsidRDefault="006A1AFC" w:rsidP="00120D61">
      <w:pPr>
        <w:pStyle w:val="TableNotes"/>
        <w:spacing w:after="0"/>
        <w:rPr>
          <w:szCs w:val="18"/>
        </w:rPr>
      </w:pPr>
      <w:r w:rsidRPr="00885AB3">
        <w:t>Source: Table 3-26, p245; p268 of the submission; ‘</w:t>
      </w:r>
      <w:proofErr w:type="spellStart"/>
      <w:r w:rsidRPr="00885AB3">
        <w:t>Costs.Direct</w:t>
      </w:r>
      <w:proofErr w:type="spellEnd"/>
      <w:r w:rsidRPr="00885AB3">
        <w:t xml:space="preserve">’ in </w:t>
      </w:r>
      <w:r w:rsidRPr="00885AB3">
        <w:rPr>
          <w:szCs w:val="18"/>
        </w:rPr>
        <w:t xml:space="preserve">Attachment 17B - Moderna RSV Model_v11.14_20250613_AUS_July 2025. </w:t>
      </w:r>
    </w:p>
    <w:p w14:paraId="4511E230" w14:textId="60E82233" w:rsidR="006A1AFC" w:rsidRPr="00885AB3" w:rsidRDefault="006A1AFC" w:rsidP="00120D61">
      <w:pPr>
        <w:pStyle w:val="TableNotes"/>
        <w:spacing w:after="0"/>
        <w:rPr>
          <w:szCs w:val="18"/>
        </w:rPr>
      </w:pPr>
      <w:proofErr w:type="spellStart"/>
      <w:r w:rsidRPr="00885AB3">
        <w:rPr>
          <w:szCs w:val="18"/>
          <w:vertAlign w:val="superscript"/>
        </w:rPr>
        <w:t>a</w:t>
      </w:r>
      <w:proofErr w:type="spellEnd"/>
      <w:r w:rsidRPr="00885AB3">
        <w:rPr>
          <w:szCs w:val="18"/>
        </w:rPr>
        <w:t xml:space="preserve"> Administration fee for the cost-minimisation approach, financial estimates (and trial dose and duration) is based MBS item 3 (100%; no coadministration assumption) while for the cost-utility analysis, an alternate approach is used (weighted across GP visits 71%, $42.85 via MBS item 23; pharmacies 18%, $20.05 via National Immunisation Program Vaccine Incentive Program 2025; and community settings 11%, assumed $0.00).</w:t>
      </w:r>
      <w:r w:rsidR="004C3D0D" w:rsidRPr="00885AB3">
        <w:rPr>
          <w:szCs w:val="18"/>
        </w:rPr>
        <w:t xml:space="preserve"> This </w:t>
      </w:r>
      <w:r w:rsidR="003019ED" w:rsidRPr="00885AB3">
        <w:rPr>
          <w:szCs w:val="18"/>
        </w:rPr>
        <w:t>cost</w:t>
      </w:r>
      <w:r w:rsidR="004C3D0D" w:rsidRPr="00885AB3">
        <w:rPr>
          <w:szCs w:val="18"/>
        </w:rPr>
        <w:t xml:space="preserve"> was revised in the pre-PBAC response from $17.57 to $7 per dose to align with the </w:t>
      </w:r>
      <w:proofErr w:type="spellStart"/>
      <w:r w:rsidR="004C3D0D" w:rsidRPr="00885AB3">
        <w:rPr>
          <w:szCs w:val="18"/>
        </w:rPr>
        <w:t>RSVpreF</w:t>
      </w:r>
      <w:proofErr w:type="spellEnd"/>
      <w:r w:rsidR="004C3D0D" w:rsidRPr="00885AB3">
        <w:rPr>
          <w:szCs w:val="18"/>
        </w:rPr>
        <w:t xml:space="preserve"> PSD.</w:t>
      </w:r>
    </w:p>
    <w:p w14:paraId="5A1F1AB6" w14:textId="77777777" w:rsidR="006A1AFC" w:rsidRPr="00885AB3" w:rsidRDefault="006A1AFC" w:rsidP="00120D61">
      <w:pPr>
        <w:pStyle w:val="4-SubsectionHeading"/>
        <w:rPr>
          <w:rFonts w:ascii="Calibri" w:hAnsi="Calibri" w:cs="Calibri"/>
        </w:rPr>
      </w:pPr>
      <w:bookmarkStart w:id="147" w:name="_Toc22897647"/>
      <w:bookmarkStart w:id="148" w:name="_Toc208998519"/>
      <w:bookmarkEnd w:id="144"/>
      <w:r w:rsidRPr="00885AB3">
        <w:rPr>
          <w:rFonts w:ascii="Calibri" w:hAnsi="Calibri" w:cs="Calibri"/>
        </w:rPr>
        <w:t>Estimated PBS usage &amp; financial implications</w:t>
      </w:r>
      <w:bookmarkEnd w:id="147"/>
      <w:bookmarkEnd w:id="148"/>
    </w:p>
    <w:p w14:paraId="765098B2" w14:textId="48AAD4F3" w:rsidR="006A1AFC" w:rsidRPr="00885AB3" w:rsidRDefault="006A1AFC" w:rsidP="00120D61">
      <w:pPr>
        <w:pStyle w:val="3-BodyText"/>
        <w:rPr>
          <w:rFonts w:cs="Calibri"/>
        </w:rPr>
      </w:pPr>
      <w:r w:rsidRPr="00885AB3">
        <w:rPr>
          <w:rFonts w:cs="Calibri"/>
        </w:rPr>
        <w:t xml:space="preserve">This submission </w:t>
      </w:r>
      <w:r w:rsidR="00A70688" w:rsidRPr="00885AB3">
        <w:rPr>
          <w:rFonts w:cs="Calibri"/>
        </w:rPr>
        <w:t>was</w:t>
      </w:r>
      <w:r w:rsidRPr="00885AB3">
        <w:rPr>
          <w:rFonts w:cs="Calibri"/>
        </w:rPr>
        <w:t xml:space="preserve"> not considered by DUSC. </w:t>
      </w:r>
    </w:p>
    <w:p w14:paraId="0CFEEA0A" w14:textId="14AEB897" w:rsidR="006A1AFC" w:rsidRPr="00885AB3" w:rsidRDefault="006A1AFC" w:rsidP="00120D61">
      <w:pPr>
        <w:pStyle w:val="3-BodyText"/>
        <w:rPr>
          <w:rFonts w:cs="Calibri"/>
          <w:iCs/>
          <w:color w:val="0066FF"/>
        </w:rPr>
      </w:pPr>
      <w:r w:rsidRPr="00885AB3">
        <w:rPr>
          <w:rFonts w:cs="Calibri"/>
        </w:rPr>
        <w:t xml:space="preserve">The submission presented the financial impact of introducing a single dose of mRNA-1345 onto the NIP for adults: </w:t>
      </w:r>
      <w:r w:rsidR="00EF2FA4">
        <w:rPr>
          <w:rFonts w:cs="Calibri"/>
        </w:rPr>
        <w:t xml:space="preserve">≥ </w:t>
      </w:r>
      <w:r w:rsidRPr="00885AB3">
        <w:rPr>
          <w:rFonts w:cs="Calibri"/>
        </w:rPr>
        <w:t>75 YOA; and Aboriginal and Torres Strait Islander people 60-74 YOA</w:t>
      </w:r>
      <w:r w:rsidRPr="00885AB3">
        <w:rPr>
          <w:rFonts w:cs="Calibri"/>
          <w:color w:val="000000" w:themeColor="text1"/>
        </w:rPr>
        <w:t xml:space="preserve">. </w:t>
      </w:r>
      <w:r w:rsidRPr="00885AB3">
        <w:rPr>
          <w:rFonts w:cs="Calibri"/>
        </w:rPr>
        <w:t>This was consistent with the economic model and the requested NIP listing</w:t>
      </w:r>
      <w:r w:rsidRPr="00885AB3">
        <w:rPr>
          <w:rFonts w:cs="Calibri"/>
          <w:color w:val="000000" w:themeColor="text1"/>
        </w:rPr>
        <w:t>. The financial estimates</w:t>
      </w:r>
      <w:r w:rsidR="003C5D3B" w:rsidRPr="00885AB3">
        <w:rPr>
          <w:rFonts w:cs="Calibri"/>
          <w:color w:val="000000" w:themeColor="text1"/>
        </w:rPr>
        <w:t xml:space="preserve"> incorporated</w:t>
      </w:r>
      <w:r w:rsidRPr="00885AB3">
        <w:rPr>
          <w:rFonts w:cs="Calibri"/>
          <w:color w:val="000000" w:themeColor="text1"/>
        </w:rPr>
        <w:t xml:space="preserve"> a hypothetical</w:t>
      </w:r>
      <w:r w:rsidR="00591578" w:rsidRPr="00885AB3">
        <w:rPr>
          <w:rFonts w:cs="Calibri"/>
          <w:color w:val="000000" w:themeColor="text1"/>
        </w:rPr>
        <w:t xml:space="preserve"> listing of </w:t>
      </w:r>
      <w:proofErr w:type="spellStart"/>
      <w:r w:rsidR="00A750D4" w:rsidRPr="00885AB3">
        <w:rPr>
          <w:rFonts w:cs="Calibri"/>
          <w:color w:val="000000" w:themeColor="text1"/>
        </w:rPr>
        <w:t>RSVPreF</w:t>
      </w:r>
      <w:proofErr w:type="spellEnd"/>
      <w:r w:rsidR="00A750D4" w:rsidRPr="00885AB3">
        <w:rPr>
          <w:rFonts w:cs="Calibri"/>
          <w:color w:val="000000" w:themeColor="text1"/>
        </w:rPr>
        <w:t xml:space="preserve"> on the NIP based on the PBAC’s</w:t>
      </w:r>
      <w:r w:rsidR="00AB1093" w:rsidRPr="00885AB3">
        <w:rPr>
          <w:rFonts w:cs="Calibri"/>
          <w:color w:val="000000" w:themeColor="text1"/>
        </w:rPr>
        <w:t xml:space="preserve"> positive</w:t>
      </w:r>
      <w:r w:rsidR="00A750D4" w:rsidRPr="00885AB3">
        <w:rPr>
          <w:rFonts w:cs="Calibri"/>
          <w:color w:val="000000" w:themeColor="text1"/>
        </w:rPr>
        <w:t xml:space="preserve"> recommendation at the time the</w:t>
      </w:r>
      <w:r w:rsidR="00175C61" w:rsidRPr="00885AB3">
        <w:rPr>
          <w:rFonts w:cs="Calibri"/>
          <w:color w:val="000000" w:themeColor="text1"/>
        </w:rPr>
        <w:t xml:space="preserve"> </w:t>
      </w:r>
      <w:r w:rsidR="00175C61" w:rsidRPr="00885AB3">
        <w:rPr>
          <w:rFonts w:cs="Calibri"/>
        </w:rPr>
        <w:t>mRNA-1345</w:t>
      </w:r>
      <w:r w:rsidR="00A750D4" w:rsidRPr="00885AB3">
        <w:rPr>
          <w:rFonts w:cs="Calibri"/>
          <w:color w:val="000000" w:themeColor="text1"/>
        </w:rPr>
        <w:t xml:space="preserve"> submission was prepared</w:t>
      </w:r>
      <w:r w:rsidR="00517A62" w:rsidRPr="00885AB3">
        <w:rPr>
          <w:rFonts w:cs="Calibri"/>
          <w:color w:val="000000" w:themeColor="text1"/>
        </w:rPr>
        <w:t xml:space="preserve"> and</w:t>
      </w:r>
      <w:r w:rsidRPr="00885AB3">
        <w:rPr>
          <w:rFonts w:cs="Calibri"/>
          <w:iCs/>
        </w:rPr>
        <w:t xml:space="preserve"> consistent with the submission’s nomination of </w:t>
      </w:r>
      <w:proofErr w:type="spellStart"/>
      <w:r w:rsidRPr="00885AB3">
        <w:rPr>
          <w:rFonts w:cs="Calibri"/>
          <w:iCs/>
        </w:rPr>
        <w:t>RSVPreF</w:t>
      </w:r>
      <w:proofErr w:type="spellEnd"/>
      <w:r w:rsidRPr="00885AB3">
        <w:rPr>
          <w:rFonts w:cs="Calibri"/>
          <w:iCs/>
        </w:rPr>
        <w:t xml:space="preserve"> as the primary comparator</w:t>
      </w:r>
      <w:r w:rsidR="00821E1C" w:rsidRPr="00885AB3">
        <w:rPr>
          <w:rFonts w:cs="Calibri"/>
          <w:iCs/>
        </w:rPr>
        <w:t>,</w:t>
      </w:r>
      <w:r w:rsidRPr="00885AB3">
        <w:rPr>
          <w:rFonts w:cs="Calibri"/>
          <w:iCs/>
        </w:rPr>
        <w:t xml:space="preserve"> </w:t>
      </w:r>
      <w:r w:rsidR="00CD5699" w:rsidRPr="00885AB3">
        <w:rPr>
          <w:rFonts w:cs="Calibri"/>
          <w:iCs/>
        </w:rPr>
        <w:t xml:space="preserve">although </w:t>
      </w:r>
      <w:r w:rsidRPr="00885AB3">
        <w:rPr>
          <w:rFonts w:cs="Calibri"/>
          <w:iCs/>
        </w:rPr>
        <w:t>RSVPreF3 OA has also been</w:t>
      </w:r>
      <w:r w:rsidR="00821E1C" w:rsidRPr="00885AB3">
        <w:rPr>
          <w:rFonts w:cs="Calibri"/>
          <w:iCs/>
        </w:rPr>
        <w:t xml:space="preserve"> subsequently</w:t>
      </w:r>
      <w:r w:rsidRPr="00885AB3">
        <w:rPr>
          <w:rFonts w:cs="Calibri"/>
          <w:iCs/>
        </w:rPr>
        <w:t xml:space="preserve"> recommended by the PBAC for listing on the NIP. </w:t>
      </w:r>
    </w:p>
    <w:p w14:paraId="2A654166" w14:textId="66212510" w:rsidR="006A1AFC" w:rsidRPr="00885AB3" w:rsidRDefault="006A1AFC" w:rsidP="00120D61">
      <w:pPr>
        <w:pStyle w:val="3-BodyText"/>
        <w:rPr>
          <w:rFonts w:cs="Calibri"/>
          <w:color w:val="0066FF"/>
        </w:rPr>
      </w:pPr>
      <w:r w:rsidRPr="00885AB3">
        <w:rPr>
          <w:rFonts w:cs="Calibri"/>
        </w:rPr>
        <w:t>The submission used an epidemiological approach to estimate the eligible population</w:t>
      </w:r>
      <w:r w:rsidR="005757CC" w:rsidRPr="00885AB3">
        <w:rPr>
          <w:rFonts w:cs="Calibri"/>
        </w:rPr>
        <w:t xml:space="preserve"> and accounted for the market share </w:t>
      </w:r>
      <w:r w:rsidR="00013588" w:rsidRPr="00885AB3">
        <w:rPr>
          <w:rFonts w:cs="Calibri"/>
        </w:rPr>
        <w:t xml:space="preserve">attributed to </w:t>
      </w:r>
      <w:proofErr w:type="spellStart"/>
      <w:r w:rsidR="00013588" w:rsidRPr="00885AB3">
        <w:rPr>
          <w:rFonts w:cs="Calibri"/>
          <w:color w:val="000000" w:themeColor="text1"/>
        </w:rPr>
        <w:t>RSVPreF</w:t>
      </w:r>
      <w:proofErr w:type="spellEnd"/>
      <w:r w:rsidRPr="00885AB3">
        <w:rPr>
          <w:rFonts w:cs="Calibri"/>
        </w:rPr>
        <w:t xml:space="preserve">. Key inputs used by the submission are presented in </w:t>
      </w:r>
      <w:r w:rsidRPr="00885AB3">
        <w:rPr>
          <w:rFonts w:cs="Calibri"/>
        </w:rPr>
        <w:fldChar w:fldCharType="begin" w:fldLock="1"/>
      </w:r>
      <w:r w:rsidRPr="00885AB3">
        <w:rPr>
          <w:rFonts w:cs="Calibri"/>
        </w:rPr>
        <w:instrText xml:space="preserve"> REF _Ref205826181 \h  \* MERGEFORMAT </w:instrText>
      </w:r>
      <w:r w:rsidRPr="00885AB3">
        <w:rPr>
          <w:rFonts w:cs="Calibri"/>
        </w:rPr>
      </w:r>
      <w:r w:rsidRPr="00885AB3">
        <w:rPr>
          <w:rFonts w:cs="Calibri"/>
        </w:rPr>
        <w:fldChar w:fldCharType="separate"/>
      </w:r>
      <w:r w:rsidR="00515933" w:rsidRPr="00885AB3">
        <w:rPr>
          <w:rFonts w:cs="Calibri"/>
        </w:rPr>
        <w:t xml:space="preserve">Table </w:t>
      </w:r>
      <w:r w:rsidR="00515933" w:rsidRPr="00885AB3">
        <w:t>25</w:t>
      </w:r>
      <w:r w:rsidRPr="00885AB3">
        <w:rPr>
          <w:rFonts w:cs="Calibri"/>
        </w:rPr>
        <w:fldChar w:fldCharType="end"/>
      </w:r>
      <w:r w:rsidRPr="00885AB3">
        <w:rPr>
          <w:rFonts w:cs="Calibri"/>
        </w:rPr>
        <w:t>.</w:t>
      </w:r>
    </w:p>
    <w:p w14:paraId="098AAFA3" w14:textId="6179CDCF" w:rsidR="006A1AFC" w:rsidRPr="00885AB3" w:rsidRDefault="006A1AFC" w:rsidP="00120D61">
      <w:pPr>
        <w:pStyle w:val="Caption"/>
        <w:rPr>
          <w:rStyle w:val="CommentReference"/>
          <w:b/>
          <w:szCs w:val="24"/>
        </w:rPr>
      </w:pPr>
      <w:bookmarkStart w:id="149" w:name="_Ref205826181"/>
      <w:r w:rsidRPr="00885AB3">
        <w:lastRenderedPageBreak/>
        <w:t xml:space="preserve">Table </w:t>
      </w:r>
      <w:r w:rsidR="008A242D" w:rsidRPr="00885AB3">
        <w:fldChar w:fldCharType="begin" w:fldLock="1"/>
      </w:r>
      <w:r w:rsidR="008A242D" w:rsidRPr="00885AB3">
        <w:instrText xml:space="preserve"> SEQ Table \* ARABIC </w:instrText>
      </w:r>
      <w:r w:rsidR="008A242D" w:rsidRPr="00885AB3">
        <w:fldChar w:fldCharType="separate"/>
      </w:r>
      <w:r w:rsidR="00515933" w:rsidRPr="00885AB3">
        <w:t>25</w:t>
      </w:r>
      <w:r w:rsidR="008A242D" w:rsidRPr="00885AB3">
        <w:fldChar w:fldCharType="end"/>
      </w:r>
      <w:bookmarkEnd w:id="149"/>
      <w:r w:rsidRPr="00885AB3">
        <w:t>: Key inputs of the financial estimates</w:t>
      </w:r>
    </w:p>
    <w:tbl>
      <w:tblPr>
        <w:tblStyle w:val="ASDTable2"/>
        <w:tblW w:w="5000" w:type="pct"/>
        <w:tblInd w:w="0" w:type="dxa"/>
        <w:tblLook w:val="04A0" w:firstRow="1" w:lastRow="0" w:firstColumn="1" w:lastColumn="0" w:noHBand="0" w:noVBand="1"/>
        <w:tblCaption w:val="Table 25: Key inputs of the financial estimates"/>
      </w:tblPr>
      <w:tblGrid>
        <w:gridCol w:w="1375"/>
        <w:gridCol w:w="1881"/>
        <w:gridCol w:w="2436"/>
        <w:gridCol w:w="3325"/>
      </w:tblGrid>
      <w:tr w:rsidR="006A1AFC" w:rsidRPr="00885AB3" w14:paraId="06998CA9" w14:textId="77777777" w:rsidTr="00F2430B">
        <w:tc>
          <w:tcPr>
            <w:tcW w:w="762" w:type="pct"/>
            <w:vAlign w:val="center"/>
          </w:tcPr>
          <w:p w14:paraId="2880C1EE" w14:textId="77777777" w:rsidR="006A1AFC" w:rsidRPr="00885AB3" w:rsidRDefault="006A1AFC" w:rsidP="00120D61">
            <w:pPr>
              <w:keepNext/>
              <w:jc w:val="left"/>
              <w:rPr>
                <w:rFonts w:ascii="Arial Narrow" w:hAnsi="Arial Narrow"/>
                <w:b/>
                <w:bCs/>
                <w:sz w:val="20"/>
                <w:szCs w:val="20"/>
              </w:rPr>
            </w:pPr>
            <w:r w:rsidRPr="00885AB3">
              <w:rPr>
                <w:rFonts w:ascii="Arial Narrow" w:hAnsi="Arial Narrow"/>
                <w:b/>
                <w:bCs/>
                <w:sz w:val="20"/>
                <w:szCs w:val="20"/>
              </w:rPr>
              <w:t>Data</w:t>
            </w:r>
          </w:p>
        </w:tc>
        <w:tc>
          <w:tcPr>
            <w:tcW w:w="2394" w:type="pct"/>
            <w:gridSpan w:val="2"/>
            <w:vAlign w:val="center"/>
          </w:tcPr>
          <w:p w14:paraId="6E9C8666" w14:textId="77777777" w:rsidR="006A1AFC" w:rsidRPr="00885AB3" w:rsidRDefault="006A1AFC" w:rsidP="00120D61">
            <w:pPr>
              <w:keepNext/>
              <w:jc w:val="left"/>
              <w:rPr>
                <w:rFonts w:ascii="Arial Narrow" w:hAnsi="Arial Narrow"/>
                <w:b/>
                <w:bCs/>
                <w:sz w:val="20"/>
                <w:szCs w:val="20"/>
              </w:rPr>
            </w:pPr>
            <w:r w:rsidRPr="00885AB3">
              <w:rPr>
                <w:rFonts w:ascii="Arial Narrow" w:hAnsi="Arial Narrow"/>
                <w:b/>
                <w:bCs/>
                <w:sz w:val="20"/>
                <w:szCs w:val="20"/>
              </w:rPr>
              <w:t>Value and source</w:t>
            </w:r>
          </w:p>
        </w:tc>
        <w:tc>
          <w:tcPr>
            <w:tcW w:w="1844" w:type="pct"/>
            <w:vAlign w:val="center"/>
          </w:tcPr>
          <w:p w14:paraId="05DCE714" w14:textId="474C1C58" w:rsidR="006A1AFC" w:rsidRPr="00885AB3" w:rsidRDefault="004D2ABA" w:rsidP="00120D61">
            <w:pPr>
              <w:keepNext/>
              <w:jc w:val="left"/>
              <w:rPr>
                <w:rFonts w:ascii="Arial Narrow" w:hAnsi="Arial Narrow"/>
                <w:b/>
                <w:bCs/>
                <w:sz w:val="20"/>
                <w:szCs w:val="20"/>
              </w:rPr>
            </w:pPr>
            <w:r w:rsidRPr="00885AB3">
              <w:rPr>
                <w:rFonts w:ascii="Arial Narrow" w:hAnsi="Arial Narrow"/>
                <w:b/>
                <w:bCs/>
                <w:sz w:val="20"/>
                <w:szCs w:val="20"/>
              </w:rPr>
              <w:t>Evaluation c</w:t>
            </w:r>
            <w:r w:rsidR="006A1AFC" w:rsidRPr="00885AB3">
              <w:rPr>
                <w:rFonts w:ascii="Arial Narrow" w:hAnsi="Arial Narrow"/>
                <w:b/>
                <w:bCs/>
                <w:sz w:val="20"/>
                <w:szCs w:val="20"/>
              </w:rPr>
              <w:t>omment</w:t>
            </w:r>
          </w:p>
        </w:tc>
      </w:tr>
      <w:tr w:rsidR="006A1AFC" w:rsidRPr="00885AB3" w14:paraId="760C5214" w14:textId="77777777" w:rsidTr="00F2430B">
        <w:tc>
          <w:tcPr>
            <w:tcW w:w="3156" w:type="pct"/>
            <w:gridSpan w:val="3"/>
            <w:vAlign w:val="center"/>
          </w:tcPr>
          <w:p w14:paraId="4BB5F12E" w14:textId="77777777" w:rsidR="006A1AFC" w:rsidRPr="00885AB3" w:rsidRDefault="006A1AFC" w:rsidP="00120D61">
            <w:pPr>
              <w:keepNext/>
              <w:jc w:val="left"/>
              <w:rPr>
                <w:rFonts w:ascii="Arial Narrow" w:hAnsi="Arial Narrow"/>
                <w:b/>
                <w:bCs/>
                <w:sz w:val="20"/>
                <w:szCs w:val="20"/>
              </w:rPr>
            </w:pPr>
            <w:r w:rsidRPr="00885AB3">
              <w:rPr>
                <w:rFonts w:ascii="Arial Narrow" w:hAnsi="Arial Narrow"/>
                <w:b/>
                <w:bCs/>
                <w:sz w:val="20"/>
                <w:szCs w:val="20"/>
              </w:rPr>
              <w:t>Eligible population</w:t>
            </w:r>
          </w:p>
        </w:tc>
        <w:tc>
          <w:tcPr>
            <w:tcW w:w="1844" w:type="pct"/>
            <w:vAlign w:val="center"/>
          </w:tcPr>
          <w:p w14:paraId="1DF25DFC" w14:textId="77777777" w:rsidR="006A1AFC" w:rsidRPr="00885AB3" w:rsidRDefault="006A1AFC" w:rsidP="00120D61">
            <w:pPr>
              <w:keepNext/>
              <w:jc w:val="left"/>
              <w:rPr>
                <w:rFonts w:ascii="Arial Narrow" w:hAnsi="Arial Narrow"/>
                <w:b/>
                <w:bCs/>
                <w:sz w:val="20"/>
                <w:szCs w:val="20"/>
              </w:rPr>
            </w:pPr>
          </w:p>
        </w:tc>
      </w:tr>
      <w:tr w:rsidR="006A1AFC" w:rsidRPr="00885AB3" w14:paraId="6D92010C" w14:textId="77777777" w:rsidTr="00F2430B">
        <w:tc>
          <w:tcPr>
            <w:tcW w:w="762" w:type="pct"/>
            <w:vAlign w:val="center"/>
          </w:tcPr>
          <w:p w14:paraId="51B5B8AF" w14:textId="77777777" w:rsidR="006A1AFC" w:rsidRPr="00885AB3" w:rsidRDefault="006A1AFC" w:rsidP="00120D61">
            <w:pPr>
              <w:keepNext/>
              <w:jc w:val="left"/>
              <w:rPr>
                <w:rFonts w:ascii="Arial Narrow" w:hAnsi="Arial Narrow"/>
                <w:b/>
                <w:bCs/>
                <w:sz w:val="20"/>
                <w:szCs w:val="20"/>
              </w:rPr>
            </w:pPr>
            <w:r w:rsidRPr="00885AB3">
              <w:rPr>
                <w:rFonts w:ascii="Arial Narrow" w:hAnsi="Arial Narrow"/>
                <w:b/>
                <w:bCs/>
                <w:sz w:val="20"/>
                <w:szCs w:val="20"/>
              </w:rPr>
              <w:t>Incident population (eligible population)</w:t>
            </w:r>
          </w:p>
          <w:p w14:paraId="437AEF4F" w14:textId="77777777" w:rsidR="006A1AFC" w:rsidRPr="00885AB3" w:rsidRDefault="006A1AFC" w:rsidP="00120D61">
            <w:pPr>
              <w:keepNext/>
              <w:jc w:val="left"/>
              <w:rPr>
                <w:rFonts w:ascii="Arial Narrow" w:hAnsi="Arial Narrow"/>
                <w:sz w:val="20"/>
                <w:szCs w:val="20"/>
              </w:rPr>
            </w:pPr>
          </w:p>
        </w:tc>
        <w:tc>
          <w:tcPr>
            <w:tcW w:w="1043" w:type="pct"/>
            <w:vAlign w:val="center"/>
          </w:tcPr>
          <w:p w14:paraId="5E3B8C74" w14:textId="398FDD7D" w:rsidR="006A1AFC" w:rsidRPr="00885AB3" w:rsidRDefault="00EF2FA4" w:rsidP="00120D61">
            <w:pPr>
              <w:keepNext/>
              <w:jc w:val="left"/>
              <w:rPr>
                <w:rFonts w:ascii="Arial Narrow" w:hAnsi="Arial Narrow"/>
                <w:sz w:val="20"/>
                <w:szCs w:val="20"/>
                <w:u w:val="single"/>
              </w:rPr>
            </w:pPr>
            <w:r>
              <w:rPr>
                <w:rFonts w:ascii="Arial Narrow" w:hAnsi="Arial Narrow"/>
                <w:sz w:val="20"/>
                <w:szCs w:val="20"/>
                <w:u w:val="single"/>
              </w:rPr>
              <w:t xml:space="preserve">≥ </w:t>
            </w:r>
            <w:r w:rsidR="00EC73E7" w:rsidRPr="00885AB3">
              <w:rPr>
                <w:rFonts w:ascii="Arial Narrow" w:hAnsi="Arial Narrow"/>
                <w:sz w:val="20"/>
                <w:szCs w:val="20"/>
                <w:u w:val="single"/>
              </w:rPr>
              <w:t>75</w:t>
            </w:r>
            <w:r w:rsidR="006A1AFC" w:rsidRPr="00885AB3">
              <w:rPr>
                <w:rFonts w:ascii="Arial Narrow" w:hAnsi="Arial Narrow"/>
                <w:sz w:val="20"/>
                <w:szCs w:val="20"/>
                <w:u w:val="single"/>
              </w:rPr>
              <w:t xml:space="preserve"> YOA </w:t>
            </w:r>
          </w:p>
          <w:p w14:paraId="2D88276B" w14:textId="77777777" w:rsidR="006A1AFC" w:rsidRPr="00885AB3" w:rsidRDefault="006A1AFC" w:rsidP="00120D61">
            <w:pPr>
              <w:keepNext/>
              <w:jc w:val="left"/>
              <w:rPr>
                <w:rFonts w:ascii="Arial Narrow" w:hAnsi="Arial Narrow"/>
                <w:sz w:val="20"/>
                <w:szCs w:val="20"/>
              </w:rPr>
            </w:pPr>
            <w:r w:rsidRPr="00885AB3">
              <w:rPr>
                <w:rFonts w:ascii="Arial Narrow" w:hAnsi="Arial Narrow"/>
                <w:sz w:val="20"/>
                <w:szCs w:val="20"/>
              </w:rPr>
              <w:t xml:space="preserve">Yr 1: 2,372,508 to </w:t>
            </w:r>
          </w:p>
          <w:p w14:paraId="5B5CEF37" w14:textId="77777777" w:rsidR="006A1AFC" w:rsidRPr="00885AB3" w:rsidRDefault="006A1AFC" w:rsidP="00120D61">
            <w:pPr>
              <w:keepNext/>
              <w:jc w:val="left"/>
              <w:rPr>
                <w:rFonts w:ascii="Arial Narrow" w:hAnsi="Arial Narrow"/>
                <w:sz w:val="20"/>
                <w:szCs w:val="20"/>
              </w:rPr>
            </w:pPr>
            <w:r w:rsidRPr="00885AB3">
              <w:rPr>
                <w:rFonts w:ascii="Arial Narrow" w:hAnsi="Arial Narrow"/>
                <w:sz w:val="20"/>
                <w:szCs w:val="20"/>
              </w:rPr>
              <w:t>Yr 6: 265,314</w:t>
            </w:r>
          </w:p>
          <w:p w14:paraId="1751E56D" w14:textId="77777777" w:rsidR="006A1AFC" w:rsidRPr="00885AB3" w:rsidRDefault="006A1AFC" w:rsidP="00120D61">
            <w:pPr>
              <w:keepNext/>
              <w:jc w:val="left"/>
              <w:rPr>
                <w:rFonts w:ascii="Arial Narrow" w:hAnsi="Arial Narrow"/>
                <w:sz w:val="20"/>
                <w:szCs w:val="20"/>
              </w:rPr>
            </w:pPr>
          </w:p>
          <w:p w14:paraId="3BDB5546" w14:textId="77777777" w:rsidR="006A1AFC" w:rsidRPr="00885AB3" w:rsidRDefault="006A1AFC" w:rsidP="00120D61">
            <w:pPr>
              <w:keepNext/>
              <w:jc w:val="left"/>
              <w:rPr>
                <w:rFonts w:ascii="Arial Narrow" w:hAnsi="Arial Narrow"/>
                <w:sz w:val="20"/>
                <w:szCs w:val="20"/>
              </w:rPr>
            </w:pPr>
            <w:r w:rsidRPr="00885AB3">
              <w:rPr>
                <w:rFonts w:ascii="Arial Narrow" w:hAnsi="Arial Narrow"/>
                <w:sz w:val="20"/>
                <w:szCs w:val="20"/>
              </w:rPr>
              <w:t>ABS population projections</w:t>
            </w:r>
          </w:p>
        </w:tc>
        <w:tc>
          <w:tcPr>
            <w:tcW w:w="1351" w:type="pct"/>
            <w:vAlign w:val="center"/>
          </w:tcPr>
          <w:p w14:paraId="68632DA0" w14:textId="77777777" w:rsidR="006A1AFC" w:rsidRPr="00885AB3" w:rsidRDefault="006A1AFC" w:rsidP="00120D61">
            <w:pPr>
              <w:keepNext/>
              <w:jc w:val="left"/>
              <w:rPr>
                <w:rFonts w:ascii="Arial Narrow" w:hAnsi="Arial Narrow"/>
                <w:sz w:val="20"/>
                <w:szCs w:val="20"/>
                <w:u w:val="single"/>
              </w:rPr>
            </w:pPr>
            <w:r w:rsidRPr="00885AB3">
              <w:rPr>
                <w:rFonts w:ascii="Arial Narrow" w:hAnsi="Arial Narrow"/>
                <w:sz w:val="20"/>
                <w:szCs w:val="20"/>
                <w:u w:val="single"/>
              </w:rPr>
              <w:t>Aboriginal and Torres Strait Islander people 60-74 YOA</w:t>
            </w:r>
          </w:p>
          <w:p w14:paraId="3FDA531A" w14:textId="77777777" w:rsidR="006A1AFC" w:rsidRPr="00885AB3" w:rsidRDefault="006A1AFC" w:rsidP="00120D61">
            <w:pPr>
              <w:keepNext/>
              <w:jc w:val="left"/>
              <w:rPr>
                <w:rFonts w:ascii="Arial Narrow" w:hAnsi="Arial Narrow"/>
                <w:sz w:val="20"/>
                <w:szCs w:val="20"/>
              </w:rPr>
            </w:pPr>
            <w:r w:rsidRPr="00885AB3">
              <w:rPr>
                <w:rFonts w:ascii="Arial Narrow" w:hAnsi="Arial Narrow"/>
                <w:sz w:val="20"/>
                <w:szCs w:val="20"/>
              </w:rPr>
              <w:t xml:space="preserve">Yr 1: 86,887 to </w:t>
            </w:r>
          </w:p>
          <w:p w14:paraId="35B2EF94" w14:textId="77777777" w:rsidR="006A1AFC" w:rsidRPr="00885AB3" w:rsidRDefault="006A1AFC" w:rsidP="00120D61">
            <w:pPr>
              <w:keepNext/>
              <w:jc w:val="left"/>
              <w:rPr>
                <w:rFonts w:ascii="Arial Narrow" w:hAnsi="Arial Narrow"/>
                <w:sz w:val="20"/>
                <w:szCs w:val="20"/>
              </w:rPr>
            </w:pPr>
            <w:r w:rsidRPr="00885AB3">
              <w:rPr>
                <w:rFonts w:ascii="Arial Narrow" w:hAnsi="Arial Narrow"/>
                <w:sz w:val="20"/>
                <w:szCs w:val="20"/>
              </w:rPr>
              <w:t>Yr 6: 3,762</w:t>
            </w:r>
          </w:p>
          <w:p w14:paraId="2C9DC028" w14:textId="77777777" w:rsidR="006A1AFC" w:rsidRPr="00885AB3" w:rsidRDefault="006A1AFC" w:rsidP="00120D61">
            <w:pPr>
              <w:keepNext/>
              <w:jc w:val="left"/>
              <w:rPr>
                <w:rFonts w:ascii="Arial Narrow" w:hAnsi="Arial Narrow"/>
                <w:sz w:val="12"/>
                <w:szCs w:val="12"/>
              </w:rPr>
            </w:pPr>
          </w:p>
          <w:p w14:paraId="3AE18BA2" w14:textId="77777777" w:rsidR="006A1AFC" w:rsidRPr="00885AB3" w:rsidRDefault="006A1AFC" w:rsidP="00120D61">
            <w:pPr>
              <w:keepNext/>
              <w:jc w:val="left"/>
              <w:rPr>
                <w:rFonts w:ascii="Arial Narrow" w:eastAsiaTheme="majorEastAsia" w:hAnsi="Arial Narrow" w:cstheme="majorBidi"/>
                <w:bCs/>
                <w:sz w:val="20"/>
                <w:szCs w:val="20"/>
              </w:rPr>
            </w:pPr>
            <w:r w:rsidRPr="00885AB3">
              <w:rPr>
                <w:rFonts w:ascii="Arial Narrow" w:hAnsi="Arial Narrow"/>
                <w:sz w:val="20"/>
                <w:szCs w:val="20"/>
              </w:rPr>
              <w:t>ABS population projections</w:t>
            </w:r>
          </w:p>
        </w:tc>
        <w:tc>
          <w:tcPr>
            <w:tcW w:w="1844" w:type="pct"/>
            <w:vAlign w:val="center"/>
          </w:tcPr>
          <w:p w14:paraId="79B69C2A" w14:textId="77777777" w:rsidR="006A1AFC" w:rsidRPr="00885AB3" w:rsidRDefault="006A1AFC" w:rsidP="00120D61">
            <w:pPr>
              <w:keepNext/>
              <w:jc w:val="left"/>
              <w:rPr>
                <w:rFonts w:ascii="Arial Narrow" w:hAnsi="Arial Narrow"/>
                <w:sz w:val="20"/>
                <w:szCs w:val="20"/>
              </w:rPr>
            </w:pPr>
            <w:r w:rsidRPr="00885AB3">
              <w:rPr>
                <w:rFonts w:ascii="Arial Narrow" w:hAnsi="Arial Narrow"/>
                <w:sz w:val="20"/>
                <w:szCs w:val="20"/>
              </w:rPr>
              <w:t>Appropriate</w:t>
            </w:r>
          </w:p>
        </w:tc>
      </w:tr>
      <w:tr w:rsidR="006A1AFC" w:rsidRPr="00885AB3" w14:paraId="528D0BDB" w14:textId="77777777" w:rsidTr="00F2430B">
        <w:tc>
          <w:tcPr>
            <w:tcW w:w="762" w:type="pct"/>
            <w:vAlign w:val="center"/>
          </w:tcPr>
          <w:p w14:paraId="153F2B10" w14:textId="77777777" w:rsidR="006A1AFC" w:rsidRPr="00885AB3" w:rsidRDefault="006A1AFC" w:rsidP="00120D61">
            <w:pPr>
              <w:keepNext/>
              <w:jc w:val="left"/>
              <w:rPr>
                <w:rFonts w:ascii="Arial Narrow" w:hAnsi="Arial Narrow"/>
                <w:b/>
                <w:bCs/>
                <w:sz w:val="20"/>
                <w:szCs w:val="20"/>
              </w:rPr>
            </w:pPr>
            <w:r w:rsidRPr="00885AB3">
              <w:rPr>
                <w:rFonts w:ascii="Arial Narrow" w:hAnsi="Arial Narrow"/>
                <w:b/>
                <w:bCs/>
                <w:sz w:val="20"/>
                <w:szCs w:val="20"/>
              </w:rPr>
              <w:t>Uptake rate (any RSV vaccine)</w:t>
            </w:r>
          </w:p>
        </w:tc>
        <w:tc>
          <w:tcPr>
            <w:tcW w:w="1043" w:type="pct"/>
            <w:vAlign w:val="center"/>
          </w:tcPr>
          <w:p w14:paraId="3363C879" w14:textId="719725BD" w:rsidR="006A1AFC" w:rsidRPr="00885AB3" w:rsidRDefault="00EF2FA4" w:rsidP="00120D61">
            <w:pPr>
              <w:keepNext/>
              <w:jc w:val="left"/>
              <w:rPr>
                <w:rFonts w:ascii="Arial Narrow" w:hAnsi="Arial Narrow"/>
                <w:sz w:val="20"/>
                <w:szCs w:val="20"/>
                <w:u w:val="single"/>
              </w:rPr>
            </w:pPr>
            <w:r>
              <w:rPr>
                <w:rFonts w:ascii="Arial Narrow" w:hAnsi="Arial Narrow"/>
                <w:sz w:val="20"/>
                <w:szCs w:val="20"/>
                <w:u w:val="single"/>
              </w:rPr>
              <w:t xml:space="preserve">≥ </w:t>
            </w:r>
            <w:r w:rsidR="00EC73E7" w:rsidRPr="00885AB3">
              <w:rPr>
                <w:rFonts w:ascii="Arial Narrow" w:hAnsi="Arial Narrow"/>
                <w:sz w:val="20"/>
                <w:szCs w:val="20"/>
                <w:u w:val="single"/>
              </w:rPr>
              <w:t>75</w:t>
            </w:r>
            <w:r w:rsidR="006A1AFC" w:rsidRPr="00885AB3">
              <w:rPr>
                <w:rFonts w:ascii="Arial Narrow" w:hAnsi="Arial Narrow"/>
                <w:sz w:val="20"/>
                <w:szCs w:val="20"/>
                <w:u w:val="single"/>
              </w:rPr>
              <w:t xml:space="preserve"> YOA </w:t>
            </w:r>
          </w:p>
          <w:p w14:paraId="160EA4A0" w14:textId="1A21D71A" w:rsidR="006A1AFC" w:rsidRPr="00885AB3" w:rsidRDefault="004B5AFE" w:rsidP="00120D61">
            <w:pPr>
              <w:keepNext/>
              <w:jc w:val="left"/>
              <w:rPr>
                <w:rFonts w:ascii="Arial Narrow" w:hAnsi="Arial Narrow"/>
                <w:sz w:val="20"/>
                <w:szCs w:val="20"/>
              </w:rPr>
            </w:pPr>
            <w:r w:rsidRPr="004B5AFE">
              <w:rPr>
                <w:rFonts w:ascii="Arial Narrow" w:hAnsi="Arial Narrow"/>
                <w:sz w:val="20"/>
                <w:szCs w:val="20"/>
                <w:highlight w:val="black"/>
              </w:rPr>
              <w:t xml:space="preserve"> &amp;&amp;&amp;&amp;</w:t>
            </w:r>
            <w:r w:rsidR="006A1AFC" w:rsidRPr="00885AB3">
              <w:rPr>
                <w:rFonts w:ascii="Arial Narrow" w:hAnsi="Arial Narrow"/>
                <w:sz w:val="20"/>
                <w:szCs w:val="20"/>
              </w:rPr>
              <w:t>% (</w:t>
            </w:r>
            <w:r w:rsidRPr="004B5AFE">
              <w:rPr>
                <w:rFonts w:ascii="Arial Narrow" w:hAnsi="Arial Narrow"/>
                <w:sz w:val="20"/>
                <w:szCs w:val="20"/>
                <w:highlight w:val="black"/>
              </w:rPr>
              <w:t xml:space="preserve"> &amp;&amp;&amp;&amp;</w:t>
            </w:r>
            <w:r w:rsidR="006A1AFC" w:rsidRPr="00885AB3">
              <w:rPr>
                <w:rFonts w:ascii="Arial Narrow" w:hAnsi="Arial Narrow"/>
                <w:sz w:val="20"/>
                <w:szCs w:val="20"/>
              </w:rPr>
              <w:t>% in 1</w:t>
            </w:r>
            <w:r w:rsidR="006A1AFC" w:rsidRPr="00885AB3">
              <w:rPr>
                <w:rFonts w:ascii="Arial Narrow" w:hAnsi="Arial Narrow"/>
                <w:sz w:val="20"/>
                <w:szCs w:val="20"/>
                <w:vertAlign w:val="superscript"/>
              </w:rPr>
              <w:t>st</w:t>
            </w:r>
            <w:r w:rsidR="006A1AFC" w:rsidRPr="00885AB3">
              <w:rPr>
                <w:rFonts w:ascii="Arial Narrow" w:hAnsi="Arial Narrow"/>
                <w:sz w:val="20"/>
                <w:szCs w:val="20"/>
              </w:rPr>
              <w:t xml:space="preserve"> year of the incident population and </w:t>
            </w:r>
            <w:r w:rsidRPr="004B5AFE">
              <w:rPr>
                <w:rFonts w:ascii="Arial Narrow" w:hAnsi="Arial Narrow"/>
                <w:sz w:val="20"/>
                <w:szCs w:val="20"/>
                <w:highlight w:val="black"/>
              </w:rPr>
              <w:t xml:space="preserve"> &amp;&amp;&amp;&amp;</w:t>
            </w:r>
            <w:r w:rsidR="006A1AFC" w:rsidRPr="00885AB3">
              <w:rPr>
                <w:rFonts w:ascii="Arial Narrow" w:hAnsi="Arial Narrow"/>
                <w:sz w:val="20"/>
                <w:szCs w:val="20"/>
              </w:rPr>
              <w:t>% in 2</w:t>
            </w:r>
            <w:r w:rsidR="006A1AFC" w:rsidRPr="00885AB3">
              <w:rPr>
                <w:rFonts w:ascii="Arial Narrow" w:hAnsi="Arial Narrow"/>
                <w:sz w:val="20"/>
                <w:szCs w:val="20"/>
                <w:vertAlign w:val="superscript"/>
              </w:rPr>
              <w:t>nd</w:t>
            </w:r>
            <w:r w:rsidR="006A1AFC" w:rsidRPr="00885AB3">
              <w:rPr>
                <w:rFonts w:ascii="Arial Narrow" w:hAnsi="Arial Narrow"/>
                <w:sz w:val="20"/>
                <w:szCs w:val="20"/>
              </w:rPr>
              <w:t xml:space="preserve"> year onward applied to those not vaccinated in 1</w:t>
            </w:r>
            <w:r w:rsidR="006A1AFC" w:rsidRPr="00885AB3">
              <w:rPr>
                <w:rFonts w:ascii="Arial Narrow" w:hAnsi="Arial Narrow"/>
                <w:sz w:val="20"/>
                <w:szCs w:val="20"/>
                <w:vertAlign w:val="superscript"/>
              </w:rPr>
              <w:t>st</w:t>
            </w:r>
            <w:r w:rsidR="006A1AFC" w:rsidRPr="00885AB3">
              <w:rPr>
                <w:rFonts w:ascii="Arial Narrow" w:hAnsi="Arial Narrow"/>
                <w:sz w:val="20"/>
                <w:szCs w:val="20"/>
              </w:rPr>
              <w:t xml:space="preserve"> year)</w:t>
            </w:r>
          </w:p>
          <w:p w14:paraId="4ACE395C" w14:textId="77777777" w:rsidR="006A1AFC" w:rsidRPr="00885AB3" w:rsidRDefault="006A1AFC" w:rsidP="00120D61">
            <w:pPr>
              <w:keepNext/>
              <w:jc w:val="left"/>
              <w:rPr>
                <w:rFonts w:ascii="Arial Narrow" w:hAnsi="Arial Narrow"/>
                <w:sz w:val="20"/>
                <w:szCs w:val="20"/>
              </w:rPr>
            </w:pPr>
          </w:p>
          <w:p w14:paraId="647B50D7" w14:textId="64CC8C18" w:rsidR="006A1AFC" w:rsidRPr="00885AB3" w:rsidRDefault="006A1AFC" w:rsidP="00120D61">
            <w:pPr>
              <w:keepNext/>
              <w:jc w:val="left"/>
              <w:rPr>
                <w:rFonts w:ascii="Arial Narrow" w:hAnsi="Arial Narrow"/>
                <w:sz w:val="20"/>
                <w:szCs w:val="20"/>
              </w:rPr>
            </w:pPr>
            <w:r w:rsidRPr="00885AB3">
              <w:rPr>
                <w:rFonts w:ascii="Arial Narrow" w:hAnsi="Arial Narrow"/>
                <w:sz w:val="20"/>
                <w:szCs w:val="20"/>
              </w:rPr>
              <w:t xml:space="preserve">Annual uptake rates of influenza vaccine in </w:t>
            </w:r>
            <w:r w:rsidR="001C78D7">
              <w:rPr>
                <w:rFonts w:ascii="Arial Narrow" w:hAnsi="Arial Narrow"/>
                <w:sz w:val="20"/>
                <w:szCs w:val="20"/>
              </w:rPr>
              <w:t xml:space="preserve">&gt; </w:t>
            </w:r>
            <w:r w:rsidRPr="00885AB3">
              <w:rPr>
                <w:rFonts w:ascii="Arial Narrow" w:hAnsi="Arial Narrow"/>
                <w:sz w:val="20"/>
                <w:szCs w:val="20"/>
              </w:rPr>
              <w:t>65 year per NCIRS</w:t>
            </w:r>
          </w:p>
          <w:p w14:paraId="69D940D0" w14:textId="77777777" w:rsidR="006A1AFC" w:rsidRPr="00885AB3" w:rsidRDefault="006A1AFC" w:rsidP="00120D61">
            <w:pPr>
              <w:keepNext/>
              <w:jc w:val="left"/>
              <w:rPr>
                <w:rFonts w:ascii="Arial Narrow" w:hAnsi="Arial Narrow"/>
                <w:sz w:val="20"/>
                <w:szCs w:val="20"/>
              </w:rPr>
            </w:pPr>
          </w:p>
        </w:tc>
        <w:tc>
          <w:tcPr>
            <w:tcW w:w="1351" w:type="pct"/>
            <w:vAlign w:val="center"/>
          </w:tcPr>
          <w:p w14:paraId="4E985D4E" w14:textId="77777777" w:rsidR="006A1AFC" w:rsidRPr="00885AB3" w:rsidRDefault="006A1AFC" w:rsidP="00120D61">
            <w:pPr>
              <w:keepNext/>
              <w:jc w:val="left"/>
              <w:rPr>
                <w:rFonts w:ascii="Arial Narrow" w:hAnsi="Arial Narrow"/>
                <w:sz w:val="20"/>
                <w:szCs w:val="20"/>
                <w:u w:val="single"/>
              </w:rPr>
            </w:pPr>
            <w:r w:rsidRPr="00885AB3">
              <w:rPr>
                <w:rFonts w:ascii="Arial Narrow" w:hAnsi="Arial Narrow"/>
                <w:sz w:val="20"/>
                <w:szCs w:val="20"/>
                <w:u w:val="single"/>
              </w:rPr>
              <w:t>Aboriginal and Torres Strait Islander people 60-74 YOA</w:t>
            </w:r>
          </w:p>
          <w:p w14:paraId="464048D6" w14:textId="53A08D8A" w:rsidR="006A1AFC" w:rsidRPr="00885AB3" w:rsidRDefault="004B5AFE" w:rsidP="00120D61">
            <w:pPr>
              <w:keepNext/>
              <w:jc w:val="left"/>
              <w:rPr>
                <w:rFonts w:ascii="Arial Narrow" w:hAnsi="Arial Narrow"/>
                <w:sz w:val="20"/>
                <w:szCs w:val="20"/>
              </w:rPr>
            </w:pPr>
            <w:r w:rsidRPr="004B5AFE">
              <w:rPr>
                <w:rFonts w:ascii="Arial Narrow" w:hAnsi="Arial Narrow"/>
                <w:sz w:val="20"/>
                <w:szCs w:val="20"/>
                <w:highlight w:val="black"/>
              </w:rPr>
              <w:t xml:space="preserve"> &amp;&amp;&amp;&amp;</w:t>
            </w:r>
            <w:r w:rsidR="006A1AFC" w:rsidRPr="00885AB3">
              <w:rPr>
                <w:rFonts w:ascii="Arial Narrow" w:hAnsi="Arial Narrow"/>
                <w:sz w:val="20"/>
                <w:szCs w:val="20"/>
              </w:rPr>
              <w:t>%</w:t>
            </w:r>
          </w:p>
          <w:p w14:paraId="2B3708DE" w14:textId="5F4F792A" w:rsidR="006A1AFC" w:rsidRPr="00885AB3" w:rsidRDefault="004B5AFE" w:rsidP="00120D61">
            <w:pPr>
              <w:keepNext/>
              <w:jc w:val="left"/>
              <w:rPr>
                <w:rFonts w:ascii="Arial Narrow" w:eastAsiaTheme="majorEastAsia" w:hAnsi="Arial Narrow" w:cstheme="majorBidi"/>
                <w:bCs/>
                <w:sz w:val="20"/>
                <w:szCs w:val="20"/>
              </w:rPr>
            </w:pPr>
            <w:r w:rsidRPr="004B5AFE">
              <w:rPr>
                <w:rFonts w:ascii="Arial Narrow" w:eastAsiaTheme="majorEastAsia" w:hAnsi="Arial Narrow" w:cstheme="majorBidi"/>
                <w:bCs/>
                <w:sz w:val="20"/>
                <w:szCs w:val="20"/>
                <w:highlight w:val="black"/>
              </w:rPr>
              <w:t xml:space="preserve"> &amp;&amp;&amp;&amp;</w:t>
            </w:r>
            <w:r w:rsidR="006A1AFC" w:rsidRPr="00885AB3">
              <w:rPr>
                <w:rFonts w:ascii="Arial Narrow" w:eastAsiaTheme="majorEastAsia" w:hAnsi="Arial Narrow" w:cstheme="majorBidi"/>
                <w:bCs/>
                <w:sz w:val="20"/>
                <w:szCs w:val="20"/>
              </w:rPr>
              <w:t xml:space="preserve">% - </w:t>
            </w:r>
            <w:r w:rsidRPr="004B5AFE">
              <w:rPr>
                <w:rFonts w:ascii="Arial Narrow" w:eastAsiaTheme="majorEastAsia" w:hAnsi="Arial Narrow" w:cstheme="majorBidi"/>
                <w:bCs/>
                <w:sz w:val="20"/>
                <w:szCs w:val="20"/>
                <w:highlight w:val="black"/>
              </w:rPr>
              <w:t xml:space="preserve"> &amp;&amp;&amp;&amp;</w:t>
            </w:r>
            <w:r w:rsidR="006A1AFC" w:rsidRPr="00885AB3">
              <w:rPr>
                <w:rFonts w:ascii="Arial Narrow" w:eastAsiaTheme="majorEastAsia" w:hAnsi="Arial Narrow" w:cstheme="majorBidi"/>
                <w:bCs/>
                <w:sz w:val="20"/>
                <w:szCs w:val="20"/>
              </w:rPr>
              <w:t>% (</w:t>
            </w:r>
            <w:r w:rsidRPr="004B5AFE">
              <w:rPr>
                <w:rFonts w:ascii="Arial Narrow" w:eastAsiaTheme="majorEastAsia" w:hAnsi="Arial Narrow" w:cstheme="majorBidi"/>
                <w:bCs/>
                <w:sz w:val="20"/>
                <w:szCs w:val="20"/>
                <w:highlight w:val="black"/>
              </w:rPr>
              <w:t xml:space="preserve"> &amp;&amp;&amp;&amp;</w:t>
            </w:r>
            <w:r w:rsidR="006A1AFC" w:rsidRPr="00885AB3">
              <w:rPr>
                <w:rFonts w:ascii="Arial Narrow" w:eastAsiaTheme="majorEastAsia" w:hAnsi="Arial Narrow" w:cstheme="majorBidi"/>
                <w:bCs/>
                <w:sz w:val="20"/>
                <w:szCs w:val="20"/>
              </w:rPr>
              <w:t xml:space="preserve">% - </w:t>
            </w:r>
            <w:r w:rsidRPr="004B5AFE">
              <w:rPr>
                <w:rFonts w:ascii="Arial Narrow" w:eastAsiaTheme="majorEastAsia" w:hAnsi="Arial Narrow" w:cstheme="majorBidi"/>
                <w:bCs/>
                <w:sz w:val="20"/>
                <w:szCs w:val="20"/>
                <w:highlight w:val="black"/>
              </w:rPr>
              <w:t xml:space="preserve"> &amp;&amp;&amp;&amp;</w:t>
            </w:r>
            <w:r w:rsidR="006A1AFC" w:rsidRPr="00885AB3">
              <w:rPr>
                <w:rFonts w:ascii="Arial Narrow" w:eastAsiaTheme="majorEastAsia" w:hAnsi="Arial Narrow" w:cstheme="majorBidi"/>
                <w:bCs/>
                <w:sz w:val="20"/>
                <w:szCs w:val="20"/>
              </w:rPr>
              <w:t>% in 1</w:t>
            </w:r>
            <w:r w:rsidR="006A1AFC" w:rsidRPr="00885AB3">
              <w:rPr>
                <w:rFonts w:ascii="Arial Narrow" w:eastAsiaTheme="majorEastAsia" w:hAnsi="Arial Narrow" w:cstheme="majorBidi"/>
                <w:bCs/>
                <w:sz w:val="20"/>
                <w:szCs w:val="20"/>
                <w:vertAlign w:val="superscript"/>
              </w:rPr>
              <w:t>st</w:t>
            </w:r>
            <w:r w:rsidR="006A1AFC" w:rsidRPr="00885AB3">
              <w:rPr>
                <w:rFonts w:ascii="Arial Narrow" w:eastAsiaTheme="majorEastAsia" w:hAnsi="Arial Narrow" w:cstheme="majorBidi"/>
                <w:bCs/>
                <w:sz w:val="20"/>
                <w:szCs w:val="20"/>
              </w:rPr>
              <w:t xml:space="preserve"> year of the incident population, and </w:t>
            </w:r>
            <w:r w:rsidRPr="004B5AFE">
              <w:rPr>
                <w:rFonts w:ascii="Arial Narrow" w:eastAsiaTheme="majorEastAsia" w:hAnsi="Arial Narrow" w:cstheme="majorBidi"/>
                <w:bCs/>
                <w:sz w:val="20"/>
                <w:szCs w:val="20"/>
                <w:highlight w:val="black"/>
              </w:rPr>
              <w:t xml:space="preserve"> &amp;&amp;&amp;&amp;</w:t>
            </w:r>
            <w:r w:rsidR="006A1AFC" w:rsidRPr="00885AB3">
              <w:rPr>
                <w:rFonts w:ascii="Arial Narrow" w:eastAsiaTheme="majorEastAsia" w:hAnsi="Arial Narrow" w:cstheme="majorBidi"/>
                <w:bCs/>
                <w:sz w:val="20"/>
                <w:szCs w:val="20"/>
              </w:rPr>
              <w:t xml:space="preserve">% - </w:t>
            </w:r>
            <w:r w:rsidRPr="004B5AFE">
              <w:rPr>
                <w:rFonts w:ascii="Arial Narrow" w:eastAsiaTheme="majorEastAsia" w:hAnsi="Arial Narrow" w:cstheme="majorBidi"/>
                <w:bCs/>
                <w:sz w:val="20"/>
                <w:szCs w:val="20"/>
                <w:highlight w:val="black"/>
              </w:rPr>
              <w:t xml:space="preserve"> &amp;&amp;&amp;&amp;</w:t>
            </w:r>
            <w:r w:rsidR="006A1AFC" w:rsidRPr="00885AB3">
              <w:rPr>
                <w:rFonts w:ascii="Arial Narrow" w:eastAsiaTheme="majorEastAsia" w:hAnsi="Arial Narrow" w:cstheme="majorBidi"/>
                <w:bCs/>
                <w:sz w:val="20"/>
                <w:szCs w:val="20"/>
              </w:rPr>
              <w:t>% in 2</w:t>
            </w:r>
            <w:r w:rsidR="006A1AFC" w:rsidRPr="00885AB3">
              <w:rPr>
                <w:rFonts w:ascii="Arial Narrow" w:eastAsiaTheme="majorEastAsia" w:hAnsi="Arial Narrow" w:cstheme="majorBidi"/>
                <w:bCs/>
                <w:sz w:val="20"/>
                <w:szCs w:val="20"/>
                <w:vertAlign w:val="superscript"/>
              </w:rPr>
              <w:t>nd</w:t>
            </w:r>
            <w:r w:rsidR="006A1AFC" w:rsidRPr="00885AB3">
              <w:rPr>
                <w:rFonts w:ascii="Arial Narrow" w:eastAsiaTheme="majorEastAsia" w:hAnsi="Arial Narrow" w:cstheme="majorBidi"/>
                <w:bCs/>
                <w:sz w:val="20"/>
                <w:szCs w:val="20"/>
              </w:rPr>
              <w:t xml:space="preserve"> year onward applied to those not vaccinated in 1</w:t>
            </w:r>
            <w:r w:rsidR="006A1AFC" w:rsidRPr="00885AB3">
              <w:rPr>
                <w:rFonts w:ascii="Arial Narrow" w:eastAsiaTheme="majorEastAsia" w:hAnsi="Arial Narrow" w:cstheme="majorBidi"/>
                <w:bCs/>
                <w:sz w:val="20"/>
                <w:szCs w:val="20"/>
                <w:vertAlign w:val="superscript"/>
              </w:rPr>
              <w:t>st</w:t>
            </w:r>
            <w:r w:rsidR="006A1AFC" w:rsidRPr="00885AB3">
              <w:rPr>
                <w:rFonts w:ascii="Arial Narrow" w:eastAsiaTheme="majorEastAsia" w:hAnsi="Arial Narrow" w:cstheme="majorBidi"/>
                <w:bCs/>
                <w:sz w:val="20"/>
                <w:szCs w:val="20"/>
              </w:rPr>
              <w:t xml:space="preserve"> year) </w:t>
            </w:r>
          </w:p>
          <w:p w14:paraId="795BFF4B" w14:textId="77777777" w:rsidR="006A1AFC" w:rsidRPr="00885AB3" w:rsidRDefault="006A1AFC" w:rsidP="00120D61">
            <w:pPr>
              <w:keepNext/>
              <w:jc w:val="left"/>
              <w:rPr>
                <w:rFonts w:ascii="Arial Narrow" w:eastAsiaTheme="majorEastAsia" w:hAnsi="Arial Narrow" w:cstheme="majorBidi"/>
                <w:bCs/>
                <w:sz w:val="12"/>
                <w:szCs w:val="12"/>
              </w:rPr>
            </w:pPr>
          </w:p>
          <w:p w14:paraId="595DC77F" w14:textId="012525C6" w:rsidR="006A1AFC" w:rsidRPr="00885AB3" w:rsidRDefault="006A1AFC" w:rsidP="00120D61">
            <w:pPr>
              <w:keepNext/>
              <w:jc w:val="left"/>
              <w:rPr>
                <w:rFonts w:ascii="Arial Narrow" w:eastAsiaTheme="majorEastAsia" w:hAnsi="Arial Narrow" w:cstheme="majorBidi"/>
                <w:bCs/>
                <w:sz w:val="20"/>
                <w:szCs w:val="20"/>
              </w:rPr>
            </w:pPr>
            <w:r w:rsidRPr="00885AB3">
              <w:rPr>
                <w:rFonts w:ascii="Arial Narrow" w:hAnsi="Arial Narrow"/>
                <w:sz w:val="20"/>
                <w:szCs w:val="20"/>
              </w:rPr>
              <w:t xml:space="preserve">Annual uptake rates of influenza vaccine in </w:t>
            </w:r>
            <w:r w:rsidR="001C78D7">
              <w:rPr>
                <w:rFonts w:ascii="Arial Narrow" w:hAnsi="Arial Narrow"/>
                <w:sz w:val="20"/>
                <w:szCs w:val="20"/>
              </w:rPr>
              <w:t xml:space="preserve">&gt; </w:t>
            </w:r>
            <w:r w:rsidRPr="00885AB3">
              <w:rPr>
                <w:rFonts w:ascii="Arial Narrow" w:hAnsi="Arial Narrow"/>
                <w:sz w:val="20"/>
                <w:szCs w:val="20"/>
              </w:rPr>
              <w:t>65 years age group, indigenous adults per NCIRS</w:t>
            </w:r>
          </w:p>
        </w:tc>
        <w:tc>
          <w:tcPr>
            <w:tcW w:w="1844" w:type="pct"/>
            <w:vAlign w:val="center"/>
          </w:tcPr>
          <w:p w14:paraId="7DBB38A9" w14:textId="12B971B0" w:rsidR="006A1AFC" w:rsidRPr="00885AB3" w:rsidRDefault="006A1AFC" w:rsidP="00120D61">
            <w:pPr>
              <w:keepNext/>
              <w:jc w:val="left"/>
              <w:rPr>
                <w:rFonts w:ascii="Arial Narrow" w:hAnsi="Arial Narrow"/>
                <w:sz w:val="20"/>
                <w:szCs w:val="20"/>
              </w:rPr>
            </w:pPr>
            <w:r w:rsidRPr="00885AB3">
              <w:rPr>
                <w:rFonts w:ascii="Arial Narrow" w:hAnsi="Arial Narrow"/>
                <w:sz w:val="20"/>
                <w:szCs w:val="20"/>
              </w:rPr>
              <w:t xml:space="preserve">Total 6-year uptake rate might be reasonable. However, the first-year uptake is likely overestimated (e.g., might be less than </w:t>
            </w:r>
            <w:r w:rsidR="004B5AFE" w:rsidRPr="004B5AFE">
              <w:rPr>
                <w:rFonts w:ascii="Arial Narrow" w:hAnsi="Arial Narrow"/>
                <w:sz w:val="20"/>
                <w:szCs w:val="20"/>
                <w:highlight w:val="black"/>
              </w:rPr>
              <w:t xml:space="preserve"> &amp;&amp;&amp;&amp;</w:t>
            </w:r>
            <w:r w:rsidRPr="00885AB3">
              <w:rPr>
                <w:rFonts w:ascii="Arial Narrow" w:hAnsi="Arial Narrow"/>
                <w:sz w:val="20"/>
                <w:szCs w:val="20"/>
              </w:rPr>
              <w:t xml:space="preserve">% in </w:t>
            </w:r>
            <w:r w:rsidR="00EF2FA4">
              <w:rPr>
                <w:rFonts w:ascii="Arial Narrow" w:hAnsi="Arial Narrow"/>
                <w:sz w:val="20"/>
                <w:szCs w:val="20"/>
              </w:rPr>
              <w:t xml:space="preserve">≥ </w:t>
            </w:r>
            <w:r w:rsidR="00EC73E7" w:rsidRPr="00885AB3">
              <w:rPr>
                <w:rFonts w:ascii="Arial Narrow" w:hAnsi="Arial Narrow"/>
                <w:sz w:val="20"/>
                <w:szCs w:val="20"/>
              </w:rPr>
              <w:t>75</w:t>
            </w:r>
            <w:r w:rsidRPr="00885AB3">
              <w:rPr>
                <w:rFonts w:ascii="Arial Narrow" w:hAnsi="Arial Narrow"/>
                <w:sz w:val="20"/>
                <w:szCs w:val="20"/>
              </w:rPr>
              <w:t xml:space="preserve"> YOA). Additionally, the model seems to incorrectly apply the later-year uptake resulting in a total vaccinated population that exceeds the proposed uptake. </w:t>
            </w:r>
          </w:p>
          <w:p w14:paraId="1279B052" w14:textId="77777777" w:rsidR="006A1AFC" w:rsidRPr="00885AB3" w:rsidRDefault="006A1AFC" w:rsidP="00120D61">
            <w:pPr>
              <w:keepNext/>
              <w:jc w:val="left"/>
              <w:rPr>
                <w:rFonts w:ascii="Arial Narrow" w:hAnsi="Arial Narrow"/>
                <w:sz w:val="20"/>
                <w:szCs w:val="20"/>
              </w:rPr>
            </w:pPr>
          </w:p>
          <w:p w14:paraId="616DF641" w14:textId="77777777" w:rsidR="006A1AFC" w:rsidRPr="00885AB3" w:rsidRDefault="006A1AFC" w:rsidP="00120D61">
            <w:pPr>
              <w:keepNext/>
              <w:jc w:val="left"/>
              <w:rPr>
                <w:rFonts w:ascii="Arial Narrow" w:hAnsi="Arial Narrow"/>
                <w:sz w:val="20"/>
                <w:szCs w:val="20"/>
              </w:rPr>
            </w:pPr>
          </w:p>
        </w:tc>
      </w:tr>
      <w:tr w:rsidR="006A1AFC" w:rsidRPr="00885AB3" w14:paraId="1821DF54" w14:textId="77777777" w:rsidTr="00F2430B">
        <w:tc>
          <w:tcPr>
            <w:tcW w:w="762" w:type="pct"/>
            <w:vAlign w:val="center"/>
          </w:tcPr>
          <w:p w14:paraId="080CAE26" w14:textId="77777777" w:rsidR="006A1AFC" w:rsidRPr="00885AB3" w:rsidRDefault="006A1AFC" w:rsidP="00120D61">
            <w:pPr>
              <w:keepNext/>
              <w:jc w:val="left"/>
              <w:rPr>
                <w:rFonts w:ascii="Arial Narrow" w:hAnsi="Arial Narrow"/>
                <w:b/>
                <w:bCs/>
                <w:sz w:val="20"/>
                <w:szCs w:val="20"/>
              </w:rPr>
            </w:pPr>
            <w:r w:rsidRPr="00885AB3">
              <w:rPr>
                <w:rFonts w:ascii="Arial Narrow" w:hAnsi="Arial Narrow"/>
                <w:b/>
                <w:bCs/>
                <w:sz w:val="20"/>
                <w:szCs w:val="20"/>
              </w:rPr>
              <w:t>Market share</w:t>
            </w:r>
          </w:p>
        </w:tc>
        <w:tc>
          <w:tcPr>
            <w:tcW w:w="2394" w:type="pct"/>
            <w:gridSpan w:val="2"/>
            <w:vAlign w:val="center"/>
          </w:tcPr>
          <w:p w14:paraId="69819642" w14:textId="77777777" w:rsidR="006A1AFC" w:rsidRPr="00885AB3" w:rsidRDefault="006A1AFC" w:rsidP="00120D61">
            <w:pPr>
              <w:keepNext/>
              <w:jc w:val="left"/>
              <w:rPr>
                <w:rFonts w:ascii="Arial Narrow" w:hAnsi="Arial Narrow"/>
                <w:sz w:val="20"/>
                <w:szCs w:val="20"/>
              </w:rPr>
            </w:pPr>
            <w:r w:rsidRPr="00885AB3">
              <w:rPr>
                <w:rFonts w:ascii="Arial Narrow" w:hAnsi="Arial Narrow"/>
                <w:sz w:val="20"/>
                <w:szCs w:val="20"/>
              </w:rPr>
              <w:t xml:space="preserve">Status quo: </w:t>
            </w:r>
            <w:proofErr w:type="spellStart"/>
            <w:r w:rsidRPr="00885AB3">
              <w:rPr>
                <w:rFonts w:ascii="Arial Narrow" w:hAnsi="Arial Narrow"/>
                <w:sz w:val="20"/>
                <w:szCs w:val="20"/>
              </w:rPr>
              <w:t>RSVPreF</w:t>
            </w:r>
            <w:proofErr w:type="spellEnd"/>
            <w:r w:rsidRPr="00885AB3">
              <w:rPr>
                <w:rFonts w:ascii="Arial Narrow" w:hAnsi="Arial Narrow"/>
                <w:sz w:val="20"/>
                <w:szCs w:val="20"/>
              </w:rPr>
              <w:t>: 100%</w:t>
            </w:r>
          </w:p>
          <w:p w14:paraId="2B6E537F" w14:textId="77777777" w:rsidR="006A1AFC" w:rsidRPr="00885AB3" w:rsidRDefault="006A1AFC" w:rsidP="00120D61">
            <w:pPr>
              <w:keepNext/>
              <w:jc w:val="left"/>
              <w:rPr>
                <w:rFonts w:ascii="Arial Narrow" w:hAnsi="Arial Narrow"/>
                <w:sz w:val="20"/>
                <w:szCs w:val="20"/>
              </w:rPr>
            </w:pPr>
          </w:p>
          <w:p w14:paraId="4285E9BB" w14:textId="77777777" w:rsidR="006A1AFC" w:rsidRPr="00885AB3" w:rsidRDefault="006A1AFC" w:rsidP="00120D61">
            <w:pPr>
              <w:keepNext/>
              <w:jc w:val="left"/>
              <w:rPr>
                <w:rFonts w:ascii="Arial Narrow" w:hAnsi="Arial Narrow"/>
                <w:sz w:val="20"/>
                <w:szCs w:val="20"/>
              </w:rPr>
            </w:pPr>
            <w:r w:rsidRPr="00885AB3">
              <w:rPr>
                <w:rFonts w:ascii="Arial Narrow" w:hAnsi="Arial Narrow"/>
                <w:sz w:val="20"/>
                <w:szCs w:val="20"/>
              </w:rPr>
              <w:t>Predicted market:</w:t>
            </w:r>
          </w:p>
          <w:p w14:paraId="2664866C" w14:textId="2F0DA0DB" w:rsidR="006A1AFC" w:rsidRPr="00885AB3" w:rsidRDefault="006A1AFC" w:rsidP="00120D61">
            <w:pPr>
              <w:keepNext/>
              <w:jc w:val="left"/>
              <w:rPr>
                <w:rFonts w:ascii="Arial Narrow" w:hAnsi="Arial Narrow"/>
                <w:sz w:val="20"/>
                <w:szCs w:val="20"/>
              </w:rPr>
            </w:pPr>
            <w:r w:rsidRPr="00885AB3">
              <w:rPr>
                <w:rFonts w:ascii="Arial Narrow" w:hAnsi="Arial Narrow"/>
                <w:sz w:val="20"/>
                <w:szCs w:val="20"/>
              </w:rPr>
              <w:t xml:space="preserve">mRNA-1345: </w:t>
            </w:r>
            <w:r w:rsidR="004B5AFE" w:rsidRPr="004B5AFE">
              <w:rPr>
                <w:rFonts w:ascii="Arial Narrow" w:hAnsi="Arial Narrow"/>
                <w:sz w:val="20"/>
                <w:szCs w:val="20"/>
                <w:highlight w:val="black"/>
              </w:rPr>
              <w:t xml:space="preserve"> &amp;&amp;&amp;&amp;</w:t>
            </w:r>
            <w:r w:rsidRPr="00885AB3">
              <w:rPr>
                <w:rFonts w:ascii="Arial Narrow" w:hAnsi="Arial Narrow"/>
                <w:sz w:val="20"/>
                <w:szCs w:val="20"/>
              </w:rPr>
              <w:t>%</w:t>
            </w:r>
          </w:p>
          <w:p w14:paraId="7985AEC1" w14:textId="201EF9CD" w:rsidR="006A1AFC" w:rsidRPr="00885AB3" w:rsidRDefault="006A1AFC" w:rsidP="00120D61">
            <w:pPr>
              <w:keepNext/>
              <w:jc w:val="left"/>
              <w:rPr>
                <w:rFonts w:ascii="Arial Narrow" w:hAnsi="Arial Narrow"/>
                <w:sz w:val="20"/>
                <w:szCs w:val="20"/>
              </w:rPr>
            </w:pPr>
            <w:proofErr w:type="spellStart"/>
            <w:r w:rsidRPr="00885AB3">
              <w:rPr>
                <w:rFonts w:ascii="Arial Narrow" w:hAnsi="Arial Narrow"/>
                <w:sz w:val="20"/>
                <w:szCs w:val="20"/>
              </w:rPr>
              <w:t>RSVPreF</w:t>
            </w:r>
            <w:proofErr w:type="spellEnd"/>
            <w:r w:rsidRPr="00885AB3">
              <w:rPr>
                <w:rFonts w:ascii="Arial Narrow" w:hAnsi="Arial Narrow"/>
                <w:sz w:val="20"/>
                <w:szCs w:val="20"/>
              </w:rPr>
              <w:t xml:space="preserve">: </w:t>
            </w:r>
            <w:r w:rsidR="004B5AFE" w:rsidRPr="004B5AFE">
              <w:rPr>
                <w:rFonts w:ascii="Arial Narrow" w:hAnsi="Arial Narrow"/>
                <w:sz w:val="20"/>
                <w:szCs w:val="20"/>
                <w:highlight w:val="black"/>
              </w:rPr>
              <w:t xml:space="preserve"> &amp;&amp;&amp;&amp;</w:t>
            </w:r>
            <w:r w:rsidRPr="00885AB3">
              <w:rPr>
                <w:rFonts w:ascii="Arial Narrow" w:hAnsi="Arial Narrow"/>
                <w:sz w:val="20"/>
                <w:szCs w:val="20"/>
              </w:rPr>
              <w:t>%</w:t>
            </w:r>
          </w:p>
          <w:p w14:paraId="188E13EF" w14:textId="77777777" w:rsidR="006A1AFC" w:rsidRPr="00885AB3" w:rsidRDefault="006A1AFC" w:rsidP="00120D61">
            <w:pPr>
              <w:keepNext/>
              <w:jc w:val="left"/>
              <w:rPr>
                <w:rFonts w:ascii="Arial Narrow" w:hAnsi="Arial Narrow"/>
                <w:sz w:val="20"/>
                <w:szCs w:val="20"/>
              </w:rPr>
            </w:pPr>
          </w:p>
          <w:p w14:paraId="1D9F6801" w14:textId="6E93690A" w:rsidR="006A1AFC" w:rsidRPr="00885AB3" w:rsidRDefault="006A1AFC" w:rsidP="00120D61">
            <w:pPr>
              <w:keepNext/>
              <w:jc w:val="left"/>
              <w:rPr>
                <w:rFonts w:ascii="Arial Narrow" w:hAnsi="Arial Narrow"/>
                <w:sz w:val="20"/>
                <w:szCs w:val="20"/>
              </w:rPr>
            </w:pPr>
            <w:r w:rsidRPr="00885AB3">
              <w:rPr>
                <w:rFonts w:ascii="Arial Narrow" w:hAnsi="Arial Narrow"/>
                <w:sz w:val="20"/>
                <w:szCs w:val="20"/>
              </w:rPr>
              <w:t>Assumption (ATAGI Advice, June 2025)</w:t>
            </w:r>
          </w:p>
        </w:tc>
        <w:tc>
          <w:tcPr>
            <w:tcW w:w="1844" w:type="pct"/>
            <w:vAlign w:val="center"/>
          </w:tcPr>
          <w:p w14:paraId="0765C057" w14:textId="4C9D324E" w:rsidR="006A1AFC" w:rsidRPr="00885AB3" w:rsidRDefault="006A1AFC" w:rsidP="00120D61">
            <w:pPr>
              <w:keepNext/>
              <w:jc w:val="left"/>
              <w:rPr>
                <w:rFonts w:ascii="Arial Narrow" w:hAnsi="Arial Narrow"/>
                <w:sz w:val="20"/>
                <w:szCs w:val="20"/>
              </w:rPr>
            </w:pPr>
            <w:r w:rsidRPr="00885AB3">
              <w:rPr>
                <w:rFonts w:ascii="Arial Narrow" w:hAnsi="Arial Narrow"/>
                <w:sz w:val="20"/>
                <w:szCs w:val="20"/>
              </w:rPr>
              <w:t>ATAGI</w:t>
            </w:r>
            <w:r w:rsidRPr="00885AB3" w:rsidDel="00737250">
              <w:rPr>
                <w:rFonts w:ascii="Arial Narrow" w:hAnsi="Arial Narrow"/>
                <w:sz w:val="20"/>
                <w:szCs w:val="20"/>
              </w:rPr>
              <w:t xml:space="preserve"> </w:t>
            </w:r>
            <w:r w:rsidRPr="00885AB3">
              <w:rPr>
                <w:rFonts w:ascii="Arial Narrow" w:hAnsi="Arial Narrow"/>
                <w:sz w:val="20"/>
                <w:szCs w:val="20"/>
              </w:rPr>
              <w:t xml:space="preserve">considered that a </w:t>
            </w:r>
            <w:r w:rsidR="004B5AFE" w:rsidRPr="004B5AFE">
              <w:rPr>
                <w:rFonts w:ascii="Arial Narrow" w:hAnsi="Arial Narrow"/>
                <w:sz w:val="20"/>
                <w:szCs w:val="20"/>
                <w:highlight w:val="black"/>
              </w:rPr>
              <w:t xml:space="preserve"> &amp;&amp;&amp;&amp;</w:t>
            </w:r>
            <w:r w:rsidRPr="00885AB3">
              <w:rPr>
                <w:rFonts w:ascii="Arial Narrow" w:hAnsi="Arial Narrow"/>
                <w:sz w:val="20"/>
                <w:szCs w:val="20"/>
              </w:rPr>
              <w:t>% market share is reasonable as a base case for the estimate of utilisation of mRNA-1345</w:t>
            </w:r>
            <w:r w:rsidR="00E63AAC" w:rsidRPr="00885AB3">
              <w:rPr>
                <w:rFonts w:ascii="Arial Narrow" w:hAnsi="Arial Narrow"/>
                <w:sz w:val="20"/>
                <w:szCs w:val="20"/>
              </w:rPr>
              <w:t xml:space="preserve">, contingent upon the claim of </w:t>
            </w:r>
            <w:r w:rsidR="001674FD" w:rsidRPr="00885AB3">
              <w:rPr>
                <w:rFonts w:ascii="Arial Narrow" w:hAnsi="Arial Narrow"/>
                <w:sz w:val="20"/>
                <w:szCs w:val="20"/>
              </w:rPr>
              <w:t>non-inferiority</w:t>
            </w:r>
            <w:r w:rsidR="00E63AAC" w:rsidRPr="00885AB3">
              <w:rPr>
                <w:rFonts w:ascii="Arial Narrow" w:hAnsi="Arial Narrow"/>
                <w:sz w:val="20"/>
                <w:szCs w:val="20"/>
              </w:rPr>
              <w:t xml:space="preserve"> vs </w:t>
            </w:r>
            <w:proofErr w:type="spellStart"/>
            <w:r w:rsidR="00E847C6" w:rsidRPr="00885AB3">
              <w:rPr>
                <w:rFonts w:ascii="Arial Narrow" w:hAnsi="Arial Narrow"/>
                <w:sz w:val="20"/>
                <w:szCs w:val="20"/>
              </w:rPr>
              <w:t>RSVpreF</w:t>
            </w:r>
            <w:proofErr w:type="spellEnd"/>
            <w:r w:rsidR="00E63AAC" w:rsidRPr="00885AB3">
              <w:rPr>
                <w:rFonts w:ascii="Arial Narrow" w:hAnsi="Arial Narrow"/>
                <w:sz w:val="20"/>
                <w:szCs w:val="20"/>
              </w:rPr>
              <w:t xml:space="preserve"> being accepted, and </w:t>
            </w:r>
            <w:r w:rsidRPr="00885AB3">
              <w:rPr>
                <w:rFonts w:ascii="Arial Narrow" w:hAnsi="Arial Narrow"/>
                <w:sz w:val="20"/>
                <w:szCs w:val="20"/>
              </w:rPr>
              <w:t xml:space="preserve">noting mRNA-1345 may be impacted if there is public hesitancy for mRNA technology. </w:t>
            </w:r>
          </w:p>
          <w:p w14:paraId="65907224" w14:textId="77777777" w:rsidR="006A1AFC" w:rsidRPr="00885AB3" w:rsidRDefault="006A1AFC" w:rsidP="00120D61">
            <w:pPr>
              <w:keepNext/>
              <w:jc w:val="left"/>
              <w:rPr>
                <w:rFonts w:ascii="Arial Narrow" w:hAnsi="Arial Narrow"/>
                <w:sz w:val="20"/>
                <w:szCs w:val="20"/>
              </w:rPr>
            </w:pPr>
          </w:p>
          <w:p w14:paraId="7177B32E" w14:textId="77777777" w:rsidR="006A1AFC" w:rsidRPr="00885AB3" w:rsidRDefault="006A1AFC" w:rsidP="00120D61">
            <w:pPr>
              <w:keepNext/>
              <w:jc w:val="left"/>
              <w:rPr>
                <w:rFonts w:ascii="Arial Narrow" w:hAnsi="Arial Narrow"/>
                <w:sz w:val="20"/>
                <w:szCs w:val="20"/>
              </w:rPr>
            </w:pPr>
            <w:r w:rsidRPr="00885AB3">
              <w:rPr>
                <w:rFonts w:ascii="Arial Narrow" w:hAnsi="Arial Narrow"/>
                <w:sz w:val="20"/>
                <w:szCs w:val="20"/>
              </w:rPr>
              <w:t xml:space="preserve">Uptake may also be overestimated given immunogenicity against RSV may be compromised when mRNA-1345 is </w:t>
            </w:r>
            <w:proofErr w:type="spellStart"/>
            <w:r w:rsidRPr="00885AB3">
              <w:rPr>
                <w:rFonts w:ascii="Arial Narrow" w:hAnsi="Arial Narrow"/>
                <w:sz w:val="20"/>
                <w:szCs w:val="20"/>
              </w:rPr>
              <w:t>coadministered</w:t>
            </w:r>
            <w:proofErr w:type="spellEnd"/>
            <w:r w:rsidRPr="00885AB3">
              <w:rPr>
                <w:rFonts w:ascii="Arial Narrow" w:hAnsi="Arial Narrow"/>
                <w:sz w:val="20"/>
                <w:szCs w:val="20"/>
              </w:rPr>
              <w:t xml:space="preserve"> with an influenza vaccine.</w:t>
            </w:r>
          </w:p>
        </w:tc>
      </w:tr>
      <w:tr w:rsidR="006A1AFC" w:rsidRPr="00885AB3" w14:paraId="05F008F4" w14:textId="77777777" w:rsidTr="00F2430B">
        <w:tc>
          <w:tcPr>
            <w:tcW w:w="762" w:type="pct"/>
            <w:vAlign w:val="center"/>
          </w:tcPr>
          <w:p w14:paraId="6681577B" w14:textId="77777777" w:rsidR="006A1AFC" w:rsidRPr="00885AB3" w:rsidRDefault="006A1AFC" w:rsidP="00120D61">
            <w:pPr>
              <w:keepNext/>
              <w:jc w:val="left"/>
              <w:rPr>
                <w:rFonts w:ascii="Arial Narrow" w:hAnsi="Arial Narrow"/>
                <w:b/>
                <w:bCs/>
                <w:sz w:val="20"/>
                <w:szCs w:val="20"/>
              </w:rPr>
            </w:pPr>
            <w:r w:rsidRPr="00885AB3">
              <w:rPr>
                <w:rFonts w:ascii="Arial Narrow" w:hAnsi="Arial Narrow"/>
                <w:b/>
                <w:bCs/>
                <w:sz w:val="20"/>
                <w:szCs w:val="20"/>
              </w:rPr>
              <w:t>Administration fee</w:t>
            </w:r>
          </w:p>
        </w:tc>
        <w:tc>
          <w:tcPr>
            <w:tcW w:w="2394" w:type="pct"/>
            <w:gridSpan w:val="2"/>
            <w:vAlign w:val="center"/>
          </w:tcPr>
          <w:p w14:paraId="0B05EBD8" w14:textId="77777777" w:rsidR="006A1AFC" w:rsidRPr="00885AB3" w:rsidRDefault="006A1AFC" w:rsidP="00120D61">
            <w:pPr>
              <w:keepNext/>
              <w:jc w:val="left"/>
              <w:rPr>
                <w:rFonts w:ascii="Arial Narrow" w:hAnsi="Arial Narrow"/>
                <w:sz w:val="20"/>
                <w:szCs w:val="20"/>
              </w:rPr>
            </w:pPr>
            <w:r w:rsidRPr="00885AB3">
              <w:rPr>
                <w:rFonts w:ascii="Arial Narrow" w:hAnsi="Arial Narrow"/>
                <w:sz w:val="20"/>
                <w:szCs w:val="20"/>
              </w:rPr>
              <w:t xml:space="preserve">$19.60 MBS item 3 assumed to both mRNA-1345 and </w:t>
            </w:r>
            <w:proofErr w:type="spellStart"/>
            <w:r w:rsidRPr="00885AB3">
              <w:rPr>
                <w:rFonts w:ascii="Arial Narrow" w:hAnsi="Arial Narrow"/>
                <w:sz w:val="20"/>
                <w:szCs w:val="20"/>
              </w:rPr>
              <w:t>RSVPreF</w:t>
            </w:r>
            <w:proofErr w:type="spellEnd"/>
            <w:r w:rsidRPr="00885AB3">
              <w:rPr>
                <w:rFonts w:ascii="Arial Narrow" w:hAnsi="Arial Narrow"/>
                <w:sz w:val="20"/>
                <w:szCs w:val="20"/>
              </w:rPr>
              <w:t>.</w:t>
            </w:r>
          </w:p>
        </w:tc>
        <w:tc>
          <w:tcPr>
            <w:tcW w:w="1844" w:type="pct"/>
            <w:vAlign w:val="center"/>
          </w:tcPr>
          <w:p w14:paraId="7D356EFE" w14:textId="77777777" w:rsidR="006A1AFC" w:rsidRPr="00885AB3" w:rsidRDefault="006A1AFC" w:rsidP="00120D61">
            <w:pPr>
              <w:keepNext/>
              <w:jc w:val="left"/>
              <w:rPr>
                <w:rFonts w:ascii="Arial Narrow" w:hAnsi="Arial Narrow"/>
                <w:sz w:val="20"/>
                <w:szCs w:val="20"/>
              </w:rPr>
            </w:pPr>
            <w:r w:rsidRPr="00885AB3">
              <w:rPr>
                <w:rFonts w:ascii="Arial Narrow" w:hAnsi="Arial Narrow"/>
                <w:sz w:val="20"/>
                <w:szCs w:val="20"/>
              </w:rPr>
              <w:t xml:space="preserve">The MBS item is reasonable. However, mRNA-1345 and </w:t>
            </w:r>
            <w:proofErr w:type="spellStart"/>
            <w:r w:rsidRPr="00885AB3">
              <w:rPr>
                <w:rFonts w:ascii="Arial Narrow" w:hAnsi="Arial Narrow"/>
                <w:sz w:val="20"/>
                <w:szCs w:val="20"/>
              </w:rPr>
              <w:t>RSVPreF</w:t>
            </w:r>
            <w:proofErr w:type="spellEnd"/>
            <w:r w:rsidRPr="00885AB3">
              <w:rPr>
                <w:rFonts w:ascii="Arial Narrow" w:hAnsi="Arial Narrow"/>
                <w:sz w:val="20"/>
                <w:szCs w:val="20"/>
              </w:rPr>
              <w:t xml:space="preserve"> may have different administration costs, especially due to potential differences in coadministration with other vaccines.</w:t>
            </w:r>
          </w:p>
        </w:tc>
      </w:tr>
    </w:tbl>
    <w:p w14:paraId="649423B9" w14:textId="487709C7" w:rsidR="006A1AFC" w:rsidRPr="00885AB3" w:rsidRDefault="006A1AFC" w:rsidP="00120D61">
      <w:pPr>
        <w:pStyle w:val="FooterTableFigure"/>
        <w:keepNext/>
      </w:pPr>
      <w:r w:rsidRPr="00885AB3">
        <w:t xml:space="preserve">Source: Compiled during the evaluation using Attachment 18 </w:t>
      </w:r>
      <w:r w:rsidR="00480023" w:rsidRPr="00885AB3">
        <w:t>(</w:t>
      </w:r>
      <w:r w:rsidRPr="00885AB3">
        <w:t>Section 4 financial estimates</w:t>
      </w:r>
      <w:r w:rsidR="00480023" w:rsidRPr="00885AB3">
        <w:t xml:space="preserve"> </w:t>
      </w:r>
      <w:r w:rsidRPr="00885AB3">
        <w:t>July 2025</w:t>
      </w:r>
      <w:r w:rsidR="00480023" w:rsidRPr="00885AB3">
        <w:t>)</w:t>
      </w:r>
      <w:r w:rsidRPr="00885AB3">
        <w:t xml:space="preserve"> of the submission. </w:t>
      </w:r>
    </w:p>
    <w:p w14:paraId="222B5B0F" w14:textId="77777777" w:rsidR="006A1AFC" w:rsidRPr="00885AB3" w:rsidRDefault="006A1AFC" w:rsidP="00120D61">
      <w:pPr>
        <w:pStyle w:val="FooterTableFigure"/>
        <w:keepNext/>
      </w:pPr>
      <w:r w:rsidRPr="00885AB3">
        <w:t>ABS = Australian Bureau of Statistics; ATAGI = Australian Technical Advisory Group on Immunisation; MBS = Medicare Benefits Schedule; NCIRS = National Centre for Immunisation Research and Surveillance; RSV = respiratory syncytial virus; YOA = years of age.</w:t>
      </w:r>
    </w:p>
    <w:p w14:paraId="745102AC" w14:textId="417BF13A" w:rsidR="006A1AFC" w:rsidRPr="00885AB3" w:rsidRDefault="006A1AFC" w:rsidP="00120D61">
      <w:pPr>
        <w:pStyle w:val="3-BodyText"/>
        <w:rPr>
          <w:rFonts w:cs="Calibri"/>
          <w:color w:val="0066FF"/>
        </w:rPr>
      </w:pPr>
      <w:r w:rsidRPr="00885AB3">
        <w:rPr>
          <w:rFonts w:cs="Calibri"/>
        </w:rPr>
        <w:t xml:space="preserve">A summary of the estimated use and financial implications for listing mRNA-1345 is presented in </w:t>
      </w:r>
      <w:r w:rsidRPr="00885AB3">
        <w:rPr>
          <w:rFonts w:cs="Calibri"/>
        </w:rPr>
        <w:fldChar w:fldCharType="begin" w:fldLock="1"/>
      </w:r>
      <w:r w:rsidRPr="00885AB3">
        <w:rPr>
          <w:rFonts w:cs="Calibri"/>
        </w:rPr>
        <w:instrText xml:space="preserve"> REF _Ref205826405 \h  \* MERGEFORMAT </w:instrText>
      </w:r>
      <w:r w:rsidRPr="00885AB3">
        <w:rPr>
          <w:rFonts w:cs="Calibri"/>
        </w:rPr>
      </w:r>
      <w:r w:rsidRPr="00885AB3">
        <w:rPr>
          <w:rFonts w:cs="Calibri"/>
        </w:rPr>
        <w:fldChar w:fldCharType="separate"/>
      </w:r>
      <w:r w:rsidR="00515933" w:rsidRPr="00885AB3">
        <w:rPr>
          <w:rFonts w:cs="Calibri"/>
        </w:rPr>
        <w:t xml:space="preserve">Table </w:t>
      </w:r>
      <w:r w:rsidR="00515933" w:rsidRPr="00885AB3">
        <w:t>26</w:t>
      </w:r>
      <w:r w:rsidRPr="00885AB3">
        <w:rPr>
          <w:rFonts w:cs="Calibri"/>
        </w:rPr>
        <w:fldChar w:fldCharType="end"/>
      </w:r>
      <w:r w:rsidRPr="00885AB3">
        <w:rPr>
          <w:rFonts w:cs="Calibri"/>
        </w:rPr>
        <w:t>.</w:t>
      </w:r>
    </w:p>
    <w:p w14:paraId="62E07179" w14:textId="4F0B116C" w:rsidR="006A1AFC" w:rsidRPr="00885AB3" w:rsidRDefault="006A1AFC" w:rsidP="00120D61">
      <w:pPr>
        <w:pStyle w:val="Caption"/>
        <w:rPr>
          <w:rStyle w:val="CommentReference"/>
          <w:b/>
          <w:szCs w:val="24"/>
        </w:rPr>
      </w:pPr>
      <w:bookmarkStart w:id="150" w:name="_Ref205826405"/>
      <w:r w:rsidRPr="00885AB3">
        <w:lastRenderedPageBreak/>
        <w:t xml:space="preserve">Table </w:t>
      </w:r>
      <w:r w:rsidR="008A242D" w:rsidRPr="00885AB3">
        <w:fldChar w:fldCharType="begin" w:fldLock="1"/>
      </w:r>
      <w:r w:rsidR="008A242D" w:rsidRPr="00885AB3">
        <w:instrText xml:space="preserve"> SEQ Table \* ARABIC </w:instrText>
      </w:r>
      <w:r w:rsidR="008A242D" w:rsidRPr="00885AB3">
        <w:fldChar w:fldCharType="separate"/>
      </w:r>
      <w:r w:rsidR="00515933" w:rsidRPr="00885AB3">
        <w:t>26</w:t>
      </w:r>
      <w:r w:rsidR="008A242D" w:rsidRPr="00885AB3">
        <w:fldChar w:fldCharType="end"/>
      </w:r>
      <w:bookmarkEnd w:id="150"/>
      <w:r w:rsidRPr="00885AB3">
        <w:t>: Estimated use and financial implications</w:t>
      </w:r>
    </w:p>
    <w:tbl>
      <w:tblPr>
        <w:tblStyle w:val="ASDTable2"/>
        <w:tblW w:w="5026" w:type="pct"/>
        <w:tblInd w:w="0" w:type="dxa"/>
        <w:tblLayout w:type="fixed"/>
        <w:tblLook w:val="04A0" w:firstRow="1" w:lastRow="0" w:firstColumn="1" w:lastColumn="0" w:noHBand="0" w:noVBand="1"/>
        <w:tblCaption w:val="Table 26: Estimated use and financial implications"/>
      </w:tblPr>
      <w:tblGrid>
        <w:gridCol w:w="2407"/>
        <w:gridCol w:w="1133"/>
        <w:gridCol w:w="1104"/>
        <w:gridCol w:w="1104"/>
        <w:gridCol w:w="1104"/>
        <w:gridCol w:w="1104"/>
        <w:gridCol w:w="1108"/>
      </w:tblGrid>
      <w:tr w:rsidR="006A1AFC" w:rsidRPr="00885AB3" w14:paraId="4555FA27" w14:textId="77777777">
        <w:tc>
          <w:tcPr>
            <w:tcW w:w="1328" w:type="pct"/>
            <w:tcMar>
              <w:left w:w="28" w:type="dxa"/>
              <w:right w:w="28" w:type="dxa"/>
            </w:tcMar>
          </w:tcPr>
          <w:p w14:paraId="576E2BDD" w14:textId="77777777" w:rsidR="006A1AFC" w:rsidRPr="00885AB3" w:rsidRDefault="006A1AFC" w:rsidP="00120D61">
            <w:pPr>
              <w:pStyle w:val="Tabletext"/>
              <w:keepNext/>
              <w:rPr>
                <w:szCs w:val="20"/>
              </w:rPr>
            </w:pPr>
          </w:p>
        </w:tc>
        <w:tc>
          <w:tcPr>
            <w:tcW w:w="625" w:type="pct"/>
            <w:tcMar>
              <w:left w:w="28" w:type="dxa"/>
              <w:right w:w="28" w:type="dxa"/>
            </w:tcMar>
          </w:tcPr>
          <w:p w14:paraId="38958F42" w14:textId="77777777" w:rsidR="006A1AFC" w:rsidRPr="00885AB3" w:rsidRDefault="006A1AFC" w:rsidP="00120D61">
            <w:pPr>
              <w:pStyle w:val="Tabletext"/>
              <w:keepNext/>
              <w:jc w:val="center"/>
              <w:rPr>
                <w:b/>
                <w:bCs/>
                <w:szCs w:val="20"/>
              </w:rPr>
            </w:pPr>
            <w:r w:rsidRPr="00885AB3">
              <w:rPr>
                <w:b/>
                <w:bCs/>
                <w:szCs w:val="20"/>
              </w:rPr>
              <w:t>Year 1</w:t>
            </w:r>
          </w:p>
        </w:tc>
        <w:tc>
          <w:tcPr>
            <w:tcW w:w="609" w:type="pct"/>
            <w:tcMar>
              <w:left w:w="28" w:type="dxa"/>
              <w:right w:w="28" w:type="dxa"/>
            </w:tcMar>
          </w:tcPr>
          <w:p w14:paraId="5CA5A5E0" w14:textId="77777777" w:rsidR="006A1AFC" w:rsidRPr="00885AB3" w:rsidRDefault="006A1AFC" w:rsidP="00120D61">
            <w:pPr>
              <w:pStyle w:val="Tabletext"/>
              <w:keepNext/>
              <w:jc w:val="center"/>
              <w:rPr>
                <w:b/>
                <w:bCs/>
                <w:szCs w:val="20"/>
              </w:rPr>
            </w:pPr>
            <w:r w:rsidRPr="00885AB3">
              <w:rPr>
                <w:b/>
                <w:bCs/>
                <w:szCs w:val="20"/>
              </w:rPr>
              <w:t>Year 2</w:t>
            </w:r>
          </w:p>
        </w:tc>
        <w:tc>
          <w:tcPr>
            <w:tcW w:w="609" w:type="pct"/>
            <w:tcMar>
              <w:left w:w="28" w:type="dxa"/>
              <w:right w:w="28" w:type="dxa"/>
            </w:tcMar>
          </w:tcPr>
          <w:p w14:paraId="59D9667A" w14:textId="77777777" w:rsidR="006A1AFC" w:rsidRPr="00885AB3" w:rsidRDefault="006A1AFC" w:rsidP="00120D61">
            <w:pPr>
              <w:pStyle w:val="Tabletext"/>
              <w:keepNext/>
              <w:jc w:val="center"/>
              <w:rPr>
                <w:b/>
                <w:bCs/>
                <w:szCs w:val="20"/>
              </w:rPr>
            </w:pPr>
            <w:r w:rsidRPr="00885AB3">
              <w:rPr>
                <w:b/>
                <w:bCs/>
                <w:szCs w:val="20"/>
              </w:rPr>
              <w:t>Year 3</w:t>
            </w:r>
          </w:p>
        </w:tc>
        <w:tc>
          <w:tcPr>
            <w:tcW w:w="609" w:type="pct"/>
            <w:tcMar>
              <w:left w:w="28" w:type="dxa"/>
              <w:right w:w="28" w:type="dxa"/>
            </w:tcMar>
          </w:tcPr>
          <w:p w14:paraId="043D49F0" w14:textId="77777777" w:rsidR="006A1AFC" w:rsidRPr="00885AB3" w:rsidRDefault="006A1AFC" w:rsidP="00120D61">
            <w:pPr>
              <w:pStyle w:val="Tabletext"/>
              <w:keepNext/>
              <w:jc w:val="center"/>
              <w:rPr>
                <w:b/>
                <w:bCs/>
                <w:szCs w:val="20"/>
              </w:rPr>
            </w:pPr>
            <w:r w:rsidRPr="00885AB3">
              <w:rPr>
                <w:b/>
                <w:bCs/>
                <w:szCs w:val="20"/>
              </w:rPr>
              <w:t>Year 4</w:t>
            </w:r>
          </w:p>
        </w:tc>
        <w:tc>
          <w:tcPr>
            <w:tcW w:w="609" w:type="pct"/>
            <w:tcMar>
              <w:left w:w="28" w:type="dxa"/>
              <w:right w:w="28" w:type="dxa"/>
            </w:tcMar>
          </w:tcPr>
          <w:p w14:paraId="3E4A3A14" w14:textId="77777777" w:rsidR="006A1AFC" w:rsidRPr="00885AB3" w:rsidRDefault="006A1AFC" w:rsidP="00120D61">
            <w:pPr>
              <w:pStyle w:val="Tabletext"/>
              <w:keepNext/>
              <w:jc w:val="center"/>
              <w:rPr>
                <w:b/>
                <w:bCs/>
                <w:szCs w:val="20"/>
              </w:rPr>
            </w:pPr>
            <w:r w:rsidRPr="00885AB3">
              <w:rPr>
                <w:b/>
                <w:bCs/>
                <w:szCs w:val="20"/>
              </w:rPr>
              <w:t>Year 5</w:t>
            </w:r>
          </w:p>
        </w:tc>
        <w:tc>
          <w:tcPr>
            <w:tcW w:w="611" w:type="pct"/>
            <w:tcMar>
              <w:left w:w="28" w:type="dxa"/>
              <w:right w:w="28" w:type="dxa"/>
            </w:tcMar>
          </w:tcPr>
          <w:p w14:paraId="40A2EC74" w14:textId="77777777" w:rsidR="006A1AFC" w:rsidRPr="00885AB3" w:rsidRDefault="006A1AFC" w:rsidP="00120D61">
            <w:pPr>
              <w:pStyle w:val="Tabletext"/>
              <w:keepNext/>
              <w:jc w:val="center"/>
              <w:rPr>
                <w:b/>
                <w:bCs/>
                <w:szCs w:val="20"/>
              </w:rPr>
            </w:pPr>
            <w:r w:rsidRPr="00885AB3">
              <w:rPr>
                <w:b/>
                <w:bCs/>
                <w:szCs w:val="20"/>
              </w:rPr>
              <w:t>Year 6</w:t>
            </w:r>
          </w:p>
        </w:tc>
      </w:tr>
      <w:tr w:rsidR="006A1AFC" w:rsidRPr="00885AB3" w14:paraId="27A78EC7" w14:textId="77777777">
        <w:tc>
          <w:tcPr>
            <w:tcW w:w="5000" w:type="pct"/>
            <w:gridSpan w:val="7"/>
            <w:tcMar>
              <w:left w:w="28" w:type="dxa"/>
              <w:right w:w="28" w:type="dxa"/>
            </w:tcMar>
          </w:tcPr>
          <w:p w14:paraId="0E6A861C" w14:textId="44AD44C3" w:rsidR="006A1AFC" w:rsidRPr="00885AB3" w:rsidRDefault="00EF2FA4" w:rsidP="00120D61">
            <w:pPr>
              <w:keepNext/>
              <w:rPr>
                <w:rFonts w:ascii="Arial Narrow" w:hAnsi="Arial Narrow"/>
                <w:b/>
                <w:bCs/>
                <w:sz w:val="20"/>
                <w:szCs w:val="20"/>
                <w:u w:val="single"/>
              </w:rPr>
            </w:pPr>
            <w:r>
              <w:rPr>
                <w:rFonts w:ascii="Arial Narrow" w:hAnsi="Arial Narrow"/>
                <w:b/>
                <w:bCs/>
                <w:sz w:val="20"/>
                <w:szCs w:val="20"/>
                <w:u w:val="single"/>
              </w:rPr>
              <w:t xml:space="preserve">≥ </w:t>
            </w:r>
            <w:r w:rsidR="006A1AFC" w:rsidRPr="00885AB3">
              <w:rPr>
                <w:rFonts w:ascii="Arial Narrow" w:hAnsi="Arial Narrow"/>
                <w:b/>
                <w:bCs/>
                <w:sz w:val="20"/>
                <w:szCs w:val="20"/>
                <w:u w:val="single"/>
              </w:rPr>
              <w:t>75 YOA</w:t>
            </w:r>
          </w:p>
        </w:tc>
      </w:tr>
      <w:tr w:rsidR="006A1AFC" w:rsidRPr="00885AB3" w14:paraId="17622552" w14:textId="77777777">
        <w:tc>
          <w:tcPr>
            <w:tcW w:w="5000" w:type="pct"/>
            <w:gridSpan w:val="7"/>
            <w:tcMar>
              <w:left w:w="28" w:type="dxa"/>
              <w:right w:w="28" w:type="dxa"/>
            </w:tcMar>
          </w:tcPr>
          <w:p w14:paraId="621D4162" w14:textId="77777777" w:rsidR="006A1AFC" w:rsidRPr="00885AB3" w:rsidRDefault="006A1AFC" w:rsidP="00120D61">
            <w:pPr>
              <w:pStyle w:val="Tabletext"/>
              <w:keepNext/>
              <w:rPr>
                <w:b/>
                <w:bCs/>
                <w:szCs w:val="20"/>
              </w:rPr>
            </w:pPr>
            <w:r w:rsidRPr="00885AB3">
              <w:rPr>
                <w:b/>
                <w:bCs/>
                <w:szCs w:val="20"/>
              </w:rPr>
              <w:t>Estimated extent of use</w:t>
            </w:r>
          </w:p>
        </w:tc>
      </w:tr>
      <w:tr w:rsidR="006A1AFC" w:rsidRPr="00885AB3" w14:paraId="00523C6C" w14:textId="77777777">
        <w:tc>
          <w:tcPr>
            <w:tcW w:w="1328" w:type="pct"/>
            <w:tcMar>
              <w:left w:w="28" w:type="dxa"/>
              <w:right w:w="28" w:type="dxa"/>
            </w:tcMar>
          </w:tcPr>
          <w:p w14:paraId="2B3E70AA" w14:textId="77777777" w:rsidR="006A1AFC" w:rsidRPr="00885AB3" w:rsidRDefault="006A1AFC" w:rsidP="00120D61">
            <w:pPr>
              <w:pStyle w:val="Tabletext"/>
              <w:keepNext/>
              <w:rPr>
                <w:szCs w:val="20"/>
              </w:rPr>
            </w:pPr>
            <w:r w:rsidRPr="00885AB3">
              <w:rPr>
                <w:szCs w:val="20"/>
              </w:rPr>
              <w:t>Number vaccinated (vials)</w:t>
            </w:r>
          </w:p>
        </w:tc>
        <w:tc>
          <w:tcPr>
            <w:tcW w:w="625" w:type="pct"/>
            <w:tcMar>
              <w:left w:w="28" w:type="dxa"/>
              <w:right w:w="28" w:type="dxa"/>
            </w:tcMar>
            <w:vAlign w:val="center"/>
          </w:tcPr>
          <w:p w14:paraId="1574F43D" w14:textId="1D1A59A4" w:rsidR="006A1AFC" w:rsidRPr="004A4312" w:rsidRDefault="004B5AFE" w:rsidP="00120D61">
            <w:pPr>
              <w:pStyle w:val="Tabletext"/>
              <w:keepNext/>
              <w:jc w:val="center"/>
              <w:rPr>
                <w:szCs w:val="20"/>
                <w:vertAlign w:val="superscript"/>
              </w:rPr>
            </w:pPr>
            <w:r w:rsidRPr="004B5AFE">
              <w:rPr>
                <w:rFonts w:cs="Calibri"/>
                <w:color w:val="000000"/>
                <w:szCs w:val="20"/>
                <w:highlight w:val="black"/>
              </w:rPr>
              <w:t xml:space="preserve"> &amp;&amp;&amp;&amp;</w:t>
            </w:r>
            <w:r w:rsidR="004A4312">
              <w:rPr>
                <w:rFonts w:cs="Calibri"/>
                <w:color w:val="000000"/>
                <w:szCs w:val="20"/>
                <w:vertAlign w:val="superscript"/>
              </w:rPr>
              <w:t>1</w:t>
            </w:r>
          </w:p>
        </w:tc>
        <w:tc>
          <w:tcPr>
            <w:tcW w:w="609" w:type="pct"/>
            <w:tcMar>
              <w:left w:w="28" w:type="dxa"/>
              <w:right w:w="28" w:type="dxa"/>
            </w:tcMar>
            <w:vAlign w:val="center"/>
          </w:tcPr>
          <w:p w14:paraId="42CA90C4" w14:textId="34F5D1D8" w:rsidR="006A1AFC" w:rsidRPr="00877FC3" w:rsidRDefault="004B5AFE" w:rsidP="00120D61">
            <w:pPr>
              <w:pStyle w:val="Tabletext"/>
              <w:keepNext/>
              <w:jc w:val="center"/>
              <w:rPr>
                <w:szCs w:val="20"/>
                <w:vertAlign w:val="superscript"/>
              </w:rPr>
            </w:pPr>
            <w:r w:rsidRPr="004B5AFE">
              <w:rPr>
                <w:rFonts w:cs="Calibri"/>
                <w:color w:val="000000"/>
                <w:szCs w:val="20"/>
                <w:highlight w:val="black"/>
              </w:rPr>
              <w:t xml:space="preserve"> &amp;&amp;&amp;&amp;</w:t>
            </w:r>
            <w:r w:rsidR="00877FC3">
              <w:rPr>
                <w:rFonts w:cs="Calibri"/>
                <w:color w:val="000000"/>
                <w:szCs w:val="20"/>
                <w:vertAlign w:val="superscript"/>
              </w:rPr>
              <w:t>2</w:t>
            </w:r>
          </w:p>
        </w:tc>
        <w:tc>
          <w:tcPr>
            <w:tcW w:w="609" w:type="pct"/>
            <w:tcMar>
              <w:left w:w="28" w:type="dxa"/>
              <w:right w:w="28" w:type="dxa"/>
            </w:tcMar>
            <w:vAlign w:val="center"/>
          </w:tcPr>
          <w:p w14:paraId="7020896A" w14:textId="2F9A1F94" w:rsidR="006A1AFC" w:rsidRPr="00877FC3" w:rsidRDefault="004B5AFE" w:rsidP="00120D61">
            <w:pPr>
              <w:pStyle w:val="Tabletext"/>
              <w:keepNext/>
              <w:jc w:val="center"/>
              <w:rPr>
                <w:szCs w:val="20"/>
                <w:vertAlign w:val="superscript"/>
              </w:rPr>
            </w:pPr>
            <w:r w:rsidRPr="004B5AFE">
              <w:rPr>
                <w:rFonts w:cs="Calibri"/>
                <w:color w:val="000000"/>
                <w:szCs w:val="20"/>
                <w:highlight w:val="black"/>
              </w:rPr>
              <w:t xml:space="preserve"> &amp;&amp;&amp;&amp;</w:t>
            </w:r>
            <w:r w:rsidR="00877FC3">
              <w:rPr>
                <w:rFonts w:cs="Calibri"/>
                <w:color w:val="000000"/>
                <w:szCs w:val="20"/>
                <w:vertAlign w:val="superscript"/>
              </w:rPr>
              <w:t>2</w:t>
            </w:r>
          </w:p>
        </w:tc>
        <w:tc>
          <w:tcPr>
            <w:tcW w:w="609" w:type="pct"/>
            <w:tcMar>
              <w:left w:w="28" w:type="dxa"/>
              <w:right w:w="28" w:type="dxa"/>
            </w:tcMar>
            <w:vAlign w:val="center"/>
          </w:tcPr>
          <w:p w14:paraId="2B449C06" w14:textId="74A1A468" w:rsidR="006A1AFC" w:rsidRPr="00877FC3" w:rsidRDefault="004B5AFE" w:rsidP="00120D61">
            <w:pPr>
              <w:pStyle w:val="Tabletext"/>
              <w:keepNext/>
              <w:jc w:val="center"/>
              <w:rPr>
                <w:szCs w:val="20"/>
                <w:vertAlign w:val="superscript"/>
              </w:rPr>
            </w:pPr>
            <w:r w:rsidRPr="004B5AFE">
              <w:rPr>
                <w:rFonts w:cs="Calibri"/>
                <w:color w:val="000000"/>
                <w:szCs w:val="20"/>
                <w:highlight w:val="black"/>
              </w:rPr>
              <w:t xml:space="preserve"> &amp;&amp;&amp;&amp;</w:t>
            </w:r>
            <w:r w:rsidR="00877FC3">
              <w:rPr>
                <w:rFonts w:cs="Calibri"/>
                <w:color w:val="000000"/>
                <w:szCs w:val="20"/>
                <w:vertAlign w:val="superscript"/>
              </w:rPr>
              <w:t>2</w:t>
            </w:r>
          </w:p>
        </w:tc>
        <w:tc>
          <w:tcPr>
            <w:tcW w:w="609" w:type="pct"/>
            <w:tcMar>
              <w:left w:w="28" w:type="dxa"/>
              <w:right w:w="28" w:type="dxa"/>
            </w:tcMar>
            <w:vAlign w:val="center"/>
          </w:tcPr>
          <w:p w14:paraId="0222570B" w14:textId="77E9F7B4" w:rsidR="006A1AFC" w:rsidRPr="00877FC3" w:rsidRDefault="004B5AFE" w:rsidP="00120D61">
            <w:pPr>
              <w:pStyle w:val="Tabletext"/>
              <w:keepNext/>
              <w:jc w:val="center"/>
              <w:rPr>
                <w:szCs w:val="20"/>
                <w:vertAlign w:val="superscript"/>
              </w:rPr>
            </w:pPr>
            <w:r w:rsidRPr="004B5AFE">
              <w:rPr>
                <w:rFonts w:cs="Calibri"/>
                <w:color w:val="000000"/>
                <w:szCs w:val="20"/>
                <w:highlight w:val="black"/>
              </w:rPr>
              <w:t xml:space="preserve"> &amp;&amp;&amp;&amp;</w:t>
            </w:r>
            <w:r w:rsidR="00877FC3">
              <w:rPr>
                <w:rFonts w:cs="Calibri"/>
                <w:color w:val="000000"/>
                <w:szCs w:val="20"/>
                <w:vertAlign w:val="superscript"/>
              </w:rPr>
              <w:t>2</w:t>
            </w:r>
          </w:p>
        </w:tc>
        <w:tc>
          <w:tcPr>
            <w:tcW w:w="611" w:type="pct"/>
            <w:tcMar>
              <w:left w:w="28" w:type="dxa"/>
              <w:right w:w="28" w:type="dxa"/>
            </w:tcMar>
            <w:vAlign w:val="center"/>
          </w:tcPr>
          <w:p w14:paraId="7A71F1B2" w14:textId="12CF7B6B" w:rsidR="006A1AFC" w:rsidRPr="00E44F79" w:rsidRDefault="004B5AFE" w:rsidP="00120D61">
            <w:pPr>
              <w:pStyle w:val="Tabletext"/>
              <w:keepNext/>
              <w:jc w:val="center"/>
              <w:rPr>
                <w:szCs w:val="20"/>
                <w:vertAlign w:val="superscript"/>
              </w:rPr>
            </w:pPr>
            <w:r w:rsidRPr="004B5AFE">
              <w:rPr>
                <w:rFonts w:cs="Calibri"/>
                <w:color w:val="000000"/>
                <w:szCs w:val="20"/>
                <w:highlight w:val="black"/>
              </w:rPr>
              <w:t xml:space="preserve"> &amp;&amp;&amp;&amp;</w:t>
            </w:r>
            <w:r w:rsidR="00E44F79">
              <w:rPr>
                <w:rFonts w:cs="Calibri"/>
                <w:color w:val="000000"/>
                <w:szCs w:val="20"/>
                <w:vertAlign w:val="superscript"/>
              </w:rPr>
              <w:t>3</w:t>
            </w:r>
          </w:p>
        </w:tc>
      </w:tr>
      <w:tr w:rsidR="006A1AFC" w:rsidRPr="00885AB3" w14:paraId="768B6AC2" w14:textId="77777777">
        <w:tc>
          <w:tcPr>
            <w:tcW w:w="5000" w:type="pct"/>
            <w:gridSpan w:val="7"/>
            <w:tcMar>
              <w:left w:w="28" w:type="dxa"/>
              <w:right w:w="28" w:type="dxa"/>
            </w:tcMar>
          </w:tcPr>
          <w:p w14:paraId="6DE49DEC" w14:textId="77777777" w:rsidR="006A1AFC" w:rsidRPr="00885AB3" w:rsidRDefault="006A1AFC" w:rsidP="00120D61">
            <w:pPr>
              <w:pStyle w:val="Tabletext"/>
              <w:keepNext/>
              <w:rPr>
                <w:b/>
                <w:bCs/>
                <w:szCs w:val="20"/>
              </w:rPr>
            </w:pPr>
            <w:r w:rsidRPr="00885AB3">
              <w:rPr>
                <w:b/>
                <w:bCs/>
                <w:szCs w:val="20"/>
              </w:rPr>
              <w:t>Estimated financial implications of mRNA-1345</w:t>
            </w:r>
          </w:p>
        </w:tc>
      </w:tr>
      <w:tr w:rsidR="006A1AFC" w:rsidRPr="00885AB3" w14:paraId="15593A72" w14:textId="77777777">
        <w:tc>
          <w:tcPr>
            <w:tcW w:w="1328" w:type="pct"/>
            <w:tcMar>
              <w:left w:w="28" w:type="dxa"/>
              <w:right w:w="28" w:type="dxa"/>
            </w:tcMar>
          </w:tcPr>
          <w:p w14:paraId="5D8B7EA6" w14:textId="77777777" w:rsidR="006A1AFC" w:rsidRPr="00885AB3" w:rsidRDefault="006A1AFC" w:rsidP="00120D61">
            <w:pPr>
              <w:pStyle w:val="Tabletext"/>
              <w:keepNext/>
              <w:rPr>
                <w:szCs w:val="20"/>
              </w:rPr>
            </w:pPr>
            <w:r w:rsidRPr="00885AB3">
              <w:rPr>
                <w:szCs w:val="20"/>
              </w:rPr>
              <w:t>NIP</w:t>
            </w:r>
          </w:p>
        </w:tc>
        <w:tc>
          <w:tcPr>
            <w:tcW w:w="625" w:type="pct"/>
            <w:tcMar>
              <w:left w:w="28" w:type="dxa"/>
              <w:right w:w="28" w:type="dxa"/>
            </w:tcMar>
            <w:vAlign w:val="center"/>
          </w:tcPr>
          <w:p w14:paraId="4B868EFB" w14:textId="6F79AEE4" w:rsidR="006A1AFC" w:rsidRPr="002D5B73" w:rsidRDefault="006A1AFC" w:rsidP="00120D61">
            <w:pPr>
              <w:pStyle w:val="Tabletext"/>
              <w:keepNext/>
              <w:jc w:val="center"/>
              <w:rPr>
                <w:szCs w:val="20"/>
                <w:vertAlign w:val="superscript"/>
              </w:rPr>
            </w:pPr>
            <w:r w:rsidRPr="00885AB3">
              <w:rPr>
                <w:color w:val="000000"/>
                <w:szCs w:val="20"/>
              </w:rPr>
              <w:t>$</w:t>
            </w:r>
            <w:r w:rsidR="004B5AFE" w:rsidRPr="004B5AFE">
              <w:rPr>
                <w:color w:val="000000"/>
                <w:szCs w:val="20"/>
                <w:highlight w:val="black"/>
              </w:rPr>
              <w:t xml:space="preserve"> &amp;&amp;&amp;&amp;</w:t>
            </w:r>
            <w:r w:rsidR="00754F82">
              <w:rPr>
                <w:color w:val="000000"/>
                <w:szCs w:val="20"/>
                <w:vertAlign w:val="superscript"/>
              </w:rPr>
              <w:t>4</w:t>
            </w:r>
          </w:p>
        </w:tc>
        <w:tc>
          <w:tcPr>
            <w:tcW w:w="609" w:type="pct"/>
            <w:tcMar>
              <w:left w:w="28" w:type="dxa"/>
              <w:right w:w="28" w:type="dxa"/>
            </w:tcMar>
            <w:vAlign w:val="center"/>
          </w:tcPr>
          <w:p w14:paraId="04280383" w14:textId="26EEBFF9" w:rsidR="006A1AFC" w:rsidRPr="00F52E2E" w:rsidRDefault="006A1AFC" w:rsidP="00120D61">
            <w:pPr>
              <w:pStyle w:val="Tabletext"/>
              <w:keepNext/>
              <w:jc w:val="center"/>
              <w:rPr>
                <w:szCs w:val="20"/>
                <w:vertAlign w:val="superscript"/>
              </w:rPr>
            </w:pPr>
            <w:r w:rsidRPr="00885AB3">
              <w:rPr>
                <w:color w:val="000000"/>
                <w:szCs w:val="20"/>
              </w:rPr>
              <w:t>$</w:t>
            </w:r>
            <w:r w:rsidR="004B5AFE" w:rsidRPr="004B5AFE">
              <w:rPr>
                <w:color w:val="000000"/>
                <w:szCs w:val="20"/>
                <w:highlight w:val="black"/>
              </w:rPr>
              <w:t xml:space="preserve"> &amp;&amp;&amp;&amp;</w:t>
            </w:r>
            <w:r w:rsidR="00F52E2E">
              <w:rPr>
                <w:color w:val="000000"/>
                <w:szCs w:val="20"/>
                <w:vertAlign w:val="superscript"/>
              </w:rPr>
              <w:t>5</w:t>
            </w:r>
          </w:p>
        </w:tc>
        <w:tc>
          <w:tcPr>
            <w:tcW w:w="609" w:type="pct"/>
            <w:tcMar>
              <w:left w:w="28" w:type="dxa"/>
              <w:right w:w="28" w:type="dxa"/>
            </w:tcMar>
            <w:vAlign w:val="center"/>
          </w:tcPr>
          <w:p w14:paraId="0E1B6147" w14:textId="3F9AC11B" w:rsidR="006A1AFC" w:rsidRPr="00F52E2E" w:rsidRDefault="006A1AFC" w:rsidP="00120D61">
            <w:pPr>
              <w:pStyle w:val="Tabletext"/>
              <w:keepNext/>
              <w:jc w:val="center"/>
              <w:rPr>
                <w:szCs w:val="20"/>
                <w:vertAlign w:val="superscript"/>
              </w:rPr>
            </w:pPr>
            <w:r w:rsidRPr="00885AB3">
              <w:rPr>
                <w:color w:val="000000"/>
                <w:szCs w:val="20"/>
              </w:rPr>
              <w:t>$</w:t>
            </w:r>
            <w:r w:rsidR="004B5AFE" w:rsidRPr="004B5AFE">
              <w:rPr>
                <w:color w:val="000000"/>
                <w:szCs w:val="20"/>
                <w:highlight w:val="black"/>
              </w:rPr>
              <w:t xml:space="preserve"> &amp;&amp;&amp;&amp;</w:t>
            </w:r>
            <w:r w:rsidR="00F52E2E">
              <w:rPr>
                <w:color w:val="000000"/>
                <w:szCs w:val="20"/>
                <w:vertAlign w:val="superscript"/>
              </w:rPr>
              <w:t>5</w:t>
            </w:r>
          </w:p>
        </w:tc>
        <w:tc>
          <w:tcPr>
            <w:tcW w:w="609" w:type="pct"/>
            <w:tcMar>
              <w:left w:w="28" w:type="dxa"/>
              <w:right w:w="28" w:type="dxa"/>
            </w:tcMar>
            <w:vAlign w:val="center"/>
          </w:tcPr>
          <w:p w14:paraId="4B6FAC78" w14:textId="23733E66" w:rsidR="006A1AFC" w:rsidRPr="00D73964" w:rsidRDefault="006A1AFC" w:rsidP="00120D61">
            <w:pPr>
              <w:pStyle w:val="Tabletext"/>
              <w:keepNext/>
              <w:jc w:val="center"/>
              <w:rPr>
                <w:szCs w:val="20"/>
                <w:vertAlign w:val="superscript"/>
              </w:rPr>
            </w:pPr>
            <w:r w:rsidRPr="00885AB3">
              <w:rPr>
                <w:color w:val="000000"/>
                <w:szCs w:val="20"/>
              </w:rPr>
              <w:t>$</w:t>
            </w:r>
            <w:r w:rsidR="004B5AFE" w:rsidRPr="004B5AFE">
              <w:rPr>
                <w:color w:val="000000"/>
                <w:szCs w:val="20"/>
                <w:highlight w:val="black"/>
              </w:rPr>
              <w:t xml:space="preserve"> &amp;&amp;&amp;&amp;</w:t>
            </w:r>
            <w:r w:rsidR="00D73964">
              <w:rPr>
                <w:color w:val="000000"/>
                <w:szCs w:val="20"/>
                <w:vertAlign w:val="superscript"/>
              </w:rPr>
              <w:t>6</w:t>
            </w:r>
          </w:p>
        </w:tc>
        <w:tc>
          <w:tcPr>
            <w:tcW w:w="609" w:type="pct"/>
            <w:tcMar>
              <w:left w:w="28" w:type="dxa"/>
              <w:right w:w="28" w:type="dxa"/>
            </w:tcMar>
            <w:vAlign w:val="center"/>
          </w:tcPr>
          <w:p w14:paraId="163862F8" w14:textId="4C08DE22" w:rsidR="006A1AFC" w:rsidRPr="00D73964" w:rsidRDefault="006A1AFC" w:rsidP="00120D61">
            <w:pPr>
              <w:pStyle w:val="Tabletext"/>
              <w:keepNext/>
              <w:jc w:val="center"/>
              <w:rPr>
                <w:szCs w:val="20"/>
                <w:vertAlign w:val="superscript"/>
              </w:rPr>
            </w:pPr>
            <w:r w:rsidRPr="00885AB3">
              <w:rPr>
                <w:color w:val="000000"/>
                <w:szCs w:val="20"/>
              </w:rPr>
              <w:t>$</w:t>
            </w:r>
            <w:r w:rsidR="004B5AFE" w:rsidRPr="004B5AFE">
              <w:rPr>
                <w:color w:val="000000"/>
                <w:szCs w:val="20"/>
                <w:highlight w:val="black"/>
              </w:rPr>
              <w:t xml:space="preserve"> &amp;&amp;&amp;&amp;</w:t>
            </w:r>
            <w:r w:rsidR="00D73964">
              <w:rPr>
                <w:color w:val="000000"/>
                <w:szCs w:val="20"/>
                <w:vertAlign w:val="superscript"/>
              </w:rPr>
              <w:t>6</w:t>
            </w:r>
          </w:p>
        </w:tc>
        <w:tc>
          <w:tcPr>
            <w:tcW w:w="611" w:type="pct"/>
            <w:tcMar>
              <w:left w:w="28" w:type="dxa"/>
              <w:right w:w="28" w:type="dxa"/>
            </w:tcMar>
            <w:vAlign w:val="center"/>
          </w:tcPr>
          <w:p w14:paraId="0C3982BD" w14:textId="7B58C1DB" w:rsidR="006A1AFC" w:rsidRPr="00AC5A0B" w:rsidRDefault="006A1AFC" w:rsidP="00120D61">
            <w:pPr>
              <w:pStyle w:val="Tabletext"/>
              <w:keepNext/>
              <w:jc w:val="center"/>
              <w:rPr>
                <w:szCs w:val="20"/>
                <w:vertAlign w:val="superscript"/>
              </w:rPr>
            </w:pPr>
            <w:r w:rsidRPr="00885AB3">
              <w:rPr>
                <w:color w:val="000000"/>
                <w:szCs w:val="20"/>
              </w:rPr>
              <w:t>$</w:t>
            </w:r>
            <w:r w:rsidR="004B5AFE" w:rsidRPr="004B5AFE">
              <w:rPr>
                <w:color w:val="000000"/>
                <w:szCs w:val="20"/>
                <w:highlight w:val="black"/>
              </w:rPr>
              <w:t xml:space="preserve"> &amp;&amp;&amp;&amp;</w:t>
            </w:r>
            <w:r w:rsidR="00AC5A0B">
              <w:rPr>
                <w:color w:val="000000"/>
                <w:szCs w:val="20"/>
                <w:vertAlign w:val="superscript"/>
              </w:rPr>
              <w:t>7</w:t>
            </w:r>
          </w:p>
        </w:tc>
      </w:tr>
      <w:tr w:rsidR="006A1AFC" w:rsidRPr="00885AB3" w14:paraId="49774FAA" w14:textId="77777777">
        <w:tc>
          <w:tcPr>
            <w:tcW w:w="5000" w:type="pct"/>
            <w:gridSpan w:val="7"/>
            <w:tcMar>
              <w:left w:w="28" w:type="dxa"/>
              <w:right w:w="28" w:type="dxa"/>
            </w:tcMar>
          </w:tcPr>
          <w:p w14:paraId="1B23DA38" w14:textId="77777777" w:rsidR="006A1AFC" w:rsidRPr="00885AB3" w:rsidRDefault="006A1AFC" w:rsidP="00120D61">
            <w:pPr>
              <w:pStyle w:val="Tabletext"/>
              <w:keepNext/>
              <w:rPr>
                <w:b/>
                <w:bCs/>
                <w:szCs w:val="20"/>
              </w:rPr>
            </w:pPr>
            <w:r w:rsidRPr="00885AB3">
              <w:rPr>
                <w:b/>
                <w:bCs/>
                <w:szCs w:val="20"/>
              </w:rPr>
              <w:t xml:space="preserve">Estimated financial implications for </w:t>
            </w:r>
            <w:proofErr w:type="spellStart"/>
            <w:r w:rsidRPr="00885AB3">
              <w:rPr>
                <w:b/>
                <w:bCs/>
                <w:szCs w:val="20"/>
              </w:rPr>
              <w:t>RSVPreF</w:t>
            </w:r>
            <w:proofErr w:type="spellEnd"/>
          </w:p>
        </w:tc>
      </w:tr>
      <w:tr w:rsidR="006A1AFC" w:rsidRPr="00885AB3" w14:paraId="31108713" w14:textId="77777777">
        <w:tc>
          <w:tcPr>
            <w:tcW w:w="1328" w:type="pct"/>
            <w:tcMar>
              <w:left w:w="28" w:type="dxa"/>
              <w:right w:w="28" w:type="dxa"/>
            </w:tcMar>
          </w:tcPr>
          <w:p w14:paraId="013804E1" w14:textId="77777777" w:rsidR="006A1AFC" w:rsidRPr="00885AB3" w:rsidRDefault="006A1AFC" w:rsidP="00120D61">
            <w:pPr>
              <w:pStyle w:val="Tabletext"/>
              <w:keepNext/>
              <w:rPr>
                <w:szCs w:val="20"/>
              </w:rPr>
            </w:pPr>
            <w:r w:rsidRPr="00885AB3">
              <w:rPr>
                <w:szCs w:val="20"/>
              </w:rPr>
              <w:t>Cost to NIP</w:t>
            </w:r>
          </w:p>
        </w:tc>
        <w:tc>
          <w:tcPr>
            <w:tcW w:w="625" w:type="pct"/>
            <w:tcMar>
              <w:left w:w="28" w:type="dxa"/>
              <w:right w:w="28" w:type="dxa"/>
            </w:tcMar>
          </w:tcPr>
          <w:p w14:paraId="788D09B6" w14:textId="27CA8C1A" w:rsidR="0077780A" w:rsidRDefault="006A1AFC" w:rsidP="00120D61">
            <w:pPr>
              <w:pStyle w:val="Tabletext"/>
              <w:keepNext/>
              <w:jc w:val="center"/>
              <w:rPr>
                <w:rFonts w:cs="Calibri"/>
                <w:color w:val="000000"/>
                <w:szCs w:val="20"/>
              </w:rPr>
            </w:pPr>
            <w:r w:rsidRPr="00885AB3">
              <w:rPr>
                <w:rFonts w:cs="Calibri"/>
                <w:color w:val="000000"/>
                <w:szCs w:val="20"/>
              </w:rPr>
              <w:t>-$</w:t>
            </w:r>
            <w:r w:rsidR="004B5AFE" w:rsidRPr="004B5AFE">
              <w:rPr>
                <w:rFonts w:cs="Calibri"/>
                <w:color w:val="000000"/>
                <w:szCs w:val="20"/>
                <w:highlight w:val="black"/>
              </w:rPr>
              <w:t xml:space="preserve"> &amp;&amp;&amp;&amp;</w:t>
            </w:r>
          </w:p>
          <w:p w14:paraId="5D1FD03A" w14:textId="114AAAF4" w:rsidR="006A1AFC" w:rsidRPr="002D5B73" w:rsidRDefault="00754F82" w:rsidP="00120D61">
            <w:pPr>
              <w:pStyle w:val="Tabletext"/>
              <w:keepNext/>
              <w:jc w:val="center"/>
              <w:rPr>
                <w:szCs w:val="20"/>
                <w:vertAlign w:val="superscript"/>
              </w:rPr>
            </w:pPr>
            <w:r>
              <w:rPr>
                <w:rFonts w:cs="Calibri"/>
                <w:color w:val="000000"/>
                <w:szCs w:val="20"/>
                <w:vertAlign w:val="superscript"/>
              </w:rPr>
              <w:t>4</w:t>
            </w:r>
          </w:p>
        </w:tc>
        <w:tc>
          <w:tcPr>
            <w:tcW w:w="609" w:type="pct"/>
            <w:tcMar>
              <w:left w:w="28" w:type="dxa"/>
              <w:right w:w="28" w:type="dxa"/>
            </w:tcMar>
          </w:tcPr>
          <w:p w14:paraId="65AB1571" w14:textId="23BAE16F" w:rsidR="0077780A" w:rsidRDefault="006A1AFC" w:rsidP="00120D61">
            <w:pPr>
              <w:pStyle w:val="Tabletext"/>
              <w:keepNext/>
              <w:jc w:val="center"/>
              <w:rPr>
                <w:rFonts w:cs="Calibri"/>
                <w:color w:val="000000"/>
                <w:szCs w:val="20"/>
              </w:rPr>
            </w:pPr>
            <w:r w:rsidRPr="00885AB3">
              <w:rPr>
                <w:rFonts w:cs="Calibri"/>
                <w:color w:val="000000"/>
                <w:szCs w:val="20"/>
              </w:rPr>
              <w:t>-$</w:t>
            </w:r>
            <w:r w:rsidR="004B5AFE" w:rsidRPr="004B5AFE">
              <w:rPr>
                <w:rFonts w:cs="Calibri"/>
                <w:color w:val="000000"/>
                <w:szCs w:val="20"/>
                <w:highlight w:val="black"/>
              </w:rPr>
              <w:t xml:space="preserve"> &amp;&amp;&amp;&amp;</w:t>
            </w:r>
          </w:p>
          <w:p w14:paraId="28842C85" w14:textId="47AA271B" w:rsidR="006A1AFC" w:rsidRPr="00F54E43" w:rsidRDefault="00F54E43" w:rsidP="00120D61">
            <w:pPr>
              <w:pStyle w:val="Tabletext"/>
              <w:keepNext/>
              <w:jc w:val="center"/>
              <w:rPr>
                <w:szCs w:val="20"/>
                <w:vertAlign w:val="superscript"/>
              </w:rPr>
            </w:pPr>
            <w:r>
              <w:rPr>
                <w:rFonts w:cs="Calibri"/>
                <w:color w:val="000000"/>
                <w:szCs w:val="20"/>
                <w:vertAlign w:val="superscript"/>
              </w:rPr>
              <w:t>6</w:t>
            </w:r>
          </w:p>
        </w:tc>
        <w:tc>
          <w:tcPr>
            <w:tcW w:w="609" w:type="pct"/>
            <w:tcMar>
              <w:left w:w="28" w:type="dxa"/>
              <w:right w:w="28" w:type="dxa"/>
            </w:tcMar>
          </w:tcPr>
          <w:p w14:paraId="793A9504" w14:textId="349C7065" w:rsidR="0077780A" w:rsidRDefault="006A1AFC" w:rsidP="00120D61">
            <w:pPr>
              <w:pStyle w:val="Tabletext"/>
              <w:keepNext/>
              <w:jc w:val="center"/>
              <w:rPr>
                <w:rFonts w:cs="Calibri"/>
                <w:color w:val="000000"/>
                <w:szCs w:val="20"/>
              </w:rPr>
            </w:pPr>
            <w:r w:rsidRPr="00885AB3">
              <w:rPr>
                <w:rFonts w:cs="Calibri"/>
                <w:color w:val="000000"/>
                <w:szCs w:val="20"/>
              </w:rPr>
              <w:t>-$</w:t>
            </w:r>
            <w:r w:rsidR="004B5AFE" w:rsidRPr="004B5AFE">
              <w:rPr>
                <w:rFonts w:cs="Calibri"/>
                <w:color w:val="000000"/>
                <w:szCs w:val="20"/>
                <w:highlight w:val="black"/>
              </w:rPr>
              <w:t xml:space="preserve"> &amp;&amp;&amp;&amp;</w:t>
            </w:r>
          </w:p>
          <w:p w14:paraId="71ACBB63" w14:textId="05892419" w:rsidR="006A1AFC" w:rsidRPr="0077780A" w:rsidRDefault="0077780A" w:rsidP="00120D61">
            <w:pPr>
              <w:pStyle w:val="Tabletext"/>
              <w:keepNext/>
              <w:jc w:val="center"/>
              <w:rPr>
                <w:szCs w:val="20"/>
                <w:vertAlign w:val="superscript"/>
              </w:rPr>
            </w:pPr>
            <w:r>
              <w:rPr>
                <w:rFonts w:cs="Calibri"/>
                <w:color w:val="000000"/>
                <w:szCs w:val="20"/>
                <w:vertAlign w:val="superscript"/>
              </w:rPr>
              <w:t>7</w:t>
            </w:r>
          </w:p>
        </w:tc>
        <w:tc>
          <w:tcPr>
            <w:tcW w:w="609" w:type="pct"/>
            <w:tcMar>
              <w:left w:w="28" w:type="dxa"/>
              <w:right w:w="28" w:type="dxa"/>
            </w:tcMar>
          </w:tcPr>
          <w:p w14:paraId="6C072F11" w14:textId="787CD77B" w:rsidR="0077780A" w:rsidRDefault="006A1AFC" w:rsidP="00120D61">
            <w:pPr>
              <w:pStyle w:val="Tabletext"/>
              <w:keepNext/>
              <w:jc w:val="center"/>
              <w:rPr>
                <w:rFonts w:cs="Calibri"/>
                <w:color w:val="000000"/>
                <w:szCs w:val="20"/>
              </w:rPr>
            </w:pPr>
            <w:r w:rsidRPr="00885AB3">
              <w:rPr>
                <w:rFonts w:cs="Calibri"/>
                <w:color w:val="000000"/>
                <w:szCs w:val="20"/>
              </w:rPr>
              <w:t>-$</w:t>
            </w:r>
            <w:r w:rsidR="004B5AFE" w:rsidRPr="004B5AFE">
              <w:rPr>
                <w:rFonts w:cs="Calibri"/>
                <w:color w:val="000000"/>
                <w:szCs w:val="20"/>
                <w:highlight w:val="black"/>
              </w:rPr>
              <w:t xml:space="preserve"> &amp;&amp;&amp;&amp;</w:t>
            </w:r>
          </w:p>
          <w:p w14:paraId="0A9DB356" w14:textId="7F39EB5C" w:rsidR="006A1AFC" w:rsidRPr="0077780A" w:rsidRDefault="0077780A" w:rsidP="00120D61">
            <w:pPr>
              <w:pStyle w:val="Tabletext"/>
              <w:keepNext/>
              <w:jc w:val="center"/>
              <w:rPr>
                <w:szCs w:val="20"/>
                <w:vertAlign w:val="superscript"/>
              </w:rPr>
            </w:pPr>
            <w:r>
              <w:rPr>
                <w:rFonts w:cs="Calibri"/>
                <w:color w:val="000000"/>
                <w:szCs w:val="20"/>
                <w:vertAlign w:val="superscript"/>
              </w:rPr>
              <w:t>7</w:t>
            </w:r>
          </w:p>
        </w:tc>
        <w:tc>
          <w:tcPr>
            <w:tcW w:w="609" w:type="pct"/>
            <w:tcMar>
              <w:left w:w="28" w:type="dxa"/>
              <w:right w:w="28" w:type="dxa"/>
            </w:tcMar>
          </w:tcPr>
          <w:p w14:paraId="0B17F3F0" w14:textId="4D855D06" w:rsidR="002134C1" w:rsidRDefault="006A1AFC" w:rsidP="00120D61">
            <w:pPr>
              <w:pStyle w:val="Tabletext"/>
              <w:keepNext/>
              <w:jc w:val="center"/>
              <w:rPr>
                <w:rFonts w:cs="Calibri"/>
                <w:color w:val="000000"/>
                <w:szCs w:val="20"/>
              </w:rPr>
            </w:pPr>
            <w:r w:rsidRPr="00885AB3">
              <w:rPr>
                <w:rFonts w:cs="Calibri"/>
                <w:color w:val="000000"/>
                <w:szCs w:val="20"/>
              </w:rPr>
              <w:t>-$</w:t>
            </w:r>
            <w:r w:rsidR="004B5AFE" w:rsidRPr="004B5AFE">
              <w:rPr>
                <w:rFonts w:cs="Calibri"/>
                <w:color w:val="000000"/>
                <w:szCs w:val="20"/>
                <w:highlight w:val="black"/>
              </w:rPr>
              <w:t xml:space="preserve"> &amp;&amp;&amp;&amp;</w:t>
            </w:r>
          </w:p>
          <w:p w14:paraId="5EF5B325" w14:textId="28DEEC32" w:rsidR="006A1AFC" w:rsidRPr="002C2A5E" w:rsidRDefault="002C2A5E" w:rsidP="00120D61">
            <w:pPr>
              <w:pStyle w:val="Tabletext"/>
              <w:keepNext/>
              <w:jc w:val="center"/>
              <w:rPr>
                <w:szCs w:val="20"/>
                <w:vertAlign w:val="superscript"/>
              </w:rPr>
            </w:pPr>
            <w:r>
              <w:rPr>
                <w:rFonts w:cs="Calibri"/>
                <w:color w:val="000000"/>
                <w:szCs w:val="20"/>
                <w:vertAlign w:val="superscript"/>
              </w:rPr>
              <w:t>8</w:t>
            </w:r>
          </w:p>
        </w:tc>
        <w:tc>
          <w:tcPr>
            <w:tcW w:w="611" w:type="pct"/>
            <w:tcMar>
              <w:left w:w="28" w:type="dxa"/>
              <w:right w:w="28" w:type="dxa"/>
            </w:tcMar>
          </w:tcPr>
          <w:p w14:paraId="3B51DF72" w14:textId="2E0B4C16" w:rsidR="002134C1" w:rsidRDefault="006A1AFC" w:rsidP="00120D61">
            <w:pPr>
              <w:pStyle w:val="Tabletext"/>
              <w:keepNext/>
              <w:jc w:val="center"/>
              <w:rPr>
                <w:rFonts w:cs="Calibri"/>
                <w:color w:val="000000"/>
                <w:szCs w:val="20"/>
              </w:rPr>
            </w:pPr>
            <w:r w:rsidRPr="00885AB3">
              <w:rPr>
                <w:rFonts w:cs="Calibri"/>
                <w:color w:val="000000"/>
                <w:szCs w:val="20"/>
              </w:rPr>
              <w:t>-$</w:t>
            </w:r>
            <w:r w:rsidR="004B5AFE" w:rsidRPr="004B5AFE">
              <w:rPr>
                <w:rFonts w:cs="Calibri"/>
                <w:color w:val="000000"/>
                <w:szCs w:val="20"/>
                <w:highlight w:val="black"/>
              </w:rPr>
              <w:t xml:space="preserve"> &amp;&amp;&amp;&amp;</w:t>
            </w:r>
          </w:p>
          <w:p w14:paraId="12E68888" w14:textId="0E5A5A96" w:rsidR="006A1AFC" w:rsidRPr="002C2A5E" w:rsidRDefault="002C2A5E" w:rsidP="00120D61">
            <w:pPr>
              <w:pStyle w:val="Tabletext"/>
              <w:keepNext/>
              <w:jc w:val="center"/>
              <w:rPr>
                <w:szCs w:val="20"/>
                <w:vertAlign w:val="superscript"/>
              </w:rPr>
            </w:pPr>
            <w:r>
              <w:rPr>
                <w:rFonts w:cs="Calibri"/>
                <w:color w:val="000000"/>
                <w:szCs w:val="20"/>
                <w:vertAlign w:val="superscript"/>
              </w:rPr>
              <w:t>8</w:t>
            </w:r>
          </w:p>
        </w:tc>
      </w:tr>
      <w:tr w:rsidR="006A1AFC" w:rsidRPr="00885AB3" w14:paraId="33FFB573" w14:textId="77777777">
        <w:tc>
          <w:tcPr>
            <w:tcW w:w="5000" w:type="pct"/>
            <w:gridSpan w:val="7"/>
            <w:tcMar>
              <w:left w:w="28" w:type="dxa"/>
              <w:right w:w="28" w:type="dxa"/>
            </w:tcMar>
          </w:tcPr>
          <w:p w14:paraId="621AAA2F" w14:textId="77777777" w:rsidR="006A1AFC" w:rsidRPr="00885AB3" w:rsidRDefault="006A1AFC" w:rsidP="00120D61">
            <w:pPr>
              <w:pStyle w:val="Tabletext"/>
              <w:keepNext/>
              <w:rPr>
                <w:b/>
                <w:bCs/>
                <w:szCs w:val="20"/>
              </w:rPr>
            </w:pPr>
            <w:r w:rsidRPr="00885AB3">
              <w:rPr>
                <w:b/>
                <w:bCs/>
                <w:szCs w:val="20"/>
              </w:rPr>
              <w:t>Net financial implications</w:t>
            </w:r>
          </w:p>
        </w:tc>
      </w:tr>
      <w:tr w:rsidR="006A1AFC" w:rsidRPr="00885AB3" w14:paraId="72CE9559" w14:textId="77777777">
        <w:tc>
          <w:tcPr>
            <w:tcW w:w="1328" w:type="pct"/>
            <w:tcMar>
              <w:left w:w="28" w:type="dxa"/>
              <w:right w:w="28" w:type="dxa"/>
            </w:tcMar>
          </w:tcPr>
          <w:p w14:paraId="73E0D796" w14:textId="77777777" w:rsidR="006A1AFC" w:rsidRPr="00885AB3" w:rsidRDefault="006A1AFC" w:rsidP="00120D61">
            <w:pPr>
              <w:pStyle w:val="Tabletext"/>
              <w:keepNext/>
              <w:rPr>
                <w:szCs w:val="20"/>
              </w:rPr>
            </w:pPr>
            <w:r w:rsidRPr="00885AB3">
              <w:rPr>
                <w:szCs w:val="20"/>
              </w:rPr>
              <w:t>Net cost to NIP</w:t>
            </w:r>
          </w:p>
        </w:tc>
        <w:tc>
          <w:tcPr>
            <w:tcW w:w="625" w:type="pct"/>
            <w:tcMar>
              <w:left w:w="28" w:type="dxa"/>
              <w:right w:w="28" w:type="dxa"/>
            </w:tcMar>
            <w:vAlign w:val="bottom"/>
          </w:tcPr>
          <w:p w14:paraId="167A4674" w14:textId="07187ED7" w:rsidR="004C7DD9" w:rsidRDefault="006A1AFC" w:rsidP="00120D61">
            <w:pPr>
              <w:pStyle w:val="Tabletext"/>
              <w:keepNext/>
              <w:jc w:val="center"/>
              <w:rPr>
                <w:rFonts w:cs="Calibri"/>
                <w:szCs w:val="20"/>
              </w:rPr>
            </w:pPr>
            <w:r w:rsidRPr="00885AB3">
              <w:rPr>
                <w:rFonts w:cs="Calibri"/>
                <w:szCs w:val="20"/>
              </w:rPr>
              <w:t>-</w:t>
            </w:r>
            <w:r w:rsidR="00B6332F" w:rsidRPr="00885AB3">
              <w:rPr>
                <w:rFonts w:cs="Calibri"/>
                <w:szCs w:val="20"/>
              </w:rPr>
              <w:t>$</w:t>
            </w:r>
            <w:r w:rsidR="004B5AFE" w:rsidRPr="004B5AFE">
              <w:rPr>
                <w:rFonts w:cs="Calibri"/>
                <w:szCs w:val="20"/>
                <w:highlight w:val="black"/>
              </w:rPr>
              <w:t xml:space="preserve"> &amp;&amp;&amp;&amp;</w:t>
            </w:r>
          </w:p>
          <w:p w14:paraId="13BB9B64" w14:textId="7942E5E4" w:rsidR="006A1AFC" w:rsidRPr="00F30F70" w:rsidRDefault="00F30F70" w:rsidP="00120D61">
            <w:pPr>
              <w:pStyle w:val="Tabletext"/>
              <w:keepNext/>
              <w:jc w:val="center"/>
              <w:rPr>
                <w:szCs w:val="20"/>
                <w:vertAlign w:val="superscript"/>
              </w:rPr>
            </w:pPr>
            <w:r>
              <w:rPr>
                <w:rFonts w:cs="Calibri"/>
                <w:szCs w:val="20"/>
                <w:vertAlign w:val="superscript"/>
              </w:rPr>
              <w:t>9</w:t>
            </w:r>
          </w:p>
        </w:tc>
        <w:tc>
          <w:tcPr>
            <w:tcW w:w="609" w:type="pct"/>
            <w:tcMar>
              <w:left w:w="28" w:type="dxa"/>
              <w:right w:w="28" w:type="dxa"/>
            </w:tcMar>
            <w:vAlign w:val="bottom"/>
          </w:tcPr>
          <w:p w14:paraId="150AA182" w14:textId="4E60EC40" w:rsidR="004C7DD9" w:rsidRDefault="006A1AFC" w:rsidP="00120D61">
            <w:pPr>
              <w:pStyle w:val="Tabletext"/>
              <w:keepNext/>
              <w:jc w:val="center"/>
              <w:rPr>
                <w:rFonts w:cs="Calibri"/>
                <w:szCs w:val="20"/>
              </w:rPr>
            </w:pPr>
            <w:r w:rsidRPr="00885AB3">
              <w:rPr>
                <w:rFonts w:cs="Calibri"/>
                <w:szCs w:val="20"/>
              </w:rPr>
              <w:t>-</w:t>
            </w:r>
            <w:r w:rsidR="00B6332F" w:rsidRPr="00885AB3">
              <w:rPr>
                <w:rFonts w:cs="Calibri"/>
                <w:szCs w:val="20"/>
              </w:rPr>
              <w:t>$</w:t>
            </w:r>
            <w:r w:rsidR="004B5AFE" w:rsidRPr="004B5AFE">
              <w:rPr>
                <w:rFonts w:cs="Calibri"/>
                <w:szCs w:val="20"/>
                <w:highlight w:val="black"/>
              </w:rPr>
              <w:t xml:space="preserve"> &amp;&amp;&amp;&amp;</w:t>
            </w:r>
          </w:p>
          <w:p w14:paraId="1F451596" w14:textId="02190612" w:rsidR="006A1AFC" w:rsidRPr="004C7DD9" w:rsidRDefault="004C7DD9" w:rsidP="00120D61">
            <w:pPr>
              <w:pStyle w:val="Tabletext"/>
              <w:keepNext/>
              <w:jc w:val="center"/>
              <w:rPr>
                <w:szCs w:val="20"/>
                <w:vertAlign w:val="superscript"/>
              </w:rPr>
            </w:pPr>
            <w:r>
              <w:rPr>
                <w:rFonts w:cs="Calibri"/>
                <w:szCs w:val="20"/>
                <w:vertAlign w:val="superscript"/>
              </w:rPr>
              <w:t>10</w:t>
            </w:r>
          </w:p>
        </w:tc>
        <w:tc>
          <w:tcPr>
            <w:tcW w:w="609" w:type="pct"/>
            <w:tcMar>
              <w:left w:w="28" w:type="dxa"/>
              <w:right w:w="28" w:type="dxa"/>
            </w:tcMar>
            <w:vAlign w:val="bottom"/>
          </w:tcPr>
          <w:p w14:paraId="71B3454C" w14:textId="759742E7" w:rsidR="004C7DD9" w:rsidRDefault="006A1AFC" w:rsidP="00120D61">
            <w:pPr>
              <w:pStyle w:val="Tabletext"/>
              <w:keepNext/>
              <w:jc w:val="center"/>
              <w:rPr>
                <w:rFonts w:cs="Calibri"/>
                <w:szCs w:val="20"/>
              </w:rPr>
            </w:pPr>
            <w:r w:rsidRPr="00885AB3">
              <w:rPr>
                <w:rFonts w:cs="Calibri"/>
                <w:szCs w:val="20"/>
              </w:rPr>
              <w:t>-</w:t>
            </w:r>
            <w:r w:rsidR="00B6332F" w:rsidRPr="00885AB3">
              <w:rPr>
                <w:rFonts w:cs="Calibri"/>
                <w:szCs w:val="20"/>
              </w:rPr>
              <w:t>$</w:t>
            </w:r>
            <w:r w:rsidR="004B5AFE" w:rsidRPr="004B5AFE">
              <w:rPr>
                <w:rFonts w:cs="Calibri"/>
                <w:szCs w:val="20"/>
                <w:highlight w:val="black"/>
              </w:rPr>
              <w:t xml:space="preserve"> &amp;&amp;&amp;&amp;</w:t>
            </w:r>
          </w:p>
          <w:p w14:paraId="3859CF32" w14:textId="20FF0017" w:rsidR="006A1AFC" w:rsidRPr="004C7DD9" w:rsidRDefault="004C7DD9" w:rsidP="00120D61">
            <w:pPr>
              <w:pStyle w:val="Tabletext"/>
              <w:keepNext/>
              <w:jc w:val="center"/>
              <w:rPr>
                <w:szCs w:val="20"/>
                <w:vertAlign w:val="superscript"/>
              </w:rPr>
            </w:pPr>
            <w:r>
              <w:rPr>
                <w:rFonts w:cs="Calibri"/>
                <w:szCs w:val="20"/>
                <w:vertAlign w:val="superscript"/>
              </w:rPr>
              <w:t>10</w:t>
            </w:r>
          </w:p>
        </w:tc>
        <w:tc>
          <w:tcPr>
            <w:tcW w:w="609" w:type="pct"/>
            <w:tcMar>
              <w:left w:w="28" w:type="dxa"/>
              <w:right w:w="28" w:type="dxa"/>
            </w:tcMar>
            <w:vAlign w:val="bottom"/>
          </w:tcPr>
          <w:p w14:paraId="23D3E329" w14:textId="46385E15" w:rsidR="004C7DD9" w:rsidRDefault="006A1AFC" w:rsidP="00120D61">
            <w:pPr>
              <w:pStyle w:val="Tabletext"/>
              <w:keepNext/>
              <w:jc w:val="center"/>
              <w:rPr>
                <w:rFonts w:cs="Calibri"/>
                <w:szCs w:val="20"/>
              </w:rPr>
            </w:pPr>
            <w:r w:rsidRPr="00885AB3">
              <w:rPr>
                <w:rFonts w:cs="Calibri"/>
                <w:szCs w:val="20"/>
              </w:rPr>
              <w:t>-</w:t>
            </w:r>
            <w:r w:rsidR="00B6332F" w:rsidRPr="00885AB3">
              <w:rPr>
                <w:rFonts w:cs="Calibri"/>
                <w:szCs w:val="20"/>
              </w:rPr>
              <w:t>$</w:t>
            </w:r>
            <w:r w:rsidR="004B5AFE" w:rsidRPr="004B5AFE">
              <w:rPr>
                <w:rFonts w:cs="Calibri"/>
                <w:szCs w:val="20"/>
                <w:highlight w:val="black"/>
              </w:rPr>
              <w:t xml:space="preserve"> &amp;&amp;&amp;&amp;</w:t>
            </w:r>
          </w:p>
          <w:p w14:paraId="686E7160" w14:textId="771CB836" w:rsidR="006A1AFC" w:rsidRPr="004C7DD9" w:rsidRDefault="004C7DD9" w:rsidP="00120D61">
            <w:pPr>
              <w:pStyle w:val="Tabletext"/>
              <w:keepNext/>
              <w:jc w:val="center"/>
              <w:rPr>
                <w:szCs w:val="20"/>
                <w:vertAlign w:val="superscript"/>
              </w:rPr>
            </w:pPr>
            <w:r>
              <w:rPr>
                <w:rFonts w:cs="Calibri"/>
                <w:szCs w:val="20"/>
                <w:vertAlign w:val="superscript"/>
              </w:rPr>
              <w:t>10</w:t>
            </w:r>
          </w:p>
        </w:tc>
        <w:tc>
          <w:tcPr>
            <w:tcW w:w="609" w:type="pct"/>
            <w:tcMar>
              <w:left w:w="28" w:type="dxa"/>
              <w:right w:w="28" w:type="dxa"/>
            </w:tcMar>
            <w:vAlign w:val="bottom"/>
          </w:tcPr>
          <w:p w14:paraId="731416A7" w14:textId="32FFCC4A" w:rsidR="00D176FB" w:rsidRDefault="006A1AFC" w:rsidP="00120D61">
            <w:pPr>
              <w:pStyle w:val="Tabletext"/>
              <w:keepNext/>
              <w:jc w:val="center"/>
              <w:rPr>
                <w:rFonts w:cs="Calibri"/>
                <w:szCs w:val="20"/>
              </w:rPr>
            </w:pPr>
            <w:r w:rsidRPr="00885AB3">
              <w:rPr>
                <w:rFonts w:cs="Calibri"/>
                <w:szCs w:val="20"/>
              </w:rPr>
              <w:t>-</w:t>
            </w:r>
            <w:r w:rsidR="00B6332F" w:rsidRPr="00885AB3">
              <w:rPr>
                <w:rFonts w:cs="Calibri"/>
                <w:szCs w:val="20"/>
              </w:rPr>
              <w:t>$</w:t>
            </w:r>
            <w:r w:rsidR="004B5AFE" w:rsidRPr="004B5AFE">
              <w:rPr>
                <w:rFonts w:cs="Calibri"/>
                <w:szCs w:val="20"/>
                <w:highlight w:val="black"/>
              </w:rPr>
              <w:t xml:space="preserve"> &amp;&amp;&amp;&amp;</w:t>
            </w:r>
          </w:p>
          <w:p w14:paraId="70006343" w14:textId="1BB7BE81" w:rsidR="006A1AFC" w:rsidRPr="00D176FB" w:rsidRDefault="00D176FB" w:rsidP="00120D61">
            <w:pPr>
              <w:pStyle w:val="Tabletext"/>
              <w:keepNext/>
              <w:jc w:val="center"/>
              <w:rPr>
                <w:szCs w:val="20"/>
                <w:vertAlign w:val="superscript"/>
              </w:rPr>
            </w:pPr>
            <w:r>
              <w:rPr>
                <w:rFonts w:cs="Calibri"/>
                <w:szCs w:val="20"/>
                <w:vertAlign w:val="superscript"/>
              </w:rPr>
              <w:t>10</w:t>
            </w:r>
          </w:p>
        </w:tc>
        <w:tc>
          <w:tcPr>
            <w:tcW w:w="611" w:type="pct"/>
            <w:tcMar>
              <w:left w:w="28" w:type="dxa"/>
              <w:right w:w="28" w:type="dxa"/>
            </w:tcMar>
            <w:vAlign w:val="bottom"/>
          </w:tcPr>
          <w:p w14:paraId="4E0EAFB7" w14:textId="19442300" w:rsidR="00D176FB" w:rsidRDefault="006A1AFC" w:rsidP="00120D61">
            <w:pPr>
              <w:pStyle w:val="Tabletext"/>
              <w:keepNext/>
              <w:jc w:val="center"/>
              <w:rPr>
                <w:rFonts w:cs="Calibri"/>
                <w:szCs w:val="20"/>
              </w:rPr>
            </w:pPr>
            <w:r w:rsidRPr="00885AB3">
              <w:rPr>
                <w:rFonts w:cs="Calibri"/>
                <w:szCs w:val="20"/>
              </w:rPr>
              <w:t>-</w:t>
            </w:r>
            <w:r w:rsidR="00B6332F" w:rsidRPr="00885AB3">
              <w:rPr>
                <w:rFonts w:cs="Calibri"/>
                <w:szCs w:val="20"/>
              </w:rPr>
              <w:t>$</w:t>
            </w:r>
            <w:r w:rsidR="004B5AFE" w:rsidRPr="004B5AFE">
              <w:rPr>
                <w:rFonts w:cs="Calibri"/>
                <w:szCs w:val="20"/>
                <w:highlight w:val="black"/>
              </w:rPr>
              <w:t xml:space="preserve"> &amp;&amp;&amp;&amp;</w:t>
            </w:r>
          </w:p>
          <w:p w14:paraId="59ECF70D" w14:textId="70A03B45" w:rsidR="006A1AFC" w:rsidRPr="00D176FB" w:rsidRDefault="00D176FB" w:rsidP="00120D61">
            <w:pPr>
              <w:pStyle w:val="Tabletext"/>
              <w:keepNext/>
              <w:jc w:val="center"/>
              <w:rPr>
                <w:szCs w:val="20"/>
                <w:vertAlign w:val="superscript"/>
              </w:rPr>
            </w:pPr>
            <w:r>
              <w:rPr>
                <w:rFonts w:cs="Calibri"/>
                <w:szCs w:val="20"/>
                <w:vertAlign w:val="superscript"/>
              </w:rPr>
              <w:t>10</w:t>
            </w:r>
          </w:p>
        </w:tc>
      </w:tr>
      <w:tr w:rsidR="006A1AFC" w:rsidRPr="00885AB3" w14:paraId="36B47401" w14:textId="77777777">
        <w:tc>
          <w:tcPr>
            <w:tcW w:w="1328" w:type="pct"/>
            <w:tcMar>
              <w:left w:w="28" w:type="dxa"/>
              <w:right w:w="28" w:type="dxa"/>
            </w:tcMar>
          </w:tcPr>
          <w:p w14:paraId="7A44592F" w14:textId="77777777" w:rsidR="006A1AFC" w:rsidRPr="00885AB3" w:rsidRDefault="006A1AFC" w:rsidP="00120D61">
            <w:pPr>
              <w:pStyle w:val="Tabletext"/>
              <w:keepNext/>
              <w:rPr>
                <w:szCs w:val="20"/>
              </w:rPr>
            </w:pPr>
            <w:r w:rsidRPr="00885AB3">
              <w:rPr>
                <w:szCs w:val="20"/>
              </w:rPr>
              <w:t>Net cost to MBS</w:t>
            </w:r>
          </w:p>
        </w:tc>
        <w:tc>
          <w:tcPr>
            <w:tcW w:w="625" w:type="pct"/>
            <w:tcMar>
              <w:left w:w="28" w:type="dxa"/>
              <w:right w:w="28" w:type="dxa"/>
            </w:tcMar>
          </w:tcPr>
          <w:p w14:paraId="2B1E68F8" w14:textId="77777777" w:rsidR="006A1AFC" w:rsidRPr="00885AB3" w:rsidRDefault="006A1AFC" w:rsidP="00120D61">
            <w:pPr>
              <w:pStyle w:val="Tabletext"/>
              <w:keepNext/>
              <w:jc w:val="center"/>
              <w:rPr>
                <w:szCs w:val="20"/>
              </w:rPr>
            </w:pPr>
            <w:r w:rsidRPr="00885AB3">
              <w:rPr>
                <w:szCs w:val="20"/>
              </w:rPr>
              <w:t>$0</w:t>
            </w:r>
          </w:p>
        </w:tc>
        <w:tc>
          <w:tcPr>
            <w:tcW w:w="609" w:type="pct"/>
            <w:tcMar>
              <w:left w:w="28" w:type="dxa"/>
              <w:right w:w="28" w:type="dxa"/>
            </w:tcMar>
          </w:tcPr>
          <w:p w14:paraId="48ADC68A" w14:textId="77777777" w:rsidR="006A1AFC" w:rsidRPr="00885AB3" w:rsidRDefault="006A1AFC" w:rsidP="00120D61">
            <w:pPr>
              <w:pStyle w:val="Tabletext"/>
              <w:keepNext/>
              <w:jc w:val="center"/>
              <w:rPr>
                <w:szCs w:val="20"/>
              </w:rPr>
            </w:pPr>
            <w:r w:rsidRPr="00885AB3">
              <w:rPr>
                <w:szCs w:val="20"/>
              </w:rPr>
              <w:t>$0</w:t>
            </w:r>
          </w:p>
        </w:tc>
        <w:tc>
          <w:tcPr>
            <w:tcW w:w="609" w:type="pct"/>
            <w:tcMar>
              <w:left w:w="28" w:type="dxa"/>
              <w:right w:w="28" w:type="dxa"/>
            </w:tcMar>
          </w:tcPr>
          <w:p w14:paraId="4DA66ACF" w14:textId="77777777" w:rsidR="006A1AFC" w:rsidRPr="00885AB3" w:rsidRDefault="006A1AFC" w:rsidP="00120D61">
            <w:pPr>
              <w:pStyle w:val="Tabletext"/>
              <w:keepNext/>
              <w:jc w:val="center"/>
              <w:rPr>
                <w:szCs w:val="20"/>
              </w:rPr>
            </w:pPr>
            <w:r w:rsidRPr="00885AB3">
              <w:rPr>
                <w:szCs w:val="20"/>
              </w:rPr>
              <w:t>$0</w:t>
            </w:r>
          </w:p>
        </w:tc>
        <w:tc>
          <w:tcPr>
            <w:tcW w:w="609" w:type="pct"/>
            <w:tcMar>
              <w:left w:w="28" w:type="dxa"/>
              <w:right w:w="28" w:type="dxa"/>
            </w:tcMar>
          </w:tcPr>
          <w:p w14:paraId="045C5667" w14:textId="77777777" w:rsidR="006A1AFC" w:rsidRPr="00885AB3" w:rsidRDefault="006A1AFC" w:rsidP="00120D61">
            <w:pPr>
              <w:pStyle w:val="Tabletext"/>
              <w:keepNext/>
              <w:jc w:val="center"/>
              <w:rPr>
                <w:szCs w:val="20"/>
              </w:rPr>
            </w:pPr>
            <w:r w:rsidRPr="00885AB3">
              <w:rPr>
                <w:szCs w:val="20"/>
              </w:rPr>
              <w:t>$0</w:t>
            </w:r>
          </w:p>
        </w:tc>
        <w:tc>
          <w:tcPr>
            <w:tcW w:w="609" w:type="pct"/>
            <w:tcMar>
              <w:left w:w="28" w:type="dxa"/>
              <w:right w:w="28" w:type="dxa"/>
            </w:tcMar>
          </w:tcPr>
          <w:p w14:paraId="656B60AB" w14:textId="77777777" w:rsidR="006A1AFC" w:rsidRPr="00885AB3" w:rsidRDefault="006A1AFC" w:rsidP="00120D61">
            <w:pPr>
              <w:pStyle w:val="Tabletext"/>
              <w:keepNext/>
              <w:jc w:val="center"/>
              <w:rPr>
                <w:szCs w:val="20"/>
              </w:rPr>
            </w:pPr>
            <w:r w:rsidRPr="00885AB3">
              <w:rPr>
                <w:szCs w:val="20"/>
              </w:rPr>
              <w:t>$0</w:t>
            </w:r>
          </w:p>
        </w:tc>
        <w:tc>
          <w:tcPr>
            <w:tcW w:w="611" w:type="pct"/>
            <w:tcMar>
              <w:left w:w="28" w:type="dxa"/>
              <w:right w:w="28" w:type="dxa"/>
            </w:tcMar>
          </w:tcPr>
          <w:p w14:paraId="63686340" w14:textId="77777777" w:rsidR="006A1AFC" w:rsidRPr="00885AB3" w:rsidRDefault="006A1AFC" w:rsidP="00120D61">
            <w:pPr>
              <w:pStyle w:val="Tabletext"/>
              <w:keepNext/>
              <w:jc w:val="center"/>
              <w:rPr>
                <w:szCs w:val="20"/>
              </w:rPr>
            </w:pPr>
            <w:r w:rsidRPr="00885AB3">
              <w:rPr>
                <w:szCs w:val="20"/>
              </w:rPr>
              <w:t>$0</w:t>
            </w:r>
          </w:p>
        </w:tc>
      </w:tr>
      <w:tr w:rsidR="00B6332F" w:rsidRPr="00885AB3" w14:paraId="28055CD2" w14:textId="77777777">
        <w:tc>
          <w:tcPr>
            <w:tcW w:w="1328" w:type="pct"/>
            <w:tcMar>
              <w:left w:w="28" w:type="dxa"/>
              <w:right w:w="28" w:type="dxa"/>
            </w:tcMar>
          </w:tcPr>
          <w:p w14:paraId="43D31777" w14:textId="77777777" w:rsidR="00B6332F" w:rsidRPr="00885AB3" w:rsidRDefault="00B6332F" w:rsidP="00120D61">
            <w:pPr>
              <w:pStyle w:val="Tabletext"/>
              <w:keepNext/>
              <w:rPr>
                <w:szCs w:val="20"/>
              </w:rPr>
            </w:pPr>
            <w:r w:rsidRPr="00885AB3">
              <w:rPr>
                <w:szCs w:val="20"/>
              </w:rPr>
              <w:t>Net cost to NIP/MBS</w:t>
            </w:r>
          </w:p>
        </w:tc>
        <w:tc>
          <w:tcPr>
            <w:tcW w:w="625" w:type="pct"/>
            <w:tcMar>
              <w:left w:w="28" w:type="dxa"/>
              <w:right w:w="28" w:type="dxa"/>
            </w:tcMar>
            <w:vAlign w:val="bottom"/>
          </w:tcPr>
          <w:p w14:paraId="09273733" w14:textId="170B694D" w:rsidR="00D176FB" w:rsidRDefault="00B6332F" w:rsidP="00120D61">
            <w:pPr>
              <w:pStyle w:val="Tabletext"/>
              <w:keepNext/>
              <w:jc w:val="center"/>
              <w:rPr>
                <w:rFonts w:cs="Calibri"/>
                <w:szCs w:val="20"/>
              </w:rPr>
            </w:pPr>
            <w:r w:rsidRPr="00885AB3">
              <w:rPr>
                <w:rFonts w:cs="Calibri"/>
                <w:szCs w:val="20"/>
              </w:rPr>
              <w:t>-$</w:t>
            </w:r>
            <w:r w:rsidR="004B5AFE" w:rsidRPr="004B5AFE">
              <w:rPr>
                <w:rFonts w:cs="Calibri"/>
                <w:szCs w:val="20"/>
                <w:highlight w:val="black"/>
              </w:rPr>
              <w:t xml:space="preserve"> &amp;&amp;&amp;&amp;</w:t>
            </w:r>
          </w:p>
          <w:p w14:paraId="1438068D" w14:textId="5A04E738" w:rsidR="00B6332F" w:rsidRPr="00F30F70" w:rsidRDefault="00F30F70" w:rsidP="00120D61">
            <w:pPr>
              <w:pStyle w:val="Tabletext"/>
              <w:keepNext/>
              <w:jc w:val="center"/>
              <w:rPr>
                <w:szCs w:val="20"/>
                <w:vertAlign w:val="superscript"/>
              </w:rPr>
            </w:pPr>
            <w:r>
              <w:rPr>
                <w:rFonts w:cs="Calibri"/>
                <w:szCs w:val="20"/>
                <w:vertAlign w:val="superscript"/>
              </w:rPr>
              <w:t>9</w:t>
            </w:r>
          </w:p>
        </w:tc>
        <w:tc>
          <w:tcPr>
            <w:tcW w:w="609" w:type="pct"/>
            <w:tcMar>
              <w:left w:w="28" w:type="dxa"/>
              <w:right w:w="28" w:type="dxa"/>
            </w:tcMar>
            <w:vAlign w:val="bottom"/>
          </w:tcPr>
          <w:p w14:paraId="4E92747C" w14:textId="66C26F77" w:rsidR="00D176FB" w:rsidRDefault="00B6332F" w:rsidP="00120D61">
            <w:pPr>
              <w:pStyle w:val="Tabletext"/>
              <w:keepNext/>
              <w:jc w:val="center"/>
              <w:rPr>
                <w:rFonts w:cs="Calibri"/>
                <w:szCs w:val="20"/>
              </w:rPr>
            </w:pPr>
            <w:r w:rsidRPr="00885AB3">
              <w:rPr>
                <w:rFonts w:cs="Calibri"/>
                <w:szCs w:val="20"/>
              </w:rPr>
              <w:t>-$</w:t>
            </w:r>
            <w:r w:rsidR="004B5AFE" w:rsidRPr="004B5AFE">
              <w:rPr>
                <w:rFonts w:cs="Calibri"/>
                <w:szCs w:val="20"/>
                <w:highlight w:val="black"/>
              </w:rPr>
              <w:t xml:space="preserve"> &amp;&amp;&amp;&amp;</w:t>
            </w:r>
          </w:p>
          <w:p w14:paraId="44600C4A" w14:textId="7CF14289" w:rsidR="00B6332F" w:rsidRPr="00D176FB" w:rsidRDefault="00D176FB" w:rsidP="00120D61">
            <w:pPr>
              <w:pStyle w:val="Tabletext"/>
              <w:keepNext/>
              <w:jc w:val="center"/>
              <w:rPr>
                <w:szCs w:val="20"/>
                <w:vertAlign w:val="superscript"/>
              </w:rPr>
            </w:pPr>
            <w:r>
              <w:rPr>
                <w:rFonts w:cs="Calibri"/>
                <w:szCs w:val="20"/>
                <w:vertAlign w:val="superscript"/>
              </w:rPr>
              <w:t>10</w:t>
            </w:r>
          </w:p>
        </w:tc>
        <w:tc>
          <w:tcPr>
            <w:tcW w:w="609" w:type="pct"/>
            <w:tcMar>
              <w:left w:w="28" w:type="dxa"/>
              <w:right w:w="28" w:type="dxa"/>
            </w:tcMar>
            <w:vAlign w:val="bottom"/>
          </w:tcPr>
          <w:p w14:paraId="716D5009" w14:textId="12859347" w:rsidR="00D176FB" w:rsidRDefault="00B6332F" w:rsidP="00120D61">
            <w:pPr>
              <w:pStyle w:val="Tabletext"/>
              <w:keepNext/>
              <w:jc w:val="center"/>
              <w:rPr>
                <w:rFonts w:cs="Calibri"/>
                <w:szCs w:val="20"/>
              </w:rPr>
            </w:pPr>
            <w:r w:rsidRPr="00885AB3">
              <w:rPr>
                <w:rFonts w:cs="Calibri"/>
                <w:szCs w:val="20"/>
              </w:rPr>
              <w:t>-$</w:t>
            </w:r>
            <w:r w:rsidR="004B5AFE" w:rsidRPr="004B5AFE">
              <w:rPr>
                <w:rFonts w:cs="Calibri"/>
                <w:szCs w:val="20"/>
                <w:highlight w:val="black"/>
              </w:rPr>
              <w:t xml:space="preserve"> &amp;&amp;&amp;&amp;</w:t>
            </w:r>
          </w:p>
          <w:p w14:paraId="33C44E26" w14:textId="4CA1ACC1" w:rsidR="00B6332F" w:rsidRPr="00D176FB" w:rsidRDefault="00D176FB" w:rsidP="00120D61">
            <w:pPr>
              <w:pStyle w:val="Tabletext"/>
              <w:keepNext/>
              <w:jc w:val="center"/>
              <w:rPr>
                <w:szCs w:val="20"/>
                <w:vertAlign w:val="superscript"/>
              </w:rPr>
            </w:pPr>
            <w:r>
              <w:rPr>
                <w:rFonts w:cs="Calibri"/>
                <w:szCs w:val="20"/>
                <w:vertAlign w:val="superscript"/>
              </w:rPr>
              <w:t>10</w:t>
            </w:r>
          </w:p>
        </w:tc>
        <w:tc>
          <w:tcPr>
            <w:tcW w:w="609" w:type="pct"/>
            <w:tcMar>
              <w:left w:w="28" w:type="dxa"/>
              <w:right w:w="28" w:type="dxa"/>
            </w:tcMar>
            <w:vAlign w:val="bottom"/>
          </w:tcPr>
          <w:p w14:paraId="1EE6A827" w14:textId="40C05945" w:rsidR="00D176FB" w:rsidRDefault="00B6332F" w:rsidP="00120D61">
            <w:pPr>
              <w:pStyle w:val="Tabletext"/>
              <w:keepNext/>
              <w:jc w:val="center"/>
              <w:rPr>
                <w:rFonts w:cs="Calibri"/>
                <w:szCs w:val="20"/>
              </w:rPr>
            </w:pPr>
            <w:r w:rsidRPr="00885AB3">
              <w:rPr>
                <w:rFonts w:cs="Calibri"/>
                <w:szCs w:val="20"/>
              </w:rPr>
              <w:t>-$</w:t>
            </w:r>
            <w:r w:rsidR="004B5AFE" w:rsidRPr="004B5AFE">
              <w:rPr>
                <w:rFonts w:cs="Calibri"/>
                <w:szCs w:val="20"/>
                <w:highlight w:val="black"/>
              </w:rPr>
              <w:t xml:space="preserve"> &amp;&amp;&amp;&amp;</w:t>
            </w:r>
          </w:p>
          <w:p w14:paraId="0CF6C46D" w14:textId="1E36299A" w:rsidR="00B6332F" w:rsidRPr="00D176FB" w:rsidRDefault="00D176FB" w:rsidP="00120D61">
            <w:pPr>
              <w:pStyle w:val="Tabletext"/>
              <w:keepNext/>
              <w:jc w:val="center"/>
              <w:rPr>
                <w:szCs w:val="20"/>
                <w:vertAlign w:val="superscript"/>
              </w:rPr>
            </w:pPr>
            <w:r>
              <w:rPr>
                <w:rFonts w:cs="Calibri"/>
                <w:szCs w:val="20"/>
                <w:vertAlign w:val="superscript"/>
              </w:rPr>
              <w:t>10</w:t>
            </w:r>
          </w:p>
        </w:tc>
        <w:tc>
          <w:tcPr>
            <w:tcW w:w="609" w:type="pct"/>
            <w:tcMar>
              <w:left w:w="28" w:type="dxa"/>
              <w:right w:w="28" w:type="dxa"/>
            </w:tcMar>
            <w:vAlign w:val="bottom"/>
          </w:tcPr>
          <w:p w14:paraId="11BE2768" w14:textId="245CDC9C" w:rsidR="00D176FB" w:rsidRDefault="00B6332F" w:rsidP="00120D61">
            <w:pPr>
              <w:pStyle w:val="Tabletext"/>
              <w:keepNext/>
              <w:jc w:val="center"/>
              <w:rPr>
                <w:rFonts w:cs="Calibri"/>
                <w:szCs w:val="20"/>
              </w:rPr>
            </w:pPr>
            <w:r w:rsidRPr="00885AB3">
              <w:rPr>
                <w:rFonts w:cs="Calibri"/>
                <w:szCs w:val="20"/>
              </w:rPr>
              <w:t>-$</w:t>
            </w:r>
            <w:r w:rsidR="004B5AFE" w:rsidRPr="004B5AFE">
              <w:rPr>
                <w:rFonts w:cs="Calibri"/>
                <w:szCs w:val="20"/>
                <w:highlight w:val="black"/>
              </w:rPr>
              <w:t xml:space="preserve"> &amp;&amp;&amp;&amp;</w:t>
            </w:r>
          </w:p>
          <w:p w14:paraId="71DA3B0C" w14:textId="126397AB" w:rsidR="00B6332F" w:rsidRPr="00D176FB" w:rsidRDefault="00D176FB" w:rsidP="00120D61">
            <w:pPr>
              <w:pStyle w:val="Tabletext"/>
              <w:keepNext/>
              <w:jc w:val="center"/>
              <w:rPr>
                <w:szCs w:val="20"/>
                <w:vertAlign w:val="superscript"/>
              </w:rPr>
            </w:pPr>
            <w:r>
              <w:rPr>
                <w:rFonts w:cs="Calibri"/>
                <w:szCs w:val="20"/>
                <w:vertAlign w:val="superscript"/>
              </w:rPr>
              <w:t>10</w:t>
            </w:r>
          </w:p>
        </w:tc>
        <w:tc>
          <w:tcPr>
            <w:tcW w:w="611" w:type="pct"/>
            <w:tcMar>
              <w:left w:w="28" w:type="dxa"/>
              <w:right w:w="28" w:type="dxa"/>
            </w:tcMar>
            <w:vAlign w:val="bottom"/>
          </w:tcPr>
          <w:p w14:paraId="7FF42B41" w14:textId="13BF295B" w:rsidR="00D176FB" w:rsidRDefault="00B6332F" w:rsidP="00120D61">
            <w:pPr>
              <w:pStyle w:val="Tabletext"/>
              <w:keepNext/>
              <w:jc w:val="center"/>
              <w:rPr>
                <w:rFonts w:cs="Calibri"/>
                <w:szCs w:val="20"/>
              </w:rPr>
            </w:pPr>
            <w:r w:rsidRPr="00885AB3">
              <w:rPr>
                <w:rFonts w:cs="Calibri"/>
                <w:szCs w:val="20"/>
              </w:rPr>
              <w:t>-$</w:t>
            </w:r>
            <w:r w:rsidR="004B5AFE" w:rsidRPr="004B5AFE">
              <w:rPr>
                <w:rFonts w:cs="Calibri"/>
                <w:szCs w:val="20"/>
                <w:highlight w:val="black"/>
              </w:rPr>
              <w:t xml:space="preserve"> &amp;&amp;&amp;&amp;</w:t>
            </w:r>
          </w:p>
          <w:p w14:paraId="5C183711" w14:textId="38390EA9" w:rsidR="00B6332F" w:rsidRPr="00D176FB" w:rsidRDefault="00D176FB" w:rsidP="00120D61">
            <w:pPr>
              <w:pStyle w:val="Tabletext"/>
              <w:keepNext/>
              <w:jc w:val="center"/>
              <w:rPr>
                <w:szCs w:val="20"/>
                <w:vertAlign w:val="superscript"/>
              </w:rPr>
            </w:pPr>
            <w:r>
              <w:rPr>
                <w:rFonts w:cs="Calibri"/>
                <w:szCs w:val="20"/>
                <w:vertAlign w:val="superscript"/>
              </w:rPr>
              <w:t>10</w:t>
            </w:r>
          </w:p>
        </w:tc>
      </w:tr>
      <w:tr w:rsidR="006A1AFC" w:rsidRPr="00885AB3" w14:paraId="4DC0262B" w14:textId="77777777">
        <w:tc>
          <w:tcPr>
            <w:tcW w:w="1328" w:type="pct"/>
            <w:tcMar>
              <w:left w:w="28" w:type="dxa"/>
              <w:right w:w="28" w:type="dxa"/>
            </w:tcMar>
          </w:tcPr>
          <w:p w14:paraId="70C6AF5D" w14:textId="77777777" w:rsidR="006A1AFC" w:rsidRPr="00885AB3" w:rsidRDefault="006A1AFC" w:rsidP="00120D61">
            <w:pPr>
              <w:pStyle w:val="Tabletext"/>
              <w:keepNext/>
              <w:rPr>
                <w:szCs w:val="20"/>
              </w:rPr>
            </w:pPr>
          </w:p>
        </w:tc>
        <w:tc>
          <w:tcPr>
            <w:tcW w:w="625" w:type="pct"/>
            <w:tcMar>
              <w:left w:w="28" w:type="dxa"/>
              <w:right w:w="28" w:type="dxa"/>
            </w:tcMar>
          </w:tcPr>
          <w:p w14:paraId="11428324" w14:textId="77777777" w:rsidR="006A1AFC" w:rsidRPr="00885AB3" w:rsidRDefault="006A1AFC" w:rsidP="00120D61">
            <w:pPr>
              <w:pStyle w:val="Tabletext"/>
              <w:keepNext/>
              <w:jc w:val="center"/>
              <w:rPr>
                <w:b/>
                <w:bCs/>
                <w:szCs w:val="20"/>
              </w:rPr>
            </w:pPr>
            <w:r w:rsidRPr="00885AB3">
              <w:rPr>
                <w:b/>
                <w:bCs/>
                <w:szCs w:val="20"/>
              </w:rPr>
              <w:t>Year 1</w:t>
            </w:r>
          </w:p>
        </w:tc>
        <w:tc>
          <w:tcPr>
            <w:tcW w:w="609" w:type="pct"/>
            <w:tcMar>
              <w:left w:w="28" w:type="dxa"/>
              <w:right w:w="28" w:type="dxa"/>
            </w:tcMar>
          </w:tcPr>
          <w:p w14:paraId="3FADB566" w14:textId="77777777" w:rsidR="006A1AFC" w:rsidRPr="00885AB3" w:rsidRDefault="006A1AFC" w:rsidP="00120D61">
            <w:pPr>
              <w:pStyle w:val="Tabletext"/>
              <w:keepNext/>
              <w:jc w:val="center"/>
              <w:rPr>
                <w:b/>
                <w:bCs/>
                <w:szCs w:val="20"/>
              </w:rPr>
            </w:pPr>
            <w:r w:rsidRPr="00885AB3">
              <w:rPr>
                <w:b/>
                <w:bCs/>
                <w:szCs w:val="20"/>
              </w:rPr>
              <w:t>Year 2</w:t>
            </w:r>
          </w:p>
        </w:tc>
        <w:tc>
          <w:tcPr>
            <w:tcW w:w="609" w:type="pct"/>
            <w:tcMar>
              <w:left w:w="28" w:type="dxa"/>
              <w:right w:w="28" w:type="dxa"/>
            </w:tcMar>
          </w:tcPr>
          <w:p w14:paraId="0614E22D" w14:textId="77777777" w:rsidR="006A1AFC" w:rsidRPr="00885AB3" w:rsidRDefault="006A1AFC" w:rsidP="00120D61">
            <w:pPr>
              <w:pStyle w:val="Tabletext"/>
              <w:keepNext/>
              <w:jc w:val="center"/>
              <w:rPr>
                <w:b/>
                <w:bCs/>
                <w:szCs w:val="20"/>
              </w:rPr>
            </w:pPr>
            <w:r w:rsidRPr="00885AB3">
              <w:rPr>
                <w:b/>
                <w:bCs/>
                <w:szCs w:val="20"/>
              </w:rPr>
              <w:t>Year 3</w:t>
            </w:r>
          </w:p>
        </w:tc>
        <w:tc>
          <w:tcPr>
            <w:tcW w:w="609" w:type="pct"/>
            <w:tcMar>
              <w:left w:w="28" w:type="dxa"/>
              <w:right w:w="28" w:type="dxa"/>
            </w:tcMar>
          </w:tcPr>
          <w:p w14:paraId="6A357CD6" w14:textId="77777777" w:rsidR="006A1AFC" w:rsidRPr="00885AB3" w:rsidRDefault="006A1AFC" w:rsidP="00120D61">
            <w:pPr>
              <w:pStyle w:val="Tabletext"/>
              <w:keepNext/>
              <w:jc w:val="center"/>
              <w:rPr>
                <w:b/>
                <w:bCs/>
                <w:szCs w:val="20"/>
              </w:rPr>
            </w:pPr>
            <w:r w:rsidRPr="00885AB3">
              <w:rPr>
                <w:b/>
                <w:bCs/>
                <w:szCs w:val="20"/>
              </w:rPr>
              <w:t>Year 4</w:t>
            </w:r>
          </w:p>
        </w:tc>
        <w:tc>
          <w:tcPr>
            <w:tcW w:w="609" w:type="pct"/>
            <w:tcMar>
              <w:left w:w="28" w:type="dxa"/>
              <w:right w:w="28" w:type="dxa"/>
            </w:tcMar>
          </w:tcPr>
          <w:p w14:paraId="21030931" w14:textId="77777777" w:rsidR="006A1AFC" w:rsidRPr="00885AB3" w:rsidRDefault="006A1AFC" w:rsidP="00120D61">
            <w:pPr>
              <w:pStyle w:val="Tabletext"/>
              <w:keepNext/>
              <w:jc w:val="center"/>
              <w:rPr>
                <w:b/>
                <w:bCs/>
                <w:szCs w:val="20"/>
              </w:rPr>
            </w:pPr>
            <w:r w:rsidRPr="00885AB3">
              <w:rPr>
                <w:b/>
                <w:bCs/>
                <w:szCs w:val="20"/>
              </w:rPr>
              <w:t>Year 5</w:t>
            </w:r>
          </w:p>
        </w:tc>
        <w:tc>
          <w:tcPr>
            <w:tcW w:w="611" w:type="pct"/>
            <w:tcMar>
              <w:left w:w="28" w:type="dxa"/>
              <w:right w:w="28" w:type="dxa"/>
            </w:tcMar>
          </w:tcPr>
          <w:p w14:paraId="0C84626A" w14:textId="77777777" w:rsidR="006A1AFC" w:rsidRPr="00885AB3" w:rsidRDefault="006A1AFC" w:rsidP="00120D61">
            <w:pPr>
              <w:pStyle w:val="Tabletext"/>
              <w:keepNext/>
              <w:jc w:val="center"/>
              <w:rPr>
                <w:b/>
                <w:bCs/>
                <w:szCs w:val="20"/>
              </w:rPr>
            </w:pPr>
            <w:r w:rsidRPr="00885AB3">
              <w:rPr>
                <w:b/>
                <w:bCs/>
                <w:szCs w:val="20"/>
              </w:rPr>
              <w:t>Year 6</w:t>
            </w:r>
          </w:p>
        </w:tc>
      </w:tr>
      <w:tr w:rsidR="006A1AFC" w:rsidRPr="00885AB3" w14:paraId="1023160F" w14:textId="77777777">
        <w:tc>
          <w:tcPr>
            <w:tcW w:w="5000" w:type="pct"/>
            <w:gridSpan w:val="7"/>
            <w:tcMar>
              <w:left w:w="28" w:type="dxa"/>
              <w:right w:w="28" w:type="dxa"/>
            </w:tcMar>
          </w:tcPr>
          <w:p w14:paraId="5F851929" w14:textId="77777777" w:rsidR="006A1AFC" w:rsidRPr="00885AB3" w:rsidRDefault="006A1AFC" w:rsidP="00120D61">
            <w:pPr>
              <w:keepNext/>
              <w:rPr>
                <w:rFonts w:ascii="Arial Narrow" w:hAnsi="Arial Narrow"/>
                <w:b/>
                <w:bCs/>
                <w:sz w:val="20"/>
                <w:szCs w:val="20"/>
                <w:u w:val="single"/>
              </w:rPr>
            </w:pPr>
            <w:r w:rsidRPr="00885AB3">
              <w:rPr>
                <w:rFonts w:ascii="Arial Narrow" w:hAnsi="Arial Narrow"/>
                <w:b/>
                <w:bCs/>
                <w:sz w:val="20"/>
                <w:szCs w:val="20"/>
                <w:u w:val="single"/>
              </w:rPr>
              <w:t>Aboriginal and Torres Strait Islander people 60-74 YOA</w:t>
            </w:r>
          </w:p>
        </w:tc>
      </w:tr>
      <w:tr w:rsidR="006A1AFC" w:rsidRPr="00885AB3" w14:paraId="26BBAA18" w14:textId="77777777">
        <w:tc>
          <w:tcPr>
            <w:tcW w:w="5000" w:type="pct"/>
            <w:gridSpan w:val="7"/>
            <w:tcMar>
              <w:left w:w="28" w:type="dxa"/>
              <w:right w:w="28" w:type="dxa"/>
            </w:tcMar>
          </w:tcPr>
          <w:p w14:paraId="2D1200F6" w14:textId="77777777" w:rsidR="006A1AFC" w:rsidRPr="00885AB3" w:rsidRDefault="006A1AFC" w:rsidP="00120D61">
            <w:pPr>
              <w:pStyle w:val="Tabletext"/>
              <w:keepNext/>
              <w:rPr>
                <w:b/>
                <w:bCs/>
                <w:szCs w:val="20"/>
              </w:rPr>
            </w:pPr>
            <w:r w:rsidRPr="00885AB3">
              <w:rPr>
                <w:b/>
                <w:bCs/>
                <w:szCs w:val="20"/>
              </w:rPr>
              <w:t>Estimated extent of use</w:t>
            </w:r>
          </w:p>
        </w:tc>
      </w:tr>
      <w:tr w:rsidR="006A1AFC" w:rsidRPr="00885AB3" w14:paraId="21999E23" w14:textId="77777777">
        <w:tc>
          <w:tcPr>
            <w:tcW w:w="1328" w:type="pct"/>
            <w:tcMar>
              <w:left w:w="28" w:type="dxa"/>
              <w:right w:w="28" w:type="dxa"/>
            </w:tcMar>
          </w:tcPr>
          <w:p w14:paraId="08793490" w14:textId="77777777" w:rsidR="006A1AFC" w:rsidRPr="00885AB3" w:rsidRDefault="006A1AFC" w:rsidP="00120D61">
            <w:pPr>
              <w:pStyle w:val="Tabletext"/>
              <w:keepNext/>
              <w:rPr>
                <w:szCs w:val="20"/>
              </w:rPr>
            </w:pPr>
            <w:r w:rsidRPr="00885AB3">
              <w:rPr>
                <w:szCs w:val="20"/>
              </w:rPr>
              <w:t>Number vaccinated (vials)</w:t>
            </w:r>
          </w:p>
        </w:tc>
        <w:tc>
          <w:tcPr>
            <w:tcW w:w="625" w:type="pct"/>
            <w:tcMar>
              <w:left w:w="28" w:type="dxa"/>
              <w:right w:w="28" w:type="dxa"/>
            </w:tcMar>
            <w:vAlign w:val="center"/>
          </w:tcPr>
          <w:p w14:paraId="2CE2239F" w14:textId="177C354E" w:rsidR="006A1AFC" w:rsidRPr="00327BD1" w:rsidRDefault="004B5AFE" w:rsidP="00120D61">
            <w:pPr>
              <w:pStyle w:val="Tabletext"/>
              <w:keepNext/>
              <w:jc w:val="center"/>
              <w:rPr>
                <w:szCs w:val="20"/>
                <w:vertAlign w:val="superscript"/>
              </w:rPr>
            </w:pPr>
            <w:r w:rsidRPr="004B5AFE">
              <w:rPr>
                <w:rFonts w:cs="Calibri"/>
                <w:szCs w:val="20"/>
                <w:highlight w:val="black"/>
              </w:rPr>
              <w:t xml:space="preserve"> &amp;&amp;&amp;&amp;</w:t>
            </w:r>
            <w:r w:rsidR="00327BD1">
              <w:rPr>
                <w:rFonts w:cs="Calibri"/>
                <w:szCs w:val="20"/>
                <w:vertAlign w:val="superscript"/>
              </w:rPr>
              <w:t>11</w:t>
            </w:r>
          </w:p>
        </w:tc>
        <w:tc>
          <w:tcPr>
            <w:tcW w:w="609" w:type="pct"/>
            <w:tcMar>
              <w:left w:w="28" w:type="dxa"/>
              <w:right w:w="28" w:type="dxa"/>
            </w:tcMar>
            <w:vAlign w:val="center"/>
          </w:tcPr>
          <w:p w14:paraId="7A7D6426" w14:textId="40E4CB49" w:rsidR="006A1AFC" w:rsidRPr="005E06D6" w:rsidRDefault="004B5AFE" w:rsidP="00120D61">
            <w:pPr>
              <w:pStyle w:val="Tabletext"/>
              <w:keepNext/>
              <w:jc w:val="center"/>
              <w:rPr>
                <w:szCs w:val="20"/>
                <w:vertAlign w:val="superscript"/>
              </w:rPr>
            </w:pPr>
            <w:r w:rsidRPr="004B5AFE">
              <w:rPr>
                <w:rFonts w:cs="Calibri"/>
                <w:szCs w:val="20"/>
                <w:highlight w:val="black"/>
              </w:rPr>
              <w:t xml:space="preserve"> &amp;&amp;&amp;&amp;</w:t>
            </w:r>
            <w:r w:rsidR="005E06D6">
              <w:rPr>
                <w:rFonts w:cs="Calibri"/>
                <w:szCs w:val="20"/>
                <w:vertAlign w:val="superscript"/>
              </w:rPr>
              <w:t>12</w:t>
            </w:r>
          </w:p>
        </w:tc>
        <w:tc>
          <w:tcPr>
            <w:tcW w:w="609" w:type="pct"/>
            <w:tcMar>
              <w:left w:w="28" w:type="dxa"/>
              <w:right w:w="28" w:type="dxa"/>
            </w:tcMar>
            <w:vAlign w:val="center"/>
          </w:tcPr>
          <w:p w14:paraId="3777FA65" w14:textId="4D825CFD" w:rsidR="006A1AFC" w:rsidRPr="005E06D6" w:rsidRDefault="004B5AFE" w:rsidP="00120D61">
            <w:pPr>
              <w:pStyle w:val="Tabletext"/>
              <w:keepNext/>
              <w:jc w:val="center"/>
              <w:rPr>
                <w:szCs w:val="20"/>
                <w:vertAlign w:val="superscript"/>
              </w:rPr>
            </w:pPr>
            <w:r w:rsidRPr="004B5AFE">
              <w:rPr>
                <w:rFonts w:cs="Calibri"/>
                <w:szCs w:val="20"/>
                <w:highlight w:val="black"/>
              </w:rPr>
              <w:t xml:space="preserve"> &amp;&amp;&amp;&amp;</w:t>
            </w:r>
            <w:r w:rsidR="005E06D6">
              <w:rPr>
                <w:rFonts w:cs="Calibri"/>
                <w:szCs w:val="20"/>
                <w:vertAlign w:val="superscript"/>
              </w:rPr>
              <w:t>1</w:t>
            </w:r>
            <w:r w:rsidR="00601D57">
              <w:rPr>
                <w:rFonts w:cs="Calibri"/>
                <w:szCs w:val="20"/>
                <w:vertAlign w:val="superscript"/>
              </w:rPr>
              <w:t>3</w:t>
            </w:r>
          </w:p>
        </w:tc>
        <w:tc>
          <w:tcPr>
            <w:tcW w:w="609" w:type="pct"/>
            <w:tcMar>
              <w:left w:w="28" w:type="dxa"/>
              <w:right w:w="28" w:type="dxa"/>
            </w:tcMar>
            <w:vAlign w:val="center"/>
          </w:tcPr>
          <w:p w14:paraId="10CDC072" w14:textId="452E4F43" w:rsidR="006A1AFC" w:rsidRPr="005E06D6" w:rsidRDefault="004B5AFE" w:rsidP="00120D61">
            <w:pPr>
              <w:pStyle w:val="Tabletext"/>
              <w:keepNext/>
              <w:jc w:val="center"/>
              <w:rPr>
                <w:szCs w:val="20"/>
                <w:vertAlign w:val="superscript"/>
              </w:rPr>
            </w:pPr>
            <w:r w:rsidRPr="004B5AFE">
              <w:rPr>
                <w:rFonts w:cs="Calibri"/>
                <w:szCs w:val="20"/>
                <w:highlight w:val="black"/>
              </w:rPr>
              <w:t xml:space="preserve"> &amp;&amp;&amp;&amp;</w:t>
            </w:r>
            <w:r w:rsidR="005E06D6">
              <w:rPr>
                <w:rFonts w:cs="Calibri"/>
                <w:szCs w:val="20"/>
                <w:vertAlign w:val="superscript"/>
              </w:rPr>
              <w:t>1</w:t>
            </w:r>
            <w:r w:rsidR="00601D57">
              <w:rPr>
                <w:rFonts w:cs="Calibri"/>
                <w:szCs w:val="20"/>
                <w:vertAlign w:val="superscript"/>
              </w:rPr>
              <w:t>3</w:t>
            </w:r>
          </w:p>
        </w:tc>
        <w:tc>
          <w:tcPr>
            <w:tcW w:w="609" w:type="pct"/>
            <w:tcMar>
              <w:left w:w="28" w:type="dxa"/>
              <w:right w:w="28" w:type="dxa"/>
            </w:tcMar>
            <w:vAlign w:val="center"/>
          </w:tcPr>
          <w:p w14:paraId="405CA164" w14:textId="4D63F4EE" w:rsidR="006A1AFC" w:rsidRPr="005E06D6" w:rsidRDefault="004B5AFE" w:rsidP="00120D61">
            <w:pPr>
              <w:pStyle w:val="Tabletext"/>
              <w:keepNext/>
              <w:jc w:val="center"/>
              <w:rPr>
                <w:szCs w:val="20"/>
                <w:vertAlign w:val="superscript"/>
              </w:rPr>
            </w:pPr>
            <w:r w:rsidRPr="004B5AFE">
              <w:rPr>
                <w:rFonts w:cs="Calibri"/>
                <w:szCs w:val="20"/>
                <w:highlight w:val="black"/>
              </w:rPr>
              <w:t xml:space="preserve"> &amp;&amp;&amp;&amp;</w:t>
            </w:r>
            <w:r w:rsidR="005E06D6">
              <w:rPr>
                <w:rFonts w:cs="Calibri"/>
                <w:szCs w:val="20"/>
                <w:vertAlign w:val="superscript"/>
              </w:rPr>
              <w:t>1</w:t>
            </w:r>
            <w:r w:rsidR="00601D57">
              <w:rPr>
                <w:rFonts w:cs="Calibri"/>
                <w:szCs w:val="20"/>
                <w:vertAlign w:val="superscript"/>
              </w:rPr>
              <w:t>3</w:t>
            </w:r>
          </w:p>
        </w:tc>
        <w:tc>
          <w:tcPr>
            <w:tcW w:w="611" w:type="pct"/>
            <w:tcMar>
              <w:left w:w="28" w:type="dxa"/>
              <w:right w:w="28" w:type="dxa"/>
            </w:tcMar>
            <w:vAlign w:val="center"/>
          </w:tcPr>
          <w:p w14:paraId="3CA85A36" w14:textId="4BFA0C1B" w:rsidR="006A1AFC" w:rsidRPr="005E06D6" w:rsidRDefault="004B5AFE" w:rsidP="00120D61">
            <w:pPr>
              <w:pStyle w:val="Tabletext"/>
              <w:keepNext/>
              <w:jc w:val="center"/>
              <w:rPr>
                <w:szCs w:val="20"/>
                <w:vertAlign w:val="superscript"/>
              </w:rPr>
            </w:pPr>
            <w:r w:rsidRPr="004B5AFE">
              <w:rPr>
                <w:rFonts w:cs="Calibri"/>
                <w:szCs w:val="20"/>
                <w:highlight w:val="black"/>
              </w:rPr>
              <w:t xml:space="preserve"> &amp;&amp;&amp;&amp;</w:t>
            </w:r>
            <w:r w:rsidR="005E06D6">
              <w:rPr>
                <w:rFonts w:cs="Calibri"/>
                <w:szCs w:val="20"/>
                <w:vertAlign w:val="superscript"/>
              </w:rPr>
              <w:t>1</w:t>
            </w:r>
            <w:r w:rsidR="00601D57">
              <w:rPr>
                <w:rFonts w:cs="Calibri"/>
                <w:szCs w:val="20"/>
                <w:vertAlign w:val="superscript"/>
              </w:rPr>
              <w:t>3</w:t>
            </w:r>
          </w:p>
        </w:tc>
      </w:tr>
      <w:tr w:rsidR="006A1AFC" w:rsidRPr="00885AB3" w14:paraId="4CE6E680" w14:textId="77777777">
        <w:tc>
          <w:tcPr>
            <w:tcW w:w="5000" w:type="pct"/>
            <w:gridSpan w:val="7"/>
            <w:tcMar>
              <w:left w:w="28" w:type="dxa"/>
              <w:right w:w="28" w:type="dxa"/>
            </w:tcMar>
          </w:tcPr>
          <w:p w14:paraId="1D547A5C" w14:textId="77777777" w:rsidR="006A1AFC" w:rsidRPr="00885AB3" w:rsidRDefault="006A1AFC" w:rsidP="00120D61">
            <w:pPr>
              <w:pStyle w:val="Tabletext"/>
              <w:keepNext/>
              <w:rPr>
                <w:b/>
                <w:bCs/>
                <w:szCs w:val="20"/>
              </w:rPr>
            </w:pPr>
            <w:r w:rsidRPr="00885AB3">
              <w:rPr>
                <w:b/>
                <w:bCs/>
                <w:szCs w:val="20"/>
              </w:rPr>
              <w:t>Estimated financial implications of mRNA-1345</w:t>
            </w:r>
          </w:p>
        </w:tc>
      </w:tr>
      <w:tr w:rsidR="006A1AFC" w:rsidRPr="00885AB3" w14:paraId="4C09B577" w14:textId="77777777">
        <w:tc>
          <w:tcPr>
            <w:tcW w:w="1328" w:type="pct"/>
            <w:tcMar>
              <w:left w:w="28" w:type="dxa"/>
              <w:right w:w="28" w:type="dxa"/>
            </w:tcMar>
          </w:tcPr>
          <w:p w14:paraId="5125967D" w14:textId="77777777" w:rsidR="006A1AFC" w:rsidRPr="00885AB3" w:rsidRDefault="006A1AFC" w:rsidP="00120D61">
            <w:pPr>
              <w:pStyle w:val="Tabletext"/>
              <w:keepNext/>
              <w:rPr>
                <w:szCs w:val="20"/>
              </w:rPr>
            </w:pPr>
            <w:r w:rsidRPr="00885AB3">
              <w:rPr>
                <w:szCs w:val="20"/>
              </w:rPr>
              <w:t>NIP</w:t>
            </w:r>
          </w:p>
        </w:tc>
        <w:tc>
          <w:tcPr>
            <w:tcW w:w="625" w:type="pct"/>
            <w:tcMar>
              <w:left w:w="28" w:type="dxa"/>
              <w:right w:w="28" w:type="dxa"/>
            </w:tcMar>
            <w:vAlign w:val="center"/>
          </w:tcPr>
          <w:p w14:paraId="2A0B1905" w14:textId="2AFA3202" w:rsidR="006A1AFC" w:rsidRPr="003F49DD" w:rsidRDefault="006A1AFC" w:rsidP="00120D61">
            <w:pPr>
              <w:pStyle w:val="Tabletext"/>
              <w:keepNext/>
              <w:jc w:val="center"/>
              <w:rPr>
                <w:szCs w:val="20"/>
                <w:vertAlign w:val="superscript"/>
              </w:rPr>
            </w:pPr>
            <w:r w:rsidRPr="00885AB3">
              <w:rPr>
                <w:szCs w:val="20"/>
              </w:rPr>
              <w:t>$</w:t>
            </w:r>
            <w:r w:rsidR="004B5AFE" w:rsidRPr="004B5AFE">
              <w:rPr>
                <w:szCs w:val="20"/>
                <w:highlight w:val="black"/>
              </w:rPr>
              <w:t xml:space="preserve"> &amp;&amp;&amp;&amp;</w:t>
            </w:r>
            <w:r w:rsidR="003F49DD">
              <w:rPr>
                <w:szCs w:val="20"/>
                <w:vertAlign w:val="superscript"/>
              </w:rPr>
              <w:t>14</w:t>
            </w:r>
          </w:p>
        </w:tc>
        <w:tc>
          <w:tcPr>
            <w:tcW w:w="609" w:type="pct"/>
            <w:tcMar>
              <w:left w:w="28" w:type="dxa"/>
              <w:right w:w="28" w:type="dxa"/>
            </w:tcMar>
            <w:vAlign w:val="center"/>
          </w:tcPr>
          <w:p w14:paraId="06CBA5F8" w14:textId="257B6144" w:rsidR="006A1AFC" w:rsidRPr="003F49DD" w:rsidRDefault="006A1AFC" w:rsidP="00120D61">
            <w:pPr>
              <w:pStyle w:val="Tabletext"/>
              <w:keepNext/>
              <w:jc w:val="center"/>
              <w:rPr>
                <w:szCs w:val="20"/>
                <w:vertAlign w:val="superscript"/>
              </w:rPr>
            </w:pPr>
            <w:r w:rsidRPr="00885AB3">
              <w:rPr>
                <w:szCs w:val="20"/>
              </w:rPr>
              <w:t>$</w:t>
            </w:r>
            <w:r w:rsidR="004B5AFE" w:rsidRPr="004B5AFE">
              <w:rPr>
                <w:szCs w:val="20"/>
                <w:highlight w:val="black"/>
              </w:rPr>
              <w:t xml:space="preserve"> &amp;&amp;&amp;&amp;</w:t>
            </w:r>
            <w:r w:rsidR="003F49DD">
              <w:rPr>
                <w:szCs w:val="20"/>
                <w:vertAlign w:val="superscript"/>
              </w:rPr>
              <w:t>14</w:t>
            </w:r>
          </w:p>
        </w:tc>
        <w:tc>
          <w:tcPr>
            <w:tcW w:w="609" w:type="pct"/>
            <w:tcMar>
              <w:left w:w="28" w:type="dxa"/>
              <w:right w:w="28" w:type="dxa"/>
            </w:tcMar>
            <w:vAlign w:val="center"/>
          </w:tcPr>
          <w:p w14:paraId="4DAAC3B4" w14:textId="3C202EBA" w:rsidR="006A1AFC" w:rsidRPr="003F49DD" w:rsidRDefault="006A1AFC" w:rsidP="00120D61">
            <w:pPr>
              <w:pStyle w:val="Tabletext"/>
              <w:keepNext/>
              <w:jc w:val="center"/>
              <w:rPr>
                <w:szCs w:val="20"/>
                <w:vertAlign w:val="superscript"/>
              </w:rPr>
            </w:pPr>
            <w:r w:rsidRPr="00885AB3">
              <w:rPr>
                <w:szCs w:val="20"/>
              </w:rPr>
              <w:t>$</w:t>
            </w:r>
            <w:r w:rsidR="004B5AFE" w:rsidRPr="004B5AFE">
              <w:rPr>
                <w:szCs w:val="20"/>
                <w:highlight w:val="black"/>
              </w:rPr>
              <w:t xml:space="preserve"> &amp;&amp;&amp;&amp;</w:t>
            </w:r>
            <w:r w:rsidR="003F49DD">
              <w:rPr>
                <w:szCs w:val="20"/>
                <w:vertAlign w:val="superscript"/>
              </w:rPr>
              <w:t>14</w:t>
            </w:r>
          </w:p>
        </w:tc>
        <w:tc>
          <w:tcPr>
            <w:tcW w:w="609" w:type="pct"/>
            <w:tcMar>
              <w:left w:w="28" w:type="dxa"/>
              <w:right w:w="28" w:type="dxa"/>
            </w:tcMar>
            <w:vAlign w:val="center"/>
          </w:tcPr>
          <w:p w14:paraId="2B22BB77" w14:textId="4E4A18CC" w:rsidR="006A1AFC" w:rsidRPr="003F49DD" w:rsidRDefault="006A1AFC" w:rsidP="00120D61">
            <w:pPr>
              <w:pStyle w:val="Tabletext"/>
              <w:keepNext/>
              <w:jc w:val="center"/>
              <w:rPr>
                <w:szCs w:val="20"/>
                <w:vertAlign w:val="superscript"/>
              </w:rPr>
            </w:pPr>
            <w:r w:rsidRPr="00885AB3">
              <w:rPr>
                <w:szCs w:val="20"/>
              </w:rPr>
              <w:t>$</w:t>
            </w:r>
            <w:r w:rsidR="004B5AFE" w:rsidRPr="004B5AFE">
              <w:rPr>
                <w:szCs w:val="20"/>
                <w:highlight w:val="black"/>
              </w:rPr>
              <w:t xml:space="preserve"> &amp;&amp;&amp;&amp;</w:t>
            </w:r>
            <w:r w:rsidR="003F49DD">
              <w:rPr>
                <w:szCs w:val="20"/>
                <w:vertAlign w:val="superscript"/>
              </w:rPr>
              <w:t>14</w:t>
            </w:r>
          </w:p>
        </w:tc>
        <w:tc>
          <w:tcPr>
            <w:tcW w:w="609" w:type="pct"/>
            <w:tcMar>
              <w:left w:w="28" w:type="dxa"/>
              <w:right w:w="28" w:type="dxa"/>
            </w:tcMar>
            <w:vAlign w:val="center"/>
          </w:tcPr>
          <w:p w14:paraId="6E7E8D5C" w14:textId="01A0DD3A" w:rsidR="006A1AFC" w:rsidRPr="003F49DD" w:rsidRDefault="006A1AFC" w:rsidP="00120D61">
            <w:pPr>
              <w:pStyle w:val="Tabletext"/>
              <w:keepNext/>
              <w:jc w:val="center"/>
              <w:rPr>
                <w:szCs w:val="20"/>
                <w:vertAlign w:val="superscript"/>
              </w:rPr>
            </w:pPr>
            <w:r w:rsidRPr="00885AB3">
              <w:rPr>
                <w:szCs w:val="20"/>
              </w:rPr>
              <w:t>$</w:t>
            </w:r>
            <w:r w:rsidR="004B5AFE" w:rsidRPr="004B5AFE">
              <w:rPr>
                <w:szCs w:val="20"/>
                <w:highlight w:val="black"/>
              </w:rPr>
              <w:t xml:space="preserve"> &amp;&amp;&amp;&amp;</w:t>
            </w:r>
            <w:r w:rsidR="003F49DD">
              <w:rPr>
                <w:szCs w:val="20"/>
                <w:vertAlign w:val="superscript"/>
              </w:rPr>
              <w:t>14</w:t>
            </w:r>
          </w:p>
        </w:tc>
        <w:tc>
          <w:tcPr>
            <w:tcW w:w="611" w:type="pct"/>
            <w:tcMar>
              <w:left w:w="28" w:type="dxa"/>
              <w:right w:w="28" w:type="dxa"/>
            </w:tcMar>
            <w:vAlign w:val="center"/>
          </w:tcPr>
          <w:p w14:paraId="0801E70E" w14:textId="0BDF696A" w:rsidR="006A1AFC" w:rsidRPr="003F49DD" w:rsidRDefault="006A1AFC" w:rsidP="00120D61">
            <w:pPr>
              <w:pStyle w:val="Tabletext"/>
              <w:keepNext/>
              <w:jc w:val="center"/>
              <w:rPr>
                <w:szCs w:val="20"/>
                <w:vertAlign w:val="superscript"/>
              </w:rPr>
            </w:pPr>
            <w:r w:rsidRPr="00885AB3">
              <w:rPr>
                <w:szCs w:val="20"/>
              </w:rPr>
              <w:t>$</w:t>
            </w:r>
            <w:r w:rsidR="004B5AFE" w:rsidRPr="004B5AFE">
              <w:rPr>
                <w:szCs w:val="20"/>
                <w:highlight w:val="black"/>
              </w:rPr>
              <w:t xml:space="preserve"> &amp;&amp;&amp;&amp;</w:t>
            </w:r>
            <w:r w:rsidR="003F49DD">
              <w:rPr>
                <w:szCs w:val="20"/>
                <w:vertAlign w:val="superscript"/>
              </w:rPr>
              <w:t>14</w:t>
            </w:r>
          </w:p>
        </w:tc>
      </w:tr>
      <w:tr w:rsidR="006A1AFC" w:rsidRPr="00885AB3" w14:paraId="6AB767FF" w14:textId="77777777">
        <w:tc>
          <w:tcPr>
            <w:tcW w:w="5000" w:type="pct"/>
            <w:gridSpan w:val="7"/>
            <w:tcMar>
              <w:left w:w="28" w:type="dxa"/>
              <w:right w:w="28" w:type="dxa"/>
            </w:tcMar>
          </w:tcPr>
          <w:p w14:paraId="2B83649B" w14:textId="77777777" w:rsidR="006A1AFC" w:rsidRPr="00885AB3" w:rsidRDefault="006A1AFC" w:rsidP="00120D61">
            <w:pPr>
              <w:pStyle w:val="Tabletext"/>
              <w:keepNext/>
              <w:rPr>
                <w:b/>
                <w:bCs/>
                <w:szCs w:val="20"/>
              </w:rPr>
            </w:pPr>
            <w:r w:rsidRPr="00885AB3">
              <w:rPr>
                <w:b/>
                <w:bCs/>
                <w:szCs w:val="20"/>
              </w:rPr>
              <w:t xml:space="preserve">Estimated financial implications for </w:t>
            </w:r>
            <w:proofErr w:type="spellStart"/>
            <w:r w:rsidRPr="00885AB3">
              <w:rPr>
                <w:b/>
                <w:bCs/>
                <w:szCs w:val="20"/>
              </w:rPr>
              <w:t>RSVPreF</w:t>
            </w:r>
            <w:proofErr w:type="spellEnd"/>
          </w:p>
        </w:tc>
      </w:tr>
      <w:tr w:rsidR="006A1AFC" w:rsidRPr="00885AB3" w14:paraId="69BF88BA" w14:textId="77777777">
        <w:tc>
          <w:tcPr>
            <w:tcW w:w="1328" w:type="pct"/>
            <w:tcMar>
              <w:left w:w="28" w:type="dxa"/>
              <w:right w:w="28" w:type="dxa"/>
            </w:tcMar>
          </w:tcPr>
          <w:p w14:paraId="191D8BBD" w14:textId="77777777" w:rsidR="006A1AFC" w:rsidRPr="00885AB3" w:rsidRDefault="006A1AFC" w:rsidP="00120D61">
            <w:pPr>
              <w:pStyle w:val="Tabletext"/>
              <w:keepNext/>
              <w:rPr>
                <w:szCs w:val="20"/>
              </w:rPr>
            </w:pPr>
            <w:r w:rsidRPr="00885AB3">
              <w:rPr>
                <w:szCs w:val="20"/>
              </w:rPr>
              <w:t>Cost to NIP</w:t>
            </w:r>
          </w:p>
        </w:tc>
        <w:tc>
          <w:tcPr>
            <w:tcW w:w="625" w:type="pct"/>
            <w:tcMar>
              <w:left w:w="28" w:type="dxa"/>
              <w:right w:w="28" w:type="dxa"/>
            </w:tcMar>
            <w:vAlign w:val="bottom"/>
          </w:tcPr>
          <w:p w14:paraId="1D868CEE" w14:textId="4F90D566" w:rsidR="006A1AFC" w:rsidRPr="003F49DD" w:rsidRDefault="006A1AFC" w:rsidP="00120D61">
            <w:pPr>
              <w:pStyle w:val="Tabletext"/>
              <w:keepNext/>
              <w:jc w:val="center"/>
              <w:rPr>
                <w:szCs w:val="20"/>
                <w:vertAlign w:val="superscript"/>
              </w:rPr>
            </w:pPr>
            <w:r w:rsidRPr="00885AB3">
              <w:rPr>
                <w:rFonts w:cs="Calibri"/>
                <w:szCs w:val="20"/>
              </w:rPr>
              <w:t>-$</w:t>
            </w:r>
            <w:r w:rsidR="004B5AFE" w:rsidRPr="004B5AFE">
              <w:rPr>
                <w:rFonts w:cs="Calibri"/>
                <w:szCs w:val="20"/>
                <w:highlight w:val="black"/>
              </w:rPr>
              <w:t xml:space="preserve"> &amp;&amp;&amp;&amp;</w:t>
            </w:r>
            <w:r w:rsidR="003F49DD">
              <w:rPr>
                <w:rFonts w:cs="Calibri"/>
                <w:szCs w:val="20"/>
                <w:vertAlign w:val="superscript"/>
              </w:rPr>
              <w:t>14</w:t>
            </w:r>
          </w:p>
        </w:tc>
        <w:tc>
          <w:tcPr>
            <w:tcW w:w="609" w:type="pct"/>
            <w:tcMar>
              <w:left w:w="28" w:type="dxa"/>
              <w:right w:w="28" w:type="dxa"/>
            </w:tcMar>
            <w:vAlign w:val="bottom"/>
          </w:tcPr>
          <w:p w14:paraId="4DD953F0" w14:textId="74B4AF94" w:rsidR="006A1AFC" w:rsidRPr="003F49DD" w:rsidRDefault="006A1AFC" w:rsidP="00120D61">
            <w:pPr>
              <w:pStyle w:val="Tabletext"/>
              <w:keepNext/>
              <w:jc w:val="center"/>
              <w:rPr>
                <w:szCs w:val="20"/>
                <w:vertAlign w:val="superscript"/>
              </w:rPr>
            </w:pPr>
            <w:r w:rsidRPr="00885AB3">
              <w:rPr>
                <w:rFonts w:cs="Calibri"/>
                <w:szCs w:val="20"/>
              </w:rPr>
              <w:t>-$</w:t>
            </w:r>
            <w:r w:rsidR="004B5AFE" w:rsidRPr="004B5AFE">
              <w:rPr>
                <w:rFonts w:cs="Calibri"/>
                <w:szCs w:val="20"/>
                <w:highlight w:val="black"/>
              </w:rPr>
              <w:t xml:space="preserve"> &amp;&amp;&amp;&amp;</w:t>
            </w:r>
            <w:r w:rsidR="003F49DD">
              <w:rPr>
                <w:rFonts w:cs="Calibri"/>
                <w:szCs w:val="20"/>
                <w:vertAlign w:val="superscript"/>
              </w:rPr>
              <w:t>14</w:t>
            </w:r>
          </w:p>
        </w:tc>
        <w:tc>
          <w:tcPr>
            <w:tcW w:w="609" w:type="pct"/>
            <w:tcMar>
              <w:left w:w="28" w:type="dxa"/>
              <w:right w:w="28" w:type="dxa"/>
            </w:tcMar>
            <w:vAlign w:val="bottom"/>
          </w:tcPr>
          <w:p w14:paraId="2575F0FC" w14:textId="48F9C449" w:rsidR="006A1AFC" w:rsidRPr="003F49DD" w:rsidRDefault="006A1AFC" w:rsidP="00120D61">
            <w:pPr>
              <w:pStyle w:val="Tabletext"/>
              <w:keepNext/>
              <w:jc w:val="center"/>
              <w:rPr>
                <w:szCs w:val="20"/>
                <w:vertAlign w:val="superscript"/>
              </w:rPr>
            </w:pPr>
            <w:r w:rsidRPr="00885AB3">
              <w:rPr>
                <w:rFonts w:cs="Calibri"/>
                <w:szCs w:val="20"/>
              </w:rPr>
              <w:t>-$</w:t>
            </w:r>
            <w:r w:rsidR="004B5AFE" w:rsidRPr="004B5AFE">
              <w:rPr>
                <w:rFonts w:cs="Calibri"/>
                <w:szCs w:val="20"/>
                <w:highlight w:val="black"/>
              </w:rPr>
              <w:t xml:space="preserve"> &amp;&amp;&amp;&amp;</w:t>
            </w:r>
            <w:r w:rsidR="003F49DD">
              <w:rPr>
                <w:rFonts w:cs="Calibri"/>
                <w:szCs w:val="20"/>
                <w:vertAlign w:val="superscript"/>
              </w:rPr>
              <w:t>14</w:t>
            </w:r>
          </w:p>
        </w:tc>
        <w:tc>
          <w:tcPr>
            <w:tcW w:w="609" w:type="pct"/>
            <w:tcMar>
              <w:left w:w="28" w:type="dxa"/>
              <w:right w:w="28" w:type="dxa"/>
            </w:tcMar>
            <w:vAlign w:val="bottom"/>
          </w:tcPr>
          <w:p w14:paraId="38AAC25F" w14:textId="66EED396" w:rsidR="006A1AFC" w:rsidRPr="003F49DD" w:rsidRDefault="006A1AFC" w:rsidP="00120D61">
            <w:pPr>
              <w:pStyle w:val="Tabletext"/>
              <w:keepNext/>
              <w:jc w:val="center"/>
              <w:rPr>
                <w:szCs w:val="20"/>
                <w:vertAlign w:val="superscript"/>
              </w:rPr>
            </w:pPr>
            <w:r w:rsidRPr="00885AB3">
              <w:rPr>
                <w:rFonts w:cs="Calibri"/>
                <w:szCs w:val="20"/>
              </w:rPr>
              <w:t>-$</w:t>
            </w:r>
            <w:r w:rsidR="004B5AFE" w:rsidRPr="004B5AFE">
              <w:rPr>
                <w:rFonts w:cs="Calibri"/>
                <w:szCs w:val="20"/>
                <w:highlight w:val="black"/>
              </w:rPr>
              <w:t xml:space="preserve"> &amp;&amp;&amp;&amp;</w:t>
            </w:r>
            <w:r w:rsidR="003F49DD">
              <w:rPr>
                <w:rFonts w:cs="Calibri"/>
                <w:szCs w:val="20"/>
                <w:vertAlign w:val="superscript"/>
              </w:rPr>
              <w:t>14</w:t>
            </w:r>
          </w:p>
        </w:tc>
        <w:tc>
          <w:tcPr>
            <w:tcW w:w="609" w:type="pct"/>
            <w:tcMar>
              <w:left w:w="28" w:type="dxa"/>
              <w:right w:w="28" w:type="dxa"/>
            </w:tcMar>
            <w:vAlign w:val="bottom"/>
          </w:tcPr>
          <w:p w14:paraId="09EF93A7" w14:textId="47B44667" w:rsidR="006A1AFC" w:rsidRPr="003F49DD" w:rsidRDefault="006A1AFC" w:rsidP="00120D61">
            <w:pPr>
              <w:pStyle w:val="Tabletext"/>
              <w:keepNext/>
              <w:jc w:val="center"/>
              <w:rPr>
                <w:szCs w:val="20"/>
                <w:vertAlign w:val="superscript"/>
              </w:rPr>
            </w:pPr>
            <w:r w:rsidRPr="00885AB3">
              <w:rPr>
                <w:rFonts w:cs="Calibri"/>
                <w:szCs w:val="20"/>
              </w:rPr>
              <w:t>-$</w:t>
            </w:r>
            <w:r w:rsidR="004B5AFE" w:rsidRPr="004B5AFE">
              <w:rPr>
                <w:rFonts w:cs="Calibri"/>
                <w:szCs w:val="20"/>
                <w:highlight w:val="black"/>
              </w:rPr>
              <w:t xml:space="preserve"> &amp;&amp;&amp;&amp;</w:t>
            </w:r>
            <w:r w:rsidR="003F49DD">
              <w:rPr>
                <w:rFonts w:cs="Calibri"/>
                <w:szCs w:val="20"/>
                <w:vertAlign w:val="superscript"/>
              </w:rPr>
              <w:t>14</w:t>
            </w:r>
          </w:p>
        </w:tc>
        <w:tc>
          <w:tcPr>
            <w:tcW w:w="611" w:type="pct"/>
            <w:tcMar>
              <w:left w:w="28" w:type="dxa"/>
              <w:right w:w="28" w:type="dxa"/>
            </w:tcMar>
            <w:vAlign w:val="bottom"/>
          </w:tcPr>
          <w:p w14:paraId="470018AD" w14:textId="440D806D" w:rsidR="006A1AFC" w:rsidRPr="003F49DD" w:rsidRDefault="006A1AFC" w:rsidP="00120D61">
            <w:pPr>
              <w:pStyle w:val="Tabletext"/>
              <w:keepNext/>
              <w:jc w:val="center"/>
              <w:rPr>
                <w:szCs w:val="20"/>
                <w:vertAlign w:val="superscript"/>
              </w:rPr>
            </w:pPr>
            <w:r w:rsidRPr="00885AB3">
              <w:rPr>
                <w:rFonts w:cs="Calibri"/>
                <w:szCs w:val="20"/>
              </w:rPr>
              <w:t>-$</w:t>
            </w:r>
            <w:r w:rsidR="004B5AFE" w:rsidRPr="004B5AFE">
              <w:rPr>
                <w:rFonts w:cs="Calibri"/>
                <w:szCs w:val="20"/>
                <w:highlight w:val="black"/>
              </w:rPr>
              <w:t xml:space="preserve"> &amp;&amp;&amp;&amp;</w:t>
            </w:r>
            <w:r w:rsidR="003F49DD">
              <w:rPr>
                <w:rFonts w:cs="Calibri"/>
                <w:szCs w:val="20"/>
                <w:vertAlign w:val="superscript"/>
              </w:rPr>
              <w:t>14</w:t>
            </w:r>
          </w:p>
        </w:tc>
      </w:tr>
      <w:tr w:rsidR="006A1AFC" w:rsidRPr="00885AB3" w14:paraId="6BE26268" w14:textId="77777777">
        <w:tc>
          <w:tcPr>
            <w:tcW w:w="5000" w:type="pct"/>
            <w:gridSpan w:val="7"/>
            <w:tcMar>
              <w:left w:w="28" w:type="dxa"/>
              <w:right w:w="28" w:type="dxa"/>
            </w:tcMar>
          </w:tcPr>
          <w:p w14:paraId="73ED2647" w14:textId="77777777" w:rsidR="006A1AFC" w:rsidRPr="00885AB3" w:rsidRDefault="006A1AFC" w:rsidP="00120D61">
            <w:pPr>
              <w:pStyle w:val="Tabletext"/>
              <w:keepNext/>
              <w:rPr>
                <w:b/>
                <w:bCs/>
                <w:szCs w:val="20"/>
              </w:rPr>
            </w:pPr>
            <w:r w:rsidRPr="00885AB3">
              <w:rPr>
                <w:b/>
                <w:bCs/>
                <w:szCs w:val="20"/>
              </w:rPr>
              <w:t>Net financial implications</w:t>
            </w:r>
          </w:p>
        </w:tc>
      </w:tr>
      <w:tr w:rsidR="006A1AFC" w:rsidRPr="00885AB3" w14:paraId="54F734DF" w14:textId="77777777">
        <w:tc>
          <w:tcPr>
            <w:tcW w:w="1328" w:type="pct"/>
            <w:tcMar>
              <w:left w:w="28" w:type="dxa"/>
              <w:right w:w="28" w:type="dxa"/>
            </w:tcMar>
          </w:tcPr>
          <w:p w14:paraId="66E63048" w14:textId="77777777" w:rsidR="006A1AFC" w:rsidRPr="00885AB3" w:rsidRDefault="006A1AFC" w:rsidP="00120D61">
            <w:pPr>
              <w:pStyle w:val="Tabletext"/>
              <w:keepNext/>
              <w:rPr>
                <w:szCs w:val="20"/>
              </w:rPr>
            </w:pPr>
            <w:r w:rsidRPr="00885AB3">
              <w:rPr>
                <w:szCs w:val="20"/>
              </w:rPr>
              <w:t>Net cost to NIP</w:t>
            </w:r>
          </w:p>
        </w:tc>
        <w:tc>
          <w:tcPr>
            <w:tcW w:w="625" w:type="pct"/>
            <w:tcMar>
              <w:left w:w="28" w:type="dxa"/>
              <w:right w:w="28" w:type="dxa"/>
            </w:tcMar>
            <w:vAlign w:val="bottom"/>
          </w:tcPr>
          <w:p w14:paraId="27D727C7" w14:textId="30552727" w:rsidR="006A1AFC" w:rsidRPr="003F49DD" w:rsidRDefault="006A1AFC" w:rsidP="00120D61">
            <w:pPr>
              <w:pStyle w:val="Tabletext"/>
              <w:keepNext/>
              <w:jc w:val="center"/>
              <w:rPr>
                <w:szCs w:val="20"/>
                <w:vertAlign w:val="superscript"/>
              </w:rPr>
            </w:pPr>
            <w:r w:rsidRPr="00885AB3">
              <w:rPr>
                <w:rFonts w:cs="Calibri"/>
                <w:szCs w:val="20"/>
              </w:rPr>
              <w:t>-</w:t>
            </w:r>
            <w:r w:rsidR="00B6332F" w:rsidRPr="00885AB3">
              <w:rPr>
                <w:rFonts w:cs="Calibri"/>
                <w:szCs w:val="20"/>
              </w:rPr>
              <w:t>$</w:t>
            </w:r>
            <w:r w:rsidR="004B5AFE" w:rsidRPr="004B5AFE">
              <w:rPr>
                <w:rFonts w:cs="Calibri"/>
                <w:szCs w:val="20"/>
                <w:highlight w:val="black"/>
              </w:rPr>
              <w:t xml:space="preserve"> &amp;&amp;&amp;&amp;</w:t>
            </w:r>
            <w:r w:rsidR="003F49DD">
              <w:rPr>
                <w:rFonts w:cs="Calibri"/>
                <w:szCs w:val="20"/>
                <w:vertAlign w:val="superscript"/>
              </w:rPr>
              <w:t>14</w:t>
            </w:r>
          </w:p>
        </w:tc>
        <w:tc>
          <w:tcPr>
            <w:tcW w:w="609" w:type="pct"/>
            <w:tcMar>
              <w:left w:w="28" w:type="dxa"/>
              <w:right w:w="28" w:type="dxa"/>
            </w:tcMar>
            <w:vAlign w:val="bottom"/>
          </w:tcPr>
          <w:p w14:paraId="041DCD2C" w14:textId="1FF33286" w:rsidR="006A1AFC" w:rsidRPr="003F49DD" w:rsidRDefault="006A1AFC" w:rsidP="00120D61">
            <w:pPr>
              <w:pStyle w:val="Tabletext"/>
              <w:keepNext/>
              <w:jc w:val="center"/>
              <w:rPr>
                <w:szCs w:val="20"/>
                <w:vertAlign w:val="superscript"/>
              </w:rPr>
            </w:pPr>
            <w:r w:rsidRPr="00885AB3">
              <w:rPr>
                <w:rFonts w:cs="Calibri"/>
                <w:szCs w:val="20"/>
              </w:rPr>
              <w:t>-</w:t>
            </w:r>
            <w:r w:rsidR="00B6332F" w:rsidRPr="00885AB3">
              <w:rPr>
                <w:rFonts w:cs="Calibri"/>
                <w:szCs w:val="20"/>
              </w:rPr>
              <w:t>$</w:t>
            </w:r>
            <w:r w:rsidR="004B5AFE" w:rsidRPr="004B5AFE">
              <w:rPr>
                <w:rFonts w:cs="Calibri"/>
                <w:szCs w:val="20"/>
                <w:highlight w:val="black"/>
              </w:rPr>
              <w:t xml:space="preserve"> &amp;&amp;&amp;&amp;</w:t>
            </w:r>
            <w:r w:rsidR="003F49DD">
              <w:rPr>
                <w:rFonts w:cs="Calibri"/>
                <w:szCs w:val="20"/>
                <w:vertAlign w:val="superscript"/>
              </w:rPr>
              <w:t>14</w:t>
            </w:r>
          </w:p>
        </w:tc>
        <w:tc>
          <w:tcPr>
            <w:tcW w:w="609" w:type="pct"/>
            <w:tcMar>
              <w:left w:w="28" w:type="dxa"/>
              <w:right w:w="28" w:type="dxa"/>
            </w:tcMar>
            <w:vAlign w:val="bottom"/>
          </w:tcPr>
          <w:p w14:paraId="0654B63A" w14:textId="44D52B34" w:rsidR="006A1AFC" w:rsidRPr="003F49DD" w:rsidRDefault="006A1AFC" w:rsidP="00120D61">
            <w:pPr>
              <w:pStyle w:val="Tabletext"/>
              <w:keepNext/>
              <w:jc w:val="center"/>
              <w:rPr>
                <w:szCs w:val="20"/>
                <w:vertAlign w:val="superscript"/>
              </w:rPr>
            </w:pPr>
            <w:r w:rsidRPr="00885AB3">
              <w:rPr>
                <w:rFonts w:cs="Calibri"/>
                <w:szCs w:val="20"/>
              </w:rPr>
              <w:t>-</w:t>
            </w:r>
            <w:r w:rsidR="00B6332F" w:rsidRPr="00885AB3">
              <w:rPr>
                <w:rFonts w:cs="Calibri"/>
                <w:szCs w:val="20"/>
              </w:rPr>
              <w:t>$</w:t>
            </w:r>
            <w:r w:rsidR="004B5AFE" w:rsidRPr="004B5AFE">
              <w:rPr>
                <w:rFonts w:cs="Calibri"/>
                <w:szCs w:val="20"/>
                <w:highlight w:val="black"/>
              </w:rPr>
              <w:t xml:space="preserve"> &amp;&amp;&amp;&amp;</w:t>
            </w:r>
            <w:r w:rsidR="003F49DD">
              <w:rPr>
                <w:rFonts w:cs="Calibri"/>
                <w:szCs w:val="20"/>
                <w:vertAlign w:val="superscript"/>
              </w:rPr>
              <w:t>14</w:t>
            </w:r>
          </w:p>
        </w:tc>
        <w:tc>
          <w:tcPr>
            <w:tcW w:w="609" w:type="pct"/>
            <w:tcMar>
              <w:left w:w="28" w:type="dxa"/>
              <w:right w:w="28" w:type="dxa"/>
            </w:tcMar>
            <w:vAlign w:val="bottom"/>
          </w:tcPr>
          <w:p w14:paraId="7ADF8D1C" w14:textId="00668DE8" w:rsidR="006A1AFC" w:rsidRPr="003F49DD" w:rsidRDefault="006A1AFC" w:rsidP="00120D61">
            <w:pPr>
              <w:pStyle w:val="Tabletext"/>
              <w:keepNext/>
              <w:jc w:val="center"/>
              <w:rPr>
                <w:szCs w:val="20"/>
                <w:vertAlign w:val="superscript"/>
              </w:rPr>
            </w:pPr>
            <w:r w:rsidRPr="00885AB3">
              <w:rPr>
                <w:rFonts w:cs="Calibri"/>
                <w:szCs w:val="20"/>
              </w:rPr>
              <w:t>-</w:t>
            </w:r>
            <w:r w:rsidR="00B6332F" w:rsidRPr="00885AB3">
              <w:rPr>
                <w:rFonts w:cs="Calibri"/>
                <w:szCs w:val="20"/>
              </w:rPr>
              <w:t>$</w:t>
            </w:r>
            <w:r w:rsidR="004B5AFE" w:rsidRPr="004B5AFE">
              <w:rPr>
                <w:rFonts w:cs="Calibri"/>
                <w:szCs w:val="20"/>
                <w:highlight w:val="black"/>
              </w:rPr>
              <w:t xml:space="preserve"> &amp;&amp;&amp;&amp;</w:t>
            </w:r>
            <w:r w:rsidR="003F49DD">
              <w:rPr>
                <w:rFonts w:cs="Calibri"/>
                <w:szCs w:val="20"/>
                <w:vertAlign w:val="superscript"/>
              </w:rPr>
              <w:t>14</w:t>
            </w:r>
          </w:p>
        </w:tc>
        <w:tc>
          <w:tcPr>
            <w:tcW w:w="609" w:type="pct"/>
            <w:tcMar>
              <w:left w:w="28" w:type="dxa"/>
              <w:right w:w="28" w:type="dxa"/>
            </w:tcMar>
            <w:vAlign w:val="bottom"/>
          </w:tcPr>
          <w:p w14:paraId="6D35544B" w14:textId="4098D52F" w:rsidR="006A1AFC" w:rsidRPr="003F49DD" w:rsidRDefault="006A1AFC" w:rsidP="00120D61">
            <w:pPr>
              <w:pStyle w:val="Tabletext"/>
              <w:keepNext/>
              <w:jc w:val="center"/>
              <w:rPr>
                <w:szCs w:val="20"/>
                <w:vertAlign w:val="superscript"/>
              </w:rPr>
            </w:pPr>
            <w:r w:rsidRPr="00885AB3">
              <w:rPr>
                <w:rFonts w:cs="Calibri"/>
                <w:szCs w:val="20"/>
              </w:rPr>
              <w:t>-</w:t>
            </w:r>
            <w:r w:rsidR="00B6332F" w:rsidRPr="00885AB3">
              <w:rPr>
                <w:rFonts w:cs="Calibri"/>
                <w:szCs w:val="20"/>
              </w:rPr>
              <w:t>$</w:t>
            </w:r>
            <w:r w:rsidR="004B5AFE" w:rsidRPr="004B5AFE">
              <w:rPr>
                <w:rFonts w:cs="Calibri"/>
                <w:szCs w:val="20"/>
                <w:highlight w:val="black"/>
              </w:rPr>
              <w:t xml:space="preserve"> &amp;&amp;&amp;&amp;</w:t>
            </w:r>
            <w:r w:rsidR="003F49DD">
              <w:rPr>
                <w:rFonts w:cs="Calibri"/>
                <w:szCs w:val="20"/>
                <w:vertAlign w:val="superscript"/>
              </w:rPr>
              <w:t>14</w:t>
            </w:r>
          </w:p>
        </w:tc>
        <w:tc>
          <w:tcPr>
            <w:tcW w:w="611" w:type="pct"/>
            <w:tcMar>
              <w:left w:w="28" w:type="dxa"/>
              <w:right w:w="28" w:type="dxa"/>
            </w:tcMar>
            <w:vAlign w:val="bottom"/>
          </w:tcPr>
          <w:p w14:paraId="31EFBB75" w14:textId="5EC9A4EF" w:rsidR="006A1AFC" w:rsidRPr="003F49DD" w:rsidRDefault="006A1AFC" w:rsidP="00120D61">
            <w:pPr>
              <w:pStyle w:val="Tabletext"/>
              <w:keepNext/>
              <w:jc w:val="center"/>
              <w:rPr>
                <w:szCs w:val="20"/>
                <w:vertAlign w:val="superscript"/>
              </w:rPr>
            </w:pPr>
            <w:r w:rsidRPr="00885AB3">
              <w:rPr>
                <w:rFonts w:cs="Calibri"/>
                <w:szCs w:val="20"/>
              </w:rPr>
              <w:t>-</w:t>
            </w:r>
            <w:r w:rsidR="00B6332F" w:rsidRPr="00885AB3">
              <w:rPr>
                <w:rFonts w:cs="Calibri"/>
                <w:szCs w:val="20"/>
              </w:rPr>
              <w:t>$</w:t>
            </w:r>
            <w:r w:rsidR="004B5AFE" w:rsidRPr="004B5AFE">
              <w:rPr>
                <w:rFonts w:cs="Calibri"/>
                <w:szCs w:val="20"/>
                <w:highlight w:val="black"/>
              </w:rPr>
              <w:t xml:space="preserve"> &amp;&amp;&amp;&amp;</w:t>
            </w:r>
            <w:r w:rsidR="003F49DD">
              <w:rPr>
                <w:rFonts w:cs="Calibri"/>
                <w:szCs w:val="20"/>
                <w:vertAlign w:val="superscript"/>
              </w:rPr>
              <w:t>14</w:t>
            </w:r>
          </w:p>
        </w:tc>
      </w:tr>
      <w:tr w:rsidR="006A1AFC" w:rsidRPr="00885AB3" w14:paraId="533661CC" w14:textId="77777777">
        <w:tc>
          <w:tcPr>
            <w:tcW w:w="1328" w:type="pct"/>
            <w:tcMar>
              <w:left w:w="28" w:type="dxa"/>
              <w:right w:w="28" w:type="dxa"/>
            </w:tcMar>
          </w:tcPr>
          <w:p w14:paraId="2AB41FC9" w14:textId="77777777" w:rsidR="006A1AFC" w:rsidRPr="00885AB3" w:rsidRDefault="006A1AFC" w:rsidP="00120D61">
            <w:pPr>
              <w:pStyle w:val="Tabletext"/>
              <w:keepNext/>
              <w:rPr>
                <w:szCs w:val="20"/>
              </w:rPr>
            </w:pPr>
            <w:r w:rsidRPr="00885AB3">
              <w:rPr>
                <w:szCs w:val="20"/>
              </w:rPr>
              <w:t>Net cost to MBS</w:t>
            </w:r>
          </w:p>
        </w:tc>
        <w:tc>
          <w:tcPr>
            <w:tcW w:w="625" w:type="pct"/>
            <w:tcMar>
              <w:left w:w="28" w:type="dxa"/>
              <w:right w:w="28" w:type="dxa"/>
            </w:tcMar>
          </w:tcPr>
          <w:p w14:paraId="5B343484" w14:textId="77777777" w:rsidR="006A1AFC" w:rsidRPr="00885AB3" w:rsidRDefault="006A1AFC" w:rsidP="00120D61">
            <w:pPr>
              <w:pStyle w:val="Tabletext"/>
              <w:keepNext/>
              <w:jc w:val="center"/>
              <w:rPr>
                <w:szCs w:val="20"/>
              </w:rPr>
            </w:pPr>
            <w:r w:rsidRPr="00885AB3">
              <w:rPr>
                <w:szCs w:val="20"/>
              </w:rPr>
              <w:t>$0</w:t>
            </w:r>
          </w:p>
        </w:tc>
        <w:tc>
          <w:tcPr>
            <w:tcW w:w="609" w:type="pct"/>
            <w:tcMar>
              <w:left w:w="28" w:type="dxa"/>
              <w:right w:w="28" w:type="dxa"/>
            </w:tcMar>
          </w:tcPr>
          <w:p w14:paraId="7CCF8544" w14:textId="77777777" w:rsidR="006A1AFC" w:rsidRPr="00885AB3" w:rsidRDefault="006A1AFC" w:rsidP="00120D61">
            <w:pPr>
              <w:pStyle w:val="Tabletext"/>
              <w:keepNext/>
              <w:jc w:val="center"/>
              <w:rPr>
                <w:szCs w:val="20"/>
              </w:rPr>
            </w:pPr>
            <w:r w:rsidRPr="00885AB3">
              <w:rPr>
                <w:szCs w:val="20"/>
              </w:rPr>
              <w:t>$0</w:t>
            </w:r>
          </w:p>
        </w:tc>
        <w:tc>
          <w:tcPr>
            <w:tcW w:w="609" w:type="pct"/>
            <w:tcMar>
              <w:left w:w="28" w:type="dxa"/>
              <w:right w:w="28" w:type="dxa"/>
            </w:tcMar>
          </w:tcPr>
          <w:p w14:paraId="40386F53" w14:textId="77777777" w:rsidR="006A1AFC" w:rsidRPr="00885AB3" w:rsidRDefault="006A1AFC" w:rsidP="00120D61">
            <w:pPr>
              <w:pStyle w:val="Tabletext"/>
              <w:keepNext/>
              <w:jc w:val="center"/>
              <w:rPr>
                <w:szCs w:val="20"/>
              </w:rPr>
            </w:pPr>
            <w:r w:rsidRPr="00885AB3">
              <w:rPr>
                <w:szCs w:val="20"/>
              </w:rPr>
              <w:t>$0</w:t>
            </w:r>
          </w:p>
        </w:tc>
        <w:tc>
          <w:tcPr>
            <w:tcW w:w="609" w:type="pct"/>
            <w:tcMar>
              <w:left w:w="28" w:type="dxa"/>
              <w:right w:w="28" w:type="dxa"/>
            </w:tcMar>
          </w:tcPr>
          <w:p w14:paraId="5013931A" w14:textId="77777777" w:rsidR="006A1AFC" w:rsidRPr="00885AB3" w:rsidRDefault="006A1AFC" w:rsidP="00120D61">
            <w:pPr>
              <w:pStyle w:val="Tabletext"/>
              <w:keepNext/>
              <w:jc w:val="center"/>
              <w:rPr>
                <w:szCs w:val="20"/>
              </w:rPr>
            </w:pPr>
            <w:r w:rsidRPr="00885AB3">
              <w:rPr>
                <w:szCs w:val="20"/>
              </w:rPr>
              <w:t>$0</w:t>
            </w:r>
          </w:p>
        </w:tc>
        <w:tc>
          <w:tcPr>
            <w:tcW w:w="609" w:type="pct"/>
            <w:tcMar>
              <w:left w:w="28" w:type="dxa"/>
              <w:right w:w="28" w:type="dxa"/>
            </w:tcMar>
          </w:tcPr>
          <w:p w14:paraId="19FF1F05" w14:textId="77777777" w:rsidR="006A1AFC" w:rsidRPr="00885AB3" w:rsidRDefault="006A1AFC" w:rsidP="00120D61">
            <w:pPr>
              <w:pStyle w:val="Tabletext"/>
              <w:keepNext/>
              <w:jc w:val="center"/>
              <w:rPr>
                <w:szCs w:val="20"/>
              </w:rPr>
            </w:pPr>
            <w:r w:rsidRPr="00885AB3">
              <w:rPr>
                <w:szCs w:val="20"/>
              </w:rPr>
              <w:t>$0</w:t>
            </w:r>
          </w:p>
        </w:tc>
        <w:tc>
          <w:tcPr>
            <w:tcW w:w="611" w:type="pct"/>
            <w:tcMar>
              <w:left w:w="28" w:type="dxa"/>
              <w:right w:w="28" w:type="dxa"/>
            </w:tcMar>
          </w:tcPr>
          <w:p w14:paraId="6B55BCBC" w14:textId="77777777" w:rsidR="006A1AFC" w:rsidRPr="00885AB3" w:rsidRDefault="006A1AFC" w:rsidP="00120D61">
            <w:pPr>
              <w:pStyle w:val="Tabletext"/>
              <w:keepNext/>
              <w:jc w:val="center"/>
              <w:rPr>
                <w:szCs w:val="20"/>
              </w:rPr>
            </w:pPr>
            <w:r w:rsidRPr="00885AB3">
              <w:rPr>
                <w:szCs w:val="20"/>
              </w:rPr>
              <w:t>$0</w:t>
            </w:r>
          </w:p>
        </w:tc>
      </w:tr>
      <w:tr w:rsidR="00B6332F" w:rsidRPr="00885AB3" w14:paraId="35CAFA39" w14:textId="77777777">
        <w:tc>
          <w:tcPr>
            <w:tcW w:w="1328" w:type="pct"/>
            <w:tcMar>
              <w:left w:w="28" w:type="dxa"/>
              <w:right w:w="28" w:type="dxa"/>
            </w:tcMar>
          </w:tcPr>
          <w:p w14:paraId="68529F5B" w14:textId="77777777" w:rsidR="00B6332F" w:rsidRPr="00885AB3" w:rsidRDefault="00B6332F" w:rsidP="00120D61">
            <w:pPr>
              <w:pStyle w:val="Tabletext"/>
              <w:keepNext/>
              <w:rPr>
                <w:szCs w:val="20"/>
              </w:rPr>
            </w:pPr>
            <w:r w:rsidRPr="00885AB3">
              <w:rPr>
                <w:szCs w:val="20"/>
              </w:rPr>
              <w:t>Net cost to NIP/MBS</w:t>
            </w:r>
          </w:p>
        </w:tc>
        <w:tc>
          <w:tcPr>
            <w:tcW w:w="625" w:type="pct"/>
            <w:tcMar>
              <w:left w:w="28" w:type="dxa"/>
              <w:right w:w="28" w:type="dxa"/>
            </w:tcMar>
            <w:vAlign w:val="bottom"/>
          </w:tcPr>
          <w:p w14:paraId="44B85481" w14:textId="5FBA2049" w:rsidR="00B6332F" w:rsidRPr="003F49DD" w:rsidRDefault="00B6332F" w:rsidP="00120D61">
            <w:pPr>
              <w:pStyle w:val="Tabletext"/>
              <w:keepNext/>
              <w:jc w:val="center"/>
              <w:rPr>
                <w:szCs w:val="20"/>
                <w:vertAlign w:val="superscript"/>
              </w:rPr>
            </w:pPr>
            <w:r w:rsidRPr="00885AB3">
              <w:rPr>
                <w:rFonts w:cs="Calibri"/>
                <w:szCs w:val="20"/>
              </w:rPr>
              <w:t>-$</w:t>
            </w:r>
            <w:r w:rsidR="004B5AFE" w:rsidRPr="004B5AFE">
              <w:rPr>
                <w:rFonts w:cs="Calibri"/>
                <w:szCs w:val="20"/>
                <w:highlight w:val="black"/>
              </w:rPr>
              <w:t xml:space="preserve"> &amp;&amp;&amp;&amp;</w:t>
            </w:r>
            <w:r w:rsidR="003F49DD">
              <w:rPr>
                <w:rFonts w:cs="Calibri"/>
                <w:szCs w:val="20"/>
                <w:vertAlign w:val="superscript"/>
              </w:rPr>
              <w:t>14</w:t>
            </w:r>
          </w:p>
        </w:tc>
        <w:tc>
          <w:tcPr>
            <w:tcW w:w="609" w:type="pct"/>
            <w:tcMar>
              <w:left w:w="28" w:type="dxa"/>
              <w:right w:w="28" w:type="dxa"/>
            </w:tcMar>
            <w:vAlign w:val="bottom"/>
          </w:tcPr>
          <w:p w14:paraId="6E8EA8A9" w14:textId="6E7B11B6" w:rsidR="00B6332F" w:rsidRPr="003F49DD" w:rsidRDefault="00B6332F" w:rsidP="00120D61">
            <w:pPr>
              <w:pStyle w:val="Tabletext"/>
              <w:keepNext/>
              <w:jc w:val="center"/>
              <w:rPr>
                <w:szCs w:val="20"/>
                <w:vertAlign w:val="superscript"/>
              </w:rPr>
            </w:pPr>
            <w:r w:rsidRPr="00885AB3">
              <w:rPr>
                <w:rFonts w:cs="Calibri"/>
                <w:szCs w:val="20"/>
              </w:rPr>
              <w:t>-$</w:t>
            </w:r>
            <w:r w:rsidR="004B5AFE" w:rsidRPr="004B5AFE">
              <w:rPr>
                <w:rFonts w:cs="Calibri"/>
                <w:szCs w:val="20"/>
                <w:highlight w:val="black"/>
              </w:rPr>
              <w:t xml:space="preserve"> &amp;&amp;&amp;&amp;</w:t>
            </w:r>
            <w:r w:rsidR="003F49DD">
              <w:rPr>
                <w:rFonts w:cs="Calibri"/>
                <w:szCs w:val="20"/>
                <w:vertAlign w:val="superscript"/>
              </w:rPr>
              <w:t>14</w:t>
            </w:r>
          </w:p>
        </w:tc>
        <w:tc>
          <w:tcPr>
            <w:tcW w:w="609" w:type="pct"/>
            <w:tcMar>
              <w:left w:w="28" w:type="dxa"/>
              <w:right w:w="28" w:type="dxa"/>
            </w:tcMar>
            <w:vAlign w:val="bottom"/>
          </w:tcPr>
          <w:p w14:paraId="71E94664" w14:textId="399FD83F" w:rsidR="00B6332F" w:rsidRPr="003F49DD" w:rsidRDefault="00B6332F" w:rsidP="00120D61">
            <w:pPr>
              <w:pStyle w:val="Tabletext"/>
              <w:keepNext/>
              <w:jc w:val="center"/>
              <w:rPr>
                <w:szCs w:val="20"/>
                <w:vertAlign w:val="superscript"/>
              </w:rPr>
            </w:pPr>
            <w:r w:rsidRPr="00885AB3">
              <w:rPr>
                <w:rFonts w:cs="Calibri"/>
                <w:szCs w:val="20"/>
              </w:rPr>
              <w:t>-$</w:t>
            </w:r>
            <w:r w:rsidR="004B5AFE" w:rsidRPr="004B5AFE">
              <w:rPr>
                <w:rFonts w:cs="Calibri"/>
                <w:szCs w:val="20"/>
                <w:highlight w:val="black"/>
              </w:rPr>
              <w:t xml:space="preserve"> &amp;&amp;&amp;&amp;</w:t>
            </w:r>
            <w:r w:rsidR="003F49DD">
              <w:rPr>
                <w:rFonts w:cs="Calibri"/>
                <w:szCs w:val="20"/>
                <w:vertAlign w:val="superscript"/>
              </w:rPr>
              <w:t>14</w:t>
            </w:r>
          </w:p>
        </w:tc>
        <w:tc>
          <w:tcPr>
            <w:tcW w:w="609" w:type="pct"/>
            <w:tcMar>
              <w:left w:w="28" w:type="dxa"/>
              <w:right w:w="28" w:type="dxa"/>
            </w:tcMar>
            <w:vAlign w:val="bottom"/>
          </w:tcPr>
          <w:p w14:paraId="1D3E52DB" w14:textId="264B0F62" w:rsidR="00B6332F" w:rsidRPr="003F49DD" w:rsidRDefault="00B6332F" w:rsidP="00120D61">
            <w:pPr>
              <w:pStyle w:val="Tabletext"/>
              <w:keepNext/>
              <w:jc w:val="center"/>
              <w:rPr>
                <w:szCs w:val="20"/>
                <w:vertAlign w:val="superscript"/>
              </w:rPr>
            </w:pPr>
            <w:r w:rsidRPr="00885AB3">
              <w:rPr>
                <w:rFonts w:cs="Calibri"/>
                <w:szCs w:val="20"/>
              </w:rPr>
              <w:t>-$</w:t>
            </w:r>
            <w:r w:rsidR="004B5AFE" w:rsidRPr="004B5AFE">
              <w:rPr>
                <w:rFonts w:cs="Calibri"/>
                <w:szCs w:val="20"/>
                <w:highlight w:val="black"/>
              </w:rPr>
              <w:t xml:space="preserve"> &amp;&amp;&amp;&amp;</w:t>
            </w:r>
            <w:r w:rsidR="003F49DD">
              <w:rPr>
                <w:rFonts w:cs="Calibri"/>
                <w:szCs w:val="20"/>
                <w:vertAlign w:val="superscript"/>
              </w:rPr>
              <w:t>14</w:t>
            </w:r>
          </w:p>
        </w:tc>
        <w:tc>
          <w:tcPr>
            <w:tcW w:w="609" w:type="pct"/>
            <w:tcMar>
              <w:left w:w="28" w:type="dxa"/>
              <w:right w:w="28" w:type="dxa"/>
            </w:tcMar>
            <w:vAlign w:val="bottom"/>
          </w:tcPr>
          <w:p w14:paraId="7AFD5E04" w14:textId="321AFEE7" w:rsidR="00B6332F" w:rsidRPr="003F49DD" w:rsidRDefault="00B6332F" w:rsidP="00120D61">
            <w:pPr>
              <w:pStyle w:val="Tabletext"/>
              <w:keepNext/>
              <w:jc w:val="center"/>
              <w:rPr>
                <w:szCs w:val="20"/>
                <w:vertAlign w:val="superscript"/>
              </w:rPr>
            </w:pPr>
            <w:r w:rsidRPr="00885AB3">
              <w:rPr>
                <w:rFonts w:cs="Calibri"/>
                <w:szCs w:val="20"/>
              </w:rPr>
              <w:t>-$</w:t>
            </w:r>
            <w:r w:rsidR="004B5AFE" w:rsidRPr="004B5AFE">
              <w:rPr>
                <w:rFonts w:cs="Calibri"/>
                <w:szCs w:val="20"/>
                <w:highlight w:val="black"/>
              </w:rPr>
              <w:t xml:space="preserve"> &amp;&amp;&amp;&amp;</w:t>
            </w:r>
            <w:r w:rsidR="003F49DD">
              <w:rPr>
                <w:rFonts w:cs="Calibri"/>
                <w:szCs w:val="20"/>
                <w:vertAlign w:val="superscript"/>
              </w:rPr>
              <w:t>14</w:t>
            </w:r>
          </w:p>
        </w:tc>
        <w:tc>
          <w:tcPr>
            <w:tcW w:w="611" w:type="pct"/>
            <w:tcMar>
              <w:left w:w="28" w:type="dxa"/>
              <w:right w:w="28" w:type="dxa"/>
            </w:tcMar>
            <w:vAlign w:val="bottom"/>
          </w:tcPr>
          <w:p w14:paraId="650CC413" w14:textId="4BE0E322" w:rsidR="00B6332F" w:rsidRPr="003F49DD" w:rsidRDefault="00B6332F" w:rsidP="00120D61">
            <w:pPr>
              <w:pStyle w:val="Tabletext"/>
              <w:keepNext/>
              <w:jc w:val="center"/>
              <w:rPr>
                <w:szCs w:val="20"/>
                <w:vertAlign w:val="superscript"/>
              </w:rPr>
            </w:pPr>
            <w:r w:rsidRPr="00885AB3">
              <w:rPr>
                <w:rFonts w:cs="Calibri"/>
                <w:szCs w:val="20"/>
              </w:rPr>
              <w:t>-$</w:t>
            </w:r>
            <w:r w:rsidR="004B5AFE" w:rsidRPr="004B5AFE">
              <w:rPr>
                <w:rFonts w:cs="Calibri"/>
                <w:szCs w:val="20"/>
                <w:highlight w:val="black"/>
              </w:rPr>
              <w:t xml:space="preserve"> &amp;&amp;&amp;&amp;</w:t>
            </w:r>
            <w:r w:rsidR="003F49DD">
              <w:rPr>
                <w:rFonts w:cs="Calibri"/>
                <w:szCs w:val="20"/>
                <w:vertAlign w:val="superscript"/>
              </w:rPr>
              <w:t>14</w:t>
            </w:r>
          </w:p>
        </w:tc>
      </w:tr>
    </w:tbl>
    <w:p w14:paraId="46EE3712" w14:textId="44430C0C" w:rsidR="006A1AFC" w:rsidRPr="00885AB3" w:rsidRDefault="006A1AFC" w:rsidP="00120D61">
      <w:pPr>
        <w:pStyle w:val="FooterTableFigure"/>
        <w:keepNext/>
        <w:spacing w:after="0"/>
      </w:pPr>
      <w:r w:rsidRPr="00885AB3">
        <w:t xml:space="preserve">Source: Compiled during the evaluation using Attachment 18 </w:t>
      </w:r>
      <w:r w:rsidR="000025E0" w:rsidRPr="00885AB3">
        <w:t>(</w:t>
      </w:r>
      <w:r w:rsidRPr="00885AB3">
        <w:t>Section 4 financial estimates</w:t>
      </w:r>
      <w:r w:rsidR="000025E0" w:rsidRPr="00885AB3">
        <w:t xml:space="preserve"> </w:t>
      </w:r>
      <w:r w:rsidRPr="00885AB3">
        <w:t>July 2025</w:t>
      </w:r>
      <w:r w:rsidR="000025E0" w:rsidRPr="00885AB3">
        <w:t>)</w:t>
      </w:r>
      <w:r w:rsidRPr="00885AB3">
        <w:t xml:space="preserve"> of the submission.</w:t>
      </w:r>
    </w:p>
    <w:p w14:paraId="75205B61" w14:textId="77777777" w:rsidR="00F67A54" w:rsidRDefault="006A1AFC" w:rsidP="00120D61">
      <w:pPr>
        <w:pStyle w:val="TableNotes"/>
        <w:keepNext/>
        <w:spacing w:after="0"/>
        <w:rPr>
          <w:i/>
          <w:szCs w:val="16"/>
        </w:rPr>
      </w:pPr>
      <w:r w:rsidRPr="00885AB3">
        <w:rPr>
          <w:rStyle w:val="CommentReference"/>
          <w:b w:val="0"/>
          <w:bCs/>
          <w:sz w:val="18"/>
          <w:szCs w:val="22"/>
        </w:rPr>
        <w:t>MBS = Medicare Benefits Schedule; NIP = National Immunisation Program; YOA = years of age.</w:t>
      </w:r>
    </w:p>
    <w:p w14:paraId="6AEE8D88" w14:textId="76675477" w:rsidR="00F67A54" w:rsidRPr="00B97B6A" w:rsidRDefault="00F67A54" w:rsidP="00120D61">
      <w:pPr>
        <w:pStyle w:val="TableNotes"/>
        <w:keepNext/>
        <w:spacing w:after="0"/>
        <w:rPr>
          <w:i/>
          <w:szCs w:val="16"/>
        </w:rPr>
      </w:pPr>
      <w:r w:rsidRPr="00B97B6A">
        <w:rPr>
          <w:i/>
          <w:szCs w:val="16"/>
        </w:rPr>
        <w:t xml:space="preserve">The redacted values correspond to the following ranges: </w:t>
      </w:r>
    </w:p>
    <w:p w14:paraId="5CB87E5C" w14:textId="348C1696" w:rsidR="00F67A54" w:rsidRPr="00B97B6A" w:rsidRDefault="00F67A54" w:rsidP="00120D61">
      <w:pPr>
        <w:pStyle w:val="TableNotes"/>
        <w:spacing w:after="0"/>
        <w:rPr>
          <w:i/>
          <w:szCs w:val="16"/>
        </w:rPr>
      </w:pPr>
      <w:r w:rsidRPr="00B97B6A">
        <w:rPr>
          <w:i/>
          <w:szCs w:val="16"/>
          <w:vertAlign w:val="superscript"/>
        </w:rPr>
        <w:t>1</w:t>
      </w:r>
      <w:r w:rsidRPr="00B97B6A">
        <w:rPr>
          <w:i/>
          <w:szCs w:val="16"/>
        </w:rPr>
        <w:t xml:space="preserve"> </w:t>
      </w:r>
      <w:r w:rsidR="004A4312" w:rsidRPr="004A4312">
        <w:rPr>
          <w:i/>
          <w:szCs w:val="16"/>
        </w:rPr>
        <w:t xml:space="preserve">500,000 to </w:t>
      </w:r>
      <w:r w:rsidR="001C78D7">
        <w:rPr>
          <w:i/>
          <w:szCs w:val="16"/>
        </w:rPr>
        <w:t xml:space="preserve">&lt; </w:t>
      </w:r>
      <w:r w:rsidR="004A4312" w:rsidRPr="004A4312">
        <w:rPr>
          <w:i/>
          <w:szCs w:val="16"/>
        </w:rPr>
        <w:t>600,000</w:t>
      </w:r>
    </w:p>
    <w:p w14:paraId="2B7263C6" w14:textId="4DA5386C" w:rsidR="000F78CB" w:rsidRDefault="00F67A54" w:rsidP="00120D61">
      <w:pPr>
        <w:pStyle w:val="TableNotes"/>
        <w:spacing w:after="0"/>
        <w:rPr>
          <w:i/>
          <w:szCs w:val="16"/>
        </w:rPr>
      </w:pPr>
      <w:r w:rsidRPr="00B97B6A">
        <w:rPr>
          <w:i/>
          <w:szCs w:val="16"/>
          <w:vertAlign w:val="superscript"/>
        </w:rPr>
        <w:t>2</w:t>
      </w:r>
      <w:r w:rsidRPr="00B97B6A">
        <w:rPr>
          <w:i/>
          <w:szCs w:val="16"/>
        </w:rPr>
        <w:t xml:space="preserve"> </w:t>
      </w:r>
      <w:r w:rsidR="00877FC3" w:rsidRPr="00877FC3">
        <w:rPr>
          <w:i/>
          <w:szCs w:val="16"/>
        </w:rPr>
        <w:t xml:space="preserve">200,000 to </w:t>
      </w:r>
      <w:r w:rsidR="001C78D7">
        <w:rPr>
          <w:i/>
          <w:szCs w:val="16"/>
        </w:rPr>
        <w:t xml:space="preserve">&lt; </w:t>
      </w:r>
      <w:r w:rsidR="00877FC3" w:rsidRPr="00877FC3">
        <w:rPr>
          <w:i/>
          <w:szCs w:val="16"/>
        </w:rPr>
        <w:t>300,000</w:t>
      </w:r>
    </w:p>
    <w:p w14:paraId="6DA2EC51" w14:textId="7C566F55" w:rsidR="00F67A54" w:rsidRDefault="00F67A54" w:rsidP="00120D61">
      <w:pPr>
        <w:pStyle w:val="TableNotes"/>
        <w:spacing w:after="0"/>
        <w:rPr>
          <w:i/>
          <w:szCs w:val="16"/>
        </w:rPr>
      </w:pPr>
      <w:r w:rsidRPr="00B97B6A">
        <w:rPr>
          <w:i/>
          <w:szCs w:val="16"/>
          <w:vertAlign w:val="superscript"/>
        </w:rPr>
        <w:t>3</w:t>
      </w:r>
      <w:r w:rsidRPr="00B97B6A">
        <w:rPr>
          <w:i/>
          <w:szCs w:val="16"/>
        </w:rPr>
        <w:t xml:space="preserve"> </w:t>
      </w:r>
      <w:r w:rsidR="00E44F79" w:rsidRPr="00E44F79">
        <w:rPr>
          <w:i/>
          <w:szCs w:val="16"/>
        </w:rPr>
        <w:t xml:space="preserve">300,000 to </w:t>
      </w:r>
      <w:r w:rsidR="001C78D7">
        <w:rPr>
          <w:i/>
          <w:szCs w:val="16"/>
        </w:rPr>
        <w:t xml:space="preserve">&lt; </w:t>
      </w:r>
      <w:r w:rsidR="00E44F79" w:rsidRPr="00E44F79">
        <w:rPr>
          <w:i/>
          <w:szCs w:val="16"/>
        </w:rPr>
        <w:t>400,000</w:t>
      </w:r>
    </w:p>
    <w:p w14:paraId="1E50D7FD" w14:textId="03062CE2" w:rsidR="00F67A54" w:rsidRPr="00B97B6A" w:rsidRDefault="00F67A54" w:rsidP="00120D61">
      <w:pPr>
        <w:pStyle w:val="TableNotes"/>
        <w:spacing w:after="0"/>
        <w:rPr>
          <w:i/>
          <w:szCs w:val="16"/>
        </w:rPr>
      </w:pPr>
      <w:r w:rsidRPr="00B97B6A">
        <w:rPr>
          <w:i/>
          <w:szCs w:val="16"/>
          <w:vertAlign w:val="superscript"/>
        </w:rPr>
        <w:t>4</w:t>
      </w:r>
      <w:r w:rsidRPr="00B97B6A">
        <w:rPr>
          <w:i/>
          <w:szCs w:val="16"/>
        </w:rPr>
        <w:t xml:space="preserve"> </w:t>
      </w:r>
      <w:r w:rsidR="00754F82" w:rsidRPr="00754F82">
        <w:rPr>
          <w:i/>
          <w:szCs w:val="16"/>
        </w:rPr>
        <w:t xml:space="preserve">$100 million to </w:t>
      </w:r>
      <w:r w:rsidR="001C78D7">
        <w:rPr>
          <w:i/>
          <w:szCs w:val="16"/>
        </w:rPr>
        <w:t xml:space="preserve">&lt; </w:t>
      </w:r>
      <w:r w:rsidR="00754F82" w:rsidRPr="00754F82">
        <w:rPr>
          <w:i/>
          <w:szCs w:val="16"/>
        </w:rPr>
        <w:t>$200 million</w:t>
      </w:r>
    </w:p>
    <w:p w14:paraId="1E7AC26E" w14:textId="28C2831A" w:rsidR="00F67A54" w:rsidRPr="00B97B6A" w:rsidRDefault="00F67A54" w:rsidP="00120D61">
      <w:pPr>
        <w:pStyle w:val="TableNotes"/>
        <w:spacing w:after="0"/>
        <w:rPr>
          <w:i/>
          <w:szCs w:val="16"/>
        </w:rPr>
      </w:pPr>
      <w:r w:rsidRPr="00B97B6A">
        <w:rPr>
          <w:i/>
          <w:szCs w:val="16"/>
          <w:vertAlign w:val="superscript"/>
        </w:rPr>
        <w:t>5</w:t>
      </w:r>
      <w:r w:rsidRPr="00B97B6A">
        <w:rPr>
          <w:i/>
          <w:szCs w:val="16"/>
        </w:rPr>
        <w:t xml:space="preserve"> </w:t>
      </w:r>
      <w:r w:rsidR="00F52E2E" w:rsidRPr="00F52E2E">
        <w:rPr>
          <w:i/>
          <w:szCs w:val="16"/>
        </w:rPr>
        <w:t xml:space="preserve">$60 million to </w:t>
      </w:r>
      <w:r w:rsidR="001C78D7">
        <w:rPr>
          <w:i/>
          <w:szCs w:val="16"/>
        </w:rPr>
        <w:t xml:space="preserve">&lt; </w:t>
      </w:r>
      <w:r w:rsidR="00F52E2E" w:rsidRPr="00F52E2E">
        <w:rPr>
          <w:i/>
          <w:szCs w:val="16"/>
        </w:rPr>
        <w:t>$70 million</w:t>
      </w:r>
    </w:p>
    <w:p w14:paraId="6681AE4E" w14:textId="442DC93F" w:rsidR="00F67A54" w:rsidRPr="00B97B6A" w:rsidRDefault="00F67A54" w:rsidP="00120D61">
      <w:pPr>
        <w:pStyle w:val="TableNotes"/>
        <w:spacing w:after="0"/>
        <w:rPr>
          <w:i/>
          <w:szCs w:val="16"/>
        </w:rPr>
      </w:pPr>
      <w:r w:rsidRPr="00B97B6A">
        <w:rPr>
          <w:i/>
          <w:szCs w:val="16"/>
          <w:vertAlign w:val="superscript"/>
        </w:rPr>
        <w:t>6</w:t>
      </w:r>
      <w:r w:rsidRPr="00B97B6A">
        <w:rPr>
          <w:i/>
          <w:szCs w:val="16"/>
        </w:rPr>
        <w:t xml:space="preserve"> </w:t>
      </w:r>
      <w:r w:rsidR="00D73964" w:rsidRPr="00D73964">
        <w:rPr>
          <w:i/>
          <w:szCs w:val="16"/>
        </w:rPr>
        <w:t xml:space="preserve">$70 million to </w:t>
      </w:r>
      <w:r w:rsidR="001C78D7">
        <w:rPr>
          <w:i/>
          <w:szCs w:val="16"/>
        </w:rPr>
        <w:t xml:space="preserve">&lt; </w:t>
      </w:r>
      <w:r w:rsidR="00D73964" w:rsidRPr="00D73964">
        <w:rPr>
          <w:i/>
          <w:szCs w:val="16"/>
        </w:rPr>
        <w:t>$80 million</w:t>
      </w:r>
    </w:p>
    <w:p w14:paraId="1808D6F5" w14:textId="0AC104D6" w:rsidR="00F67A54" w:rsidRPr="00B97B6A" w:rsidRDefault="00F67A54" w:rsidP="00120D61">
      <w:pPr>
        <w:pStyle w:val="TableNotes"/>
        <w:spacing w:after="0"/>
        <w:rPr>
          <w:i/>
          <w:szCs w:val="16"/>
        </w:rPr>
      </w:pPr>
      <w:r w:rsidRPr="00B97B6A">
        <w:rPr>
          <w:i/>
          <w:szCs w:val="16"/>
          <w:vertAlign w:val="superscript"/>
        </w:rPr>
        <w:t>7</w:t>
      </w:r>
      <w:r w:rsidRPr="00B97B6A">
        <w:rPr>
          <w:i/>
          <w:szCs w:val="16"/>
        </w:rPr>
        <w:t xml:space="preserve"> </w:t>
      </w:r>
      <w:r w:rsidR="00AC5A0B" w:rsidRPr="00AC5A0B">
        <w:rPr>
          <w:i/>
          <w:szCs w:val="16"/>
        </w:rPr>
        <w:t xml:space="preserve">$80 million to </w:t>
      </w:r>
      <w:r w:rsidR="001C78D7">
        <w:rPr>
          <w:i/>
          <w:szCs w:val="16"/>
        </w:rPr>
        <w:t xml:space="preserve">&lt; </w:t>
      </w:r>
      <w:r w:rsidR="00AC5A0B" w:rsidRPr="00AC5A0B">
        <w:rPr>
          <w:i/>
          <w:szCs w:val="16"/>
        </w:rPr>
        <w:t>$90 million</w:t>
      </w:r>
    </w:p>
    <w:p w14:paraId="262B28B5" w14:textId="0D6D2724" w:rsidR="00F67A54" w:rsidRDefault="00F67A54" w:rsidP="00120D61">
      <w:pPr>
        <w:pStyle w:val="TableNotes"/>
        <w:spacing w:after="0"/>
        <w:rPr>
          <w:i/>
          <w:szCs w:val="16"/>
        </w:rPr>
      </w:pPr>
      <w:r w:rsidRPr="00B97B6A">
        <w:rPr>
          <w:i/>
          <w:szCs w:val="16"/>
          <w:vertAlign w:val="superscript"/>
        </w:rPr>
        <w:t>8</w:t>
      </w:r>
      <w:r w:rsidRPr="00B97B6A">
        <w:rPr>
          <w:i/>
          <w:szCs w:val="16"/>
        </w:rPr>
        <w:t xml:space="preserve"> </w:t>
      </w:r>
      <w:r w:rsidR="002C2A5E" w:rsidRPr="002C2A5E">
        <w:rPr>
          <w:i/>
          <w:szCs w:val="16"/>
        </w:rPr>
        <w:t xml:space="preserve">$90 million to </w:t>
      </w:r>
      <w:r w:rsidR="001C78D7">
        <w:rPr>
          <w:i/>
          <w:szCs w:val="16"/>
        </w:rPr>
        <w:t xml:space="preserve">&lt; </w:t>
      </w:r>
      <w:r w:rsidR="002C2A5E" w:rsidRPr="002C2A5E">
        <w:rPr>
          <w:i/>
          <w:szCs w:val="16"/>
        </w:rPr>
        <w:t>$100 million</w:t>
      </w:r>
    </w:p>
    <w:p w14:paraId="6BBF4028" w14:textId="586A7FC7" w:rsidR="00F30F70" w:rsidRDefault="000F78CB" w:rsidP="00120D61">
      <w:pPr>
        <w:pStyle w:val="TableNotes"/>
        <w:spacing w:after="0"/>
        <w:rPr>
          <w:i/>
          <w:szCs w:val="16"/>
        </w:rPr>
      </w:pPr>
      <w:r>
        <w:rPr>
          <w:i/>
          <w:szCs w:val="16"/>
          <w:vertAlign w:val="superscript"/>
        </w:rPr>
        <w:t>9</w:t>
      </w:r>
      <w:r>
        <w:rPr>
          <w:i/>
          <w:szCs w:val="16"/>
        </w:rPr>
        <w:t xml:space="preserve"> </w:t>
      </w:r>
      <w:r w:rsidR="00F30F70" w:rsidRPr="00F30F70">
        <w:rPr>
          <w:i/>
          <w:szCs w:val="16"/>
        </w:rPr>
        <w:t>$20 million to </w:t>
      </w:r>
      <w:r w:rsidR="001C78D7">
        <w:rPr>
          <w:i/>
          <w:szCs w:val="16"/>
        </w:rPr>
        <w:t xml:space="preserve">&lt; </w:t>
      </w:r>
      <w:r w:rsidR="00F30F70" w:rsidRPr="00F30F70">
        <w:rPr>
          <w:i/>
          <w:szCs w:val="16"/>
        </w:rPr>
        <w:t>$30 million</w:t>
      </w:r>
    </w:p>
    <w:p w14:paraId="36CADDFE" w14:textId="1AC8E50B" w:rsidR="004C7DD9" w:rsidRDefault="004C7DD9" w:rsidP="00120D61">
      <w:pPr>
        <w:pStyle w:val="TableNotes"/>
        <w:spacing w:after="0"/>
        <w:rPr>
          <w:i/>
          <w:szCs w:val="16"/>
        </w:rPr>
      </w:pPr>
      <w:r>
        <w:rPr>
          <w:i/>
          <w:szCs w:val="16"/>
          <w:vertAlign w:val="superscript"/>
        </w:rPr>
        <w:t>10</w:t>
      </w:r>
      <w:r>
        <w:rPr>
          <w:i/>
          <w:szCs w:val="16"/>
        </w:rPr>
        <w:t xml:space="preserve"> </w:t>
      </w:r>
      <w:r w:rsidRPr="004C7DD9">
        <w:rPr>
          <w:i/>
          <w:szCs w:val="16"/>
        </w:rPr>
        <w:t>$10 million to </w:t>
      </w:r>
      <w:r w:rsidR="001C78D7">
        <w:rPr>
          <w:i/>
          <w:szCs w:val="16"/>
        </w:rPr>
        <w:t xml:space="preserve">&lt; </w:t>
      </w:r>
      <w:r w:rsidRPr="004C7DD9">
        <w:rPr>
          <w:i/>
          <w:szCs w:val="16"/>
        </w:rPr>
        <w:t>$20 million</w:t>
      </w:r>
    </w:p>
    <w:p w14:paraId="4E0A9076" w14:textId="48126AB1" w:rsidR="00327BD1" w:rsidRPr="00327BD1" w:rsidRDefault="00071E41" w:rsidP="00120D61">
      <w:pPr>
        <w:pStyle w:val="TableNotes"/>
        <w:spacing w:after="0"/>
        <w:rPr>
          <w:i/>
          <w:szCs w:val="16"/>
        </w:rPr>
      </w:pPr>
      <w:r>
        <w:rPr>
          <w:i/>
          <w:szCs w:val="16"/>
          <w:vertAlign w:val="superscript"/>
        </w:rPr>
        <w:t>11</w:t>
      </w:r>
      <w:r>
        <w:rPr>
          <w:i/>
          <w:szCs w:val="16"/>
        </w:rPr>
        <w:t xml:space="preserve"> </w:t>
      </w:r>
      <w:r w:rsidR="00327BD1" w:rsidRPr="00327BD1">
        <w:rPr>
          <w:i/>
          <w:szCs w:val="16"/>
        </w:rPr>
        <w:t>10,000 to </w:t>
      </w:r>
      <w:r w:rsidR="001C78D7">
        <w:rPr>
          <w:i/>
          <w:szCs w:val="16"/>
        </w:rPr>
        <w:t xml:space="preserve">&lt; </w:t>
      </w:r>
      <w:r w:rsidR="00327BD1" w:rsidRPr="00327BD1">
        <w:rPr>
          <w:i/>
          <w:szCs w:val="16"/>
        </w:rPr>
        <w:t>20,000</w:t>
      </w:r>
    </w:p>
    <w:p w14:paraId="341A99D0" w14:textId="17347B49" w:rsidR="00071E41" w:rsidRDefault="00327BD1" w:rsidP="00120D61">
      <w:pPr>
        <w:pStyle w:val="TableNotes"/>
        <w:spacing w:after="0"/>
        <w:rPr>
          <w:i/>
          <w:szCs w:val="16"/>
        </w:rPr>
      </w:pPr>
      <w:r>
        <w:rPr>
          <w:i/>
          <w:szCs w:val="16"/>
          <w:vertAlign w:val="superscript"/>
        </w:rPr>
        <w:t>12</w:t>
      </w:r>
      <w:r>
        <w:rPr>
          <w:i/>
          <w:szCs w:val="16"/>
        </w:rPr>
        <w:t xml:space="preserve"> </w:t>
      </w:r>
      <w:r w:rsidR="00755557" w:rsidRPr="00755557">
        <w:rPr>
          <w:i/>
          <w:szCs w:val="16"/>
        </w:rPr>
        <w:t>500 to </w:t>
      </w:r>
      <w:r w:rsidR="001C78D7">
        <w:rPr>
          <w:i/>
          <w:szCs w:val="16"/>
        </w:rPr>
        <w:t xml:space="preserve">&lt; </w:t>
      </w:r>
      <w:r w:rsidR="00755557" w:rsidRPr="00755557">
        <w:rPr>
          <w:i/>
          <w:szCs w:val="16"/>
        </w:rPr>
        <w:t>5,000</w:t>
      </w:r>
    </w:p>
    <w:p w14:paraId="082A932B" w14:textId="31E4C7F7" w:rsidR="00755557" w:rsidRDefault="00755557" w:rsidP="00120D61">
      <w:pPr>
        <w:pStyle w:val="TableNotes"/>
        <w:spacing w:after="0"/>
        <w:rPr>
          <w:i/>
          <w:szCs w:val="16"/>
        </w:rPr>
      </w:pPr>
      <w:r>
        <w:rPr>
          <w:i/>
          <w:szCs w:val="16"/>
          <w:vertAlign w:val="superscript"/>
        </w:rPr>
        <w:t>13</w:t>
      </w:r>
      <w:r>
        <w:rPr>
          <w:i/>
          <w:szCs w:val="16"/>
        </w:rPr>
        <w:t xml:space="preserve"> </w:t>
      </w:r>
      <w:r w:rsidR="0037374F" w:rsidRPr="0037374F">
        <w:rPr>
          <w:i/>
          <w:szCs w:val="16"/>
        </w:rPr>
        <w:t>5,000 to </w:t>
      </w:r>
      <w:r w:rsidR="001C78D7">
        <w:rPr>
          <w:i/>
          <w:szCs w:val="16"/>
        </w:rPr>
        <w:t xml:space="preserve">&lt; </w:t>
      </w:r>
      <w:r w:rsidR="0037374F" w:rsidRPr="0037374F">
        <w:rPr>
          <w:i/>
          <w:szCs w:val="16"/>
        </w:rPr>
        <w:t>10,000</w:t>
      </w:r>
    </w:p>
    <w:p w14:paraId="3BC389A0" w14:textId="6C1E22CD" w:rsidR="006A1AFC" w:rsidRPr="00885AB3" w:rsidRDefault="008D7B61" w:rsidP="00120D61">
      <w:pPr>
        <w:pStyle w:val="TableNotes"/>
        <w:spacing w:after="0"/>
        <w:rPr>
          <w:rStyle w:val="CommentReference"/>
          <w:b w:val="0"/>
          <w:bCs/>
          <w:sz w:val="18"/>
          <w:szCs w:val="22"/>
        </w:rPr>
      </w:pPr>
      <w:r>
        <w:rPr>
          <w:i/>
          <w:szCs w:val="16"/>
          <w:vertAlign w:val="superscript"/>
        </w:rPr>
        <w:t xml:space="preserve">14 </w:t>
      </w:r>
      <w:r w:rsidR="00007E23" w:rsidRPr="00007E23">
        <w:rPr>
          <w:i/>
          <w:szCs w:val="16"/>
        </w:rPr>
        <w:t>$0 to </w:t>
      </w:r>
      <w:r w:rsidR="001C78D7">
        <w:rPr>
          <w:i/>
          <w:szCs w:val="16"/>
        </w:rPr>
        <w:t xml:space="preserve">&lt; </w:t>
      </w:r>
      <w:r w:rsidR="00007E23" w:rsidRPr="00007E23">
        <w:rPr>
          <w:i/>
          <w:szCs w:val="16"/>
        </w:rPr>
        <w:t>$10 million</w:t>
      </w:r>
    </w:p>
    <w:p w14:paraId="5B5E6EB8" w14:textId="77777777" w:rsidR="00AD37CE" w:rsidRPr="00885AB3" w:rsidRDefault="00AD37CE" w:rsidP="00120D61">
      <w:pPr>
        <w:keepNext/>
        <w:rPr>
          <w:b/>
          <w:bCs/>
          <w:color w:val="3366FF"/>
        </w:rPr>
      </w:pPr>
    </w:p>
    <w:p w14:paraId="6FEBDDC0" w14:textId="2D05B76D" w:rsidR="006A1AFC" w:rsidRPr="00885AB3" w:rsidRDefault="006A1AFC" w:rsidP="00120D61">
      <w:pPr>
        <w:pStyle w:val="3-BodyText"/>
        <w:spacing w:before="0"/>
        <w:rPr>
          <w:rFonts w:cs="Calibri"/>
          <w:iCs/>
        </w:rPr>
      </w:pPr>
      <w:r w:rsidRPr="00885AB3">
        <w:rPr>
          <w:rFonts w:cs="Calibri"/>
        </w:rPr>
        <w:t xml:space="preserve">The total cost to the NIP of listing mRNA-1345 for the </w:t>
      </w:r>
      <w:r w:rsidR="00EF2FA4">
        <w:rPr>
          <w:rFonts w:cs="Calibri"/>
        </w:rPr>
        <w:t xml:space="preserve">≥ </w:t>
      </w:r>
      <w:r w:rsidRPr="00885AB3">
        <w:rPr>
          <w:rFonts w:cs="Calibri"/>
        </w:rPr>
        <w:t xml:space="preserve">75 YOA population was estimated to be </w:t>
      </w:r>
      <w:r w:rsidR="00D679E6" w:rsidRPr="00D679E6">
        <w:rPr>
          <w:rFonts w:cs="Calibri"/>
        </w:rPr>
        <w:t xml:space="preserve">$80 million to </w:t>
      </w:r>
      <w:r w:rsidR="001C78D7">
        <w:rPr>
          <w:rFonts w:cs="Calibri"/>
        </w:rPr>
        <w:t xml:space="preserve">&lt; </w:t>
      </w:r>
      <w:r w:rsidR="00D679E6" w:rsidRPr="00D679E6">
        <w:rPr>
          <w:rFonts w:cs="Calibri"/>
        </w:rPr>
        <w:t>$90 million</w:t>
      </w:r>
      <w:r w:rsidRPr="00885AB3">
        <w:rPr>
          <w:rFonts w:cs="Calibri"/>
        </w:rPr>
        <w:t xml:space="preserve"> in Year 6, and a total of </w:t>
      </w:r>
      <w:r w:rsidR="00CC4714" w:rsidRPr="00CC4714">
        <w:rPr>
          <w:rFonts w:cs="Calibri"/>
        </w:rPr>
        <w:t xml:space="preserve">$500 million to </w:t>
      </w:r>
      <w:r w:rsidR="001C78D7">
        <w:rPr>
          <w:rFonts w:cs="Calibri"/>
        </w:rPr>
        <w:t xml:space="preserve">&lt; </w:t>
      </w:r>
      <w:r w:rsidR="00CC4714" w:rsidRPr="00CC4714">
        <w:rPr>
          <w:rFonts w:cs="Calibri"/>
        </w:rPr>
        <w:t>$600 million</w:t>
      </w:r>
      <w:r w:rsidRPr="00885AB3">
        <w:rPr>
          <w:rFonts w:cs="Calibri"/>
        </w:rPr>
        <w:t xml:space="preserve"> in the first 6 years of listing. The</w:t>
      </w:r>
      <w:r w:rsidRPr="00885AB3">
        <w:rPr>
          <w:rFonts w:cs="Calibri"/>
          <w:color w:val="3366FF"/>
        </w:rPr>
        <w:t xml:space="preserve"> </w:t>
      </w:r>
      <w:r w:rsidRPr="00885AB3">
        <w:rPr>
          <w:rFonts w:cs="Calibri"/>
        </w:rPr>
        <w:t xml:space="preserve">total cost to the NIP of listing mRNA-1345 for the Aboriginal and Torres Strait Islander people 60-74 YOA population was estimated to be </w:t>
      </w:r>
      <w:r w:rsidR="00B24D96" w:rsidRPr="00B24D96">
        <w:rPr>
          <w:rFonts w:cs="Calibri"/>
        </w:rPr>
        <w:t xml:space="preserve">$0 to </w:t>
      </w:r>
      <w:r w:rsidR="001C78D7">
        <w:rPr>
          <w:rFonts w:cs="Calibri"/>
        </w:rPr>
        <w:t xml:space="preserve">&lt; </w:t>
      </w:r>
      <w:r w:rsidR="00B24D96" w:rsidRPr="00B24D96">
        <w:rPr>
          <w:rFonts w:cs="Calibri"/>
        </w:rPr>
        <w:t>$10 million</w:t>
      </w:r>
      <w:r w:rsidR="005E7B43">
        <w:rPr>
          <w:rFonts w:cs="Calibri"/>
        </w:rPr>
        <w:t xml:space="preserve"> </w:t>
      </w:r>
      <w:r w:rsidRPr="00885AB3">
        <w:rPr>
          <w:rFonts w:cs="Calibri"/>
        </w:rPr>
        <w:t xml:space="preserve">in Year 6, and a total of </w:t>
      </w:r>
      <w:r w:rsidR="00477ED8" w:rsidRPr="00477ED8">
        <w:rPr>
          <w:rFonts w:cs="Calibri"/>
        </w:rPr>
        <w:t xml:space="preserve">$10 million to </w:t>
      </w:r>
      <w:r w:rsidR="001C78D7">
        <w:rPr>
          <w:rFonts w:cs="Calibri"/>
        </w:rPr>
        <w:t xml:space="preserve">&lt; </w:t>
      </w:r>
      <w:r w:rsidR="00477ED8" w:rsidRPr="00477ED8">
        <w:rPr>
          <w:rFonts w:cs="Calibri"/>
        </w:rPr>
        <w:t>$20 million</w:t>
      </w:r>
      <w:r w:rsidRPr="00885AB3">
        <w:rPr>
          <w:rFonts w:cs="Calibri"/>
        </w:rPr>
        <w:t xml:space="preserve"> in the first 6 years of listing.</w:t>
      </w:r>
      <w:r w:rsidRPr="00885AB3">
        <w:rPr>
          <w:rFonts w:cs="Calibri"/>
          <w:color w:val="3366FF"/>
        </w:rPr>
        <w:t xml:space="preserve"> </w:t>
      </w:r>
      <w:r w:rsidRPr="00885AB3">
        <w:rPr>
          <w:rFonts w:cs="Calibri"/>
        </w:rPr>
        <w:t>The submission estimated a net</w:t>
      </w:r>
      <w:r w:rsidRPr="00885AB3" w:rsidDel="00E21A44">
        <w:rPr>
          <w:rFonts w:cs="Calibri"/>
        </w:rPr>
        <w:t xml:space="preserve"> </w:t>
      </w:r>
      <w:r w:rsidRPr="00885AB3">
        <w:rPr>
          <w:rFonts w:cs="Calibri"/>
        </w:rPr>
        <w:t xml:space="preserve">saving to the NIP due to </w:t>
      </w:r>
      <w:r w:rsidRPr="00885AB3">
        <w:rPr>
          <w:rFonts w:cs="Calibri"/>
        </w:rPr>
        <w:lastRenderedPageBreak/>
        <w:t xml:space="preserve">the lower price of mRNA-1345 used in the financial estimates compared to that of </w:t>
      </w:r>
      <w:proofErr w:type="spellStart"/>
      <w:r w:rsidRPr="00885AB3">
        <w:rPr>
          <w:rFonts w:cs="Calibri"/>
        </w:rPr>
        <w:t>RSVPreF</w:t>
      </w:r>
      <w:proofErr w:type="spellEnd"/>
      <w:r w:rsidRPr="00885AB3">
        <w:rPr>
          <w:rFonts w:cs="Calibri"/>
        </w:rPr>
        <w:t>. There was no change in the number of vaccinated individuals.</w:t>
      </w:r>
    </w:p>
    <w:p w14:paraId="46A70E94" w14:textId="6D4067D9" w:rsidR="006A1AFC" w:rsidRPr="00885AB3" w:rsidRDefault="006A1AFC" w:rsidP="00120D61">
      <w:pPr>
        <w:pStyle w:val="3-BodyText"/>
        <w:rPr>
          <w:rFonts w:cs="Calibri"/>
          <w:iCs/>
        </w:rPr>
      </w:pPr>
      <w:bookmarkStart w:id="151" w:name="_Ref211418657"/>
      <w:r w:rsidRPr="00885AB3">
        <w:rPr>
          <w:rFonts w:cs="Calibri"/>
          <w:iCs/>
        </w:rPr>
        <w:t xml:space="preserve">The financial estimates were based on the same model presented to ATAGI in June 2025. ATAGI raised several concerns about the estimates presented at that time (ATAGI Advice, June 2025). </w:t>
      </w:r>
      <w:r w:rsidR="00C40935" w:rsidRPr="00885AB3">
        <w:rPr>
          <w:rFonts w:cs="Calibri"/>
          <w:iCs/>
        </w:rPr>
        <w:t>T</w:t>
      </w:r>
      <w:r w:rsidRPr="00885AB3">
        <w:rPr>
          <w:rFonts w:cs="Calibri"/>
          <w:iCs/>
        </w:rPr>
        <w:t>he following issues were</w:t>
      </w:r>
      <w:r w:rsidR="00C40935" w:rsidRPr="00885AB3">
        <w:rPr>
          <w:rFonts w:cs="Calibri"/>
          <w:iCs/>
        </w:rPr>
        <w:t xml:space="preserve"> not</w:t>
      </w:r>
      <w:r w:rsidRPr="00885AB3">
        <w:rPr>
          <w:rFonts w:cs="Calibri"/>
          <w:iCs/>
        </w:rPr>
        <w:t xml:space="preserve"> addressed in the submission to the PBAC:</w:t>
      </w:r>
      <w:bookmarkEnd w:id="151"/>
      <w:r w:rsidRPr="00885AB3">
        <w:rPr>
          <w:rFonts w:cs="Calibri"/>
          <w:iCs/>
        </w:rPr>
        <w:t xml:space="preserve"> </w:t>
      </w:r>
    </w:p>
    <w:p w14:paraId="11E7191D" w14:textId="3E6F504A" w:rsidR="006A1AFC" w:rsidRPr="00885AB3" w:rsidRDefault="006A1AFC" w:rsidP="00120D61">
      <w:pPr>
        <w:pStyle w:val="ListParagraph"/>
        <w:numPr>
          <w:ilvl w:val="0"/>
          <w:numId w:val="13"/>
        </w:numPr>
        <w:jc w:val="both"/>
        <w:rPr>
          <w:iCs/>
        </w:rPr>
      </w:pPr>
      <w:r w:rsidRPr="00885AB3">
        <w:rPr>
          <w:rFonts w:cs="Calibri"/>
          <w:iCs/>
        </w:rPr>
        <w:t>T</w:t>
      </w:r>
      <w:r w:rsidR="009D13FD" w:rsidRPr="00885AB3">
        <w:rPr>
          <w:rFonts w:cs="Calibri"/>
          <w:iCs/>
        </w:rPr>
        <w:t>he t</w:t>
      </w:r>
      <w:r w:rsidRPr="00885AB3">
        <w:rPr>
          <w:rFonts w:cs="Calibri"/>
          <w:iCs/>
        </w:rPr>
        <w:t>otal vaccinated population exceeds the proposed uptake (</w:t>
      </w:r>
      <w:r w:rsidR="004B5AFE" w:rsidRPr="004B5AFE">
        <w:rPr>
          <w:rFonts w:cs="Calibri"/>
          <w:iCs/>
          <w:highlight w:val="black"/>
        </w:rPr>
        <w:t xml:space="preserve"> &amp;&amp;&amp;&amp;</w:t>
      </w:r>
      <w:r w:rsidRPr="00885AB3">
        <w:rPr>
          <w:rFonts w:cs="Calibri"/>
          <w:iCs/>
        </w:rPr>
        <w:t xml:space="preserve">% vs </w:t>
      </w:r>
      <w:r w:rsidR="004B5AFE" w:rsidRPr="004B5AFE">
        <w:rPr>
          <w:rFonts w:cs="Calibri"/>
          <w:iCs/>
          <w:highlight w:val="black"/>
        </w:rPr>
        <w:t xml:space="preserve"> &amp;&amp;&amp;&amp;</w:t>
      </w:r>
      <w:r w:rsidRPr="00885AB3">
        <w:rPr>
          <w:rFonts w:cs="Calibri"/>
          <w:iCs/>
        </w:rPr>
        <w:t xml:space="preserve">% in the </w:t>
      </w:r>
      <w:r w:rsidR="00EF2FA4">
        <w:rPr>
          <w:rFonts w:cs="Calibri"/>
          <w:iCs/>
        </w:rPr>
        <w:t xml:space="preserve">≥ </w:t>
      </w:r>
      <w:r w:rsidR="00EC73E7" w:rsidRPr="00885AB3">
        <w:rPr>
          <w:rFonts w:cs="Calibri"/>
          <w:iCs/>
        </w:rPr>
        <w:t>75</w:t>
      </w:r>
      <w:r w:rsidRPr="00885AB3">
        <w:rPr>
          <w:rFonts w:cs="Calibri"/>
          <w:iCs/>
        </w:rPr>
        <w:t xml:space="preserve"> YOA population, and </w:t>
      </w:r>
      <w:r w:rsidR="004B5AFE" w:rsidRPr="004B5AFE">
        <w:rPr>
          <w:rFonts w:cs="Calibri"/>
          <w:iCs/>
          <w:highlight w:val="black"/>
        </w:rPr>
        <w:t xml:space="preserve"> &amp;&amp;&amp;&amp;</w:t>
      </w:r>
      <w:r w:rsidRPr="00885AB3">
        <w:rPr>
          <w:rFonts w:cs="Calibri"/>
          <w:iCs/>
        </w:rPr>
        <w:t xml:space="preserve">% vs </w:t>
      </w:r>
      <w:r w:rsidR="004B5AFE" w:rsidRPr="004B5AFE">
        <w:rPr>
          <w:rFonts w:cs="Calibri"/>
          <w:iCs/>
          <w:highlight w:val="black"/>
        </w:rPr>
        <w:t xml:space="preserve"> &amp;&amp;&amp;&amp;</w:t>
      </w:r>
      <w:r w:rsidRPr="00885AB3">
        <w:rPr>
          <w:rFonts w:cs="Calibri"/>
          <w:iCs/>
        </w:rPr>
        <w:t>% in the Aboriginal and Torres Strait Islander people 60-74 YOA population). The</w:t>
      </w:r>
      <w:r w:rsidR="008671DC" w:rsidRPr="00885AB3">
        <w:rPr>
          <w:rFonts w:cs="Calibri"/>
          <w:iCs/>
        </w:rPr>
        <w:t xml:space="preserve"> ESC noted that</w:t>
      </w:r>
      <w:r w:rsidR="008671DC" w:rsidRPr="00885AB3">
        <w:rPr>
          <w:rFonts w:cs="Calibri"/>
          <w:i/>
        </w:rPr>
        <w:t xml:space="preserve"> </w:t>
      </w:r>
      <w:r w:rsidR="008671DC" w:rsidRPr="00885AB3">
        <w:rPr>
          <w:rFonts w:cs="Calibri"/>
          <w:iCs/>
        </w:rPr>
        <w:t>the</w:t>
      </w:r>
      <w:r w:rsidRPr="00885AB3">
        <w:rPr>
          <w:rFonts w:cs="Calibri"/>
          <w:iCs/>
        </w:rPr>
        <w:t xml:space="preserve"> model seems to incorrectly apply the later-year uptake (e.g., </w:t>
      </w:r>
      <w:r w:rsidR="004B5AFE" w:rsidRPr="004B5AFE">
        <w:rPr>
          <w:rFonts w:cs="Calibri"/>
          <w:iCs/>
          <w:highlight w:val="black"/>
        </w:rPr>
        <w:t xml:space="preserve"> &amp;&amp;&amp;&amp;</w:t>
      </w:r>
      <w:r w:rsidRPr="00885AB3">
        <w:rPr>
          <w:rFonts w:cs="Calibri"/>
          <w:iCs/>
        </w:rPr>
        <w:t xml:space="preserve">% for the </w:t>
      </w:r>
      <w:r w:rsidR="00EF2FA4">
        <w:rPr>
          <w:rFonts w:cs="Calibri"/>
          <w:iCs/>
        </w:rPr>
        <w:t xml:space="preserve">≥ </w:t>
      </w:r>
      <w:r w:rsidRPr="00885AB3">
        <w:rPr>
          <w:rFonts w:cs="Calibri"/>
          <w:iCs/>
        </w:rPr>
        <w:t>75 YOA population) to the incident population after the second year of each annual incident cohort (rather than only in the second year), which inflates the total uptake</w:t>
      </w:r>
      <w:r w:rsidR="00C22C73" w:rsidRPr="00885AB3">
        <w:rPr>
          <w:rFonts w:cs="Calibri"/>
          <w:iCs/>
        </w:rPr>
        <w:t>.</w:t>
      </w:r>
      <w:r w:rsidR="004D7053" w:rsidRPr="00885AB3">
        <w:rPr>
          <w:rFonts w:cs="Calibri"/>
          <w:iCs/>
        </w:rPr>
        <w:t xml:space="preserve"> </w:t>
      </w:r>
      <w:r w:rsidR="00E54978" w:rsidRPr="00885AB3">
        <w:rPr>
          <w:rFonts w:eastAsiaTheme="minorHAnsi" w:cs="Calibri"/>
          <w:iCs/>
          <w:snapToGrid/>
          <w:szCs w:val="22"/>
        </w:rPr>
        <w:t>The PSCR stated that the financial estimates calculate annual eligible prevalent cohorts, which estimates uptake amongst annual cohorts comprising individuals newly entering the eligible age group, adjusted by reductions due to deaths and those who are no longer eligible due to being previously vaccinated.</w:t>
      </w:r>
      <w:r w:rsidR="001C78D7">
        <w:rPr>
          <w:rFonts w:eastAsiaTheme="minorHAnsi" w:cs="Calibri"/>
          <w:iCs/>
          <w:snapToGrid/>
          <w:szCs w:val="22"/>
        </w:rPr>
        <w:t xml:space="preserve"> </w:t>
      </w:r>
    </w:p>
    <w:p w14:paraId="69BB1CBD" w14:textId="1569C5CC" w:rsidR="006A1AFC" w:rsidRPr="00885AB3" w:rsidRDefault="00291247" w:rsidP="00120D61">
      <w:pPr>
        <w:pStyle w:val="ListParagraph"/>
        <w:numPr>
          <w:ilvl w:val="0"/>
          <w:numId w:val="13"/>
        </w:numPr>
        <w:jc w:val="both"/>
        <w:rPr>
          <w:iCs/>
        </w:rPr>
      </w:pPr>
      <w:r w:rsidRPr="00885AB3">
        <w:rPr>
          <w:iCs/>
        </w:rPr>
        <w:t xml:space="preserve">The </w:t>
      </w:r>
      <w:r w:rsidR="006A1AFC" w:rsidRPr="00885AB3">
        <w:rPr>
          <w:iCs/>
        </w:rPr>
        <w:t xml:space="preserve">uptake rates </w:t>
      </w:r>
      <w:r w:rsidRPr="00885AB3">
        <w:rPr>
          <w:iCs/>
        </w:rPr>
        <w:t>should</w:t>
      </w:r>
      <w:r w:rsidR="006A1AFC" w:rsidRPr="00885AB3">
        <w:rPr>
          <w:iCs/>
        </w:rPr>
        <w:t xml:space="preserve"> only</w:t>
      </w:r>
      <w:r w:rsidRPr="00885AB3">
        <w:rPr>
          <w:iCs/>
        </w:rPr>
        <w:t xml:space="preserve"> be applied</w:t>
      </w:r>
      <w:r w:rsidR="006A1AFC" w:rsidRPr="00885AB3">
        <w:rPr>
          <w:iCs/>
        </w:rPr>
        <w:t xml:space="preserve"> those who have not received an RSV vaccine (by removing individuals who have received a vaccine from the ‘at-risk’ population)</w:t>
      </w:r>
      <w:r w:rsidR="004D7053" w:rsidRPr="00885AB3">
        <w:rPr>
          <w:iCs/>
        </w:rPr>
        <w:t>.</w:t>
      </w:r>
    </w:p>
    <w:p w14:paraId="4A4A6922" w14:textId="15D5F203" w:rsidR="006A1AFC" w:rsidRPr="00885AB3" w:rsidRDefault="00E53D94" w:rsidP="00120D61">
      <w:pPr>
        <w:pStyle w:val="ListParagraph"/>
        <w:numPr>
          <w:ilvl w:val="0"/>
          <w:numId w:val="13"/>
        </w:numPr>
        <w:jc w:val="both"/>
        <w:rPr>
          <w:iCs/>
        </w:rPr>
      </w:pPr>
      <w:r w:rsidRPr="00885AB3">
        <w:rPr>
          <w:iCs/>
        </w:rPr>
        <w:t>T</w:t>
      </w:r>
      <w:r w:rsidR="006A1AFC" w:rsidRPr="00885AB3">
        <w:rPr>
          <w:iCs/>
        </w:rPr>
        <w:t>he impact of background mortality on the size of the eligible population</w:t>
      </w:r>
      <w:r w:rsidRPr="00885AB3">
        <w:rPr>
          <w:iCs/>
        </w:rPr>
        <w:t xml:space="preserve"> should be accounted for</w:t>
      </w:r>
      <w:r w:rsidR="006A1AFC" w:rsidRPr="00885AB3">
        <w:rPr>
          <w:iCs/>
        </w:rPr>
        <w:t xml:space="preserve">. </w:t>
      </w:r>
    </w:p>
    <w:p w14:paraId="586B7FC6" w14:textId="41AE38C2" w:rsidR="00F812A7" w:rsidRPr="00885AB3" w:rsidRDefault="006A1AFC" w:rsidP="00120D61">
      <w:pPr>
        <w:pStyle w:val="3-BodyText"/>
        <w:rPr>
          <w:rFonts w:cs="Calibri"/>
          <w:iCs/>
        </w:rPr>
      </w:pPr>
      <w:r w:rsidRPr="00885AB3">
        <w:rPr>
          <w:rFonts w:cs="Calibri"/>
          <w:iCs/>
        </w:rPr>
        <w:t xml:space="preserve">The ATAGI noted that if revaccination of mRNA-1345 is required </w:t>
      </w:r>
      <w:r w:rsidR="006F6A96" w:rsidRPr="00885AB3">
        <w:rPr>
          <w:rFonts w:cs="Calibri"/>
          <w:iCs/>
        </w:rPr>
        <w:t xml:space="preserve">within </w:t>
      </w:r>
      <w:r w:rsidRPr="00885AB3">
        <w:rPr>
          <w:rFonts w:cs="Calibri"/>
          <w:iCs/>
        </w:rPr>
        <w:t xml:space="preserve">six years, </w:t>
      </w:r>
      <w:r w:rsidR="00D8439E" w:rsidRPr="00885AB3">
        <w:rPr>
          <w:rFonts w:cs="Calibri"/>
          <w:iCs/>
        </w:rPr>
        <w:t>revac</w:t>
      </w:r>
      <w:r w:rsidR="00350B57" w:rsidRPr="00885AB3">
        <w:rPr>
          <w:rFonts w:cs="Calibri"/>
          <w:iCs/>
        </w:rPr>
        <w:t>c</w:t>
      </w:r>
      <w:r w:rsidR="00D8439E" w:rsidRPr="00885AB3">
        <w:rPr>
          <w:rFonts w:cs="Calibri"/>
          <w:iCs/>
        </w:rPr>
        <w:t xml:space="preserve">ination </w:t>
      </w:r>
      <w:r w:rsidRPr="00885AB3">
        <w:rPr>
          <w:rFonts w:cs="Calibri"/>
          <w:iCs/>
        </w:rPr>
        <w:t>uptake should be explicitly modelled (ATAGI Advice, June 2025). This was not included in the financial estimates</w:t>
      </w:r>
      <w:r w:rsidR="00FF56D5" w:rsidRPr="00885AB3">
        <w:rPr>
          <w:rFonts w:cs="Calibri"/>
          <w:iCs/>
        </w:rPr>
        <w:t xml:space="preserve">, noting that </w:t>
      </w:r>
      <w:r w:rsidR="00343D76" w:rsidRPr="00885AB3">
        <w:rPr>
          <w:rFonts w:cs="Calibri"/>
          <w:iCs/>
        </w:rPr>
        <w:t>this was consistent with</w:t>
      </w:r>
      <w:r w:rsidR="00FF56D5" w:rsidRPr="00885AB3">
        <w:rPr>
          <w:rFonts w:cs="Calibri"/>
          <w:iCs/>
        </w:rPr>
        <w:t xml:space="preserve"> </w:t>
      </w:r>
      <w:r w:rsidR="00343D76" w:rsidRPr="00885AB3">
        <w:rPr>
          <w:rFonts w:cs="Calibri"/>
          <w:iCs/>
        </w:rPr>
        <w:t xml:space="preserve">the </w:t>
      </w:r>
      <w:r w:rsidR="00FF56D5" w:rsidRPr="00885AB3">
        <w:rPr>
          <w:rFonts w:cs="Calibri"/>
          <w:iCs/>
        </w:rPr>
        <w:t>submission</w:t>
      </w:r>
      <w:r w:rsidR="00343D76" w:rsidRPr="00885AB3">
        <w:rPr>
          <w:rFonts w:cs="Calibri"/>
          <w:iCs/>
        </w:rPr>
        <w:t xml:space="preserve">’s proposed listing of a single dose only. </w:t>
      </w:r>
      <w:r w:rsidR="00396654" w:rsidRPr="00885AB3">
        <w:rPr>
          <w:rFonts w:cs="Calibri"/>
          <w:iCs/>
        </w:rPr>
        <w:t xml:space="preserve">The ESC noted </w:t>
      </w:r>
      <w:r w:rsidR="00922839" w:rsidRPr="00885AB3">
        <w:rPr>
          <w:rFonts w:cs="Calibri"/>
          <w:iCs/>
        </w:rPr>
        <w:t>the absence of</w:t>
      </w:r>
      <w:r w:rsidR="004048E5" w:rsidRPr="00885AB3">
        <w:rPr>
          <w:rFonts w:cs="Calibri"/>
          <w:iCs/>
        </w:rPr>
        <w:t xml:space="preserve"> </w:t>
      </w:r>
      <w:r w:rsidR="00F812A7" w:rsidRPr="00885AB3">
        <w:rPr>
          <w:rFonts w:cs="Calibri"/>
          <w:iCs/>
        </w:rPr>
        <w:t xml:space="preserve">estimates </w:t>
      </w:r>
      <w:r w:rsidR="00922839" w:rsidRPr="00885AB3">
        <w:rPr>
          <w:rFonts w:cs="Calibri"/>
          <w:iCs/>
        </w:rPr>
        <w:t xml:space="preserve">for </w:t>
      </w:r>
      <w:r w:rsidR="001B7123" w:rsidRPr="00885AB3">
        <w:rPr>
          <w:rFonts w:cs="Calibri"/>
          <w:iCs/>
        </w:rPr>
        <w:t>revaccination with mRNA-</w:t>
      </w:r>
      <w:r w:rsidR="00F812A7" w:rsidRPr="00885AB3">
        <w:rPr>
          <w:rFonts w:cs="Calibri"/>
          <w:iCs/>
        </w:rPr>
        <w:t>1</w:t>
      </w:r>
      <w:r w:rsidR="001B7123" w:rsidRPr="00885AB3">
        <w:rPr>
          <w:rFonts w:cs="Calibri"/>
          <w:iCs/>
        </w:rPr>
        <w:t>345</w:t>
      </w:r>
      <w:r w:rsidR="00246C89" w:rsidRPr="00885AB3">
        <w:rPr>
          <w:rFonts w:cs="Calibri"/>
          <w:iCs/>
        </w:rPr>
        <w:t xml:space="preserve"> and that</w:t>
      </w:r>
      <w:r w:rsidR="00EA029E" w:rsidRPr="00885AB3">
        <w:rPr>
          <w:rFonts w:cs="Calibri"/>
          <w:iCs/>
        </w:rPr>
        <w:t xml:space="preserve"> the sponsor</w:t>
      </w:r>
      <w:r w:rsidR="00246C89" w:rsidRPr="00885AB3">
        <w:rPr>
          <w:rFonts w:cs="Calibri"/>
          <w:iCs/>
        </w:rPr>
        <w:t xml:space="preserve"> </w:t>
      </w:r>
      <w:r w:rsidR="00246C89" w:rsidRPr="00885AB3">
        <w:rPr>
          <w:rFonts w:ascii="Calibri" w:hAnsi="Calibri" w:cs="Calibri"/>
          <w:iCs/>
        </w:rPr>
        <w:t>does not currently have a timeline for regulatory filings for revaccination</w:t>
      </w:r>
      <w:r w:rsidR="00F812A7" w:rsidRPr="00885AB3">
        <w:rPr>
          <w:rFonts w:cs="Calibri"/>
          <w:iCs/>
        </w:rPr>
        <w:t>.</w:t>
      </w:r>
    </w:p>
    <w:p w14:paraId="361A5D1A" w14:textId="261F4A7F" w:rsidR="006A1AFC" w:rsidRPr="00885AB3" w:rsidRDefault="006A1AFC" w:rsidP="00120D61">
      <w:pPr>
        <w:pStyle w:val="3-BodyText"/>
        <w:rPr>
          <w:rFonts w:cs="Calibri"/>
          <w:iCs/>
        </w:rPr>
      </w:pPr>
      <w:r w:rsidRPr="00885AB3">
        <w:rPr>
          <w:rFonts w:cs="Calibri"/>
          <w:iCs/>
        </w:rPr>
        <w:t xml:space="preserve">The submission assumed that mRNA-1345 would account for </w:t>
      </w:r>
      <w:r w:rsidR="004B5AFE" w:rsidRPr="004B5AFE">
        <w:rPr>
          <w:rFonts w:cs="Calibri"/>
          <w:iCs/>
          <w:highlight w:val="black"/>
        </w:rPr>
        <w:t xml:space="preserve"> &amp;&amp;&amp;&amp;</w:t>
      </w:r>
      <w:r w:rsidRPr="00885AB3">
        <w:rPr>
          <w:rFonts w:cs="Calibri"/>
          <w:iCs/>
        </w:rPr>
        <w:t xml:space="preserve">% of the 100% market share currently attributed to </w:t>
      </w:r>
      <w:proofErr w:type="spellStart"/>
      <w:r w:rsidRPr="00885AB3">
        <w:rPr>
          <w:rFonts w:cs="Calibri"/>
          <w:iCs/>
        </w:rPr>
        <w:t>RSVPreF</w:t>
      </w:r>
      <w:proofErr w:type="spellEnd"/>
      <w:r w:rsidRPr="00885AB3">
        <w:rPr>
          <w:rFonts w:cs="Calibri"/>
          <w:iCs/>
        </w:rPr>
        <w:t xml:space="preserve"> (status quo assumption). ATAGI </w:t>
      </w:r>
      <w:r w:rsidR="00A11EDF" w:rsidRPr="00885AB3">
        <w:rPr>
          <w:rFonts w:cs="Calibri"/>
          <w:iCs/>
        </w:rPr>
        <w:t xml:space="preserve">considered </w:t>
      </w:r>
      <w:r w:rsidRPr="00885AB3">
        <w:rPr>
          <w:rFonts w:cs="Calibri"/>
          <w:iCs/>
        </w:rPr>
        <w:t xml:space="preserve">that the </w:t>
      </w:r>
      <w:r w:rsidR="004B5AFE" w:rsidRPr="004B5AFE">
        <w:rPr>
          <w:rFonts w:cs="Calibri"/>
          <w:iCs/>
          <w:highlight w:val="black"/>
        </w:rPr>
        <w:t xml:space="preserve"> &amp;&amp;&amp;&amp;</w:t>
      </w:r>
      <w:r w:rsidRPr="00885AB3">
        <w:rPr>
          <w:rFonts w:cs="Calibri"/>
          <w:iCs/>
        </w:rPr>
        <w:t xml:space="preserve">% market share assumption </w:t>
      </w:r>
      <w:r w:rsidR="00503C7A" w:rsidRPr="00885AB3">
        <w:rPr>
          <w:rFonts w:cs="Calibri"/>
          <w:iCs/>
        </w:rPr>
        <w:t xml:space="preserve">was </w:t>
      </w:r>
      <w:r w:rsidRPr="00885AB3">
        <w:rPr>
          <w:rFonts w:cs="Calibri"/>
          <w:iCs/>
        </w:rPr>
        <w:t xml:space="preserve">uncertain, </w:t>
      </w:r>
      <w:r w:rsidR="00503C7A" w:rsidRPr="00885AB3">
        <w:rPr>
          <w:rFonts w:cs="Calibri"/>
          <w:iCs/>
        </w:rPr>
        <w:t xml:space="preserve">noting </w:t>
      </w:r>
      <w:r w:rsidRPr="00885AB3">
        <w:rPr>
          <w:rFonts w:cs="Calibri"/>
          <w:iCs/>
        </w:rPr>
        <w:t xml:space="preserve">possible public hesitancy toward mRNA technology, potential differences in vaccine efficacy waning between </w:t>
      </w:r>
      <w:proofErr w:type="spellStart"/>
      <w:r w:rsidRPr="00885AB3">
        <w:rPr>
          <w:rFonts w:cs="Calibri"/>
          <w:iCs/>
        </w:rPr>
        <w:t>RSVPreF</w:t>
      </w:r>
      <w:proofErr w:type="spellEnd"/>
      <w:r w:rsidRPr="00885AB3">
        <w:rPr>
          <w:rFonts w:cs="Calibri"/>
          <w:iCs/>
        </w:rPr>
        <w:t xml:space="preserve"> and mRNA-1345, and logistical challenges that may affect market share (ATAGI Advice, June 2025). Additionally, PBAC’s recent recommendation of another RSV vaccine (RSVPreF3 OA) is expected to impact the market share assumption.</w:t>
      </w:r>
      <w:r w:rsidR="005360F7" w:rsidRPr="00885AB3">
        <w:rPr>
          <w:rFonts w:cs="Calibri"/>
          <w:iCs/>
        </w:rPr>
        <w:t xml:space="preserve"> The ESC</w:t>
      </w:r>
      <w:r w:rsidR="00F720F0" w:rsidRPr="00885AB3">
        <w:rPr>
          <w:rFonts w:cs="Calibri"/>
          <w:iCs/>
        </w:rPr>
        <w:t xml:space="preserve"> also</w:t>
      </w:r>
      <w:r w:rsidR="005360F7" w:rsidRPr="00885AB3">
        <w:rPr>
          <w:rFonts w:cs="Calibri"/>
          <w:iCs/>
        </w:rPr>
        <w:t xml:space="preserve"> considered </w:t>
      </w:r>
      <w:r w:rsidR="006E3F99" w:rsidRPr="00885AB3">
        <w:rPr>
          <w:rFonts w:cs="Calibri"/>
          <w:iCs/>
        </w:rPr>
        <w:t xml:space="preserve">the market share </w:t>
      </w:r>
      <w:r w:rsidR="007C3BD6" w:rsidRPr="00885AB3">
        <w:rPr>
          <w:rFonts w:cs="Calibri"/>
          <w:iCs/>
        </w:rPr>
        <w:t>assumptions</w:t>
      </w:r>
      <w:r w:rsidR="00310C96" w:rsidRPr="00885AB3">
        <w:rPr>
          <w:rFonts w:cs="Calibri"/>
          <w:iCs/>
        </w:rPr>
        <w:t xml:space="preserve"> to be</w:t>
      </w:r>
      <w:r w:rsidR="007C3BD6" w:rsidRPr="00885AB3">
        <w:rPr>
          <w:rFonts w:cs="Calibri"/>
          <w:iCs/>
        </w:rPr>
        <w:t xml:space="preserve"> uncertain</w:t>
      </w:r>
      <w:r w:rsidR="003E582A" w:rsidRPr="00885AB3">
        <w:rPr>
          <w:rFonts w:cs="Calibri"/>
          <w:iCs/>
        </w:rPr>
        <w:t>.</w:t>
      </w:r>
    </w:p>
    <w:p w14:paraId="2C72831E" w14:textId="5927DE41" w:rsidR="006A1AFC" w:rsidRPr="00885AB3" w:rsidRDefault="006A1AFC" w:rsidP="00120D61">
      <w:pPr>
        <w:pStyle w:val="3-BodyText"/>
        <w:rPr>
          <w:rFonts w:cs="Calibri"/>
          <w:iCs/>
        </w:rPr>
      </w:pPr>
      <w:bookmarkStart w:id="152" w:name="_Ref211418678"/>
      <w:r w:rsidRPr="00885AB3">
        <w:rPr>
          <w:rFonts w:cs="Calibri"/>
          <w:iCs/>
        </w:rPr>
        <w:t xml:space="preserve">There may be higher administration costs for mRNA-1345, particularly if </w:t>
      </w:r>
      <w:proofErr w:type="spellStart"/>
      <w:r w:rsidRPr="00885AB3">
        <w:rPr>
          <w:rFonts w:cs="Calibri"/>
          <w:iCs/>
        </w:rPr>
        <w:t>RSVPreF</w:t>
      </w:r>
      <w:proofErr w:type="spellEnd"/>
      <w:r w:rsidRPr="00885AB3">
        <w:rPr>
          <w:rFonts w:cs="Calibri"/>
          <w:iCs/>
        </w:rPr>
        <w:t xml:space="preserve"> can be </w:t>
      </w:r>
      <w:proofErr w:type="spellStart"/>
      <w:r w:rsidRPr="00885AB3">
        <w:rPr>
          <w:rFonts w:cs="Calibri"/>
          <w:iCs/>
        </w:rPr>
        <w:t>coadministered</w:t>
      </w:r>
      <w:proofErr w:type="spellEnd"/>
      <w:r w:rsidRPr="00885AB3">
        <w:rPr>
          <w:rFonts w:cs="Calibri"/>
          <w:iCs/>
        </w:rPr>
        <w:t xml:space="preserve"> with other vaccines. ATAGI noted potential implementation issues including that lower immunogenicity when </w:t>
      </w:r>
      <w:proofErr w:type="spellStart"/>
      <w:r w:rsidRPr="00885AB3">
        <w:rPr>
          <w:rFonts w:cs="Calibri"/>
          <w:iCs/>
        </w:rPr>
        <w:t>coadministered</w:t>
      </w:r>
      <w:proofErr w:type="spellEnd"/>
      <w:r w:rsidRPr="00885AB3">
        <w:rPr>
          <w:rFonts w:cs="Calibri"/>
          <w:iCs/>
        </w:rPr>
        <w:t xml:space="preserve"> with other vaccines (e.g., influenza) suggested that mRNA-1345 should be delivered alone (ATAGI Advice, June </w:t>
      </w:r>
      <w:r w:rsidRPr="00885AB3">
        <w:rPr>
          <w:rFonts w:cs="Calibri"/>
          <w:iCs/>
        </w:rPr>
        <w:lastRenderedPageBreak/>
        <w:t xml:space="preserve">2025). </w:t>
      </w:r>
      <w:r w:rsidR="00896727" w:rsidRPr="00885AB3">
        <w:rPr>
          <w:rFonts w:cs="Calibri"/>
          <w:iCs/>
        </w:rPr>
        <w:t xml:space="preserve">The ESC </w:t>
      </w:r>
      <w:r w:rsidR="00453B20" w:rsidRPr="00885AB3">
        <w:rPr>
          <w:rFonts w:cs="Calibri"/>
          <w:iCs/>
        </w:rPr>
        <w:t>considered</w:t>
      </w:r>
      <w:r w:rsidR="00896727" w:rsidRPr="00885AB3">
        <w:rPr>
          <w:rFonts w:cs="Calibri"/>
          <w:iCs/>
        </w:rPr>
        <w:t xml:space="preserve"> that a</w:t>
      </w:r>
      <w:r w:rsidRPr="00885AB3">
        <w:rPr>
          <w:rFonts w:cs="Calibri"/>
          <w:iCs/>
        </w:rPr>
        <w:t>ssuming the same administration cost between the vaccines in the submission might not be reasonable.</w:t>
      </w:r>
      <w:bookmarkEnd w:id="152"/>
      <w:r w:rsidRPr="00885AB3">
        <w:rPr>
          <w:rFonts w:cs="Calibri"/>
          <w:iCs/>
        </w:rPr>
        <w:t xml:space="preserve"> </w:t>
      </w:r>
    </w:p>
    <w:p w14:paraId="401CD31D" w14:textId="3E015046" w:rsidR="006A1AFC" w:rsidRPr="00885AB3" w:rsidRDefault="006A1AFC" w:rsidP="00120D61">
      <w:pPr>
        <w:pStyle w:val="3-BodyText"/>
        <w:rPr>
          <w:rFonts w:cs="Calibri"/>
          <w:iCs/>
        </w:rPr>
      </w:pPr>
      <w:r w:rsidRPr="00885AB3">
        <w:rPr>
          <w:rFonts w:cs="Calibri"/>
          <w:iCs/>
        </w:rPr>
        <w:t>Overall, the</w:t>
      </w:r>
      <w:r w:rsidR="00683214" w:rsidRPr="00885AB3">
        <w:rPr>
          <w:rFonts w:cs="Calibri"/>
          <w:iCs/>
        </w:rPr>
        <w:t xml:space="preserve"> evaluation considered that the</w:t>
      </w:r>
      <w:r w:rsidRPr="00885AB3">
        <w:rPr>
          <w:rFonts w:cs="Calibri"/>
          <w:iCs/>
        </w:rPr>
        <w:t xml:space="preserve"> model overestimated the financial impact of listing mRNA-1345 on the NIP</w:t>
      </w:r>
      <w:r w:rsidR="000172D3" w:rsidRPr="00885AB3">
        <w:rPr>
          <w:rFonts w:cs="Calibri"/>
          <w:iCs/>
        </w:rPr>
        <w:t>, as</w:t>
      </w:r>
      <w:r w:rsidRPr="00885AB3">
        <w:rPr>
          <w:rFonts w:cs="Calibri"/>
          <w:iCs/>
        </w:rPr>
        <w:t xml:space="preserve"> the anticipated use</w:t>
      </w:r>
      <w:r w:rsidR="00674B4E" w:rsidRPr="00885AB3">
        <w:rPr>
          <w:rFonts w:cs="Calibri"/>
          <w:iCs/>
        </w:rPr>
        <w:t xml:space="preserve"> of mRNA-1345</w:t>
      </w:r>
      <w:r w:rsidR="000172D3" w:rsidRPr="00885AB3">
        <w:rPr>
          <w:rFonts w:cs="Calibri"/>
          <w:iCs/>
        </w:rPr>
        <w:t xml:space="preserve"> was overestimated</w:t>
      </w:r>
      <w:r w:rsidR="00227058" w:rsidRPr="00885AB3">
        <w:rPr>
          <w:rFonts w:cs="Calibri"/>
          <w:iCs/>
        </w:rPr>
        <w:t>. T</w:t>
      </w:r>
      <w:r w:rsidR="000172D3" w:rsidRPr="00885AB3">
        <w:rPr>
          <w:rFonts w:cs="Calibri"/>
          <w:iCs/>
        </w:rPr>
        <w:t>he</w:t>
      </w:r>
      <w:r w:rsidRPr="00885AB3">
        <w:rPr>
          <w:rFonts w:cs="Calibri"/>
          <w:iCs/>
        </w:rPr>
        <w:t xml:space="preserve"> </w:t>
      </w:r>
      <w:r w:rsidR="00152073" w:rsidRPr="00885AB3">
        <w:rPr>
          <w:rFonts w:cs="Calibri"/>
          <w:iCs/>
        </w:rPr>
        <w:t xml:space="preserve">consequent </w:t>
      </w:r>
      <w:r w:rsidRPr="00885AB3">
        <w:rPr>
          <w:rFonts w:cs="Calibri"/>
          <w:iCs/>
        </w:rPr>
        <w:t>reduction in</w:t>
      </w:r>
      <w:r w:rsidR="00674B4E" w:rsidRPr="00885AB3">
        <w:rPr>
          <w:rFonts w:cs="Calibri"/>
          <w:iCs/>
        </w:rPr>
        <w:t xml:space="preserve"> total</w:t>
      </w:r>
      <w:r w:rsidRPr="00885AB3">
        <w:rPr>
          <w:rFonts w:cs="Calibri"/>
          <w:iCs/>
        </w:rPr>
        <w:t xml:space="preserve"> spend on RSV vaccines</w:t>
      </w:r>
      <w:r w:rsidR="00B424F6" w:rsidRPr="00885AB3">
        <w:rPr>
          <w:rFonts w:cs="Calibri"/>
          <w:iCs/>
        </w:rPr>
        <w:t xml:space="preserve"> </w:t>
      </w:r>
      <w:r w:rsidRPr="00885AB3">
        <w:rPr>
          <w:rFonts w:cs="Calibri"/>
          <w:iCs/>
        </w:rPr>
        <w:t>is unlikely to be realised.</w:t>
      </w:r>
    </w:p>
    <w:p w14:paraId="2CDBE8BC" w14:textId="77777777" w:rsidR="006A1AFC" w:rsidRPr="00885AB3" w:rsidRDefault="006A1AFC" w:rsidP="00120D61">
      <w:pPr>
        <w:pStyle w:val="4-SubsectionHeading"/>
        <w:rPr>
          <w:rFonts w:ascii="Calibri" w:hAnsi="Calibri" w:cs="Calibri"/>
        </w:rPr>
      </w:pPr>
      <w:bookmarkStart w:id="153" w:name="_Toc22897648"/>
      <w:bookmarkStart w:id="154" w:name="_Toc208998520"/>
      <w:r w:rsidRPr="00885AB3">
        <w:rPr>
          <w:rFonts w:ascii="Calibri" w:hAnsi="Calibri" w:cs="Calibri"/>
        </w:rPr>
        <w:t>Quality Use of Medicines</w:t>
      </w:r>
      <w:bookmarkEnd w:id="153"/>
      <w:bookmarkEnd w:id="154"/>
    </w:p>
    <w:p w14:paraId="0B7C4F0A" w14:textId="77777777" w:rsidR="006A1AFC" w:rsidRPr="00885AB3" w:rsidRDefault="006A1AFC" w:rsidP="00120D61">
      <w:pPr>
        <w:pStyle w:val="3-BodyText"/>
        <w:rPr>
          <w:rFonts w:cs="Calibri"/>
          <w:color w:val="0066FF"/>
        </w:rPr>
      </w:pPr>
      <w:r w:rsidRPr="00885AB3">
        <w:rPr>
          <w:rFonts w:cs="Calibri"/>
        </w:rPr>
        <w:t xml:space="preserve">The submission presented information on a quality use of medicines approach, including: </w:t>
      </w:r>
    </w:p>
    <w:p w14:paraId="3F2E5C2A" w14:textId="4E0AF8C8" w:rsidR="003D3AFC" w:rsidRPr="00885AB3" w:rsidRDefault="006A1AFC" w:rsidP="00120D61">
      <w:pPr>
        <w:pStyle w:val="3-BodyText"/>
        <w:numPr>
          <w:ilvl w:val="2"/>
          <w:numId w:val="6"/>
        </w:numPr>
        <w:ind w:left="993"/>
        <w:rPr>
          <w:rFonts w:cs="Calibri"/>
        </w:rPr>
      </w:pPr>
      <w:r w:rsidRPr="00885AB3">
        <w:rPr>
          <w:rFonts w:cs="Calibri"/>
        </w:rPr>
        <w:t xml:space="preserve">Use of a prefilled syringe (PFS) presentation for mRNA-1345, which </w:t>
      </w:r>
      <w:r w:rsidR="003D3AFC" w:rsidRPr="00885AB3">
        <w:rPr>
          <w:rFonts w:cs="Calibri"/>
        </w:rPr>
        <w:t xml:space="preserve">is preferred by healthcare providers, and </w:t>
      </w:r>
      <w:r w:rsidRPr="00885AB3">
        <w:rPr>
          <w:rFonts w:cs="Calibri"/>
        </w:rPr>
        <w:t>simplifies preparation as reconstitution is not required</w:t>
      </w:r>
      <w:r w:rsidR="003D3AFC" w:rsidRPr="00885AB3">
        <w:rPr>
          <w:rFonts w:cs="Calibri"/>
        </w:rPr>
        <w:t xml:space="preserve">. Reduced risk of needle contamination, needle stick injuries, and dosage errors may be reduced by use of PFS; </w:t>
      </w:r>
    </w:p>
    <w:p w14:paraId="63445767" w14:textId="3B83CC88" w:rsidR="00156801" w:rsidRPr="00DE407B" w:rsidRDefault="009D46C3" w:rsidP="00120D61">
      <w:pPr>
        <w:pStyle w:val="3-BodyText"/>
        <w:numPr>
          <w:ilvl w:val="2"/>
          <w:numId w:val="6"/>
        </w:numPr>
        <w:ind w:left="993"/>
        <w:rPr>
          <w:rFonts w:cs="Calibri"/>
        </w:rPr>
      </w:pPr>
      <w:r w:rsidRPr="00885AB3">
        <w:rPr>
          <w:rFonts w:cs="Calibri"/>
        </w:rPr>
        <w:t>O</w:t>
      </w:r>
      <w:r w:rsidR="006A1AFC" w:rsidRPr="00885AB3">
        <w:rPr>
          <w:rFonts w:cs="Calibri"/>
        </w:rPr>
        <w:t xml:space="preserve">ngoing post-marketing safety surveillance through </w:t>
      </w:r>
      <w:proofErr w:type="spellStart"/>
      <w:r w:rsidR="006A1AFC" w:rsidRPr="00885AB3">
        <w:rPr>
          <w:rFonts w:cs="Calibri"/>
        </w:rPr>
        <w:t>AusVaxSafety</w:t>
      </w:r>
      <w:proofErr w:type="spellEnd"/>
      <w:r w:rsidR="006A1AFC" w:rsidRPr="00885AB3">
        <w:rPr>
          <w:rFonts w:cs="Calibri"/>
        </w:rPr>
        <w:t xml:space="preserve"> for mRNA-1345.</w:t>
      </w:r>
    </w:p>
    <w:p w14:paraId="62B20A7C" w14:textId="7181AFC4" w:rsidR="005F5CD0" w:rsidRPr="00885AB3" w:rsidRDefault="00156801" w:rsidP="00120D61">
      <w:pPr>
        <w:rPr>
          <w:rFonts w:asciiTheme="minorHAnsi" w:hAnsiTheme="minorHAnsi"/>
          <w:i/>
        </w:rPr>
      </w:pPr>
      <w:r w:rsidRPr="00885AB3">
        <w:rPr>
          <w:rFonts w:asciiTheme="minorHAnsi" w:hAnsiTheme="minorHAnsi"/>
          <w:i/>
        </w:rPr>
        <w:t>For more detail on PBAC’s view, see section 7 PBAC outcome.</w:t>
      </w:r>
    </w:p>
    <w:p w14:paraId="6E5EB185" w14:textId="77777777" w:rsidR="0040574B" w:rsidRPr="00885AB3" w:rsidRDefault="0040574B" w:rsidP="00120D61">
      <w:pPr>
        <w:pStyle w:val="2-SectionHeading"/>
      </w:pPr>
      <w:r w:rsidRPr="00885AB3">
        <w:t>PBAC Outcome</w:t>
      </w:r>
    </w:p>
    <w:p w14:paraId="6F4C1372" w14:textId="7BA68F2A" w:rsidR="00364209" w:rsidRPr="00885AB3" w:rsidRDefault="000A2BBA" w:rsidP="00120D61">
      <w:pPr>
        <w:numPr>
          <w:ilvl w:val="1"/>
          <w:numId w:val="6"/>
        </w:numPr>
        <w:spacing w:after="120"/>
        <w:rPr>
          <w:rFonts w:asciiTheme="minorHAnsi" w:hAnsiTheme="minorHAnsi"/>
          <w:snapToGrid w:val="0"/>
        </w:rPr>
      </w:pPr>
      <w:r w:rsidRPr="00885AB3">
        <w:rPr>
          <w:rFonts w:asciiTheme="minorHAnsi" w:hAnsiTheme="minorHAnsi"/>
          <w:snapToGrid w:val="0"/>
        </w:rPr>
        <w:t xml:space="preserve">The PBAC deferred </w:t>
      </w:r>
      <w:r w:rsidR="00303641" w:rsidRPr="00885AB3">
        <w:rPr>
          <w:rFonts w:asciiTheme="minorHAnsi" w:hAnsiTheme="minorHAnsi"/>
          <w:snapToGrid w:val="0"/>
        </w:rPr>
        <w:t xml:space="preserve">its consideration of </w:t>
      </w:r>
      <w:r w:rsidR="00A32053" w:rsidRPr="00885AB3">
        <w:rPr>
          <w:snapToGrid w:val="0"/>
        </w:rPr>
        <w:t>respiratory syncytial virus</w:t>
      </w:r>
      <w:r w:rsidR="00236A08" w:rsidRPr="00885AB3">
        <w:rPr>
          <w:snapToGrid w:val="0"/>
        </w:rPr>
        <w:t xml:space="preserve"> (RSV)</w:t>
      </w:r>
      <w:r w:rsidR="00A32053" w:rsidRPr="00885AB3">
        <w:rPr>
          <w:snapToGrid w:val="0"/>
        </w:rPr>
        <w:t xml:space="preserve"> vaccine</w:t>
      </w:r>
      <w:r w:rsidR="00910155" w:rsidRPr="00885AB3">
        <w:rPr>
          <w:snapToGrid w:val="0"/>
        </w:rPr>
        <w:t xml:space="preserve"> </w:t>
      </w:r>
      <w:r w:rsidR="00910155" w:rsidRPr="00885AB3">
        <w:rPr>
          <w:rFonts w:cs="Calibri"/>
        </w:rPr>
        <w:t>mRNA-1345</w:t>
      </w:r>
      <w:r w:rsidR="00A32053" w:rsidRPr="00885AB3">
        <w:rPr>
          <w:snapToGrid w:val="0"/>
        </w:rPr>
        <w:t xml:space="preserve"> (</w:t>
      </w:r>
      <w:proofErr w:type="spellStart"/>
      <w:r w:rsidR="00C12854" w:rsidRPr="00885AB3">
        <w:rPr>
          <w:snapToGrid w:val="0"/>
        </w:rPr>
        <w:t>mRESVIA</w:t>
      </w:r>
      <w:proofErr w:type="spellEnd"/>
      <w:r w:rsidR="00A32053" w:rsidRPr="00885AB3">
        <w:rPr>
          <w:snapToGrid w:val="0"/>
        </w:rPr>
        <w:t xml:space="preserve">) for the prevention of lower respiratory tract </w:t>
      </w:r>
      <w:r w:rsidR="002B0AAA" w:rsidRPr="00885AB3">
        <w:rPr>
          <w:snapToGrid w:val="0"/>
        </w:rPr>
        <w:t>disease</w:t>
      </w:r>
      <w:r w:rsidR="00A32053" w:rsidRPr="00885AB3">
        <w:rPr>
          <w:snapToGrid w:val="0"/>
        </w:rPr>
        <w:t xml:space="preserve"> (LRT</w:t>
      </w:r>
      <w:r w:rsidR="002B0AAA" w:rsidRPr="00885AB3">
        <w:rPr>
          <w:snapToGrid w:val="0"/>
        </w:rPr>
        <w:t>D</w:t>
      </w:r>
      <w:r w:rsidR="00A32053" w:rsidRPr="00885AB3">
        <w:rPr>
          <w:snapToGrid w:val="0"/>
        </w:rPr>
        <w:t xml:space="preserve">) caused by RSV </w:t>
      </w:r>
      <w:r w:rsidR="00F2225D" w:rsidRPr="00885AB3">
        <w:t>in individuals</w:t>
      </w:r>
      <w:r w:rsidR="00F2225D" w:rsidRPr="00885AB3">
        <w:rPr>
          <w:snapToGrid w:val="0"/>
        </w:rPr>
        <w:t xml:space="preserve"> aged </w:t>
      </w:r>
      <w:r w:rsidR="00A32053" w:rsidRPr="00885AB3">
        <w:rPr>
          <w:snapToGrid w:val="0"/>
        </w:rPr>
        <w:t>75 years of age</w:t>
      </w:r>
      <w:r w:rsidR="00F2225D" w:rsidRPr="00885AB3">
        <w:rPr>
          <w:snapToGrid w:val="0"/>
        </w:rPr>
        <w:t xml:space="preserve"> (YOA)</w:t>
      </w:r>
      <w:r w:rsidR="00A32053" w:rsidRPr="00885AB3">
        <w:rPr>
          <w:snapToGrid w:val="0"/>
        </w:rPr>
        <w:t xml:space="preserve"> and above, and for Aboriginal and Torres Strait Islander peoples aged 60 to 74 </w:t>
      </w:r>
      <w:r w:rsidR="00236A08" w:rsidRPr="00885AB3">
        <w:rPr>
          <w:snapToGrid w:val="0"/>
        </w:rPr>
        <w:t>YOA</w:t>
      </w:r>
      <w:r w:rsidR="00A32053" w:rsidRPr="00885AB3">
        <w:rPr>
          <w:snapToGrid w:val="0"/>
        </w:rPr>
        <w:t>.</w:t>
      </w:r>
      <w:r w:rsidR="007A109E" w:rsidRPr="00885AB3">
        <w:rPr>
          <w:snapToGrid w:val="0"/>
        </w:rPr>
        <w:t xml:space="preserve"> The PBAC</w:t>
      </w:r>
      <w:r w:rsidR="00DA2E9B" w:rsidRPr="00885AB3">
        <w:rPr>
          <w:snapToGrid w:val="0"/>
        </w:rPr>
        <w:t xml:space="preserve"> considered that the clinical place of </w:t>
      </w:r>
      <w:r w:rsidR="00DA2E9B" w:rsidRPr="00885AB3">
        <w:rPr>
          <w:rFonts w:cs="Calibri"/>
        </w:rPr>
        <w:t>mRNA-1345 is uncertain and</w:t>
      </w:r>
      <w:r w:rsidR="007A109E" w:rsidRPr="00885AB3">
        <w:rPr>
          <w:snapToGrid w:val="0"/>
        </w:rPr>
        <w:t xml:space="preserve"> deferred its decision pending </w:t>
      </w:r>
      <w:r w:rsidR="00105A36" w:rsidRPr="00885AB3">
        <w:rPr>
          <w:rFonts w:asciiTheme="minorHAnsi" w:hAnsiTheme="minorHAnsi"/>
          <w:snapToGrid w:val="0"/>
        </w:rPr>
        <w:t>further advice on</w:t>
      </w:r>
      <w:r w:rsidR="003B3C23" w:rsidRPr="00885AB3">
        <w:rPr>
          <w:rFonts w:asciiTheme="minorHAnsi" w:hAnsiTheme="minorHAnsi"/>
          <w:snapToGrid w:val="0"/>
        </w:rPr>
        <w:t xml:space="preserve"> the</w:t>
      </w:r>
      <w:r w:rsidR="009C5029" w:rsidRPr="00885AB3">
        <w:rPr>
          <w:rFonts w:asciiTheme="minorHAnsi" w:hAnsiTheme="minorHAnsi"/>
          <w:snapToGrid w:val="0"/>
        </w:rPr>
        <w:t xml:space="preserve"> potential</w:t>
      </w:r>
      <w:r w:rsidR="0058158C" w:rsidRPr="00885AB3">
        <w:rPr>
          <w:rFonts w:asciiTheme="minorHAnsi" w:hAnsiTheme="minorHAnsi"/>
          <w:snapToGrid w:val="0"/>
        </w:rPr>
        <w:t xml:space="preserve"> NIP</w:t>
      </w:r>
      <w:r w:rsidR="009C5029" w:rsidRPr="00885AB3">
        <w:rPr>
          <w:rFonts w:asciiTheme="minorHAnsi" w:hAnsiTheme="minorHAnsi"/>
          <w:snapToGrid w:val="0"/>
        </w:rPr>
        <w:t xml:space="preserve"> listing</w:t>
      </w:r>
      <w:r w:rsidR="00105A36" w:rsidRPr="00885AB3">
        <w:rPr>
          <w:rFonts w:asciiTheme="minorHAnsi" w:hAnsiTheme="minorHAnsi"/>
          <w:snapToGrid w:val="0"/>
        </w:rPr>
        <w:t xml:space="preserve"> of previously recommended RSV vaccines</w:t>
      </w:r>
      <w:r w:rsidR="002A0C9C" w:rsidRPr="00885AB3">
        <w:rPr>
          <w:rFonts w:asciiTheme="minorHAnsi" w:hAnsiTheme="minorHAnsi"/>
          <w:snapToGrid w:val="0"/>
        </w:rPr>
        <w:t>,</w:t>
      </w:r>
      <w:r w:rsidR="009C5029" w:rsidRPr="00885AB3">
        <w:rPr>
          <w:rFonts w:asciiTheme="minorHAnsi" w:hAnsiTheme="minorHAnsi"/>
          <w:snapToGrid w:val="0"/>
        </w:rPr>
        <w:t xml:space="preserve"> </w:t>
      </w:r>
      <w:proofErr w:type="spellStart"/>
      <w:r w:rsidR="00FA0989" w:rsidRPr="00885AB3">
        <w:t>RSVPreF</w:t>
      </w:r>
      <w:proofErr w:type="spellEnd"/>
      <w:r w:rsidR="00FA0989" w:rsidRPr="00885AB3">
        <w:t xml:space="preserve"> (</w:t>
      </w:r>
      <w:proofErr w:type="spellStart"/>
      <w:r w:rsidR="00FA0989" w:rsidRPr="00885AB3">
        <w:t>Abrysvo</w:t>
      </w:r>
      <w:proofErr w:type="spellEnd"/>
      <w:r w:rsidR="00FA0989" w:rsidRPr="00885AB3">
        <w:t>)</w:t>
      </w:r>
      <w:r w:rsidR="00156CD8" w:rsidRPr="00885AB3">
        <w:t xml:space="preserve"> and RSVPreF3 OA (</w:t>
      </w:r>
      <w:proofErr w:type="spellStart"/>
      <w:r w:rsidR="00156CD8" w:rsidRPr="00885AB3">
        <w:t>Arexvy</w:t>
      </w:r>
      <w:proofErr w:type="spellEnd"/>
      <w:r w:rsidR="00156CD8" w:rsidRPr="00885AB3">
        <w:t>)</w:t>
      </w:r>
      <w:r w:rsidR="00105A36" w:rsidRPr="00885AB3">
        <w:rPr>
          <w:rFonts w:asciiTheme="minorHAnsi" w:hAnsiTheme="minorHAnsi"/>
          <w:snapToGrid w:val="0"/>
        </w:rPr>
        <w:t xml:space="preserve">. </w:t>
      </w:r>
      <w:r w:rsidR="00CD63E8" w:rsidRPr="00885AB3">
        <w:rPr>
          <w:rFonts w:asciiTheme="minorHAnsi" w:hAnsiTheme="minorHAnsi"/>
          <w:snapToGrid w:val="0"/>
        </w:rPr>
        <w:t>While the PBAC acknowledged</w:t>
      </w:r>
      <w:r w:rsidR="001A4AF8" w:rsidRPr="00885AB3">
        <w:rPr>
          <w:rFonts w:asciiTheme="minorHAnsi" w:hAnsiTheme="minorHAnsi"/>
          <w:snapToGrid w:val="0"/>
        </w:rPr>
        <w:t xml:space="preserve"> that</w:t>
      </w:r>
      <w:r w:rsidR="00F10EDC" w:rsidRPr="00885AB3">
        <w:rPr>
          <w:rFonts w:asciiTheme="minorHAnsi" w:hAnsiTheme="minorHAnsi"/>
          <w:snapToGrid w:val="0"/>
        </w:rPr>
        <w:t xml:space="preserve"> the</w:t>
      </w:r>
      <w:r w:rsidR="00CD63E8" w:rsidRPr="00885AB3">
        <w:rPr>
          <w:rFonts w:asciiTheme="minorHAnsi" w:hAnsiTheme="minorHAnsi"/>
          <w:snapToGrid w:val="0"/>
        </w:rPr>
        <w:t xml:space="preserve"> superiority</w:t>
      </w:r>
      <w:r w:rsidR="000E1C32" w:rsidRPr="00885AB3">
        <w:rPr>
          <w:rFonts w:asciiTheme="minorHAnsi" w:hAnsiTheme="minorHAnsi"/>
          <w:snapToGrid w:val="0"/>
        </w:rPr>
        <w:t xml:space="preserve"> of</w:t>
      </w:r>
      <w:r w:rsidR="00CD63E8" w:rsidRPr="00885AB3">
        <w:rPr>
          <w:rFonts w:asciiTheme="minorHAnsi" w:hAnsiTheme="minorHAnsi"/>
          <w:snapToGrid w:val="0"/>
        </w:rPr>
        <w:t xml:space="preserve"> </w:t>
      </w:r>
      <w:r w:rsidR="000E1C32" w:rsidRPr="00885AB3">
        <w:rPr>
          <w:rFonts w:cs="Calibri"/>
        </w:rPr>
        <w:t xml:space="preserve">mRNA-1345 </w:t>
      </w:r>
      <w:r w:rsidR="00CD63E8" w:rsidRPr="00885AB3">
        <w:rPr>
          <w:rFonts w:asciiTheme="minorHAnsi" w:hAnsiTheme="minorHAnsi"/>
          <w:snapToGrid w:val="0"/>
        </w:rPr>
        <w:t xml:space="preserve">over </w:t>
      </w:r>
      <w:r w:rsidR="00F10EDC" w:rsidRPr="00885AB3">
        <w:rPr>
          <w:rFonts w:asciiTheme="minorHAnsi" w:hAnsiTheme="minorHAnsi"/>
          <w:snapToGrid w:val="0"/>
        </w:rPr>
        <w:t>no vaccination</w:t>
      </w:r>
      <w:r w:rsidR="005456C6" w:rsidRPr="00885AB3">
        <w:rPr>
          <w:rFonts w:asciiTheme="minorHAnsi" w:hAnsiTheme="minorHAnsi"/>
          <w:snapToGrid w:val="0"/>
        </w:rPr>
        <w:t xml:space="preserve"> was</w:t>
      </w:r>
      <w:r w:rsidR="00EE5AEB" w:rsidRPr="00885AB3">
        <w:rPr>
          <w:rFonts w:asciiTheme="minorHAnsi" w:hAnsiTheme="minorHAnsi"/>
          <w:snapToGrid w:val="0"/>
        </w:rPr>
        <w:t xml:space="preserve"> </w:t>
      </w:r>
      <w:r w:rsidR="00EE5AEB" w:rsidRPr="00885AB3">
        <w:rPr>
          <w:iCs/>
        </w:rPr>
        <w:t xml:space="preserve">adequately supported for adults </w:t>
      </w:r>
      <w:r w:rsidR="00EF2FA4">
        <w:rPr>
          <w:rFonts w:ascii="Times New Roman" w:hAnsi="Times New Roman" w:cs="Times New Roman"/>
          <w:iCs/>
        </w:rPr>
        <w:t xml:space="preserve">≥ </w:t>
      </w:r>
      <w:r w:rsidR="00EE5AEB" w:rsidRPr="00885AB3">
        <w:rPr>
          <w:iCs/>
        </w:rPr>
        <w:t>60 YOA for up to 16 months</w:t>
      </w:r>
      <w:r w:rsidR="00CD63E8" w:rsidRPr="00885AB3">
        <w:rPr>
          <w:rFonts w:asciiTheme="minorHAnsi" w:hAnsiTheme="minorHAnsi"/>
          <w:snapToGrid w:val="0"/>
        </w:rPr>
        <w:t xml:space="preserve">, it </w:t>
      </w:r>
      <w:r w:rsidR="00105A36" w:rsidRPr="00885AB3">
        <w:rPr>
          <w:rFonts w:asciiTheme="minorHAnsi" w:hAnsiTheme="minorHAnsi"/>
          <w:snapToGrid w:val="0"/>
        </w:rPr>
        <w:t xml:space="preserve">considered that </w:t>
      </w:r>
      <w:r w:rsidR="00AF1A37" w:rsidRPr="00885AB3">
        <w:rPr>
          <w:rFonts w:asciiTheme="minorHAnsi" w:hAnsiTheme="minorHAnsi"/>
          <w:snapToGrid w:val="0"/>
        </w:rPr>
        <w:t>superior efficacy</w:t>
      </w:r>
      <w:r w:rsidR="00590444" w:rsidRPr="00885AB3">
        <w:rPr>
          <w:rFonts w:asciiTheme="minorHAnsi" w:hAnsiTheme="minorHAnsi"/>
          <w:snapToGrid w:val="0"/>
        </w:rPr>
        <w:t xml:space="preserve"> over no vaccination</w:t>
      </w:r>
      <w:r w:rsidR="00AF1A37" w:rsidRPr="00885AB3">
        <w:rPr>
          <w:rFonts w:asciiTheme="minorHAnsi" w:hAnsiTheme="minorHAnsi"/>
          <w:snapToGrid w:val="0"/>
        </w:rPr>
        <w:t xml:space="preserve"> in the </w:t>
      </w:r>
      <w:r w:rsidR="00EF2FA4">
        <w:rPr>
          <w:rFonts w:cs="Calibri"/>
        </w:rPr>
        <w:t xml:space="preserve">≥ </w:t>
      </w:r>
      <w:r w:rsidR="00AF1A37" w:rsidRPr="00885AB3">
        <w:t xml:space="preserve">75 </w:t>
      </w:r>
      <w:r w:rsidR="00CD3260" w:rsidRPr="00885AB3">
        <w:t>years population was uncertain, and</w:t>
      </w:r>
      <w:r w:rsidR="00105A36" w:rsidRPr="00885AB3">
        <w:rPr>
          <w:rFonts w:asciiTheme="minorHAnsi" w:hAnsiTheme="minorHAnsi"/>
          <w:snapToGrid w:val="0"/>
        </w:rPr>
        <w:t xml:space="preserve"> non-inferior efficacy for </w:t>
      </w:r>
      <w:r w:rsidR="00AF2CF9" w:rsidRPr="00885AB3">
        <w:rPr>
          <w:rFonts w:cs="Calibri"/>
        </w:rPr>
        <w:t xml:space="preserve">mRNA-1345 </w:t>
      </w:r>
      <w:r w:rsidR="00105A36" w:rsidRPr="00885AB3">
        <w:rPr>
          <w:rFonts w:asciiTheme="minorHAnsi" w:hAnsiTheme="minorHAnsi"/>
          <w:snapToGrid w:val="0"/>
        </w:rPr>
        <w:t xml:space="preserve">compared with </w:t>
      </w:r>
      <w:proofErr w:type="spellStart"/>
      <w:r w:rsidR="00AF2CF9" w:rsidRPr="00885AB3">
        <w:t>RSVPreF</w:t>
      </w:r>
      <w:proofErr w:type="spellEnd"/>
      <w:r w:rsidR="00AF2CF9" w:rsidRPr="00885AB3">
        <w:rPr>
          <w:rFonts w:asciiTheme="minorHAnsi" w:hAnsiTheme="minorHAnsi"/>
          <w:snapToGrid w:val="0"/>
        </w:rPr>
        <w:t xml:space="preserve"> </w:t>
      </w:r>
      <w:r w:rsidR="002A65AA" w:rsidRPr="00885AB3">
        <w:rPr>
          <w:rFonts w:asciiTheme="minorHAnsi" w:hAnsiTheme="minorHAnsi"/>
          <w:snapToGrid w:val="0"/>
        </w:rPr>
        <w:t>and/</w:t>
      </w:r>
      <w:r w:rsidR="00A8046D" w:rsidRPr="00885AB3">
        <w:rPr>
          <w:rFonts w:asciiTheme="minorHAnsi" w:hAnsiTheme="minorHAnsi"/>
          <w:snapToGrid w:val="0"/>
        </w:rPr>
        <w:t>or</w:t>
      </w:r>
      <w:r w:rsidR="00105A36" w:rsidRPr="00885AB3">
        <w:rPr>
          <w:rFonts w:asciiTheme="minorHAnsi" w:hAnsiTheme="minorHAnsi"/>
          <w:snapToGrid w:val="0"/>
        </w:rPr>
        <w:t xml:space="preserve"> </w:t>
      </w:r>
      <w:r w:rsidR="00AF2CF9" w:rsidRPr="00885AB3">
        <w:t>RSVPreF3 OA</w:t>
      </w:r>
      <w:r w:rsidR="0061131D" w:rsidRPr="00885AB3">
        <w:t xml:space="preserve"> was not supported</w:t>
      </w:r>
      <w:r w:rsidR="00105A36" w:rsidRPr="00885AB3">
        <w:rPr>
          <w:rFonts w:asciiTheme="minorHAnsi" w:hAnsiTheme="minorHAnsi"/>
          <w:snapToGrid w:val="0"/>
        </w:rPr>
        <w:t>.</w:t>
      </w:r>
      <w:r w:rsidR="00066F3A" w:rsidRPr="00885AB3">
        <w:rPr>
          <w:rFonts w:cs="Calibri"/>
        </w:rPr>
        <w:t xml:space="preserve"> </w:t>
      </w:r>
    </w:p>
    <w:p w14:paraId="50C9A28B" w14:textId="0BBBDC3E" w:rsidR="00636FBD" w:rsidRPr="00885AB3" w:rsidRDefault="005A392F" w:rsidP="00120D61">
      <w:pPr>
        <w:numPr>
          <w:ilvl w:val="1"/>
          <w:numId w:val="6"/>
        </w:numPr>
        <w:spacing w:after="120"/>
        <w:rPr>
          <w:rFonts w:asciiTheme="minorHAnsi" w:hAnsiTheme="minorHAnsi"/>
          <w:snapToGrid w:val="0"/>
        </w:rPr>
      </w:pPr>
      <w:bookmarkStart w:id="155" w:name="_Ref215740902"/>
      <w:r w:rsidRPr="00885AB3">
        <w:t xml:space="preserve">At the time of the November 2025 PBAC meeting, neither </w:t>
      </w:r>
      <w:proofErr w:type="spellStart"/>
      <w:r w:rsidRPr="00885AB3">
        <w:t>RSVPreF</w:t>
      </w:r>
      <w:proofErr w:type="spellEnd"/>
      <w:r w:rsidRPr="00885AB3">
        <w:t xml:space="preserve"> nor RSVPreF3 OA were listed on the NIP, although both vaccines received a positive recommendation</w:t>
      </w:r>
      <w:r w:rsidR="008B3525" w:rsidRPr="00885AB3">
        <w:t xml:space="preserve"> at the July 2025 PBAC meeting</w:t>
      </w:r>
      <w:r w:rsidRPr="00885AB3">
        <w:t xml:space="preserve"> for adults </w:t>
      </w:r>
      <w:r w:rsidR="00EF2FA4">
        <w:rPr>
          <w:rFonts w:cs="Calibri"/>
        </w:rPr>
        <w:t xml:space="preserve">≥ </w:t>
      </w:r>
      <w:r w:rsidRPr="00885AB3">
        <w:t xml:space="preserve">75 YOA and for Aboriginal and Torres Strait Islander peoples aged 60 to 74 years. </w:t>
      </w:r>
      <w:r w:rsidR="00C27B87" w:rsidRPr="00885AB3">
        <w:t xml:space="preserve">Given that </w:t>
      </w:r>
      <w:r w:rsidR="00C27B87" w:rsidRPr="00885AB3">
        <w:rPr>
          <w:rFonts w:asciiTheme="minorHAnsi" w:hAnsiTheme="minorHAnsi"/>
          <w:snapToGrid w:val="0"/>
        </w:rPr>
        <w:t xml:space="preserve">non-inferior efficacy for </w:t>
      </w:r>
      <w:r w:rsidR="00C27B87" w:rsidRPr="00885AB3">
        <w:rPr>
          <w:rFonts w:cs="Calibri"/>
        </w:rPr>
        <w:t xml:space="preserve">mRNA-1345 </w:t>
      </w:r>
      <w:r w:rsidR="00C27B87" w:rsidRPr="00885AB3">
        <w:rPr>
          <w:rFonts w:asciiTheme="minorHAnsi" w:hAnsiTheme="minorHAnsi"/>
          <w:snapToGrid w:val="0"/>
        </w:rPr>
        <w:t xml:space="preserve">compared with </w:t>
      </w:r>
      <w:proofErr w:type="spellStart"/>
      <w:r w:rsidR="00C27B87" w:rsidRPr="00885AB3">
        <w:t>RSVPreF</w:t>
      </w:r>
      <w:proofErr w:type="spellEnd"/>
      <w:r w:rsidR="00C27B87" w:rsidRPr="00885AB3">
        <w:rPr>
          <w:rFonts w:asciiTheme="minorHAnsi" w:hAnsiTheme="minorHAnsi"/>
          <w:snapToGrid w:val="0"/>
        </w:rPr>
        <w:t xml:space="preserve"> </w:t>
      </w:r>
      <w:r w:rsidR="002A65AA" w:rsidRPr="00885AB3">
        <w:rPr>
          <w:rFonts w:asciiTheme="minorHAnsi" w:hAnsiTheme="minorHAnsi"/>
          <w:snapToGrid w:val="0"/>
        </w:rPr>
        <w:t>and/</w:t>
      </w:r>
      <w:r w:rsidR="00C27B87" w:rsidRPr="00885AB3">
        <w:rPr>
          <w:rFonts w:asciiTheme="minorHAnsi" w:hAnsiTheme="minorHAnsi"/>
          <w:snapToGrid w:val="0"/>
        </w:rPr>
        <w:t xml:space="preserve">or </w:t>
      </w:r>
      <w:r w:rsidR="00C27B87" w:rsidRPr="00885AB3">
        <w:t>RSVPreF3 OA was not supported</w:t>
      </w:r>
      <w:r w:rsidR="00B15B0F" w:rsidRPr="00885AB3">
        <w:t xml:space="preserve"> in these populations</w:t>
      </w:r>
      <w:r w:rsidR="00C27B87" w:rsidRPr="00885AB3">
        <w:rPr>
          <w:rFonts w:asciiTheme="minorHAnsi" w:hAnsiTheme="minorHAnsi"/>
          <w:snapToGrid w:val="0"/>
        </w:rPr>
        <w:t xml:space="preserve">, </w:t>
      </w:r>
      <w:r w:rsidR="00C27B87" w:rsidRPr="00885AB3">
        <w:t>t</w:t>
      </w:r>
      <w:r w:rsidRPr="00885AB3">
        <w:t xml:space="preserve">he PBAC </w:t>
      </w:r>
      <w:r w:rsidR="00935BF7" w:rsidRPr="00885AB3">
        <w:t>advised that it would only be</w:t>
      </w:r>
      <w:r w:rsidRPr="00885AB3">
        <w:t xml:space="preserve"> </w:t>
      </w:r>
      <w:r w:rsidR="009710D3" w:rsidRPr="00885AB3">
        <w:t xml:space="preserve">appropriate </w:t>
      </w:r>
      <w:r w:rsidR="00935BF7" w:rsidRPr="00885AB3">
        <w:t xml:space="preserve">to </w:t>
      </w:r>
      <w:r w:rsidRPr="00885AB3">
        <w:t xml:space="preserve">recommend mRNA-1345 for </w:t>
      </w:r>
      <w:r w:rsidR="00A13550" w:rsidRPr="00885AB3">
        <w:t xml:space="preserve">NIP </w:t>
      </w:r>
      <w:r w:rsidRPr="00885AB3">
        <w:t>listing at a cost</w:t>
      </w:r>
      <w:r w:rsidR="005E512A" w:rsidRPr="00885AB3">
        <w:t>-</w:t>
      </w:r>
      <w:r w:rsidRPr="00885AB3">
        <w:t>effective price</w:t>
      </w:r>
      <w:r w:rsidR="00FA4D73" w:rsidRPr="00885AB3">
        <w:t xml:space="preserve"> </w:t>
      </w:r>
      <w:r w:rsidRPr="00885AB3">
        <w:t>if there remains a clinical need for a vaccine</w:t>
      </w:r>
      <w:r w:rsidR="005267B3" w:rsidRPr="00885AB3">
        <w:t xml:space="preserve"> </w:t>
      </w:r>
      <w:r w:rsidRPr="00885AB3">
        <w:t>against RSV</w:t>
      </w:r>
      <w:r w:rsidR="002E38D7" w:rsidRPr="00885AB3">
        <w:t xml:space="preserve"> on the vaccination schedule</w:t>
      </w:r>
      <w:r w:rsidRPr="00885AB3">
        <w:t>.</w:t>
      </w:r>
      <w:r w:rsidR="003E311B" w:rsidRPr="00885AB3">
        <w:t xml:space="preserve"> This </w:t>
      </w:r>
      <w:r w:rsidR="008421B4" w:rsidRPr="00885AB3">
        <w:t xml:space="preserve">is consistent with the post-submission ATAGI advice </w:t>
      </w:r>
      <w:r w:rsidR="008421B4" w:rsidRPr="00885AB3">
        <w:rPr>
          <w:bCs/>
        </w:rPr>
        <w:t>(17 September 2025)</w:t>
      </w:r>
      <w:r w:rsidR="00A402D1" w:rsidRPr="00885AB3">
        <w:rPr>
          <w:bCs/>
        </w:rPr>
        <w:t xml:space="preserve">, which did not support non-inferiority and stated that </w:t>
      </w:r>
      <w:r w:rsidR="00A402D1" w:rsidRPr="00885AB3">
        <w:t xml:space="preserve">a clinical place for </w:t>
      </w:r>
      <w:r w:rsidR="00A402D1" w:rsidRPr="00885AB3">
        <w:rPr>
          <w:rFonts w:cs="Calibri"/>
        </w:rPr>
        <w:t>mRNA-1345</w:t>
      </w:r>
      <w:r w:rsidR="00CC073F" w:rsidRPr="00885AB3">
        <w:rPr>
          <w:rFonts w:cs="Calibri"/>
        </w:rPr>
        <w:t xml:space="preserve"> could not be identified</w:t>
      </w:r>
      <w:r w:rsidR="00A402D1" w:rsidRPr="00885AB3">
        <w:rPr>
          <w:rFonts w:cs="Calibri"/>
        </w:rPr>
        <w:t xml:space="preserve"> if an alternative RSV vaccine (i.e. </w:t>
      </w:r>
      <w:proofErr w:type="spellStart"/>
      <w:r w:rsidR="00A402D1" w:rsidRPr="00885AB3">
        <w:t>RSVPreF</w:t>
      </w:r>
      <w:proofErr w:type="spellEnd"/>
      <w:r w:rsidR="00A402D1" w:rsidRPr="00885AB3">
        <w:rPr>
          <w:rFonts w:asciiTheme="minorHAnsi" w:hAnsiTheme="minorHAnsi"/>
          <w:snapToGrid w:val="0"/>
        </w:rPr>
        <w:t xml:space="preserve"> and/or </w:t>
      </w:r>
      <w:r w:rsidR="00A402D1" w:rsidRPr="00885AB3">
        <w:t>RSVPreF3 OA</w:t>
      </w:r>
      <w:r w:rsidR="00A402D1" w:rsidRPr="00885AB3">
        <w:rPr>
          <w:rFonts w:cs="Calibri"/>
        </w:rPr>
        <w:t>) becomes available on the NIP</w:t>
      </w:r>
      <w:r w:rsidR="00CC073F" w:rsidRPr="00885AB3">
        <w:rPr>
          <w:rFonts w:cs="Calibri"/>
        </w:rPr>
        <w:t>.</w:t>
      </w:r>
      <w:bookmarkEnd w:id="155"/>
    </w:p>
    <w:p w14:paraId="7E9A0D22" w14:textId="6F3D8D47" w:rsidR="00BA56A0" w:rsidRPr="00885AB3" w:rsidRDefault="00636FBD" w:rsidP="00120D61">
      <w:pPr>
        <w:numPr>
          <w:ilvl w:val="1"/>
          <w:numId w:val="6"/>
        </w:numPr>
        <w:spacing w:after="120"/>
        <w:rPr>
          <w:rFonts w:asciiTheme="minorHAnsi" w:hAnsiTheme="minorHAnsi"/>
          <w:snapToGrid w:val="0"/>
        </w:rPr>
      </w:pPr>
      <w:r w:rsidRPr="00885AB3">
        <w:rPr>
          <w:rFonts w:asciiTheme="minorHAnsi" w:hAnsiTheme="minorHAnsi"/>
          <w:snapToGrid w:val="0"/>
        </w:rPr>
        <w:lastRenderedPageBreak/>
        <w:t>The PBAC further noted that there is not a clinical need for multiple RSV vaccines in terms of rapid mutation of RSV, and there is not a requirement for a different RSV vaccine modality in terms of a messenger RNA vaccine (</w:t>
      </w:r>
      <w:r w:rsidRPr="00885AB3">
        <w:rPr>
          <w:rFonts w:cs="Calibri"/>
        </w:rPr>
        <w:t xml:space="preserve">mRNA-1345) </w:t>
      </w:r>
      <w:r w:rsidRPr="00885AB3">
        <w:rPr>
          <w:rFonts w:asciiTheme="minorHAnsi" w:hAnsiTheme="minorHAnsi"/>
          <w:snapToGrid w:val="0"/>
        </w:rPr>
        <w:t>versus a protein vaccine (</w:t>
      </w:r>
      <w:proofErr w:type="spellStart"/>
      <w:r w:rsidRPr="00885AB3">
        <w:t>RSVPreF</w:t>
      </w:r>
      <w:proofErr w:type="spellEnd"/>
      <w:r w:rsidRPr="00885AB3">
        <w:rPr>
          <w:rFonts w:asciiTheme="minorHAnsi" w:hAnsiTheme="minorHAnsi"/>
          <w:snapToGrid w:val="0"/>
        </w:rPr>
        <w:t xml:space="preserve"> and </w:t>
      </w:r>
      <w:r w:rsidRPr="00885AB3">
        <w:t>RSVPreF3 OA</w:t>
      </w:r>
      <w:r w:rsidRPr="00885AB3">
        <w:rPr>
          <w:rFonts w:asciiTheme="minorHAnsi" w:hAnsiTheme="minorHAnsi"/>
          <w:snapToGrid w:val="0"/>
        </w:rPr>
        <w:t xml:space="preserve">). In addition to the PBAC’s clinical and economic conclusions regarding the data presented in the submission (described below), these issues collectively formed the reasoning that the PBAC’s decision for mRNA-1345 should be deferred </w:t>
      </w:r>
      <w:proofErr w:type="gramStart"/>
      <w:r w:rsidRPr="00885AB3">
        <w:rPr>
          <w:rFonts w:asciiTheme="minorHAnsi" w:hAnsiTheme="minorHAnsi"/>
          <w:snapToGrid w:val="0"/>
        </w:rPr>
        <w:t>in order to</w:t>
      </w:r>
      <w:proofErr w:type="gramEnd"/>
      <w:r w:rsidRPr="00885AB3">
        <w:rPr>
          <w:rFonts w:asciiTheme="minorHAnsi" w:hAnsiTheme="minorHAnsi"/>
          <w:snapToGrid w:val="0"/>
        </w:rPr>
        <w:t xml:space="preserve"> clarify the potential listing of the RSV vaccines already recommended by the PBAC and the potential clinical place of mRNA-1345 on the vaccination schedule.</w:t>
      </w:r>
    </w:p>
    <w:p w14:paraId="43B17BA6" w14:textId="7B9B6E3A" w:rsidR="00B75690" w:rsidRPr="00885AB3" w:rsidRDefault="00995446" w:rsidP="00120D61">
      <w:pPr>
        <w:numPr>
          <w:ilvl w:val="1"/>
          <w:numId w:val="6"/>
        </w:numPr>
        <w:spacing w:after="120"/>
        <w:rPr>
          <w:rFonts w:asciiTheme="minorHAnsi" w:hAnsiTheme="minorHAnsi"/>
          <w:snapToGrid w:val="0"/>
        </w:rPr>
      </w:pPr>
      <w:bookmarkStart w:id="156" w:name="_Ref204013760"/>
      <w:bookmarkStart w:id="157" w:name="_Ref215138943"/>
      <w:r w:rsidRPr="00885AB3">
        <w:t xml:space="preserve">Consistent with its previous advice, the PBAC considered there is a high clinical need for vaccines against RSV to reduce the risk of infection in older adults, </w:t>
      </w:r>
      <w:r w:rsidRPr="00885AB3">
        <w:rPr>
          <w:rFonts w:asciiTheme="minorHAnsi" w:hAnsiTheme="minorHAnsi"/>
          <w:snapToGrid w:val="0"/>
        </w:rPr>
        <w:t>especially</w:t>
      </w:r>
      <w:r w:rsidR="009958E0" w:rsidRPr="00885AB3">
        <w:rPr>
          <w:rFonts w:asciiTheme="minorHAnsi" w:hAnsiTheme="minorHAnsi"/>
          <w:snapToGrid w:val="0"/>
        </w:rPr>
        <w:t xml:space="preserve"> for</w:t>
      </w:r>
      <w:r w:rsidRPr="00885AB3">
        <w:rPr>
          <w:rFonts w:asciiTheme="minorHAnsi" w:hAnsiTheme="minorHAnsi"/>
          <w:snapToGrid w:val="0"/>
        </w:rPr>
        <w:t xml:space="preserve"> those aged over 75 years, </w:t>
      </w:r>
      <w:r w:rsidR="001A1AF0" w:rsidRPr="00885AB3">
        <w:rPr>
          <w:rFonts w:asciiTheme="minorHAnsi" w:hAnsiTheme="minorHAnsi"/>
          <w:snapToGrid w:val="0"/>
        </w:rPr>
        <w:t xml:space="preserve">for </w:t>
      </w:r>
      <w:r w:rsidR="0018332E" w:rsidRPr="00885AB3">
        <w:rPr>
          <w:snapToGrid w:val="0"/>
        </w:rPr>
        <w:t>Aboriginal and Torres Strait Islander peoples aged 60 to 74 YOA</w:t>
      </w:r>
      <w:r w:rsidRPr="00885AB3">
        <w:rPr>
          <w:rFonts w:asciiTheme="minorHAnsi" w:hAnsiTheme="minorHAnsi"/>
          <w:snapToGrid w:val="0"/>
        </w:rPr>
        <w:t>, and</w:t>
      </w:r>
      <w:r w:rsidR="001A1AF0" w:rsidRPr="00885AB3">
        <w:rPr>
          <w:rFonts w:asciiTheme="minorHAnsi" w:hAnsiTheme="minorHAnsi"/>
          <w:snapToGrid w:val="0"/>
        </w:rPr>
        <w:t xml:space="preserve"> for</w:t>
      </w:r>
      <w:r w:rsidRPr="00885AB3">
        <w:rPr>
          <w:rFonts w:asciiTheme="minorHAnsi" w:hAnsiTheme="minorHAnsi"/>
          <w:snapToGrid w:val="0"/>
        </w:rPr>
        <w:t xml:space="preserve"> those vulnerable due to existing medical conditions </w:t>
      </w:r>
      <w:r w:rsidRPr="00885AB3">
        <w:t>(paragraph 7.4, RSVPreF3 OA Public Summary PSD, July 2024)</w:t>
      </w:r>
      <w:r w:rsidRPr="00885AB3">
        <w:rPr>
          <w:rFonts w:asciiTheme="minorHAnsi" w:hAnsiTheme="minorHAnsi"/>
          <w:snapToGrid w:val="0"/>
        </w:rPr>
        <w:t xml:space="preserve">. </w:t>
      </w:r>
      <w:r w:rsidRPr="00885AB3">
        <w:t>The PBAC noted the proposed</w:t>
      </w:r>
      <w:r w:rsidR="001A1AF0" w:rsidRPr="00885AB3">
        <w:t xml:space="preserve"> NIP</w:t>
      </w:r>
      <w:r w:rsidRPr="00885AB3">
        <w:t xml:space="preserve"> listing of a vaccine against RSV was supported by the consumer input received </w:t>
      </w:r>
      <w:r w:rsidRPr="00885AB3">
        <w:rPr>
          <w:rFonts w:asciiTheme="minorHAnsi" w:hAnsiTheme="minorHAnsi"/>
          <w:snapToGrid w:val="0"/>
        </w:rPr>
        <w:t xml:space="preserve">from </w:t>
      </w:r>
      <w:r w:rsidRPr="00885AB3">
        <w:rPr>
          <w:snapToGrid w:val="0"/>
        </w:rPr>
        <w:t>the Australian College of Nurse Practitioners</w:t>
      </w:r>
      <w:r w:rsidRPr="00885AB3">
        <w:rPr>
          <w:rFonts w:asciiTheme="minorHAnsi" w:hAnsiTheme="minorHAnsi"/>
          <w:snapToGrid w:val="0"/>
        </w:rPr>
        <w:t xml:space="preserve">, </w:t>
      </w:r>
      <w:r w:rsidRPr="00885AB3">
        <w:rPr>
          <w:snapToGrid w:val="0"/>
        </w:rPr>
        <w:t xml:space="preserve">Asthma Australia, and Lung Foundation Australia. The organisations did not preference a </w:t>
      </w:r>
      <w:bookmarkEnd w:id="156"/>
      <w:r w:rsidRPr="00885AB3">
        <w:t>particular RSV vaccine in their input.</w:t>
      </w:r>
      <w:bookmarkEnd w:id="157"/>
    </w:p>
    <w:p w14:paraId="3F195B8B" w14:textId="67E46774" w:rsidR="00D43F9F" w:rsidRPr="00885AB3" w:rsidRDefault="00AC435E" w:rsidP="00120D61">
      <w:pPr>
        <w:numPr>
          <w:ilvl w:val="1"/>
          <w:numId w:val="6"/>
        </w:numPr>
        <w:spacing w:after="120"/>
        <w:rPr>
          <w:rFonts w:asciiTheme="minorHAnsi" w:hAnsiTheme="minorHAnsi"/>
          <w:snapToGrid w:val="0"/>
        </w:rPr>
      </w:pPr>
      <w:r w:rsidRPr="00885AB3">
        <w:rPr>
          <w:rFonts w:asciiTheme="minorHAnsi" w:hAnsiTheme="minorHAnsi"/>
          <w:snapToGrid w:val="0"/>
        </w:rPr>
        <w:t>The PBAC accepted the</w:t>
      </w:r>
      <w:r w:rsidR="00C37E93" w:rsidRPr="00885AB3">
        <w:rPr>
          <w:rFonts w:asciiTheme="minorHAnsi" w:hAnsiTheme="minorHAnsi"/>
          <w:snapToGrid w:val="0"/>
        </w:rPr>
        <w:t xml:space="preserve"> wording of the</w:t>
      </w:r>
      <w:r w:rsidRPr="00885AB3">
        <w:rPr>
          <w:rFonts w:asciiTheme="minorHAnsi" w:hAnsiTheme="minorHAnsi"/>
          <w:snapToGrid w:val="0"/>
        </w:rPr>
        <w:t xml:space="preserve"> </w:t>
      </w:r>
      <w:r w:rsidR="00DB0021" w:rsidRPr="00885AB3">
        <w:rPr>
          <w:rFonts w:asciiTheme="minorHAnsi" w:hAnsiTheme="minorHAnsi"/>
          <w:snapToGrid w:val="0"/>
        </w:rPr>
        <w:t>proposed</w:t>
      </w:r>
      <w:r w:rsidRPr="00885AB3">
        <w:rPr>
          <w:rFonts w:asciiTheme="minorHAnsi" w:hAnsiTheme="minorHAnsi"/>
          <w:snapToGrid w:val="0"/>
        </w:rPr>
        <w:t xml:space="preserve"> listing</w:t>
      </w:r>
      <w:r w:rsidR="00B56617" w:rsidRPr="00885AB3">
        <w:rPr>
          <w:rFonts w:asciiTheme="minorHAnsi" w:hAnsiTheme="minorHAnsi"/>
          <w:snapToGrid w:val="0"/>
        </w:rPr>
        <w:t xml:space="preserve"> on the NIP</w:t>
      </w:r>
      <w:r w:rsidR="005970F0" w:rsidRPr="00885AB3">
        <w:rPr>
          <w:rFonts w:asciiTheme="minorHAnsi" w:hAnsiTheme="minorHAnsi"/>
          <w:snapToGrid w:val="0"/>
        </w:rPr>
        <w:t xml:space="preserve"> as a single dose</w:t>
      </w:r>
      <w:r w:rsidRPr="00885AB3">
        <w:rPr>
          <w:rFonts w:asciiTheme="minorHAnsi" w:hAnsiTheme="minorHAnsi"/>
          <w:snapToGrid w:val="0"/>
        </w:rPr>
        <w:t xml:space="preserve"> of </w:t>
      </w:r>
      <w:r w:rsidR="002A073B" w:rsidRPr="00885AB3">
        <w:rPr>
          <w:rFonts w:asciiTheme="minorHAnsi" w:hAnsiTheme="minorHAnsi"/>
          <w:snapToGrid w:val="0"/>
        </w:rPr>
        <w:t xml:space="preserve">mRNA-1345 </w:t>
      </w:r>
      <w:r w:rsidR="00DB0021" w:rsidRPr="00885AB3">
        <w:rPr>
          <w:rFonts w:asciiTheme="minorHAnsi" w:hAnsiTheme="minorHAnsi"/>
          <w:snapToGrid w:val="0"/>
        </w:rPr>
        <w:t>as</w:t>
      </w:r>
      <w:r w:rsidR="007B198D" w:rsidRPr="00885AB3">
        <w:rPr>
          <w:rFonts w:asciiTheme="minorHAnsi" w:hAnsiTheme="minorHAnsi"/>
          <w:snapToGrid w:val="0"/>
        </w:rPr>
        <w:t xml:space="preserve"> described in Section 3</w:t>
      </w:r>
      <w:r w:rsidR="000A7550" w:rsidRPr="00885AB3">
        <w:rPr>
          <w:rFonts w:asciiTheme="minorHAnsi" w:hAnsiTheme="minorHAnsi"/>
          <w:snapToGrid w:val="0"/>
        </w:rPr>
        <w:t xml:space="preserve"> (Requested listing)</w:t>
      </w:r>
      <w:r w:rsidR="007B198D" w:rsidRPr="00885AB3">
        <w:rPr>
          <w:rFonts w:asciiTheme="minorHAnsi" w:hAnsiTheme="minorHAnsi"/>
          <w:snapToGrid w:val="0"/>
        </w:rPr>
        <w:t xml:space="preserve">. </w:t>
      </w:r>
      <w:r w:rsidR="00DC0E9F" w:rsidRPr="00885AB3">
        <w:rPr>
          <w:rFonts w:asciiTheme="minorHAnsi" w:hAnsiTheme="minorHAnsi"/>
          <w:snapToGrid w:val="0"/>
        </w:rPr>
        <w:t>The PBAC noted that populations</w:t>
      </w:r>
      <w:r w:rsidR="000A7550" w:rsidRPr="00885AB3">
        <w:rPr>
          <w:rFonts w:asciiTheme="minorHAnsi" w:hAnsiTheme="minorHAnsi"/>
          <w:snapToGrid w:val="0"/>
        </w:rPr>
        <w:t xml:space="preserve"> specified</w:t>
      </w:r>
      <w:r w:rsidR="0022761D" w:rsidRPr="00885AB3">
        <w:rPr>
          <w:rFonts w:asciiTheme="minorHAnsi" w:hAnsiTheme="minorHAnsi"/>
          <w:snapToGrid w:val="0"/>
        </w:rPr>
        <w:t xml:space="preserve"> for vaccination (</w:t>
      </w:r>
      <w:r w:rsidR="0022761D" w:rsidRPr="00885AB3">
        <w:t>individuals</w:t>
      </w:r>
      <w:r w:rsidR="0022761D" w:rsidRPr="00885AB3">
        <w:rPr>
          <w:snapToGrid w:val="0"/>
        </w:rPr>
        <w:t xml:space="preserve"> aged </w:t>
      </w:r>
      <w:r w:rsidR="00EF2FA4">
        <w:rPr>
          <w:rFonts w:cs="Calibri"/>
        </w:rPr>
        <w:t xml:space="preserve">≥ </w:t>
      </w:r>
      <w:r w:rsidR="0022761D" w:rsidRPr="00885AB3">
        <w:rPr>
          <w:snapToGrid w:val="0"/>
        </w:rPr>
        <w:t>75 YOA and Aboriginal and Torres Strait Islander peoples aged 60 to 74 YOA)</w:t>
      </w:r>
      <w:r w:rsidR="009D5C81" w:rsidRPr="00885AB3">
        <w:rPr>
          <w:rFonts w:asciiTheme="minorHAnsi" w:hAnsiTheme="minorHAnsi"/>
          <w:snapToGrid w:val="0"/>
        </w:rPr>
        <w:t xml:space="preserve"> </w:t>
      </w:r>
      <w:r w:rsidR="00021719" w:rsidRPr="00885AB3">
        <w:rPr>
          <w:rFonts w:asciiTheme="minorHAnsi" w:hAnsiTheme="minorHAnsi"/>
          <w:snapToGrid w:val="0"/>
        </w:rPr>
        <w:t xml:space="preserve">are included in the </w:t>
      </w:r>
      <w:r w:rsidR="006C2218" w:rsidRPr="00885AB3">
        <w:rPr>
          <w:rFonts w:asciiTheme="minorHAnsi" w:hAnsiTheme="minorHAnsi"/>
          <w:snapToGrid w:val="0"/>
        </w:rPr>
        <w:t>identified groups</w:t>
      </w:r>
      <w:r w:rsidR="00021719" w:rsidRPr="00885AB3">
        <w:rPr>
          <w:rFonts w:asciiTheme="minorHAnsi" w:hAnsiTheme="minorHAnsi"/>
          <w:snapToGrid w:val="0"/>
        </w:rPr>
        <w:t xml:space="preserve"> of older adults </w:t>
      </w:r>
      <w:r w:rsidR="009B4E3A" w:rsidRPr="00885AB3">
        <w:rPr>
          <w:rFonts w:asciiTheme="minorHAnsi" w:hAnsiTheme="minorHAnsi"/>
          <w:snapToGrid w:val="0"/>
        </w:rPr>
        <w:t>who are</w:t>
      </w:r>
      <w:r w:rsidR="00021719" w:rsidRPr="00885AB3">
        <w:rPr>
          <w:rFonts w:asciiTheme="minorHAnsi" w:hAnsiTheme="minorHAnsi"/>
          <w:snapToGrid w:val="0"/>
        </w:rPr>
        <w:t xml:space="preserve"> at risk of </w:t>
      </w:r>
      <w:r w:rsidR="009B4E3A" w:rsidRPr="00885AB3">
        <w:rPr>
          <w:rFonts w:asciiTheme="minorHAnsi" w:hAnsiTheme="minorHAnsi"/>
          <w:snapToGrid w:val="0"/>
        </w:rPr>
        <w:t xml:space="preserve">LRTD due to RSV (paragraph </w:t>
      </w:r>
      <w:r w:rsidR="00F25DE5" w:rsidRPr="00885AB3">
        <w:rPr>
          <w:rFonts w:asciiTheme="minorHAnsi" w:hAnsiTheme="minorHAnsi"/>
          <w:snapToGrid w:val="0"/>
        </w:rPr>
        <w:fldChar w:fldCharType="begin" w:fldLock="1"/>
      </w:r>
      <w:r w:rsidR="00F25DE5" w:rsidRPr="00885AB3">
        <w:rPr>
          <w:rFonts w:asciiTheme="minorHAnsi" w:hAnsiTheme="minorHAnsi"/>
          <w:snapToGrid w:val="0"/>
        </w:rPr>
        <w:instrText xml:space="preserve"> REF _Ref215138943 \r \h </w:instrText>
      </w:r>
      <w:r w:rsidR="003D44C6" w:rsidRPr="00885AB3">
        <w:rPr>
          <w:rFonts w:asciiTheme="minorHAnsi" w:hAnsiTheme="minorHAnsi"/>
          <w:snapToGrid w:val="0"/>
        </w:rPr>
        <w:instrText xml:space="preserve"> \* MERGEFORMAT </w:instrText>
      </w:r>
      <w:r w:rsidR="00F25DE5" w:rsidRPr="00885AB3">
        <w:rPr>
          <w:rFonts w:asciiTheme="minorHAnsi" w:hAnsiTheme="minorHAnsi"/>
          <w:snapToGrid w:val="0"/>
        </w:rPr>
      </w:r>
      <w:r w:rsidR="00F25DE5" w:rsidRPr="00885AB3">
        <w:rPr>
          <w:rFonts w:asciiTheme="minorHAnsi" w:hAnsiTheme="minorHAnsi"/>
          <w:snapToGrid w:val="0"/>
        </w:rPr>
        <w:fldChar w:fldCharType="separate"/>
      </w:r>
      <w:r w:rsidR="00515933" w:rsidRPr="00885AB3">
        <w:rPr>
          <w:rFonts w:asciiTheme="minorHAnsi" w:hAnsiTheme="minorHAnsi"/>
          <w:snapToGrid w:val="0"/>
        </w:rPr>
        <w:t>7.4</w:t>
      </w:r>
      <w:r w:rsidR="00F25DE5" w:rsidRPr="00885AB3">
        <w:rPr>
          <w:rFonts w:asciiTheme="minorHAnsi" w:hAnsiTheme="minorHAnsi"/>
          <w:snapToGrid w:val="0"/>
        </w:rPr>
        <w:fldChar w:fldCharType="end"/>
      </w:r>
      <w:r w:rsidR="00F25DE5" w:rsidRPr="00885AB3">
        <w:rPr>
          <w:rFonts w:asciiTheme="minorHAnsi" w:hAnsiTheme="minorHAnsi"/>
          <w:snapToGrid w:val="0"/>
        </w:rPr>
        <w:t>)</w:t>
      </w:r>
      <w:r w:rsidR="00401663" w:rsidRPr="00885AB3">
        <w:rPr>
          <w:rFonts w:asciiTheme="minorHAnsi" w:hAnsiTheme="minorHAnsi"/>
          <w:snapToGrid w:val="0"/>
        </w:rPr>
        <w:t>. However, the PBAC considered that</w:t>
      </w:r>
      <w:r w:rsidR="00D108FF" w:rsidRPr="00885AB3">
        <w:rPr>
          <w:rFonts w:asciiTheme="minorHAnsi" w:hAnsiTheme="minorHAnsi"/>
          <w:snapToGrid w:val="0"/>
        </w:rPr>
        <w:t xml:space="preserve"> the efficacy of mRNA-1345 in the </w:t>
      </w:r>
      <w:r w:rsidR="00EF2FA4">
        <w:rPr>
          <w:rFonts w:cs="Calibri"/>
        </w:rPr>
        <w:t xml:space="preserve">≥ </w:t>
      </w:r>
      <w:r w:rsidR="00D108FF" w:rsidRPr="00885AB3">
        <w:rPr>
          <w:snapToGrid w:val="0"/>
        </w:rPr>
        <w:t xml:space="preserve">75 age group </w:t>
      </w:r>
      <w:r w:rsidR="00E018E8" w:rsidRPr="00885AB3">
        <w:rPr>
          <w:snapToGrid w:val="0"/>
        </w:rPr>
        <w:t>is</w:t>
      </w:r>
      <w:r w:rsidR="00D108FF" w:rsidRPr="00885AB3">
        <w:rPr>
          <w:snapToGrid w:val="0"/>
        </w:rPr>
        <w:t xml:space="preserve"> uncertain (see paragraph </w:t>
      </w:r>
      <w:r w:rsidR="0032680D" w:rsidRPr="00885AB3">
        <w:rPr>
          <w:snapToGrid w:val="0"/>
        </w:rPr>
        <w:fldChar w:fldCharType="begin" w:fldLock="1"/>
      </w:r>
      <w:r w:rsidR="0032680D" w:rsidRPr="00885AB3">
        <w:rPr>
          <w:snapToGrid w:val="0"/>
        </w:rPr>
        <w:instrText xml:space="preserve"> REF _Ref215506381 \r \h </w:instrText>
      </w:r>
      <w:r w:rsidR="0032680D" w:rsidRPr="00885AB3">
        <w:rPr>
          <w:snapToGrid w:val="0"/>
        </w:rPr>
      </w:r>
      <w:r w:rsidR="0032680D" w:rsidRPr="00885AB3">
        <w:rPr>
          <w:snapToGrid w:val="0"/>
        </w:rPr>
        <w:fldChar w:fldCharType="separate"/>
      </w:r>
      <w:r w:rsidR="00515933" w:rsidRPr="00885AB3">
        <w:rPr>
          <w:snapToGrid w:val="0"/>
        </w:rPr>
        <w:t>7.10</w:t>
      </w:r>
      <w:r w:rsidR="0032680D" w:rsidRPr="00885AB3">
        <w:rPr>
          <w:snapToGrid w:val="0"/>
        </w:rPr>
        <w:fldChar w:fldCharType="end"/>
      </w:r>
      <w:r w:rsidR="00D108FF" w:rsidRPr="00885AB3">
        <w:rPr>
          <w:snapToGrid w:val="0"/>
        </w:rPr>
        <w:t xml:space="preserve"> below), as </w:t>
      </w:r>
      <w:r w:rsidR="00E018E8" w:rsidRPr="00885AB3">
        <w:rPr>
          <w:snapToGrid w:val="0"/>
        </w:rPr>
        <w:t>is</w:t>
      </w:r>
      <w:r w:rsidR="00D108FF" w:rsidRPr="00885AB3">
        <w:rPr>
          <w:snapToGrid w:val="0"/>
        </w:rPr>
        <w:t xml:space="preserve"> the </w:t>
      </w:r>
      <w:r w:rsidR="00E018E8" w:rsidRPr="00885AB3">
        <w:rPr>
          <w:snapToGrid w:val="0"/>
        </w:rPr>
        <w:t xml:space="preserve">magnitude of the </w:t>
      </w:r>
      <w:r w:rsidR="00710D5A" w:rsidRPr="00885AB3">
        <w:rPr>
          <w:snapToGrid w:val="0"/>
        </w:rPr>
        <w:t xml:space="preserve">longer term VE conferred by a single dose (see paragraph </w:t>
      </w:r>
      <w:r w:rsidR="0032680D" w:rsidRPr="00885AB3">
        <w:rPr>
          <w:snapToGrid w:val="0"/>
        </w:rPr>
        <w:fldChar w:fldCharType="begin" w:fldLock="1"/>
      </w:r>
      <w:r w:rsidR="0032680D" w:rsidRPr="00885AB3">
        <w:rPr>
          <w:snapToGrid w:val="0"/>
        </w:rPr>
        <w:instrText xml:space="preserve"> REF _Ref215506397 \r \h </w:instrText>
      </w:r>
      <w:r w:rsidR="0032680D" w:rsidRPr="00885AB3">
        <w:rPr>
          <w:snapToGrid w:val="0"/>
        </w:rPr>
      </w:r>
      <w:r w:rsidR="0032680D" w:rsidRPr="00885AB3">
        <w:rPr>
          <w:snapToGrid w:val="0"/>
        </w:rPr>
        <w:fldChar w:fldCharType="separate"/>
      </w:r>
      <w:r w:rsidR="00515933" w:rsidRPr="00885AB3">
        <w:rPr>
          <w:snapToGrid w:val="0"/>
        </w:rPr>
        <w:t>7.11</w:t>
      </w:r>
      <w:r w:rsidR="0032680D" w:rsidRPr="00885AB3">
        <w:rPr>
          <w:snapToGrid w:val="0"/>
        </w:rPr>
        <w:fldChar w:fldCharType="end"/>
      </w:r>
      <w:r w:rsidR="00710D5A" w:rsidRPr="00885AB3">
        <w:rPr>
          <w:snapToGrid w:val="0"/>
        </w:rPr>
        <w:t xml:space="preserve"> below).</w:t>
      </w:r>
    </w:p>
    <w:p w14:paraId="6A694DF0" w14:textId="0AA034B5" w:rsidR="00FE60CA" w:rsidRPr="00885AB3" w:rsidRDefault="00355678" w:rsidP="00120D61">
      <w:pPr>
        <w:numPr>
          <w:ilvl w:val="1"/>
          <w:numId w:val="6"/>
        </w:numPr>
        <w:spacing w:after="120"/>
        <w:rPr>
          <w:rFonts w:asciiTheme="minorHAnsi" w:hAnsiTheme="minorHAnsi"/>
          <w:snapToGrid w:val="0"/>
        </w:rPr>
      </w:pPr>
      <w:r w:rsidRPr="00885AB3">
        <w:rPr>
          <w:rFonts w:asciiTheme="minorHAnsi" w:hAnsiTheme="minorHAnsi"/>
          <w:snapToGrid w:val="0"/>
        </w:rPr>
        <w:t xml:space="preserve">The PBAC accepted the </w:t>
      </w:r>
      <w:r w:rsidR="00513276" w:rsidRPr="00885AB3">
        <w:rPr>
          <w:rFonts w:asciiTheme="minorHAnsi" w:hAnsiTheme="minorHAnsi"/>
          <w:snapToGrid w:val="0"/>
        </w:rPr>
        <w:t xml:space="preserve">following </w:t>
      </w:r>
      <w:r w:rsidR="00751C69" w:rsidRPr="00885AB3">
        <w:rPr>
          <w:rFonts w:asciiTheme="minorHAnsi" w:hAnsiTheme="minorHAnsi"/>
          <w:snapToGrid w:val="0"/>
        </w:rPr>
        <w:t>nominated comparators:</w:t>
      </w:r>
      <w:r w:rsidR="00D04A78" w:rsidRPr="00885AB3">
        <w:rPr>
          <w:rFonts w:asciiTheme="minorHAnsi" w:hAnsiTheme="minorHAnsi"/>
          <w:snapToGrid w:val="0"/>
        </w:rPr>
        <w:t xml:space="preserve"> </w:t>
      </w:r>
    </w:p>
    <w:p w14:paraId="2E0A98E4" w14:textId="4ECAE09F" w:rsidR="00FE60CA" w:rsidRPr="00885AB3" w:rsidRDefault="00D04A78" w:rsidP="00120D61">
      <w:pPr>
        <w:pStyle w:val="ListParagraph"/>
        <w:numPr>
          <w:ilvl w:val="0"/>
          <w:numId w:val="43"/>
        </w:numPr>
        <w:ind w:left="993" w:hanging="284"/>
        <w:jc w:val="both"/>
      </w:pPr>
      <w:proofErr w:type="spellStart"/>
      <w:r w:rsidRPr="00885AB3">
        <w:t>RSVPreF</w:t>
      </w:r>
      <w:proofErr w:type="spellEnd"/>
      <w:r w:rsidRPr="00885AB3">
        <w:t xml:space="preserve"> as the main comparator</w:t>
      </w:r>
      <w:r w:rsidR="00E01C1C" w:rsidRPr="00885AB3">
        <w:t xml:space="preserve">, </w:t>
      </w:r>
      <w:r w:rsidR="00226DD9" w:rsidRPr="00885AB3">
        <w:t xml:space="preserve">which </w:t>
      </w:r>
      <w:r w:rsidR="00C42467" w:rsidRPr="00885AB3">
        <w:t>was</w:t>
      </w:r>
      <w:r w:rsidR="00803670" w:rsidRPr="00885AB3">
        <w:t xml:space="preserve"> the only RSV vaccine to </w:t>
      </w:r>
      <w:r w:rsidR="003764C7" w:rsidRPr="00885AB3">
        <w:t>have been</w:t>
      </w:r>
      <w:r w:rsidR="00803670" w:rsidRPr="00885AB3">
        <w:t xml:space="preserve"> </w:t>
      </w:r>
      <w:r w:rsidR="00016844" w:rsidRPr="00885AB3">
        <w:t>recommended for listing on the NIP at the time of</w:t>
      </w:r>
      <w:r w:rsidR="009B67AC" w:rsidRPr="00885AB3">
        <w:t xml:space="preserve"> preparing the</w:t>
      </w:r>
      <w:r w:rsidR="00016844" w:rsidRPr="00885AB3">
        <w:t xml:space="preserve"> submission; </w:t>
      </w:r>
      <w:r w:rsidR="00950DB4" w:rsidRPr="00885AB3">
        <w:t>and</w:t>
      </w:r>
    </w:p>
    <w:p w14:paraId="517F7BAB" w14:textId="3B03E76C" w:rsidR="00A55C7B" w:rsidRPr="00885AB3" w:rsidRDefault="00016844" w:rsidP="00120D61">
      <w:pPr>
        <w:pStyle w:val="ListParagraph"/>
        <w:numPr>
          <w:ilvl w:val="0"/>
          <w:numId w:val="43"/>
        </w:numPr>
        <w:ind w:left="993" w:hanging="284"/>
        <w:jc w:val="both"/>
      </w:pPr>
      <w:r w:rsidRPr="00885AB3">
        <w:rPr>
          <w:iCs/>
        </w:rPr>
        <w:t>RSVPreF3 OA as a near market comparator</w:t>
      </w:r>
      <w:r w:rsidR="00E01C1C" w:rsidRPr="00885AB3">
        <w:rPr>
          <w:iCs/>
        </w:rPr>
        <w:t xml:space="preserve">, </w:t>
      </w:r>
      <w:r w:rsidR="00D173D9" w:rsidRPr="00885AB3">
        <w:rPr>
          <w:iCs/>
        </w:rPr>
        <w:t xml:space="preserve">which </w:t>
      </w:r>
      <w:r w:rsidR="001F1BBD" w:rsidRPr="00885AB3">
        <w:rPr>
          <w:iCs/>
        </w:rPr>
        <w:t>was</w:t>
      </w:r>
      <w:r w:rsidR="00D173D9" w:rsidRPr="00885AB3">
        <w:rPr>
          <w:iCs/>
        </w:rPr>
        <w:t xml:space="preserve"> considered at the July 2024 meeting</w:t>
      </w:r>
      <w:r w:rsidR="0042691C" w:rsidRPr="00885AB3">
        <w:rPr>
          <w:iCs/>
        </w:rPr>
        <w:t xml:space="preserve"> and was subsequently recommended for listing on the NIP at the July 2025 meeting</w:t>
      </w:r>
      <w:r w:rsidR="00A96EBE" w:rsidRPr="00885AB3">
        <w:rPr>
          <w:iCs/>
        </w:rPr>
        <w:t>.</w:t>
      </w:r>
    </w:p>
    <w:p w14:paraId="77C40A49" w14:textId="52F2C482" w:rsidR="00A96EBE" w:rsidRPr="00885AB3" w:rsidRDefault="009F04B1" w:rsidP="00120D61">
      <w:pPr>
        <w:numPr>
          <w:ilvl w:val="1"/>
          <w:numId w:val="6"/>
        </w:numPr>
        <w:spacing w:after="120"/>
      </w:pPr>
      <w:bookmarkStart w:id="158" w:name="_Ref216174998"/>
      <w:r w:rsidRPr="00885AB3">
        <w:t>In the context of the deferral, t</w:t>
      </w:r>
      <w:r w:rsidR="00A96EBE" w:rsidRPr="00885AB3">
        <w:t xml:space="preserve">he PBAC did not accept </w:t>
      </w:r>
      <w:r w:rsidR="00696C16" w:rsidRPr="00885AB3">
        <w:t>‘</w:t>
      </w:r>
      <w:r w:rsidR="000B5A43" w:rsidRPr="00885AB3">
        <w:t>no vaccine</w:t>
      </w:r>
      <w:r w:rsidR="00696C16" w:rsidRPr="00885AB3">
        <w:t>’</w:t>
      </w:r>
      <w:r w:rsidR="000B5A43" w:rsidRPr="00885AB3">
        <w:t xml:space="preserve"> as a comparator noting </w:t>
      </w:r>
      <w:r w:rsidR="008129DE" w:rsidRPr="00885AB3">
        <w:t xml:space="preserve">this would only </w:t>
      </w:r>
      <w:r w:rsidR="008626B2" w:rsidRPr="00885AB3">
        <w:t xml:space="preserve">be </w:t>
      </w:r>
      <w:r w:rsidR="008129DE" w:rsidRPr="00885AB3">
        <w:t xml:space="preserve">relevant </w:t>
      </w:r>
      <w:r w:rsidR="00D4052D" w:rsidRPr="00885AB3">
        <w:t xml:space="preserve">if neither </w:t>
      </w:r>
      <w:proofErr w:type="spellStart"/>
      <w:r w:rsidR="00D4052D" w:rsidRPr="00885AB3">
        <w:t>RSVPreF</w:t>
      </w:r>
      <w:proofErr w:type="spellEnd"/>
      <w:r w:rsidR="00D4052D" w:rsidRPr="00885AB3">
        <w:rPr>
          <w:rFonts w:asciiTheme="minorHAnsi" w:hAnsiTheme="minorHAnsi"/>
          <w:snapToGrid w:val="0"/>
        </w:rPr>
        <w:t xml:space="preserve"> </w:t>
      </w:r>
      <w:r w:rsidR="00E1248C" w:rsidRPr="00885AB3">
        <w:rPr>
          <w:rFonts w:asciiTheme="minorHAnsi" w:hAnsiTheme="minorHAnsi"/>
          <w:snapToGrid w:val="0"/>
        </w:rPr>
        <w:t>nor</w:t>
      </w:r>
      <w:r w:rsidR="00D4052D" w:rsidRPr="00885AB3">
        <w:rPr>
          <w:rFonts w:asciiTheme="minorHAnsi" w:hAnsiTheme="minorHAnsi"/>
          <w:snapToGrid w:val="0"/>
        </w:rPr>
        <w:t xml:space="preserve"> </w:t>
      </w:r>
      <w:r w:rsidR="00D4052D" w:rsidRPr="00885AB3">
        <w:t>RSVPreF3 OA</w:t>
      </w:r>
      <w:r w:rsidR="00051687" w:rsidRPr="00885AB3">
        <w:t xml:space="preserve"> were listed on the NIP.</w:t>
      </w:r>
      <w:bookmarkEnd w:id="158"/>
    </w:p>
    <w:p w14:paraId="0407BA54" w14:textId="46598C58" w:rsidR="000A1A99" w:rsidRPr="00885AB3" w:rsidRDefault="00E1506A" w:rsidP="00120D61">
      <w:pPr>
        <w:numPr>
          <w:ilvl w:val="1"/>
          <w:numId w:val="6"/>
        </w:numPr>
        <w:spacing w:after="120"/>
        <w:rPr>
          <w:rFonts w:asciiTheme="minorHAnsi" w:hAnsiTheme="minorHAnsi"/>
          <w:snapToGrid w:val="0"/>
        </w:rPr>
      </w:pPr>
      <w:r w:rsidRPr="00885AB3">
        <w:rPr>
          <w:rFonts w:eastAsia="Calibri"/>
        </w:rPr>
        <w:t xml:space="preserve">The submission claimed that </w:t>
      </w:r>
      <w:r w:rsidRPr="00885AB3">
        <w:t xml:space="preserve">for adults </w:t>
      </w:r>
      <w:r w:rsidR="00EF2FA4">
        <w:t xml:space="preserve">≥ </w:t>
      </w:r>
      <w:r w:rsidRPr="00885AB3">
        <w:t xml:space="preserve">75 YOA and Aboriginal and Torres Strait Islander people </w:t>
      </w:r>
      <w:r w:rsidR="001C78D7">
        <w:rPr>
          <w:u w:val="single"/>
        </w:rPr>
        <w:t xml:space="preserve">&gt; </w:t>
      </w:r>
      <w:r w:rsidRPr="00885AB3">
        <w:t>60 YOA,</w:t>
      </w:r>
      <w:r w:rsidRPr="00885AB3">
        <w:rPr>
          <w:rFonts w:eastAsia="Calibri"/>
        </w:rPr>
        <w:t xml:space="preserve"> </w:t>
      </w:r>
      <w:r w:rsidRPr="00885AB3">
        <w:rPr>
          <w:lang w:eastAsia="en-US"/>
        </w:rPr>
        <w:t xml:space="preserve">mRNA-1345 </w:t>
      </w:r>
      <w:r w:rsidRPr="00885AB3">
        <w:rPr>
          <w:rFonts w:eastAsia="Calibri"/>
        </w:rPr>
        <w:t xml:space="preserve">is non-inferior in terms of efficacy compared to </w:t>
      </w:r>
      <w:proofErr w:type="spellStart"/>
      <w:r w:rsidRPr="00885AB3">
        <w:rPr>
          <w:rFonts w:eastAsia="Calibri"/>
        </w:rPr>
        <w:t>RSVPreF</w:t>
      </w:r>
      <w:proofErr w:type="spellEnd"/>
      <w:r w:rsidRPr="00885AB3">
        <w:rPr>
          <w:rFonts w:eastAsia="Calibri"/>
        </w:rPr>
        <w:t xml:space="preserve"> and RSVPreF3 OA.</w:t>
      </w:r>
      <w:r w:rsidR="00CB0685" w:rsidRPr="00885AB3">
        <w:rPr>
          <w:rFonts w:eastAsia="Calibri"/>
        </w:rPr>
        <w:t xml:space="preserve"> </w:t>
      </w:r>
      <w:r w:rsidR="00CB0685" w:rsidRPr="00885AB3">
        <w:t xml:space="preserve">The submission provided an </w:t>
      </w:r>
      <w:r w:rsidR="00CB0685" w:rsidRPr="00885AB3">
        <w:rPr>
          <w:snapToGrid w:val="0"/>
        </w:rPr>
        <w:t>ITC for mRNA-1345 (</w:t>
      </w:r>
      <w:proofErr w:type="spellStart"/>
      <w:r w:rsidR="00CB0685" w:rsidRPr="00885AB3">
        <w:rPr>
          <w:snapToGrid w:val="0"/>
        </w:rPr>
        <w:t>ConquerRSV</w:t>
      </w:r>
      <w:proofErr w:type="spellEnd"/>
      <w:r w:rsidR="00CB0685" w:rsidRPr="00885AB3">
        <w:rPr>
          <w:snapToGrid w:val="0"/>
        </w:rPr>
        <w:t xml:space="preserve"> trial) against </w:t>
      </w:r>
      <w:proofErr w:type="spellStart"/>
      <w:r w:rsidR="00CB0685" w:rsidRPr="00885AB3">
        <w:t>RSVPreF</w:t>
      </w:r>
      <w:proofErr w:type="spellEnd"/>
      <w:r w:rsidR="00CB0685" w:rsidRPr="00885AB3">
        <w:t xml:space="preserve"> (RENOIR trial) and RSVPreF3 OA (AReSVi-006 trial) </w:t>
      </w:r>
      <w:r w:rsidR="00CB0685" w:rsidRPr="00885AB3">
        <w:rPr>
          <w:snapToGrid w:val="0"/>
        </w:rPr>
        <w:t xml:space="preserve">for VE assessed as RSV-LRTD </w:t>
      </w:r>
      <w:r w:rsidR="00EF2FA4">
        <w:t xml:space="preserve">≥ </w:t>
      </w:r>
      <w:r w:rsidR="00CB0685" w:rsidRPr="00885AB3">
        <w:rPr>
          <w:snapToGrid w:val="0"/>
        </w:rPr>
        <w:t>2</w:t>
      </w:r>
      <w:r w:rsidR="00CB0685" w:rsidRPr="00885AB3" w:rsidDel="008E1C8E">
        <w:rPr>
          <w:snapToGrid w:val="0"/>
        </w:rPr>
        <w:t xml:space="preserve"> </w:t>
      </w:r>
      <w:r w:rsidR="00CB0685" w:rsidRPr="00885AB3">
        <w:rPr>
          <w:snapToGrid w:val="0"/>
        </w:rPr>
        <w:t xml:space="preserve">symptoms, RSV-LRTD with </w:t>
      </w:r>
      <w:r w:rsidR="00EF2FA4">
        <w:t xml:space="preserve">≥ </w:t>
      </w:r>
      <w:r w:rsidR="00CB0685" w:rsidRPr="00885AB3">
        <w:rPr>
          <w:snapToGrid w:val="0"/>
        </w:rPr>
        <w:t>3 symptoms</w:t>
      </w:r>
      <w:r w:rsidR="00CB0685" w:rsidRPr="00885AB3" w:rsidDel="008E1C8E">
        <w:rPr>
          <w:snapToGrid w:val="0"/>
        </w:rPr>
        <w:t xml:space="preserve"> </w:t>
      </w:r>
      <w:r w:rsidR="00CB0685" w:rsidRPr="00885AB3">
        <w:rPr>
          <w:snapToGrid w:val="0"/>
        </w:rPr>
        <w:t>and ARD in</w:t>
      </w:r>
      <w:r w:rsidR="00CB0685" w:rsidRPr="00885AB3">
        <w:t xml:space="preserve"> </w:t>
      </w:r>
      <w:r w:rsidR="00CB0685" w:rsidRPr="00885AB3">
        <w:rPr>
          <w:snapToGrid w:val="0"/>
        </w:rPr>
        <w:t xml:space="preserve">the </w:t>
      </w:r>
      <w:r w:rsidR="00EF2FA4">
        <w:t xml:space="preserve">≥ </w:t>
      </w:r>
      <w:r w:rsidR="00CB0685" w:rsidRPr="00885AB3">
        <w:t xml:space="preserve">75 YOA </w:t>
      </w:r>
      <w:r w:rsidR="00CB0685" w:rsidRPr="00885AB3">
        <w:rPr>
          <w:snapToGrid w:val="0"/>
        </w:rPr>
        <w:t>population, using placebo as the common reference.</w:t>
      </w:r>
    </w:p>
    <w:p w14:paraId="762A3A4A" w14:textId="1DE65EC1" w:rsidR="008852BC" w:rsidRPr="00885AB3" w:rsidRDefault="008852BC" w:rsidP="00120D61">
      <w:pPr>
        <w:pStyle w:val="3-BodyText"/>
        <w:numPr>
          <w:ilvl w:val="1"/>
          <w:numId w:val="6"/>
        </w:numPr>
        <w:rPr>
          <w:snapToGrid w:val="0"/>
        </w:rPr>
      </w:pPr>
      <w:r w:rsidRPr="00885AB3">
        <w:rPr>
          <w:snapToGrid w:val="0"/>
        </w:rPr>
        <w:lastRenderedPageBreak/>
        <w:t>The</w:t>
      </w:r>
      <w:r w:rsidR="00CE640C" w:rsidRPr="00885AB3" w:rsidDel="00CE640C">
        <w:rPr>
          <w:snapToGrid w:val="0"/>
        </w:rPr>
        <w:t xml:space="preserve"> </w:t>
      </w:r>
      <w:proofErr w:type="spellStart"/>
      <w:r w:rsidR="00635D05" w:rsidRPr="00885AB3">
        <w:rPr>
          <w:snapToGrid w:val="0"/>
        </w:rPr>
        <w:t>ConquerRSV</w:t>
      </w:r>
      <w:proofErr w:type="spellEnd"/>
      <w:r w:rsidR="00CE640C" w:rsidRPr="00885AB3">
        <w:rPr>
          <w:snapToGrid w:val="0"/>
        </w:rPr>
        <w:t xml:space="preserve"> trial</w:t>
      </w:r>
      <w:r w:rsidRPr="00885AB3">
        <w:rPr>
          <w:snapToGrid w:val="0"/>
        </w:rPr>
        <w:t xml:space="preserve"> </w:t>
      </w:r>
      <w:r w:rsidRPr="00885AB3">
        <w:t xml:space="preserve">compared the efficacy and safety of </w:t>
      </w:r>
      <w:r w:rsidR="00316B50" w:rsidRPr="00885AB3">
        <w:t>mRNA-1345</w:t>
      </w:r>
      <w:r w:rsidRPr="00885AB3">
        <w:t xml:space="preserve"> to placebo in adults</w:t>
      </w:r>
      <w:r w:rsidRPr="00885AB3">
        <w:rPr>
          <w:iCs/>
        </w:rPr>
        <w:t xml:space="preserve"> </w:t>
      </w:r>
      <w:r w:rsidR="00EF2FA4">
        <w:rPr>
          <w:rFonts w:cstheme="minorHAnsi"/>
          <w:iCs/>
        </w:rPr>
        <w:t xml:space="preserve">≥ </w:t>
      </w:r>
      <w:r w:rsidRPr="00885AB3">
        <w:rPr>
          <w:iCs/>
        </w:rPr>
        <w:t>60 years</w:t>
      </w:r>
      <w:r w:rsidR="00CE640C" w:rsidRPr="00885AB3">
        <w:rPr>
          <w:iCs/>
        </w:rPr>
        <w:t>, and</w:t>
      </w:r>
      <w:r w:rsidR="00DE22C3" w:rsidRPr="00885AB3">
        <w:rPr>
          <w:iCs/>
        </w:rPr>
        <w:t xml:space="preserve"> was ongoing at the time </w:t>
      </w:r>
      <w:r w:rsidR="00BD4AED" w:rsidRPr="00885AB3">
        <w:rPr>
          <w:iCs/>
        </w:rPr>
        <w:t>the submission was prepared</w:t>
      </w:r>
      <w:r w:rsidR="00DE22C3" w:rsidRPr="00885AB3">
        <w:rPr>
          <w:iCs/>
        </w:rPr>
        <w:t xml:space="preserve"> </w:t>
      </w:r>
      <w:r w:rsidR="00DD0755" w:rsidRPr="00885AB3">
        <w:rPr>
          <w:iCs/>
        </w:rPr>
        <w:t xml:space="preserve">although </w:t>
      </w:r>
      <w:r w:rsidR="00DE22C3" w:rsidRPr="00885AB3">
        <w:rPr>
          <w:iCs/>
        </w:rPr>
        <w:t>has since been completed</w:t>
      </w:r>
      <w:r w:rsidR="005756B2" w:rsidRPr="00885AB3">
        <w:rPr>
          <w:iCs/>
        </w:rPr>
        <w:t>. The evaluation considered that the</w:t>
      </w:r>
      <w:r w:rsidR="006B212E" w:rsidRPr="00885AB3">
        <w:rPr>
          <w:iCs/>
        </w:rPr>
        <w:t xml:space="preserve"> results for the</w:t>
      </w:r>
      <w:r w:rsidR="005756B2" w:rsidRPr="00885AB3">
        <w:rPr>
          <w:iCs/>
        </w:rPr>
        <w:t xml:space="preserve"> primary </w:t>
      </w:r>
      <w:r w:rsidR="006B212E" w:rsidRPr="00885AB3">
        <w:rPr>
          <w:iCs/>
        </w:rPr>
        <w:t xml:space="preserve">analysis </w:t>
      </w:r>
      <w:r w:rsidR="005756B2" w:rsidRPr="00885AB3">
        <w:rPr>
          <w:iCs/>
        </w:rPr>
        <w:t>were highly uncertain due to immaturity</w:t>
      </w:r>
      <w:r w:rsidR="00DC4C97" w:rsidRPr="00885AB3">
        <w:rPr>
          <w:iCs/>
        </w:rPr>
        <w:t xml:space="preserve"> and </w:t>
      </w:r>
      <w:r w:rsidR="006C1935" w:rsidRPr="00885AB3">
        <w:rPr>
          <w:iCs/>
        </w:rPr>
        <w:t xml:space="preserve">the PBAC </w:t>
      </w:r>
      <w:r w:rsidR="00DC4C97" w:rsidRPr="00885AB3">
        <w:rPr>
          <w:iCs/>
        </w:rPr>
        <w:t>noted that a substantial portion of participants (</w:t>
      </w:r>
      <w:r w:rsidR="001C78D7">
        <w:rPr>
          <w:iCs/>
        </w:rPr>
        <w:t xml:space="preserve">&gt; </w:t>
      </w:r>
      <w:r w:rsidR="00DC4C97" w:rsidRPr="00885AB3">
        <w:rPr>
          <w:iCs/>
        </w:rPr>
        <w:t>50%) in the primary analysis had no more than 3 months of follow-up, which is insufficient to capture the outcomes over a full</w:t>
      </w:r>
      <w:r w:rsidR="00BC5AA9" w:rsidRPr="00885AB3">
        <w:rPr>
          <w:iCs/>
        </w:rPr>
        <w:t xml:space="preserve"> 12-month</w:t>
      </w:r>
      <w:r w:rsidR="006C1935" w:rsidRPr="00885AB3">
        <w:rPr>
          <w:iCs/>
        </w:rPr>
        <w:t xml:space="preserve"> RSV</w:t>
      </w:r>
      <w:r w:rsidR="00DC4C97" w:rsidRPr="00885AB3">
        <w:rPr>
          <w:iCs/>
        </w:rPr>
        <w:t xml:space="preserve"> season</w:t>
      </w:r>
      <w:r w:rsidR="006C1935" w:rsidRPr="00885AB3">
        <w:rPr>
          <w:iCs/>
        </w:rPr>
        <w:t>.</w:t>
      </w:r>
      <w:r w:rsidR="001C78D7">
        <w:rPr>
          <w:iCs/>
        </w:rPr>
        <w:t xml:space="preserve"> </w:t>
      </w:r>
      <w:r w:rsidR="00CB2441" w:rsidRPr="00885AB3">
        <w:rPr>
          <w:iCs/>
        </w:rPr>
        <w:t xml:space="preserve">The PBAC noted </w:t>
      </w:r>
      <w:r w:rsidR="008E23AC" w:rsidRPr="00885AB3">
        <w:rPr>
          <w:iCs/>
        </w:rPr>
        <w:t xml:space="preserve">the </w:t>
      </w:r>
      <w:r w:rsidR="00CB2441" w:rsidRPr="00885AB3">
        <w:rPr>
          <w:iCs/>
        </w:rPr>
        <w:t xml:space="preserve">additional data provided in the pre-PBAC response as described in </w:t>
      </w:r>
      <w:r w:rsidR="00CB2441" w:rsidRPr="00885AB3">
        <w:rPr>
          <w:iCs/>
        </w:rPr>
        <w:fldChar w:fldCharType="begin" w:fldLock="1"/>
      </w:r>
      <w:r w:rsidR="00CB2441" w:rsidRPr="00885AB3">
        <w:rPr>
          <w:iCs/>
        </w:rPr>
        <w:instrText xml:space="preserve"> REF _Ref216177153 \r \h </w:instrText>
      </w:r>
      <w:r w:rsidR="00CB2441" w:rsidRPr="00885AB3">
        <w:rPr>
          <w:iCs/>
        </w:rPr>
      </w:r>
      <w:r w:rsidR="00CB2441" w:rsidRPr="00885AB3">
        <w:rPr>
          <w:iCs/>
        </w:rPr>
        <w:fldChar w:fldCharType="separate"/>
      </w:r>
      <w:r w:rsidR="00515933" w:rsidRPr="00885AB3">
        <w:rPr>
          <w:iCs/>
        </w:rPr>
        <w:t>6.53</w:t>
      </w:r>
      <w:r w:rsidR="00CB2441" w:rsidRPr="00885AB3">
        <w:rPr>
          <w:iCs/>
        </w:rPr>
        <w:fldChar w:fldCharType="end"/>
      </w:r>
      <w:r w:rsidR="00CB2441" w:rsidRPr="00885AB3">
        <w:rPr>
          <w:iCs/>
        </w:rPr>
        <w:t>.</w:t>
      </w:r>
      <w:r w:rsidR="00CB2441" w:rsidRPr="00885AB3">
        <w:t xml:space="preserve"> </w:t>
      </w:r>
    </w:p>
    <w:p w14:paraId="1E48961F" w14:textId="7BEB0914" w:rsidR="00D91861" w:rsidRPr="00885AB3" w:rsidRDefault="008852BC" w:rsidP="00120D61">
      <w:pPr>
        <w:numPr>
          <w:ilvl w:val="1"/>
          <w:numId w:val="6"/>
        </w:numPr>
        <w:spacing w:after="120"/>
        <w:rPr>
          <w:rFonts w:asciiTheme="minorHAnsi" w:hAnsiTheme="minorHAnsi"/>
          <w:snapToGrid w:val="0"/>
        </w:rPr>
      </w:pPr>
      <w:bookmarkStart w:id="159" w:name="_Ref215506381"/>
      <w:r w:rsidRPr="00885AB3">
        <w:rPr>
          <w:rFonts w:asciiTheme="minorHAnsi" w:hAnsiTheme="minorHAnsi"/>
          <w:iCs/>
          <w:snapToGrid w:val="0"/>
        </w:rPr>
        <w:t xml:space="preserve">Based on evidence from the </w:t>
      </w:r>
      <w:proofErr w:type="spellStart"/>
      <w:r w:rsidR="00271CD0" w:rsidRPr="00885AB3">
        <w:rPr>
          <w:snapToGrid w:val="0"/>
        </w:rPr>
        <w:t>ConquerRSV</w:t>
      </w:r>
      <w:proofErr w:type="spellEnd"/>
      <w:r w:rsidR="00271CD0" w:rsidRPr="00885AB3">
        <w:t xml:space="preserve"> </w:t>
      </w:r>
      <w:r w:rsidRPr="00885AB3">
        <w:t>trial, t</w:t>
      </w:r>
      <w:r w:rsidRPr="00885AB3">
        <w:rPr>
          <w:rFonts w:asciiTheme="minorHAnsi" w:hAnsiTheme="minorHAnsi"/>
          <w:iCs/>
          <w:snapToGrid w:val="0"/>
        </w:rPr>
        <w:t>he</w:t>
      </w:r>
      <w:r w:rsidRPr="00885AB3">
        <w:rPr>
          <w:rFonts w:asciiTheme="minorHAnsi" w:hAnsiTheme="minorHAnsi"/>
          <w:snapToGrid w:val="0"/>
          <w:szCs w:val="20"/>
        </w:rPr>
        <w:t xml:space="preserve"> PBAC </w:t>
      </w:r>
      <w:r w:rsidRPr="00885AB3">
        <w:rPr>
          <w:szCs w:val="20"/>
        </w:rPr>
        <w:t xml:space="preserve">considered that </w:t>
      </w:r>
      <w:r w:rsidR="00072E18" w:rsidRPr="00885AB3">
        <w:rPr>
          <w:rFonts w:asciiTheme="minorHAnsi" w:hAnsiTheme="minorHAnsi"/>
          <w:snapToGrid w:val="0"/>
        </w:rPr>
        <w:t xml:space="preserve">mRNA-1345 </w:t>
      </w:r>
      <w:r w:rsidRPr="00885AB3">
        <w:rPr>
          <w:szCs w:val="20"/>
        </w:rPr>
        <w:t xml:space="preserve">vaccine was an effective vaccine for RSV in adults </w:t>
      </w:r>
      <w:r w:rsidR="00EF2FA4">
        <w:rPr>
          <w:szCs w:val="20"/>
        </w:rPr>
        <w:t xml:space="preserve">≥ </w:t>
      </w:r>
      <w:r w:rsidRPr="00885AB3">
        <w:rPr>
          <w:szCs w:val="20"/>
        </w:rPr>
        <w:t>60 years</w:t>
      </w:r>
      <w:r w:rsidR="00EC1E22" w:rsidRPr="00885AB3">
        <w:rPr>
          <w:szCs w:val="20"/>
        </w:rPr>
        <w:t xml:space="preserve"> </w:t>
      </w:r>
      <w:r w:rsidR="00EC1E22" w:rsidRPr="00885AB3">
        <w:rPr>
          <w:iCs/>
        </w:rPr>
        <w:t>for up to 16 months</w:t>
      </w:r>
      <w:r w:rsidR="009639A7" w:rsidRPr="00885AB3">
        <w:rPr>
          <w:iCs/>
        </w:rPr>
        <w:t xml:space="preserve"> and this</w:t>
      </w:r>
      <w:r w:rsidR="00275D96" w:rsidRPr="00885AB3">
        <w:rPr>
          <w:iCs/>
        </w:rPr>
        <w:t xml:space="preserve"> effect</w:t>
      </w:r>
      <w:r w:rsidR="009639A7" w:rsidRPr="00885AB3">
        <w:rPr>
          <w:iCs/>
        </w:rPr>
        <w:t xml:space="preserve"> could be</w:t>
      </w:r>
      <w:r w:rsidR="00275D96" w:rsidRPr="00885AB3">
        <w:rPr>
          <w:iCs/>
        </w:rPr>
        <w:t xml:space="preserve"> assumed to be</w:t>
      </w:r>
      <w:r w:rsidR="009639A7" w:rsidRPr="00885AB3">
        <w:rPr>
          <w:iCs/>
        </w:rPr>
        <w:t xml:space="preserve"> extended to </w:t>
      </w:r>
      <w:r w:rsidR="009639A7" w:rsidRPr="00885AB3">
        <w:rPr>
          <w:rFonts w:eastAsia="Calibri"/>
        </w:rPr>
        <w:t>Aboriginal and Torres Strait Islander people 60-74 YOA</w:t>
      </w:r>
      <w:r w:rsidRPr="00885AB3">
        <w:rPr>
          <w:szCs w:val="20"/>
        </w:rPr>
        <w:t>.</w:t>
      </w:r>
      <w:r w:rsidR="00A61E74" w:rsidRPr="00885AB3">
        <w:rPr>
          <w:szCs w:val="20"/>
        </w:rPr>
        <w:t xml:space="preserve"> </w:t>
      </w:r>
      <w:r w:rsidR="00062953" w:rsidRPr="00885AB3">
        <w:rPr>
          <w:iCs/>
        </w:rPr>
        <w:t>However, r</w:t>
      </w:r>
      <w:r w:rsidR="001F35B2" w:rsidRPr="00885AB3">
        <w:rPr>
          <w:iCs/>
        </w:rPr>
        <w:t xml:space="preserve">egarding the target population of adults </w:t>
      </w:r>
      <w:r w:rsidR="00EF2FA4">
        <w:rPr>
          <w:szCs w:val="20"/>
        </w:rPr>
        <w:t xml:space="preserve">≥ </w:t>
      </w:r>
      <w:r w:rsidR="001F35B2" w:rsidRPr="00885AB3">
        <w:rPr>
          <w:szCs w:val="20"/>
        </w:rPr>
        <w:t>75 years</w:t>
      </w:r>
      <w:r w:rsidR="009639A7" w:rsidRPr="00885AB3">
        <w:rPr>
          <w:szCs w:val="20"/>
        </w:rPr>
        <w:t xml:space="preserve">, the PBAC considered that the claim of </w:t>
      </w:r>
      <w:r w:rsidR="009639A7" w:rsidRPr="00885AB3">
        <w:t>superior efficacy</w:t>
      </w:r>
      <w:r w:rsidR="00486D45" w:rsidRPr="00885AB3">
        <w:t xml:space="preserve"> </w:t>
      </w:r>
      <w:r w:rsidR="00C13AD2" w:rsidRPr="00885AB3">
        <w:rPr>
          <w:rFonts w:eastAsia="Calibri"/>
        </w:rPr>
        <w:t>w</w:t>
      </w:r>
      <w:r w:rsidR="00486D45" w:rsidRPr="00885AB3">
        <w:rPr>
          <w:rFonts w:eastAsia="Calibri"/>
        </w:rPr>
        <w:t>as uncertain</w:t>
      </w:r>
      <w:r w:rsidR="00486D45" w:rsidRPr="00885AB3">
        <w:t xml:space="preserve"> because VE for this age group is lower than in the overall population (</w:t>
      </w:r>
      <w:r w:rsidR="00EF2FA4">
        <w:rPr>
          <w:rFonts w:ascii="Times New Roman" w:hAnsi="Times New Roman" w:cs="Times New Roman"/>
          <w:iCs/>
        </w:rPr>
        <w:t xml:space="preserve">≥ </w:t>
      </w:r>
      <w:r w:rsidR="00486D45" w:rsidRPr="00885AB3">
        <w:rPr>
          <w:iCs/>
        </w:rPr>
        <w:t>60 YOA</w:t>
      </w:r>
      <w:r w:rsidR="00486D45" w:rsidRPr="00885AB3">
        <w:t>)</w:t>
      </w:r>
      <w:r w:rsidR="00FA18FF" w:rsidRPr="00885AB3">
        <w:t xml:space="preserve">, although </w:t>
      </w:r>
      <w:r w:rsidR="00976649" w:rsidRPr="00885AB3">
        <w:t>noted</w:t>
      </w:r>
      <w:r w:rsidR="00486D45" w:rsidRPr="00885AB3">
        <w:t xml:space="preserve"> </w:t>
      </w:r>
      <w:r w:rsidR="00486D45" w:rsidRPr="00885AB3">
        <w:rPr>
          <w:iCs/>
        </w:rPr>
        <w:t xml:space="preserve">the low number of observed RSV cases in the </w:t>
      </w:r>
      <w:r w:rsidR="00EF2FA4">
        <w:rPr>
          <w:iCs/>
        </w:rPr>
        <w:t xml:space="preserve">≥ </w:t>
      </w:r>
      <w:r w:rsidR="00486D45" w:rsidRPr="00885AB3">
        <w:rPr>
          <w:iCs/>
        </w:rPr>
        <w:t>75 YOA subgroup.</w:t>
      </w:r>
      <w:bookmarkEnd w:id="159"/>
      <w:r w:rsidR="00A904EA" w:rsidRPr="00885AB3">
        <w:rPr>
          <w:rFonts w:asciiTheme="minorHAnsi" w:hAnsiTheme="minorHAnsi"/>
          <w:snapToGrid w:val="0"/>
        </w:rPr>
        <w:t xml:space="preserve"> </w:t>
      </w:r>
    </w:p>
    <w:p w14:paraId="2544C930" w14:textId="3E6C3438" w:rsidR="00F60263" w:rsidRPr="00885AB3" w:rsidRDefault="005B626B" w:rsidP="00120D61">
      <w:pPr>
        <w:numPr>
          <w:ilvl w:val="1"/>
          <w:numId w:val="6"/>
        </w:numPr>
        <w:spacing w:after="120"/>
        <w:rPr>
          <w:rFonts w:asciiTheme="minorHAnsi" w:hAnsiTheme="minorHAnsi"/>
          <w:snapToGrid w:val="0"/>
        </w:rPr>
      </w:pPr>
      <w:bookmarkStart w:id="160" w:name="_Ref215506397"/>
      <w:r w:rsidRPr="00885AB3">
        <w:rPr>
          <w:rFonts w:asciiTheme="minorHAnsi" w:hAnsiTheme="minorHAnsi"/>
          <w:snapToGrid w:val="0"/>
        </w:rPr>
        <w:t>T</w:t>
      </w:r>
      <w:r w:rsidR="00F60263" w:rsidRPr="00885AB3">
        <w:rPr>
          <w:rFonts w:asciiTheme="minorHAnsi" w:hAnsiTheme="minorHAnsi"/>
          <w:snapToGrid w:val="0"/>
        </w:rPr>
        <w:t xml:space="preserve">he PBAC </w:t>
      </w:r>
      <w:r w:rsidR="00584993" w:rsidRPr="00885AB3">
        <w:rPr>
          <w:rFonts w:asciiTheme="minorHAnsi" w:hAnsiTheme="minorHAnsi"/>
          <w:snapToGrid w:val="0"/>
        </w:rPr>
        <w:t>observed</w:t>
      </w:r>
      <w:r w:rsidR="00F60263" w:rsidRPr="00885AB3">
        <w:rPr>
          <w:rFonts w:asciiTheme="minorHAnsi" w:hAnsiTheme="minorHAnsi"/>
          <w:snapToGrid w:val="0"/>
        </w:rPr>
        <w:t xml:space="preserve"> that</w:t>
      </w:r>
      <w:r w:rsidR="00EB1204" w:rsidRPr="00885AB3">
        <w:rPr>
          <w:rFonts w:asciiTheme="minorHAnsi" w:hAnsiTheme="minorHAnsi"/>
          <w:snapToGrid w:val="0"/>
        </w:rPr>
        <w:t xml:space="preserve"> </w:t>
      </w:r>
      <w:r w:rsidR="00936800" w:rsidRPr="00885AB3">
        <w:rPr>
          <w:rFonts w:cstheme="minorHAnsi"/>
        </w:rPr>
        <w:t>t</w:t>
      </w:r>
      <w:r w:rsidR="00EB1204" w:rsidRPr="00885AB3">
        <w:rPr>
          <w:rFonts w:cstheme="minorHAnsi"/>
        </w:rPr>
        <w:t xml:space="preserve">he cumulative estimate of VE in </w:t>
      </w:r>
      <w:proofErr w:type="spellStart"/>
      <w:r w:rsidR="00EB1204" w:rsidRPr="00885AB3">
        <w:rPr>
          <w:rFonts w:cstheme="minorHAnsi"/>
        </w:rPr>
        <w:t>ConquerRSV</w:t>
      </w:r>
      <w:proofErr w:type="spellEnd"/>
      <w:r w:rsidR="00EB1204" w:rsidRPr="00885AB3">
        <w:rPr>
          <w:rFonts w:cstheme="minorHAnsi"/>
        </w:rPr>
        <w:t xml:space="preserve"> for the primary outcome </w:t>
      </w:r>
      <w:r w:rsidR="00F51893" w:rsidRPr="00885AB3">
        <w:rPr>
          <w:rFonts w:cstheme="minorHAnsi"/>
        </w:rPr>
        <w:t>(</w:t>
      </w:r>
      <w:r w:rsidR="00EB1204" w:rsidRPr="00885AB3">
        <w:rPr>
          <w:rFonts w:eastAsia="Calibri" w:cstheme="minorHAnsi"/>
          <w:lang w:eastAsia="en-US"/>
        </w:rPr>
        <w:t xml:space="preserve">RSV-LRTD </w:t>
      </w:r>
      <w:r w:rsidR="00EF2FA4">
        <w:rPr>
          <w:rFonts w:eastAsia="Calibri" w:cstheme="minorHAnsi"/>
          <w:lang w:eastAsia="en-US"/>
        </w:rPr>
        <w:t xml:space="preserve">≥ </w:t>
      </w:r>
      <w:r w:rsidR="00EB1204" w:rsidRPr="00885AB3">
        <w:rPr>
          <w:rFonts w:eastAsia="Calibri" w:cstheme="minorHAnsi"/>
          <w:lang w:eastAsia="en-US"/>
        </w:rPr>
        <w:t>2 symptoms</w:t>
      </w:r>
      <w:r w:rsidR="00F51893" w:rsidRPr="00885AB3">
        <w:rPr>
          <w:rFonts w:eastAsia="Calibri" w:cstheme="minorHAnsi"/>
          <w:lang w:eastAsia="en-US"/>
        </w:rPr>
        <w:t>)</w:t>
      </w:r>
      <w:r w:rsidR="00DF72E4" w:rsidRPr="00885AB3">
        <w:rPr>
          <w:rFonts w:eastAsia="Calibri" w:cstheme="minorHAnsi"/>
          <w:lang w:eastAsia="en-US"/>
        </w:rPr>
        <w:t xml:space="preserve"> declined over time from </w:t>
      </w:r>
      <w:r w:rsidR="00DF72E4" w:rsidRPr="00885AB3">
        <w:rPr>
          <w:rFonts w:cstheme="minorHAnsi"/>
        </w:rPr>
        <w:t xml:space="preserve">56.2% </w:t>
      </w:r>
      <w:r w:rsidR="00EB1204" w:rsidRPr="00885AB3">
        <w:rPr>
          <w:rFonts w:cstheme="minorHAnsi"/>
        </w:rPr>
        <w:t>at 12 months</w:t>
      </w:r>
      <w:r w:rsidR="00595512" w:rsidRPr="00885AB3">
        <w:rPr>
          <w:rFonts w:cstheme="minorHAnsi"/>
        </w:rPr>
        <w:t>,</w:t>
      </w:r>
      <w:r w:rsidR="00DF72E4" w:rsidRPr="00885AB3">
        <w:rPr>
          <w:rFonts w:cstheme="minorHAnsi"/>
        </w:rPr>
        <w:t xml:space="preserve"> to </w:t>
      </w:r>
      <w:r w:rsidR="00501B1E" w:rsidRPr="00885AB3">
        <w:rPr>
          <w:rFonts w:cstheme="minorHAnsi"/>
        </w:rPr>
        <w:t>50.3%</w:t>
      </w:r>
      <w:r w:rsidR="00EB1204" w:rsidRPr="00885AB3">
        <w:rPr>
          <w:rFonts w:cstheme="minorHAnsi"/>
        </w:rPr>
        <w:t xml:space="preserve"> </w:t>
      </w:r>
      <w:r w:rsidR="00501B1E" w:rsidRPr="00885AB3">
        <w:rPr>
          <w:rFonts w:cstheme="minorHAnsi"/>
        </w:rPr>
        <w:t>at</w:t>
      </w:r>
      <w:r w:rsidR="00EB1204" w:rsidRPr="00885AB3">
        <w:rPr>
          <w:rFonts w:cstheme="minorHAnsi"/>
        </w:rPr>
        <w:t xml:space="preserve"> 18 months</w:t>
      </w:r>
      <w:r w:rsidR="00C30763" w:rsidRPr="00885AB3">
        <w:rPr>
          <w:rFonts w:cstheme="minorHAnsi"/>
        </w:rPr>
        <w:t>,</w:t>
      </w:r>
      <w:r w:rsidR="009330A6" w:rsidRPr="00885AB3">
        <w:rPr>
          <w:rFonts w:cstheme="minorHAnsi"/>
        </w:rPr>
        <w:t xml:space="preserve"> and then</w:t>
      </w:r>
      <w:r w:rsidR="00595512" w:rsidRPr="00885AB3">
        <w:rPr>
          <w:rFonts w:cstheme="minorHAnsi"/>
        </w:rPr>
        <w:t xml:space="preserve"> to</w:t>
      </w:r>
      <w:r w:rsidR="00501B1E" w:rsidRPr="00885AB3">
        <w:rPr>
          <w:rFonts w:cstheme="minorHAnsi"/>
        </w:rPr>
        <w:t xml:space="preserve"> 47.4% at 24 months</w:t>
      </w:r>
      <w:r w:rsidR="00C641AE" w:rsidRPr="00885AB3">
        <w:rPr>
          <w:rFonts w:cstheme="minorHAnsi"/>
        </w:rPr>
        <w:t xml:space="preserve"> post vaccination</w:t>
      </w:r>
      <w:r w:rsidR="00EB1204" w:rsidRPr="00885AB3">
        <w:rPr>
          <w:rFonts w:cstheme="minorHAnsi"/>
        </w:rPr>
        <w:t xml:space="preserve">, and </w:t>
      </w:r>
      <w:r w:rsidR="00DF05C8" w:rsidRPr="00885AB3">
        <w:rPr>
          <w:rFonts w:cstheme="minorHAnsi"/>
        </w:rPr>
        <w:t>furthermore</w:t>
      </w:r>
      <w:r w:rsidR="00F60263" w:rsidRPr="00885AB3">
        <w:rPr>
          <w:rFonts w:asciiTheme="minorHAnsi" w:hAnsiTheme="minorHAnsi"/>
          <w:snapToGrid w:val="0"/>
        </w:rPr>
        <w:t xml:space="preserve"> there was a substantial decline</w:t>
      </w:r>
      <w:r w:rsidR="00595512" w:rsidRPr="00885AB3">
        <w:rPr>
          <w:rFonts w:asciiTheme="minorHAnsi" w:hAnsiTheme="minorHAnsi"/>
          <w:snapToGrid w:val="0"/>
        </w:rPr>
        <w:t xml:space="preserve"> </w:t>
      </w:r>
      <w:r w:rsidR="00595512" w:rsidRPr="00885AB3">
        <w:rPr>
          <w:rFonts w:cstheme="minorHAnsi"/>
        </w:rPr>
        <w:t xml:space="preserve">of </w:t>
      </w:r>
      <w:r w:rsidR="001C78D7">
        <w:rPr>
          <w:rFonts w:cstheme="minorHAnsi"/>
        </w:rPr>
        <w:t xml:space="preserve">&gt; </w:t>
      </w:r>
      <w:r w:rsidR="00595512" w:rsidRPr="00885AB3">
        <w:rPr>
          <w:rFonts w:cstheme="minorHAnsi"/>
        </w:rPr>
        <w:t>66%</w:t>
      </w:r>
      <w:r w:rsidR="00F60263" w:rsidRPr="00885AB3">
        <w:rPr>
          <w:rFonts w:asciiTheme="minorHAnsi" w:hAnsiTheme="minorHAnsi"/>
          <w:snapToGrid w:val="0"/>
        </w:rPr>
        <w:t xml:space="preserve"> in</w:t>
      </w:r>
      <w:r w:rsidR="00F60263" w:rsidRPr="00885AB3">
        <w:rPr>
          <w:iCs/>
        </w:rPr>
        <w:t xml:space="preserve"> antibody levels between Month 2 and Month 6 post vaccination</w:t>
      </w:r>
      <w:r w:rsidR="00EB1204" w:rsidRPr="00885AB3">
        <w:rPr>
          <w:iCs/>
        </w:rPr>
        <w:t xml:space="preserve">. The PBAC </w:t>
      </w:r>
      <w:r w:rsidR="009425BA" w:rsidRPr="00885AB3">
        <w:rPr>
          <w:iCs/>
        </w:rPr>
        <w:t>indicated</w:t>
      </w:r>
      <w:r w:rsidR="00C81369" w:rsidRPr="00885AB3">
        <w:rPr>
          <w:iCs/>
        </w:rPr>
        <w:t xml:space="preserve"> that the longevity of the immune response</w:t>
      </w:r>
      <w:r w:rsidR="00056B99" w:rsidRPr="00885AB3">
        <w:rPr>
          <w:iCs/>
        </w:rPr>
        <w:t xml:space="preserve"> and </w:t>
      </w:r>
      <w:r w:rsidR="00D8136F" w:rsidRPr="00885AB3">
        <w:rPr>
          <w:iCs/>
        </w:rPr>
        <w:t xml:space="preserve">comparison of </w:t>
      </w:r>
      <w:r w:rsidR="00327AE1" w:rsidRPr="00885AB3">
        <w:rPr>
          <w:iCs/>
        </w:rPr>
        <w:t>th</w:t>
      </w:r>
      <w:r w:rsidR="00C52124" w:rsidRPr="00885AB3">
        <w:rPr>
          <w:iCs/>
        </w:rPr>
        <w:t>e</w:t>
      </w:r>
      <w:r w:rsidR="00327AE1" w:rsidRPr="00885AB3">
        <w:rPr>
          <w:iCs/>
        </w:rPr>
        <w:t xml:space="preserve"> duration</w:t>
      </w:r>
      <w:r w:rsidR="00C52124" w:rsidRPr="00885AB3">
        <w:rPr>
          <w:iCs/>
        </w:rPr>
        <w:t>s of response between mRNA-1345</w:t>
      </w:r>
      <w:r w:rsidR="00500F92" w:rsidRPr="00885AB3">
        <w:rPr>
          <w:iCs/>
        </w:rPr>
        <w:t xml:space="preserve"> and </w:t>
      </w:r>
      <w:r w:rsidR="00D8136F" w:rsidRPr="00885AB3">
        <w:rPr>
          <w:iCs/>
        </w:rPr>
        <w:t>the other recommended vaccines</w:t>
      </w:r>
      <w:r w:rsidR="00C81369" w:rsidRPr="00885AB3">
        <w:rPr>
          <w:iCs/>
        </w:rPr>
        <w:t xml:space="preserve"> is a key consideration.</w:t>
      </w:r>
      <w:bookmarkEnd w:id="160"/>
      <w:r w:rsidR="00C81369" w:rsidRPr="00885AB3">
        <w:rPr>
          <w:iCs/>
        </w:rPr>
        <w:t xml:space="preserve"> </w:t>
      </w:r>
    </w:p>
    <w:p w14:paraId="326FDDC9" w14:textId="2877261C" w:rsidR="00EB39FE" w:rsidRPr="00885AB3" w:rsidRDefault="000B352A" w:rsidP="00120D61">
      <w:pPr>
        <w:numPr>
          <w:ilvl w:val="1"/>
          <w:numId w:val="6"/>
        </w:numPr>
        <w:spacing w:after="120"/>
        <w:rPr>
          <w:rFonts w:asciiTheme="minorHAnsi" w:hAnsiTheme="minorHAnsi"/>
          <w:snapToGrid w:val="0"/>
        </w:rPr>
      </w:pPr>
      <w:r w:rsidRPr="00885AB3">
        <w:rPr>
          <w:iCs/>
          <w:snapToGrid w:val="0"/>
        </w:rPr>
        <w:t>The</w:t>
      </w:r>
      <w:r w:rsidRPr="00885AB3">
        <w:rPr>
          <w:snapToGrid w:val="0"/>
        </w:rPr>
        <w:t xml:space="preserve"> PBAC considered that non-inferior</w:t>
      </w:r>
      <w:r w:rsidR="004342E4" w:rsidRPr="00885AB3">
        <w:rPr>
          <w:snapToGrid w:val="0"/>
        </w:rPr>
        <w:t xml:space="preserve"> efficacy</w:t>
      </w:r>
      <w:r w:rsidRPr="00885AB3">
        <w:rPr>
          <w:snapToGrid w:val="0"/>
        </w:rPr>
        <w:t xml:space="preserve"> between mRNA-1345 and </w:t>
      </w:r>
      <w:proofErr w:type="spellStart"/>
      <w:r w:rsidRPr="00885AB3">
        <w:rPr>
          <w:rFonts w:eastAsia="Calibri"/>
          <w:iCs/>
        </w:rPr>
        <w:t>RSVPreF</w:t>
      </w:r>
      <w:proofErr w:type="spellEnd"/>
      <w:r w:rsidRPr="00885AB3">
        <w:rPr>
          <w:rFonts w:eastAsia="Calibri"/>
          <w:iCs/>
        </w:rPr>
        <w:t xml:space="preserve"> and/or RSVPreF3 OA</w:t>
      </w:r>
      <w:r w:rsidRPr="00885AB3">
        <w:rPr>
          <w:snapToGrid w:val="0"/>
        </w:rPr>
        <w:t xml:space="preserve"> could not be established based on the results for cumulative VE of RSV-LRTD </w:t>
      </w:r>
      <w:r w:rsidR="00EF2FA4">
        <w:rPr>
          <w:snapToGrid w:val="0"/>
        </w:rPr>
        <w:t xml:space="preserve">≥ </w:t>
      </w:r>
      <w:r w:rsidRPr="00885AB3">
        <w:rPr>
          <w:snapToGrid w:val="0"/>
        </w:rPr>
        <w:t xml:space="preserve">2 symptoms consistently favouring </w:t>
      </w:r>
      <w:proofErr w:type="spellStart"/>
      <w:r w:rsidRPr="00885AB3">
        <w:rPr>
          <w:snapToGrid w:val="0"/>
        </w:rPr>
        <w:t>RSVPreF</w:t>
      </w:r>
      <w:proofErr w:type="spellEnd"/>
      <w:r w:rsidRPr="00885AB3">
        <w:rPr>
          <w:snapToGrid w:val="0"/>
        </w:rPr>
        <w:t xml:space="preserve"> and RSVPreF3 OA over mRNA-1345 in patients </w:t>
      </w:r>
      <w:r w:rsidR="00EF2FA4">
        <w:rPr>
          <w:snapToGrid w:val="0"/>
        </w:rPr>
        <w:t xml:space="preserve">≥ </w:t>
      </w:r>
      <w:r w:rsidRPr="00885AB3">
        <w:rPr>
          <w:snapToGrid w:val="0"/>
        </w:rPr>
        <w:t>75 YOA</w:t>
      </w:r>
      <w:r w:rsidR="006C74AD" w:rsidRPr="00885AB3">
        <w:rPr>
          <w:snapToGrid w:val="0"/>
        </w:rPr>
        <w:t xml:space="preserve"> (</w:t>
      </w:r>
      <w:r w:rsidR="002D043D" w:rsidRPr="00885AB3">
        <w:rPr>
          <w:snapToGrid w:val="0"/>
        </w:rPr>
        <w:fldChar w:fldCharType="begin" w:fldLock="1"/>
      </w:r>
      <w:r w:rsidR="002D043D" w:rsidRPr="00885AB3">
        <w:rPr>
          <w:snapToGrid w:val="0"/>
        </w:rPr>
        <w:instrText xml:space="preserve"> REF _Ref208304196 \h </w:instrText>
      </w:r>
      <w:r w:rsidR="002D043D" w:rsidRPr="00885AB3">
        <w:rPr>
          <w:snapToGrid w:val="0"/>
        </w:rPr>
      </w:r>
      <w:r w:rsidR="002D043D" w:rsidRPr="00885AB3">
        <w:rPr>
          <w:snapToGrid w:val="0"/>
        </w:rPr>
        <w:fldChar w:fldCharType="separate"/>
      </w:r>
      <w:r w:rsidR="00515933" w:rsidRPr="00885AB3">
        <w:t>Table 11</w:t>
      </w:r>
      <w:r w:rsidR="002D043D" w:rsidRPr="00885AB3">
        <w:rPr>
          <w:snapToGrid w:val="0"/>
        </w:rPr>
        <w:fldChar w:fldCharType="end"/>
      </w:r>
      <w:r w:rsidR="002D043D" w:rsidRPr="00885AB3">
        <w:rPr>
          <w:snapToGrid w:val="0"/>
        </w:rPr>
        <w:t>)</w:t>
      </w:r>
      <w:r w:rsidRPr="00885AB3">
        <w:rPr>
          <w:snapToGrid w:val="0"/>
        </w:rPr>
        <w:t xml:space="preserve">. </w:t>
      </w:r>
    </w:p>
    <w:p w14:paraId="473D3285" w14:textId="6BFD551A" w:rsidR="00AF1B52" w:rsidRPr="00885AB3" w:rsidDel="00A55C99" w:rsidRDefault="00AF1B52" w:rsidP="00120D61">
      <w:pPr>
        <w:numPr>
          <w:ilvl w:val="1"/>
          <w:numId w:val="6"/>
        </w:numPr>
        <w:spacing w:after="120"/>
        <w:rPr>
          <w:rFonts w:asciiTheme="minorHAnsi" w:hAnsiTheme="minorHAnsi"/>
          <w:snapToGrid w:val="0"/>
        </w:rPr>
      </w:pPr>
      <w:r w:rsidRPr="00885AB3" w:rsidDel="00A55C99">
        <w:rPr>
          <w:snapToGrid w:val="0"/>
          <w:szCs w:val="20"/>
        </w:rPr>
        <w:t>The PBAC considered that the claim of non-inferior comparative safety was not adequately supported by the data</w:t>
      </w:r>
      <w:r w:rsidR="00B90E18" w:rsidRPr="00885AB3" w:rsidDel="00A55C99">
        <w:rPr>
          <w:snapToGrid w:val="0"/>
          <w:szCs w:val="20"/>
        </w:rPr>
        <w:t xml:space="preserve"> </w:t>
      </w:r>
      <w:r w:rsidR="00453C16" w:rsidRPr="00885AB3" w:rsidDel="00A55C99">
        <w:rPr>
          <w:snapToGrid w:val="0"/>
          <w:szCs w:val="20"/>
        </w:rPr>
        <w:t xml:space="preserve">but </w:t>
      </w:r>
      <w:r w:rsidRPr="00885AB3" w:rsidDel="00A55C99">
        <w:rPr>
          <w:snapToGrid w:val="0"/>
          <w:szCs w:val="20"/>
        </w:rPr>
        <w:t xml:space="preserve">noted </w:t>
      </w:r>
      <w:r w:rsidRPr="00885AB3" w:rsidDel="00A55C99">
        <w:rPr>
          <w:iCs/>
        </w:rPr>
        <w:t xml:space="preserve">the evaluation’s comment that there do not appear to be substantial differences in the overall adverse event profiles between the mRNA-1345, </w:t>
      </w:r>
      <w:proofErr w:type="spellStart"/>
      <w:r w:rsidRPr="00885AB3" w:rsidDel="00A55C99">
        <w:rPr>
          <w:iCs/>
        </w:rPr>
        <w:t>RSVPreF</w:t>
      </w:r>
      <w:proofErr w:type="spellEnd"/>
      <w:r w:rsidRPr="00885AB3" w:rsidDel="00A55C99">
        <w:rPr>
          <w:iCs/>
        </w:rPr>
        <w:t xml:space="preserve"> and RSVPref3 OA vaccines.</w:t>
      </w:r>
    </w:p>
    <w:p w14:paraId="0352C84D" w14:textId="1D0AAB81" w:rsidR="00A55C99" w:rsidRPr="00885AB3" w:rsidRDefault="00771705" w:rsidP="00120D61">
      <w:pPr>
        <w:numPr>
          <w:ilvl w:val="1"/>
          <w:numId w:val="6"/>
        </w:numPr>
        <w:spacing w:after="120"/>
        <w:rPr>
          <w:rFonts w:asciiTheme="minorHAnsi" w:hAnsiTheme="minorHAnsi"/>
          <w:snapToGrid w:val="0"/>
        </w:rPr>
      </w:pPr>
      <w:r w:rsidRPr="00885AB3">
        <w:rPr>
          <w:snapToGrid w:val="0"/>
        </w:rPr>
        <w:t>The PBAC acknowledged</w:t>
      </w:r>
      <w:r w:rsidR="00F85A26" w:rsidRPr="00885AB3">
        <w:rPr>
          <w:snapToGrid w:val="0"/>
        </w:rPr>
        <w:t xml:space="preserve"> the Sponsor’s</w:t>
      </w:r>
      <w:r w:rsidR="00210611" w:rsidRPr="00885AB3">
        <w:rPr>
          <w:snapToGrid w:val="0"/>
        </w:rPr>
        <w:t xml:space="preserve"> revision of the initial clinical claim</w:t>
      </w:r>
      <w:r w:rsidR="00D65D46" w:rsidRPr="00885AB3">
        <w:rPr>
          <w:snapToGrid w:val="0"/>
        </w:rPr>
        <w:t xml:space="preserve"> in the pre-PBAC response</w:t>
      </w:r>
      <w:r w:rsidR="00A15E15" w:rsidRPr="00885AB3">
        <w:rPr>
          <w:snapToGrid w:val="0"/>
        </w:rPr>
        <w:t xml:space="preserve"> </w:t>
      </w:r>
      <w:r w:rsidR="0020370A" w:rsidRPr="00885AB3">
        <w:rPr>
          <w:snapToGrid w:val="0"/>
        </w:rPr>
        <w:t>to state that</w:t>
      </w:r>
      <w:r w:rsidR="00095789" w:rsidRPr="00885AB3">
        <w:rPr>
          <w:snapToGrid w:val="0"/>
        </w:rPr>
        <w:t xml:space="preserve"> </w:t>
      </w:r>
      <w:r w:rsidR="00095789" w:rsidRPr="00885AB3">
        <w:t>it is not feasible to draw a clinical conclusion from the ITC</w:t>
      </w:r>
      <w:r w:rsidR="00836659" w:rsidRPr="00885AB3">
        <w:t>,</w:t>
      </w:r>
      <w:r w:rsidR="0020370A" w:rsidRPr="00885AB3">
        <w:rPr>
          <w:snapToGrid w:val="0"/>
        </w:rPr>
        <w:t xml:space="preserve"> given</w:t>
      </w:r>
      <w:r w:rsidR="00095789" w:rsidRPr="00885AB3">
        <w:rPr>
          <w:snapToGrid w:val="0"/>
        </w:rPr>
        <w:t xml:space="preserve"> that</w:t>
      </w:r>
      <w:r w:rsidR="0020370A" w:rsidRPr="00885AB3">
        <w:rPr>
          <w:snapToGrid w:val="0"/>
        </w:rPr>
        <w:t xml:space="preserve"> </w:t>
      </w:r>
      <w:r w:rsidR="0016514A" w:rsidRPr="00885AB3">
        <w:t>the clinical trials across the three vaccines were not designed for comparison across study outcomes</w:t>
      </w:r>
      <w:r w:rsidR="00B76CAF" w:rsidRPr="00885AB3">
        <w:t>/</w:t>
      </w:r>
      <w:r w:rsidR="0016514A" w:rsidRPr="00885AB3">
        <w:t>timepoints</w:t>
      </w:r>
      <w:r w:rsidR="00431F26" w:rsidRPr="00885AB3">
        <w:t xml:space="preserve"> and </w:t>
      </w:r>
      <w:r w:rsidR="00836659" w:rsidRPr="00885AB3">
        <w:t>therefore</w:t>
      </w:r>
      <w:r w:rsidR="00B76CAF" w:rsidRPr="00885AB3">
        <w:t xml:space="preserve"> </w:t>
      </w:r>
      <w:r w:rsidR="00431F26" w:rsidRPr="00885AB3">
        <w:t>the transitivity assumption</w:t>
      </w:r>
      <w:r w:rsidR="00644519" w:rsidRPr="00885AB3">
        <w:t xml:space="preserve"> </w:t>
      </w:r>
      <w:r w:rsidR="000F72FA" w:rsidRPr="00885AB3">
        <w:t>has been demonstrated not to hold</w:t>
      </w:r>
      <w:r w:rsidR="0024572B" w:rsidRPr="00885AB3">
        <w:t xml:space="preserve">. </w:t>
      </w:r>
      <w:r w:rsidR="00E27520" w:rsidRPr="00885AB3">
        <w:t>However, the</w:t>
      </w:r>
      <w:r w:rsidR="0024572B" w:rsidRPr="00885AB3">
        <w:t xml:space="preserve"> PBAC considered that it may be reasonable to </w:t>
      </w:r>
      <w:r w:rsidR="002931C4" w:rsidRPr="00885AB3">
        <w:t xml:space="preserve">conclude that the </w:t>
      </w:r>
      <w:proofErr w:type="spellStart"/>
      <w:r w:rsidR="002931C4" w:rsidRPr="00885AB3">
        <w:t>mRESVIA</w:t>
      </w:r>
      <w:proofErr w:type="spellEnd"/>
      <w:r w:rsidR="002931C4" w:rsidRPr="00885AB3">
        <w:t xml:space="preserve"> vaccine </w:t>
      </w:r>
      <w:r w:rsidR="00190FCC" w:rsidRPr="00885AB3">
        <w:t xml:space="preserve">is inferior to the </w:t>
      </w:r>
      <w:proofErr w:type="spellStart"/>
      <w:r w:rsidR="00190FCC" w:rsidRPr="00885AB3">
        <w:rPr>
          <w:rFonts w:eastAsia="Calibri"/>
          <w:iCs/>
        </w:rPr>
        <w:t>RSVPreF</w:t>
      </w:r>
      <w:proofErr w:type="spellEnd"/>
      <w:r w:rsidR="00190FCC" w:rsidRPr="00885AB3">
        <w:rPr>
          <w:rFonts w:eastAsia="Calibri"/>
          <w:iCs/>
        </w:rPr>
        <w:t xml:space="preserve"> and/or RSVPreF3 OA vaccines</w:t>
      </w:r>
      <w:r w:rsidR="00D26B4B" w:rsidRPr="00885AB3">
        <w:rPr>
          <w:rFonts w:eastAsia="Calibri"/>
          <w:iCs/>
        </w:rPr>
        <w:t xml:space="preserve"> in terms of VE</w:t>
      </w:r>
      <w:r w:rsidR="00A66455" w:rsidRPr="00885AB3">
        <w:rPr>
          <w:rFonts w:eastAsia="Calibri"/>
          <w:iCs/>
        </w:rPr>
        <w:t>,</w:t>
      </w:r>
      <w:r w:rsidR="00190FCC" w:rsidRPr="00885AB3">
        <w:rPr>
          <w:rFonts w:eastAsia="Calibri"/>
          <w:iCs/>
        </w:rPr>
        <w:t xml:space="preserve"> and</w:t>
      </w:r>
      <w:r w:rsidR="009B48F6" w:rsidRPr="00885AB3">
        <w:rPr>
          <w:rFonts w:eastAsia="Calibri"/>
          <w:iCs/>
        </w:rPr>
        <w:t xml:space="preserve"> that </w:t>
      </w:r>
      <w:r w:rsidR="00C549A6" w:rsidRPr="00885AB3">
        <w:rPr>
          <w:rFonts w:eastAsia="Calibri"/>
          <w:iCs/>
        </w:rPr>
        <w:t>it may have a shorter duration of effect</w:t>
      </w:r>
      <w:r w:rsidR="00F35D81" w:rsidRPr="00885AB3">
        <w:rPr>
          <w:rFonts w:eastAsia="Calibri"/>
          <w:iCs/>
        </w:rPr>
        <w:t xml:space="preserve"> </w:t>
      </w:r>
      <w:r w:rsidR="00376F8B" w:rsidRPr="00885AB3">
        <w:rPr>
          <w:rFonts w:eastAsia="Calibri"/>
          <w:iCs/>
        </w:rPr>
        <w:t xml:space="preserve">and </w:t>
      </w:r>
      <w:r w:rsidR="00F15006" w:rsidRPr="00885AB3">
        <w:t>more</w:t>
      </w:r>
      <w:r w:rsidR="00A66455" w:rsidRPr="00885AB3">
        <w:t xml:space="preserve"> </w:t>
      </w:r>
      <w:r w:rsidR="00F15006" w:rsidRPr="00885AB3">
        <w:t>frequent revaccination</w:t>
      </w:r>
      <w:r w:rsidR="00376F8B" w:rsidRPr="00885AB3">
        <w:t xml:space="preserve"> may be required</w:t>
      </w:r>
      <w:r w:rsidR="00C549A6" w:rsidRPr="00885AB3">
        <w:rPr>
          <w:rFonts w:eastAsia="Calibri"/>
          <w:iCs/>
        </w:rPr>
        <w:t xml:space="preserve">. </w:t>
      </w:r>
      <w:r w:rsidR="00670F75" w:rsidRPr="00885AB3">
        <w:rPr>
          <w:snapToGrid w:val="0"/>
        </w:rPr>
        <w:t xml:space="preserve">While the PBAC noted that the pre-PBAC response proposed that the CUA provided in the submission could be used to determine an appropriate cost-effective price for mRNA-1345 against placebo, “whereby the price would not exceed the price for </w:t>
      </w:r>
      <w:proofErr w:type="spellStart"/>
      <w:r w:rsidR="00670F75" w:rsidRPr="00885AB3">
        <w:rPr>
          <w:snapToGrid w:val="0"/>
        </w:rPr>
        <w:t>RSVPreF</w:t>
      </w:r>
      <w:proofErr w:type="spellEnd"/>
      <w:r w:rsidR="00670F75" w:rsidRPr="00885AB3">
        <w:rPr>
          <w:snapToGrid w:val="0"/>
        </w:rPr>
        <w:t xml:space="preserve"> or RSVPreF3 OA”, </w:t>
      </w:r>
      <w:r w:rsidR="00670F75" w:rsidRPr="00885AB3">
        <w:rPr>
          <w:snapToGrid w:val="0"/>
        </w:rPr>
        <w:lastRenderedPageBreak/>
        <w:t xml:space="preserve">it agreed with ATAGI (paragraph </w:t>
      </w:r>
      <w:r w:rsidR="007C4516" w:rsidRPr="00885AB3">
        <w:rPr>
          <w:snapToGrid w:val="0"/>
        </w:rPr>
        <w:fldChar w:fldCharType="begin" w:fldLock="1"/>
      </w:r>
      <w:r w:rsidR="007C4516" w:rsidRPr="00885AB3">
        <w:rPr>
          <w:snapToGrid w:val="0"/>
        </w:rPr>
        <w:instrText xml:space="preserve"> REF _Ref215740902 \r \h </w:instrText>
      </w:r>
      <w:r w:rsidR="007C4516" w:rsidRPr="00885AB3">
        <w:rPr>
          <w:snapToGrid w:val="0"/>
        </w:rPr>
      </w:r>
      <w:r w:rsidR="007C4516" w:rsidRPr="00885AB3">
        <w:rPr>
          <w:snapToGrid w:val="0"/>
        </w:rPr>
        <w:fldChar w:fldCharType="separate"/>
      </w:r>
      <w:r w:rsidR="00515933" w:rsidRPr="00885AB3">
        <w:rPr>
          <w:snapToGrid w:val="0"/>
        </w:rPr>
        <w:t>7.2</w:t>
      </w:r>
      <w:r w:rsidR="007C4516" w:rsidRPr="00885AB3">
        <w:rPr>
          <w:snapToGrid w:val="0"/>
        </w:rPr>
        <w:fldChar w:fldCharType="end"/>
      </w:r>
      <w:r w:rsidR="00670F75" w:rsidRPr="00885AB3">
        <w:rPr>
          <w:snapToGrid w:val="0"/>
        </w:rPr>
        <w:t xml:space="preserve">) regarding the difficulty of finding </w:t>
      </w:r>
      <w:r w:rsidR="00670F75" w:rsidRPr="00885AB3">
        <w:t xml:space="preserve">a clinical place for </w:t>
      </w:r>
      <w:r w:rsidR="00670F75" w:rsidRPr="00885AB3">
        <w:rPr>
          <w:rFonts w:cs="Calibri"/>
        </w:rPr>
        <w:t xml:space="preserve">mRNA-1345 if an alternative RSV vaccine (i.e. </w:t>
      </w:r>
      <w:proofErr w:type="spellStart"/>
      <w:r w:rsidR="00670F75" w:rsidRPr="00885AB3">
        <w:t>RSVPreF</w:t>
      </w:r>
      <w:proofErr w:type="spellEnd"/>
      <w:r w:rsidR="00670F75" w:rsidRPr="00885AB3">
        <w:rPr>
          <w:rFonts w:asciiTheme="minorHAnsi" w:hAnsiTheme="minorHAnsi"/>
          <w:snapToGrid w:val="0"/>
        </w:rPr>
        <w:t xml:space="preserve"> and/or </w:t>
      </w:r>
      <w:r w:rsidR="00670F75" w:rsidRPr="00885AB3">
        <w:t>RSVPreF3 OA</w:t>
      </w:r>
      <w:r w:rsidR="00670F75" w:rsidRPr="00885AB3">
        <w:rPr>
          <w:rFonts w:cs="Calibri"/>
        </w:rPr>
        <w:t>) becomes available on the NIP</w:t>
      </w:r>
      <w:r w:rsidR="00670F75" w:rsidRPr="00885AB3">
        <w:t>.</w:t>
      </w:r>
    </w:p>
    <w:p w14:paraId="62358E7F" w14:textId="2579C837" w:rsidR="009335F6" w:rsidRPr="00885AB3" w:rsidRDefault="00365EE8" w:rsidP="00120D61">
      <w:pPr>
        <w:numPr>
          <w:ilvl w:val="1"/>
          <w:numId w:val="6"/>
        </w:numPr>
        <w:spacing w:after="120"/>
        <w:rPr>
          <w:b/>
          <w:bCs/>
        </w:rPr>
      </w:pPr>
      <w:r w:rsidRPr="00885AB3">
        <w:rPr>
          <w:rFonts w:cs="Calibri"/>
        </w:rPr>
        <w:t xml:space="preserve">The submission presented a CMA comparing mRNA-1345 with </w:t>
      </w:r>
      <w:proofErr w:type="spellStart"/>
      <w:r w:rsidRPr="00885AB3">
        <w:rPr>
          <w:rFonts w:cs="Calibri"/>
        </w:rPr>
        <w:t>RSVPreF</w:t>
      </w:r>
      <w:proofErr w:type="spellEnd"/>
      <w:r w:rsidRPr="00885AB3">
        <w:rPr>
          <w:rFonts w:cs="Calibri"/>
        </w:rPr>
        <w:t xml:space="preserve"> as the primary economic evaluation, based on the ITC of mRNA-1345 against </w:t>
      </w:r>
      <w:proofErr w:type="spellStart"/>
      <w:r w:rsidRPr="00885AB3">
        <w:rPr>
          <w:rFonts w:cs="Calibri"/>
        </w:rPr>
        <w:t>RSVPreF</w:t>
      </w:r>
      <w:proofErr w:type="spellEnd"/>
      <w:r w:rsidRPr="00885AB3">
        <w:rPr>
          <w:rFonts w:cs="Calibri"/>
        </w:rPr>
        <w:t>.</w:t>
      </w:r>
      <w:r w:rsidR="005F4FC2" w:rsidRPr="00885AB3">
        <w:rPr>
          <w:rFonts w:cs="Calibri"/>
        </w:rPr>
        <w:t xml:space="preserve"> </w:t>
      </w:r>
      <w:r w:rsidR="00B6111A" w:rsidRPr="00885AB3">
        <w:rPr>
          <w:rFonts w:cs="Calibri"/>
        </w:rPr>
        <w:t>The PBAC considered that s</w:t>
      </w:r>
      <w:r w:rsidR="006B39BB" w:rsidRPr="00885AB3">
        <w:rPr>
          <w:rFonts w:cs="Calibri"/>
          <w:iCs/>
        </w:rPr>
        <w:t xml:space="preserve">ince the non-inferiority between mRNA-1345 and </w:t>
      </w:r>
      <w:proofErr w:type="spellStart"/>
      <w:r w:rsidR="006B39BB" w:rsidRPr="00885AB3">
        <w:rPr>
          <w:rFonts w:cs="Calibri"/>
          <w:iCs/>
        </w:rPr>
        <w:t>RSVPreF</w:t>
      </w:r>
      <w:proofErr w:type="spellEnd"/>
      <w:r w:rsidR="006B39BB" w:rsidRPr="00885AB3">
        <w:rPr>
          <w:rFonts w:cs="Calibri"/>
          <w:iCs/>
        </w:rPr>
        <w:t xml:space="preserve"> has not been established</w:t>
      </w:r>
      <w:r w:rsidR="00B6111A" w:rsidRPr="00885AB3">
        <w:rPr>
          <w:rFonts w:cs="Calibri"/>
          <w:iCs/>
        </w:rPr>
        <w:t xml:space="preserve"> and that mRNA-1345 </w:t>
      </w:r>
      <w:r w:rsidR="007127C6" w:rsidRPr="00885AB3">
        <w:rPr>
          <w:rFonts w:cs="Calibri"/>
          <w:iCs/>
        </w:rPr>
        <w:t>may be</w:t>
      </w:r>
      <w:r w:rsidR="00B6111A" w:rsidRPr="00885AB3">
        <w:rPr>
          <w:rFonts w:cs="Calibri"/>
          <w:iCs/>
        </w:rPr>
        <w:t xml:space="preserve"> clinically inferior to </w:t>
      </w:r>
      <w:proofErr w:type="spellStart"/>
      <w:r w:rsidR="00B6111A" w:rsidRPr="00885AB3">
        <w:rPr>
          <w:rFonts w:cs="Calibri"/>
          <w:iCs/>
        </w:rPr>
        <w:t>RSVPreF</w:t>
      </w:r>
      <w:proofErr w:type="spellEnd"/>
      <w:r w:rsidR="00B6111A" w:rsidRPr="00885AB3">
        <w:rPr>
          <w:rFonts w:cs="Calibri"/>
          <w:iCs/>
        </w:rPr>
        <w:t>,</w:t>
      </w:r>
      <w:r w:rsidR="00F6057C" w:rsidRPr="00885AB3">
        <w:rPr>
          <w:rFonts w:cs="Calibri"/>
          <w:iCs/>
        </w:rPr>
        <w:t xml:space="preserve"> the</w:t>
      </w:r>
      <w:r w:rsidR="006B39BB" w:rsidRPr="00885AB3">
        <w:rPr>
          <w:rFonts w:cs="Calibri"/>
          <w:iCs/>
        </w:rPr>
        <w:t xml:space="preserve"> cost-minimisation approach comparing mRNA-1345 with </w:t>
      </w:r>
      <w:proofErr w:type="spellStart"/>
      <w:r w:rsidR="006B39BB" w:rsidRPr="00885AB3">
        <w:rPr>
          <w:rFonts w:cs="Calibri"/>
          <w:iCs/>
        </w:rPr>
        <w:t>RSVPreF</w:t>
      </w:r>
      <w:proofErr w:type="spellEnd"/>
      <w:r w:rsidR="006B39BB" w:rsidRPr="00885AB3">
        <w:rPr>
          <w:rFonts w:cs="Calibri"/>
          <w:iCs/>
        </w:rPr>
        <w:t xml:space="preserve"> as the primary economic evaluation was not supported by the clinical evidence.</w:t>
      </w:r>
    </w:p>
    <w:p w14:paraId="37A7BD41" w14:textId="77777777" w:rsidR="00721EA9" w:rsidRDefault="00E34886" w:rsidP="00120D61">
      <w:pPr>
        <w:pStyle w:val="3-BodyText"/>
        <w:rPr>
          <w:rFonts w:cs="Calibri"/>
        </w:rPr>
      </w:pPr>
      <w:bookmarkStart w:id="161" w:name="_Ref215740688"/>
      <w:r w:rsidRPr="00885AB3">
        <w:t xml:space="preserve">In the context of the deferral, the PBAC did not accept </w:t>
      </w:r>
      <w:r w:rsidR="00696C16" w:rsidRPr="00885AB3">
        <w:t>‘</w:t>
      </w:r>
      <w:r w:rsidRPr="00885AB3">
        <w:t>no vaccine</w:t>
      </w:r>
      <w:r w:rsidR="00696C16" w:rsidRPr="00885AB3">
        <w:t>’</w:t>
      </w:r>
      <w:r w:rsidRPr="00885AB3">
        <w:t xml:space="preserve"> as a comparator </w:t>
      </w:r>
      <w:r w:rsidR="00696C16" w:rsidRPr="00885AB3">
        <w:t xml:space="preserve">(as described in paragraph </w:t>
      </w:r>
      <w:r w:rsidR="00696C16" w:rsidRPr="00885AB3">
        <w:fldChar w:fldCharType="begin" w:fldLock="1"/>
      </w:r>
      <w:r w:rsidR="00696C16" w:rsidRPr="00885AB3">
        <w:instrText xml:space="preserve"> REF _Ref216174998 \r \h </w:instrText>
      </w:r>
      <w:r w:rsidR="00696C16" w:rsidRPr="00885AB3">
        <w:fldChar w:fldCharType="separate"/>
      </w:r>
      <w:r w:rsidR="00515933" w:rsidRPr="00885AB3">
        <w:t>7.7</w:t>
      </w:r>
      <w:r w:rsidR="00696C16" w:rsidRPr="00885AB3">
        <w:fldChar w:fldCharType="end"/>
      </w:r>
      <w:r w:rsidR="00696C16" w:rsidRPr="00885AB3">
        <w:t xml:space="preserve">), </w:t>
      </w:r>
      <w:r w:rsidR="00AB253D" w:rsidRPr="00885AB3">
        <w:t xml:space="preserve">and therefore the </w:t>
      </w:r>
      <w:r w:rsidR="003211AB" w:rsidRPr="00885AB3">
        <w:rPr>
          <w:rFonts w:cs="Calibri"/>
        </w:rPr>
        <w:t>CUA</w:t>
      </w:r>
      <w:r w:rsidR="00AB253D" w:rsidRPr="00885AB3">
        <w:rPr>
          <w:rFonts w:cs="Calibri"/>
        </w:rPr>
        <w:t xml:space="preserve"> was not considered relevant</w:t>
      </w:r>
      <w:r w:rsidR="00F17EA9" w:rsidRPr="00885AB3">
        <w:rPr>
          <w:rFonts w:cs="Calibri"/>
        </w:rPr>
        <w:t>.</w:t>
      </w:r>
      <w:r w:rsidR="009F5F5E" w:rsidRPr="00885AB3">
        <w:rPr>
          <w:rFonts w:cs="Calibri"/>
        </w:rPr>
        <w:t xml:space="preserve"> </w:t>
      </w:r>
      <w:bookmarkEnd w:id="161"/>
    </w:p>
    <w:p w14:paraId="2938DEB9" w14:textId="39142A20" w:rsidR="002E4EE8" w:rsidRPr="000C338F" w:rsidRDefault="00721EA9" w:rsidP="00120D61">
      <w:pPr>
        <w:pStyle w:val="3-BodyText"/>
        <w:rPr>
          <w:rFonts w:cs="Calibri"/>
        </w:rPr>
      </w:pPr>
      <w:r w:rsidRPr="002E4EE8">
        <w:rPr>
          <w:snapToGrid w:val="0"/>
        </w:rPr>
        <w:t xml:space="preserve">The PBAC </w:t>
      </w:r>
      <w:r>
        <w:rPr>
          <w:snapToGrid w:val="0"/>
        </w:rPr>
        <w:t>noted</w:t>
      </w:r>
      <w:r w:rsidRPr="002E4EE8">
        <w:rPr>
          <w:snapToGrid w:val="0"/>
        </w:rPr>
        <w:t xml:space="preserve"> that the submission requested listing on the NIP for a single dose of vaccine and that if the sponsor wishes to request listing for revaccination in the future, PBAC consideration of a new submission would be required.</w:t>
      </w:r>
      <w:r w:rsidR="002E4EE8" w:rsidRPr="000C338F">
        <w:rPr>
          <w:snapToGrid w:val="0"/>
        </w:rPr>
        <w:t> </w:t>
      </w:r>
    </w:p>
    <w:p w14:paraId="34963073" w14:textId="6DACC0F8" w:rsidR="0040574B" w:rsidRPr="00885AB3" w:rsidRDefault="00337939" w:rsidP="00120D61">
      <w:pPr>
        <w:numPr>
          <w:ilvl w:val="1"/>
          <w:numId w:val="6"/>
        </w:numPr>
        <w:spacing w:after="120"/>
        <w:rPr>
          <w:rFonts w:asciiTheme="minorHAnsi" w:hAnsiTheme="minorHAnsi"/>
          <w:snapToGrid w:val="0"/>
        </w:rPr>
      </w:pPr>
      <w:r w:rsidRPr="00885AB3">
        <w:rPr>
          <w:rFonts w:asciiTheme="minorHAnsi" w:hAnsiTheme="minorHAnsi"/>
          <w:snapToGrid w:val="0"/>
        </w:rPr>
        <w:t xml:space="preserve">The PBAC will </w:t>
      </w:r>
      <w:proofErr w:type="gramStart"/>
      <w:r w:rsidRPr="00885AB3">
        <w:rPr>
          <w:rFonts w:asciiTheme="minorHAnsi" w:hAnsiTheme="minorHAnsi"/>
          <w:snapToGrid w:val="0"/>
        </w:rPr>
        <w:t>make a decision</w:t>
      </w:r>
      <w:proofErr w:type="gramEnd"/>
      <w:r w:rsidRPr="00885AB3">
        <w:rPr>
          <w:rFonts w:asciiTheme="minorHAnsi" w:hAnsiTheme="minorHAnsi"/>
          <w:snapToGrid w:val="0"/>
        </w:rPr>
        <w:t xml:space="preserve"> </w:t>
      </w:r>
      <w:r w:rsidR="00613663" w:rsidRPr="00885AB3">
        <w:rPr>
          <w:rFonts w:asciiTheme="minorHAnsi" w:hAnsiTheme="minorHAnsi"/>
          <w:snapToGrid w:val="0"/>
        </w:rPr>
        <w:t>regarding listing</w:t>
      </w:r>
      <w:r w:rsidR="00F613B4">
        <w:rPr>
          <w:rFonts w:asciiTheme="minorHAnsi" w:hAnsiTheme="minorHAnsi"/>
          <w:snapToGrid w:val="0"/>
        </w:rPr>
        <w:t xml:space="preserve"> a single dose of</w:t>
      </w:r>
      <w:r w:rsidR="00613663" w:rsidRPr="00885AB3">
        <w:rPr>
          <w:rFonts w:asciiTheme="minorHAnsi" w:hAnsiTheme="minorHAnsi"/>
          <w:snapToGrid w:val="0"/>
        </w:rPr>
        <w:t xml:space="preserve"> mRNA-1345 on the NIP </w:t>
      </w:r>
      <w:r w:rsidRPr="00885AB3">
        <w:rPr>
          <w:rFonts w:asciiTheme="minorHAnsi" w:hAnsiTheme="minorHAnsi"/>
          <w:snapToGrid w:val="0"/>
        </w:rPr>
        <w:t>based on the supply of the additional information</w:t>
      </w:r>
      <w:r w:rsidR="00DA1865" w:rsidRPr="00885AB3">
        <w:rPr>
          <w:rFonts w:asciiTheme="minorHAnsi" w:hAnsiTheme="minorHAnsi"/>
          <w:snapToGrid w:val="0"/>
        </w:rPr>
        <w:t xml:space="preserve"> from the Department</w:t>
      </w:r>
      <w:r w:rsidRPr="00885AB3">
        <w:rPr>
          <w:rFonts w:asciiTheme="minorHAnsi" w:hAnsiTheme="minorHAnsi"/>
          <w:snapToGrid w:val="0"/>
        </w:rPr>
        <w:t>.</w:t>
      </w:r>
      <w:r w:rsidR="003516D3" w:rsidRPr="00885AB3">
        <w:rPr>
          <w:rFonts w:asciiTheme="minorHAnsi" w:hAnsiTheme="minorHAnsi"/>
          <w:snapToGrid w:val="0"/>
        </w:rPr>
        <w:t xml:space="preserve"> No additional information from the sponsor is required </w:t>
      </w:r>
      <w:proofErr w:type="gramStart"/>
      <w:r w:rsidR="003516D3" w:rsidRPr="00885AB3">
        <w:rPr>
          <w:rFonts w:asciiTheme="minorHAnsi" w:hAnsiTheme="minorHAnsi"/>
          <w:snapToGrid w:val="0"/>
        </w:rPr>
        <w:t>at this time</w:t>
      </w:r>
      <w:proofErr w:type="gramEnd"/>
      <w:r w:rsidR="003516D3" w:rsidRPr="00885AB3">
        <w:rPr>
          <w:rFonts w:asciiTheme="minorHAnsi" w:hAnsiTheme="minorHAnsi"/>
          <w:snapToGrid w:val="0"/>
        </w:rPr>
        <w:t>.</w:t>
      </w:r>
    </w:p>
    <w:p w14:paraId="00CD8A57" w14:textId="77777777" w:rsidR="0040574B" w:rsidRPr="00885AB3" w:rsidRDefault="0040574B" w:rsidP="00120D61">
      <w:pPr>
        <w:spacing w:before="240"/>
        <w:rPr>
          <w:rFonts w:asciiTheme="minorHAnsi" w:hAnsiTheme="minorHAnsi"/>
          <w:b/>
          <w:bCs/>
          <w:snapToGrid w:val="0"/>
        </w:rPr>
      </w:pPr>
      <w:r w:rsidRPr="00885AB3">
        <w:rPr>
          <w:rFonts w:asciiTheme="minorHAnsi" w:hAnsiTheme="minorHAnsi"/>
          <w:b/>
          <w:bCs/>
          <w:snapToGrid w:val="0"/>
        </w:rPr>
        <w:t>Outcome:</w:t>
      </w:r>
    </w:p>
    <w:p w14:paraId="44C5EB97" w14:textId="3AFF49A0" w:rsidR="00B739D9" w:rsidRPr="00885AB3" w:rsidRDefault="0040574B" w:rsidP="00120D61">
      <w:pPr>
        <w:rPr>
          <w:rFonts w:asciiTheme="minorHAnsi" w:hAnsiTheme="minorHAnsi"/>
          <w:bCs/>
          <w:snapToGrid w:val="0"/>
        </w:rPr>
      </w:pPr>
      <w:r w:rsidRPr="00885AB3">
        <w:rPr>
          <w:rFonts w:asciiTheme="minorHAnsi" w:hAnsiTheme="minorHAnsi"/>
          <w:bCs/>
          <w:snapToGrid w:val="0"/>
        </w:rPr>
        <w:t>Deferred</w:t>
      </w:r>
    </w:p>
    <w:p w14:paraId="14C831E0" w14:textId="517E2E80" w:rsidR="006A1AFC" w:rsidRPr="00885AB3" w:rsidRDefault="006A1AFC" w:rsidP="00120D61">
      <w:pPr>
        <w:rPr>
          <w:rFonts w:eastAsiaTheme="majorEastAsia" w:cstheme="majorBidi"/>
          <w:b/>
          <w:color w:val="000000" w:themeColor="text1"/>
        </w:rPr>
      </w:pPr>
    </w:p>
    <w:p w14:paraId="07D10E74" w14:textId="00F78EC7" w:rsidR="006A1AFC" w:rsidRPr="00885AB3" w:rsidRDefault="006A1AFC" w:rsidP="00120D61">
      <w:pPr>
        <w:pStyle w:val="5-SubsectionSubheading"/>
        <w:jc w:val="center"/>
      </w:pPr>
      <w:bookmarkStart w:id="162" w:name="_Toc208998523"/>
      <w:r w:rsidRPr="00885AB3">
        <w:t>Committee-In-Confidence information</w:t>
      </w:r>
      <w:bookmarkEnd w:id="162"/>
    </w:p>
    <w:p w14:paraId="4BF8455F" w14:textId="3A8ACD27" w:rsidR="006A1AFC" w:rsidRPr="00885AB3" w:rsidRDefault="005D52F0" w:rsidP="00120D61">
      <w:pPr>
        <w:pStyle w:val="3-BodyText"/>
        <w:rPr>
          <w:rFonts w:cs="Calibri"/>
          <w:iCs/>
        </w:rPr>
      </w:pPr>
      <w:r w:rsidRPr="001C78D7">
        <w:rPr>
          <w:rFonts w:cs="Calibri"/>
          <w:iCs/>
          <w:color w:val="000000"/>
          <w:w w:val="55"/>
          <w:shd w:val="solid" w:color="000000" w:fill="000000"/>
          <w:fitText w:val="7960" w:id="-597403136"/>
          <w14:textFill>
            <w14:solidFill>
              <w14:srgbClr w14:val="000000">
                <w14:alpha w14:val="100000"/>
              </w14:srgbClr>
            </w14:solidFill>
          </w14:textFill>
        </w:rPr>
        <w:t>|||||||||||||||||||||||||||||||||||||||||||||||||||||||||||||||||</w:t>
      </w:r>
      <w:r w:rsidR="001C78D7" w:rsidRPr="001C78D7">
        <w:rPr>
          <w:rFonts w:cs="Calibri"/>
          <w:iCs/>
          <w:color w:val="000000"/>
          <w:w w:val="55"/>
          <w:shd w:val="solid" w:color="000000" w:fill="000000"/>
          <w:fitText w:val="7960" w:id="-597403136"/>
          <w14:textFill>
            <w14:solidFill>
              <w14:srgbClr w14:val="000000">
                <w14:alpha w14:val="100000"/>
              </w14:srgbClr>
            </w14:solidFill>
          </w14:textFill>
        </w:rPr>
        <w:t xml:space="preserve"> </w:t>
      </w:r>
      <w:r w:rsidRPr="001C78D7">
        <w:rPr>
          <w:rFonts w:cs="Calibri"/>
          <w:iCs/>
          <w:color w:val="000000"/>
          <w:w w:val="55"/>
          <w:shd w:val="solid" w:color="000000" w:fill="000000"/>
          <w:fitText w:val="7960" w:id="-597403136"/>
          <w14:textFill>
            <w14:solidFill>
              <w14:srgbClr w14:val="000000">
                <w14:alpha w14:val="100000"/>
              </w14:srgbClr>
            </w14:solidFill>
          </w14:textFill>
        </w:rPr>
        <w:t>||||||||||||||||||||||||||||||||||||||||||||||||||||||||||||||||</w:t>
      </w:r>
      <w:r w:rsidRPr="001C78D7">
        <w:rPr>
          <w:rFonts w:cs="Calibri"/>
          <w:iCs/>
          <w:color w:val="000000"/>
          <w:spacing w:val="38"/>
          <w:w w:val="55"/>
          <w:shd w:val="solid" w:color="000000" w:fill="000000"/>
          <w:fitText w:val="7960" w:id="-597403136"/>
          <w14:textFill>
            <w14:solidFill>
              <w14:srgbClr w14:val="000000">
                <w14:alpha w14:val="100000"/>
              </w14:srgbClr>
            </w14:solidFill>
          </w14:textFill>
        </w:rPr>
        <w:t>|</w:t>
      </w:r>
      <w:r>
        <w:rPr>
          <w:rFonts w:cs="Calibri"/>
          <w:iCs/>
        </w:rPr>
        <w:t xml:space="preserve"> </w:t>
      </w:r>
      <w:r w:rsidRPr="001C78D7">
        <w:rPr>
          <w:rFonts w:cs="Calibri"/>
          <w:iCs/>
          <w:color w:val="000000"/>
          <w:spacing w:val="1"/>
          <w:w w:val="54"/>
          <w:shd w:val="solid" w:color="000000" w:fill="000000"/>
          <w:fitText w:val="4795" w:id="-597403135"/>
          <w14:textFill>
            <w14:solidFill>
              <w14:srgbClr w14:val="000000">
                <w14:alpha w14:val="100000"/>
              </w14:srgbClr>
            </w14:solidFill>
          </w14:textFill>
        </w:rPr>
        <w:t>|||||||||||||||||||||||||||||||||||||||</w:t>
      </w:r>
      <w:r w:rsidR="001C78D7" w:rsidRPr="001C78D7">
        <w:rPr>
          <w:rFonts w:cs="Calibri"/>
          <w:iCs/>
          <w:color w:val="000000"/>
          <w:spacing w:val="1"/>
          <w:w w:val="54"/>
          <w:shd w:val="solid" w:color="000000" w:fill="000000"/>
          <w:fitText w:val="4795" w:id="-597403135"/>
          <w14:textFill>
            <w14:solidFill>
              <w14:srgbClr w14:val="000000">
                <w14:alpha w14:val="100000"/>
              </w14:srgbClr>
            </w14:solidFill>
          </w14:textFill>
        </w:rPr>
        <w:t xml:space="preserve"> </w:t>
      </w:r>
      <w:r w:rsidRPr="001C78D7">
        <w:rPr>
          <w:rFonts w:cs="Calibri"/>
          <w:iCs/>
          <w:color w:val="000000"/>
          <w:spacing w:val="1"/>
          <w:w w:val="54"/>
          <w:shd w:val="solid" w:color="000000" w:fill="000000"/>
          <w:fitText w:val="4795" w:id="-597403135"/>
          <w14:textFill>
            <w14:solidFill>
              <w14:srgbClr w14:val="000000">
                <w14:alpha w14:val="100000"/>
              </w14:srgbClr>
            </w14:solidFill>
          </w14:textFill>
        </w:rPr>
        <w:t>||||||||||||||||||||||||||||||||||||||</w:t>
      </w:r>
      <w:r w:rsidRPr="001C78D7">
        <w:rPr>
          <w:rFonts w:cs="Calibri"/>
          <w:iCs/>
          <w:color w:val="000000"/>
          <w:spacing w:val="35"/>
          <w:w w:val="54"/>
          <w:shd w:val="solid" w:color="000000" w:fill="000000"/>
          <w:fitText w:val="4795" w:id="-597403135"/>
          <w14:textFill>
            <w14:solidFill>
              <w14:srgbClr w14:val="000000">
                <w14:alpha w14:val="100000"/>
              </w14:srgbClr>
            </w14:solidFill>
          </w14:textFill>
        </w:rPr>
        <w:t>|</w:t>
      </w:r>
    </w:p>
    <w:tbl>
      <w:tblPr>
        <w:tblStyle w:val="TableGrid"/>
        <w:tblW w:w="5000" w:type="pct"/>
        <w:shd w:val="clear" w:color="auto" w:fill="FFFF00"/>
        <w:tblCellMar>
          <w:left w:w="28" w:type="dxa"/>
          <w:right w:w="28" w:type="dxa"/>
        </w:tblCellMar>
        <w:tblLook w:val="04A0" w:firstRow="1" w:lastRow="0" w:firstColumn="1" w:lastColumn="0" w:noHBand="0" w:noVBand="1"/>
      </w:tblPr>
      <w:tblGrid>
        <w:gridCol w:w="2081"/>
        <w:gridCol w:w="2283"/>
        <w:gridCol w:w="2285"/>
        <w:gridCol w:w="2368"/>
      </w:tblGrid>
      <w:tr w:rsidR="006A1AFC" w:rsidRPr="00885AB3" w14:paraId="67957C87" w14:textId="77777777" w:rsidTr="005D52F0">
        <w:trPr>
          <w:tblHeader/>
        </w:trPr>
        <w:tc>
          <w:tcPr>
            <w:tcW w:w="5000" w:type="pct"/>
            <w:gridSpan w:val="4"/>
            <w:shd w:val="clear" w:color="auto" w:fill="000000" w:themeFill="text1"/>
          </w:tcPr>
          <w:p w14:paraId="0E8A3810" w14:textId="5BB53AF5" w:rsidR="006A1AFC" w:rsidRPr="00885AB3" w:rsidRDefault="006A1AFC" w:rsidP="00120D61">
            <w:pPr>
              <w:pStyle w:val="In-tableHeading"/>
              <w:rPr>
                <w:highlight w:val="yellow"/>
              </w:rPr>
            </w:pPr>
          </w:p>
        </w:tc>
      </w:tr>
      <w:tr w:rsidR="006A1AFC" w:rsidRPr="00885AB3" w14:paraId="2665CC5F" w14:textId="77777777" w:rsidTr="005D52F0">
        <w:trPr>
          <w:tblHeader/>
        </w:trPr>
        <w:tc>
          <w:tcPr>
            <w:tcW w:w="1154" w:type="pct"/>
            <w:shd w:val="clear" w:color="auto" w:fill="000000" w:themeFill="text1"/>
          </w:tcPr>
          <w:p w14:paraId="6CD72227" w14:textId="25210987" w:rsidR="006A1AFC" w:rsidRPr="00885AB3" w:rsidRDefault="006A1AFC" w:rsidP="00120D61">
            <w:pPr>
              <w:pStyle w:val="In-tableHeading"/>
              <w:rPr>
                <w:highlight w:val="yellow"/>
              </w:rPr>
            </w:pPr>
          </w:p>
        </w:tc>
        <w:tc>
          <w:tcPr>
            <w:tcW w:w="1266" w:type="pct"/>
            <w:shd w:val="clear" w:color="auto" w:fill="000000" w:themeFill="text1"/>
          </w:tcPr>
          <w:p w14:paraId="14462D94" w14:textId="71996769" w:rsidR="006A1AFC" w:rsidRPr="00885AB3" w:rsidRDefault="006A1AFC" w:rsidP="00120D61">
            <w:pPr>
              <w:pStyle w:val="In-tableHeading"/>
              <w:rPr>
                <w:highlight w:val="yellow"/>
              </w:rPr>
            </w:pPr>
          </w:p>
        </w:tc>
        <w:tc>
          <w:tcPr>
            <w:tcW w:w="1267" w:type="pct"/>
            <w:shd w:val="clear" w:color="auto" w:fill="000000" w:themeFill="text1"/>
          </w:tcPr>
          <w:p w14:paraId="634F4089" w14:textId="6C6B75F7" w:rsidR="006A1AFC" w:rsidRPr="00885AB3" w:rsidRDefault="006A1AFC" w:rsidP="00120D61">
            <w:pPr>
              <w:pStyle w:val="In-tableHeading"/>
              <w:rPr>
                <w:highlight w:val="yellow"/>
              </w:rPr>
            </w:pPr>
          </w:p>
        </w:tc>
        <w:tc>
          <w:tcPr>
            <w:tcW w:w="1313" w:type="pct"/>
            <w:shd w:val="clear" w:color="auto" w:fill="000000" w:themeFill="text1"/>
          </w:tcPr>
          <w:p w14:paraId="726BA354" w14:textId="52A3AE88" w:rsidR="006A1AFC" w:rsidRPr="00885AB3" w:rsidRDefault="006A1AFC" w:rsidP="00120D61">
            <w:pPr>
              <w:pStyle w:val="In-tableHeading"/>
              <w:rPr>
                <w:highlight w:val="yellow"/>
              </w:rPr>
            </w:pPr>
          </w:p>
        </w:tc>
      </w:tr>
      <w:tr w:rsidR="006A1AFC" w:rsidRPr="00885AB3" w14:paraId="27318B46" w14:textId="77777777" w:rsidTr="005D52F0">
        <w:tc>
          <w:tcPr>
            <w:tcW w:w="1154" w:type="pct"/>
            <w:shd w:val="clear" w:color="auto" w:fill="000000" w:themeFill="text1"/>
          </w:tcPr>
          <w:p w14:paraId="2A5E1FEC" w14:textId="6C17B8B3" w:rsidR="006A1AFC" w:rsidRPr="00885AB3" w:rsidRDefault="006A1AFC" w:rsidP="00120D61">
            <w:pPr>
              <w:pStyle w:val="Tabletext"/>
              <w:rPr>
                <w:b/>
                <w:bCs/>
                <w:szCs w:val="20"/>
                <w:highlight w:val="yellow"/>
              </w:rPr>
            </w:pPr>
          </w:p>
        </w:tc>
        <w:tc>
          <w:tcPr>
            <w:tcW w:w="1266" w:type="pct"/>
            <w:shd w:val="clear" w:color="auto" w:fill="000000" w:themeFill="text1"/>
          </w:tcPr>
          <w:p w14:paraId="77FB582E" w14:textId="5E8D4187" w:rsidR="006A1AFC" w:rsidRPr="00885AB3" w:rsidRDefault="006A1AFC" w:rsidP="00120D61">
            <w:pPr>
              <w:pStyle w:val="Tabletext"/>
              <w:rPr>
                <w:szCs w:val="20"/>
                <w:highlight w:val="yellow"/>
              </w:rPr>
            </w:pPr>
          </w:p>
        </w:tc>
        <w:tc>
          <w:tcPr>
            <w:tcW w:w="1267" w:type="pct"/>
            <w:shd w:val="clear" w:color="auto" w:fill="000000" w:themeFill="text1"/>
          </w:tcPr>
          <w:p w14:paraId="0072C670" w14:textId="1DDA6624" w:rsidR="006A1AFC" w:rsidRPr="00885AB3" w:rsidRDefault="006A1AFC" w:rsidP="00120D61">
            <w:pPr>
              <w:pStyle w:val="Tabletext"/>
              <w:rPr>
                <w:szCs w:val="20"/>
                <w:highlight w:val="yellow"/>
              </w:rPr>
            </w:pPr>
          </w:p>
        </w:tc>
        <w:tc>
          <w:tcPr>
            <w:tcW w:w="1313" w:type="pct"/>
            <w:shd w:val="clear" w:color="auto" w:fill="000000" w:themeFill="text1"/>
          </w:tcPr>
          <w:p w14:paraId="4E33758D" w14:textId="7F77468C" w:rsidR="006A1AFC" w:rsidRPr="00885AB3" w:rsidRDefault="006A1AFC" w:rsidP="00120D61">
            <w:pPr>
              <w:pStyle w:val="Tabletext"/>
              <w:rPr>
                <w:szCs w:val="20"/>
                <w:highlight w:val="yellow"/>
              </w:rPr>
            </w:pPr>
          </w:p>
        </w:tc>
      </w:tr>
      <w:tr w:rsidR="006A1AFC" w:rsidRPr="00885AB3" w14:paraId="3F5F5548" w14:textId="77777777" w:rsidTr="005D52F0">
        <w:tc>
          <w:tcPr>
            <w:tcW w:w="1154" w:type="pct"/>
            <w:shd w:val="clear" w:color="auto" w:fill="000000" w:themeFill="text1"/>
          </w:tcPr>
          <w:p w14:paraId="32B8D4B2" w14:textId="65159101" w:rsidR="006A1AFC" w:rsidRPr="00885AB3" w:rsidRDefault="006A1AFC" w:rsidP="00120D61">
            <w:pPr>
              <w:pStyle w:val="Tabletext"/>
              <w:rPr>
                <w:b/>
                <w:bCs/>
                <w:szCs w:val="20"/>
                <w:highlight w:val="yellow"/>
              </w:rPr>
            </w:pPr>
          </w:p>
        </w:tc>
        <w:tc>
          <w:tcPr>
            <w:tcW w:w="1266" w:type="pct"/>
            <w:shd w:val="clear" w:color="auto" w:fill="000000" w:themeFill="text1"/>
          </w:tcPr>
          <w:p w14:paraId="77C48973" w14:textId="77777777" w:rsidR="006A1AFC" w:rsidRPr="00885AB3" w:rsidRDefault="006A1AFC" w:rsidP="00120D61">
            <w:pPr>
              <w:pStyle w:val="Tabletext"/>
              <w:rPr>
                <w:szCs w:val="20"/>
                <w:highlight w:val="yellow"/>
              </w:rPr>
            </w:pPr>
          </w:p>
        </w:tc>
        <w:tc>
          <w:tcPr>
            <w:tcW w:w="1267" w:type="pct"/>
            <w:shd w:val="clear" w:color="auto" w:fill="000000" w:themeFill="text1"/>
          </w:tcPr>
          <w:p w14:paraId="49DA0A58" w14:textId="77777777" w:rsidR="006A1AFC" w:rsidRPr="00885AB3" w:rsidRDefault="006A1AFC" w:rsidP="00120D61">
            <w:pPr>
              <w:pStyle w:val="Tabletext"/>
              <w:rPr>
                <w:szCs w:val="20"/>
                <w:highlight w:val="yellow"/>
              </w:rPr>
            </w:pPr>
          </w:p>
        </w:tc>
        <w:tc>
          <w:tcPr>
            <w:tcW w:w="1313" w:type="pct"/>
            <w:shd w:val="clear" w:color="auto" w:fill="000000" w:themeFill="text1"/>
          </w:tcPr>
          <w:p w14:paraId="4CCBBEB0" w14:textId="77777777" w:rsidR="006A1AFC" w:rsidRPr="00885AB3" w:rsidRDefault="006A1AFC" w:rsidP="00120D61">
            <w:pPr>
              <w:pStyle w:val="Tabletext"/>
              <w:rPr>
                <w:szCs w:val="20"/>
                <w:highlight w:val="yellow"/>
              </w:rPr>
            </w:pPr>
          </w:p>
        </w:tc>
      </w:tr>
      <w:tr w:rsidR="006A1AFC" w:rsidRPr="00885AB3" w14:paraId="06473D64" w14:textId="77777777" w:rsidTr="005D52F0">
        <w:tc>
          <w:tcPr>
            <w:tcW w:w="1154" w:type="pct"/>
            <w:shd w:val="clear" w:color="auto" w:fill="000000" w:themeFill="text1"/>
          </w:tcPr>
          <w:p w14:paraId="475781D9" w14:textId="5F2FB3EB" w:rsidR="006A1AFC" w:rsidRPr="00885AB3" w:rsidRDefault="006A1AFC" w:rsidP="00120D61">
            <w:pPr>
              <w:pStyle w:val="Tabletext"/>
              <w:rPr>
                <w:szCs w:val="20"/>
                <w:highlight w:val="yellow"/>
              </w:rPr>
            </w:pPr>
          </w:p>
        </w:tc>
        <w:tc>
          <w:tcPr>
            <w:tcW w:w="1266" w:type="pct"/>
            <w:shd w:val="clear" w:color="auto" w:fill="000000" w:themeFill="text1"/>
          </w:tcPr>
          <w:p w14:paraId="031D41BF" w14:textId="0EF16EAE" w:rsidR="006A1AFC" w:rsidRPr="00885AB3" w:rsidRDefault="006A1AFC" w:rsidP="00120D61">
            <w:pPr>
              <w:pStyle w:val="Tabletext"/>
              <w:rPr>
                <w:szCs w:val="20"/>
                <w:highlight w:val="yellow"/>
              </w:rPr>
            </w:pPr>
          </w:p>
        </w:tc>
        <w:tc>
          <w:tcPr>
            <w:tcW w:w="1267" w:type="pct"/>
            <w:shd w:val="clear" w:color="auto" w:fill="000000" w:themeFill="text1"/>
          </w:tcPr>
          <w:p w14:paraId="146FDCAF" w14:textId="5705A756" w:rsidR="006A1AFC" w:rsidRPr="00885AB3" w:rsidRDefault="006A1AFC" w:rsidP="00120D61">
            <w:pPr>
              <w:pStyle w:val="Tabletext"/>
              <w:rPr>
                <w:bCs/>
                <w:szCs w:val="20"/>
                <w:highlight w:val="yellow"/>
              </w:rPr>
            </w:pPr>
          </w:p>
        </w:tc>
        <w:tc>
          <w:tcPr>
            <w:tcW w:w="1313" w:type="pct"/>
            <w:shd w:val="clear" w:color="auto" w:fill="000000" w:themeFill="text1"/>
          </w:tcPr>
          <w:p w14:paraId="2271E412" w14:textId="0768B573" w:rsidR="006A1AFC" w:rsidRPr="00885AB3" w:rsidRDefault="006A1AFC" w:rsidP="00120D61">
            <w:pPr>
              <w:pStyle w:val="Tabletext"/>
              <w:rPr>
                <w:bCs/>
                <w:szCs w:val="20"/>
                <w:highlight w:val="yellow"/>
              </w:rPr>
            </w:pPr>
          </w:p>
        </w:tc>
      </w:tr>
      <w:tr w:rsidR="006A1AFC" w:rsidRPr="00885AB3" w14:paraId="05263148" w14:textId="77777777" w:rsidTr="005D52F0">
        <w:tc>
          <w:tcPr>
            <w:tcW w:w="1154" w:type="pct"/>
            <w:shd w:val="clear" w:color="auto" w:fill="000000" w:themeFill="text1"/>
          </w:tcPr>
          <w:p w14:paraId="760AD74D" w14:textId="71B5BC36" w:rsidR="006A1AFC" w:rsidRPr="00885AB3" w:rsidRDefault="006A1AFC" w:rsidP="00120D61">
            <w:pPr>
              <w:pStyle w:val="Tabletext"/>
              <w:rPr>
                <w:szCs w:val="20"/>
                <w:highlight w:val="yellow"/>
              </w:rPr>
            </w:pPr>
          </w:p>
        </w:tc>
        <w:tc>
          <w:tcPr>
            <w:tcW w:w="1266" w:type="pct"/>
            <w:shd w:val="clear" w:color="auto" w:fill="000000" w:themeFill="text1"/>
          </w:tcPr>
          <w:p w14:paraId="18F2AB19" w14:textId="40B4C350" w:rsidR="006A1AFC" w:rsidRPr="00885AB3" w:rsidRDefault="006A1AFC" w:rsidP="00120D61">
            <w:pPr>
              <w:pStyle w:val="Tabletext"/>
              <w:rPr>
                <w:szCs w:val="20"/>
                <w:highlight w:val="yellow"/>
              </w:rPr>
            </w:pPr>
          </w:p>
        </w:tc>
        <w:tc>
          <w:tcPr>
            <w:tcW w:w="1267" w:type="pct"/>
            <w:shd w:val="clear" w:color="auto" w:fill="000000" w:themeFill="text1"/>
          </w:tcPr>
          <w:p w14:paraId="309A96F4" w14:textId="21BF3DDB" w:rsidR="006A1AFC" w:rsidRPr="00885AB3" w:rsidRDefault="006A1AFC" w:rsidP="00120D61">
            <w:pPr>
              <w:pStyle w:val="Tabletext"/>
              <w:rPr>
                <w:szCs w:val="20"/>
                <w:highlight w:val="yellow"/>
              </w:rPr>
            </w:pPr>
          </w:p>
        </w:tc>
        <w:tc>
          <w:tcPr>
            <w:tcW w:w="1313" w:type="pct"/>
            <w:shd w:val="clear" w:color="auto" w:fill="000000" w:themeFill="text1"/>
          </w:tcPr>
          <w:p w14:paraId="359DE350" w14:textId="44162CBE" w:rsidR="006A1AFC" w:rsidRPr="00885AB3" w:rsidRDefault="006A1AFC" w:rsidP="00120D61">
            <w:pPr>
              <w:pStyle w:val="Tabletext"/>
              <w:rPr>
                <w:szCs w:val="20"/>
                <w:highlight w:val="yellow"/>
              </w:rPr>
            </w:pPr>
          </w:p>
        </w:tc>
      </w:tr>
      <w:tr w:rsidR="006A1AFC" w:rsidRPr="00885AB3" w14:paraId="5471E1AC" w14:textId="77777777" w:rsidTr="005D52F0">
        <w:tc>
          <w:tcPr>
            <w:tcW w:w="1154" w:type="pct"/>
            <w:shd w:val="clear" w:color="auto" w:fill="000000" w:themeFill="text1"/>
          </w:tcPr>
          <w:p w14:paraId="253D59FF" w14:textId="64024FE3" w:rsidR="006A1AFC" w:rsidRPr="00885AB3" w:rsidRDefault="006A1AFC" w:rsidP="00120D61">
            <w:pPr>
              <w:pStyle w:val="Tabletext"/>
              <w:keepNext/>
              <w:keepLines/>
              <w:rPr>
                <w:b/>
                <w:bCs/>
                <w:szCs w:val="20"/>
                <w:highlight w:val="yellow"/>
              </w:rPr>
            </w:pPr>
          </w:p>
        </w:tc>
        <w:tc>
          <w:tcPr>
            <w:tcW w:w="1266" w:type="pct"/>
            <w:shd w:val="clear" w:color="auto" w:fill="000000" w:themeFill="text1"/>
          </w:tcPr>
          <w:p w14:paraId="3DB24003" w14:textId="77777777" w:rsidR="006A1AFC" w:rsidRPr="00885AB3" w:rsidRDefault="006A1AFC" w:rsidP="00120D61">
            <w:pPr>
              <w:pStyle w:val="Tabletext"/>
              <w:keepNext/>
              <w:keepLines/>
              <w:rPr>
                <w:szCs w:val="20"/>
                <w:highlight w:val="yellow"/>
              </w:rPr>
            </w:pPr>
          </w:p>
        </w:tc>
        <w:tc>
          <w:tcPr>
            <w:tcW w:w="1267" w:type="pct"/>
            <w:shd w:val="clear" w:color="auto" w:fill="000000" w:themeFill="text1"/>
          </w:tcPr>
          <w:p w14:paraId="7A4E8BA7" w14:textId="77777777" w:rsidR="006A1AFC" w:rsidRPr="00885AB3" w:rsidRDefault="006A1AFC" w:rsidP="00120D61">
            <w:pPr>
              <w:pStyle w:val="Tabletext"/>
              <w:keepNext/>
              <w:keepLines/>
              <w:rPr>
                <w:szCs w:val="20"/>
                <w:highlight w:val="yellow"/>
              </w:rPr>
            </w:pPr>
          </w:p>
        </w:tc>
        <w:tc>
          <w:tcPr>
            <w:tcW w:w="1313" w:type="pct"/>
            <w:shd w:val="clear" w:color="auto" w:fill="000000" w:themeFill="text1"/>
          </w:tcPr>
          <w:p w14:paraId="32507A55" w14:textId="77777777" w:rsidR="006A1AFC" w:rsidRPr="00885AB3" w:rsidRDefault="006A1AFC" w:rsidP="00120D61">
            <w:pPr>
              <w:pStyle w:val="Tabletext"/>
              <w:keepNext/>
              <w:keepLines/>
              <w:rPr>
                <w:rFonts w:eastAsiaTheme="majorEastAsia"/>
                <w:bCs/>
                <w:szCs w:val="20"/>
                <w:highlight w:val="yellow"/>
              </w:rPr>
            </w:pPr>
          </w:p>
        </w:tc>
      </w:tr>
      <w:tr w:rsidR="006A1AFC" w:rsidRPr="00885AB3" w14:paraId="38F02E23" w14:textId="77777777" w:rsidTr="005D52F0">
        <w:tc>
          <w:tcPr>
            <w:tcW w:w="1154" w:type="pct"/>
            <w:shd w:val="clear" w:color="auto" w:fill="000000" w:themeFill="text1"/>
          </w:tcPr>
          <w:p w14:paraId="2FEB78AC" w14:textId="62960C16" w:rsidR="006A1AFC" w:rsidRPr="00885AB3" w:rsidRDefault="006A1AFC" w:rsidP="00120D61">
            <w:pPr>
              <w:pStyle w:val="Tabletext"/>
              <w:keepNext/>
              <w:keepLines/>
              <w:rPr>
                <w:szCs w:val="20"/>
                <w:highlight w:val="yellow"/>
              </w:rPr>
            </w:pPr>
          </w:p>
        </w:tc>
        <w:tc>
          <w:tcPr>
            <w:tcW w:w="1266" w:type="pct"/>
            <w:shd w:val="clear" w:color="auto" w:fill="000000" w:themeFill="text1"/>
          </w:tcPr>
          <w:p w14:paraId="77813B9E" w14:textId="52BE1E1C" w:rsidR="006A1AFC" w:rsidRPr="00885AB3" w:rsidRDefault="006A1AFC" w:rsidP="00120D61">
            <w:pPr>
              <w:pStyle w:val="Tabletext"/>
              <w:keepNext/>
              <w:keepLines/>
              <w:rPr>
                <w:szCs w:val="20"/>
                <w:highlight w:val="yellow"/>
              </w:rPr>
            </w:pPr>
          </w:p>
        </w:tc>
        <w:tc>
          <w:tcPr>
            <w:tcW w:w="1267" w:type="pct"/>
            <w:shd w:val="clear" w:color="auto" w:fill="000000" w:themeFill="text1"/>
          </w:tcPr>
          <w:p w14:paraId="0140B5E3" w14:textId="7A1A01A5" w:rsidR="006A1AFC" w:rsidRPr="00885AB3" w:rsidRDefault="006A1AFC" w:rsidP="00120D61">
            <w:pPr>
              <w:pStyle w:val="Tabletext"/>
              <w:keepNext/>
              <w:keepLines/>
              <w:rPr>
                <w:szCs w:val="20"/>
                <w:highlight w:val="yellow"/>
              </w:rPr>
            </w:pPr>
          </w:p>
        </w:tc>
        <w:tc>
          <w:tcPr>
            <w:tcW w:w="1313" w:type="pct"/>
            <w:shd w:val="clear" w:color="auto" w:fill="000000" w:themeFill="text1"/>
          </w:tcPr>
          <w:p w14:paraId="2A8E877A" w14:textId="47BFA370" w:rsidR="006A1AFC" w:rsidRPr="00885AB3" w:rsidRDefault="006A1AFC" w:rsidP="00120D61">
            <w:pPr>
              <w:pStyle w:val="Tabletext"/>
              <w:keepNext/>
              <w:keepLines/>
              <w:rPr>
                <w:szCs w:val="20"/>
                <w:highlight w:val="yellow"/>
              </w:rPr>
            </w:pPr>
          </w:p>
        </w:tc>
      </w:tr>
      <w:tr w:rsidR="006A1AFC" w:rsidRPr="00885AB3" w14:paraId="2CA4E89C" w14:textId="77777777" w:rsidTr="005D52F0">
        <w:tc>
          <w:tcPr>
            <w:tcW w:w="1154" w:type="pct"/>
            <w:shd w:val="clear" w:color="auto" w:fill="000000" w:themeFill="text1"/>
          </w:tcPr>
          <w:p w14:paraId="7126B962" w14:textId="3EF5F562" w:rsidR="006A1AFC" w:rsidRPr="00885AB3" w:rsidRDefault="006A1AFC" w:rsidP="00120D61">
            <w:pPr>
              <w:pStyle w:val="Tabletext"/>
              <w:rPr>
                <w:szCs w:val="20"/>
                <w:highlight w:val="yellow"/>
              </w:rPr>
            </w:pPr>
          </w:p>
        </w:tc>
        <w:tc>
          <w:tcPr>
            <w:tcW w:w="1266" w:type="pct"/>
            <w:shd w:val="clear" w:color="auto" w:fill="000000" w:themeFill="text1"/>
          </w:tcPr>
          <w:p w14:paraId="050B2658" w14:textId="3137A65C" w:rsidR="006A1AFC" w:rsidRPr="00885AB3" w:rsidRDefault="006A1AFC" w:rsidP="00120D61">
            <w:pPr>
              <w:pStyle w:val="Tabletext"/>
              <w:rPr>
                <w:szCs w:val="20"/>
                <w:highlight w:val="yellow"/>
              </w:rPr>
            </w:pPr>
          </w:p>
        </w:tc>
        <w:tc>
          <w:tcPr>
            <w:tcW w:w="1267" w:type="pct"/>
            <w:shd w:val="clear" w:color="auto" w:fill="000000" w:themeFill="text1"/>
          </w:tcPr>
          <w:p w14:paraId="1A91A8E0" w14:textId="3D5F3C41" w:rsidR="006A1AFC" w:rsidRPr="00885AB3" w:rsidRDefault="006A1AFC" w:rsidP="00120D61">
            <w:pPr>
              <w:pStyle w:val="Tabletext"/>
              <w:rPr>
                <w:szCs w:val="20"/>
                <w:highlight w:val="yellow"/>
              </w:rPr>
            </w:pPr>
          </w:p>
        </w:tc>
        <w:tc>
          <w:tcPr>
            <w:tcW w:w="1313" w:type="pct"/>
            <w:shd w:val="clear" w:color="auto" w:fill="000000" w:themeFill="text1"/>
          </w:tcPr>
          <w:p w14:paraId="18AC7F86" w14:textId="0063543A" w:rsidR="006A1AFC" w:rsidRPr="00885AB3" w:rsidRDefault="006A1AFC" w:rsidP="00120D61">
            <w:pPr>
              <w:pStyle w:val="Tabletext"/>
              <w:ind w:left="360"/>
              <w:rPr>
                <w:szCs w:val="20"/>
                <w:highlight w:val="yellow"/>
              </w:rPr>
            </w:pPr>
          </w:p>
        </w:tc>
      </w:tr>
      <w:tr w:rsidR="006A1AFC" w:rsidRPr="00885AB3" w14:paraId="2E562638" w14:textId="77777777" w:rsidTr="005D52F0">
        <w:tc>
          <w:tcPr>
            <w:tcW w:w="1154" w:type="pct"/>
            <w:shd w:val="clear" w:color="auto" w:fill="000000" w:themeFill="text1"/>
          </w:tcPr>
          <w:p w14:paraId="4D7C739A" w14:textId="799E80B0" w:rsidR="006A1AFC" w:rsidRPr="00885AB3" w:rsidRDefault="006A1AFC" w:rsidP="00120D61">
            <w:pPr>
              <w:pStyle w:val="Tabletext"/>
              <w:rPr>
                <w:szCs w:val="20"/>
                <w:highlight w:val="yellow"/>
              </w:rPr>
            </w:pPr>
          </w:p>
        </w:tc>
        <w:tc>
          <w:tcPr>
            <w:tcW w:w="1266" w:type="pct"/>
            <w:shd w:val="clear" w:color="auto" w:fill="000000" w:themeFill="text1"/>
          </w:tcPr>
          <w:p w14:paraId="3A6BA700" w14:textId="6915850F" w:rsidR="006A1AFC" w:rsidRPr="00885AB3" w:rsidRDefault="006A1AFC" w:rsidP="00120D61">
            <w:pPr>
              <w:pStyle w:val="Tabletext"/>
              <w:rPr>
                <w:szCs w:val="20"/>
                <w:highlight w:val="yellow"/>
              </w:rPr>
            </w:pPr>
          </w:p>
        </w:tc>
        <w:tc>
          <w:tcPr>
            <w:tcW w:w="1267" w:type="pct"/>
            <w:shd w:val="clear" w:color="auto" w:fill="000000" w:themeFill="text1"/>
          </w:tcPr>
          <w:p w14:paraId="4EF26C7D" w14:textId="592B3177" w:rsidR="006A1AFC" w:rsidRPr="00885AB3" w:rsidRDefault="006A1AFC" w:rsidP="00120D61">
            <w:pPr>
              <w:pStyle w:val="Tabletext"/>
              <w:rPr>
                <w:szCs w:val="20"/>
                <w:highlight w:val="yellow"/>
              </w:rPr>
            </w:pPr>
          </w:p>
        </w:tc>
        <w:tc>
          <w:tcPr>
            <w:tcW w:w="1313" w:type="pct"/>
            <w:shd w:val="clear" w:color="auto" w:fill="000000" w:themeFill="text1"/>
          </w:tcPr>
          <w:p w14:paraId="4538C7CF" w14:textId="7CD381E5" w:rsidR="006A1AFC" w:rsidRPr="00885AB3" w:rsidRDefault="006A1AFC" w:rsidP="00120D61">
            <w:pPr>
              <w:pStyle w:val="Tabletext"/>
              <w:rPr>
                <w:szCs w:val="20"/>
                <w:highlight w:val="yellow"/>
              </w:rPr>
            </w:pPr>
          </w:p>
        </w:tc>
      </w:tr>
      <w:tr w:rsidR="006A1AFC" w:rsidRPr="00885AB3" w14:paraId="6CBB653C" w14:textId="77777777" w:rsidTr="005D52F0">
        <w:tc>
          <w:tcPr>
            <w:tcW w:w="1154" w:type="pct"/>
            <w:shd w:val="clear" w:color="auto" w:fill="000000" w:themeFill="text1"/>
          </w:tcPr>
          <w:p w14:paraId="3A04F9E7" w14:textId="3AF6CF06" w:rsidR="006A1AFC" w:rsidRPr="00885AB3" w:rsidRDefault="006A1AFC" w:rsidP="00120D61">
            <w:pPr>
              <w:pStyle w:val="Tabletext"/>
              <w:rPr>
                <w:szCs w:val="20"/>
                <w:highlight w:val="yellow"/>
              </w:rPr>
            </w:pPr>
          </w:p>
        </w:tc>
        <w:tc>
          <w:tcPr>
            <w:tcW w:w="1266" w:type="pct"/>
            <w:shd w:val="clear" w:color="auto" w:fill="000000" w:themeFill="text1"/>
          </w:tcPr>
          <w:p w14:paraId="04BDE375" w14:textId="661B28BD" w:rsidR="006A1AFC" w:rsidRPr="00885AB3" w:rsidRDefault="006A1AFC" w:rsidP="00120D61">
            <w:pPr>
              <w:pStyle w:val="Tabletext"/>
              <w:rPr>
                <w:szCs w:val="20"/>
                <w:highlight w:val="yellow"/>
              </w:rPr>
            </w:pPr>
          </w:p>
        </w:tc>
        <w:tc>
          <w:tcPr>
            <w:tcW w:w="1267" w:type="pct"/>
            <w:shd w:val="clear" w:color="auto" w:fill="000000" w:themeFill="text1"/>
          </w:tcPr>
          <w:p w14:paraId="03CBBF1F" w14:textId="5322505C" w:rsidR="006A1AFC" w:rsidRPr="00885AB3" w:rsidRDefault="006A1AFC" w:rsidP="00120D61">
            <w:pPr>
              <w:pStyle w:val="Tabletext"/>
              <w:rPr>
                <w:szCs w:val="20"/>
                <w:highlight w:val="yellow"/>
              </w:rPr>
            </w:pPr>
          </w:p>
        </w:tc>
        <w:tc>
          <w:tcPr>
            <w:tcW w:w="1313" w:type="pct"/>
            <w:shd w:val="clear" w:color="auto" w:fill="000000" w:themeFill="text1"/>
          </w:tcPr>
          <w:p w14:paraId="3A6FC3E8" w14:textId="50BBE3E3" w:rsidR="006A1AFC" w:rsidRPr="00885AB3" w:rsidRDefault="006A1AFC" w:rsidP="00120D61">
            <w:pPr>
              <w:pStyle w:val="Tabletext"/>
              <w:rPr>
                <w:szCs w:val="20"/>
                <w:highlight w:val="yellow"/>
              </w:rPr>
            </w:pPr>
          </w:p>
        </w:tc>
      </w:tr>
      <w:tr w:rsidR="006A1AFC" w:rsidRPr="00885AB3" w14:paraId="2B2BC8D6" w14:textId="77777777" w:rsidTr="005D52F0">
        <w:tc>
          <w:tcPr>
            <w:tcW w:w="1154" w:type="pct"/>
            <w:shd w:val="clear" w:color="auto" w:fill="000000" w:themeFill="text1"/>
          </w:tcPr>
          <w:p w14:paraId="6C279359" w14:textId="2970F664" w:rsidR="006A1AFC" w:rsidRPr="00885AB3" w:rsidRDefault="006A1AFC" w:rsidP="00120D61">
            <w:pPr>
              <w:pStyle w:val="Tabletext"/>
              <w:rPr>
                <w:b/>
                <w:bCs/>
                <w:szCs w:val="20"/>
                <w:highlight w:val="yellow"/>
              </w:rPr>
            </w:pPr>
          </w:p>
        </w:tc>
        <w:tc>
          <w:tcPr>
            <w:tcW w:w="1266" w:type="pct"/>
            <w:shd w:val="clear" w:color="auto" w:fill="000000" w:themeFill="text1"/>
          </w:tcPr>
          <w:p w14:paraId="454CB48B" w14:textId="77777777" w:rsidR="006A1AFC" w:rsidRPr="00885AB3" w:rsidRDefault="006A1AFC" w:rsidP="00120D61">
            <w:pPr>
              <w:pStyle w:val="Tabletext"/>
              <w:rPr>
                <w:szCs w:val="20"/>
                <w:highlight w:val="yellow"/>
              </w:rPr>
            </w:pPr>
          </w:p>
        </w:tc>
        <w:tc>
          <w:tcPr>
            <w:tcW w:w="1267" w:type="pct"/>
            <w:shd w:val="clear" w:color="auto" w:fill="000000" w:themeFill="text1"/>
          </w:tcPr>
          <w:p w14:paraId="2AB71209" w14:textId="77777777" w:rsidR="006A1AFC" w:rsidRPr="00885AB3" w:rsidRDefault="006A1AFC" w:rsidP="00120D61">
            <w:pPr>
              <w:pStyle w:val="Tabletext"/>
              <w:rPr>
                <w:szCs w:val="20"/>
                <w:highlight w:val="yellow"/>
              </w:rPr>
            </w:pPr>
          </w:p>
        </w:tc>
        <w:tc>
          <w:tcPr>
            <w:tcW w:w="1313" w:type="pct"/>
            <w:shd w:val="clear" w:color="auto" w:fill="000000" w:themeFill="text1"/>
          </w:tcPr>
          <w:p w14:paraId="4C3BBF6E" w14:textId="77777777" w:rsidR="006A1AFC" w:rsidRPr="00885AB3" w:rsidRDefault="006A1AFC" w:rsidP="00120D61">
            <w:pPr>
              <w:pStyle w:val="Tabletext"/>
              <w:rPr>
                <w:szCs w:val="20"/>
                <w:highlight w:val="yellow"/>
              </w:rPr>
            </w:pPr>
          </w:p>
        </w:tc>
      </w:tr>
      <w:tr w:rsidR="006A1AFC" w:rsidRPr="00885AB3" w14:paraId="0DB869E1" w14:textId="77777777" w:rsidTr="005D52F0">
        <w:tc>
          <w:tcPr>
            <w:tcW w:w="1154" w:type="pct"/>
            <w:shd w:val="clear" w:color="auto" w:fill="000000" w:themeFill="text1"/>
          </w:tcPr>
          <w:p w14:paraId="49C48678" w14:textId="5CAC6F92" w:rsidR="006A1AFC" w:rsidRPr="00885AB3" w:rsidRDefault="006A1AFC" w:rsidP="00120D61">
            <w:pPr>
              <w:pStyle w:val="Tabletext"/>
              <w:rPr>
                <w:szCs w:val="20"/>
                <w:highlight w:val="yellow"/>
              </w:rPr>
            </w:pPr>
          </w:p>
        </w:tc>
        <w:tc>
          <w:tcPr>
            <w:tcW w:w="1266" w:type="pct"/>
            <w:shd w:val="clear" w:color="auto" w:fill="000000" w:themeFill="text1"/>
          </w:tcPr>
          <w:p w14:paraId="38F4B207" w14:textId="37308D60" w:rsidR="006A1AFC" w:rsidRPr="00885AB3" w:rsidRDefault="006A1AFC" w:rsidP="00120D61">
            <w:pPr>
              <w:pStyle w:val="Tabletext"/>
              <w:rPr>
                <w:szCs w:val="20"/>
                <w:highlight w:val="yellow"/>
              </w:rPr>
            </w:pPr>
          </w:p>
        </w:tc>
        <w:tc>
          <w:tcPr>
            <w:tcW w:w="1267" w:type="pct"/>
            <w:shd w:val="clear" w:color="auto" w:fill="000000" w:themeFill="text1"/>
          </w:tcPr>
          <w:p w14:paraId="5D2826C4" w14:textId="6E251C34" w:rsidR="006A1AFC" w:rsidRPr="00885AB3" w:rsidRDefault="006A1AFC" w:rsidP="00120D61">
            <w:pPr>
              <w:pStyle w:val="Tabletext"/>
              <w:rPr>
                <w:szCs w:val="20"/>
                <w:highlight w:val="yellow"/>
              </w:rPr>
            </w:pPr>
          </w:p>
        </w:tc>
        <w:tc>
          <w:tcPr>
            <w:tcW w:w="1313" w:type="pct"/>
            <w:shd w:val="clear" w:color="auto" w:fill="000000" w:themeFill="text1"/>
          </w:tcPr>
          <w:p w14:paraId="1BA1153C" w14:textId="36513335" w:rsidR="006A1AFC" w:rsidRPr="00885AB3" w:rsidRDefault="006A1AFC" w:rsidP="00120D61">
            <w:pPr>
              <w:pStyle w:val="Tabletext"/>
              <w:rPr>
                <w:szCs w:val="20"/>
                <w:highlight w:val="yellow"/>
              </w:rPr>
            </w:pPr>
          </w:p>
        </w:tc>
      </w:tr>
      <w:tr w:rsidR="006A1AFC" w:rsidRPr="00885AB3" w14:paraId="5B4372EF" w14:textId="77777777" w:rsidTr="005D52F0">
        <w:tc>
          <w:tcPr>
            <w:tcW w:w="1154" w:type="pct"/>
            <w:shd w:val="clear" w:color="auto" w:fill="000000" w:themeFill="text1"/>
          </w:tcPr>
          <w:p w14:paraId="76C2905C" w14:textId="2560B6A5" w:rsidR="006A1AFC" w:rsidRPr="00885AB3" w:rsidRDefault="006A1AFC" w:rsidP="00120D61">
            <w:pPr>
              <w:pStyle w:val="Tabletext"/>
              <w:rPr>
                <w:szCs w:val="20"/>
                <w:highlight w:val="yellow"/>
              </w:rPr>
            </w:pPr>
          </w:p>
        </w:tc>
        <w:tc>
          <w:tcPr>
            <w:tcW w:w="1266" w:type="pct"/>
            <w:shd w:val="clear" w:color="auto" w:fill="000000" w:themeFill="text1"/>
          </w:tcPr>
          <w:p w14:paraId="44EEAA9C" w14:textId="69881A2A" w:rsidR="006A1AFC" w:rsidRPr="00885AB3" w:rsidRDefault="006A1AFC" w:rsidP="00120D61">
            <w:pPr>
              <w:pStyle w:val="Tabletext"/>
              <w:rPr>
                <w:szCs w:val="20"/>
                <w:highlight w:val="yellow"/>
              </w:rPr>
            </w:pPr>
          </w:p>
        </w:tc>
        <w:tc>
          <w:tcPr>
            <w:tcW w:w="1267" w:type="pct"/>
            <w:shd w:val="clear" w:color="auto" w:fill="000000" w:themeFill="text1"/>
          </w:tcPr>
          <w:p w14:paraId="1314007C" w14:textId="00202987" w:rsidR="006A1AFC" w:rsidRPr="00885AB3" w:rsidRDefault="006A1AFC" w:rsidP="00120D61">
            <w:pPr>
              <w:pStyle w:val="Tabletext"/>
              <w:rPr>
                <w:szCs w:val="20"/>
                <w:highlight w:val="yellow"/>
              </w:rPr>
            </w:pPr>
          </w:p>
        </w:tc>
        <w:tc>
          <w:tcPr>
            <w:tcW w:w="1313" w:type="pct"/>
            <w:shd w:val="clear" w:color="auto" w:fill="000000" w:themeFill="text1"/>
          </w:tcPr>
          <w:p w14:paraId="01635869" w14:textId="5E4109C1" w:rsidR="006A1AFC" w:rsidRPr="00885AB3" w:rsidRDefault="006A1AFC" w:rsidP="00120D61">
            <w:pPr>
              <w:pStyle w:val="Tabletext"/>
              <w:rPr>
                <w:szCs w:val="20"/>
                <w:highlight w:val="yellow"/>
              </w:rPr>
            </w:pPr>
          </w:p>
        </w:tc>
      </w:tr>
      <w:tr w:rsidR="006A1AFC" w:rsidRPr="00885AB3" w14:paraId="54DB0D19" w14:textId="77777777" w:rsidTr="005D52F0">
        <w:tc>
          <w:tcPr>
            <w:tcW w:w="1154" w:type="pct"/>
            <w:shd w:val="clear" w:color="auto" w:fill="000000" w:themeFill="text1"/>
          </w:tcPr>
          <w:p w14:paraId="459D1CE8" w14:textId="2F1CE775" w:rsidR="006A1AFC" w:rsidRPr="00885AB3" w:rsidRDefault="006A1AFC" w:rsidP="00120D61">
            <w:pPr>
              <w:pStyle w:val="Tabletext"/>
              <w:rPr>
                <w:szCs w:val="20"/>
                <w:highlight w:val="yellow"/>
              </w:rPr>
            </w:pPr>
          </w:p>
        </w:tc>
        <w:tc>
          <w:tcPr>
            <w:tcW w:w="1266" w:type="pct"/>
            <w:shd w:val="clear" w:color="auto" w:fill="000000" w:themeFill="text1"/>
          </w:tcPr>
          <w:p w14:paraId="376ACCAB" w14:textId="29369C74" w:rsidR="006A1AFC" w:rsidRPr="00885AB3" w:rsidRDefault="006A1AFC" w:rsidP="00120D61">
            <w:pPr>
              <w:pStyle w:val="Tabletext"/>
              <w:rPr>
                <w:szCs w:val="20"/>
                <w:highlight w:val="yellow"/>
              </w:rPr>
            </w:pPr>
          </w:p>
        </w:tc>
        <w:tc>
          <w:tcPr>
            <w:tcW w:w="1267" w:type="pct"/>
            <w:shd w:val="clear" w:color="auto" w:fill="000000" w:themeFill="text1"/>
          </w:tcPr>
          <w:p w14:paraId="173A948A" w14:textId="10ABC87A" w:rsidR="006A1AFC" w:rsidRPr="00885AB3" w:rsidRDefault="006A1AFC" w:rsidP="00120D61">
            <w:pPr>
              <w:pStyle w:val="Tabletext"/>
              <w:rPr>
                <w:szCs w:val="20"/>
                <w:highlight w:val="yellow"/>
              </w:rPr>
            </w:pPr>
          </w:p>
        </w:tc>
        <w:tc>
          <w:tcPr>
            <w:tcW w:w="1313" w:type="pct"/>
            <w:shd w:val="clear" w:color="auto" w:fill="000000" w:themeFill="text1"/>
          </w:tcPr>
          <w:p w14:paraId="3D61327F" w14:textId="0A4B9550" w:rsidR="006A1AFC" w:rsidRPr="00885AB3" w:rsidRDefault="006A1AFC" w:rsidP="00120D61">
            <w:pPr>
              <w:pStyle w:val="Tabletext"/>
              <w:rPr>
                <w:szCs w:val="20"/>
                <w:highlight w:val="yellow"/>
              </w:rPr>
            </w:pPr>
          </w:p>
        </w:tc>
      </w:tr>
      <w:tr w:rsidR="006A1AFC" w:rsidRPr="00885AB3" w14:paraId="24DE6EEB" w14:textId="77777777" w:rsidTr="005D52F0">
        <w:tc>
          <w:tcPr>
            <w:tcW w:w="1154" w:type="pct"/>
            <w:shd w:val="clear" w:color="auto" w:fill="000000" w:themeFill="text1"/>
          </w:tcPr>
          <w:p w14:paraId="7292658D" w14:textId="02E83AC4" w:rsidR="006A1AFC" w:rsidRPr="00885AB3" w:rsidRDefault="006A1AFC" w:rsidP="00120D61">
            <w:pPr>
              <w:pStyle w:val="Tabletext"/>
              <w:rPr>
                <w:b/>
                <w:bCs/>
                <w:szCs w:val="20"/>
                <w:highlight w:val="yellow"/>
              </w:rPr>
            </w:pPr>
          </w:p>
        </w:tc>
        <w:tc>
          <w:tcPr>
            <w:tcW w:w="1266" w:type="pct"/>
            <w:shd w:val="clear" w:color="auto" w:fill="000000" w:themeFill="text1"/>
          </w:tcPr>
          <w:p w14:paraId="754EBA85" w14:textId="77777777" w:rsidR="006A1AFC" w:rsidRPr="00885AB3" w:rsidRDefault="006A1AFC" w:rsidP="00120D61">
            <w:pPr>
              <w:pStyle w:val="Tabletext"/>
              <w:rPr>
                <w:szCs w:val="20"/>
                <w:highlight w:val="yellow"/>
              </w:rPr>
            </w:pPr>
          </w:p>
        </w:tc>
        <w:tc>
          <w:tcPr>
            <w:tcW w:w="1267" w:type="pct"/>
            <w:shd w:val="clear" w:color="auto" w:fill="000000" w:themeFill="text1"/>
          </w:tcPr>
          <w:p w14:paraId="68567A86" w14:textId="77777777" w:rsidR="006A1AFC" w:rsidRPr="00885AB3" w:rsidRDefault="006A1AFC" w:rsidP="00120D61">
            <w:pPr>
              <w:pStyle w:val="Tabletext"/>
              <w:rPr>
                <w:szCs w:val="20"/>
                <w:highlight w:val="yellow"/>
              </w:rPr>
            </w:pPr>
          </w:p>
        </w:tc>
        <w:tc>
          <w:tcPr>
            <w:tcW w:w="1313" w:type="pct"/>
            <w:shd w:val="clear" w:color="auto" w:fill="000000" w:themeFill="text1"/>
          </w:tcPr>
          <w:p w14:paraId="58A74A68" w14:textId="77777777" w:rsidR="006A1AFC" w:rsidRPr="00885AB3" w:rsidRDefault="006A1AFC" w:rsidP="00120D61">
            <w:pPr>
              <w:pStyle w:val="Tabletext"/>
              <w:rPr>
                <w:szCs w:val="20"/>
                <w:highlight w:val="yellow"/>
              </w:rPr>
            </w:pPr>
          </w:p>
        </w:tc>
      </w:tr>
      <w:tr w:rsidR="006A1AFC" w:rsidRPr="00885AB3" w14:paraId="58D1C0F6" w14:textId="77777777" w:rsidTr="005D52F0">
        <w:tc>
          <w:tcPr>
            <w:tcW w:w="5000" w:type="pct"/>
            <w:gridSpan w:val="4"/>
            <w:shd w:val="clear" w:color="auto" w:fill="000000" w:themeFill="text1"/>
          </w:tcPr>
          <w:p w14:paraId="0451FFDF" w14:textId="22231AB7" w:rsidR="006A1AFC" w:rsidRPr="00885AB3" w:rsidRDefault="006A1AFC" w:rsidP="00120D61">
            <w:pPr>
              <w:rPr>
                <w:rFonts w:ascii="Arial Narrow" w:hAnsi="Arial Narrow"/>
                <w:snapToGrid w:val="0"/>
                <w:sz w:val="20"/>
                <w:szCs w:val="20"/>
                <w:highlight w:val="yellow"/>
              </w:rPr>
            </w:pPr>
          </w:p>
        </w:tc>
      </w:tr>
      <w:tr w:rsidR="006A1AFC" w:rsidRPr="00885AB3" w14:paraId="6A4085AD" w14:textId="77777777" w:rsidTr="005D52F0">
        <w:tc>
          <w:tcPr>
            <w:tcW w:w="1154" w:type="pct"/>
            <w:shd w:val="clear" w:color="auto" w:fill="000000" w:themeFill="text1"/>
          </w:tcPr>
          <w:p w14:paraId="01E48AFE" w14:textId="37C4AA16" w:rsidR="006A1AFC" w:rsidRPr="00885AB3" w:rsidRDefault="006A1AFC" w:rsidP="00120D61">
            <w:pPr>
              <w:pStyle w:val="Tabletext"/>
              <w:rPr>
                <w:b/>
                <w:bCs/>
                <w:szCs w:val="20"/>
                <w:highlight w:val="yellow"/>
              </w:rPr>
            </w:pPr>
          </w:p>
        </w:tc>
        <w:tc>
          <w:tcPr>
            <w:tcW w:w="1266" w:type="pct"/>
            <w:shd w:val="clear" w:color="auto" w:fill="000000" w:themeFill="text1"/>
          </w:tcPr>
          <w:p w14:paraId="37B4DBC9" w14:textId="77777777" w:rsidR="006A1AFC" w:rsidRPr="00885AB3" w:rsidRDefault="006A1AFC" w:rsidP="00120D61">
            <w:pPr>
              <w:pStyle w:val="Tabletext"/>
              <w:rPr>
                <w:szCs w:val="20"/>
                <w:highlight w:val="yellow"/>
              </w:rPr>
            </w:pPr>
          </w:p>
        </w:tc>
        <w:tc>
          <w:tcPr>
            <w:tcW w:w="1267" w:type="pct"/>
            <w:shd w:val="clear" w:color="auto" w:fill="000000" w:themeFill="text1"/>
          </w:tcPr>
          <w:p w14:paraId="306079A0" w14:textId="77777777" w:rsidR="006A1AFC" w:rsidRPr="00885AB3" w:rsidRDefault="006A1AFC" w:rsidP="00120D61">
            <w:pPr>
              <w:pStyle w:val="Tabletext"/>
              <w:rPr>
                <w:szCs w:val="20"/>
                <w:highlight w:val="yellow"/>
              </w:rPr>
            </w:pPr>
          </w:p>
        </w:tc>
        <w:tc>
          <w:tcPr>
            <w:tcW w:w="1313" w:type="pct"/>
            <w:shd w:val="clear" w:color="auto" w:fill="000000" w:themeFill="text1"/>
          </w:tcPr>
          <w:p w14:paraId="0026C42C" w14:textId="77777777" w:rsidR="006A1AFC" w:rsidRPr="00885AB3" w:rsidRDefault="006A1AFC" w:rsidP="00120D61">
            <w:pPr>
              <w:pStyle w:val="Tabletext"/>
              <w:rPr>
                <w:szCs w:val="20"/>
                <w:highlight w:val="yellow"/>
              </w:rPr>
            </w:pPr>
          </w:p>
        </w:tc>
      </w:tr>
      <w:tr w:rsidR="006A1AFC" w:rsidRPr="00885AB3" w14:paraId="23447591" w14:textId="77777777" w:rsidTr="005D52F0">
        <w:tc>
          <w:tcPr>
            <w:tcW w:w="1154" w:type="pct"/>
            <w:shd w:val="clear" w:color="auto" w:fill="000000" w:themeFill="text1"/>
          </w:tcPr>
          <w:p w14:paraId="485538CE" w14:textId="3A7C1DC9" w:rsidR="006A1AFC" w:rsidRPr="00885AB3" w:rsidRDefault="006A1AFC" w:rsidP="00120D61">
            <w:pPr>
              <w:pStyle w:val="Tabletext"/>
              <w:rPr>
                <w:szCs w:val="20"/>
                <w:highlight w:val="yellow"/>
              </w:rPr>
            </w:pPr>
          </w:p>
        </w:tc>
        <w:tc>
          <w:tcPr>
            <w:tcW w:w="1266" w:type="pct"/>
            <w:shd w:val="clear" w:color="auto" w:fill="000000" w:themeFill="text1"/>
          </w:tcPr>
          <w:p w14:paraId="087121D6" w14:textId="2C685B1C" w:rsidR="006A1AFC" w:rsidRPr="00885AB3" w:rsidRDefault="006A1AFC" w:rsidP="00120D61">
            <w:pPr>
              <w:pStyle w:val="Tabletext"/>
              <w:rPr>
                <w:szCs w:val="20"/>
                <w:highlight w:val="yellow"/>
              </w:rPr>
            </w:pPr>
          </w:p>
        </w:tc>
        <w:tc>
          <w:tcPr>
            <w:tcW w:w="1267" w:type="pct"/>
            <w:shd w:val="clear" w:color="auto" w:fill="000000" w:themeFill="text1"/>
          </w:tcPr>
          <w:p w14:paraId="772BD0E7" w14:textId="25BBB054" w:rsidR="006A1AFC" w:rsidRPr="00885AB3" w:rsidRDefault="006A1AFC" w:rsidP="00120D61">
            <w:pPr>
              <w:pStyle w:val="Tabletext"/>
              <w:rPr>
                <w:szCs w:val="20"/>
                <w:highlight w:val="yellow"/>
              </w:rPr>
            </w:pPr>
          </w:p>
        </w:tc>
        <w:tc>
          <w:tcPr>
            <w:tcW w:w="1313" w:type="pct"/>
            <w:shd w:val="clear" w:color="auto" w:fill="000000" w:themeFill="text1"/>
          </w:tcPr>
          <w:p w14:paraId="66FA16AA" w14:textId="0EBDE30A" w:rsidR="006A1AFC" w:rsidRPr="00885AB3" w:rsidRDefault="006A1AFC" w:rsidP="00120D61">
            <w:pPr>
              <w:pStyle w:val="Tabletext"/>
              <w:rPr>
                <w:szCs w:val="20"/>
                <w:highlight w:val="yellow"/>
              </w:rPr>
            </w:pPr>
          </w:p>
        </w:tc>
      </w:tr>
      <w:tr w:rsidR="006A1AFC" w:rsidRPr="00885AB3" w14:paraId="66FD750C" w14:textId="77777777" w:rsidTr="005D52F0">
        <w:tc>
          <w:tcPr>
            <w:tcW w:w="1154" w:type="pct"/>
            <w:shd w:val="clear" w:color="auto" w:fill="000000" w:themeFill="text1"/>
          </w:tcPr>
          <w:p w14:paraId="145EEE2E" w14:textId="2E457DE6" w:rsidR="006A1AFC" w:rsidRPr="00885AB3" w:rsidRDefault="006A1AFC" w:rsidP="00120D61">
            <w:pPr>
              <w:pStyle w:val="Tabletext"/>
              <w:rPr>
                <w:szCs w:val="20"/>
                <w:highlight w:val="yellow"/>
              </w:rPr>
            </w:pPr>
          </w:p>
        </w:tc>
        <w:tc>
          <w:tcPr>
            <w:tcW w:w="1266" w:type="pct"/>
            <w:shd w:val="clear" w:color="auto" w:fill="000000" w:themeFill="text1"/>
          </w:tcPr>
          <w:p w14:paraId="4265758B" w14:textId="54F3F687" w:rsidR="006A1AFC" w:rsidRPr="00885AB3" w:rsidRDefault="006A1AFC" w:rsidP="00120D61">
            <w:pPr>
              <w:pStyle w:val="Tabletext"/>
              <w:rPr>
                <w:szCs w:val="20"/>
                <w:highlight w:val="yellow"/>
                <w:u w:val="single"/>
              </w:rPr>
            </w:pPr>
          </w:p>
        </w:tc>
        <w:tc>
          <w:tcPr>
            <w:tcW w:w="1267" w:type="pct"/>
            <w:shd w:val="clear" w:color="auto" w:fill="000000" w:themeFill="text1"/>
          </w:tcPr>
          <w:p w14:paraId="28014900" w14:textId="17B6714F" w:rsidR="006A1AFC" w:rsidRPr="00885AB3" w:rsidRDefault="006A1AFC" w:rsidP="00120D61">
            <w:pPr>
              <w:pStyle w:val="Tabletext"/>
              <w:rPr>
                <w:szCs w:val="20"/>
                <w:highlight w:val="yellow"/>
              </w:rPr>
            </w:pPr>
          </w:p>
        </w:tc>
        <w:tc>
          <w:tcPr>
            <w:tcW w:w="1313" w:type="pct"/>
            <w:shd w:val="clear" w:color="auto" w:fill="000000" w:themeFill="text1"/>
          </w:tcPr>
          <w:p w14:paraId="18F0BFDE" w14:textId="4EEC77E5" w:rsidR="006A1AFC" w:rsidRPr="00885AB3" w:rsidRDefault="006A1AFC" w:rsidP="00120D61">
            <w:pPr>
              <w:pStyle w:val="Tabletext"/>
              <w:rPr>
                <w:szCs w:val="20"/>
                <w:highlight w:val="yellow"/>
                <w:u w:val="single"/>
              </w:rPr>
            </w:pPr>
          </w:p>
        </w:tc>
      </w:tr>
      <w:tr w:rsidR="006A1AFC" w:rsidRPr="00885AB3" w14:paraId="203C37E1" w14:textId="77777777" w:rsidTr="005D52F0">
        <w:tc>
          <w:tcPr>
            <w:tcW w:w="1154" w:type="pct"/>
            <w:shd w:val="clear" w:color="auto" w:fill="000000" w:themeFill="text1"/>
          </w:tcPr>
          <w:p w14:paraId="4646A3D0" w14:textId="08F676BB" w:rsidR="006A1AFC" w:rsidRPr="00885AB3" w:rsidRDefault="006A1AFC" w:rsidP="00120D61">
            <w:pPr>
              <w:pStyle w:val="Tabletext"/>
              <w:rPr>
                <w:szCs w:val="20"/>
                <w:highlight w:val="yellow"/>
                <w:vertAlign w:val="superscript"/>
              </w:rPr>
            </w:pPr>
          </w:p>
        </w:tc>
        <w:tc>
          <w:tcPr>
            <w:tcW w:w="1266" w:type="pct"/>
            <w:shd w:val="clear" w:color="auto" w:fill="000000" w:themeFill="text1"/>
          </w:tcPr>
          <w:p w14:paraId="6BA82463" w14:textId="15D0DE8D" w:rsidR="006A1AFC" w:rsidRPr="00885AB3" w:rsidRDefault="006A1AFC" w:rsidP="00120D61">
            <w:pPr>
              <w:pStyle w:val="Tabletext"/>
              <w:rPr>
                <w:szCs w:val="20"/>
                <w:highlight w:val="yellow"/>
                <w:u w:val="single"/>
              </w:rPr>
            </w:pPr>
          </w:p>
        </w:tc>
        <w:tc>
          <w:tcPr>
            <w:tcW w:w="1267" w:type="pct"/>
            <w:shd w:val="clear" w:color="auto" w:fill="000000" w:themeFill="text1"/>
          </w:tcPr>
          <w:p w14:paraId="69EE7978" w14:textId="60E2C0BD" w:rsidR="006A1AFC" w:rsidRPr="00885AB3" w:rsidRDefault="006A1AFC" w:rsidP="00120D61">
            <w:pPr>
              <w:pStyle w:val="Tabletext"/>
              <w:rPr>
                <w:szCs w:val="20"/>
                <w:highlight w:val="yellow"/>
              </w:rPr>
            </w:pPr>
          </w:p>
        </w:tc>
        <w:tc>
          <w:tcPr>
            <w:tcW w:w="1313" w:type="pct"/>
            <w:shd w:val="clear" w:color="auto" w:fill="000000" w:themeFill="text1"/>
          </w:tcPr>
          <w:p w14:paraId="3400DD72" w14:textId="77777777" w:rsidR="006A1AFC" w:rsidRPr="00885AB3" w:rsidRDefault="006A1AFC" w:rsidP="00120D61">
            <w:pPr>
              <w:pStyle w:val="Tabletext"/>
              <w:rPr>
                <w:szCs w:val="20"/>
                <w:highlight w:val="yellow"/>
              </w:rPr>
            </w:pPr>
          </w:p>
        </w:tc>
      </w:tr>
      <w:tr w:rsidR="006A1AFC" w:rsidRPr="00885AB3" w14:paraId="5C628BDB" w14:textId="77777777" w:rsidTr="005D52F0">
        <w:tc>
          <w:tcPr>
            <w:tcW w:w="5000" w:type="pct"/>
            <w:gridSpan w:val="4"/>
            <w:shd w:val="clear" w:color="auto" w:fill="000000" w:themeFill="text1"/>
          </w:tcPr>
          <w:p w14:paraId="30C3A375" w14:textId="6995DE59" w:rsidR="006A1AFC" w:rsidRPr="00885AB3" w:rsidRDefault="006A1AFC" w:rsidP="00120D61">
            <w:pPr>
              <w:pStyle w:val="FooterTableFigure"/>
              <w:rPr>
                <w:sz w:val="20"/>
                <w:szCs w:val="20"/>
                <w:highlight w:val="yellow"/>
              </w:rPr>
            </w:pPr>
          </w:p>
        </w:tc>
      </w:tr>
    </w:tbl>
    <w:p w14:paraId="49CF9BD4" w14:textId="77777777" w:rsidR="006A1AFC" w:rsidRPr="00885AB3" w:rsidRDefault="006A1AFC" w:rsidP="00120D61">
      <w:pPr>
        <w:rPr>
          <w:rFonts w:cs="Calibri"/>
          <w:sz w:val="18"/>
          <w:szCs w:val="18"/>
        </w:rPr>
      </w:pPr>
    </w:p>
    <w:p w14:paraId="3E0C0527" w14:textId="113B9A92" w:rsidR="005D52F0" w:rsidRDefault="005D52F0" w:rsidP="00120D61">
      <w:pPr>
        <w:pStyle w:val="3-BodyText"/>
        <w:keepNext/>
        <w:keepLines/>
        <w:numPr>
          <w:ilvl w:val="0"/>
          <w:numId w:val="0"/>
        </w:numPr>
        <w:rPr>
          <w:rFonts w:cs="Calibri"/>
          <w:iCs/>
          <w:szCs w:val="24"/>
        </w:rPr>
      </w:pPr>
      <w:r w:rsidRPr="001C78D7">
        <w:rPr>
          <w:rFonts w:cs="Calibri"/>
          <w:iCs/>
          <w:color w:val="000000"/>
          <w:w w:val="54"/>
          <w:szCs w:val="24"/>
          <w:shd w:val="solid" w:color="000000" w:fill="000000"/>
          <w:fitText w:val="8875" w:id="-597402622"/>
          <w14:textFill>
            <w14:solidFill>
              <w14:srgbClr w14:val="000000">
                <w14:alpha w14:val="100000"/>
              </w14:srgbClr>
            </w14:solidFill>
          </w14:textFill>
        </w:rPr>
        <w:t>|||||||||||||||||||||||||||||||||||||||||||||||||||||||||||||||||||||||||</w:t>
      </w:r>
      <w:r w:rsidR="001C78D7" w:rsidRPr="001C78D7">
        <w:rPr>
          <w:rFonts w:cs="Calibri"/>
          <w:iCs/>
          <w:color w:val="000000"/>
          <w:w w:val="54"/>
          <w:szCs w:val="24"/>
          <w:shd w:val="solid" w:color="000000" w:fill="000000"/>
          <w:fitText w:val="8875" w:id="-597402622"/>
          <w14:textFill>
            <w14:solidFill>
              <w14:srgbClr w14:val="000000">
                <w14:alpha w14:val="100000"/>
              </w14:srgbClr>
            </w14:solidFill>
          </w14:textFill>
        </w:rPr>
        <w:t xml:space="preserve"> </w:t>
      </w:r>
      <w:r w:rsidRPr="001C78D7">
        <w:rPr>
          <w:rFonts w:cs="Calibri"/>
          <w:iCs/>
          <w:color w:val="000000"/>
          <w:w w:val="54"/>
          <w:szCs w:val="24"/>
          <w:shd w:val="solid" w:color="000000" w:fill="000000"/>
          <w:fitText w:val="8875" w:id="-597402622"/>
          <w14:textFill>
            <w14:solidFill>
              <w14:srgbClr w14:val="000000">
                <w14:alpha w14:val="100000"/>
              </w14:srgbClr>
            </w14:solidFill>
          </w14:textFill>
        </w:rPr>
        <w:t>||||||||||||||||||||||||||||||||||||||||||||||||||||||||||||||||||||||||</w:t>
      </w:r>
      <w:r w:rsidRPr="001C78D7">
        <w:rPr>
          <w:rFonts w:cs="Calibri"/>
          <w:iCs/>
          <w:color w:val="000000"/>
          <w:spacing w:val="137"/>
          <w:w w:val="54"/>
          <w:szCs w:val="24"/>
          <w:shd w:val="solid" w:color="000000" w:fill="000000"/>
          <w:fitText w:val="8875" w:id="-597402622"/>
          <w14:textFill>
            <w14:solidFill>
              <w14:srgbClr w14:val="000000">
                <w14:alpha w14:val="100000"/>
              </w14:srgbClr>
            </w14:solidFill>
          </w14:textFill>
        </w:rPr>
        <w:t>|</w:t>
      </w:r>
      <w:r>
        <w:rPr>
          <w:rFonts w:cs="Calibri"/>
          <w:iCs/>
          <w:szCs w:val="24"/>
        </w:rPr>
        <w:t xml:space="preserve"> </w:t>
      </w:r>
      <w:r w:rsidRPr="001C78D7">
        <w:rPr>
          <w:rFonts w:cs="Calibri"/>
          <w:iCs/>
          <w:color w:val="000000"/>
          <w:w w:val="55"/>
          <w:szCs w:val="24"/>
          <w:shd w:val="solid" w:color="000000" w:fill="000000"/>
          <w:fitText w:val="5170" w:id="-597402621"/>
          <w14:textFill>
            <w14:solidFill>
              <w14:srgbClr w14:val="000000">
                <w14:alpha w14:val="100000"/>
              </w14:srgbClr>
            </w14:solidFill>
          </w14:textFill>
        </w:rPr>
        <w:t>||||||||||||||||||||||||||||||||||||||||||</w:t>
      </w:r>
      <w:r w:rsidR="001C78D7" w:rsidRPr="001C78D7">
        <w:rPr>
          <w:rFonts w:cs="Calibri"/>
          <w:iCs/>
          <w:color w:val="000000"/>
          <w:w w:val="55"/>
          <w:szCs w:val="24"/>
          <w:shd w:val="solid" w:color="000000" w:fill="000000"/>
          <w:fitText w:val="5170" w:id="-597402621"/>
          <w14:textFill>
            <w14:solidFill>
              <w14:srgbClr w14:val="000000">
                <w14:alpha w14:val="100000"/>
              </w14:srgbClr>
            </w14:solidFill>
          </w14:textFill>
        </w:rPr>
        <w:t xml:space="preserve"> </w:t>
      </w:r>
      <w:r w:rsidRPr="001C78D7">
        <w:rPr>
          <w:rFonts w:cs="Calibri"/>
          <w:iCs/>
          <w:color w:val="000000"/>
          <w:w w:val="55"/>
          <w:szCs w:val="24"/>
          <w:shd w:val="solid" w:color="000000" w:fill="000000"/>
          <w:fitText w:val="5170" w:id="-597402621"/>
          <w14:textFill>
            <w14:solidFill>
              <w14:srgbClr w14:val="000000">
                <w14:alpha w14:val="100000"/>
              </w14:srgbClr>
            </w14:solidFill>
          </w14:textFill>
        </w:rPr>
        <w:t>|||||||||||||||||||||||||||||||||||||||||</w:t>
      </w:r>
      <w:r w:rsidRPr="001C78D7">
        <w:rPr>
          <w:rFonts w:cs="Calibri"/>
          <w:iCs/>
          <w:color w:val="000000"/>
          <w:spacing w:val="41"/>
          <w:w w:val="55"/>
          <w:szCs w:val="24"/>
          <w:shd w:val="solid" w:color="000000" w:fill="000000"/>
          <w:fitText w:val="5170" w:id="-597402621"/>
          <w14:textFill>
            <w14:solidFill>
              <w14:srgbClr w14:val="000000">
                <w14:alpha w14:val="100000"/>
              </w14:srgbClr>
            </w14:solidFill>
          </w14:textFill>
        </w:rPr>
        <w:t>|</w:t>
      </w:r>
    </w:p>
    <w:p w14:paraId="4E1614E2" w14:textId="4DB1EE33" w:rsidR="005D52F0" w:rsidRPr="00885AB3" w:rsidRDefault="005D52F0" w:rsidP="00120D61">
      <w:pPr>
        <w:pStyle w:val="3-BodyText"/>
        <w:keepNext/>
        <w:keepLines/>
        <w:numPr>
          <w:ilvl w:val="0"/>
          <w:numId w:val="0"/>
        </w:numPr>
        <w:shd w:val="clear" w:color="auto" w:fill="000000" w:themeFill="text1"/>
        <w:rPr>
          <w:rFonts w:cs="Calibri"/>
          <w:iCs/>
          <w:szCs w:val="24"/>
        </w:rPr>
      </w:pPr>
    </w:p>
    <w:tbl>
      <w:tblPr>
        <w:tblStyle w:val="ASDTable2"/>
        <w:tblW w:w="5000" w:type="pct"/>
        <w:tblInd w:w="0" w:type="dxa"/>
        <w:shd w:val="clear" w:color="auto" w:fill="000000" w:themeFill="text1"/>
        <w:tblLook w:val="04A0" w:firstRow="1" w:lastRow="0" w:firstColumn="1" w:lastColumn="0" w:noHBand="0" w:noVBand="1"/>
      </w:tblPr>
      <w:tblGrid>
        <w:gridCol w:w="1323"/>
        <w:gridCol w:w="1003"/>
        <w:gridCol w:w="1071"/>
        <w:gridCol w:w="1012"/>
        <w:gridCol w:w="995"/>
        <w:gridCol w:w="1625"/>
        <w:gridCol w:w="994"/>
        <w:gridCol w:w="994"/>
      </w:tblGrid>
      <w:tr w:rsidR="006A1AFC" w:rsidRPr="00885AB3" w14:paraId="09784F69" w14:textId="77777777" w:rsidTr="00AA1867">
        <w:tc>
          <w:tcPr>
            <w:tcW w:w="5000" w:type="pct"/>
            <w:gridSpan w:val="8"/>
            <w:shd w:val="clear" w:color="auto" w:fill="000000" w:themeFill="text1"/>
          </w:tcPr>
          <w:p w14:paraId="79DC09FE" w14:textId="0A09181A" w:rsidR="006A1AFC" w:rsidRPr="00885AB3" w:rsidRDefault="006A1AFC" w:rsidP="00120D61">
            <w:pPr>
              <w:keepNext/>
              <w:keepLines/>
              <w:shd w:val="clear" w:color="auto" w:fill="000000" w:themeFill="text1"/>
              <w:rPr>
                <w:rFonts w:ascii="Arial Narrow" w:hAnsi="Arial Narrow" w:cs="Calibri"/>
                <w:b/>
                <w:bCs/>
                <w:sz w:val="20"/>
                <w:szCs w:val="20"/>
                <w:highlight w:val="yellow"/>
              </w:rPr>
            </w:pPr>
          </w:p>
        </w:tc>
      </w:tr>
      <w:tr w:rsidR="006A1AFC" w:rsidRPr="00885AB3" w14:paraId="385B3244" w14:textId="77777777" w:rsidTr="00AA1867">
        <w:tc>
          <w:tcPr>
            <w:tcW w:w="734" w:type="pct"/>
            <w:shd w:val="clear" w:color="auto" w:fill="000000" w:themeFill="text1"/>
          </w:tcPr>
          <w:p w14:paraId="678B259E" w14:textId="77777777" w:rsidR="006A1AFC" w:rsidRPr="00885AB3" w:rsidRDefault="006A1AFC" w:rsidP="00120D61">
            <w:pPr>
              <w:keepNext/>
              <w:keepLines/>
              <w:shd w:val="clear" w:color="auto" w:fill="000000" w:themeFill="text1"/>
              <w:rPr>
                <w:rFonts w:ascii="Arial Narrow" w:hAnsi="Arial Narrow" w:cs="Calibri"/>
                <w:b/>
                <w:bCs/>
                <w:sz w:val="20"/>
                <w:szCs w:val="20"/>
                <w:highlight w:val="yellow"/>
              </w:rPr>
            </w:pPr>
          </w:p>
        </w:tc>
        <w:tc>
          <w:tcPr>
            <w:tcW w:w="556" w:type="pct"/>
            <w:shd w:val="clear" w:color="auto" w:fill="000000" w:themeFill="text1"/>
          </w:tcPr>
          <w:p w14:paraId="602EFA42" w14:textId="77777777" w:rsidR="006A1AFC" w:rsidRPr="00885AB3" w:rsidRDefault="006A1AFC" w:rsidP="00120D61">
            <w:pPr>
              <w:keepNext/>
              <w:keepLines/>
              <w:shd w:val="clear" w:color="auto" w:fill="000000" w:themeFill="text1"/>
              <w:jc w:val="center"/>
              <w:rPr>
                <w:rFonts w:ascii="Arial Narrow" w:hAnsi="Arial Narrow" w:cs="Calibri"/>
                <w:b/>
                <w:bCs/>
                <w:sz w:val="20"/>
                <w:szCs w:val="20"/>
                <w:highlight w:val="yellow"/>
              </w:rPr>
            </w:pPr>
          </w:p>
        </w:tc>
        <w:tc>
          <w:tcPr>
            <w:tcW w:w="1707" w:type="pct"/>
            <w:gridSpan w:val="3"/>
            <w:shd w:val="clear" w:color="auto" w:fill="000000" w:themeFill="text1"/>
          </w:tcPr>
          <w:p w14:paraId="0543AA58" w14:textId="688BE96B" w:rsidR="006A1AFC" w:rsidRPr="00885AB3" w:rsidRDefault="006A1AFC" w:rsidP="00120D61">
            <w:pPr>
              <w:keepNext/>
              <w:keepLines/>
              <w:shd w:val="clear" w:color="auto" w:fill="000000" w:themeFill="text1"/>
              <w:jc w:val="center"/>
              <w:rPr>
                <w:rFonts w:ascii="Arial Narrow" w:hAnsi="Arial Narrow" w:cs="Calibri"/>
                <w:b/>
                <w:bCs/>
                <w:sz w:val="20"/>
                <w:szCs w:val="20"/>
                <w:highlight w:val="yellow"/>
              </w:rPr>
            </w:pPr>
          </w:p>
        </w:tc>
        <w:tc>
          <w:tcPr>
            <w:tcW w:w="2004" w:type="pct"/>
            <w:gridSpan w:val="3"/>
            <w:shd w:val="clear" w:color="auto" w:fill="000000" w:themeFill="text1"/>
          </w:tcPr>
          <w:p w14:paraId="0FEAA8D2" w14:textId="19EE5DA9" w:rsidR="006A1AFC" w:rsidRPr="00885AB3" w:rsidRDefault="006A1AFC" w:rsidP="00120D61">
            <w:pPr>
              <w:keepNext/>
              <w:keepLines/>
              <w:shd w:val="clear" w:color="auto" w:fill="000000" w:themeFill="text1"/>
              <w:jc w:val="center"/>
              <w:rPr>
                <w:rFonts w:ascii="Arial Narrow" w:hAnsi="Arial Narrow" w:cs="Calibri"/>
                <w:b/>
                <w:bCs/>
                <w:sz w:val="20"/>
                <w:szCs w:val="20"/>
                <w:highlight w:val="yellow"/>
              </w:rPr>
            </w:pPr>
          </w:p>
        </w:tc>
      </w:tr>
      <w:tr w:rsidR="006A1AFC" w:rsidRPr="00885AB3" w14:paraId="548B9E1A" w14:textId="77777777" w:rsidTr="00AA1867">
        <w:tc>
          <w:tcPr>
            <w:tcW w:w="734" w:type="pct"/>
            <w:shd w:val="clear" w:color="auto" w:fill="000000" w:themeFill="text1"/>
          </w:tcPr>
          <w:p w14:paraId="1DA43A77" w14:textId="65429819" w:rsidR="006A1AFC" w:rsidRPr="00885AB3" w:rsidRDefault="006A1AFC" w:rsidP="00120D61">
            <w:pPr>
              <w:keepNext/>
              <w:keepLines/>
              <w:shd w:val="clear" w:color="auto" w:fill="000000" w:themeFill="text1"/>
              <w:rPr>
                <w:rFonts w:ascii="Arial Narrow" w:hAnsi="Arial Narrow" w:cs="Calibri"/>
                <w:sz w:val="20"/>
                <w:szCs w:val="20"/>
                <w:highlight w:val="yellow"/>
              </w:rPr>
            </w:pPr>
          </w:p>
        </w:tc>
        <w:tc>
          <w:tcPr>
            <w:tcW w:w="556" w:type="pct"/>
            <w:shd w:val="clear" w:color="auto" w:fill="000000" w:themeFill="text1"/>
          </w:tcPr>
          <w:p w14:paraId="40639FF4" w14:textId="383BB2AE" w:rsidR="006A1AFC" w:rsidRPr="00885AB3" w:rsidRDefault="006A1AFC" w:rsidP="00120D61">
            <w:pPr>
              <w:keepNext/>
              <w:keepLines/>
              <w:shd w:val="clear" w:color="auto" w:fill="000000" w:themeFill="text1"/>
              <w:jc w:val="center"/>
              <w:rPr>
                <w:rFonts w:ascii="Arial Narrow" w:hAnsi="Arial Narrow"/>
                <w:b/>
                <w:sz w:val="20"/>
                <w:szCs w:val="20"/>
                <w:highlight w:val="yellow"/>
              </w:rPr>
            </w:pPr>
          </w:p>
        </w:tc>
        <w:tc>
          <w:tcPr>
            <w:tcW w:w="594" w:type="pct"/>
            <w:shd w:val="clear" w:color="auto" w:fill="000000" w:themeFill="text1"/>
          </w:tcPr>
          <w:p w14:paraId="48FC1A5F" w14:textId="0E24E396" w:rsidR="006A1AFC" w:rsidRPr="00885AB3" w:rsidRDefault="006A1AFC" w:rsidP="00120D61">
            <w:pPr>
              <w:keepNext/>
              <w:keepLines/>
              <w:shd w:val="clear" w:color="auto" w:fill="000000" w:themeFill="text1"/>
              <w:jc w:val="center"/>
              <w:rPr>
                <w:rFonts w:ascii="Arial Narrow" w:hAnsi="Arial Narrow" w:cs="Calibri"/>
                <w:sz w:val="20"/>
                <w:szCs w:val="20"/>
                <w:highlight w:val="yellow"/>
              </w:rPr>
            </w:pPr>
          </w:p>
        </w:tc>
        <w:tc>
          <w:tcPr>
            <w:tcW w:w="561" w:type="pct"/>
            <w:shd w:val="clear" w:color="auto" w:fill="000000" w:themeFill="text1"/>
          </w:tcPr>
          <w:p w14:paraId="0A8C9A56" w14:textId="2C3F296C" w:rsidR="006A1AFC" w:rsidRPr="00885AB3" w:rsidRDefault="006A1AFC" w:rsidP="00120D61">
            <w:pPr>
              <w:keepNext/>
              <w:keepLines/>
              <w:shd w:val="clear" w:color="auto" w:fill="000000" w:themeFill="text1"/>
              <w:jc w:val="center"/>
              <w:rPr>
                <w:rFonts w:ascii="Arial Narrow" w:hAnsi="Arial Narrow" w:cs="Calibri"/>
                <w:sz w:val="20"/>
                <w:szCs w:val="20"/>
                <w:highlight w:val="yellow"/>
              </w:rPr>
            </w:pPr>
          </w:p>
        </w:tc>
        <w:tc>
          <w:tcPr>
            <w:tcW w:w="551" w:type="pct"/>
            <w:shd w:val="clear" w:color="auto" w:fill="000000" w:themeFill="text1"/>
          </w:tcPr>
          <w:p w14:paraId="4F099754" w14:textId="62BA9DA8" w:rsidR="006A1AFC" w:rsidRPr="00885AB3" w:rsidRDefault="006A1AFC" w:rsidP="00120D61">
            <w:pPr>
              <w:keepNext/>
              <w:keepLines/>
              <w:shd w:val="clear" w:color="auto" w:fill="000000" w:themeFill="text1"/>
              <w:jc w:val="center"/>
              <w:rPr>
                <w:rFonts w:ascii="Arial Narrow" w:hAnsi="Arial Narrow" w:cs="Calibri"/>
                <w:b/>
                <w:bCs/>
                <w:sz w:val="20"/>
                <w:szCs w:val="20"/>
                <w:highlight w:val="yellow"/>
              </w:rPr>
            </w:pPr>
          </w:p>
        </w:tc>
        <w:tc>
          <w:tcPr>
            <w:tcW w:w="901" w:type="pct"/>
            <w:shd w:val="clear" w:color="auto" w:fill="000000" w:themeFill="text1"/>
          </w:tcPr>
          <w:p w14:paraId="3DFF534C" w14:textId="48C25819" w:rsidR="006A1AFC" w:rsidRPr="00885AB3" w:rsidRDefault="006A1AFC" w:rsidP="00120D61">
            <w:pPr>
              <w:keepNext/>
              <w:keepLines/>
              <w:shd w:val="clear" w:color="auto" w:fill="000000" w:themeFill="text1"/>
              <w:jc w:val="center"/>
              <w:rPr>
                <w:rFonts w:ascii="Arial Narrow" w:hAnsi="Arial Narrow" w:cs="Calibri"/>
                <w:sz w:val="20"/>
                <w:szCs w:val="20"/>
                <w:highlight w:val="yellow"/>
              </w:rPr>
            </w:pPr>
          </w:p>
        </w:tc>
        <w:tc>
          <w:tcPr>
            <w:tcW w:w="551" w:type="pct"/>
            <w:shd w:val="clear" w:color="auto" w:fill="000000" w:themeFill="text1"/>
          </w:tcPr>
          <w:p w14:paraId="072B6607" w14:textId="7A3E72AD" w:rsidR="006A1AFC" w:rsidRPr="00885AB3" w:rsidRDefault="006A1AFC" w:rsidP="00120D61">
            <w:pPr>
              <w:keepNext/>
              <w:keepLines/>
              <w:shd w:val="clear" w:color="auto" w:fill="000000" w:themeFill="text1"/>
              <w:jc w:val="center"/>
              <w:rPr>
                <w:rFonts w:ascii="Arial Narrow" w:hAnsi="Arial Narrow" w:cs="Calibri"/>
                <w:sz w:val="20"/>
                <w:szCs w:val="20"/>
                <w:highlight w:val="yellow"/>
              </w:rPr>
            </w:pPr>
          </w:p>
        </w:tc>
        <w:tc>
          <w:tcPr>
            <w:tcW w:w="551" w:type="pct"/>
            <w:shd w:val="clear" w:color="auto" w:fill="000000" w:themeFill="text1"/>
          </w:tcPr>
          <w:p w14:paraId="3CA301DF" w14:textId="5A86A395" w:rsidR="006A1AFC" w:rsidRPr="00885AB3" w:rsidRDefault="006A1AFC" w:rsidP="00120D61">
            <w:pPr>
              <w:keepNext/>
              <w:keepLines/>
              <w:shd w:val="clear" w:color="auto" w:fill="000000" w:themeFill="text1"/>
              <w:jc w:val="center"/>
              <w:rPr>
                <w:rFonts w:ascii="Arial Narrow" w:hAnsi="Arial Narrow" w:cs="Calibri"/>
                <w:b/>
                <w:bCs/>
                <w:sz w:val="20"/>
                <w:szCs w:val="20"/>
                <w:highlight w:val="yellow"/>
              </w:rPr>
            </w:pPr>
          </w:p>
        </w:tc>
      </w:tr>
      <w:tr w:rsidR="006A1AFC" w:rsidRPr="00885AB3" w14:paraId="1CDC63FF" w14:textId="77777777" w:rsidTr="00AA1867">
        <w:tc>
          <w:tcPr>
            <w:tcW w:w="734" w:type="pct"/>
            <w:shd w:val="clear" w:color="auto" w:fill="000000" w:themeFill="text1"/>
          </w:tcPr>
          <w:p w14:paraId="0B3D4056" w14:textId="44BDC695" w:rsidR="006A1AFC" w:rsidRPr="00885AB3" w:rsidRDefault="006A1AFC" w:rsidP="00120D61">
            <w:pPr>
              <w:keepNext/>
              <w:keepLines/>
              <w:shd w:val="clear" w:color="auto" w:fill="000000" w:themeFill="text1"/>
              <w:rPr>
                <w:rFonts w:ascii="Arial Narrow" w:hAnsi="Arial Narrow" w:cs="Calibri"/>
                <w:sz w:val="20"/>
                <w:szCs w:val="20"/>
                <w:highlight w:val="yellow"/>
              </w:rPr>
            </w:pPr>
          </w:p>
        </w:tc>
        <w:tc>
          <w:tcPr>
            <w:tcW w:w="556" w:type="pct"/>
            <w:shd w:val="clear" w:color="auto" w:fill="000000" w:themeFill="text1"/>
          </w:tcPr>
          <w:p w14:paraId="0D200AB9" w14:textId="4FC7F2E3" w:rsidR="006A1AFC" w:rsidRPr="00885AB3" w:rsidRDefault="006A1AFC" w:rsidP="00120D61">
            <w:pPr>
              <w:pStyle w:val="TableText0"/>
              <w:keepNext/>
              <w:shd w:val="clear" w:color="auto" w:fill="000000" w:themeFill="text1"/>
              <w:rPr>
                <w:sz w:val="20"/>
                <w:szCs w:val="20"/>
                <w:highlight w:val="yellow"/>
              </w:rPr>
            </w:pPr>
          </w:p>
        </w:tc>
        <w:tc>
          <w:tcPr>
            <w:tcW w:w="594" w:type="pct"/>
            <w:shd w:val="clear" w:color="auto" w:fill="000000" w:themeFill="text1"/>
          </w:tcPr>
          <w:p w14:paraId="65AFD280" w14:textId="453CDB61" w:rsidR="006A1AFC" w:rsidRPr="00885AB3" w:rsidRDefault="006A1AFC" w:rsidP="00120D61">
            <w:pPr>
              <w:keepNext/>
              <w:keepLines/>
              <w:shd w:val="clear" w:color="auto" w:fill="000000" w:themeFill="text1"/>
              <w:jc w:val="center"/>
              <w:rPr>
                <w:rFonts w:ascii="Arial Narrow" w:hAnsi="Arial Narrow" w:cs="Calibri"/>
                <w:sz w:val="20"/>
                <w:szCs w:val="20"/>
                <w:highlight w:val="yellow"/>
              </w:rPr>
            </w:pPr>
          </w:p>
        </w:tc>
        <w:tc>
          <w:tcPr>
            <w:tcW w:w="561" w:type="pct"/>
            <w:shd w:val="clear" w:color="auto" w:fill="000000" w:themeFill="text1"/>
          </w:tcPr>
          <w:p w14:paraId="252B6ED0" w14:textId="7062C078" w:rsidR="006A1AFC" w:rsidRPr="00885AB3" w:rsidRDefault="006A1AFC" w:rsidP="00120D61">
            <w:pPr>
              <w:keepNext/>
              <w:keepLines/>
              <w:shd w:val="clear" w:color="auto" w:fill="000000" w:themeFill="text1"/>
              <w:jc w:val="center"/>
              <w:rPr>
                <w:rFonts w:ascii="Arial Narrow" w:hAnsi="Arial Narrow" w:cs="Calibri"/>
                <w:sz w:val="20"/>
                <w:szCs w:val="20"/>
                <w:highlight w:val="yellow"/>
              </w:rPr>
            </w:pPr>
          </w:p>
        </w:tc>
        <w:tc>
          <w:tcPr>
            <w:tcW w:w="551" w:type="pct"/>
            <w:shd w:val="clear" w:color="auto" w:fill="000000" w:themeFill="text1"/>
          </w:tcPr>
          <w:p w14:paraId="0E46F423" w14:textId="1363A2A1" w:rsidR="006A1AFC" w:rsidRPr="00885AB3" w:rsidRDefault="006A1AFC" w:rsidP="00120D61">
            <w:pPr>
              <w:keepNext/>
              <w:keepLines/>
              <w:shd w:val="clear" w:color="auto" w:fill="000000" w:themeFill="text1"/>
              <w:jc w:val="center"/>
              <w:rPr>
                <w:rFonts w:ascii="Arial Narrow" w:hAnsi="Arial Narrow" w:cs="Calibri"/>
                <w:sz w:val="20"/>
                <w:szCs w:val="20"/>
                <w:highlight w:val="yellow"/>
              </w:rPr>
            </w:pPr>
          </w:p>
        </w:tc>
        <w:tc>
          <w:tcPr>
            <w:tcW w:w="901" w:type="pct"/>
            <w:shd w:val="clear" w:color="auto" w:fill="000000" w:themeFill="text1"/>
          </w:tcPr>
          <w:p w14:paraId="53109CA2" w14:textId="205FB9B2" w:rsidR="006A1AFC" w:rsidRPr="00885AB3" w:rsidRDefault="006A1AFC" w:rsidP="00120D61">
            <w:pPr>
              <w:keepNext/>
              <w:keepLines/>
              <w:shd w:val="clear" w:color="auto" w:fill="000000" w:themeFill="text1"/>
              <w:rPr>
                <w:rFonts w:ascii="Arial Narrow" w:hAnsi="Arial Narrow" w:cs="Calibri"/>
                <w:sz w:val="20"/>
                <w:szCs w:val="20"/>
                <w:highlight w:val="yellow"/>
              </w:rPr>
            </w:pPr>
          </w:p>
        </w:tc>
        <w:tc>
          <w:tcPr>
            <w:tcW w:w="551" w:type="pct"/>
            <w:shd w:val="clear" w:color="auto" w:fill="000000" w:themeFill="text1"/>
          </w:tcPr>
          <w:p w14:paraId="3F55DC5A" w14:textId="7C2E898C" w:rsidR="006A1AFC" w:rsidRPr="00885AB3" w:rsidRDefault="006A1AFC" w:rsidP="00120D61">
            <w:pPr>
              <w:keepNext/>
              <w:keepLines/>
              <w:shd w:val="clear" w:color="auto" w:fill="000000" w:themeFill="text1"/>
              <w:jc w:val="center"/>
              <w:rPr>
                <w:rFonts w:ascii="Arial Narrow" w:hAnsi="Arial Narrow" w:cs="Calibri"/>
                <w:sz w:val="20"/>
                <w:szCs w:val="20"/>
                <w:highlight w:val="yellow"/>
              </w:rPr>
            </w:pPr>
          </w:p>
        </w:tc>
        <w:tc>
          <w:tcPr>
            <w:tcW w:w="551" w:type="pct"/>
            <w:shd w:val="clear" w:color="auto" w:fill="000000" w:themeFill="text1"/>
          </w:tcPr>
          <w:p w14:paraId="5BF338F1" w14:textId="46D1DD95" w:rsidR="006A1AFC" w:rsidRPr="00885AB3" w:rsidRDefault="006A1AFC" w:rsidP="00120D61">
            <w:pPr>
              <w:keepNext/>
              <w:keepLines/>
              <w:shd w:val="clear" w:color="auto" w:fill="000000" w:themeFill="text1"/>
              <w:jc w:val="center"/>
              <w:rPr>
                <w:rFonts w:ascii="Arial Narrow" w:hAnsi="Arial Narrow" w:cs="Calibri"/>
                <w:sz w:val="20"/>
                <w:szCs w:val="20"/>
                <w:highlight w:val="yellow"/>
              </w:rPr>
            </w:pPr>
          </w:p>
        </w:tc>
      </w:tr>
      <w:tr w:rsidR="006A1AFC" w:rsidRPr="00885AB3" w14:paraId="36A6E06F" w14:textId="77777777" w:rsidTr="00AA1867">
        <w:tc>
          <w:tcPr>
            <w:tcW w:w="734" w:type="pct"/>
            <w:shd w:val="clear" w:color="auto" w:fill="000000" w:themeFill="text1"/>
          </w:tcPr>
          <w:p w14:paraId="4DF4FD6F" w14:textId="3F348E88" w:rsidR="006A1AFC" w:rsidRPr="00885AB3" w:rsidRDefault="006A1AFC" w:rsidP="00120D61">
            <w:pPr>
              <w:keepNext/>
              <w:keepLines/>
              <w:shd w:val="clear" w:color="auto" w:fill="000000" w:themeFill="text1"/>
              <w:rPr>
                <w:rFonts w:ascii="Arial Narrow" w:hAnsi="Arial Narrow" w:cs="Calibri"/>
                <w:b/>
                <w:bCs/>
                <w:sz w:val="20"/>
                <w:szCs w:val="20"/>
                <w:highlight w:val="yellow"/>
              </w:rPr>
            </w:pPr>
          </w:p>
        </w:tc>
        <w:tc>
          <w:tcPr>
            <w:tcW w:w="556" w:type="pct"/>
            <w:shd w:val="clear" w:color="auto" w:fill="000000" w:themeFill="text1"/>
          </w:tcPr>
          <w:p w14:paraId="7169B5CF" w14:textId="681315B4" w:rsidR="006A1AFC" w:rsidRPr="00885AB3" w:rsidRDefault="006A1AFC" w:rsidP="00120D61">
            <w:pPr>
              <w:pStyle w:val="Tabletext"/>
              <w:keepNext/>
              <w:keepLines/>
              <w:shd w:val="clear" w:color="auto" w:fill="000000" w:themeFill="text1"/>
              <w:jc w:val="center"/>
              <w:rPr>
                <w:szCs w:val="20"/>
                <w:highlight w:val="yellow"/>
              </w:rPr>
            </w:pPr>
          </w:p>
        </w:tc>
        <w:tc>
          <w:tcPr>
            <w:tcW w:w="594" w:type="pct"/>
            <w:shd w:val="clear" w:color="auto" w:fill="000000" w:themeFill="text1"/>
          </w:tcPr>
          <w:p w14:paraId="0C5C2E69" w14:textId="0FF3EB13" w:rsidR="006A1AFC" w:rsidRPr="00885AB3" w:rsidRDefault="006A1AFC" w:rsidP="00120D61">
            <w:pPr>
              <w:keepNext/>
              <w:keepLines/>
              <w:shd w:val="clear" w:color="auto" w:fill="000000" w:themeFill="text1"/>
              <w:jc w:val="center"/>
              <w:rPr>
                <w:rFonts w:ascii="Arial Narrow" w:hAnsi="Arial Narrow" w:cs="Calibri"/>
                <w:sz w:val="20"/>
                <w:szCs w:val="20"/>
                <w:highlight w:val="yellow"/>
              </w:rPr>
            </w:pPr>
          </w:p>
        </w:tc>
        <w:tc>
          <w:tcPr>
            <w:tcW w:w="561" w:type="pct"/>
            <w:shd w:val="clear" w:color="auto" w:fill="000000" w:themeFill="text1"/>
          </w:tcPr>
          <w:p w14:paraId="5CD2AD54" w14:textId="771E0BEF" w:rsidR="006A1AFC" w:rsidRPr="00885AB3" w:rsidRDefault="006A1AFC" w:rsidP="00120D61">
            <w:pPr>
              <w:keepNext/>
              <w:keepLines/>
              <w:shd w:val="clear" w:color="auto" w:fill="000000" w:themeFill="text1"/>
              <w:jc w:val="center"/>
              <w:rPr>
                <w:rFonts w:ascii="Arial Narrow" w:hAnsi="Arial Narrow" w:cs="Calibri"/>
                <w:sz w:val="20"/>
                <w:szCs w:val="20"/>
                <w:highlight w:val="yellow"/>
              </w:rPr>
            </w:pPr>
          </w:p>
        </w:tc>
        <w:tc>
          <w:tcPr>
            <w:tcW w:w="551" w:type="pct"/>
            <w:shd w:val="clear" w:color="auto" w:fill="000000" w:themeFill="text1"/>
          </w:tcPr>
          <w:p w14:paraId="40E4C787" w14:textId="394037CC" w:rsidR="006A1AFC" w:rsidRPr="00885AB3" w:rsidRDefault="006A1AFC" w:rsidP="00120D61">
            <w:pPr>
              <w:keepNext/>
              <w:keepLines/>
              <w:shd w:val="clear" w:color="auto" w:fill="000000" w:themeFill="text1"/>
              <w:jc w:val="center"/>
              <w:rPr>
                <w:rFonts w:ascii="Arial Narrow" w:hAnsi="Arial Narrow" w:cs="Calibri"/>
                <w:sz w:val="20"/>
                <w:szCs w:val="20"/>
                <w:highlight w:val="yellow"/>
              </w:rPr>
            </w:pPr>
          </w:p>
        </w:tc>
        <w:tc>
          <w:tcPr>
            <w:tcW w:w="901" w:type="pct"/>
            <w:shd w:val="clear" w:color="auto" w:fill="000000" w:themeFill="text1"/>
          </w:tcPr>
          <w:p w14:paraId="23C75026" w14:textId="66CDE075" w:rsidR="006A1AFC" w:rsidRPr="00885AB3" w:rsidRDefault="006A1AFC" w:rsidP="00120D61">
            <w:pPr>
              <w:keepNext/>
              <w:keepLines/>
              <w:shd w:val="clear" w:color="auto" w:fill="000000" w:themeFill="text1"/>
              <w:jc w:val="center"/>
              <w:rPr>
                <w:rFonts w:ascii="Arial Narrow" w:hAnsi="Arial Narrow" w:cs="Calibri"/>
                <w:sz w:val="20"/>
                <w:szCs w:val="20"/>
                <w:highlight w:val="yellow"/>
              </w:rPr>
            </w:pPr>
          </w:p>
        </w:tc>
        <w:tc>
          <w:tcPr>
            <w:tcW w:w="551" w:type="pct"/>
            <w:shd w:val="clear" w:color="auto" w:fill="000000" w:themeFill="text1"/>
          </w:tcPr>
          <w:p w14:paraId="305A8DEF" w14:textId="7B96E4A1" w:rsidR="006A1AFC" w:rsidRPr="00885AB3" w:rsidRDefault="006A1AFC" w:rsidP="00120D61">
            <w:pPr>
              <w:keepNext/>
              <w:keepLines/>
              <w:shd w:val="clear" w:color="auto" w:fill="000000" w:themeFill="text1"/>
              <w:jc w:val="center"/>
              <w:rPr>
                <w:rFonts w:ascii="Arial Narrow" w:hAnsi="Arial Narrow" w:cs="Calibri"/>
                <w:sz w:val="20"/>
                <w:szCs w:val="20"/>
                <w:highlight w:val="yellow"/>
              </w:rPr>
            </w:pPr>
          </w:p>
        </w:tc>
        <w:tc>
          <w:tcPr>
            <w:tcW w:w="551" w:type="pct"/>
            <w:shd w:val="clear" w:color="auto" w:fill="000000" w:themeFill="text1"/>
          </w:tcPr>
          <w:p w14:paraId="1D03D248" w14:textId="3F780CFC" w:rsidR="006A1AFC" w:rsidRPr="00885AB3" w:rsidRDefault="006A1AFC" w:rsidP="00120D61">
            <w:pPr>
              <w:keepNext/>
              <w:keepLines/>
              <w:shd w:val="clear" w:color="auto" w:fill="000000" w:themeFill="text1"/>
              <w:jc w:val="center"/>
              <w:rPr>
                <w:rFonts w:ascii="Arial Narrow" w:hAnsi="Arial Narrow" w:cs="Calibri"/>
                <w:sz w:val="20"/>
                <w:szCs w:val="20"/>
                <w:highlight w:val="yellow"/>
              </w:rPr>
            </w:pPr>
          </w:p>
        </w:tc>
      </w:tr>
      <w:tr w:rsidR="006A1AFC" w:rsidRPr="00885AB3" w14:paraId="20C04003" w14:textId="77777777" w:rsidTr="00AA1867">
        <w:tc>
          <w:tcPr>
            <w:tcW w:w="734" w:type="pct"/>
            <w:shd w:val="clear" w:color="auto" w:fill="000000" w:themeFill="text1"/>
          </w:tcPr>
          <w:p w14:paraId="3AFCD8B8" w14:textId="64FBB891" w:rsidR="006A1AFC" w:rsidRPr="00885AB3" w:rsidRDefault="006A1AFC" w:rsidP="00120D61">
            <w:pPr>
              <w:keepNext/>
              <w:keepLines/>
              <w:shd w:val="clear" w:color="auto" w:fill="000000" w:themeFill="text1"/>
              <w:rPr>
                <w:rFonts w:ascii="Arial Narrow" w:hAnsi="Arial Narrow" w:cs="Calibri"/>
                <w:b/>
                <w:bCs/>
                <w:sz w:val="20"/>
                <w:szCs w:val="20"/>
                <w:highlight w:val="yellow"/>
              </w:rPr>
            </w:pPr>
          </w:p>
        </w:tc>
        <w:tc>
          <w:tcPr>
            <w:tcW w:w="556" w:type="pct"/>
            <w:shd w:val="clear" w:color="auto" w:fill="000000" w:themeFill="text1"/>
          </w:tcPr>
          <w:p w14:paraId="1112CEE2" w14:textId="341A0342" w:rsidR="006A1AFC" w:rsidRPr="00885AB3" w:rsidRDefault="006A1AFC" w:rsidP="00120D61">
            <w:pPr>
              <w:keepNext/>
              <w:keepLines/>
              <w:shd w:val="clear" w:color="auto" w:fill="000000" w:themeFill="text1"/>
              <w:jc w:val="center"/>
              <w:rPr>
                <w:rFonts w:ascii="Arial Narrow" w:hAnsi="Arial Narrow" w:cs="Calibri"/>
                <w:sz w:val="20"/>
                <w:szCs w:val="20"/>
                <w:highlight w:val="yellow"/>
              </w:rPr>
            </w:pPr>
          </w:p>
        </w:tc>
        <w:tc>
          <w:tcPr>
            <w:tcW w:w="594" w:type="pct"/>
            <w:shd w:val="clear" w:color="auto" w:fill="000000" w:themeFill="text1"/>
          </w:tcPr>
          <w:p w14:paraId="199764E2" w14:textId="1E7CC839" w:rsidR="006A1AFC" w:rsidRPr="00885AB3" w:rsidRDefault="006A1AFC" w:rsidP="00120D61">
            <w:pPr>
              <w:keepNext/>
              <w:keepLines/>
              <w:shd w:val="clear" w:color="auto" w:fill="000000" w:themeFill="text1"/>
              <w:jc w:val="center"/>
              <w:rPr>
                <w:rFonts w:ascii="Arial Narrow" w:hAnsi="Arial Narrow" w:cs="Calibri"/>
                <w:sz w:val="20"/>
                <w:szCs w:val="20"/>
                <w:highlight w:val="yellow"/>
              </w:rPr>
            </w:pPr>
          </w:p>
        </w:tc>
        <w:tc>
          <w:tcPr>
            <w:tcW w:w="561" w:type="pct"/>
            <w:shd w:val="clear" w:color="auto" w:fill="000000" w:themeFill="text1"/>
          </w:tcPr>
          <w:p w14:paraId="6005EF17" w14:textId="25969FCA" w:rsidR="006A1AFC" w:rsidRPr="00885AB3" w:rsidRDefault="006A1AFC" w:rsidP="00120D61">
            <w:pPr>
              <w:keepNext/>
              <w:keepLines/>
              <w:shd w:val="clear" w:color="auto" w:fill="000000" w:themeFill="text1"/>
              <w:jc w:val="center"/>
              <w:rPr>
                <w:rFonts w:ascii="Arial Narrow" w:hAnsi="Arial Narrow" w:cs="Calibri"/>
                <w:sz w:val="20"/>
                <w:szCs w:val="20"/>
                <w:highlight w:val="yellow"/>
              </w:rPr>
            </w:pPr>
          </w:p>
        </w:tc>
        <w:tc>
          <w:tcPr>
            <w:tcW w:w="551" w:type="pct"/>
            <w:shd w:val="clear" w:color="auto" w:fill="000000" w:themeFill="text1"/>
          </w:tcPr>
          <w:p w14:paraId="5EB24003" w14:textId="18523A63" w:rsidR="006A1AFC" w:rsidRPr="00885AB3" w:rsidRDefault="006A1AFC" w:rsidP="00120D61">
            <w:pPr>
              <w:keepNext/>
              <w:keepLines/>
              <w:shd w:val="clear" w:color="auto" w:fill="000000" w:themeFill="text1"/>
              <w:jc w:val="center"/>
              <w:rPr>
                <w:rFonts w:ascii="Arial Narrow" w:hAnsi="Arial Narrow" w:cs="Calibri"/>
                <w:sz w:val="20"/>
                <w:szCs w:val="20"/>
                <w:highlight w:val="yellow"/>
              </w:rPr>
            </w:pPr>
          </w:p>
        </w:tc>
        <w:tc>
          <w:tcPr>
            <w:tcW w:w="901" w:type="pct"/>
            <w:shd w:val="clear" w:color="auto" w:fill="000000" w:themeFill="text1"/>
          </w:tcPr>
          <w:p w14:paraId="774E9A30" w14:textId="23448FED" w:rsidR="006A1AFC" w:rsidRPr="00885AB3" w:rsidRDefault="006A1AFC" w:rsidP="00120D61">
            <w:pPr>
              <w:keepNext/>
              <w:keepLines/>
              <w:shd w:val="clear" w:color="auto" w:fill="000000" w:themeFill="text1"/>
              <w:jc w:val="center"/>
              <w:rPr>
                <w:rFonts w:ascii="Arial Narrow" w:hAnsi="Arial Narrow" w:cs="Calibri"/>
                <w:sz w:val="20"/>
                <w:szCs w:val="20"/>
                <w:highlight w:val="yellow"/>
              </w:rPr>
            </w:pPr>
          </w:p>
        </w:tc>
        <w:tc>
          <w:tcPr>
            <w:tcW w:w="551" w:type="pct"/>
            <w:shd w:val="clear" w:color="auto" w:fill="000000" w:themeFill="text1"/>
          </w:tcPr>
          <w:p w14:paraId="1D7E213F" w14:textId="41638DD2" w:rsidR="006A1AFC" w:rsidRPr="00885AB3" w:rsidRDefault="006A1AFC" w:rsidP="00120D61">
            <w:pPr>
              <w:keepNext/>
              <w:keepLines/>
              <w:shd w:val="clear" w:color="auto" w:fill="000000" w:themeFill="text1"/>
              <w:jc w:val="center"/>
              <w:rPr>
                <w:rFonts w:ascii="Arial Narrow" w:hAnsi="Arial Narrow" w:cs="Calibri"/>
                <w:sz w:val="20"/>
                <w:szCs w:val="20"/>
                <w:highlight w:val="yellow"/>
              </w:rPr>
            </w:pPr>
          </w:p>
        </w:tc>
        <w:tc>
          <w:tcPr>
            <w:tcW w:w="551" w:type="pct"/>
            <w:shd w:val="clear" w:color="auto" w:fill="000000" w:themeFill="text1"/>
          </w:tcPr>
          <w:p w14:paraId="0ACE2078" w14:textId="5E4CBFB6" w:rsidR="006A1AFC" w:rsidRPr="00885AB3" w:rsidRDefault="006A1AFC" w:rsidP="00120D61">
            <w:pPr>
              <w:keepNext/>
              <w:keepLines/>
              <w:shd w:val="clear" w:color="auto" w:fill="000000" w:themeFill="text1"/>
              <w:jc w:val="center"/>
              <w:rPr>
                <w:rFonts w:ascii="Arial Narrow" w:hAnsi="Arial Narrow" w:cs="Calibri"/>
                <w:sz w:val="20"/>
                <w:szCs w:val="20"/>
                <w:highlight w:val="yellow"/>
              </w:rPr>
            </w:pPr>
          </w:p>
        </w:tc>
      </w:tr>
      <w:tr w:rsidR="006A1AFC" w:rsidRPr="00885AB3" w14:paraId="68AA14E8" w14:textId="77777777" w:rsidTr="00AA1867">
        <w:tc>
          <w:tcPr>
            <w:tcW w:w="734" w:type="pct"/>
            <w:shd w:val="clear" w:color="auto" w:fill="000000" w:themeFill="text1"/>
          </w:tcPr>
          <w:p w14:paraId="0A647136" w14:textId="4B5AB855" w:rsidR="006A1AFC" w:rsidRPr="00885AB3" w:rsidRDefault="006A1AFC" w:rsidP="00120D61">
            <w:pPr>
              <w:keepNext/>
              <w:keepLines/>
              <w:shd w:val="clear" w:color="auto" w:fill="000000" w:themeFill="text1"/>
              <w:rPr>
                <w:rFonts w:ascii="Arial Narrow" w:hAnsi="Arial Narrow" w:cs="Calibri"/>
                <w:b/>
                <w:bCs/>
                <w:sz w:val="20"/>
                <w:szCs w:val="20"/>
                <w:highlight w:val="yellow"/>
              </w:rPr>
            </w:pPr>
          </w:p>
        </w:tc>
        <w:tc>
          <w:tcPr>
            <w:tcW w:w="556" w:type="pct"/>
            <w:shd w:val="clear" w:color="auto" w:fill="000000" w:themeFill="text1"/>
          </w:tcPr>
          <w:p w14:paraId="4A57C7FC" w14:textId="6F2075F9" w:rsidR="006A1AFC" w:rsidRPr="00885AB3" w:rsidRDefault="006A1AFC" w:rsidP="00120D61">
            <w:pPr>
              <w:keepNext/>
              <w:keepLines/>
              <w:shd w:val="clear" w:color="auto" w:fill="000000" w:themeFill="text1"/>
              <w:jc w:val="center"/>
              <w:rPr>
                <w:rFonts w:ascii="Arial Narrow" w:hAnsi="Arial Narrow" w:cs="Calibri"/>
                <w:sz w:val="20"/>
                <w:szCs w:val="20"/>
                <w:highlight w:val="yellow"/>
              </w:rPr>
            </w:pPr>
          </w:p>
        </w:tc>
        <w:tc>
          <w:tcPr>
            <w:tcW w:w="594" w:type="pct"/>
            <w:shd w:val="clear" w:color="auto" w:fill="000000" w:themeFill="text1"/>
          </w:tcPr>
          <w:p w14:paraId="249FDE33" w14:textId="03CD1EBA" w:rsidR="006A1AFC" w:rsidRPr="00885AB3" w:rsidRDefault="006A1AFC" w:rsidP="00120D61">
            <w:pPr>
              <w:keepNext/>
              <w:keepLines/>
              <w:shd w:val="clear" w:color="auto" w:fill="000000" w:themeFill="text1"/>
              <w:jc w:val="center"/>
              <w:rPr>
                <w:rFonts w:ascii="Arial Narrow" w:hAnsi="Arial Narrow" w:cs="Calibri"/>
                <w:sz w:val="20"/>
                <w:szCs w:val="20"/>
                <w:highlight w:val="yellow"/>
              </w:rPr>
            </w:pPr>
          </w:p>
        </w:tc>
        <w:tc>
          <w:tcPr>
            <w:tcW w:w="561" w:type="pct"/>
            <w:shd w:val="clear" w:color="auto" w:fill="000000" w:themeFill="text1"/>
          </w:tcPr>
          <w:p w14:paraId="241C013A" w14:textId="633F05C4" w:rsidR="006A1AFC" w:rsidRPr="00885AB3" w:rsidRDefault="006A1AFC" w:rsidP="00120D61">
            <w:pPr>
              <w:keepNext/>
              <w:keepLines/>
              <w:shd w:val="clear" w:color="auto" w:fill="000000" w:themeFill="text1"/>
              <w:jc w:val="center"/>
              <w:rPr>
                <w:rFonts w:ascii="Arial Narrow" w:hAnsi="Arial Narrow" w:cs="Calibri"/>
                <w:sz w:val="20"/>
                <w:szCs w:val="20"/>
                <w:highlight w:val="yellow"/>
              </w:rPr>
            </w:pPr>
          </w:p>
        </w:tc>
        <w:tc>
          <w:tcPr>
            <w:tcW w:w="551" w:type="pct"/>
            <w:shd w:val="clear" w:color="auto" w:fill="000000" w:themeFill="text1"/>
          </w:tcPr>
          <w:p w14:paraId="6167D879" w14:textId="3C4FFA38" w:rsidR="006A1AFC" w:rsidRPr="00885AB3" w:rsidRDefault="006A1AFC" w:rsidP="00120D61">
            <w:pPr>
              <w:keepNext/>
              <w:keepLines/>
              <w:shd w:val="clear" w:color="auto" w:fill="000000" w:themeFill="text1"/>
              <w:jc w:val="center"/>
              <w:rPr>
                <w:rFonts w:ascii="Arial Narrow" w:hAnsi="Arial Narrow" w:cs="Calibri"/>
                <w:sz w:val="20"/>
                <w:szCs w:val="20"/>
                <w:highlight w:val="yellow"/>
              </w:rPr>
            </w:pPr>
          </w:p>
        </w:tc>
        <w:tc>
          <w:tcPr>
            <w:tcW w:w="901" w:type="pct"/>
            <w:shd w:val="clear" w:color="auto" w:fill="000000" w:themeFill="text1"/>
          </w:tcPr>
          <w:p w14:paraId="67E881F5" w14:textId="663C8F3D" w:rsidR="006A1AFC" w:rsidRPr="00885AB3" w:rsidRDefault="006A1AFC" w:rsidP="00120D61">
            <w:pPr>
              <w:keepNext/>
              <w:keepLines/>
              <w:shd w:val="clear" w:color="auto" w:fill="000000" w:themeFill="text1"/>
              <w:jc w:val="center"/>
              <w:rPr>
                <w:rFonts w:ascii="Arial Narrow" w:hAnsi="Arial Narrow" w:cs="Calibri"/>
                <w:sz w:val="20"/>
                <w:szCs w:val="20"/>
                <w:highlight w:val="yellow"/>
              </w:rPr>
            </w:pPr>
          </w:p>
        </w:tc>
        <w:tc>
          <w:tcPr>
            <w:tcW w:w="551" w:type="pct"/>
            <w:shd w:val="clear" w:color="auto" w:fill="000000" w:themeFill="text1"/>
          </w:tcPr>
          <w:p w14:paraId="5DCE7256" w14:textId="02EA0132" w:rsidR="006A1AFC" w:rsidRPr="00885AB3" w:rsidRDefault="006A1AFC" w:rsidP="00120D61">
            <w:pPr>
              <w:keepNext/>
              <w:keepLines/>
              <w:shd w:val="clear" w:color="auto" w:fill="000000" w:themeFill="text1"/>
              <w:jc w:val="center"/>
              <w:rPr>
                <w:rFonts w:ascii="Arial Narrow" w:hAnsi="Arial Narrow" w:cs="Calibri"/>
                <w:sz w:val="20"/>
                <w:szCs w:val="20"/>
                <w:highlight w:val="yellow"/>
              </w:rPr>
            </w:pPr>
          </w:p>
        </w:tc>
        <w:tc>
          <w:tcPr>
            <w:tcW w:w="551" w:type="pct"/>
            <w:shd w:val="clear" w:color="auto" w:fill="000000" w:themeFill="text1"/>
          </w:tcPr>
          <w:p w14:paraId="54054161" w14:textId="27E4785B" w:rsidR="006A1AFC" w:rsidRPr="00885AB3" w:rsidRDefault="006A1AFC" w:rsidP="00120D61">
            <w:pPr>
              <w:keepNext/>
              <w:keepLines/>
              <w:shd w:val="clear" w:color="auto" w:fill="000000" w:themeFill="text1"/>
              <w:jc w:val="center"/>
              <w:rPr>
                <w:rFonts w:ascii="Arial Narrow" w:hAnsi="Arial Narrow" w:cs="Calibri"/>
                <w:sz w:val="20"/>
                <w:szCs w:val="20"/>
                <w:highlight w:val="yellow"/>
              </w:rPr>
            </w:pPr>
          </w:p>
        </w:tc>
      </w:tr>
      <w:tr w:rsidR="006A1AFC" w:rsidRPr="00885AB3" w14:paraId="1212F6C0" w14:textId="77777777" w:rsidTr="00AA1867">
        <w:tc>
          <w:tcPr>
            <w:tcW w:w="734" w:type="pct"/>
            <w:shd w:val="clear" w:color="auto" w:fill="000000" w:themeFill="text1"/>
          </w:tcPr>
          <w:p w14:paraId="5FF0ECFC" w14:textId="274EFCA1" w:rsidR="006A1AFC" w:rsidRPr="00885AB3" w:rsidRDefault="006A1AFC" w:rsidP="00120D61">
            <w:pPr>
              <w:keepNext/>
              <w:keepLines/>
              <w:shd w:val="clear" w:color="auto" w:fill="000000" w:themeFill="text1"/>
              <w:rPr>
                <w:rFonts w:ascii="Arial Narrow" w:hAnsi="Arial Narrow" w:cs="Calibri"/>
                <w:b/>
                <w:bCs/>
                <w:sz w:val="20"/>
                <w:szCs w:val="20"/>
                <w:highlight w:val="yellow"/>
              </w:rPr>
            </w:pPr>
          </w:p>
        </w:tc>
        <w:tc>
          <w:tcPr>
            <w:tcW w:w="556" w:type="pct"/>
            <w:shd w:val="clear" w:color="auto" w:fill="000000" w:themeFill="text1"/>
          </w:tcPr>
          <w:p w14:paraId="46E9F45C" w14:textId="081EF94F" w:rsidR="006A1AFC" w:rsidRPr="00885AB3" w:rsidRDefault="006A1AFC" w:rsidP="00120D61">
            <w:pPr>
              <w:keepNext/>
              <w:keepLines/>
              <w:shd w:val="clear" w:color="auto" w:fill="000000" w:themeFill="text1"/>
              <w:jc w:val="center"/>
              <w:rPr>
                <w:rFonts w:ascii="Arial Narrow" w:hAnsi="Arial Narrow" w:cs="Calibri"/>
                <w:sz w:val="20"/>
                <w:szCs w:val="20"/>
                <w:highlight w:val="yellow"/>
              </w:rPr>
            </w:pPr>
          </w:p>
        </w:tc>
        <w:tc>
          <w:tcPr>
            <w:tcW w:w="594" w:type="pct"/>
            <w:shd w:val="clear" w:color="auto" w:fill="000000" w:themeFill="text1"/>
          </w:tcPr>
          <w:p w14:paraId="18504B9C" w14:textId="31D86073" w:rsidR="006A1AFC" w:rsidRPr="00885AB3" w:rsidRDefault="006A1AFC" w:rsidP="00120D61">
            <w:pPr>
              <w:keepNext/>
              <w:keepLines/>
              <w:shd w:val="clear" w:color="auto" w:fill="000000" w:themeFill="text1"/>
              <w:jc w:val="center"/>
              <w:rPr>
                <w:rFonts w:ascii="Arial Narrow" w:hAnsi="Arial Narrow" w:cs="Calibri"/>
                <w:sz w:val="20"/>
                <w:szCs w:val="20"/>
                <w:highlight w:val="yellow"/>
              </w:rPr>
            </w:pPr>
          </w:p>
        </w:tc>
        <w:tc>
          <w:tcPr>
            <w:tcW w:w="561" w:type="pct"/>
            <w:shd w:val="clear" w:color="auto" w:fill="000000" w:themeFill="text1"/>
          </w:tcPr>
          <w:p w14:paraId="5B715F82" w14:textId="2BE2AB75" w:rsidR="006A1AFC" w:rsidRPr="00885AB3" w:rsidRDefault="006A1AFC" w:rsidP="00120D61">
            <w:pPr>
              <w:keepNext/>
              <w:keepLines/>
              <w:shd w:val="clear" w:color="auto" w:fill="000000" w:themeFill="text1"/>
              <w:jc w:val="center"/>
              <w:rPr>
                <w:rFonts w:ascii="Arial Narrow" w:hAnsi="Arial Narrow" w:cs="Calibri"/>
                <w:sz w:val="20"/>
                <w:szCs w:val="20"/>
                <w:highlight w:val="yellow"/>
              </w:rPr>
            </w:pPr>
          </w:p>
        </w:tc>
        <w:tc>
          <w:tcPr>
            <w:tcW w:w="551" w:type="pct"/>
            <w:shd w:val="clear" w:color="auto" w:fill="000000" w:themeFill="text1"/>
          </w:tcPr>
          <w:p w14:paraId="2769F524" w14:textId="54646E27" w:rsidR="006A1AFC" w:rsidRPr="00885AB3" w:rsidRDefault="006A1AFC" w:rsidP="00120D61">
            <w:pPr>
              <w:keepNext/>
              <w:keepLines/>
              <w:shd w:val="clear" w:color="auto" w:fill="000000" w:themeFill="text1"/>
              <w:jc w:val="center"/>
              <w:rPr>
                <w:rFonts w:ascii="Arial Narrow" w:hAnsi="Arial Narrow" w:cs="Calibri"/>
                <w:sz w:val="20"/>
                <w:szCs w:val="20"/>
                <w:highlight w:val="yellow"/>
              </w:rPr>
            </w:pPr>
          </w:p>
        </w:tc>
        <w:tc>
          <w:tcPr>
            <w:tcW w:w="901" w:type="pct"/>
            <w:shd w:val="clear" w:color="auto" w:fill="000000" w:themeFill="text1"/>
          </w:tcPr>
          <w:p w14:paraId="26EE23AC" w14:textId="108EE142" w:rsidR="006A1AFC" w:rsidRPr="00885AB3" w:rsidRDefault="006A1AFC" w:rsidP="00120D61">
            <w:pPr>
              <w:keepNext/>
              <w:keepLines/>
              <w:shd w:val="clear" w:color="auto" w:fill="000000" w:themeFill="text1"/>
              <w:jc w:val="center"/>
              <w:rPr>
                <w:rFonts w:ascii="Arial Narrow" w:hAnsi="Arial Narrow" w:cs="Calibri"/>
                <w:sz w:val="20"/>
                <w:szCs w:val="20"/>
                <w:highlight w:val="yellow"/>
              </w:rPr>
            </w:pPr>
          </w:p>
        </w:tc>
        <w:tc>
          <w:tcPr>
            <w:tcW w:w="551" w:type="pct"/>
            <w:shd w:val="clear" w:color="auto" w:fill="000000" w:themeFill="text1"/>
          </w:tcPr>
          <w:p w14:paraId="18DB3CCD" w14:textId="2E0F0065" w:rsidR="006A1AFC" w:rsidRPr="00885AB3" w:rsidRDefault="006A1AFC" w:rsidP="00120D61">
            <w:pPr>
              <w:keepNext/>
              <w:keepLines/>
              <w:shd w:val="clear" w:color="auto" w:fill="000000" w:themeFill="text1"/>
              <w:jc w:val="center"/>
              <w:rPr>
                <w:rFonts w:ascii="Arial Narrow" w:hAnsi="Arial Narrow" w:cs="Calibri"/>
                <w:sz w:val="20"/>
                <w:szCs w:val="20"/>
                <w:highlight w:val="yellow"/>
              </w:rPr>
            </w:pPr>
          </w:p>
        </w:tc>
        <w:tc>
          <w:tcPr>
            <w:tcW w:w="551" w:type="pct"/>
            <w:shd w:val="clear" w:color="auto" w:fill="000000" w:themeFill="text1"/>
          </w:tcPr>
          <w:p w14:paraId="2DB84A9B" w14:textId="725E7DDA" w:rsidR="006A1AFC" w:rsidRPr="00885AB3" w:rsidRDefault="006A1AFC" w:rsidP="00120D61">
            <w:pPr>
              <w:keepNext/>
              <w:keepLines/>
              <w:shd w:val="clear" w:color="auto" w:fill="000000" w:themeFill="text1"/>
              <w:jc w:val="center"/>
              <w:rPr>
                <w:rFonts w:ascii="Arial Narrow" w:hAnsi="Arial Narrow" w:cs="Calibri"/>
                <w:sz w:val="20"/>
                <w:szCs w:val="20"/>
                <w:highlight w:val="yellow"/>
              </w:rPr>
            </w:pPr>
          </w:p>
        </w:tc>
      </w:tr>
      <w:tr w:rsidR="006A1AFC" w:rsidRPr="00885AB3" w14:paraId="039C3931" w14:textId="77777777" w:rsidTr="00AA1867">
        <w:tc>
          <w:tcPr>
            <w:tcW w:w="734" w:type="pct"/>
            <w:shd w:val="clear" w:color="auto" w:fill="000000" w:themeFill="text1"/>
          </w:tcPr>
          <w:p w14:paraId="7C90E070" w14:textId="3B55B299" w:rsidR="006A1AFC" w:rsidRPr="00885AB3" w:rsidRDefault="006A1AFC" w:rsidP="00120D61">
            <w:pPr>
              <w:keepNext/>
              <w:keepLines/>
              <w:shd w:val="clear" w:color="auto" w:fill="000000" w:themeFill="text1"/>
              <w:rPr>
                <w:rFonts w:ascii="Arial Narrow" w:hAnsi="Arial Narrow" w:cs="Calibri"/>
                <w:b/>
                <w:bCs/>
                <w:sz w:val="20"/>
                <w:szCs w:val="20"/>
                <w:highlight w:val="yellow"/>
              </w:rPr>
            </w:pPr>
          </w:p>
        </w:tc>
        <w:tc>
          <w:tcPr>
            <w:tcW w:w="556" w:type="pct"/>
            <w:shd w:val="clear" w:color="auto" w:fill="000000" w:themeFill="text1"/>
          </w:tcPr>
          <w:p w14:paraId="5CFF2DD5" w14:textId="479507B6" w:rsidR="006A1AFC" w:rsidRPr="00885AB3" w:rsidRDefault="006A1AFC" w:rsidP="00120D61">
            <w:pPr>
              <w:keepNext/>
              <w:keepLines/>
              <w:shd w:val="clear" w:color="auto" w:fill="000000" w:themeFill="text1"/>
              <w:jc w:val="center"/>
              <w:rPr>
                <w:rFonts w:ascii="Arial Narrow" w:hAnsi="Arial Narrow"/>
                <w:sz w:val="20"/>
                <w:szCs w:val="20"/>
                <w:highlight w:val="yellow"/>
              </w:rPr>
            </w:pPr>
          </w:p>
        </w:tc>
        <w:tc>
          <w:tcPr>
            <w:tcW w:w="594" w:type="pct"/>
            <w:shd w:val="clear" w:color="auto" w:fill="000000" w:themeFill="text1"/>
          </w:tcPr>
          <w:p w14:paraId="448E3C0A" w14:textId="477DFE63" w:rsidR="006A1AFC" w:rsidRPr="00885AB3" w:rsidRDefault="006A1AFC" w:rsidP="00120D61">
            <w:pPr>
              <w:keepNext/>
              <w:keepLines/>
              <w:shd w:val="clear" w:color="auto" w:fill="000000" w:themeFill="text1"/>
              <w:jc w:val="center"/>
              <w:rPr>
                <w:rFonts w:ascii="Arial Narrow" w:hAnsi="Arial Narrow" w:cs="Calibri"/>
                <w:b/>
                <w:bCs/>
                <w:sz w:val="20"/>
                <w:szCs w:val="20"/>
                <w:highlight w:val="yellow"/>
              </w:rPr>
            </w:pPr>
          </w:p>
        </w:tc>
        <w:tc>
          <w:tcPr>
            <w:tcW w:w="561" w:type="pct"/>
            <w:shd w:val="clear" w:color="auto" w:fill="000000" w:themeFill="text1"/>
          </w:tcPr>
          <w:p w14:paraId="1FA2288C" w14:textId="04E45ADA" w:rsidR="006A1AFC" w:rsidRPr="00885AB3" w:rsidRDefault="006A1AFC" w:rsidP="00120D61">
            <w:pPr>
              <w:keepNext/>
              <w:keepLines/>
              <w:shd w:val="clear" w:color="auto" w:fill="000000" w:themeFill="text1"/>
              <w:jc w:val="center"/>
              <w:rPr>
                <w:rFonts w:ascii="Arial Narrow" w:hAnsi="Arial Narrow" w:cs="Calibri"/>
                <w:b/>
                <w:bCs/>
                <w:sz w:val="20"/>
                <w:szCs w:val="20"/>
                <w:highlight w:val="yellow"/>
              </w:rPr>
            </w:pPr>
          </w:p>
        </w:tc>
        <w:tc>
          <w:tcPr>
            <w:tcW w:w="551" w:type="pct"/>
            <w:shd w:val="clear" w:color="auto" w:fill="000000" w:themeFill="text1"/>
          </w:tcPr>
          <w:p w14:paraId="2AFA3F54" w14:textId="534122E4" w:rsidR="006A1AFC" w:rsidRPr="00885AB3" w:rsidRDefault="006A1AFC" w:rsidP="00120D61">
            <w:pPr>
              <w:keepNext/>
              <w:keepLines/>
              <w:shd w:val="clear" w:color="auto" w:fill="000000" w:themeFill="text1"/>
              <w:jc w:val="center"/>
              <w:rPr>
                <w:rFonts w:ascii="Arial Narrow" w:hAnsi="Arial Narrow" w:cs="Calibri"/>
                <w:sz w:val="20"/>
                <w:szCs w:val="20"/>
                <w:highlight w:val="yellow"/>
              </w:rPr>
            </w:pPr>
          </w:p>
        </w:tc>
        <w:tc>
          <w:tcPr>
            <w:tcW w:w="901" w:type="pct"/>
            <w:shd w:val="clear" w:color="auto" w:fill="000000" w:themeFill="text1"/>
          </w:tcPr>
          <w:p w14:paraId="5D5C4365" w14:textId="5007B896" w:rsidR="006A1AFC" w:rsidRPr="00885AB3" w:rsidRDefault="006A1AFC" w:rsidP="00120D61">
            <w:pPr>
              <w:keepNext/>
              <w:keepLines/>
              <w:shd w:val="clear" w:color="auto" w:fill="000000" w:themeFill="text1"/>
              <w:jc w:val="center"/>
              <w:rPr>
                <w:rFonts w:ascii="Arial Narrow" w:hAnsi="Arial Narrow" w:cs="Calibri"/>
                <w:sz w:val="20"/>
                <w:szCs w:val="20"/>
                <w:highlight w:val="yellow"/>
              </w:rPr>
            </w:pPr>
          </w:p>
        </w:tc>
        <w:tc>
          <w:tcPr>
            <w:tcW w:w="551" w:type="pct"/>
            <w:shd w:val="clear" w:color="auto" w:fill="000000" w:themeFill="text1"/>
          </w:tcPr>
          <w:p w14:paraId="37925747" w14:textId="23780FED" w:rsidR="006A1AFC" w:rsidRPr="00885AB3" w:rsidRDefault="006A1AFC" w:rsidP="00120D61">
            <w:pPr>
              <w:keepNext/>
              <w:keepLines/>
              <w:shd w:val="clear" w:color="auto" w:fill="000000" w:themeFill="text1"/>
              <w:jc w:val="center"/>
              <w:rPr>
                <w:rFonts w:ascii="Arial Narrow" w:hAnsi="Arial Narrow" w:cs="Calibri"/>
                <w:sz w:val="20"/>
                <w:szCs w:val="20"/>
                <w:highlight w:val="yellow"/>
              </w:rPr>
            </w:pPr>
          </w:p>
        </w:tc>
        <w:tc>
          <w:tcPr>
            <w:tcW w:w="551" w:type="pct"/>
            <w:shd w:val="clear" w:color="auto" w:fill="000000" w:themeFill="text1"/>
          </w:tcPr>
          <w:p w14:paraId="042B139E" w14:textId="1C3E776B" w:rsidR="006A1AFC" w:rsidRPr="00885AB3" w:rsidRDefault="006A1AFC" w:rsidP="00120D61">
            <w:pPr>
              <w:keepNext/>
              <w:keepLines/>
              <w:shd w:val="clear" w:color="auto" w:fill="000000" w:themeFill="text1"/>
              <w:jc w:val="center"/>
              <w:rPr>
                <w:rFonts w:ascii="Arial Narrow" w:hAnsi="Arial Narrow" w:cs="Calibri"/>
                <w:sz w:val="20"/>
                <w:szCs w:val="20"/>
                <w:highlight w:val="yellow"/>
              </w:rPr>
            </w:pPr>
          </w:p>
        </w:tc>
      </w:tr>
      <w:tr w:rsidR="006A1AFC" w:rsidRPr="00885AB3" w14:paraId="4CB13840" w14:textId="77777777" w:rsidTr="00AA1867">
        <w:tc>
          <w:tcPr>
            <w:tcW w:w="5000" w:type="pct"/>
            <w:gridSpan w:val="8"/>
            <w:shd w:val="clear" w:color="auto" w:fill="000000" w:themeFill="text1"/>
          </w:tcPr>
          <w:p w14:paraId="37943B3C" w14:textId="75818E04" w:rsidR="006A1AFC" w:rsidRPr="00885AB3" w:rsidRDefault="006A1AFC" w:rsidP="00120D61">
            <w:pPr>
              <w:keepNext/>
              <w:keepLines/>
              <w:shd w:val="clear" w:color="auto" w:fill="000000" w:themeFill="text1"/>
              <w:rPr>
                <w:rFonts w:ascii="Arial Narrow" w:hAnsi="Arial Narrow" w:cs="Calibri"/>
                <w:sz w:val="20"/>
                <w:szCs w:val="20"/>
                <w:highlight w:val="yellow"/>
              </w:rPr>
            </w:pPr>
          </w:p>
        </w:tc>
      </w:tr>
    </w:tbl>
    <w:p w14:paraId="4AF98587" w14:textId="77777777" w:rsidR="006A1AFC" w:rsidRPr="00885AB3" w:rsidRDefault="006A1AFC" w:rsidP="00120D61">
      <w:pPr>
        <w:pStyle w:val="5-SubsectionSubheading"/>
        <w:jc w:val="center"/>
        <w:rPr>
          <w:rFonts w:ascii="Calibri" w:hAnsi="Calibri" w:cs="Calibri"/>
        </w:rPr>
      </w:pPr>
      <w:bookmarkStart w:id="163" w:name="_Toc208998524"/>
      <w:r w:rsidRPr="00885AB3">
        <w:rPr>
          <w:rFonts w:ascii="Calibri" w:hAnsi="Calibri" w:cs="Calibri"/>
        </w:rPr>
        <w:t>End Committee-In-Confidence information</w:t>
      </w:r>
      <w:bookmarkEnd w:id="163"/>
    </w:p>
    <w:bookmarkEnd w:id="1"/>
    <w:bookmarkEnd w:id="2"/>
    <w:bookmarkEnd w:id="3"/>
    <w:bookmarkEnd w:id="4"/>
    <w:bookmarkEnd w:id="5"/>
    <w:bookmarkEnd w:id="6"/>
    <w:p w14:paraId="6B304287" w14:textId="2021A7A6" w:rsidR="009E795D" w:rsidRPr="009E795D" w:rsidRDefault="00DE407B" w:rsidP="00120D61">
      <w:pPr>
        <w:keepNext/>
        <w:spacing w:before="240" w:after="120"/>
        <w:ind w:left="720" w:hanging="720"/>
        <w:jc w:val="left"/>
        <w:outlineLvl w:val="0"/>
        <w:rPr>
          <w:rFonts w:asciiTheme="minorHAnsi" w:hAnsiTheme="minorHAnsi"/>
          <w:b/>
          <w:bCs/>
          <w:snapToGrid w:val="0"/>
          <w:sz w:val="32"/>
          <w:szCs w:val="32"/>
          <w:lang w:val="en-GB"/>
        </w:rPr>
      </w:pPr>
      <w:r>
        <w:rPr>
          <w:rFonts w:asciiTheme="minorHAnsi" w:hAnsiTheme="minorHAnsi"/>
          <w:b/>
          <w:snapToGrid w:val="0"/>
          <w:sz w:val="32"/>
          <w:szCs w:val="32"/>
        </w:rPr>
        <w:t>8</w:t>
      </w:r>
      <w:r w:rsidR="009E795D" w:rsidRPr="009E795D">
        <w:rPr>
          <w:rFonts w:asciiTheme="minorHAnsi" w:hAnsiTheme="minorHAnsi"/>
          <w:b/>
          <w:snapToGrid w:val="0"/>
          <w:sz w:val="32"/>
          <w:szCs w:val="32"/>
        </w:rPr>
        <w:tab/>
        <w:t>Context for Decision</w:t>
      </w:r>
    </w:p>
    <w:p w14:paraId="357536F8" w14:textId="77777777" w:rsidR="009E795D" w:rsidRPr="009E795D" w:rsidRDefault="009E795D" w:rsidP="00120D61">
      <w:pPr>
        <w:spacing w:after="120"/>
        <w:ind w:left="720"/>
        <w:rPr>
          <w:rFonts w:asciiTheme="minorHAnsi" w:hAnsiTheme="minorHAnsi"/>
          <w:bCs/>
          <w:lang w:val="en-GB"/>
        </w:rPr>
      </w:pPr>
      <w:r w:rsidRPr="009E795D">
        <w:rPr>
          <w:rFonts w:asciiTheme="minorHAnsi" w:hAnsiTheme="minorHAnsi"/>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4359A74B" w14:textId="5B613159" w:rsidR="007A7C4B" w:rsidRPr="005E7B43" w:rsidRDefault="00DE407B" w:rsidP="00120D61">
      <w:pPr>
        <w:keepNext/>
        <w:spacing w:before="240" w:after="120"/>
        <w:ind w:left="720" w:hanging="720"/>
        <w:jc w:val="left"/>
        <w:outlineLvl w:val="0"/>
        <w:rPr>
          <w:rFonts w:asciiTheme="minorHAnsi" w:hAnsiTheme="minorHAnsi"/>
          <w:b/>
          <w:snapToGrid w:val="0"/>
          <w:sz w:val="32"/>
          <w:szCs w:val="32"/>
        </w:rPr>
      </w:pPr>
      <w:r>
        <w:rPr>
          <w:rFonts w:asciiTheme="minorHAnsi" w:hAnsiTheme="minorHAnsi"/>
          <w:b/>
          <w:snapToGrid w:val="0"/>
          <w:sz w:val="32"/>
          <w:szCs w:val="32"/>
        </w:rPr>
        <w:t>9</w:t>
      </w:r>
      <w:r w:rsidR="00430643" w:rsidRPr="00430643">
        <w:rPr>
          <w:rFonts w:asciiTheme="minorHAnsi" w:hAnsiTheme="minorHAnsi"/>
          <w:b/>
          <w:snapToGrid w:val="0"/>
          <w:sz w:val="32"/>
          <w:szCs w:val="32"/>
        </w:rPr>
        <w:tab/>
        <w:t>Sponsor’s Comment</w:t>
      </w:r>
    </w:p>
    <w:p w14:paraId="5F249F52" w14:textId="77777777" w:rsidR="007A7C4B" w:rsidRPr="005E7B43" w:rsidRDefault="007A7C4B" w:rsidP="00120D61">
      <w:pPr>
        <w:ind w:left="720"/>
        <w:rPr>
          <w:rFonts w:asciiTheme="minorHAnsi" w:eastAsiaTheme="minorHAnsi" w:hAnsiTheme="minorHAnsi"/>
          <w:bCs/>
          <w:lang w:eastAsia="en-US"/>
        </w:rPr>
      </w:pPr>
      <w:r w:rsidRPr="005E7B43">
        <w:rPr>
          <w:rFonts w:asciiTheme="minorHAnsi" w:eastAsiaTheme="minorHAnsi" w:hAnsiTheme="minorHAnsi"/>
          <w:bCs/>
          <w:lang w:eastAsia="en-US"/>
        </w:rPr>
        <w:t>The sponsor had no comment.</w:t>
      </w:r>
    </w:p>
    <w:p w14:paraId="6DE1D8A5" w14:textId="77777777" w:rsidR="007A7C4B" w:rsidRPr="00885AB3" w:rsidRDefault="007A7C4B" w:rsidP="00120D61">
      <w:pPr>
        <w:ind w:left="720"/>
      </w:pPr>
    </w:p>
    <w:sectPr w:rsidR="007A7C4B" w:rsidRPr="00885AB3" w:rsidSect="00E71A95">
      <w:pgSz w:w="11907" w:h="16840" w:code="9"/>
      <w:pgMar w:top="1440" w:right="1440" w:bottom="1440" w:left="1440" w:header="1440" w:footer="14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716B5E" w14:textId="77777777" w:rsidR="004E3C3E" w:rsidRPr="00206F4F" w:rsidRDefault="004E3C3E" w:rsidP="00124A51">
      <w:r w:rsidRPr="00206F4F">
        <w:separator/>
      </w:r>
    </w:p>
    <w:p w14:paraId="3130B5D0" w14:textId="77777777" w:rsidR="004E3C3E" w:rsidRPr="00206F4F" w:rsidRDefault="004E3C3E"/>
  </w:endnote>
  <w:endnote w:type="continuationSeparator" w:id="0">
    <w:p w14:paraId="214FDF42" w14:textId="77777777" w:rsidR="004E3C3E" w:rsidRPr="00206F4F" w:rsidRDefault="004E3C3E" w:rsidP="00124A51">
      <w:r w:rsidRPr="00206F4F">
        <w:continuationSeparator/>
      </w:r>
    </w:p>
    <w:p w14:paraId="1034AA6A" w14:textId="77777777" w:rsidR="004E3C3E" w:rsidRPr="00206F4F" w:rsidRDefault="004E3C3E"/>
  </w:endnote>
  <w:endnote w:type="continuationNotice" w:id="1">
    <w:p w14:paraId="264B90AA" w14:textId="77777777" w:rsidR="004E3C3E" w:rsidRPr="00206F4F" w:rsidRDefault="004E3C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Body)">
    <w:altName w:val="Calibri"/>
    <w:charset w:val="00"/>
    <w:family w:val="roman"/>
    <w:pitch w:val="default"/>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ACCC4" w14:textId="036A6819" w:rsidR="009C4532" w:rsidRDefault="00AC5602">
    <w:pPr>
      <w:pStyle w:val="Footer"/>
    </w:pPr>
    <w:r>
      <w:rPr>
        <w:noProof/>
      </w:rPr>
      <mc:AlternateContent>
        <mc:Choice Requires="wps">
          <w:drawing>
            <wp:anchor distT="0" distB="0" distL="0" distR="0" simplePos="0" relativeHeight="251663365" behindDoc="0" locked="0" layoutInCell="1" allowOverlap="1" wp14:anchorId="2428474C" wp14:editId="4EE85D10">
              <wp:simplePos x="635" y="635"/>
              <wp:positionH relativeFrom="page">
                <wp:align>center</wp:align>
              </wp:positionH>
              <wp:positionV relativeFrom="page">
                <wp:align>bottom</wp:align>
              </wp:positionV>
              <wp:extent cx="551815" cy="376555"/>
              <wp:effectExtent l="0" t="0" r="635" b="0"/>
              <wp:wrapNone/>
              <wp:docPr id="1789656688"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3196B91" w14:textId="21405ADE" w:rsidR="00AC5602" w:rsidRPr="00AC5602" w:rsidRDefault="00AC5602" w:rsidP="00AC5602">
                          <w:pPr>
                            <w:rPr>
                              <w:rFonts w:eastAsia="Calibri" w:cs="Calibri"/>
                              <w:noProof/>
                              <w:color w:val="FF0000"/>
                            </w:rPr>
                          </w:pPr>
                          <w:r w:rsidRPr="00AC5602">
                            <w:rPr>
                              <w:rFonts w:eastAsia="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428474C" id="_x0000_t202" coordsize="21600,21600" o:spt="202" path="m,l,21600r21600,l21600,xe">
              <v:stroke joinstyle="miter"/>
              <v:path gradientshapeok="t" o:connecttype="rect"/>
            </v:shapetype>
            <v:shape id="Text Box 5" o:spid="_x0000_s1028" type="#_x0000_t202" alt="OFFICIAL" style="position:absolute;left:0;text-align:left;margin-left:0;margin-top:0;width:43.45pt;height:29.65pt;z-index:25166336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X1JDgIAABwEAAAOAAAAZHJzL2Uyb0RvYy54bWysU8Fu2zAMvQ/YPwi6L7YzuOuMOEXWIsOA&#10;oC2QDj0rshQbkERBUmJnXz9KjpOt22nYRaZJ6pF8fFrcDVqRo3C+A1PTYpZTIgyHpjP7mn5/WX+4&#10;pcQHZhqmwIianoSnd8v37xa9rcQcWlCNcARBjK96W9M2BFtlmeet0MzPwAqDQQlOs4C/bp81jvWI&#10;rlU2z/ObrAfXWAdceI/ehzFIlwlfSsHDk5ReBKJqir2FdLp07uKZLRes2jtm246f22D/0IVmncGi&#10;F6gHFhg5uO4PKN1xBx5kmHHQGUjZcZFmwGmK/M0025ZZkWZBcry90OT/Hyx/PG7tsyNh+AIDLjAS&#10;0ltfeXTGeQbpdPxipwTjSOHpQpsYAuHoLMvitigp4Rj6+OmmLMuIkl0vW+fDVwGaRKOmDreSyGLH&#10;jQ9j6pQSaxlYd0qlzSjzmwMxoye7dhitMOwG0jU1nU/d76A54VAOxn17y9cdlt4wH56ZwwXjHCja&#10;8ISHVNDXFM4WJS24H3/zx3zkHaOU9CiYmhpUNCXqm8F9RG1NhpuMXTKKz3mZY9wc9D2gDAt8EZYn&#10;E70uqMmUDvQrynkVC2GIGY7larqbzPswKhefAxerVUpCGVkWNmZreYSOdEUuX4ZX5uyZ8ICbeoRJ&#10;Tax6w/uYG296uzoEZD8tJVI7EnlmHCWY1np+LlHjv/6nrOujXv4E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mMX1JDgIAABwE&#10;AAAOAAAAAAAAAAAAAAAAAC4CAABkcnMvZTJvRG9jLnhtbFBLAQItABQABgAIAAAAIQAgesHI2gAA&#10;AAMBAAAPAAAAAAAAAAAAAAAAAGgEAABkcnMvZG93bnJldi54bWxQSwUGAAAAAAQABADzAAAAbwUA&#10;AAAA&#10;" filled="f" stroked="f">
              <v:textbox style="mso-fit-shape-to-text:t" inset="0,0,0,15pt">
                <w:txbxContent>
                  <w:p w14:paraId="23196B91" w14:textId="21405ADE" w:rsidR="00AC5602" w:rsidRPr="00AC5602" w:rsidRDefault="00AC5602" w:rsidP="00AC5602">
                    <w:pPr>
                      <w:rPr>
                        <w:rFonts w:eastAsia="Calibri" w:cs="Calibri"/>
                        <w:noProof/>
                        <w:color w:val="FF0000"/>
                      </w:rPr>
                    </w:pPr>
                    <w:r w:rsidRPr="00AC5602">
                      <w:rPr>
                        <w:rFonts w:eastAsia="Calibri" w:cs="Calibri"/>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63511" w14:textId="1529D71B" w:rsidR="00D843F2" w:rsidRPr="00206F4F" w:rsidRDefault="00AC5602" w:rsidP="00753B29">
    <w:pPr>
      <w:pStyle w:val="Footer"/>
      <w:jc w:val="center"/>
    </w:pPr>
    <w:r>
      <w:rPr>
        <w:noProof/>
      </w:rPr>
      <mc:AlternateContent>
        <mc:Choice Requires="wps">
          <w:drawing>
            <wp:anchor distT="0" distB="0" distL="0" distR="0" simplePos="0" relativeHeight="251664389" behindDoc="0" locked="0" layoutInCell="1" allowOverlap="1" wp14:anchorId="012DD63E" wp14:editId="5656487B">
              <wp:simplePos x="635" y="635"/>
              <wp:positionH relativeFrom="page">
                <wp:align>center</wp:align>
              </wp:positionH>
              <wp:positionV relativeFrom="page">
                <wp:align>bottom</wp:align>
              </wp:positionV>
              <wp:extent cx="551815" cy="376555"/>
              <wp:effectExtent l="0" t="0" r="635" b="0"/>
              <wp:wrapNone/>
              <wp:docPr id="276418712"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3997F19" w14:textId="52ADA78A" w:rsidR="00AC5602" w:rsidRPr="00AC5602" w:rsidRDefault="00AC5602" w:rsidP="00AC5602">
                          <w:pPr>
                            <w:rPr>
                              <w:rFonts w:eastAsia="Calibri" w:cs="Calibri"/>
                              <w:noProof/>
                              <w:color w:val="FF0000"/>
                            </w:rPr>
                          </w:pPr>
                          <w:r w:rsidRPr="00AC5602">
                            <w:rPr>
                              <w:rFonts w:eastAsia="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12DD63E" id="_x0000_t202" coordsize="21600,21600" o:spt="202" path="m,l,21600r21600,l21600,xe">
              <v:stroke joinstyle="miter"/>
              <v:path gradientshapeok="t" o:connecttype="rect"/>
            </v:shapetype>
            <v:shape id="Text Box 6" o:spid="_x0000_s1029" type="#_x0000_t202" alt="OFFICIAL" style="position:absolute;left:0;text-align:left;margin-left:0;margin-top:0;width:43.45pt;height:29.65pt;z-index:25166438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s90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NT9FpojDuVg3Le3fNVh6TXz4Yk5XDDOgaIN&#10;j3hIBX1N4WRR0oL79Z4/5iPvGKWkR8HU1KCiKVE/DO4jamsy3GRsk1F8zcsc42av7wBlWOCLsDyZ&#10;6HVBTaZ0oF9QzstYCEPMcCxX0+1k3oVRufgcuFguUxLKyLKwNhvLI3SkK3L5PLwwZ0+EB9zUA0xq&#10;YtUr3sfceNPb5T4g+2kpkdqRyBPjKMG01tNziRr/8z9lXR714jc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ALjs90DgIAABwE&#10;AAAOAAAAAAAAAAAAAAAAAC4CAABkcnMvZTJvRG9jLnhtbFBLAQItABQABgAIAAAAIQAgesHI2gAA&#10;AAMBAAAPAAAAAAAAAAAAAAAAAGgEAABkcnMvZG93bnJldi54bWxQSwUGAAAAAAQABADzAAAAbwUA&#10;AAAA&#10;" filled="f" stroked="f">
              <v:textbox style="mso-fit-shape-to-text:t" inset="0,0,0,15pt">
                <w:txbxContent>
                  <w:p w14:paraId="23997F19" w14:textId="52ADA78A" w:rsidR="00AC5602" w:rsidRPr="00AC5602" w:rsidRDefault="00AC5602" w:rsidP="00AC5602">
                    <w:pPr>
                      <w:rPr>
                        <w:rFonts w:eastAsia="Calibri" w:cs="Calibri"/>
                        <w:noProof/>
                        <w:color w:val="FF0000"/>
                      </w:rPr>
                    </w:pPr>
                    <w:r w:rsidRPr="00AC5602">
                      <w:rPr>
                        <w:rFonts w:eastAsia="Calibri" w:cs="Calibri"/>
                        <w:noProof/>
                        <w:color w:val="FF0000"/>
                      </w:rPr>
                      <w:t>OFFICIAL</w:t>
                    </w:r>
                  </w:p>
                </w:txbxContent>
              </v:textbox>
              <w10:wrap anchorx="page" anchory="page"/>
            </v:shape>
          </w:pict>
        </mc:Fallback>
      </mc:AlternateContent>
    </w:r>
  </w:p>
  <w:p w14:paraId="37484CD3" w14:textId="2CB58A29" w:rsidR="00D843F2" w:rsidRPr="00206F4F" w:rsidRDefault="00000000" w:rsidP="006028D3">
    <w:pPr>
      <w:pStyle w:val="PageFooter"/>
    </w:pPr>
    <w:sdt>
      <w:sdtPr>
        <w:id w:val="1036156457"/>
        <w:docPartObj>
          <w:docPartGallery w:val="Page Numbers (Bottom of Page)"/>
          <w:docPartUnique/>
        </w:docPartObj>
      </w:sdtPr>
      <w:sdtContent>
        <w:r w:rsidR="00D843F2" w:rsidRPr="00206F4F">
          <w:fldChar w:fldCharType="begin"/>
        </w:r>
        <w:r w:rsidR="00D843F2" w:rsidRPr="00206F4F">
          <w:instrText xml:space="preserve"> PAGE   \* MERGEFORMAT </w:instrText>
        </w:r>
        <w:r w:rsidR="00D843F2" w:rsidRPr="00206F4F">
          <w:fldChar w:fldCharType="separate"/>
        </w:r>
        <w:r w:rsidR="00D843F2" w:rsidRPr="00206F4F">
          <w:t>2</w:t>
        </w:r>
        <w:r w:rsidR="00D843F2" w:rsidRPr="00206F4F">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DBB23" w14:textId="29FAB1C2" w:rsidR="009C4532" w:rsidRDefault="00AC5602">
    <w:pPr>
      <w:pStyle w:val="Footer"/>
    </w:pPr>
    <w:r>
      <w:rPr>
        <w:noProof/>
      </w:rPr>
      <mc:AlternateContent>
        <mc:Choice Requires="wps">
          <w:drawing>
            <wp:anchor distT="0" distB="0" distL="0" distR="0" simplePos="0" relativeHeight="251662341" behindDoc="0" locked="0" layoutInCell="1" allowOverlap="1" wp14:anchorId="11821E1F" wp14:editId="304F5886">
              <wp:simplePos x="635" y="635"/>
              <wp:positionH relativeFrom="page">
                <wp:align>center</wp:align>
              </wp:positionH>
              <wp:positionV relativeFrom="page">
                <wp:align>bottom</wp:align>
              </wp:positionV>
              <wp:extent cx="551815" cy="376555"/>
              <wp:effectExtent l="0" t="0" r="635" b="0"/>
              <wp:wrapNone/>
              <wp:docPr id="1732517513"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3FB3429" w14:textId="470CE894" w:rsidR="00AC5602" w:rsidRPr="00AC5602" w:rsidRDefault="00AC5602" w:rsidP="00AC5602">
                          <w:pPr>
                            <w:rPr>
                              <w:rFonts w:eastAsia="Calibri" w:cs="Calibri"/>
                              <w:noProof/>
                              <w:color w:val="FF0000"/>
                            </w:rPr>
                          </w:pPr>
                          <w:r w:rsidRPr="00AC5602">
                            <w:rPr>
                              <w:rFonts w:eastAsia="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1821E1F" id="_x0000_t202" coordsize="21600,21600" o:spt="202" path="m,l,21600r21600,l21600,xe">
              <v:stroke joinstyle="miter"/>
              <v:path gradientshapeok="t" o:connecttype="rect"/>
            </v:shapetype>
            <v:shape id="Text Box 4" o:spid="_x0000_s1031" type="#_x0000_t202" alt="OFFICIAL" style="position:absolute;left:0;text-align:left;margin-left:0;margin-top:0;width:43.45pt;height:29.65pt;z-index:2516623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WD5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kan7LTRHHMrBuG9v+arD0mvmwxNzuGCcA0Ub&#10;HvGQCvqawsmipAX36z1/zEfeMUpJj4KpqUFFU6J+GNxH1NZkuMnYJqP4mpc5xs1e3wHKsMAXYXky&#10;0euCmkzpQL+gnJexEIaY4ViuptvJvAujcvE5cLFcpiSUkWVhbTaWR+hIV+TyeXhhzp4ID7ipB5jU&#10;xKpXvI+58aa3y31A9tNSIrUjkSfGUYJprafnEjX+53/KujzqxW8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lDWD5DgIAABwE&#10;AAAOAAAAAAAAAAAAAAAAAC4CAABkcnMvZTJvRG9jLnhtbFBLAQItABQABgAIAAAAIQAgesHI2gAA&#10;AAMBAAAPAAAAAAAAAAAAAAAAAGgEAABkcnMvZG93bnJldi54bWxQSwUGAAAAAAQABADzAAAAbwUA&#10;AAAA&#10;" filled="f" stroked="f">
              <v:textbox style="mso-fit-shape-to-text:t" inset="0,0,0,15pt">
                <w:txbxContent>
                  <w:p w14:paraId="33FB3429" w14:textId="470CE894" w:rsidR="00AC5602" w:rsidRPr="00AC5602" w:rsidRDefault="00AC5602" w:rsidP="00AC5602">
                    <w:pPr>
                      <w:rPr>
                        <w:rFonts w:eastAsia="Calibri" w:cs="Calibri"/>
                        <w:noProof/>
                        <w:color w:val="FF0000"/>
                      </w:rPr>
                    </w:pPr>
                    <w:r w:rsidRPr="00AC5602">
                      <w:rPr>
                        <w:rFonts w:eastAsia="Calibri" w:cs="Calibri"/>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0DF394" w14:textId="77777777" w:rsidR="004E3C3E" w:rsidRPr="00206F4F" w:rsidRDefault="004E3C3E" w:rsidP="00124A51">
      <w:r w:rsidRPr="00206F4F">
        <w:separator/>
      </w:r>
    </w:p>
    <w:p w14:paraId="7B46648E" w14:textId="77777777" w:rsidR="004E3C3E" w:rsidRPr="00206F4F" w:rsidRDefault="004E3C3E"/>
  </w:footnote>
  <w:footnote w:type="continuationSeparator" w:id="0">
    <w:p w14:paraId="6B4CE59C" w14:textId="77777777" w:rsidR="004E3C3E" w:rsidRPr="00206F4F" w:rsidRDefault="004E3C3E" w:rsidP="00124A51">
      <w:r w:rsidRPr="00206F4F">
        <w:continuationSeparator/>
      </w:r>
    </w:p>
    <w:p w14:paraId="001187EA" w14:textId="77777777" w:rsidR="004E3C3E" w:rsidRPr="00206F4F" w:rsidRDefault="004E3C3E"/>
  </w:footnote>
  <w:footnote w:type="continuationNotice" w:id="1">
    <w:p w14:paraId="47E33209" w14:textId="77777777" w:rsidR="004E3C3E" w:rsidRPr="00206F4F" w:rsidRDefault="004E3C3E"/>
  </w:footnote>
  <w:footnote w:id="2">
    <w:p w14:paraId="77D6D7A2" w14:textId="0D6177BD" w:rsidR="00CF5790" w:rsidRPr="00206F4F" w:rsidRDefault="00CF5790" w:rsidP="0098549E">
      <w:pPr>
        <w:pStyle w:val="FootnoteText"/>
      </w:pPr>
      <w:r w:rsidRPr="00206F4F">
        <w:rPr>
          <w:rStyle w:val="FootnoteReference"/>
        </w:rPr>
        <w:footnoteRef/>
      </w:r>
      <w:r w:rsidRPr="00206F4F">
        <w:t>https://www.pbs.gov.au/industry/listing/elements/pbac-meetings/pbac-outcomes/2025-07/pbac-web-outcomes-07-2025.pdf</w:t>
      </w:r>
    </w:p>
  </w:footnote>
  <w:footnote w:id="3">
    <w:p w14:paraId="01203AE2" w14:textId="64B8F626" w:rsidR="003C2733" w:rsidRPr="00206F4F" w:rsidRDefault="003C2733">
      <w:pPr>
        <w:pStyle w:val="FootnoteText"/>
      </w:pPr>
      <w:r w:rsidRPr="00206F4F">
        <w:rPr>
          <w:rStyle w:val="FootnoteReference"/>
        </w:rPr>
        <w:footnoteRef/>
      </w:r>
      <w:r w:rsidRPr="00206F4F">
        <w:t xml:space="preserve"> https://www.cdc.gov/acip/downloads/slides-2024-06-26-28/04-RSV-Adult-Das-508.pdf</w:t>
      </w:r>
    </w:p>
  </w:footnote>
  <w:footnote w:id="4">
    <w:p w14:paraId="6A87D781" w14:textId="20DC5F5C" w:rsidR="00CB461E" w:rsidRPr="00206F4F" w:rsidRDefault="00CB461E">
      <w:pPr>
        <w:pStyle w:val="FootnoteText"/>
      </w:pPr>
      <w:r w:rsidRPr="00206F4F">
        <w:rPr>
          <w:rStyle w:val="FootnoteReference"/>
        </w:rPr>
        <w:footnoteRef/>
      </w:r>
      <w:r w:rsidRPr="00206F4F">
        <w:t xml:space="preserve"> https://clinicaltrials.gov/study/NCT05127434, accessed 2 Sep 2025.</w:t>
      </w:r>
      <w:r w:rsidR="001C78D7">
        <w:t xml:space="preserve"> </w:t>
      </w:r>
    </w:p>
  </w:footnote>
  <w:footnote w:id="5">
    <w:p w14:paraId="48DD5B9B" w14:textId="77777777" w:rsidR="006A1AFC" w:rsidRPr="00206F4F" w:rsidRDefault="006A1AFC">
      <w:pPr>
        <w:pStyle w:val="FootnoteText"/>
      </w:pPr>
      <w:r w:rsidRPr="00206F4F">
        <w:rPr>
          <w:rStyle w:val="FootnoteReference"/>
        </w:rPr>
        <w:footnoteRef/>
      </w:r>
      <w:r w:rsidRPr="00206F4F">
        <w:t xml:space="preserve"> European Medicina Agency. 2024. EMA/329706/2024 Assessment report</w:t>
      </w:r>
    </w:p>
  </w:footnote>
  <w:footnote w:id="6">
    <w:p w14:paraId="069CF460" w14:textId="27962A62" w:rsidR="00AA31C6" w:rsidRPr="00206F4F" w:rsidRDefault="00AA31C6">
      <w:pPr>
        <w:pStyle w:val="FootnoteText"/>
      </w:pPr>
      <w:r w:rsidRPr="00206F4F">
        <w:rPr>
          <w:rStyle w:val="FootnoteReference"/>
        </w:rPr>
        <w:footnoteRef/>
      </w:r>
      <w:r w:rsidRPr="00206F4F">
        <w:t xml:space="preserve"> 398/100,000 (hospitalised) + 299</w:t>
      </w:r>
      <w:r w:rsidR="00A609A3" w:rsidRPr="00206F4F">
        <w:t>/100,000</w:t>
      </w:r>
      <w:r w:rsidRPr="00206F4F">
        <w:t xml:space="preserve"> (emergency) + 3,423</w:t>
      </w:r>
      <w:r w:rsidR="00A609A3" w:rsidRPr="00206F4F">
        <w:t>/</w:t>
      </w:r>
      <w:r w:rsidR="00D20935" w:rsidRPr="00206F4F">
        <w:t>100,000</w:t>
      </w:r>
      <w:r w:rsidRPr="00206F4F">
        <w:t xml:space="preserve"> (</w:t>
      </w:r>
      <w:r w:rsidR="00B70F6A" w:rsidRPr="00206F4F">
        <w:t>outpatient</w:t>
      </w:r>
      <w:r w:rsidRPr="00206F4F">
        <w:t>)</w:t>
      </w:r>
      <w:r w:rsidR="00063E6D" w:rsidRPr="00206F4F">
        <w:t xml:space="preserve"> (Table 13, RSVPreF PSD, November 2024).</w:t>
      </w:r>
    </w:p>
  </w:footnote>
  <w:footnote w:id="7">
    <w:p w14:paraId="6BE94B33" w14:textId="6E35CBE5" w:rsidR="00B54832" w:rsidRPr="00206F4F" w:rsidRDefault="00B54832">
      <w:pPr>
        <w:pStyle w:val="FootnoteText"/>
      </w:pPr>
      <w:r w:rsidRPr="00206F4F">
        <w:rPr>
          <w:rStyle w:val="FootnoteReference"/>
        </w:rPr>
        <w:footnoteRef/>
      </w:r>
      <w:r w:rsidRPr="00206F4F">
        <w:t xml:space="preserve"> </w:t>
      </w:r>
      <w:r w:rsidR="00824DD3" w:rsidRPr="00206F4F">
        <w:t>597</w:t>
      </w:r>
      <w:r w:rsidRPr="00206F4F">
        <w:t xml:space="preserve">/100,000 (hospitalised) + </w:t>
      </w:r>
      <w:r w:rsidR="00824DD3" w:rsidRPr="00206F4F">
        <w:t>448</w:t>
      </w:r>
      <w:r w:rsidRPr="00206F4F">
        <w:t xml:space="preserve">/100,000 (emergency) + </w:t>
      </w:r>
      <w:r w:rsidR="00906C3C" w:rsidRPr="00206F4F">
        <w:t>5,134</w:t>
      </w:r>
      <w:r w:rsidRPr="00206F4F">
        <w:t>/100,000 (outpatient) (Table 13, RSVPreF PSD, November 2024).</w:t>
      </w:r>
    </w:p>
  </w:footnote>
  <w:footnote w:id="8">
    <w:p w14:paraId="4F33D21C" w14:textId="3CB5840F" w:rsidR="006A1AFC" w:rsidRDefault="006A1AFC">
      <w:pPr>
        <w:pStyle w:val="FootnoteText"/>
      </w:pPr>
      <w:r w:rsidRPr="00206F4F">
        <w:rPr>
          <w:rStyle w:val="FootnoteReference"/>
        </w:rPr>
        <w:footnoteRef/>
      </w:r>
      <w:r w:rsidRPr="00206F4F">
        <w:t xml:space="preserve"> p17 in </w:t>
      </w:r>
      <w:r w:rsidRPr="00206F4F">
        <w:rPr>
          <w:rFonts w:hint="eastAsia"/>
        </w:rPr>
        <w:t xml:space="preserve">Update on Moderna’s RSV Vaccine, mRESVIA (mRNA-1345), in Adults </w:t>
      </w:r>
      <w:r w:rsidR="00EF2FA4">
        <w:rPr>
          <w:rFonts w:hint="eastAsia"/>
        </w:rPr>
        <w:t xml:space="preserve">≥ </w:t>
      </w:r>
      <w:r w:rsidRPr="00206F4F">
        <w:rPr>
          <w:rFonts w:hint="eastAsia"/>
        </w:rPr>
        <w:t>60 Years of Age, presented to the Advisory Committee on Immunization Practices (ACIP) of the United States Centers for Disease Control and Prevention (CDC). This is presented in the submissio</w:t>
      </w:r>
      <w:r w:rsidRPr="00206F4F">
        <w:t>n as ‘Das 2024 June ACIP’.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2A733" w14:textId="0F8AE060" w:rsidR="009C4532" w:rsidRDefault="00AC5602">
    <w:pPr>
      <w:pStyle w:val="Header"/>
    </w:pPr>
    <w:r>
      <w:rPr>
        <w:noProof/>
      </w:rPr>
      <mc:AlternateContent>
        <mc:Choice Requires="wps">
          <w:drawing>
            <wp:anchor distT="0" distB="0" distL="0" distR="0" simplePos="0" relativeHeight="251660293" behindDoc="0" locked="0" layoutInCell="1" allowOverlap="1" wp14:anchorId="5DCE8EED" wp14:editId="6DD341DE">
              <wp:simplePos x="635" y="635"/>
              <wp:positionH relativeFrom="page">
                <wp:align>center</wp:align>
              </wp:positionH>
              <wp:positionV relativeFrom="page">
                <wp:align>top</wp:align>
              </wp:positionV>
              <wp:extent cx="551815" cy="376555"/>
              <wp:effectExtent l="0" t="0" r="635" b="4445"/>
              <wp:wrapNone/>
              <wp:docPr id="142880243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3AD97AD" w14:textId="75A09DDD" w:rsidR="00AC5602" w:rsidRPr="00AC5602" w:rsidRDefault="00AC5602" w:rsidP="00AC5602">
                          <w:pPr>
                            <w:rPr>
                              <w:rFonts w:eastAsia="Calibri" w:cs="Calibri"/>
                              <w:noProof/>
                              <w:color w:val="FF0000"/>
                            </w:rPr>
                          </w:pPr>
                          <w:r w:rsidRPr="00AC5602">
                            <w:rPr>
                              <w:rFonts w:eastAsia="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DCE8EED" id="_x0000_t202" coordsize="21600,21600" o:spt="202" path="m,l,21600r21600,l21600,xe">
              <v:stroke joinstyle="miter"/>
              <v:path gradientshapeok="t" o:connecttype="rect"/>
            </v:shapetype>
            <v:shape id="Text Box 2" o:spid="_x0000_s1026" type="#_x0000_t202" alt="OFFICIAL" style="position:absolute;left:0;text-align:left;margin-left:0;margin-top:0;width:43.45pt;height:29.65pt;z-index:25166029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43AD97AD" w14:textId="75A09DDD" w:rsidR="00AC5602" w:rsidRPr="00AC5602" w:rsidRDefault="00AC5602" w:rsidP="00AC5602">
                    <w:pPr>
                      <w:rPr>
                        <w:rFonts w:eastAsia="Calibri" w:cs="Calibri"/>
                        <w:noProof/>
                        <w:color w:val="FF0000"/>
                      </w:rPr>
                    </w:pPr>
                    <w:r w:rsidRPr="00AC5602">
                      <w:rPr>
                        <w:rFonts w:eastAsia="Calibri" w:cs="Calibri"/>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5E204" w14:textId="5B737F34" w:rsidR="00D843F2" w:rsidRPr="00A36D9A" w:rsidRDefault="00AC5602" w:rsidP="00A36D9A">
    <w:pPr>
      <w:pStyle w:val="Header"/>
      <w:rPr>
        <w:rFonts w:asciiTheme="minorHAnsi" w:hAnsiTheme="minorHAnsi"/>
        <w:color w:val="808080"/>
      </w:rPr>
    </w:pPr>
    <w:r>
      <w:rPr>
        <w:rFonts w:asciiTheme="minorHAnsi" w:hAnsiTheme="minorHAnsi"/>
        <w:noProof/>
        <w:color w:val="808080"/>
      </w:rPr>
      <mc:AlternateContent>
        <mc:Choice Requires="wps">
          <w:drawing>
            <wp:anchor distT="0" distB="0" distL="0" distR="0" simplePos="0" relativeHeight="251661317" behindDoc="0" locked="0" layoutInCell="1" allowOverlap="1" wp14:anchorId="1450DFDD" wp14:editId="53B0CFE2">
              <wp:simplePos x="635" y="635"/>
              <wp:positionH relativeFrom="page">
                <wp:align>center</wp:align>
              </wp:positionH>
              <wp:positionV relativeFrom="page">
                <wp:align>top</wp:align>
              </wp:positionV>
              <wp:extent cx="551815" cy="376555"/>
              <wp:effectExtent l="0" t="0" r="635" b="4445"/>
              <wp:wrapNone/>
              <wp:docPr id="1136071174"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52A1E25" w14:textId="4BD34416" w:rsidR="00AC5602" w:rsidRPr="00AC5602" w:rsidRDefault="00AC5602" w:rsidP="00AC5602">
                          <w:pPr>
                            <w:rPr>
                              <w:rFonts w:eastAsia="Calibri" w:cs="Calibri"/>
                              <w:noProof/>
                              <w:color w:val="FF0000"/>
                            </w:rPr>
                          </w:pPr>
                          <w:r w:rsidRPr="00AC5602">
                            <w:rPr>
                              <w:rFonts w:eastAsia="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450DFDD" id="_x0000_t202" coordsize="21600,21600" o:spt="202" path="m,l,21600r21600,l21600,xe">
              <v:stroke joinstyle="miter"/>
              <v:path gradientshapeok="t" o:connecttype="rect"/>
            </v:shapetype>
            <v:shape id="Text Box 3" o:spid="_x0000_s1027" type="#_x0000_t202" alt="OFFICIAL" style="position:absolute;left:0;text-align:left;margin-left:0;margin-top:0;width:43.45pt;height:29.65pt;z-index:25166131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7DAIAABwEAAAOAAAAZHJzL2Uyb0RvYy54bWysU8Fu2zAMvQ/YPwi6L7Y7uG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ct1WZYRJbv8bJ0P3wRoEo2aOtxKIosd&#10;1j6MqVNKrGVg1SmVNqPMbw7EjJ7s0mG0wrAdSNe86X4LzRGHcjDu21u+6rD0mvnwzBwuGOdA0YYn&#10;PKSCvqZwsihpwf38mz/mI+8YpaRHwdTUoKIpUd8N7iNqKxnFbV7meHOTezsZZq/vAWVY4IuwPJkx&#10;L6jJlA70K8p5GQthiBmO5WoaJvM+jMrF58DFcpmSUEaWhbXZWB6hI12Ry5fhlTl7Ijzgph5hUhOr&#10;3vE+5sY/vV3uA7KflhKpHYk8MY4STGs9PZeo8bf3lHV51ItfAAAA//8DAFBLAwQUAAYACAAAACEA&#10;w4kdd9oAAAADAQAADwAAAGRycy9kb3ducmV2LnhtbEyPQU/CQBCF7yb+h82YeJNtNSVQuyXEhAM3&#10;RPQ8dMe20J1pugtUfr2rF71M8vJe3vumWIyuU2cafCtsIJ0koIgrsS3XBnZvq4cZKB+QLXbCZOCL&#10;PCzK25sCcysXfqXzNtQqlrDP0UATQp9r7auGHPqJ9MTR+5TBYYhyqLUd8BLLXacfk2SqHbYcFxrs&#10;6aWh6rg9OQNttpSQ0vt6dfhwqaTXzTq7boy5vxuXz6ACjeEvDD/4ER3KyLSXE1uvOgPxkfB7ozeb&#10;zkHtDWTzJ9Blof+zl98AAAD//wMAUEsBAi0AFAAGAAgAAAAhALaDOJL+AAAA4QEAABMAAAAAAAAA&#10;AAAAAAAAAAAAAFtDb250ZW50X1R5cGVzXS54bWxQSwECLQAUAAYACAAAACEAOP0h/9YAAACUAQAA&#10;CwAAAAAAAAAAAAAAAAAvAQAAX3JlbHMvLnJlbHNQSwECLQAUAAYACAAAACEATzf7uwwCAAAcBAAA&#10;DgAAAAAAAAAAAAAAAAAuAgAAZHJzL2Uyb0RvYy54bWxQSwECLQAUAAYACAAAACEAw4kdd9oAAAAD&#10;AQAADwAAAAAAAAAAAAAAAABmBAAAZHJzL2Rvd25yZXYueG1sUEsFBgAAAAAEAAQA8wAAAG0FAAAA&#10;AA==&#10;" filled="f" stroked="f">
              <v:textbox style="mso-fit-shape-to-text:t" inset="0,15pt,0,0">
                <w:txbxContent>
                  <w:p w14:paraId="552A1E25" w14:textId="4BD34416" w:rsidR="00AC5602" w:rsidRPr="00AC5602" w:rsidRDefault="00AC5602" w:rsidP="00AC5602">
                    <w:pPr>
                      <w:rPr>
                        <w:rFonts w:eastAsia="Calibri" w:cs="Calibri"/>
                        <w:noProof/>
                        <w:color w:val="FF0000"/>
                      </w:rPr>
                    </w:pPr>
                    <w:r w:rsidRPr="00AC5602">
                      <w:rPr>
                        <w:rFonts w:eastAsia="Calibri" w:cs="Calibri"/>
                        <w:noProof/>
                        <w:color w:val="FF0000"/>
                      </w:rPr>
                      <w:t>OFFICIAL</w:t>
                    </w:r>
                  </w:p>
                </w:txbxContent>
              </v:textbox>
              <w10:wrap anchorx="page" anchory="page"/>
            </v:shape>
          </w:pict>
        </mc:Fallback>
      </mc:AlternateContent>
    </w:r>
    <w:r w:rsidR="00B069F4">
      <w:rPr>
        <w:rFonts w:asciiTheme="minorHAnsi" w:hAnsiTheme="minorHAnsi"/>
        <w:color w:val="808080"/>
      </w:rPr>
      <w:t>Public Summary Document</w:t>
    </w:r>
    <w:r w:rsidR="0062540C">
      <w:rPr>
        <w:rFonts w:asciiTheme="minorHAnsi" w:hAnsiTheme="minorHAnsi"/>
        <w:color w:val="808080"/>
      </w:rPr>
      <w:t xml:space="preserve"> – </w:t>
    </w:r>
    <w:r w:rsidR="00B0492F" w:rsidRPr="00206F4F">
      <w:rPr>
        <w:rFonts w:asciiTheme="minorHAnsi" w:hAnsiTheme="minorHAnsi"/>
        <w:color w:val="808080"/>
      </w:rPr>
      <w:t>November 2025</w:t>
    </w:r>
    <w:r w:rsidR="00D843F2" w:rsidRPr="00206F4F">
      <w:rPr>
        <w:rFonts w:asciiTheme="minorHAnsi" w:hAnsiTheme="minorHAnsi"/>
        <w:color w:val="808080"/>
      </w:rPr>
      <w:t xml:space="preserve"> PBAC Meeting</w:t>
    </w:r>
  </w:p>
  <w:p w14:paraId="03AF943B" w14:textId="77777777" w:rsidR="00D843F2" w:rsidRPr="00206F4F" w:rsidRDefault="00D843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1185B" w14:textId="68A0252C" w:rsidR="009C4532" w:rsidRDefault="00AC5602">
    <w:pPr>
      <w:pStyle w:val="Header"/>
    </w:pPr>
    <w:r>
      <w:rPr>
        <w:noProof/>
      </w:rPr>
      <mc:AlternateContent>
        <mc:Choice Requires="wps">
          <w:drawing>
            <wp:anchor distT="0" distB="0" distL="0" distR="0" simplePos="0" relativeHeight="251659269" behindDoc="0" locked="0" layoutInCell="1" allowOverlap="1" wp14:anchorId="62BF043D" wp14:editId="13E0711C">
              <wp:simplePos x="635" y="635"/>
              <wp:positionH relativeFrom="page">
                <wp:align>center</wp:align>
              </wp:positionH>
              <wp:positionV relativeFrom="page">
                <wp:align>top</wp:align>
              </wp:positionV>
              <wp:extent cx="551815" cy="376555"/>
              <wp:effectExtent l="0" t="0" r="635" b="4445"/>
              <wp:wrapNone/>
              <wp:docPr id="117447516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443E6C7" w14:textId="7BF93C27" w:rsidR="00AC5602" w:rsidRPr="00AC5602" w:rsidRDefault="00AC5602" w:rsidP="00AC5602">
                          <w:pPr>
                            <w:rPr>
                              <w:rFonts w:eastAsia="Calibri" w:cs="Calibri"/>
                              <w:noProof/>
                              <w:color w:val="FF0000"/>
                            </w:rPr>
                          </w:pPr>
                          <w:r w:rsidRPr="00AC5602">
                            <w:rPr>
                              <w:rFonts w:eastAsia="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2BF043D" id="_x0000_t202" coordsize="21600,21600" o:spt="202" path="m,l,21600r21600,l21600,xe">
              <v:stroke joinstyle="miter"/>
              <v:path gradientshapeok="t" o:connecttype="rect"/>
            </v:shapetype>
            <v:shape id="Text Box 1" o:spid="_x0000_s1030" type="#_x0000_t202" alt="OFFICIAL" style="position:absolute;left:0;text-align:left;margin-left:0;margin-top:0;width:43.45pt;height:29.65pt;z-index:25165926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YNwDgIAABwEAAAOAAAAZHJzL2Uyb0RvYy54bWysU8Fu2zAMvQ/YPwi6L7a7ueuMOEXWIsOA&#10;oC2QDj0rshQbkERBUmJnXz9KjpOu22nYRaZI+pF8fJrfDlqRg3C+A1PTYpZTIgyHpjO7mv54Xn24&#10;ocQHZhqmwIiaHoWnt4v37+a9rcQVtKAa4QiCGF/1tqZtCLbKMs9boZmfgRUGgxKcZgGvbpc1jvWI&#10;rlV2lefXWQ+usQ648B6992OQLhK+lIKHRym9CETVFHsL6XTp3MYzW8xZtXPMth0/tcH+oQvNOoNF&#10;z1D3LDCyd90fULrjDjzIMOOgM5Cy4yLNgNMU+ZtpNi2zIs2C5Hh7psn/P1j+cNjYJ0fC8BUGXGAk&#10;pLe+8uiM8wzS6fjFTgnGkcLjmTYxBMLRWZbFTVFSwjH08fN1WZYRJbv8bJ0P3wRoEo2aOtxKIosd&#10;1j6MqVNKrGVg1SmVNqPMbw7EjJ7s0mG0wrAdSNfU9NPU/RaaIw7lYNy3t3zVYek18+GJOVwwzoGi&#10;DY94SAV9TeFkUdKC+/k3f8xH3jFKSY+CqalBRVOivhvcR9RWMooveZnjzU3u7WSYvb4DlGGBL8Ly&#10;ZMa8oCZTOtAvKOdlLIQhZjiWq2mYzLswKhefAxfLZUpCGVkW1mZjeYSOdEUun4cX5uyJ8ICbeoBJ&#10;Tax6w/uYG//0drkPyH5aSqR2JPLEOEowrfX0XKLGX99T1uVRL34B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CWdYNwDgIAABwE&#10;AAAOAAAAAAAAAAAAAAAAAC4CAABkcnMvZTJvRG9jLnhtbFBLAQItABQABgAIAAAAIQDDiR132gAA&#10;AAMBAAAPAAAAAAAAAAAAAAAAAGgEAABkcnMvZG93bnJldi54bWxQSwUGAAAAAAQABADzAAAAbwUA&#10;AAAA&#10;" filled="f" stroked="f">
              <v:textbox style="mso-fit-shape-to-text:t" inset="0,15pt,0,0">
                <w:txbxContent>
                  <w:p w14:paraId="4443E6C7" w14:textId="7BF93C27" w:rsidR="00AC5602" w:rsidRPr="00AC5602" w:rsidRDefault="00AC5602" w:rsidP="00AC5602">
                    <w:pPr>
                      <w:rPr>
                        <w:rFonts w:eastAsia="Calibri" w:cs="Calibri"/>
                        <w:noProof/>
                        <w:color w:val="FF0000"/>
                      </w:rPr>
                    </w:pPr>
                    <w:r w:rsidRPr="00AC5602">
                      <w:rPr>
                        <w:rFonts w:eastAsia="Calibri" w:cs="Calibri"/>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4EE470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3D70899"/>
    <w:multiLevelType w:val="hybridMultilevel"/>
    <w:tmpl w:val="1EAC02B6"/>
    <w:lvl w:ilvl="0" w:tplc="485437F4">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15:restartNumberingAfterBreak="0">
    <w:nsid w:val="08D4654B"/>
    <w:multiLevelType w:val="hybridMultilevel"/>
    <w:tmpl w:val="81F2B3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DA05B0E"/>
    <w:multiLevelType w:val="hybridMultilevel"/>
    <w:tmpl w:val="08B0839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15:restartNumberingAfterBreak="0">
    <w:nsid w:val="0E2D0FEF"/>
    <w:multiLevelType w:val="hybridMultilevel"/>
    <w:tmpl w:val="11040E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26562D4"/>
    <w:multiLevelType w:val="multilevel"/>
    <w:tmpl w:val="97AAB910"/>
    <w:lvl w:ilvl="0">
      <w:start w:val="1"/>
      <w:numFmt w:val="decimal"/>
      <w:lvlText w:val="%1"/>
      <w:lvlJc w:val="left"/>
      <w:pPr>
        <w:ind w:left="720" w:hanging="720"/>
      </w:pPr>
      <w:rPr>
        <w:rFonts w:hint="default"/>
        <w:b/>
      </w:rPr>
    </w:lvl>
    <w:lvl w:ilvl="1">
      <w:start w:val="1"/>
      <w:numFmt w:val="bullet"/>
      <w:lvlText w:val=""/>
      <w:lvlJc w:val="left"/>
      <w:pPr>
        <w:ind w:left="360" w:hanging="360"/>
      </w:pPr>
      <w:rPr>
        <w:rFonts w:ascii="Symbol" w:hAnsi="Symbol" w:hint="default"/>
      </w:rPr>
    </w:lvl>
    <w:lvl w:ilvl="2">
      <w:start w:val="1"/>
      <w:numFmt w:val="bullet"/>
      <w:lvlText w:val=""/>
      <w:lvlJc w:val="left"/>
      <w:pPr>
        <w:ind w:left="360" w:hanging="36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58C47F9"/>
    <w:multiLevelType w:val="multilevel"/>
    <w:tmpl w:val="5D34E8D0"/>
    <w:lvl w:ilvl="0">
      <w:start w:val="1"/>
      <w:numFmt w:val="decimal"/>
      <w:lvlText w:val="%1"/>
      <w:lvlJc w:val="left"/>
      <w:pPr>
        <w:ind w:left="720" w:hanging="720"/>
      </w:pPr>
      <w:rPr>
        <w:rFonts w:hint="default"/>
        <w:b/>
      </w:rPr>
    </w:lvl>
    <w:lvl w:ilvl="1">
      <w:start w:val="1"/>
      <w:numFmt w:val="bullet"/>
      <w:lvlText w:val=""/>
      <w:lvlJc w:val="left"/>
      <w:pPr>
        <w:ind w:left="360" w:hanging="360"/>
      </w:pPr>
      <w:rPr>
        <w:rFonts w:ascii="Symbol" w:hAnsi="Symbol" w:hint="default"/>
      </w:rPr>
    </w:lvl>
    <w:lvl w:ilvl="2">
      <w:start w:val="1"/>
      <w:numFmt w:val="bullet"/>
      <w:lvlText w:val=""/>
      <w:lvlJc w:val="left"/>
      <w:pPr>
        <w:ind w:left="360" w:hanging="360"/>
      </w:pPr>
      <w:rPr>
        <w:rFonts w:ascii="Symbol" w:hAnsi="Symbol"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8843146"/>
    <w:multiLevelType w:val="hybridMultilevel"/>
    <w:tmpl w:val="22BE38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2B81B03"/>
    <w:multiLevelType w:val="hybridMultilevel"/>
    <w:tmpl w:val="0BC6FDC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54501D6"/>
    <w:multiLevelType w:val="hybridMultilevel"/>
    <w:tmpl w:val="21564C2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2677511F"/>
    <w:multiLevelType w:val="multilevel"/>
    <w:tmpl w:val="BF90964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5" w15:restartNumberingAfterBreak="0">
    <w:nsid w:val="28091BAA"/>
    <w:multiLevelType w:val="hybridMultilevel"/>
    <w:tmpl w:val="E2D0E45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0346AD7"/>
    <w:multiLevelType w:val="hybridMultilevel"/>
    <w:tmpl w:val="71A65F8E"/>
    <w:lvl w:ilvl="0" w:tplc="CFBE442A">
      <w:start w:val="1"/>
      <w:numFmt w:val="bullet"/>
      <w:pStyle w:val="ListParagraph"/>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8" w15:restartNumberingAfterBreak="0">
    <w:nsid w:val="32BE5925"/>
    <w:multiLevelType w:val="hybridMultilevel"/>
    <w:tmpl w:val="2ED04E16"/>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32E52862"/>
    <w:multiLevelType w:val="hybridMultilevel"/>
    <w:tmpl w:val="E83ABB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61A34DF"/>
    <w:multiLevelType w:val="hybridMultilevel"/>
    <w:tmpl w:val="179AB840"/>
    <w:lvl w:ilvl="0" w:tplc="38C2E4A8">
      <w:start w:val="1"/>
      <w:numFmt w:val="bullet"/>
      <w:lvlText w:val=""/>
      <w:lvlJc w:val="left"/>
      <w:pPr>
        <w:ind w:left="1494" w:hanging="360"/>
      </w:pPr>
      <w:rPr>
        <w:rFonts w:ascii="Symbol" w:hAnsi="Symbol" w:hint="default"/>
        <w:color w:val="auto"/>
      </w:rPr>
    </w:lvl>
    <w:lvl w:ilvl="1" w:tplc="FFFFFFFF" w:tentative="1">
      <w:start w:val="1"/>
      <w:numFmt w:val="bullet"/>
      <w:lvlText w:val="o"/>
      <w:lvlJc w:val="left"/>
      <w:pPr>
        <w:ind w:left="2214" w:hanging="360"/>
      </w:pPr>
      <w:rPr>
        <w:rFonts w:ascii="Courier New" w:hAnsi="Courier New" w:hint="default"/>
      </w:rPr>
    </w:lvl>
    <w:lvl w:ilvl="2" w:tplc="FFFFFFFF" w:tentative="1">
      <w:start w:val="1"/>
      <w:numFmt w:val="bullet"/>
      <w:lvlText w:val=""/>
      <w:lvlJc w:val="left"/>
      <w:pPr>
        <w:ind w:left="2934" w:hanging="360"/>
      </w:pPr>
      <w:rPr>
        <w:rFonts w:ascii="Wingdings" w:hAnsi="Wingdings" w:hint="default"/>
      </w:rPr>
    </w:lvl>
    <w:lvl w:ilvl="3" w:tplc="FFFFFFFF" w:tentative="1">
      <w:start w:val="1"/>
      <w:numFmt w:val="bullet"/>
      <w:lvlText w:val=""/>
      <w:lvlJc w:val="left"/>
      <w:pPr>
        <w:ind w:left="3654" w:hanging="360"/>
      </w:pPr>
      <w:rPr>
        <w:rFonts w:ascii="Symbol" w:hAnsi="Symbol" w:hint="default"/>
      </w:rPr>
    </w:lvl>
    <w:lvl w:ilvl="4" w:tplc="FFFFFFFF" w:tentative="1">
      <w:start w:val="1"/>
      <w:numFmt w:val="bullet"/>
      <w:lvlText w:val="o"/>
      <w:lvlJc w:val="left"/>
      <w:pPr>
        <w:ind w:left="4374" w:hanging="360"/>
      </w:pPr>
      <w:rPr>
        <w:rFonts w:ascii="Courier New" w:hAnsi="Courier New" w:hint="default"/>
      </w:rPr>
    </w:lvl>
    <w:lvl w:ilvl="5" w:tplc="FFFFFFFF" w:tentative="1">
      <w:start w:val="1"/>
      <w:numFmt w:val="bullet"/>
      <w:lvlText w:val=""/>
      <w:lvlJc w:val="left"/>
      <w:pPr>
        <w:ind w:left="5094" w:hanging="360"/>
      </w:pPr>
      <w:rPr>
        <w:rFonts w:ascii="Wingdings" w:hAnsi="Wingdings" w:hint="default"/>
      </w:rPr>
    </w:lvl>
    <w:lvl w:ilvl="6" w:tplc="FFFFFFFF" w:tentative="1">
      <w:start w:val="1"/>
      <w:numFmt w:val="bullet"/>
      <w:lvlText w:val=""/>
      <w:lvlJc w:val="left"/>
      <w:pPr>
        <w:ind w:left="5814" w:hanging="360"/>
      </w:pPr>
      <w:rPr>
        <w:rFonts w:ascii="Symbol" w:hAnsi="Symbol" w:hint="default"/>
      </w:rPr>
    </w:lvl>
    <w:lvl w:ilvl="7" w:tplc="FFFFFFFF" w:tentative="1">
      <w:start w:val="1"/>
      <w:numFmt w:val="bullet"/>
      <w:lvlText w:val="o"/>
      <w:lvlJc w:val="left"/>
      <w:pPr>
        <w:ind w:left="6534" w:hanging="360"/>
      </w:pPr>
      <w:rPr>
        <w:rFonts w:ascii="Courier New" w:hAnsi="Courier New" w:hint="default"/>
      </w:rPr>
    </w:lvl>
    <w:lvl w:ilvl="8" w:tplc="FFFFFFFF" w:tentative="1">
      <w:start w:val="1"/>
      <w:numFmt w:val="bullet"/>
      <w:lvlText w:val=""/>
      <w:lvlJc w:val="left"/>
      <w:pPr>
        <w:ind w:left="7254" w:hanging="360"/>
      </w:pPr>
      <w:rPr>
        <w:rFonts w:ascii="Wingdings" w:hAnsi="Wingdings" w:hint="default"/>
      </w:rPr>
    </w:lvl>
  </w:abstractNum>
  <w:abstractNum w:abstractNumId="21" w15:restartNumberingAfterBreak="0">
    <w:nsid w:val="3C3E61B8"/>
    <w:multiLevelType w:val="hybridMultilevel"/>
    <w:tmpl w:val="122ED3C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 w15:restartNumberingAfterBreak="0">
    <w:nsid w:val="3D761ED6"/>
    <w:multiLevelType w:val="hybridMultilevel"/>
    <w:tmpl w:val="48FEB754"/>
    <w:lvl w:ilvl="0" w:tplc="38C2E4A8">
      <w:start w:val="1"/>
      <w:numFmt w:val="bullet"/>
      <w:lvlText w:val=""/>
      <w:lvlJc w:val="left"/>
      <w:pPr>
        <w:ind w:left="144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380368A"/>
    <w:multiLevelType w:val="hybridMultilevel"/>
    <w:tmpl w:val="22104A7C"/>
    <w:lvl w:ilvl="0" w:tplc="38C2E4A8">
      <w:start w:val="1"/>
      <w:numFmt w:val="bullet"/>
      <w:lvlText w:val=""/>
      <w:lvlJc w:val="left"/>
      <w:pPr>
        <w:ind w:left="144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4967AD7"/>
    <w:multiLevelType w:val="multilevel"/>
    <w:tmpl w:val="04B6F5DC"/>
    <w:lvl w:ilvl="0">
      <w:start w:val="1"/>
      <w:numFmt w:val="decimal"/>
      <w:lvlText w:val="%1"/>
      <w:lvlJc w:val="left"/>
      <w:pPr>
        <w:ind w:left="720" w:hanging="720"/>
      </w:pPr>
      <w:rPr>
        <w:rFonts w:hint="default"/>
        <w:b/>
      </w:rPr>
    </w:lvl>
    <w:lvl w:ilvl="1">
      <w:start w:val="1"/>
      <w:numFmt w:val="bullet"/>
      <w:lvlText w:val=""/>
      <w:lvlJc w:val="left"/>
      <w:pPr>
        <w:ind w:left="360" w:hanging="360"/>
      </w:pPr>
      <w:rPr>
        <w:rFonts w:ascii="Symbol" w:hAnsi="Symbol" w:hint="default"/>
      </w:rPr>
    </w:lvl>
    <w:lvl w:ilvl="2">
      <w:start w:val="1"/>
      <w:numFmt w:val="bullet"/>
      <w:lvlText w:val=""/>
      <w:lvlJc w:val="left"/>
      <w:pPr>
        <w:ind w:left="360" w:hanging="36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6E458E6"/>
    <w:multiLevelType w:val="hybridMultilevel"/>
    <w:tmpl w:val="925C594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7" w15:restartNumberingAfterBreak="0">
    <w:nsid w:val="4C8B26F8"/>
    <w:multiLevelType w:val="hybridMultilevel"/>
    <w:tmpl w:val="4514712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8" w15:restartNumberingAfterBreak="0">
    <w:nsid w:val="508A108B"/>
    <w:multiLevelType w:val="hybridMultilevel"/>
    <w:tmpl w:val="C16CC4A0"/>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9" w15:restartNumberingAfterBreak="0">
    <w:nsid w:val="5170763F"/>
    <w:multiLevelType w:val="multilevel"/>
    <w:tmpl w:val="8BC6C6C4"/>
    <w:lvl w:ilvl="0">
      <w:start w:val="1"/>
      <w:numFmt w:val="bullet"/>
      <w:lvlText w:val=""/>
      <w:lvlJc w:val="left"/>
      <w:pPr>
        <w:ind w:left="720" w:hanging="720"/>
      </w:pPr>
      <w:rPr>
        <w:rFonts w:ascii="Symbol" w:hAnsi="Symbol" w:hint="default"/>
        <w:b/>
      </w:rPr>
    </w:lvl>
    <w:lvl w:ilvl="1">
      <w:start w:val="1"/>
      <w:numFmt w:val="bullet"/>
      <w:lvlText w:val=""/>
      <w:lvlJc w:val="left"/>
      <w:pPr>
        <w:ind w:left="360" w:hanging="360"/>
      </w:pPr>
      <w:rPr>
        <w:rFonts w:ascii="Symbol" w:hAnsi="Symbol" w:hint="default"/>
      </w:rPr>
    </w:lvl>
    <w:lvl w:ilvl="2">
      <w:start w:val="1"/>
      <w:numFmt w:val="bullet"/>
      <w:lvlText w:val=""/>
      <w:lvlJc w:val="left"/>
      <w:pPr>
        <w:ind w:left="360" w:hanging="360"/>
      </w:pPr>
      <w:rPr>
        <w:rFonts w:ascii="Symbol" w:hAnsi="Symbol"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4C430CE"/>
    <w:multiLevelType w:val="hybridMultilevel"/>
    <w:tmpl w:val="16A6223C"/>
    <w:lvl w:ilvl="0" w:tplc="BC6C023C">
      <w:start w:val="1"/>
      <w:numFmt w:val="decimal"/>
      <w:lvlText w:val="%1."/>
      <w:lvlJc w:val="left"/>
      <w:pPr>
        <w:tabs>
          <w:tab w:val="num" w:pos="360"/>
        </w:tabs>
        <w:ind w:left="360" w:hanging="360"/>
      </w:pPr>
      <w:rPr>
        <w:rFonts w:ascii="Arial" w:hAnsi="Arial" w:cs="Arial" w:hint="default"/>
        <w:sz w:val="22"/>
        <w:szCs w:val="22"/>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31"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FFA4976"/>
    <w:multiLevelType w:val="hybridMultilevel"/>
    <w:tmpl w:val="B32407CA"/>
    <w:lvl w:ilvl="0" w:tplc="0C090019">
      <w:start w:val="2"/>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3" w15:restartNumberingAfterBreak="0">
    <w:nsid w:val="604A4626"/>
    <w:multiLevelType w:val="hybridMultilevel"/>
    <w:tmpl w:val="0BC6FDC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 w15:restartNumberingAfterBreak="0">
    <w:nsid w:val="61467C82"/>
    <w:multiLevelType w:val="hybridMultilevel"/>
    <w:tmpl w:val="0BC6FDC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 w15:restartNumberingAfterBreak="0">
    <w:nsid w:val="61AB2373"/>
    <w:multiLevelType w:val="hybridMultilevel"/>
    <w:tmpl w:val="7B3C325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6" w15:restartNumberingAfterBreak="0">
    <w:nsid w:val="642F210A"/>
    <w:multiLevelType w:val="multilevel"/>
    <w:tmpl w:val="8BC6C6C4"/>
    <w:lvl w:ilvl="0">
      <w:start w:val="1"/>
      <w:numFmt w:val="bullet"/>
      <w:lvlText w:val=""/>
      <w:lvlJc w:val="left"/>
      <w:pPr>
        <w:ind w:left="720" w:hanging="720"/>
      </w:pPr>
      <w:rPr>
        <w:rFonts w:ascii="Symbol" w:hAnsi="Symbol" w:hint="default"/>
        <w:b/>
      </w:rPr>
    </w:lvl>
    <w:lvl w:ilvl="1">
      <w:start w:val="1"/>
      <w:numFmt w:val="bullet"/>
      <w:lvlText w:val=""/>
      <w:lvlJc w:val="left"/>
      <w:pPr>
        <w:ind w:left="360" w:hanging="360"/>
      </w:pPr>
      <w:rPr>
        <w:rFonts w:ascii="Symbol" w:hAnsi="Symbol" w:hint="default"/>
      </w:rPr>
    </w:lvl>
    <w:lvl w:ilvl="2">
      <w:start w:val="1"/>
      <w:numFmt w:val="bullet"/>
      <w:lvlText w:val=""/>
      <w:lvlJc w:val="left"/>
      <w:pPr>
        <w:ind w:left="360" w:hanging="360"/>
      </w:pPr>
      <w:rPr>
        <w:rFonts w:ascii="Symbol" w:hAnsi="Symbol"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46E195B"/>
    <w:multiLevelType w:val="hybridMultilevel"/>
    <w:tmpl w:val="66FA0E62"/>
    <w:lvl w:ilvl="0" w:tplc="4ACCC8F0">
      <w:start w:val="1"/>
      <w:numFmt w:val="lowerRoman"/>
      <w:pStyle w:val="bullet"/>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8" w15:restartNumberingAfterBreak="0">
    <w:nsid w:val="67A8631C"/>
    <w:multiLevelType w:val="hybridMultilevel"/>
    <w:tmpl w:val="0C34995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9" w15:restartNumberingAfterBreak="0">
    <w:nsid w:val="6B4912C1"/>
    <w:multiLevelType w:val="hybridMultilevel"/>
    <w:tmpl w:val="4F027C5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0" w15:restartNumberingAfterBreak="0">
    <w:nsid w:val="6D5D538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6D8010BF"/>
    <w:multiLevelType w:val="hybridMultilevel"/>
    <w:tmpl w:val="54C8E6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84D033C"/>
    <w:multiLevelType w:val="multilevel"/>
    <w:tmpl w:val="2C645CF8"/>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720" w:hanging="720"/>
      </w:pPr>
      <w:rPr>
        <w:rFonts w:hint="default"/>
        <w:b w:val="0"/>
        <w:bCs w:val="0"/>
        <w:i w:val="0"/>
        <w:color w:val="auto"/>
        <w:sz w:val="24"/>
        <w:szCs w:val="24"/>
      </w:rPr>
    </w:lvl>
    <w:lvl w:ilvl="2">
      <w:start w:val="1"/>
      <w:numFmt w:val="bullet"/>
      <w:lvlText w:val=""/>
      <w:lvlJc w:val="left"/>
      <w:pPr>
        <w:ind w:left="360" w:hanging="36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917793048">
    <w:abstractNumId w:val="24"/>
  </w:num>
  <w:num w:numId="2" w16cid:durableId="263461728">
    <w:abstractNumId w:val="0"/>
  </w:num>
  <w:num w:numId="3" w16cid:durableId="98921653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20360847">
    <w:abstractNumId w:val="37"/>
  </w:num>
  <w:num w:numId="5" w16cid:durableId="268196418">
    <w:abstractNumId w:val="17"/>
  </w:num>
  <w:num w:numId="6" w16cid:durableId="1048839230">
    <w:abstractNumId w:val="42"/>
  </w:num>
  <w:num w:numId="7" w16cid:durableId="170221138">
    <w:abstractNumId w:val="18"/>
  </w:num>
  <w:num w:numId="8" w16cid:durableId="188840257">
    <w:abstractNumId w:val="10"/>
  </w:num>
  <w:num w:numId="9" w16cid:durableId="1704355237">
    <w:abstractNumId w:val="33"/>
  </w:num>
  <w:num w:numId="10" w16cid:durableId="668949601">
    <w:abstractNumId w:val="27"/>
  </w:num>
  <w:num w:numId="11" w16cid:durableId="826898314">
    <w:abstractNumId w:val="23"/>
  </w:num>
  <w:num w:numId="12" w16cid:durableId="174151546">
    <w:abstractNumId w:val="22"/>
  </w:num>
  <w:num w:numId="13" w16cid:durableId="517083958">
    <w:abstractNumId w:val="21"/>
  </w:num>
  <w:num w:numId="14" w16cid:durableId="817042051">
    <w:abstractNumId w:val="41"/>
  </w:num>
  <w:num w:numId="15" w16cid:durableId="421613140">
    <w:abstractNumId w:val="15"/>
  </w:num>
  <w:num w:numId="16" w16cid:durableId="106314490">
    <w:abstractNumId w:val="14"/>
  </w:num>
  <w:num w:numId="17" w16cid:durableId="1301880196">
    <w:abstractNumId w:val="9"/>
  </w:num>
  <w:num w:numId="18" w16cid:durableId="1941374956">
    <w:abstractNumId w:val="42"/>
  </w:num>
  <w:num w:numId="19" w16cid:durableId="1510221611">
    <w:abstractNumId w:val="34"/>
  </w:num>
  <w:num w:numId="20" w16cid:durableId="522941687">
    <w:abstractNumId w:val="20"/>
  </w:num>
  <w:num w:numId="21" w16cid:durableId="1134248200">
    <w:abstractNumId w:val="5"/>
  </w:num>
  <w:num w:numId="22" w16cid:durableId="128522698">
    <w:abstractNumId w:val="6"/>
  </w:num>
  <w:num w:numId="23" w16cid:durableId="1434276396">
    <w:abstractNumId w:val="8"/>
  </w:num>
  <w:num w:numId="24" w16cid:durableId="1116942907">
    <w:abstractNumId w:val="36"/>
  </w:num>
  <w:num w:numId="25" w16cid:durableId="628897133">
    <w:abstractNumId w:val="29"/>
  </w:num>
  <w:num w:numId="26" w16cid:durableId="1658724617">
    <w:abstractNumId w:val="25"/>
  </w:num>
  <w:num w:numId="27" w16cid:durableId="865097458">
    <w:abstractNumId w:val="7"/>
  </w:num>
  <w:num w:numId="28" w16cid:durableId="594752906">
    <w:abstractNumId w:val="13"/>
  </w:num>
  <w:num w:numId="29" w16cid:durableId="1689984537">
    <w:abstractNumId w:val="35"/>
  </w:num>
  <w:num w:numId="30" w16cid:durableId="1660116426">
    <w:abstractNumId w:val="3"/>
  </w:num>
  <w:num w:numId="31" w16cid:durableId="1569418770">
    <w:abstractNumId w:val="4"/>
  </w:num>
  <w:num w:numId="32" w16cid:durableId="705176722">
    <w:abstractNumId w:val="1"/>
  </w:num>
  <w:num w:numId="33" w16cid:durableId="1926569401">
    <w:abstractNumId w:val="12"/>
  </w:num>
  <w:num w:numId="34" w16cid:durableId="1979457665">
    <w:abstractNumId w:val="16"/>
  </w:num>
  <w:num w:numId="35" w16cid:durableId="2038313566">
    <w:abstractNumId w:val="11"/>
  </w:num>
  <w:num w:numId="36" w16cid:durableId="209997201">
    <w:abstractNumId w:val="40"/>
  </w:num>
  <w:num w:numId="37" w16cid:durableId="408699874">
    <w:abstractNumId w:val="31"/>
  </w:num>
  <w:num w:numId="38" w16cid:durableId="1297443176">
    <w:abstractNumId w:val="3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573005167">
    <w:abstractNumId w:val="30"/>
  </w:num>
  <w:num w:numId="40" w16cid:durableId="2052417678">
    <w:abstractNumId w:val="39"/>
  </w:num>
  <w:num w:numId="41" w16cid:durableId="1743595981">
    <w:abstractNumId w:val="38"/>
  </w:num>
  <w:num w:numId="42" w16cid:durableId="1319765499">
    <w:abstractNumId w:val="2"/>
  </w:num>
  <w:num w:numId="43" w16cid:durableId="842478343">
    <w:abstractNumId w:val="26"/>
  </w:num>
  <w:num w:numId="44" w16cid:durableId="1920827382">
    <w:abstractNumId w:val="28"/>
  </w:num>
  <w:num w:numId="45" w16cid:durableId="1915780292">
    <w:abstractNumId w:val="19"/>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E79"/>
    <w:rsid w:val="00000600"/>
    <w:rsid w:val="000006D2"/>
    <w:rsid w:val="0000070E"/>
    <w:rsid w:val="00000790"/>
    <w:rsid w:val="00000C5A"/>
    <w:rsid w:val="00000ECB"/>
    <w:rsid w:val="00000F92"/>
    <w:rsid w:val="00001013"/>
    <w:rsid w:val="0000110B"/>
    <w:rsid w:val="0000112D"/>
    <w:rsid w:val="000012B4"/>
    <w:rsid w:val="00001325"/>
    <w:rsid w:val="0000142E"/>
    <w:rsid w:val="0000143E"/>
    <w:rsid w:val="0000160E"/>
    <w:rsid w:val="000017B2"/>
    <w:rsid w:val="000017C5"/>
    <w:rsid w:val="00001979"/>
    <w:rsid w:val="00001B09"/>
    <w:rsid w:val="00001B36"/>
    <w:rsid w:val="00001F23"/>
    <w:rsid w:val="00001F5C"/>
    <w:rsid w:val="00001FCC"/>
    <w:rsid w:val="00002195"/>
    <w:rsid w:val="00002247"/>
    <w:rsid w:val="0000239A"/>
    <w:rsid w:val="00002496"/>
    <w:rsid w:val="000025E0"/>
    <w:rsid w:val="000026B1"/>
    <w:rsid w:val="000026EB"/>
    <w:rsid w:val="0000276D"/>
    <w:rsid w:val="00002832"/>
    <w:rsid w:val="000029AF"/>
    <w:rsid w:val="00002F96"/>
    <w:rsid w:val="00002FCA"/>
    <w:rsid w:val="00003078"/>
    <w:rsid w:val="000031BF"/>
    <w:rsid w:val="000032DB"/>
    <w:rsid w:val="0000338E"/>
    <w:rsid w:val="000033E1"/>
    <w:rsid w:val="00003499"/>
    <w:rsid w:val="0000366E"/>
    <w:rsid w:val="00003786"/>
    <w:rsid w:val="000037EF"/>
    <w:rsid w:val="0000384A"/>
    <w:rsid w:val="0000389E"/>
    <w:rsid w:val="000038AF"/>
    <w:rsid w:val="000039B7"/>
    <w:rsid w:val="00003B32"/>
    <w:rsid w:val="00003B4C"/>
    <w:rsid w:val="00003E46"/>
    <w:rsid w:val="00003F4B"/>
    <w:rsid w:val="00003FB9"/>
    <w:rsid w:val="00004105"/>
    <w:rsid w:val="00004176"/>
    <w:rsid w:val="0000422A"/>
    <w:rsid w:val="00004334"/>
    <w:rsid w:val="00004356"/>
    <w:rsid w:val="0000435E"/>
    <w:rsid w:val="000043D7"/>
    <w:rsid w:val="0000450C"/>
    <w:rsid w:val="00004718"/>
    <w:rsid w:val="00004754"/>
    <w:rsid w:val="0000480B"/>
    <w:rsid w:val="0000495A"/>
    <w:rsid w:val="00004A95"/>
    <w:rsid w:val="00004F70"/>
    <w:rsid w:val="00004FC5"/>
    <w:rsid w:val="000050EC"/>
    <w:rsid w:val="000050F2"/>
    <w:rsid w:val="000052CD"/>
    <w:rsid w:val="00005385"/>
    <w:rsid w:val="00005562"/>
    <w:rsid w:val="000056B9"/>
    <w:rsid w:val="00005942"/>
    <w:rsid w:val="00005EEA"/>
    <w:rsid w:val="0000609E"/>
    <w:rsid w:val="000060E2"/>
    <w:rsid w:val="0000614B"/>
    <w:rsid w:val="0000639A"/>
    <w:rsid w:val="000064AE"/>
    <w:rsid w:val="00006501"/>
    <w:rsid w:val="0000669C"/>
    <w:rsid w:val="000067C2"/>
    <w:rsid w:val="0000688B"/>
    <w:rsid w:val="00006915"/>
    <w:rsid w:val="00006B39"/>
    <w:rsid w:val="00006BF1"/>
    <w:rsid w:val="00006CB1"/>
    <w:rsid w:val="00006F2B"/>
    <w:rsid w:val="00006FE3"/>
    <w:rsid w:val="0000706E"/>
    <w:rsid w:val="0000718B"/>
    <w:rsid w:val="00007368"/>
    <w:rsid w:val="000075B5"/>
    <w:rsid w:val="00007658"/>
    <w:rsid w:val="00007C04"/>
    <w:rsid w:val="00007D82"/>
    <w:rsid w:val="00007E23"/>
    <w:rsid w:val="00007EC9"/>
    <w:rsid w:val="00007ECE"/>
    <w:rsid w:val="00007FCD"/>
    <w:rsid w:val="000100FD"/>
    <w:rsid w:val="00010266"/>
    <w:rsid w:val="00010570"/>
    <w:rsid w:val="000105AC"/>
    <w:rsid w:val="00010974"/>
    <w:rsid w:val="0001099C"/>
    <w:rsid w:val="00010A49"/>
    <w:rsid w:val="00010B2C"/>
    <w:rsid w:val="00010BD2"/>
    <w:rsid w:val="00010C6E"/>
    <w:rsid w:val="00010DC6"/>
    <w:rsid w:val="00010F88"/>
    <w:rsid w:val="00011210"/>
    <w:rsid w:val="00011244"/>
    <w:rsid w:val="00011547"/>
    <w:rsid w:val="00011617"/>
    <w:rsid w:val="0001161F"/>
    <w:rsid w:val="000117C1"/>
    <w:rsid w:val="000117E2"/>
    <w:rsid w:val="000117F8"/>
    <w:rsid w:val="000119EC"/>
    <w:rsid w:val="00011D26"/>
    <w:rsid w:val="00011D96"/>
    <w:rsid w:val="00011FD4"/>
    <w:rsid w:val="000123E8"/>
    <w:rsid w:val="000125A6"/>
    <w:rsid w:val="00012612"/>
    <w:rsid w:val="0001272E"/>
    <w:rsid w:val="000127D9"/>
    <w:rsid w:val="000127FD"/>
    <w:rsid w:val="0001285A"/>
    <w:rsid w:val="0001285E"/>
    <w:rsid w:val="00012963"/>
    <w:rsid w:val="00012BB2"/>
    <w:rsid w:val="00012CEB"/>
    <w:rsid w:val="00012EB9"/>
    <w:rsid w:val="00013140"/>
    <w:rsid w:val="00013190"/>
    <w:rsid w:val="00013247"/>
    <w:rsid w:val="00013588"/>
    <w:rsid w:val="000135AB"/>
    <w:rsid w:val="000137CB"/>
    <w:rsid w:val="000137FE"/>
    <w:rsid w:val="00013A3C"/>
    <w:rsid w:val="000142E4"/>
    <w:rsid w:val="000145D9"/>
    <w:rsid w:val="000148BB"/>
    <w:rsid w:val="000149FA"/>
    <w:rsid w:val="00014A45"/>
    <w:rsid w:val="00014A80"/>
    <w:rsid w:val="00014E1E"/>
    <w:rsid w:val="00014F8F"/>
    <w:rsid w:val="00015007"/>
    <w:rsid w:val="000152E0"/>
    <w:rsid w:val="0001559F"/>
    <w:rsid w:val="0001560F"/>
    <w:rsid w:val="00015886"/>
    <w:rsid w:val="000158F5"/>
    <w:rsid w:val="000159D7"/>
    <w:rsid w:val="00015A25"/>
    <w:rsid w:val="00015A52"/>
    <w:rsid w:val="00015ED7"/>
    <w:rsid w:val="00015F11"/>
    <w:rsid w:val="000162EF"/>
    <w:rsid w:val="00016371"/>
    <w:rsid w:val="00016844"/>
    <w:rsid w:val="00016856"/>
    <w:rsid w:val="000169CE"/>
    <w:rsid w:val="000169DD"/>
    <w:rsid w:val="00016A67"/>
    <w:rsid w:val="00016D5E"/>
    <w:rsid w:val="00016D90"/>
    <w:rsid w:val="000172D3"/>
    <w:rsid w:val="00017596"/>
    <w:rsid w:val="0001765C"/>
    <w:rsid w:val="00017ADC"/>
    <w:rsid w:val="00017BA4"/>
    <w:rsid w:val="00017D05"/>
    <w:rsid w:val="00017EE4"/>
    <w:rsid w:val="00020134"/>
    <w:rsid w:val="000201E8"/>
    <w:rsid w:val="000206A2"/>
    <w:rsid w:val="00020753"/>
    <w:rsid w:val="000207C9"/>
    <w:rsid w:val="00020B8F"/>
    <w:rsid w:val="00020BC2"/>
    <w:rsid w:val="00020C17"/>
    <w:rsid w:val="00020F68"/>
    <w:rsid w:val="0002108D"/>
    <w:rsid w:val="000210EE"/>
    <w:rsid w:val="000213AD"/>
    <w:rsid w:val="00021531"/>
    <w:rsid w:val="0002153C"/>
    <w:rsid w:val="00021553"/>
    <w:rsid w:val="00021679"/>
    <w:rsid w:val="00021719"/>
    <w:rsid w:val="00021799"/>
    <w:rsid w:val="00021A5F"/>
    <w:rsid w:val="00021B1C"/>
    <w:rsid w:val="00021C9E"/>
    <w:rsid w:val="00021D94"/>
    <w:rsid w:val="00021F55"/>
    <w:rsid w:val="000220C4"/>
    <w:rsid w:val="0002225F"/>
    <w:rsid w:val="00022351"/>
    <w:rsid w:val="00022375"/>
    <w:rsid w:val="00022441"/>
    <w:rsid w:val="000224DE"/>
    <w:rsid w:val="00022557"/>
    <w:rsid w:val="00022729"/>
    <w:rsid w:val="0002278F"/>
    <w:rsid w:val="00022A2A"/>
    <w:rsid w:val="00022AC3"/>
    <w:rsid w:val="00022D22"/>
    <w:rsid w:val="00022DD9"/>
    <w:rsid w:val="00023067"/>
    <w:rsid w:val="000230FD"/>
    <w:rsid w:val="0002321A"/>
    <w:rsid w:val="00023260"/>
    <w:rsid w:val="00023392"/>
    <w:rsid w:val="000233DE"/>
    <w:rsid w:val="0002344F"/>
    <w:rsid w:val="0002348C"/>
    <w:rsid w:val="000234DD"/>
    <w:rsid w:val="00023628"/>
    <w:rsid w:val="00023696"/>
    <w:rsid w:val="00023763"/>
    <w:rsid w:val="000237A5"/>
    <w:rsid w:val="000238A7"/>
    <w:rsid w:val="0002394B"/>
    <w:rsid w:val="00023DCF"/>
    <w:rsid w:val="00023DDC"/>
    <w:rsid w:val="00023E2B"/>
    <w:rsid w:val="0002401A"/>
    <w:rsid w:val="000240D2"/>
    <w:rsid w:val="00024229"/>
    <w:rsid w:val="000242DC"/>
    <w:rsid w:val="000243FF"/>
    <w:rsid w:val="000244CC"/>
    <w:rsid w:val="000244E5"/>
    <w:rsid w:val="000244EC"/>
    <w:rsid w:val="00024717"/>
    <w:rsid w:val="00024734"/>
    <w:rsid w:val="0002475F"/>
    <w:rsid w:val="000248D9"/>
    <w:rsid w:val="00024C74"/>
    <w:rsid w:val="00024D1C"/>
    <w:rsid w:val="00024EB5"/>
    <w:rsid w:val="00024FEE"/>
    <w:rsid w:val="00025016"/>
    <w:rsid w:val="000252D6"/>
    <w:rsid w:val="000253D7"/>
    <w:rsid w:val="000254FF"/>
    <w:rsid w:val="0002552D"/>
    <w:rsid w:val="000255F5"/>
    <w:rsid w:val="00025696"/>
    <w:rsid w:val="000257C4"/>
    <w:rsid w:val="000258DE"/>
    <w:rsid w:val="000259A8"/>
    <w:rsid w:val="000259E1"/>
    <w:rsid w:val="00025A44"/>
    <w:rsid w:val="00025A82"/>
    <w:rsid w:val="00025ACC"/>
    <w:rsid w:val="00025AFB"/>
    <w:rsid w:val="00025B4E"/>
    <w:rsid w:val="00025BC3"/>
    <w:rsid w:val="00025BD9"/>
    <w:rsid w:val="00025C10"/>
    <w:rsid w:val="00026085"/>
    <w:rsid w:val="000260CD"/>
    <w:rsid w:val="00026272"/>
    <w:rsid w:val="00026336"/>
    <w:rsid w:val="000269E1"/>
    <w:rsid w:val="00026AAE"/>
    <w:rsid w:val="00026C02"/>
    <w:rsid w:val="00026E2C"/>
    <w:rsid w:val="00026F97"/>
    <w:rsid w:val="00027297"/>
    <w:rsid w:val="000272A5"/>
    <w:rsid w:val="0002735D"/>
    <w:rsid w:val="0002744E"/>
    <w:rsid w:val="000274B8"/>
    <w:rsid w:val="00027550"/>
    <w:rsid w:val="00027672"/>
    <w:rsid w:val="00027754"/>
    <w:rsid w:val="000277FE"/>
    <w:rsid w:val="00027807"/>
    <w:rsid w:val="00027A2C"/>
    <w:rsid w:val="00027C17"/>
    <w:rsid w:val="00027CD6"/>
    <w:rsid w:val="00027D8C"/>
    <w:rsid w:val="000300A4"/>
    <w:rsid w:val="00030131"/>
    <w:rsid w:val="00030186"/>
    <w:rsid w:val="00030549"/>
    <w:rsid w:val="000306DF"/>
    <w:rsid w:val="0003080A"/>
    <w:rsid w:val="000308F8"/>
    <w:rsid w:val="00030954"/>
    <w:rsid w:val="00030B82"/>
    <w:rsid w:val="00030D7E"/>
    <w:rsid w:val="00030E60"/>
    <w:rsid w:val="00030F10"/>
    <w:rsid w:val="0003109D"/>
    <w:rsid w:val="000311BF"/>
    <w:rsid w:val="00031416"/>
    <w:rsid w:val="0003171B"/>
    <w:rsid w:val="00031773"/>
    <w:rsid w:val="000317A7"/>
    <w:rsid w:val="00031A05"/>
    <w:rsid w:val="00031B16"/>
    <w:rsid w:val="00031DEB"/>
    <w:rsid w:val="00031E4E"/>
    <w:rsid w:val="00031ED3"/>
    <w:rsid w:val="00031F24"/>
    <w:rsid w:val="000320A1"/>
    <w:rsid w:val="000320EB"/>
    <w:rsid w:val="000320FF"/>
    <w:rsid w:val="0003220E"/>
    <w:rsid w:val="000322A7"/>
    <w:rsid w:val="000323EF"/>
    <w:rsid w:val="00032415"/>
    <w:rsid w:val="0003242E"/>
    <w:rsid w:val="000324F4"/>
    <w:rsid w:val="0003262A"/>
    <w:rsid w:val="00032762"/>
    <w:rsid w:val="0003286D"/>
    <w:rsid w:val="000328E2"/>
    <w:rsid w:val="000329DC"/>
    <w:rsid w:val="00032C94"/>
    <w:rsid w:val="00032CC5"/>
    <w:rsid w:val="00032E61"/>
    <w:rsid w:val="00032F1E"/>
    <w:rsid w:val="00032FD7"/>
    <w:rsid w:val="00033085"/>
    <w:rsid w:val="000330A9"/>
    <w:rsid w:val="00033231"/>
    <w:rsid w:val="000332F4"/>
    <w:rsid w:val="0003333C"/>
    <w:rsid w:val="00033472"/>
    <w:rsid w:val="00033863"/>
    <w:rsid w:val="000339F6"/>
    <w:rsid w:val="00033B38"/>
    <w:rsid w:val="00033B8D"/>
    <w:rsid w:val="00033C0B"/>
    <w:rsid w:val="00033C1A"/>
    <w:rsid w:val="00033F3B"/>
    <w:rsid w:val="00034234"/>
    <w:rsid w:val="000344B3"/>
    <w:rsid w:val="0003458C"/>
    <w:rsid w:val="000346CF"/>
    <w:rsid w:val="0003478B"/>
    <w:rsid w:val="00034838"/>
    <w:rsid w:val="00034883"/>
    <w:rsid w:val="0003491C"/>
    <w:rsid w:val="00034A1B"/>
    <w:rsid w:val="00034B50"/>
    <w:rsid w:val="00034DD1"/>
    <w:rsid w:val="00034E04"/>
    <w:rsid w:val="00034E17"/>
    <w:rsid w:val="00034EE2"/>
    <w:rsid w:val="000350CB"/>
    <w:rsid w:val="0003520B"/>
    <w:rsid w:val="000352DE"/>
    <w:rsid w:val="00035434"/>
    <w:rsid w:val="00035559"/>
    <w:rsid w:val="000355BD"/>
    <w:rsid w:val="0003569B"/>
    <w:rsid w:val="00035893"/>
    <w:rsid w:val="000359A1"/>
    <w:rsid w:val="000359B2"/>
    <w:rsid w:val="00035DC0"/>
    <w:rsid w:val="00035E37"/>
    <w:rsid w:val="00035FD4"/>
    <w:rsid w:val="00035FFD"/>
    <w:rsid w:val="0003606C"/>
    <w:rsid w:val="00036213"/>
    <w:rsid w:val="000362C1"/>
    <w:rsid w:val="0003632E"/>
    <w:rsid w:val="000363EE"/>
    <w:rsid w:val="000364D1"/>
    <w:rsid w:val="000365C8"/>
    <w:rsid w:val="0003679F"/>
    <w:rsid w:val="000367BA"/>
    <w:rsid w:val="00036829"/>
    <w:rsid w:val="00036B69"/>
    <w:rsid w:val="00036E69"/>
    <w:rsid w:val="00037005"/>
    <w:rsid w:val="00037157"/>
    <w:rsid w:val="000373FB"/>
    <w:rsid w:val="00037552"/>
    <w:rsid w:val="00037815"/>
    <w:rsid w:val="00037BCD"/>
    <w:rsid w:val="00037DC2"/>
    <w:rsid w:val="00037DD8"/>
    <w:rsid w:val="00037DE0"/>
    <w:rsid w:val="00037ED2"/>
    <w:rsid w:val="00037ED9"/>
    <w:rsid w:val="00037FC9"/>
    <w:rsid w:val="000401A7"/>
    <w:rsid w:val="00040564"/>
    <w:rsid w:val="00040895"/>
    <w:rsid w:val="000408F5"/>
    <w:rsid w:val="00040D1C"/>
    <w:rsid w:val="00040D6A"/>
    <w:rsid w:val="00041046"/>
    <w:rsid w:val="000410A0"/>
    <w:rsid w:val="00041144"/>
    <w:rsid w:val="000414CE"/>
    <w:rsid w:val="000414D9"/>
    <w:rsid w:val="00041706"/>
    <w:rsid w:val="00041A60"/>
    <w:rsid w:val="00041CE0"/>
    <w:rsid w:val="00041D2B"/>
    <w:rsid w:val="00041FED"/>
    <w:rsid w:val="0004207A"/>
    <w:rsid w:val="0004228A"/>
    <w:rsid w:val="0004243F"/>
    <w:rsid w:val="0004249F"/>
    <w:rsid w:val="000424E9"/>
    <w:rsid w:val="00042646"/>
    <w:rsid w:val="000427E6"/>
    <w:rsid w:val="00042B14"/>
    <w:rsid w:val="00042DAC"/>
    <w:rsid w:val="00042F13"/>
    <w:rsid w:val="00042FFC"/>
    <w:rsid w:val="00043005"/>
    <w:rsid w:val="0004302C"/>
    <w:rsid w:val="000431C8"/>
    <w:rsid w:val="00043300"/>
    <w:rsid w:val="0004334A"/>
    <w:rsid w:val="0004349E"/>
    <w:rsid w:val="00043525"/>
    <w:rsid w:val="000435EE"/>
    <w:rsid w:val="00043610"/>
    <w:rsid w:val="00043777"/>
    <w:rsid w:val="00043A3D"/>
    <w:rsid w:val="00043A63"/>
    <w:rsid w:val="00043BBE"/>
    <w:rsid w:val="00043C1F"/>
    <w:rsid w:val="00043C37"/>
    <w:rsid w:val="00043E95"/>
    <w:rsid w:val="00043EE7"/>
    <w:rsid w:val="00043FE6"/>
    <w:rsid w:val="00044064"/>
    <w:rsid w:val="00044197"/>
    <w:rsid w:val="0004430B"/>
    <w:rsid w:val="0004445F"/>
    <w:rsid w:val="000445F6"/>
    <w:rsid w:val="000445FB"/>
    <w:rsid w:val="0004476A"/>
    <w:rsid w:val="0004481C"/>
    <w:rsid w:val="0004498E"/>
    <w:rsid w:val="0004499F"/>
    <w:rsid w:val="00044A0A"/>
    <w:rsid w:val="00044A9A"/>
    <w:rsid w:val="00044AEC"/>
    <w:rsid w:val="00044D28"/>
    <w:rsid w:val="00044E74"/>
    <w:rsid w:val="00044F00"/>
    <w:rsid w:val="00044FEE"/>
    <w:rsid w:val="00045017"/>
    <w:rsid w:val="00045063"/>
    <w:rsid w:val="00045092"/>
    <w:rsid w:val="000450F7"/>
    <w:rsid w:val="000451FB"/>
    <w:rsid w:val="000453FD"/>
    <w:rsid w:val="000457D2"/>
    <w:rsid w:val="0004581E"/>
    <w:rsid w:val="00045A2B"/>
    <w:rsid w:val="00045A3D"/>
    <w:rsid w:val="00045B07"/>
    <w:rsid w:val="00045C37"/>
    <w:rsid w:val="00045CB4"/>
    <w:rsid w:val="00045E1C"/>
    <w:rsid w:val="00045E80"/>
    <w:rsid w:val="00045EF7"/>
    <w:rsid w:val="000460DA"/>
    <w:rsid w:val="0004624E"/>
    <w:rsid w:val="00046259"/>
    <w:rsid w:val="000463D7"/>
    <w:rsid w:val="00046543"/>
    <w:rsid w:val="00046576"/>
    <w:rsid w:val="00046768"/>
    <w:rsid w:val="00046880"/>
    <w:rsid w:val="0004698F"/>
    <w:rsid w:val="00046B54"/>
    <w:rsid w:val="00046CBC"/>
    <w:rsid w:val="00046D64"/>
    <w:rsid w:val="00046D86"/>
    <w:rsid w:val="00046E7E"/>
    <w:rsid w:val="00046E80"/>
    <w:rsid w:val="00047002"/>
    <w:rsid w:val="000470F6"/>
    <w:rsid w:val="00047100"/>
    <w:rsid w:val="000473D8"/>
    <w:rsid w:val="000476A1"/>
    <w:rsid w:val="00047844"/>
    <w:rsid w:val="00047A91"/>
    <w:rsid w:val="00047DDA"/>
    <w:rsid w:val="00047DE3"/>
    <w:rsid w:val="000501E9"/>
    <w:rsid w:val="000504EC"/>
    <w:rsid w:val="000505B7"/>
    <w:rsid w:val="00050731"/>
    <w:rsid w:val="0005077E"/>
    <w:rsid w:val="000507D6"/>
    <w:rsid w:val="000508B4"/>
    <w:rsid w:val="000508C2"/>
    <w:rsid w:val="000509BB"/>
    <w:rsid w:val="000509F0"/>
    <w:rsid w:val="00050A50"/>
    <w:rsid w:val="00050A98"/>
    <w:rsid w:val="00050B4C"/>
    <w:rsid w:val="00050B51"/>
    <w:rsid w:val="00050CCC"/>
    <w:rsid w:val="00050CF8"/>
    <w:rsid w:val="00050DEA"/>
    <w:rsid w:val="00050F99"/>
    <w:rsid w:val="00051021"/>
    <w:rsid w:val="0005131C"/>
    <w:rsid w:val="000514F4"/>
    <w:rsid w:val="00051647"/>
    <w:rsid w:val="00051687"/>
    <w:rsid w:val="000516FD"/>
    <w:rsid w:val="000517C6"/>
    <w:rsid w:val="00051A3D"/>
    <w:rsid w:val="00051B62"/>
    <w:rsid w:val="00051BD8"/>
    <w:rsid w:val="00051E08"/>
    <w:rsid w:val="00052128"/>
    <w:rsid w:val="00052232"/>
    <w:rsid w:val="00052334"/>
    <w:rsid w:val="00052667"/>
    <w:rsid w:val="000526D8"/>
    <w:rsid w:val="00052712"/>
    <w:rsid w:val="00052880"/>
    <w:rsid w:val="000529B3"/>
    <w:rsid w:val="00052C30"/>
    <w:rsid w:val="00052C6A"/>
    <w:rsid w:val="00052D22"/>
    <w:rsid w:val="00052D2B"/>
    <w:rsid w:val="00052F94"/>
    <w:rsid w:val="00053061"/>
    <w:rsid w:val="000530E7"/>
    <w:rsid w:val="00053297"/>
    <w:rsid w:val="00053691"/>
    <w:rsid w:val="000536D9"/>
    <w:rsid w:val="000539D0"/>
    <w:rsid w:val="00053B35"/>
    <w:rsid w:val="00053BE7"/>
    <w:rsid w:val="00053EA9"/>
    <w:rsid w:val="00053F55"/>
    <w:rsid w:val="0005404B"/>
    <w:rsid w:val="00054122"/>
    <w:rsid w:val="00054562"/>
    <w:rsid w:val="00054611"/>
    <w:rsid w:val="00054621"/>
    <w:rsid w:val="000546D7"/>
    <w:rsid w:val="000547DC"/>
    <w:rsid w:val="0005486F"/>
    <w:rsid w:val="00054A8D"/>
    <w:rsid w:val="00054AAA"/>
    <w:rsid w:val="00054D8E"/>
    <w:rsid w:val="00054E0B"/>
    <w:rsid w:val="00054E2F"/>
    <w:rsid w:val="00054F21"/>
    <w:rsid w:val="000550CE"/>
    <w:rsid w:val="0005526A"/>
    <w:rsid w:val="000552A8"/>
    <w:rsid w:val="0005546F"/>
    <w:rsid w:val="000555AB"/>
    <w:rsid w:val="000555F0"/>
    <w:rsid w:val="0005572C"/>
    <w:rsid w:val="0005576C"/>
    <w:rsid w:val="00055787"/>
    <w:rsid w:val="00055991"/>
    <w:rsid w:val="00055AED"/>
    <w:rsid w:val="00055B6F"/>
    <w:rsid w:val="00055DBF"/>
    <w:rsid w:val="00055DC8"/>
    <w:rsid w:val="00055E5F"/>
    <w:rsid w:val="00055EFC"/>
    <w:rsid w:val="00055F3E"/>
    <w:rsid w:val="00055F85"/>
    <w:rsid w:val="00055F8F"/>
    <w:rsid w:val="000560EC"/>
    <w:rsid w:val="0005616F"/>
    <w:rsid w:val="000561C2"/>
    <w:rsid w:val="0005629E"/>
    <w:rsid w:val="00056487"/>
    <w:rsid w:val="0005649A"/>
    <w:rsid w:val="00056562"/>
    <w:rsid w:val="00056773"/>
    <w:rsid w:val="00056783"/>
    <w:rsid w:val="000568FF"/>
    <w:rsid w:val="00056918"/>
    <w:rsid w:val="00056A7C"/>
    <w:rsid w:val="00056B1F"/>
    <w:rsid w:val="00056B99"/>
    <w:rsid w:val="00056C70"/>
    <w:rsid w:val="00056ECF"/>
    <w:rsid w:val="00057151"/>
    <w:rsid w:val="00057153"/>
    <w:rsid w:val="000571F6"/>
    <w:rsid w:val="0005732D"/>
    <w:rsid w:val="00057457"/>
    <w:rsid w:val="00057596"/>
    <w:rsid w:val="00057620"/>
    <w:rsid w:val="00057700"/>
    <w:rsid w:val="00057833"/>
    <w:rsid w:val="000579A0"/>
    <w:rsid w:val="000579E0"/>
    <w:rsid w:val="00057D1A"/>
    <w:rsid w:val="00057EDA"/>
    <w:rsid w:val="00057EF8"/>
    <w:rsid w:val="00060325"/>
    <w:rsid w:val="00060326"/>
    <w:rsid w:val="000604DF"/>
    <w:rsid w:val="0006055A"/>
    <w:rsid w:val="000606A4"/>
    <w:rsid w:val="000608BB"/>
    <w:rsid w:val="00060B88"/>
    <w:rsid w:val="00060EE4"/>
    <w:rsid w:val="00060F7B"/>
    <w:rsid w:val="0006117D"/>
    <w:rsid w:val="000616E9"/>
    <w:rsid w:val="0006187E"/>
    <w:rsid w:val="00061ACF"/>
    <w:rsid w:val="00061E95"/>
    <w:rsid w:val="00061FC1"/>
    <w:rsid w:val="00062038"/>
    <w:rsid w:val="00062194"/>
    <w:rsid w:val="000621FC"/>
    <w:rsid w:val="00062287"/>
    <w:rsid w:val="000622B1"/>
    <w:rsid w:val="000622E6"/>
    <w:rsid w:val="0006230D"/>
    <w:rsid w:val="00062324"/>
    <w:rsid w:val="00062589"/>
    <w:rsid w:val="000625EE"/>
    <w:rsid w:val="00062744"/>
    <w:rsid w:val="0006275E"/>
    <w:rsid w:val="00062953"/>
    <w:rsid w:val="00062960"/>
    <w:rsid w:val="00062A4A"/>
    <w:rsid w:val="00062AE7"/>
    <w:rsid w:val="00062AFD"/>
    <w:rsid w:val="00062B2A"/>
    <w:rsid w:val="00062DB6"/>
    <w:rsid w:val="00062F5F"/>
    <w:rsid w:val="00063193"/>
    <w:rsid w:val="00063279"/>
    <w:rsid w:val="00063357"/>
    <w:rsid w:val="000633DD"/>
    <w:rsid w:val="00063459"/>
    <w:rsid w:val="00063759"/>
    <w:rsid w:val="00063BD5"/>
    <w:rsid w:val="00063E6D"/>
    <w:rsid w:val="00063FED"/>
    <w:rsid w:val="0006414F"/>
    <w:rsid w:val="00064234"/>
    <w:rsid w:val="000643C3"/>
    <w:rsid w:val="0006445F"/>
    <w:rsid w:val="000644B0"/>
    <w:rsid w:val="000644FB"/>
    <w:rsid w:val="00064534"/>
    <w:rsid w:val="00064566"/>
    <w:rsid w:val="00064733"/>
    <w:rsid w:val="000647CC"/>
    <w:rsid w:val="00064879"/>
    <w:rsid w:val="00064880"/>
    <w:rsid w:val="000649A7"/>
    <w:rsid w:val="00064A90"/>
    <w:rsid w:val="00064CE0"/>
    <w:rsid w:val="00064DE1"/>
    <w:rsid w:val="00064E3A"/>
    <w:rsid w:val="00064F40"/>
    <w:rsid w:val="00065157"/>
    <w:rsid w:val="000651DA"/>
    <w:rsid w:val="000651EC"/>
    <w:rsid w:val="0006521D"/>
    <w:rsid w:val="0006527A"/>
    <w:rsid w:val="00065317"/>
    <w:rsid w:val="00065322"/>
    <w:rsid w:val="000653B5"/>
    <w:rsid w:val="0006549C"/>
    <w:rsid w:val="000655EE"/>
    <w:rsid w:val="00065792"/>
    <w:rsid w:val="000657F7"/>
    <w:rsid w:val="0006588E"/>
    <w:rsid w:val="00065D07"/>
    <w:rsid w:val="00065F32"/>
    <w:rsid w:val="00065F90"/>
    <w:rsid w:val="00066092"/>
    <w:rsid w:val="00066360"/>
    <w:rsid w:val="00066436"/>
    <w:rsid w:val="0006655A"/>
    <w:rsid w:val="000665DB"/>
    <w:rsid w:val="000666A2"/>
    <w:rsid w:val="0006680A"/>
    <w:rsid w:val="00066862"/>
    <w:rsid w:val="00066A8C"/>
    <w:rsid w:val="00066AF8"/>
    <w:rsid w:val="00066DF2"/>
    <w:rsid w:val="00066F3A"/>
    <w:rsid w:val="00067214"/>
    <w:rsid w:val="000674D3"/>
    <w:rsid w:val="000675B8"/>
    <w:rsid w:val="00067650"/>
    <w:rsid w:val="000676E4"/>
    <w:rsid w:val="000679F7"/>
    <w:rsid w:val="00067CA8"/>
    <w:rsid w:val="000700F8"/>
    <w:rsid w:val="000701C7"/>
    <w:rsid w:val="00070329"/>
    <w:rsid w:val="00070360"/>
    <w:rsid w:val="00070371"/>
    <w:rsid w:val="00070410"/>
    <w:rsid w:val="00070702"/>
    <w:rsid w:val="00070752"/>
    <w:rsid w:val="0007093E"/>
    <w:rsid w:val="00070978"/>
    <w:rsid w:val="00070A1E"/>
    <w:rsid w:val="00070B2E"/>
    <w:rsid w:val="00070DEB"/>
    <w:rsid w:val="00070F26"/>
    <w:rsid w:val="0007115F"/>
    <w:rsid w:val="00071248"/>
    <w:rsid w:val="000715A2"/>
    <w:rsid w:val="000716F7"/>
    <w:rsid w:val="000718FA"/>
    <w:rsid w:val="00071A3D"/>
    <w:rsid w:val="00071AE6"/>
    <w:rsid w:val="00071B22"/>
    <w:rsid w:val="00071C98"/>
    <w:rsid w:val="00071CC3"/>
    <w:rsid w:val="00071CFE"/>
    <w:rsid w:val="00071E41"/>
    <w:rsid w:val="00071F27"/>
    <w:rsid w:val="00071FAB"/>
    <w:rsid w:val="000720AD"/>
    <w:rsid w:val="000720B9"/>
    <w:rsid w:val="000720C1"/>
    <w:rsid w:val="00072147"/>
    <w:rsid w:val="00072222"/>
    <w:rsid w:val="000722FE"/>
    <w:rsid w:val="0007247D"/>
    <w:rsid w:val="00072487"/>
    <w:rsid w:val="00072582"/>
    <w:rsid w:val="00072777"/>
    <w:rsid w:val="00072811"/>
    <w:rsid w:val="000728EE"/>
    <w:rsid w:val="00072B69"/>
    <w:rsid w:val="00072E18"/>
    <w:rsid w:val="00072E23"/>
    <w:rsid w:val="00072E9A"/>
    <w:rsid w:val="00072EDF"/>
    <w:rsid w:val="000731E4"/>
    <w:rsid w:val="000732BF"/>
    <w:rsid w:val="000732D9"/>
    <w:rsid w:val="000733F1"/>
    <w:rsid w:val="00073493"/>
    <w:rsid w:val="0007371F"/>
    <w:rsid w:val="000737F7"/>
    <w:rsid w:val="0007397A"/>
    <w:rsid w:val="00073981"/>
    <w:rsid w:val="00073D28"/>
    <w:rsid w:val="00074037"/>
    <w:rsid w:val="0007412A"/>
    <w:rsid w:val="00074605"/>
    <w:rsid w:val="00074810"/>
    <w:rsid w:val="00074B81"/>
    <w:rsid w:val="00074C34"/>
    <w:rsid w:val="00074CB3"/>
    <w:rsid w:val="00074CEC"/>
    <w:rsid w:val="00074E97"/>
    <w:rsid w:val="00074EE4"/>
    <w:rsid w:val="00074F7D"/>
    <w:rsid w:val="000751D4"/>
    <w:rsid w:val="000752C1"/>
    <w:rsid w:val="000752F9"/>
    <w:rsid w:val="0007540B"/>
    <w:rsid w:val="0007558B"/>
    <w:rsid w:val="00075682"/>
    <w:rsid w:val="000756BC"/>
    <w:rsid w:val="00075790"/>
    <w:rsid w:val="00075805"/>
    <w:rsid w:val="0007597D"/>
    <w:rsid w:val="00075C24"/>
    <w:rsid w:val="00075C33"/>
    <w:rsid w:val="00075DAC"/>
    <w:rsid w:val="00075F89"/>
    <w:rsid w:val="00076062"/>
    <w:rsid w:val="00076098"/>
    <w:rsid w:val="00076173"/>
    <w:rsid w:val="00076426"/>
    <w:rsid w:val="000766D3"/>
    <w:rsid w:val="0007672F"/>
    <w:rsid w:val="00076767"/>
    <w:rsid w:val="00076772"/>
    <w:rsid w:val="00076796"/>
    <w:rsid w:val="0007680C"/>
    <w:rsid w:val="00076B54"/>
    <w:rsid w:val="00076B88"/>
    <w:rsid w:val="00076BF0"/>
    <w:rsid w:val="00076BFA"/>
    <w:rsid w:val="00077107"/>
    <w:rsid w:val="0007724A"/>
    <w:rsid w:val="0007727E"/>
    <w:rsid w:val="00077292"/>
    <w:rsid w:val="00077373"/>
    <w:rsid w:val="0007747F"/>
    <w:rsid w:val="000774F0"/>
    <w:rsid w:val="00077639"/>
    <w:rsid w:val="000776C8"/>
    <w:rsid w:val="000776F5"/>
    <w:rsid w:val="00077785"/>
    <w:rsid w:val="000779C4"/>
    <w:rsid w:val="000779DA"/>
    <w:rsid w:val="00077D6F"/>
    <w:rsid w:val="00077D76"/>
    <w:rsid w:val="00077EDD"/>
    <w:rsid w:val="00080021"/>
    <w:rsid w:val="00080030"/>
    <w:rsid w:val="000800FC"/>
    <w:rsid w:val="00080104"/>
    <w:rsid w:val="000801E0"/>
    <w:rsid w:val="000801F0"/>
    <w:rsid w:val="00080223"/>
    <w:rsid w:val="0008024B"/>
    <w:rsid w:val="000803F4"/>
    <w:rsid w:val="000804D6"/>
    <w:rsid w:val="00080677"/>
    <w:rsid w:val="000808C4"/>
    <w:rsid w:val="000808FF"/>
    <w:rsid w:val="00080909"/>
    <w:rsid w:val="00080B5D"/>
    <w:rsid w:val="00080B97"/>
    <w:rsid w:val="00080F92"/>
    <w:rsid w:val="00080F94"/>
    <w:rsid w:val="00081064"/>
    <w:rsid w:val="00081069"/>
    <w:rsid w:val="000811B5"/>
    <w:rsid w:val="000812B4"/>
    <w:rsid w:val="000812CA"/>
    <w:rsid w:val="00081591"/>
    <w:rsid w:val="00081606"/>
    <w:rsid w:val="000816B8"/>
    <w:rsid w:val="000819D8"/>
    <w:rsid w:val="00081A2F"/>
    <w:rsid w:val="00081B45"/>
    <w:rsid w:val="00081C2A"/>
    <w:rsid w:val="00081E2A"/>
    <w:rsid w:val="00081E63"/>
    <w:rsid w:val="00082429"/>
    <w:rsid w:val="0008258D"/>
    <w:rsid w:val="0008278F"/>
    <w:rsid w:val="00082A9B"/>
    <w:rsid w:val="00082B89"/>
    <w:rsid w:val="00082D68"/>
    <w:rsid w:val="000832D8"/>
    <w:rsid w:val="000832E4"/>
    <w:rsid w:val="0008338D"/>
    <w:rsid w:val="00083416"/>
    <w:rsid w:val="000835CE"/>
    <w:rsid w:val="000835F4"/>
    <w:rsid w:val="000836D7"/>
    <w:rsid w:val="00083796"/>
    <w:rsid w:val="00083A00"/>
    <w:rsid w:val="00083BC8"/>
    <w:rsid w:val="00083C23"/>
    <w:rsid w:val="00083CD1"/>
    <w:rsid w:val="00083E99"/>
    <w:rsid w:val="00083EC5"/>
    <w:rsid w:val="00083FF2"/>
    <w:rsid w:val="00084514"/>
    <w:rsid w:val="00084742"/>
    <w:rsid w:val="00084771"/>
    <w:rsid w:val="00084955"/>
    <w:rsid w:val="0008495D"/>
    <w:rsid w:val="00084A6D"/>
    <w:rsid w:val="00084B58"/>
    <w:rsid w:val="00084BC5"/>
    <w:rsid w:val="00084BEE"/>
    <w:rsid w:val="00084D5D"/>
    <w:rsid w:val="00084FA8"/>
    <w:rsid w:val="00084FC7"/>
    <w:rsid w:val="0008500C"/>
    <w:rsid w:val="000852E5"/>
    <w:rsid w:val="000853B3"/>
    <w:rsid w:val="000854BD"/>
    <w:rsid w:val="00085558"/>
    <w:rsid w:val="0008564A"/>
    <w:rsid w:val="000856C5"/>
    <w:rsid w:val="000857EB"/>
    <w:rsid w:val="000859D4"/>
    <w:rsid w:val="000859E8"/>
    <w:rsid w:val="00085A75"/>
    <w:rsid w:val="00085AA4"/>
    <w:rsid w:val="00085AE4"/>
    <w:rsid w:val="00085B4B"/>
    <w:rsid w:val="00085BC5"/>
    <w:rsid w:val="00085C31"/>
    <w:rsid w:val="00085CAA"/>
    <w:rsid w:val="00085D82"/>
    <w:rsid w:val="00085F8B"/>
    <w:rsid w:val="0008613C"/>
    <w:rsid w:val="00086155"/>
    <w:rsid w:val="00086319"/>
    <w:rsid w:val="000863F0"/>
    <w:rsid w:val="0008642F"/>
    <w:rsid w:val="00086444"/>
    <w:rsid w:val="00086475"/>
    <w:rsid w:val="0008651E"/>
    <w:rsid w:val="0008687A"/>
    <w:rsid w:val="00086964"/>
    <w:rsid w:val="000869FE"/>
    <w:rsid w:val="00086CCD"/>
    <w:rsid w:val="00086D6E"/>
    <w:rsid w:val="00086DF6"/>
    <w:rsid w:val="00086DF7"/>
    <w:rsid w:val="00086E1E"/>
    <w:rsid w:val="00086EBA"/>
    <w:rsid w:val="00086F19"/>
    <w:rsid w:val="00087155"/>
    <w:rsid w:val="00087221"/>
    <w:rsid w:val="000873ED"/>
    <w:rsid w:val="00087495"/>
    <w:rsid w:val="00087509"/>
    <w:rsid w:val="00087585"/>
    <w:rsid w:val="00087606"/>
    <w:rsid w:val="000877F3"/>
    <w:rsid w:val="0008780C"/>
    <w:rsid w:val="00087875"/>
    <w:rsid w:val="000878AE"/>
    <w:rsid w:val="00087983"/>
    <w:rsid w:val="00087985"/>
    <w:rsid w:val="00087A68"/>
    <w:rsid w:val="00087A98"/>
    <w:rsid w:val="00087B53"/>
    <w:rsid w:val="00087BE4"/>
    <w:rsid w:val="00087CD7"/>
    <w:rsid w:val="00087D7A"/>
    <w:rsid w:val="000902D9"/>
    <w:rsid w:val="000902F1"/>
    <w:rsid w:val="0009032D"/>
    <w:rsid w:val="0009037E"/>
    <w:rsid w:val="00090527"/>
    <w:rsid w:val="0009078E"/>
    <w:rsid w:val="0009084B"/>
    <w:rsid w:val="00090C7E"/>
    <w:rsid w:val="00090CEC"/>
    <w:rsid w:val="00090D27"/>
    <w:rsid w:val="00090F0D"/>
    <w:rsid w:val="00090F15"/>
    <w:rsid w:val="00091033"/>
    <w:rsid w:val="00091077"/>
    <w:rsid w:val="0009118B"/>
    <w:rsid w:val="000911AC"/>
    <w:rsid w:val="000912C6"/>
    <w:rsid w:val="000912E7"/>
    <w:rsid w:val="00091525"/>
    <w:rsid w:val="00091567"/>
    <w:rsid w:val="00091916"/>
    <w:rsid w:val="00091996"/>
    <w:rsid w:val="00091A1F"/>
    <w:rsid w:val="00091B39"/>
    <w:rsid w:val="00091E4D"/>
    <w:rsid w:val="0009213D"/>
    <w:rsid w:val="000921BA"/>
    <w:rsid w:val="00092290"/>
    <w:rsid w:val="00092600"/>
    <w:rsid w:val="0009262B"/>
    <w:rsid w:val="00092A11"/>
    <w:rsid w:val="00092DA4"/>
    <w:rsid w:val="00092E4E"/>
    <w:rsid w:val="00092E89"/>
    <w:rsid w:val="00092ECD"/>
    <w:rsid w:val="00092F15"/>
    <w:rsid w:val="0009307F"/>
    <w:rsid w:val="000932A4"/>
    <w:rsid w:val="00093310"/>
    <w:rsid w:val="00093357"/>
    <w:rsid w:val="00093742"/>
    <w:rsid w:val="0009378B"/>
    <w:rsid w:val="000937C2"/>
    <w:rsid w:val="000938F5"/>
    <w:rsid w:val="00093ABF"/>
    <w:rsid w:val="00093E31"/>
    <w:rsid w:val="00093E6F"/>
    <w:rsid w:val="00093EB0"/>
    <w:rsid w:val="00093EEF"/>
    <w:rsid w:val="00093F15"/>
    <w:rsid w:val="000940E0"/>
    <w:rsid w:val="000940F9"/>
    <w:rsid w:val="000942F1"/>
    <w:rsid w:val="000943D9"/>
    <w:rsid w:val="00094442"/>
    <w:rsid w:val="0009445C"/>
    <w:rsid w:val="00094586"/>
    <w:rsid w:val="0009487B"/>
    <w:rsid w:val="000949DC"/>
    <w:rsid w:val="00094D76"/>
    <w:rsid w:val="00094DDB"/>
    <w:rsid w:val="00094F7F"/>
    <w:rsid w:val="00095200"/>
    <w:rsid w:val="00095217"/>
    <w:rsid w:val="0009526A"/>
    <w:rsid w:val="0009529A"/>
    <w:rsid w:val="00095333"/>
    <w:rsid w:val="000953BF"/>
    <w:rsid w:val="00095466"/>
    <w:rsid w:val="00095566"/>
    <w:rsid w:val="00095617"/>
    <w:rsid w:val="00095677"/>
    <w:rsid w:val="00095789"/>
    <w:rsid w:val="00095862"/>
    <w:rsid w:val="00095BCC"/>
    <w:rsid w:val="00095DC8"/>
    <w:rsid w:val="00095E0D"/>
    <w:rsid w:val="00095EA4"/>
    <w:rsid w:val="00095F74"/>
    <w:rsid w:val="00095FE5"/>
    <w:rsid w:val="0009618D"/>
    <w:rsid w:val="00096208"/>
    <w:rsid w:val="00096284"/>
    <w:rsid w:val="00096328"/>
    <w:rsid w:val="00096568"/>
    <w:rsid w:val="00096708"/>
    <w:rsid w:val="000968AD"/>
    <w:rsid w:val="0009699B"/>
    <w:rsid w:val="000969BA"/>
    <w:rsid w:val="00096D1D"/>
    <w:rsid w:val="00096EF3"/>
    <w:rsid w:val="00096FB6"/>
    <w:rsid w:val="000970F6"/>
    <w:rsid w:val="0009715C"/>
    <w:rsid w:val="000971A2"/>
    <w:rsid w:val="000971F6"/>
    <w:rsid w:val="000973E6"/>
    <w:rsid w:val="000974DC"/>
    <w:rsid w:val="0009755E"/>
    <w:rsid w:val="00097569"/>
    <w:rsid w:val="00097685"/>
    <w:rsid w:val="00097984"/>
    <w:rsid w:val="00097DE9"/>
    <w:rsid w:val="00097EC7"/>
    <w:rsid w:val="00097FA1"/>
    <w:rsid w:val="000A005F"/>
    <w:rsid w:val="000A01B2"/>
    <w:rsid w:val="000A0432"/>
    <w:rsid w:val="000A06E3"/>
    <w:rsid w:val="000A0711"/>
    <w:rsid w:val="000A0944"/>
    <w:rsid w:val="000A0968"/>
    <w:rsid w:val="000A0985"/>
    <w:rsid w:val="000A0A7B"/>
    <w:rsid w:val="000A0AAD"/>
    <w:rsid w:val="000A0B64"/>
    <w:rsid w:val="000A1074"/>
    <w:rsid w:val="000A1186"/>
    <w:rsid w:val="000A1205"/>
    <w:rsid w:val="000A1271"/>
    <w:rsid w:val="000A12D9"/>
    <w:rsid w:val="000A1550"/>
    <w:rsid w:val="000A15BF"/>
    <w:rsid w:val="000A16BA"/>
    <w:rsid w:val="000A187C"/>
    <w:rsid w:val="000A1A99"/>
    <w:rsid w:val="000A1BC0"/>
    <w:rsid w:val="000A1E63"/>
    <w:rsid w:val="000A1F56"/>
    <w:rsid w:val="000A1F8F"/>
    <w:rsid w:val="000A20BD"/>
    <w:rsid w:val="000A21E0"/>
    <w:rsid w:val="000A2289"/>
    <w:rsid w:val="000A2613"/>
    <w:rsid w:val="000A26AB"/>
    <w:rsid w:val="000A28C0"/>
    <w:rsid w:val="000A29C9"/>
    <w:rsid w:val="000A2A3D"/>
    <w:rsid w:val="000A2B52"/>
    <w:rsid w:val="000A2BBA"/>
    <w:rsid w:val="000A2E65"/>
    <w:rsid w:val="000A2F9E"/>
    <w:rsid w:val="000A2FC7"/>
    <w:rsid w:val="000A3095"/>
    <w:rsid w:val="000A3527"/>
    <w:rsid w:val="000A3775"/>
    <w:rsid w:val="000A3866"/>
    <w:rsid w:val="000A38B3"/>
    <w:rsid w:val="000A399C"/>
    <w:rsid w:val="000A3A77"/>
    <w:rsid w:val="000A3B88"/>
    <w:rsid w:val="000A3E47"/>
    <w:rsid w:val="000A3EC1"/>
    <w:rsid w:val="000A3F8E"/>
    <w:rsid w:val="000A3FC1"/>
    <w:rsid w:val="000A40BD"/>
    <w:rsid w:val="000A41FB"/>
    <w:rsid w:val="000A42F5"/>
    <w:rsid w:val="000A4334"/>
    <w:rsid w:val="000A43F2"/>
    <w:rsid w:val="000A4452"/>
    <w:rsid w:val="000A46C0"/>
    <w:rsid w:val="000A48A6"/>
    <w:rsid w:val="000A48DB"/>
    <w:rsid w:val="000A4BEF"/>
    <w:rsid w:val="000A4C5E"/>
    <w:rsid w:val="000A4E9C"/>
    <w:rsid w:val="000A510A"/>
    <w:rsid w:val="000A516B"/>
    <w:rsid w:val="000A522B"/>
    <w:rsid w:val="000A5327"/>
    <w:rsid w:val="000A53B7"/>
    <w:rsid w:val="000A53C9"/>
    <w:rsid w:val="000A56E9"/>
    <w:rsid w:val="000A57BA"/>
    <w:rsid w:val="000A5845"/>
    <w:rsid w:val="000A5AA1"/>
    <w:rsid w:val="000A5AC2"/>
    <w:rsid w:val="000A5B31"/>
    <w:rsid w:val="000A5CEB"/>
    <w:rsid w:val="000A5CF2"/>
    <w:rsid w:val="000A5E61"/>
    <w:rsid w:val="000A5E9B"/>
    <w:rsid w:val="000A5E9F"/>
    <w:rsid w:val="000A6039"/>
    <w:rsid w:val="000A60F9"/>
    <w:rsid w:val="000A618B"/>
    <w:rsid w:val="000A62E6"/>
    <w:rsid w:val="000A634B"/>
    <w:rsid w:val="000A63E7"/>
    <w:rsid w:val="000A6517"/>
    <w:rsid w:val="000A65EE"/>
    <w:rsid w:val="000A66D1"/>
    <w:rsid w:val="000A6799"/>
    <w:rsid w:val="000A682B"/>
    <w:rsid w:val="000A68CD"/>
    <w:rsid w:val="000A6A73"/>
    <w:rsid w:val="000A6E5F"/>
    <w:rsid w:val="000A6F78"/>
    <w:rsid w:val="000A7186"/>
    <w:rsid w:val="000A7196"/>
    <w:rsid w:val="000A73CB"/>
    <w:rsid w:val="000A7453"/>
    <w:rsid w:val="000A7454"/>
    <w:rsid w:val="000A753B"/>
    <w:rsid w:val="000A7550"/>
    <w:rsid w:val="000A76D8"/>
    <w:rsid w:val="000A777E"/>
    <w:rsid w:val="000A789C"/>
    <w:rsid w:val="000A7907"/>
    <w:rsid w:val="000A7960"/>
    <w:rsid w:val="000A7BF5"/>
    <w:rsid w:val="000A7D08"/>
    <w:rsid w:val="000A7F2B"/>
    <w:rsid w:val="000B0072"/>
    <w:rsid w:val="000B00F9"/>
    <w:rsid w:val="000B0121"/>
    <w:rsid w:val="000B0132"/>
    <w:rsid w:val="000B0157"/>
    <w:rsid w:val="000B02E8"/>
    <w:rsid w:val="000B0512"/>
    <w:rsid w:val="000B059C"/>
    <w:rsid w:val="000B05AE"/>
    <w:rsid w:val="000B0670"/>
    <w:rsid w:val="000B0673"/>
    <w:rsid w:val="000B07C4"/>
    <w:rsid w:val="000B0876"/>
    <w:rsid w:val="000B08B7"/>
    <w:rsid w:val="000B0A43"/>
    <w:rsid w:val="000B0A73"/>
    <w:rsid w:val="000B0A94"/>
    <w:rsid w:val="000B0D42"/>
    <w:rsid w:val="000B0E75"/>
    <w:rsid w:val="000B1030"/>
    <w:rsid w:val="000B11A3"/>
    <w:rsid w:val="000B146F"/>
    <w:rsid w:val="000B1479"/>
    <w:rsid w:val="000B153F"/>
    <w:rsid w:val="000B15C7"/>
    <w:rsid w:val="000B1680"/>
    <w:rsid w:val="000B179B"/>
    <w:rsid w:val="000B1998"/>
    <w:rsid w:val="000B1E70"/>
    <w:rsid w:val="000B1F22"/>
    <w:rsid w:val="000B2042"/>
    <w:rsid w:val="000B208A"/>
    <w:rsid w:val="000B2188"/>
    <w:rsid w:val="000B22D1"/>
    <w:rsid w:val="000B2396"/>
    <w:rsid w:val="000B2409"/>
    <w:rsid w:val="000B24C2"/>
    <w:rsid w:val="000B24FE"/>
    <w:rsid w:val="000B257D"/>
    <w:rsid w:val="000B273A"/>
    <w:rsid w:val="000B27C6"/>
    <w:rsid w:val="000B296B"/>
    <w:rsid w:val="000B2BFF"/>
    <w:rsid w:val="000B2CE7"/>
    <w:rsid w:val="000B2DCB"/>
    <w:rsid w:val="000B2DF2"/>
    <w:rsid w:val="000B2FB5"/>
    <w:rsid w:val="000B300E"/>
    <w:rsid w:val="000B3087"/>
    <w:rsid w:val="000B30DD"/>
    <w:rsid w:val="000B33F9"/>
    <w:rsid w:val="000B3454"/>
    <w:rsid w:val="000B3480"/>
    <w:rsid w:val="000B352A"/>
    <w:rsid w:val="000B353F"/>
    <w:rsid w:val="000B37FD"/>
    <w:rsid w:val="000B385C"/>
    <w:rsid w:val="000B3883"/>
    <w:rsid w:val="000B38CB"/>
    <w:rsid w:val="000B391E"/>
    <w:rsid w:val="000B3A02"/>
    <w:rsid w:val="000B3A92"/>
    <w:rsid w:val="000B3FAC"/>
    <w:rsid w:val="000B4097"/>
    <w:rsid w:val="000B416B"/>
    <w:rsid w:val="000B4240"/>
    <w:rsid w:val="000B4704"/>
    <w:rsid w:val="000B4744"/>
    <w:rsid w:val="000B4765"/>
    <w:rsid w:val="000B4952"/>
    <w:rsid w:val="000B4A7F"/>
    <w:rsid w:val="000B4E53"/>
    <w:rsid w:val="000B4F33"/>
    <w:rsid w:val="000B501F"/>
    <w:rsid w:val="000B50D0"/>
    <w:rsid w:val="000B545D"/>
    <w:rsid w:val="000B5577"/>
    <w:rsid w:val="000B557F"/>
    <w:rsid w:val="000B55B6"/>
    <w:rsid w:val="000B55D3"/>
    <w:rsid w:val="000B58EB"/>
    <w:rsid w:val="000B5A43"/>
    <w:rsid w:val="000B5CA9"/>
    <w:rsid w:val="000B5CE0"/>
    <w:rsid w:val="000B5DA2"/>
    <w:rsid w:val="000B5FBF"/>
    <w:rsid w:val="000B6641"/>
    <w:rsid w:val="000B68C3"/>
    <w:rsid w:val="000B6CAC"/>
    <w:rsid w:val="000B6E72"/>
    <w:rsid w:val="000B74EB"/>
    <w:rsid w:val="000B74FB"/>
    <w:rsid w:val="000B7612"/>
    <w:rsid w:val="000B78AE"/>
    <w:rsid w:val="000B7A6C"/>
    <w:rsid w:val="000B7B8A"/>
    <w:rsid w:val="000B7CB7"/>
    <w:rsid w:val="000B7FF7"/>
    <w:rsid w:val="000C0070"/>
    <w:rsid w:val="000C04E4"/>
    <w:rsid w:val="000C04F9"/>
    <w:rsid w:val="000C055A"/>
    <w:rsid w:val="000C0584"/>
    <w:rsid w:val="000C068D"/>
    <w:rsid w:val="000C0691"/>
    <w:rsid w:val="000C0A95"/>
    <w:rsid w:val="000C0EE7"/>
    <w:rsid w:val="000C0F28"/>
    <w:rsid w:val="000C102D"/>
    <w:rsid w:val="000C1474"/>
    <w:rsid w:val="000C153E"/>
    <w:rsid w:val="000C18F4"/>
    <w:rsid w:val="000C1941"/>
    <w:rsid w:val="000C1958"/>
    <w:rsid w:val="000C19A4"/>
    <w:rsid w:val="000C1C04"/>
    <w:rsid w:val="000C2001"/>
    <w:rsid w:val="000C20E7"/>
    <w:rsid w:val="000C2432"/>
    <w:rsid w:val="000C27DB"/>
    <w:rsid w:val="000C2DF7"/>
    <w:rsid w:val="000C2E00"/>
    <w:rsid w:val="000C2FDE"/>
    <w:rsid w:val="000C308A"/>
    <w:rsid w:val="000C338F"/>
    <w:rsid w:val="000C365B"/>
    <w:rsid w:val="000C3834"/>
    <w:rsid w:val="000C39F7"/>
    <w:rsid w:val="000C3CDB"/>
    <w:rsid w:val="000C3DF9"/>
    <w:rsid w:val="000C3F3C"/>
    <w:rsid w:val="000C3F4C"/>
    <w:rsid w:val="000C4250"/>
    <w:rsid w:val="000C4322"/>
    <w:rsid w:val="000C43C6"/>
    <w:rsid w:val="000C4425"/>
    <w:rsid w:val="000C45BD"/>
    <w:rsid w:val="000C468B"/>
    <w:rsid w:val="000C469C"/>
    <w:rsid w:val="000C4774"/>
    <w:rsid w:val="000C48A2"/>
    <w:rsid w:val="000C48A5"/>
    <w:rsid w:val="000C4A54"/>
    <w:rsid w:val="000C4CB4"/>
    <w:rsid w:val="000C4CF2"/>
    <w:rsid w:val="000C4EE3"/>
    <w:rsid w:val="000C50CE"/>
    <w:rsid w:val="000C5255"/>
    <w:rsid w:val="000C54DB"/>
    <w:rsid w:val="000C5541"/>
    <w:rsid w:val="000C5740"/>
    <w:rsid w:val="000C57A3"/>
    <w:rsid w:val="000C5808"/>
    <w:rsid w:val="000C612E"/>
    <w:rsid w:val="000C6174"/>
    <w:rsid w:val="000C6364"/>
    <w:rsid w:val="000C6393"/>
    <w:rsid w:val="000C6559"/>
    <w:rsid w:val="000C65C8"/>
    <w:rsid w:val="000C6634"/>
    <w:rsid w:val="000C6713"/>
    <w:rsid w:val="000C6736"/>
    <w:rsid w:val="000C69F0"/>
    <w:rsid w:val="000C69FC"/>
    <w:rsid w:val="000C6AD8"/>
    <w:rsid w:val="000C6B16"/>
    <w:rsid w:val="000C6D1B"/>
    <w:rsid w:val="000C7066"/>
    <w:rsid w:val="000C73F5"/>
    <w:rsid w:val="000C7418"/>
    <w:rsid w:val="000C744A"/>
    <w:rsid w:val="000C74A4"/>
    <w:rsid w:val="000C7507"/>
    <w:rsid w:val="000C76C2"/>
    <w:rsid w:val="000C772D"/>
    <w:rsid w:val="000C79CA"/>
    <w:rsid w:val="000C7A83"/>
    <w:rsid w:val="000C7CC4"/>
    <w:rsid w:val="000C7E19"/>
    <w:rsid w:val="000C7E62"/>
    <w:rsid w:val="000D00DC"/>
    <w:rsid w:val="000D02B6"/>
    <w:rsid w:val="000D02D6"/>
    <w:rsid w:val="000D04B7"/>
    <w:rsid w:val="000D0752"/>
    <w:rsid w:val="000D078D"/>
    <w:rsid w:val="000D0839"/>
    <w:rsid w:val="000D0B3D"/>
    <w:rsid w:val="000D0C02"/>
    <w:rsid w:val="000D0C51"/>
    <w:rsid w:val="000D0DE0"/>
    <w:rsid w:val="000D0E31"/>
    <w:rsid w:val="000D0EFB"/>
    <w:rsid w:val="000D101E"/>
    <w:rsid w:val="000D14D5"/>
    <w:rsid w:val="000D1553"/>
    <w:rsid w:val="000D18DB"/>
    <w:rsid w:val="000D19E2"/>
    <w:rsid w:val="000D1A77"/>
    <w:rsid w:val="000D1BFC"/>
    <w:rsid w:val="000D1C25"/>
    <w:rsid w:val="000D1C47"/>
    <w:rsid w:val="000D1D0B"/>
    <w:rsid w:val="000D1D5D"/>
    <w:rsid w:val="000D1DD3"/>
    <w:rsid w:val="000D1E73"/>
    <w:rsid w:val="000D1E86"/>
    <w:rsid w:val="000D1F29"/>
    <w:rsid w:val="000D2085"/>
    <w:rsid w:val="000D209C"/>
    <w:rsid w:val="000D2149"/>
    <w:rsid w:val="000D281A"/>
    <w:rsid w:val="000D2848"/>
    <w:rsid w:val="000D291F"/>
    <w:rsid w:val="000D2A16"/>
    <w:rsid w:val="000D2AC8"/>
    <w:rsid w:val="000D2BDB"/>
    <w:rsid w:val="000D2CC8"/>
    <w:rsid w:val="000D2E01"/>
    <w:rsid w:val="000D2FB3"/>
    <w:rsid w:val="000D30F0"/>
    <w:rsid w:val="000D313A"/>
    <w:rsid w:val="000D3161"/>
    <w:rsid w:val="000D326A"/>
    <w:rsid w:val="000D3291"/>
    <w:rsid w:val="000D3338"/>
    <w:rsid w:val="000D338B"/>
    <w:rsid w:val="000D340D"/>
    <w:rsid w:val="000D341A"/>
    <w:rsid w:val="000D3498"/>
    <w:rsid w:val="000D3668"/>
    <w:rsid w:val="000D36A9"/>
    <w:rsid w:val="000D36BD"/>
    <w:rsid w:val="000D3804"/>
    <w:rsid w:val="000D3874"/>
    <w:rsid w:val="000D3994"/>
    <w:rsid w:val="000D3CE5"/>
    <w:rsid w:val="000D3CF5"/>
    <w:rsid w:val="000D3D57"/>
    <w:rsid w:val="000D3D71"/>
    <w:rsid w:val="000D3EF5"/>
    <w:rsid w:val="000D3F90"/>
    <w:rsid w:val="000D4010"/>
    <w:rsid w:val="000D414B"/>
    <w:rsid w:val="000D4293"/>
    <w:rsid w:val="000D4383"/>
    <w:rsid w:val="000D4409"/>
    <w:rsid w:val="000D443D"/>
    <w:rsid w:val="000D44EB"/>
    <w:rsid w:val="000D4605"/>
    <w:rsid w:val="000D4670"/>
    <w:rsid w:val="000D46AC"/>
    <w:rsid w:val="000D474C"/>
    <w:rsid w:val="000D482A"/>
    <w:rsid w:val="000D4989"/>
    <w:rsid w:val="000D4FEF"/>
    <w:rsid w:val="000D50FC"/>
    <w:rsid w:val="000D51FB"/>
    <w:rsid w:val="000D5366"/>
    <w:rsid w:val="000D5451"/>
    <w:rsid w:val="000D59B9"/>
    <w:rsid w:val="000D5A09"/>
    <w:rsid w:val="000D5DB7"/>
    <w:rsid w:val="000D5DCA"/>
    <w:rsid w:val="000D5E98"/>
    <w:rsid w:val="000D5F33"/>
    <w:rsid w:val="000D5FF0"/>
    <w:rsid w:val="000D6051"/>
    <w:rsid w:val="000D60B1"/>
    <w:rsid w:val="000D60F5"/>
    <w:rsid w:val="000D6594"/>
    <w:rsid w:val="000D6651"/>
    <w:rsid w:val="000D6C54"/>
    <w:rsid w:val="000D6C9D"/>
    <w:rsid w:val="000D6CBB"/>
    <w:rsid w:val="000D6F26"/>
    <w:rsid w:val="000D71B5"/>
    <w:rsid w:val="000D738E"/>
    <w:rsid w:val="000D77F2"/>
    <w:rsid w:val="000D79A2"/>
    <w:rsid w:val="000D79E0"/>
    <w:rsid w:val="000D7B10"/>
    <w:rsid w:val="000D7EAE"/>
    <w:rsid w:val="000D7F35"/>
    <w:rsid w:val="000D7F88"/>
    <w:rsid w:val="000E00CE"/>
    <w:rsid w:val="000E02E2"/>
    <w:rsid w:val="000E03DF"/>
    <w:rsid w:val="000E04CE"/>
    <w:rsid w:val="000E05B4"/>
    <w:rsid w:val="000E0640"/>
    <w:rsid w:val="000E08B6"/>
    <w:rsid w:val="000E0A08"/>
    <w:rsid w:val="000E0AA2"/>
    <w:rsid w:val="000E0ADD"/>
    <w:rsid w:val="000E0DFF"/>
    <w:rsid w:val="000E0E89"/>
    <w:rsid w:val="000E0EDA"/>
    <w:rsid w:val="000E1039"/>
    <w:rsid w:val="000E117D"/>
    <w:rsid w:val="000E11B0"/>
    <w:rsid w:val="000E135D"/>
    <w:rsid w:val="000E139B"/>
    <w:rsid w:val="000E14CF"/>
    <w:rsid w:val="000E1501"/>
    <w:rsid w:val="000E150E"/>
    <w:rsid w:val="000E178A"/>
    <w:rsid w:val="000E18F8"/>
    <w:rsid w:val="000E19C0"/>
    <w:rsid w:val="000E1B31"/>
    <w:rsid w:val="000E1C32"/>
    <w:rsid w:val="000E1C4D"/>
    <w:rsid w:val="000E1E8D"/>
    <w:rsid w:val="000E2083"/>
    <w:rsid w:val="000E2AA5"/>
    <w:rsid w:val="000E2B2A"/>
    <w:rsid w:val="000E2B35"/>
    <w:rsid w:val="000E2BA4"/>
    <w:rsid w:val="000E2C7C"/>
    <w:rsid w:val="000E2DD4"/>
    <w:rsid w:val="000E2FA6"/>
    <w:rsid w:val="000E32B3"/>
    <w:rsid w:val="000E32E5"/>
    <w:rsid w:val="000E3384"/>
    <w:rsid w:val="000E3513"/>
    <w:rsid w:val="000E3544"/>
    <w:rsid w:val="000E359F"/>
    <w:rsid w:val="000E3658"/>
    <w:rsid w:val="000E3D5A"/>
    <w:rsid w:val="000E3D5C"/>
    <w:rsid w:val="000E3DC5"/>
    <w:rsid w:val="000E3DF5"/>
    <w:rsid w:val="000E41D8"/>
    <w:rsid w:val="000E41E8"/>
    <w:rsid w:val="000E41F6"/>
    <w:rsid w:val="000E4772"/>
    <w:rsid w:val="000E4890"/>
    <w:rsid w:val="000E4AC5"/>
    <w:rsid w:val="000E4B0C"/>
    <w:rsid w:val="000E4F1F"/>
    <w:rsid w:val="000E522E"/>
    <w:rsid w:val="000E5282"/>
    <w:rsid w:val="000E5349"/>
    <w:rsid w:val="000E5353"/>
    <w:rsid w:val="000E538A"/>
    <w:rsid w:val="000E57B2"/>
    <w:rsid w:val="000E597B"/>
    <w:rsid w:val="000E5A1C"/>
    <w:rsid w:val="000E5B0C"/>
    <w:rsid w:val="000E5B1C"/>
    <w:rsid w:val="000E5BD9"/>
    <w:rsid w:val="000E5D9D"/>
    <w:rsid w:val="000E5DF3"/>
    <w:rsid w:val="000E5E1E"/>
    <w:rsid w:val="000E5E6D"/>
    <w:rsid w:val="000E5ED6"/>
    <w:rsid w:val="000E61C1"/>
    <w:rsid w:val="000E63BA"/>
    <w:rsid w:val="000E642E"/>
    <w:rsid w:val="000E644F"/>
    <w:rsid w:val="000E6520"/>
    <w:rsid w:val="000E6568"/>
    <w:rsid w:val="000E6672"/>
    <w:rsid w:val="000E68B1"/>
    <w:rsid w:val="000E68C3"/>
    <w:rsid w:val="000E6970"/>
    <w:rsid w:val="000E6A61"/>
    <w:rsid w:val="000E6E6E"/>
    <w:rsid w:val="000E6F2E"/>
    <w:rsid w:val="000E7036"/>
    <w:rsid w:val="000E7304"/>
    <w:rsid w:val="000E7342"/>
    <w:rsid w:val="000E750C"/>
    <w:rsid w:val="000E7AB9"/>
    <w:rsid w:val="000E7AC7"/>
    <w:rsid w:val="000E7ACB"/>
    <w:rsid w:val="000E7B29"/>
    <w:rsid w:val="000E7D96"/>
    <w:rsid w:val="000E7F17"/>
    <w:rsid w:val="000F00BA"/>
    <w:rsid w:val="000F01EF"/>
    <w:rsid w:val="000F02A6"/>
    <w:rsid w:val="000F05EF"/>
    <w:rsid w:val="000F066B"/>
    <w:rsid w:val="000F0895"/>
    <w:rsid w:val="000F08B4"/>
    <w:rsid w:val="000F0938"/>
    <w:rsid w:val="000F0AC8"/>
    <w:rsid w:val="000F0BAA"/>
    <w:rsid w:val="000F0C8B"/>
    <w:rsid w:val="000F1215"/>
    <w:rsid w:val="000F15E9"/>
    <w:rsid w:val="000F1709"/>
    <w:rsid w:val="000F180D"/>
    <w:rsid w:val="000F18E6"/>
    <w:rsid w:val="000F1C89"/>
    <w:rsid w:val="000F1CC3"/>
    <w:rsid w:val="000F1DC6"/>
    <w:rsid w:val="000F1F50"/>
    <w:rsid w:val="000F210C"/>
    <w:rsid w:val="000F2167"/>
    <w:rsid w:val="000F2216"/>
    <w:rsid w:val="000F229B"/>
    <w:rsid w:val="000F2315"/>
    <w:rsid w:val="000F2384"/>
    <w:rsid w:val="000F2496"/>
    <w:rsid w:val="000F24EA"/>
    <w:rsid w:val="000F25F5"/>
    <w:rsid w:val="000F263F"/>
    <w:rsid w:val="000F27A9"/>
    <w:rsid w:val="000F2887"/>
    <w:rsid w:val="000F29E9"/>
    <w:rsid w:val="000F2B86"/>
    <w:rsid w:val="000F2E28"/>
    <w:rsid w:val="000F2F09"/>
    <w:rsid w:val="000F316A"/>
    <w:rsid w:val="000F32E8"/>
    <w:rsid w:val="000F3327"/>
    <w:rsid w:val="000F338A"/>
    <w:rsid w:val="000F3459"/>
    <w:rsid w:val="000F3730"/>
    <w:rsid w:val="000F3996"/>
    <w:rsid w:val="000F39A9"/>
    <w:rsid w:val="000F3B46"/>
    <w:rsid w:val="000F3C74"/>
    <w:rsid w:val="000F3FF4"/>
    <w:rsid w:val="000F41A7"/>
    <w:rsid w:val="000F420A"/>
    <w:rsid w:val="000F4362"/>
    <w:rsid w:val="000F4399"/>
    <w:rsid w:val="000F4403"/>
    <w:rsid w:val="000F4B52"/>
    <w:rsid w:val="000F4BB8"/>
    <w:rsid w:val="000F4BEF"/>
    <w:rsid w:val="000F4C30"/>
    <w:rsid w:val="000F4DA7"/>
    <w:rsid w:val="000F4F1B"/>
    <w:rsid w:val="000F4F20"/>
    <w:rsid w:val="000F4F71"/>
    <w:rsid w:val="000F4FA7"/>
    <w:rsid w:val="000F4FA9"/>
    <w:rsid w:val="000F5002"/>
    <w:rsid w:val="000F5046"/>
    <w:rsid w:val="000F51D1"/>
    <w:rsid w:val="000F5261"/>
    <w:rsid w:val="000F53CD"/>
    <w:rsid w:val="000F53FB"/>
    <w:rsid w:val="000F5471"/>
    <w:rsid w:val="000F5478"/>
    <w:rsid w:val="000F562F"/>
    <w:rsid w:val="000F5763"/>
    <w:rsid w:val="000F57EE"/>
    <w:rsid w:val="000F588B"/>
    <w:rsid w:val="000F5A75"/>
    <w:rsid w:val="000F5B43"/>
    <w:rsid w:val="000F5B7D"/>
    <w:rsid w:val="000F5D47"/>
    <w:rsid w:val="000F5D81"/>
    <w:rsid w:val="000F5EDD"/>
    <w:rsid w:val="000F5F6A"/>
    <w:rsid w:val="000F61A9"/>
    <w:rsid w:val="000F6296"/>
    <w:rsid w:val="000F642B"/>
    <w:rsid w:val="000F6573"/>
    <w:rsid w:val="000F6596"/>
    <w:rsid w:val="000F6820"/>
    <w:rsid w:val="000F6890"/>
    <w:rsid w:val="000F6920"/>
    <w:rsid w:val="000F6B5F"/>
    <w:rsid w:val="000F6BD3"/>
    <w:rsid w:val="000F6BDB"/>
    <w:rsid w:val="000F6C22"/>
    <w:rsid w:val="000F6C67"/>
    <w:rsid w:val="000F6D88"/>
    <w:rsid w:val="000F6DA9"/>
    <w:rsid w:val="000F6E3C"/>
    <w:rsid w:val="000F7127"/>
    <w:rsid w:val="000F72FA"/>
    <w:rsid w:val="000F734C"/>
    <w:rsid w:val="000F73C1"/>
    <w:rsid w:val="000F75CC"/>
    <w:rsid w:val="000F768E"/>
    <w:rsid w:val="000F7731"/>
    <w:rsid w:val="000F7841"/>
    <w:rsid w:val="000F78CB"/>
    <w:rsid w:val="000F790A"/>
    <w:rsid w:val="000F7971"/>
    <w:rsid w:val="000F7AA1"/>
    <w:rsid w:val="000F7B54"/>
    <w:rsid w:val="000F7B80"/>
    <w:rsid w:val="000F7CBA"/>
    <w:rsid w:val="000F7E0E"/>
    <w:rsid w:val="000F7E4E"/>
    <w:rsid w:val="000F7E53"/>
    <w:rsid w:val="001000B3"/>
    <w:rsid w:val="00100849"/>
    <w:rsid w:val="00100A05"/>
    <w:rsid w:val="00100B33"/>
    <w:rsid w:val="00100C63"/>
    <w:rsid w:val="00100DB3"/>
    <w:rsid w:val="00100DC1"/>
    <w:rsid w:val="00100EB9"/>
    <w:rsid w:val="00100EE1"/>
    <w:rsid w:val="00100F60"/>
    <w:rsid w:val="00100F8A"/>
    <w:rsid w:val="00101051"/>
    <w:rsid w:val="001010A3"/>
    <w:rsid w:val="00101303"/>
    <w:rsid w:val="00101429"/>
    <w:rsid w:val="00101765"/>
    <w:rsid w:val="00101BFB"/>
    <w:rsid w:val="001020A7"/>
    <w:rsid w:val="001021A3"/>
    <w:rsid w:val="001023B6"/>
    <w:rsid w:val="00102500"/>
    <w:rsid w:val="00102699"/>
    <w:rsid w:val="001026F1"/>
    <w:rsid w:val="00102757"/>
    <w:rsid w:val="00102890"/>
    <w:rsid w:val="001028AC"/>
    <w:rsid w:val="001029BF"/>
    <w:rsid w:val="00102D54"/>
    <w:rsid w:val="00102E04"/>
    <w:rsid w:val="00102E4B"/>
    <w:rsid w:val="00102F85"/>
    <w:rsid w:val="0010325F"/>
    <w:rsid w:val="00103435"/>
    <w:rsid w:val="001036E4"/>
    <w:rsid w:val="001038AC"/>
    <w:rsid w:val="001039CA"/>
    <w:rsid w:val="001039FC"/>
    <w:rsid w:val="00103ACC"/>
    <w:rsid w:val="00103CE7"/>
    <w:rsid w:val="00103CE9"/>
    <w:rsid w:val="00103D31"/>
    <w:rsid w:val="00103F72"/>
    <w:rsid w:val="0010412A"/>
    <w:rsid w:val="0010415D"/>
    <w:rsid w:val="001044A8"/>
    <w:rsid w:val="001044F2"/>
    <w:rsid w:val="0010452E"/>
    <w:rsid w:val="00104536"/>
    <w:rsid w:val="0010462A"/>
    <w:rsid w:val="001046EC"/>
    <w:rsid w:val="00104751"/>
    <w:rsid w:val="001047CF"/>
    <w:rsid w:val="00104ADE"/>
    <w:rsid w:val="00104D24"/>
    <w:rsid w:val="00104D8D"/>
    <w:rsid w:val="00104E7F"/>
    <w:rsid w:val="0010517E"/>
    <w:rsid w:val="001051D1"/>
    <w:rsid w:val="00105404"/>
    <w:rsid w:val="0010552C"/>
    <w:rsid w:val="00105934"/>
    <w:rsid w:val="00105958"/>
    <w:rsid w:val="00105A36"/>
    <w:rsid w:val="00105AE2"/>
    <w:rsid w:val="00105B7F"/>
    <w:rsid w:val="00105B95"/>
    <w:rsid w:val="00105BBF"/>
    <w:rsid w:val="00105CA9"/>
    <w:rsid w:val="00105CCE"/>
    <w:rsid w:val="00105E12"/>
    <w:rsid w:val="00105F9F"/>
    <w:rsid w:val="00105FFD"/>
    <w:rsid w:val="001060C6"/>
    <w:rsid w:val="00106134"/>
    <w:rsid w:val="001061B2"/>
    <w:rsid w:val="001062B5"/>
    <w:rsid w:val="00106323"/>
    <w:rsid w:val="00106448"/>
    <w:rsid w:val="00106705"/>
    <w:rsid w:val="001067AE"/>
    <w:rsid w:val="001067D5"/>
    <w:rsid w:val="00106840"/>
    <w:rsid w:val="00106958"/>
    <w:rsid w:val="00106A70"/>
    <w:rsid w:val="00106B80"/>
    <w:rsid w:val="00106C05"/>
    <w:rsid w:val="00106CB3"/>
    <w:rsid w:val="001070C7"/>
    <w:rsid w:val="001071A9"/>
    <w:rsid w:val="001072A1"/>
    <w:rsid w:val="00107723"/>
    <w:rsid w:val="0010790C"/>
    <w:rsid w:val="001079FE"/>
    <w:rsid w:val="00107DA2"/>
    <w:rsid w:val="00107E7F"/>
    <w:rsid w:val="00107F00"/>
    <w:rsid w:val="00107F14"/>
    <w:rsid w:val="00107F4C"/>
    <w:rsid w:val="00107FD6"/>
    <w:rsid w:val="00110032"/>
    <w:rsid w:val="0011032E"/>
    <w:rsid w:val="00110355"/>
    <w:rsid w:val="00110444"/>
    <w:rsid w:val="00110547"/>
    <w:rsid w:val="0011058F"/>
    <w:rsid w:val="00110A8A"/>
    <w:rsid w:val="00110ADA"/>
    <w:rsid w:val="00110B2C"/>
    <w:rsid w:val="00110B60"/>
    <w:rsid w:val="00110DEC"/>
    <w:rsid w:val="001111B3"/>
    <w:rsid w:val="0011121A"/>
    <w:rsid w:val="001112B3"/>
    <w:rsid w:val="0011131E"/>
    <w:rsid w:val="0011138C"/>
    <w:rsid w:val="0011167A"/>
    <w:rsid w:val="0011183C"/>
    <w:rsid w:val="00111A1D"/>
    <w:rsid w:val="00111A93"/>
    <w:rsid w:val="00111AB5"/>
    <w:rsid w:val="00111ACF"/>
    <w:rsid w:val="00112157"/>
    <w:rsid w:val="0011219B"/>
    <w:rsid w:val="0011271E"/>
    <w:rsid w:val="00112987"/>
    <w:rsid w:val="001129A2"/>
    <w:rsid w:val="001131CF"/>
    <w:rsid w:val="0011348B"/>
    <w:rsid w:val="001134F8"/>
    <w:rsid w:val="00113588"/>
    <w:rsid w:val="001136CA"/>
    <w:rsid w:val="001136EC"/>
    <w:rsid w:val="00113AE5"/>
    <w:rsid w:val="00113D10"/>
    <w:rsid w:val="00113DB0"/>
    <w:rsid w:val="0011405B"/>
    <w:rsid w:val="00114167"/>
    <w:rsid w:val="001141A7"/>
    <w:rsid w:val="001143C5"/>
    <w:rsid w:val="00114410"/>
    <w:rsid w:val="001146E7"/>
    <w:rsid w:val="001146F4"/>
    <w:rsid w:val="0011475B"/>
    <w:rsid w:val="0011479F"/>
    <w:rsid w:val="00114898"/>
    <w:rsid w:val="00114ACC"/>
    <w:rsid w:val="00114B2C"/>
    <w:rsid w:val="00114E43"/>
    <w:rsid w:val="00114F8E"/>
    <w:rsid w:val="00114FB8"/>
    <w:rsid w:val="001150CB"/>
    <w:rsid w:val="00115548"/>
    <w:rsid w:val="001155A5"/>
    <w:rsid w:val="001155A8"/>
    <w:rsid w:val="00115730"/>
    <w:rsid w:val="00115792"/>
    <w:rsid w:val="00115977"/>
    <w:rsid w:val="00115982"/>
    <w:rsid w:val="001159CD"/>
    <w:rsid w:val="00115A52"/>
    <w:rsid w:val="00115B98"/>
    <w:rsid w:val="00115C33"/>
    <w:rsid w:val="00115C9E"/>
    <w:rsid w:val="00115DE7"/>
    <w:rsid w:val="00115EAD"/>
    <w:rsid w:val="0011604A"/>
    <w:rsid w:val="00116064"/>
    <w:rsid w:val="00116152"/>
    <w:rsid w:val="001162E5"/>
    <w:rsid w:val="00116455"/>
    <w:rsid w:val="00116458"/>
    <w:rsid w:val="00116585"/>
    <w:rsid w:val="001167FF"/>
    <w:rsid w:val="0011688F"/>
    <w:rsid w:val="00116A98"/>
    <w:rsid w:val="00116C53"/>
    <w:rsid w:val="00116DB7"/>
    <w:rsid w:val="00116FC6"/>
    <w:rsid w:val="0011740D"/>
    <w:rsid w:val="00117492"/>
    <w:rsid w:val="001174B6"/>
    <w:rsid w:val="0011786B"/>
    <w:rsid w:val="0011794E"/>
    <w:rsid w:val="00117B52"/>
    <w:rsid w:val="00117C06"/>
    <w:rsid w:val="00117CF5"/>
    <w:rsid w:val="00117D1E"/>
    <w:rsid w:val="001203DC"/>
    <w:rsid w:val="0012051A"/>
    <w:rsid w:val="001205BD"/>
    <w:rsid w:val="001205EA"/>
    <w:rsid w:val="001205F6"/>
    <w:rsid w:val="00120642"/>
    <w:rsid w:val="001206B8"/>
    <w:rsid w:val="00120792"/>
    <w:rsid w:val="00120798"/>
    <w:rsid w:val="001207B3"/>
    <w:rsid w:val="00120B10"/>
    <w:rsid w:val="00120BA0"/>
    <w:rsid w:val="00120C0C"/>
    <w:rsid w:val="00120CB1"/>
    <w:rsid w:val="00120D61"/>
    <w:rsid w:val="00120F55"/>
    <w:rsid w:val="00120F88"/>
    <w:rsid w:val="001210CD"/>
    <w:rsid w:val="001213FF"/>
    <w:rsid w:val="00121409"/>
    <w:rsid w:val="00121476"/>
    <w:rsid w:val="001214BD"/>
    <w:rsid w:val="00121799"/>
    <w:rsid w:val="00121830"/>
    <w:rsid w:val="00121834"/>
    <w:rsid w:val="0012191B"/>
    <w:rsid w:val="00121B91"/>
    <w:rsid w:val="00121D83"/>
    <w:rsid w:val="00121D97"/>
    <w:rsid w:val="00121F32"/>
    <w:rsid w:val="00122104"/>
    <w:rsid w:val="001222FC"/>
    <w:rsid w:val="0012258D"/>
    <w:rsid w:val="001225F0"/>
    <w:rsid w:val="00122636"/>
    <w:rsid w:val="0012283C"/>
    <w:rsid w:val="00122853"/>
    <w:rsid w:val="00122945"/>
    <w:rsid w:val="00122967"/>
    <w:rsid w:val="00122A05"/>
    <w:rsid w:val="00122A3E"/>
    <w:rsid w:val="00122B6A"/>
    <w:rsid w:val="00122D65"/>
    <w:rsid w:val="00122D79"/>
    <w:rsid w:val="00122E30"/>
    <w:rsid w:val="00122E31"/>
    <w:rsid w:val="00123240"/>
    <w:rsid w:val="0012331D"/>
    <w:rsid w:val="00123327"/>
    <w:rsid w:val="001234C1"/>
    <w:rsid w:val="001235B1"/>
    <w:rsid w:val="001237B3"/>
    <w:rsid w:val="001237E8"/>
    <w:rsid w:val="001238B1"/>
    <w:rsid w:val="00123902"/>
    <w:rsid w:val="00123924"/>
    <w:rsid w:val="00123A4A"/>
    <w:rsid w:val="00123B26"/>
    <w:rsid w:val="00123B9E"/>
    <w:rsid w:val="00124142"/>
    <w:rsid w:val="00124699"/>
    <w:rsid w:val="0012474B"/>
    <w:rsid w:val="00124773"/>
    <w:rsid w:val="00124781"/>
    <w:rsid w:val="001249CA"/>
    <w:rsid w:val="00124A51"/>
    <w:rsid w:val="00124BDA"/>
    <w:rsid w:val="00124C46"/>
    <w:rsid w:val="00124C8A"/>
    <w:rsid w:val="00124CFA"/>
    <w:rsid w:val="00124DBB"/>
    <w:rsid w:val="00124ED4"/>
    <w:rsid w:val="00124FAA"/>
    <w:rsid w:val="00125094"/>
    <w:rsid w:val="00125276"/>
    <w:rsid w:val="0012530C"/>
    <w:rsid w:val="00125351"/>
    <w:rsid w:val="001253C1"/>
    <w:rsid w:val="001253D1"/>
    <w:rsid w:val="00125461"/>
    <w:rsid w:val="00125649"/>
    <w:rsid w:val="00125656"/>
    <w:rsid w:val="00125761"/>
    <w:rsid w:val="0012579A"/>
    <w:rsid w:val="0012586B"/>
    <w:rsid w:val="00125B1F"/>
    <w:rsid w:val="00125F10"/>
    <w:rsid w:val="00125F68"/>
    <w:rsid w:val="0012623A"/>
    <w:rsid w:val="00126476"/>
    <w:rsid w:val="0012659F"/>
    <w:rsid w:val="00126621"/>
    <w:rsid w:val="001268E6"/>
    <w:rsid w:val="00126B1D"/>
    <w:rsid w:val="00126C9C"/>
    <w:rsid w:val="00126E6A"/>
    <w:rsid w:val="0012705E"/>
    <w:rsid w:val="00127127"/>
    <w:rsid w:val="0012723F"/>
    <w:rsid w:val="00127342"/>
    <w:rsid w:val="001275E1"/>
    <w:rsid w:val="001276B9"/>
    <w:rsid w:val="001278D2"/>
    <w:rsid w:val="001279FE"/>
    <w:rsid w:val="00127A58"/>
    <w:rsid w:val="00127A9A"/>
    <w:rsid w:val="00127C2B"/>
    <w:rsid w:val="00127C70"/>
    <w:rsid w:val="00127C86"/>
    <w:rsid w:val="00127DA9"/>
    <w:rsid w:val="00130045"/>
    <w:rsid w:val="0013008D"/>
    <w:rsid w:val="00130098"/>
    <w:rsid w:val="001301E9"/>
    <w:rsid w:val="00130536"/>
    <w:rsid w:val="00130543"/>
    <w:rsid w:val="0013056D"/>
    <w:rsid w:val="001306FF"/>
    <w:rsid w:val="00130761"/>
    <w:rsid w:val="00130799"/>
    <w:rsid w:val="00130842"/>
    <w:rsid w:val="0013088B"/>
    <w:rsid w:val="00130895"/>
    <w:rsid w:val="00130AC8"/>
    <w:rsid w:val="00130C4A"/>
    <w:rsid w:val="00131082"/>
    <w:rsid w:val="001310D5"/>
    <w:rsid w:val="001313A1"/>
    <w:rsid w:val="001313F9"/>
    <w:rsid w:val="001314E1"/>
    <w:rsid w:val="0013189E"/>
    <w:rsid w:val="00131A4D"/>
    <w:rsid w:val="00131AB3"/>
    <w:rsid w:val="00131D82"/>
    <w:rsid w:val="00131E46"/>
    <w:rsid w:val="00131E92"/>
    <w:rsid w:val="00131EF0"/>
    <w:rsid w:val="00131F97"/>
    <w:rsid w:val="00132012"/>
    <w:rsid w:val="00132406"/>
    <w:rsid w:val="00132484"/>
    <w:rsid w:val="00132496"/>
    <w:rsid w:val="00132755"/>
    <w:rsid w:val="00132785"/>
    <w:rsid w:val="0013280C"/>
    <w:rsid w:val="001329EA"/>
    <w:rsid w:val="00132B22"/>
    <w:rsid w:val="00132CBE"/>
    <w:rsid w:val="00132CE6"/>
    <w:rsid w:val="00132D49"/>
    <w:rsid w:val="00132FEE"/>
    <w:rsid w:val="0013304D"/>
    <w:rsid w:val="001332F0"/>
    <w:rsid w:val="00133328"/>
    <w:rsid w:val="001335AC"/>
    <w:rsid w:val="00133645"/>
    <w:rsid w:val="001336F0"/>
    <w:rsid w:val="0013371B"/>
    <w:rsid w:val="00133754"/>
    <w:rsid w:val="00133925"/>
    <w:rsid w:val="00133A2C"/>
    <w:rsid w:val="00133A69"/>
    <w:rsid w:val="00133BC8"/>
    <w:rsid w:val="00133CC7"/>
    <w:rsid w:val="00133D36"/>
    <w:rsid w:val="00133D39"/>
    <w:rsid w:val="00133DA8"/>
    <w:rsid w:val="00133EAE"/>
    <w:rsid w:val="00134056"/>
    <w:rsid w:val="00134057"/>
    <w:rsid w:val="00134070"/>
    <w:rsid w:val="00134142"/>
    <w:rsid w:val="00134183"/>
    <w:rsid w:val="001341AB"/>
    <w:rsid w:val="001341BF"/>
    <w:rsid w:val="0013420E"/>
    <w:rsid w:val="00134324"/>
    <w:rsid w:val="001344D9"/>
    <w:rsid w:val="0013452F"/>
    <w:rsid w:val="00134638"/>
    <w:rsid w:val="001347FB"/>
    <w:rsid w:val="00134850"/>
    <w:rsid w:val="00134B02"/>
    <w:rsid w:val="00134B74"/>
    <w:rsid w:val="00134BD1"/>
    <w:rsid w:val="00134D7A"/>
    <w:rsid w:val="00134E49"/>
    <w:rsid w:val="00134FE3"/>
    <w:rsid w:val="001354DA"/>
    <w:rsid w:val="00135582"/>
    <w:rsid w:val="00135758"/>
    <w:rsid w:val="00135A58"/>
    <w:rsid w:val="00135C2E"/>
    <w:rsid w:val="001362EF"/>
    <w:rsid w:val="001363C9"/>
    <w:rsid w:val="001367D6"/>
    <w:rsid w:val="001367F1"/>
    <w:rsid w:val="00136A78"/>
    <w:rsid w:val="00136B3F"/>
    <w:rsid w:val="00136BC4"/>
    <w:rsid w:val="00136C74"/>
    <w:rsid w:val="00136D25"/>
    <w:rsid w:val="00136DD9"/>
    <w:rsid w:val="00136EE2"/>
    <w:rsid w:val="00137068"/>
    <w:rsid w:val="00137645"/>
    <w:rsid w:val="0013783B"/>
    <w:rsid w:val="0013785C"/>
    <w:rsid w:val="00137A75"/>
    <w:rsid w:val="00137A88"/>
    <w:rsid w:val="00137B60"/>
    <w:rsid w:val="00137BA8"/>
    <w:rsid w:val="00137CF2"/>
    <w:rsid w:val="00137D3B"/>
    <w:rsid w:val="00137DE2"/>
    <w:rsid w:val="00140145"/>
    <w:rsid w:val="0014015A"/>
    <w:rsid w:val="001402BE"/>
    <w:rsid w:val="0014066F"/>
    <w:rsid w:val="001408FD"/>
    <w:rsid w:val="00140908"/>
    <w:rsid w:val="001409A1"/>
    <w:rsid w:val="00140AF2"/>
    <w:rsid w:val="00140BBC"/>
    <w:rsid w:val="00140D86"/>
    <w:rsid w:val="00140E83"/>
    <w:rsid w:val="00140E99"/>
    <w:rsid w:val="0014127B"/>
    <w:rsid w:val="00141292"/>
    <w:rsid w:val="001413DA"/>
    <w:rsid w:val="00141416"/>
    <w:rsid w:val="001414BE"/>
    <w:rsid w:val="00141517"/>
    <w:rsid w:val="00141560"/>
    <w:rsid w:val="00141C11"/>
    <w:rsid w:val="00141C60"/>
    <w:rsid w:val="00141E43"/>
    <w:rsid w:val="00141E65"/>
    <w:rsid w:val="00142391"/>
    <w:rsid w:val="0014266C"/>
    <w:rsid w:val="00142789"/>
    <w:rsid w:val="00142A33"/>
    <w:rsid w:val="00142B1A"/>
    <w:rsid w:val="00142CF7"/>
    <w:rsid w:val="00142DB9"/>
    <w:rsid w:val="00142E92"/>
    <w:rsid w:val="001430D0"/>
    <w:rsid w:val="001431E6"/>
    <w:rsid w:val="001432F3"/>
    <w:rsid w:val="001435E9"/>
    <w:rsid w:val="00143667"/>
    <w:rsid w:val="001436C0"/>
    <w:rsid w:val="001437D3"/>
    <w:rsid w:val="001438CB"/>
    <w:rsid w:val="001438E9"/>
    <w:rsid w:val="0014398F"/>
    <w:rsid w:val="00143A0A"/>
    <w:rsid w:val="00143A69"/>
    <w:rsid w:val="00143B8F"/>
    <w:rsid w:val="00143C14"/>
    <w:rsid w:val="00143C8F"/>
    <w:rsid w:val="00143F67"/>
    <w:rsid w:val="001442F8"/>
    <w:rsid w:val="0014442A"/>
    <w:rsid w:val="00144497"/>
    <w:rsid w:val="00144529"/>
    <w:rsid w:val="00144581"/>
    <w:rsid w:val="00144659"/>
    <w:rsid w:val="001447B9"/>
    <w:rsid w:val="00144930"/>
    <w:rsid w:val="001449C9"/>
    <w:rsid w:val="00144B59"/>
    <w:rsid w:val="00144BB7"/>
    <w:rsid w:val="00144C83"/>
    <w:rsid w:val="00144D64"/>
    <w:rsid w:val="00144DDB"/>
    <w:rsid w:val="00144F95"/>
    <w:rsid w:val="00145234"/>
    <w:rsid w:val="0014536D"/>
    <w:rsid w:val="00145540"/>
    <w:rsid w:val="00145542"/>
    <w:rsid w:val="00145583"/>
    <w:rsid w:val="001455A1"/>
    <w:rsid w:val="00145675"/>
    <w:rsid w:val="001456B0"/>
    <w:rsid w:val="00145A65"/>
    <w:rsid w:val="00146127"/>
    <w:rsid w:val="00146456"/>
    <w:rsid w:val="00146528"/>
    <w:rsid w:val="001466CF"/>
    <w:rsid w:val="001468B6"/>
    <w:rsid w:val="00146905"/>
    <w:rsid w:val="00147013"/>
    <w:rsid w:val="00147150"/>
    <w:rsid w:val="001472CB"/>
    <w:rsid w:val="00147331"/>
    <w:rsid w:val="001475A5"/>
    <w:rsid w:val="00147617"/>
    <w:rsid w:val="0014791A"/>
    <w:rsid w:val="00147973"/>
    <w:rsid w:val="00147982"/>
    <w:rsid w:val="00147A42"/>
    <w:rsid w:val="00147CA9"/>
    <w:rsid w:val="00147F9A"/>
    <w:rsid w:val="0015002F"/>
    <w:rsid w:val="001501E8"/>
    <w:rsid w:val="00150250"/>
    <w:rsid w:val="0015026B"/>
    <w:rsid w:val="001502FB"/>
    <w:rsid w:val="001503CF"/>
    <w:rsid w:val="001504A3"/>
    <w:rsid w:val="001504AA"/>
    <w:rsid w:val="001509F0"/>
    <w:rsid w:val="00150A22"/>
    <w:rsid w:val="00150BD8"/>
    <w:rsid w:val="00150D69"/>
    <w:rsid w:val="00150F1B"/>
    <w:rsid w:val="0015151E"/>
    <w:rsid w:val="001515D1"/>
    <w:rsid w:val="0015190F"/>
    <w:rsid w:val="001519DE"/>
    <w:rsid w:val="00151D41"/>
    <w:rsid w:val="00151D85"/>
    <w:rsid w:val="00151E22"/>
    <w:rsid w:val="00151E8D"/>
    <w:rsid w:val="00152041"/>
    <w:rsid w:val="00152073"/>
    <w:rsid w:val="001520CD"/>
    <w:rsid w:val="001521C9"/>
    <w:rsid w:val="001522B6"/>
    <w:rsid w:val="001524A2"/>
    <w:rsid w:val="00152574"/>
    <w:rsid w:val="001525E2"/>
    <w:rsid w:val="00152618"/>
    <w:rsid w:val="00152703"/>
    <w:rsid w:val="001527AF"/>
    <w:rsid w:val="001528BA"/>
    <w:rsid w:val="00152C36"/>
    <w:rsid w:val="00152C65"/>
    <w:rsid w:val="00152E9B"/>
    <w:rsid w:val="00152F2A"/>
    <w:rsid w:val="00152F5A"/>
    <w:rsid w:val="00152FEF"/>
    <w:rsid w:val="00153143"/>
    <w:rsid w:val="00153419"/>
    <w:rsid w:val="001534A2"/>
    <w:rsid w:val="0015353C"/>
    <w:rsid w:val="00153553"/>
    <w:rsid w:val="0015359B"/>
    <w:rsid w:val="0015372F"/>
    <w:rsid w:val="0015384B"/>
    <w:rsid w:val="0015394E"/>
    <w:rsid w:val="0015395F"/>
    <w:rsid w:val="00153B8D"/>
    <w:rsid w:val="00153BC7"/>
    <w:rsid w:val="00153C25"/>
    <w:rsid w:val="00153D4E"/>
    <w:rsid w:val="00153DD5"/>
    <w:rsid w:val="00153F0A"/>
    <w:rsid w:val="00154353"/>
    <w:rsid w:val="0015456E"/>
    <w:rsid w:val="00154612"/>
    <w:rsid w:val="001546E8"/>
    <w:rsid w:val="0015479E"/>
    <w:rsid w:val="001547AB"/>
    <w:rsid w:val="001547F9"/>
    <w:rsid w:val="001548B3"/>
    <w:rsid w:val="001549A2"/>
    <w:rsid w:val="00154AF2"/>
    <w:rsid w:val="00154C64"/>
    <w:rsid w:val="00154C7D"/>
    <w:rsid w:val="00154CE2"/>
    <w:rsid w:val="00154E11"/>
    <w:rsid w:val="00155043"/>
    <w:rsid w:val="001550EA"/>
    <w:rsid w:val="0015510F"/>
    <w:rsid w:val="00155165"/>
    <w:rsid w:val="001551D6"/>
    <w:rsid w:val="00155A0E"/>
    <w:rsid w:val="00155B26"/>
    <w:rsid w:val="00155C30"/>
    <w:rsid w:val="00155C70"/>
    <w:rsid w:val="00155C93"/>
    <w:rsid w:val="00155CC0"/>
    <w:rsid w:val="00155F93"/>
    <w:rsid w:val="00156166"/>
    <w:rsid w:val="0015628C"/>
    <w:rsid w:val="0015629C"/>
    <w:rsid w:val="00156453"/>
    <w:rsid w:val="001566A4"/>
    <w:rsid w:val="0015674F"/>
    <w:rsid w:val="0015678B"/>
    <w:rsid w:val="001567E0"/>
    <w:rsid w:val="00156801"/>
    <w:rsid w:val="00156850"/>
    <w:rsid w:val="001568AF"/>
    <w:rsid w:val="001568B2"/>
    <w:rsid w:val="00156941"/>
    <w:rsid w:val="00156951"/>
    <w:rsid w:val="00156957"/>
    <w:rsid w:val="00156A72"/>
    <w:rsid w:val="00156CD8"/>
    <w:rsid w:val="00156D2E"/>
    <w:rsid w:val="00156F8F"/>
    <w:rsid w:val="00157030"/>
    <w:rsid w:val="0015706F"/>
    <w:rsid w:val="00157130"/>
    <w:rsid w:val="001572BA"/>
    <w:rsid w:val="001574C7"/>
    <w:rsid w:val="0015759C"/>
    <w:rsid w:val="001576B1"/>
    <w:rsid w:val="00157780"/>
    <w:rsid w:val="00157A1A"/>
    <w:rsid w:val="00157AA8"/>
    <w:rsid w:val="00157B0B"/>
    <w:rsid w:val="00157C6A"/>
    <w:rsid w:val="00157FF4"/>
    <w:rsid w:val="00160004"/>
    <w:rsid w:val="00160068"/>
    <w:rsid w:val="00160147"/>
    <w:rsid w:val="00160366"/>
    <w:rsid w:val="0016047B"/>
    <w:rsid w:val="001604FC"/>
    <w:rsid w:val="00160516"/>
    <w:rsid w:val="001607B6"/>
    <w:rsid w:val="00160855"/>
    <w:rsid w:val="00160956"/>
    <w:rsid w:val="00160A4C"/>
    <w:rsid w:val="00160CD2"/>
    <w:rsid w:val="00160CD3"/>
    <w:rsid w:val="00160CE6"/>
    <w:rsid w:val="00160D38"/>
    <w:rsid w:val="00160F9B"/>
    <w:rsid w:val="00161005"/>
    <w:rsid w:val="0016118B"/>
    <w:rsid w:val="0016152C"/>
    <w:rsid w:val="001616F2"/>
    <w:rsid w:val="00161755"/>
    <w:rsid w:val="00161851"/>
    <w:rsid w:val="00161888"/>
    <w:rsid w:val="0016191D"/>
    <w:rsid w:val="0016192E"/>
    <w:rsid w:val="00161B17"/>
    <w:rsid w:val="00161B3F"/>
    <w:rsid w:val="00161C9F"/>
    <w:rsid w:val="00161D8F"/>
    <w:rsid w:val="00161DA6"/>
    <w:rsid w:val="00161DCE"/>
    <w:rsid w:val="0016206B"/>
    <w:rsid w:val="001620D0"/>
    <w:rsid w:val="00162220"/>
    <w:rsid w:val="00162273"/>
    <w:rsid w:val="001623D1"/>
    <w:rsid w:val="0016240D"/>
    <w:rsid w:val="0016255C"/>
    <w:rsid w:val="00162719"/>
    <w:rsid w:val="00162843"/>
    <w:rsid w:val="00162853"/>
    <w:rsid w:val="00162913"/>
    <w:rsid w:val="00162B8F"/>
    <w:rsid w:val="00162CC5"/>
    <w:rsid w:val="00162D35"/>
    <w:rsid w:val="001630DE"/>
    <w:rsid w:val="001631F2"/>
    <w:rsid w:val="00163231"/>
    <w:rsid w:val="00163374"/>
    <w:rsid w:val="001633B5"/>
    <w:rsid w:val="00163520"/>
    <w:rsid w:val="00163602"/>
    <w:rsid w:val="00163618"/>
    <w:rsid w:val="00163824"/>
    <w:rsid w:val="00163D43"/>
    <w:rsid w:val="00163EFF"/>
    <w:rsid w:val="00163F66"/>
    <w:rsid w:val="0016478E"/>
    <w:rsid w:val="00164816"/>
    <w:rsid w:val="00164860"/>
    <w:rsid w:val="001649B1"/>
    <w:rsid w:val="00164B43"/>
    <w:rsid w:val="00164BBD"/>
    <w:rsid w:val="00164C0B"/>
    <w:rsid w:val="00164DFC"/>
    <w:rsid w:val="00164F73"/>
    <w:rsid w:val="0016501F"/>
    <w:rsid w:val="0016507E"/>
    <w:rsid w:val="00165127"/>
    <w:rsid w:val="0016514A"/>
    <w:rsid w:val="001651F2"/>
    <w:rsid w:val="00165231"/>
    <w:rsid w:val="00165260"/>
    <w:rsid w:val="001653F7"/>
    <w:rsid w:val="001654E6"/>
    <w:rsid w:val="0016550C"/>
    <w:rsid w:val="00165595"/>
    <w:rsid w:val="00165935"/>
    <w:rsid w:val="001659AB"/>
    <w:rsid w:val="00165A9D"/>
    <w:rsid w:val="00165EC4"/>
    <w:rsid w:val="00165F1F"/>
    <w:rsid w:val="00166046"/>
    <w:rsid w:val="00166183"/>
    <w:rsid w:val="001661FB"/>
    <w:rsid w:val="00166242"/>
    <w:rsid w:val="0016635F"/>
    <w:rsid w:val="001664EA"/>
    <w:rsid w:val="001665EC"/>
    <w:rsid w:val="001666F5"/>
    <w:rsid w:val="00166765"/>
    <w:rsid w:val="00166A3C"/>
    <w:rsid w:val="00166B5B"/>
    <w:rsid w:val="00166EDA"/>
    <w:rsid w:val="001670BB"/>
    <w:rsid w:val="001670DD"/>
    <w:rsid w:val="001671A0"/>
    <w:rsid w:val="001671F0"/>
    <w:rsid w:val="001672CC"/>
    <w:rsid w:val="00167454"/>
    <w:rsid w:val="00167477"/>
    <w:rsid w:val="001674FD"/>
    <w:rsid w:val="0016755D"/>
    <w:rsid w:val="0016758F"/>
    <w:rsid w:val="00167654"/>
    <w:rsid w:val="0016766C"/>
    <w:rsid w:val="0016767F"/>
    <w:rsid w:val="001679B4"/>
    <w:rsid w:val="001679D2"/>
    <w:rsid w:val="00167AE5"/>
    <w:rsid w:val="00167B2E"/>
    <w:rsid w:val="00167CBD"/>
    <w:rsid w:val="00167F1C"/>
    <w:rsid w:val="00167F9A"/>
    <w:rsid w:val="0017024D"/>
    <w:rsid w:val="0017039B"/>
    <w:rsid w:val="00170660"/>
    <w:rsid w:val="00170768"/>
    <w:rsid w:val="001707F5"/>
    <w:rsid w:val="00170923"/>
    <w:rsid w:val="00170958"/>
    <w:rsid w:val="00170A3D"/>
    <w:rsid w:val="00170E0A"/>
    <w:rsid w:val="00171043"/>
    <w:rsid w:val="001710A6"/>
    <w:rsid w:val="001710E9"/>
    <w:rsid w:val="0017117F"/>
    <w:rsid w:val="001711A0"/>
    <w:rsid w:val="001711F5"/>
    <w:rsid w:val="001712D3"/>
    <w:rsid w:val="00171309"/>
    <w:rsid w:val="00171404"/>
    <w:rsid w:val="00171515"/>
    <w:rsid w:val="001715C5"/>
    <w:rsid w:val="001717E6"/>
    <w:rsid w:val="00171909"/>
    <w:rsid w:val="0017195B"/>
    <w:rsid w:val="00171981"/>
    <w:rsid w:val="00171D31"/>
    <w:rsid w:val="00171D59"/>
    <w:rsid w:val="00171EF0"/>
    <w:rsid w:val="00172024"/>
    <w:rsid w:val="0017212F"/>
    <w:rsid w:val="00172233"/>
    <w:rsid w:val="001722CE"/>
    <w:rsid w:val="001722FC"/>
    <w:rsid w:val="0017236F"/>
    <w:rsid w:val="00172476"/>
    <w:rsid w:val="001725EC"/>
    <w:rsid w:val="00172633"/>
    <w:rsid w:val="00172727"/>
    <w:rsid w:val="00172986"/>
    <w:rsid w:val="001729EB"/>
    <w:rsid w:val="00172AF0"/>
    <w:rsid w:val="00172B04"/>
    <w:rsid w:val="00172BCC"/>
    <w:rsid w:val="00172D1F"/>
    <w:rsid w:val="00172D5B"/>
    <w:rsid w:val="00172EDB"/>
    <w:rsid w:val="00172FBE"/>
    <w:rsid w:val="00172FD5"/>
    <w:rsid w:val="001731A3"/>
    <w:rsid w:val="001731B5"/>
    <w:rsid w:val="001731F3"/>
    <w:rsid w:val="00173439"/>
    <w:rsid w:val="00173565"/>
    <w:rsid w:val="001735E8"/>
    <w:rsid w:val="001736E3"/>
    <w:rsid w:val="0017391A"/>
    <w:rsid w:val="001739BB"/>
    <w:rsid w:val="00173A37"/>
    <w:rsid w:val="00173A76"/>
    <w:rsid w:val="00173AE8"/>
    <w:rsid w:val="00173B07"/>
    <w:rsid w:val="00173DE6"/>
    <w:rsid w:val="001740B8"/>
    <w:rsid w:val="001742B2"/>
    <w:rsid w:val="0017436E"/>
    <w:rsid w:val="00174376"/>
    <w:rsid w:val="0017457E"/>
    <w:rsid w:val="001745CF"/>
    <w:rsid w:val="001747B2"/>
    <w:rsid w:val="001747ED"/>
    <w:rsid w:val="00174C1E"/>
    <w:rsid w:val="00174D02"/>
    <w:rsid w:val="00174D68"/>
    <w:rsid w:val="00174E91"/>
    <w:rsid w:val="00174F8E"/>
    <w:rsid w:val="00174FC5"/>
    <w:rsid w:val="001751FA"/>
    <w:rsid w:val="0017522E"/>
    <w:rsid w:val="00175327"/>
    <w:rsid w:val="0017543C"/>
    <w:rsid w:val="001754FF"/>
    <w:rsid w:val="00175567"/>
    <w:rsid w:val="001755D2"/>
    <w:rsid w:val="00175838"/>
    <w:rsid w:val="0017591D"/>
    <w:rsid w:val="00175934"/>
    <w:rsid w:val="00175A83"/>
    <w:rsid w:val="00175AF6"/>
    <w:rsid w:val="00175B58"/>
    <w:rsid w:val="00175C61"/>
    <w:rsid w:val="00175D67"/>
    <w:rsid w:val="00175D7E"/>
    <w:rsid w:val="00175E03"/>
    <w:rsid w:val="00175E43"/>
    <w:rsid w:val="00176064"/>
    <w:rsid w:val="00176187"/>
    <w:rsid w:val="0017620B"/>
    <w:rsid w:val="00176275"/>
    <w:rsid w:val="001762FF"/>
    <w:rsid w:val="001763AF"/>
    <w:rsid w:val="0017646E"/>
    <w:rsid w:val="001769C3"/>
    <w:rsid w:val="00176B00"/>
    <w:rsid w:val="00176BBE"/>
    <w:rsid w:val="00176E4D"/>
    <w:rsid w:val="00176F7F"/>
    <w:rsid w:val="00177023"/>
    <w:rsid w:val="001770A4"/>
    <w:rsid w:val="001772A1"/>
    <w:rsid w:val="001774AD"/>
    <w:rsid w:val="001777D0"/>
    <w:rsid w:val="001777DB"/>
    <w:rsid w:val="0017792F"/>
    <w:rsid w:val="001779C0"/>
    <w:rsid w:val="00177B6C"/>
    <w:rsid w:val="00177DAB"/>
    <w:rsid w:val="00177FE4"/>
    <w:rsid w:val="0018018E"/>
    <w:rsid w:val="0018026A"/>
    <w:rsid w:val="0018039C"/>
    <w:rsid w:val="001803FE"/>
    <w:rsid w:val="00180634"/>
    <w:rsid w:val="0018072F"/>
    <w:rsid w:val="0018097E"/>
    <w:rsid w:val="00180AC6"/>
    <w:rsid w:val="00180C0D"/>
    <w:rsid w:val="001810BC"/>
    <w:rsid w:val="001811C7"/>
    <w:rsid w:val="001811EB"/>
    <w:rsid w:val="0018143D"/>
    <w:rsid w:val="001814FD"/>
    <w:rsid w:val="001814FE"/>
    <w:rsid w:val="0018167D"/>
    <w:rsid w:val="001816C2"/>
    <w:rsid w:val="00181754"/>
    <w:rsid w:val="001817A7"/>
    <w:rsid w:val="0018181F"/>
    <w:rsid w:val="00181836"/>
    <w:rsid w:val="00181A54"/>
    <w:rsid w:val="00181B30"/>
    <w:rsid w:val="00181C10"/>
    <w:rsid w:val="00181D4B"/>
    <w:rsid w:val="00181D9C"/>
    <w:rsid w:val="00181F7E"/>
    <w:rsid w:val="001820C3"/>
    <w:rsid w:val="00182183"/>
    <w:rsid w:val="001823D6"/>
    <w:rsid w:val="00182599"/>
    <w:rsid w:val="0018260A"/>
    <w:rsid w:val="001826F2"/>
    <w:rsid w:val="0018284E"/>
    <w:rsid w:val="0018287D"/>
    <w:rsid w:val="0018290F"/>
    <w:rsid w:val="001829F2"/>
    <w:rsid w:val="00182A4A"/>
    <w:rsid w:val="00182B18"/>
    <w:rsid w:val="00182B5F"/>
    <w:rsid w:val="00182D1F"/>
    <w:rsid w:val="00182E74"/>
    <w:rsid w:val="00182EC3"/>
    <w:rsid w:val="00182F8A"/>
    <w:rsid w:val="00182FBD"/>
    <w:rsid w:val="0018305E"/>
    <w:rsid w:val="0018326E"/>
    <w:rsid w:val="0018332E"/>
    <w:rsid w:val="001837FF"/>
    <w:rsid w:val="00183932"/>
    <w:rsid w:val="00183AC0"/>
    <w:rsid w:val="00183AF8"/>
    <w:rsid w:val="00183B01"/>
    <w:rsid w:val="00183DBE"/>
    <w:rsid w:val="001841A2"/>
    <w:rsid w:val="00184245"/>
    <w:rsid w:val="0018431F"/>
    <w:rsid w:val="001844D9"/>
    <w:rsid w:val="0018459E"/>
    <w:rsid w:val="00184716"/>
    <w:rsid w:val="001847B6"/>
    <w:rsid w:val="001847DF"/>
    <w:rsid w:val="001847FD"/>
    <w:rsid w:val="0018487F"/>
    <w:rsid w:val="00184B0E"/>
    <w:rsid w:val="00184D23"/>
    <w:rsid w:val="00184EAB"/>
    <w:rsid w:val="00185155"/>
    <w:rsid w:val="001851E7"/>
    <w:rsid w:val="0018521B"/>
    <w:rsid w:val="0018542B"/>
    <w:rsid w:val="00185559"/>
    <w:rsid w:val="00185563"/>
    <w:rsid w:val="00185930"/>
    <w:rsid w:val="00185B8C"/>
    <w:rsid w:val="00185DFA"/>
    <w:rsid w:val="00185ED3"/>
    <w:rsid w:val="00185FC7"/>
    <w:rsid w:val="001860EB"/>
    <w:rsid w:val="0018635C"/>
    <w:rsid w:val="0018638B"/>
    <w:rsid w:val="00186692"/>
    <w:rsid w:val="0018694C"/>
    <w:rsid w:val="00186996"/>
    <w:rsid w:val="00186BC5"/>
    <w:rsid w:val="00186DE7"/>
    <w:rsid w:val="00186E8E"/>
    <w:rsid w:val="00186F0B"/>
    <w:rsid w:val="00186F9B"/>
    <w:rsid w:val="00186FEC"/>
    <w:rsid w:val="0018724A"/>
    <w:rsid w:val="0018728F"/>
    <w:rsid w:val="0018752F"/>
    <w:rsid w:val="00187864"/>
    <w:rsid w:val="001879DC"/>
    <w:rsid w:val="00187DC9"/>
    <w:rsid w:val="0019011A"/>
    <w:rsid w:val="001901C0"/>
    <w:rsid w:val="0019027A"/>
    <w:rsid w:val="001902F7"/>
    <w:rsid w:val="00190356"/>
    <w:rsid w:val="00190846"/>
    <w:rsid w:val="0019093F"/>
    <w:rsid w:val="00190AF7"/>
    <w:rsid w:val="00190B80"/>
    <w:rsid w:val="00190E47"/>
    <w:rsid w:val="00190E5A"/>
    <w:rsid w:val="00190FCC"/>
    <w:rsid w:val="0019121A"/>
    <w:rsid w:val="00191364"/>
    <w:rsid w:val="00191491"/>
    <w:rsid w:val="0019151E"/>
    <w:rsid w:val="0019161A"/>
    <w:rsid w:val="001919E4"/>
    <w:rsid w:val="001919EC"/>
    <w:rsid w:val="00191CE8"/>
    <w:rsid w:val="00191CFF"/>
    <w:rsid w:val="00191D50"/>
    <w:rsid w:val="00192179"/>
    <w:rsid w:val="001922A0"/>
    <w:rsid w:val="001923D1"/>
    <w:rsid w:val="00192406"/>
    <w:rsid w:val="001925C1"/>
    <w:rsid w:val="001929E3"/>
    <w:rsid w:val="00192A69"/>
    <w:rsid w:val="00192B70"/>
    <w:rsid w:val="00192C60"/>
    <w:rsid w:val="00192C9E"/>
    <w:rsid w:val="00192CB5"/>
    <w:rsid w:val="00192E0D"/>
    <w:rsid w:val="00192E11"/>
    <w:rsid w:val="00192F0A"/>
    <w:rsid w:val="00192F40"/>
    <w:rsid w:val="00192FA4"/>
    <w:rsid w:val="00192FCB"/>
    <w:rsid w:val="0019304B"/>
    <w:rsid w:val="0019305C"/>
    <w:rsid w:val="00193128"/>
    <w:rsid w:val="00193273"/>
    <w:rsid w:val="001932E8"/>
    <w:rsid w:val="00193325"/>
    <w:rsid w:val="00193469"/>
    <w:rsid w:val="00193838"/>
    <w:rsid w:val="0019387D"/>
    <w:rsid w:val="0019394E"/>
    <w:rsid w:val="00193ACC"/>
    <w:rsid w:val="00193B46"/>
    <w:rsid w:val="00193C8E"/>
    <w:rsid w:val="00193C90"/>
    <w:rsid w:val="0019448B"/>
    <w:rsid w:val="00194520"/>
    <w:rsid w:val="00194598"/>
    <w:rsid w:val="0019465A"/>
    <w:rsid w:val="00194862"/>
    <w:rsid w:val="0019489B"/>
    <w:rsid w:val="00194A91"/>
    <w:rsid w:val="00194AD8"/>
    <w:rsid w:val="00194C71"/>
    <w:rsid w:val="00194E8D"/>
    <w:rsid w:val="00194FC3"/>
    <w:rsid w:val="00195056"/>
    <w:rsid w:val="001950B5"/>
    <w:rsid w:val="00195221"/>
    <w:rsid w:val="00195222"/>
    <w:rsid w:val="00195452"/>
    <w:rsid w:val="0019552F"/>
    <w:rsid w:val="0019553D"/>
    <w:rsid w:val="00195599"/>
    <w:rsid w:val="001956D6"/>
    <w:rsid w:val="001956DF"/>
    <w:rsid w:val="001956E9"/>
    <w:rsid w:val="001957C9"/>
    <w:rsid w:val="001957EA"/>
    <w:rsid w:val="00195801"/>
    <w:rsid w:val="0019586A"/>
    <w:rsid w:val="001959F2"/>
    <w:rsid w:val="00195B97"/>
    <w:rsid w:val="00195CE9"/>
    <w:rsid w:val="00195D6F"/>
    <w:rsid w:val="00195EB3"/>
    <w:rsid w:val="00195EE2"/>
    <w:rsid w:val="00196287"/>
    <w:rsid w:val="00196394"/>
    <w:rsid w:val="001963B3"/>
    <w:rsid w:val="0019647C"/>
    <w:rsid w:val="00196577"/>
    <w:rsid w:val="0019678B"/>
    <w:rsid w:val="001969FD"/>
    <w:rsid w:val="00196A63"/>
    <w:rsid w:val="00196B70"/>
    <w:rsid w:val="00196CA5"/>
    <w:rsid w:val="00196D04"/>
    <w:rsid w:val="00197385"/>
    <w:rsid w:val="0019752F"/>
    <w:rsid w:val="001975D8"/>
    <w:rsid w:val="001976EE"/>
    <w:rsid w:val="001977FF"/>
    <w:rsid w:val="00197A0F"/>
    <w:rsid w:val="00197A2F"/>
    <w:rsid w:val="00197B24"/>
    <w:rsid w:val="00197B9E"/>
    <w:rsid w:val="00197D06"/>
    <w:rsid w:val="00197EFF"/>
    <w:rsid w:val="001A0014"/>
    <w:rsid w:val="001A00D9"/>
    <w:rsid w:val="001A0140"/>
    <w:rsid w:val="001A0145"/>
    <w:rsid w:val="001A0188"/>
    <w:rsid w:val="001A01A6"/>
    <w:rsid w:val="001A04A9"/>
    <w:rsid w:val="001A04D3"/>
    <w:rsid w:val="001A0590"/>
    <w:rsid w:val="001A08BD"/>
    <w:rsid w:val="001A0C57"/>
    <w:rsid w:val="001A0C74"/>
    <w:rsid w:val="001A0C91"/>
    <w:rsid w:val="001A0F0D"/>
    <w:rsid w:val="001A1074"/>
    <w:rsid w:val="001A123A"/>
    <w:rsid w:val="001A12F6"/>
    <w:rsid w:val="001A13C9"/>
    <w:rsid w:val="001A15F9"/>
    <w:rsid w:val="001A174C"/>
    <w:rsid w:val="001A178E"/>
    <w:rsid w:val="001A18C5"/>
    <w:rsid w:val="001A195B"/>
    <w:rsid w:val="001A1AF0"/>
    <w:rsid w:val="001A1B30"/>
    <w:rsid w:val="001A1BC1"/>
    <w:rsid w:val="001A1BF1"/>
    <w:rsid w:val="001A1D85"/>
    <w:rsid w:val="001A1D8D"/>
    <w:rsid w:val="001A1E2F"/>
    <w:rsid w:val="001A1EDC"/>
    <w:rsid w:val="001A217A"/>
    <w:rsid w:val="001A2297"/>
    <w:rsid w:val="001A253A"/>
    <w:rsid w:val="001A2716"/>
    <w:rsid w:val="001A2765"/>
    <w:rsid w:val="001A2976"/>
    <w:rsid w:val="001A29F8"/>
    <w:rsid w:val="001A2C36"/>
    <w:rsid w:val="001A2DD5"/>
    <w:rsid w:val="001A3019"/>
    <w:rsid w:val="001A3031"/>
    <w:rsid w:val="001A304B"/>
    <w:rsid w:val="001A332E"/>
    <w:rsid w:val="001A348D"/>
    <w:rsid w:val="001A3575"/>
    <w:rsid w:val="001A376B"/>
    <w:rsid w:val="001A385B"/>
    <w:rsid w:val="001A3870"/>
    <w:rsid w:val="001A3C5E"/>
    <w:rsid w:val="001A3DA0"/>
    <w:rsid w:val="001A3F52"/>
    <w:rsid w:val="001A41DC"/>
    <w:rsid w:val="001A42FE"/>
    <w:rsid w:val="001A43FA"/>
    <w:rsid w:val="001A4550"/>
    <w:rsid w:val="001A47A1"/>
    <w:rsid w:val="001A47C5"/>
    <w:rsid w:val="001A47CC"/>
    <w:rsid w:val="001A49C1"/>
    <w:rsid w:val="001A49EE"/>
    <w:rsid w:val="001A4AF8"/>
    <w:rsid w:val="001A4CAE"/>
    <w:rsid w:val="001A4DD2"/>
    <w:rsid w:val="001A4EC0"/>
    <w:rsid w:val="001A4F7E"/>
    <w:rsid w:val="001A5003"/>
    <w:rsid w:val="001A5187"/>
    <w:rsid w:val="001A551A"/>
    <w:rsid w:val="001A580D"/>
    <w:rsid w:val="001A59D8"/>
    <w:rsid w:val="001A59FB"/>
    <w:rsid w:val="001A5B51"/>
    <w:rsid w:val="001A5CA5"/>
    <w:rsid w:val="001A5CED"/>
    <w:rsid w:val="001A5E9E"/>
    <w:rsid w:val="001A5F28"/>
    <w:rsid w:val="001A5F53"/>
    <w:rsid w:val="001A6092"/>
    <w:rsid w:val="001A61D0"/>
    <w:rsid w:val="001A6354"/>
    <w:rsid w:val="001A6366"/>
    <w:rsid w:val="001A6561"/>
    <w:rsid w:val="001A663B"/>
    <w:rsid w:val="001A668C"/>
    <w:rsid w:val="001A6854"/>
    <w:rsid w:val="001A689E"/>
    <w:rsid w:val="001A68BC"/>
    <w:rsid w:val="001A68F7"/>
    <w:rsid w:val="001A692F"/>
    <w:rsid w:val="001A6953"/>
    <w:rsid w:val="001A6ADC"/>
    <w:rsid w:val="001A6C6C"/>
    <w:rsid w:val="001A6CB9"/>
    <w:rsid w:val="001A6EF8"/>
    <w:rsid w:val="001A6F53"/>
    <w:rsid w:val="001A6F7F"/>
    <w:rsid w:val="001A6FBC"/>
    <w:rsid w:val="001A708F"/>
    <w:rsid w:val="001A72BC"/>
    <w:rsid w:val="001A7768"/>
    <w:rsid w:val="001A7944"/>
    <w:rsid w:val="001A7AE8"/>
    <w:rsid w:val="001A7B82"/>
    <w:rsid w:val="001A7B8D"/>
    <w:rsid w:val="001A7CA1"/>
    <w:rsid w:val="001A7CEE"/>
    <w:rsid w:val="001A7DB3"/>
    <w:rsid w:val="001B0022"/>
    <w:rsid w:val="001B00F7"/>
    <w:rsid w:val="001B045A"/>
    <w:rsid w:val="001B0966"/>
    <w:rsid w:val="001B0A1B"/>
    <w:rsid w:val="001B0AB2"/>
    <w:rsid w:val="001B0B4F"/>
    <w:rsid w:val="001B0DAF"/>
    <w:rsid w:val="001B0F01"/>
    <w:rsid w:val="001B1315"/>
    <w:rsid w:val="001B1402"/>
    <w:rsid w:val="001B1582"/>
    <w:rsid w:val="001B174A"/>
    <w:rsid w:val="001B17D2"/>
    <w:rsid w:val="001B1856"/>
    <w:rsid w:val="001B18EB"/>
    <w:rsid w:val="001B19BD"/>
    <w:rsid w:val="001B1A90"/>
    <w:rsid w:val="001B1B44"/>
    <w:rsid w:val="001B1DFD"/>
    <w:rsid w:val="001B1EA8"/>
    <w:rsid w:val="001B204E"/>
    <w:rsid w:val="001B20B8"/>
    <w:rsid w:val="001B20E6"/>
    <w:rsid w:val="001B211A"/>
    <w:rsid w:val="001B2212"/>
    <w:rsid w:val="001B2372"/>
    <w:rsid w:val="001B244C"/>
    <w:rsid w:val="001B2498"/>
    <w:rsid w:val="001B24E3"/>
    <w:rsid w:val="001B2584"/>
    <w:rsid w:val="001B2647"/>
    <w:rsid w:val="001B264B"/>
    <w:rsid w:val="001B2C6D"/>
    <w:rsid w:val="001B2D78"/>
    <w:rsid w:val="001B2EA8"/>
    <w:rsid w:val="001B2EF7"/>
    <w:rsid w:val="001B301A"/>
    <w:rsid w:val="001B32DE"/>
    <w:rsid w:val="001B3439"/>
    <w:rsid w:val="001B3443"/>
    <w:rsid w:val="001B34D8"/>
    <w:rsid w:val="001B35CD"/>
    <w:rsid w:val="001B35D6"/>
    <w:rsid w:val="001B3A42"/>
    <w:rsid w:val="001B3BD7"/>
    <w:rsid w:val="001B3D4F"/>
    <w:rsid w:val="001B3D5D"/>
    <w:rsid w:val="001B3F30"/>
    <w:rsid w:val="001B4120"/>
    <w:rsid w:val="001B4289"/>
    <w:rsid w:val="001B4331"/>
    <w:rsid w:val="001B43E3"/>
    <w:rsid w:val="001B455C"/>
    <w:rsid w:val="001B473E"/>
    <w:rsid w:val="001B4786"/>
    <w:rsid w:val="001B47BF"/>
    <w:rsid w:val="001B484B"/>
    <w:rsid w:val="001B4CFD"/>
    <w:rsid w:val="001B4D20"/>
    <w:rsid w:val="001B4D5B"/>
    <w:rsid w:val="001B4E4D"/>
    <w:rsid w:val="001B4E8C"/>
    <w:rsid w:val="001B4F15"/>
    <w:rsid w:val="001B503E"/>
    <w:rsid w:val="001B51AC"/>
    <w:rsid w:val="001B524C"/>
    <w:rsid w:val="001B53AD"/>
    <w:rsid w:val="001B590E"/>
    <w:rsid w:val="001B59CB"/>
    <w:rsid w:val="001B5A0E"/>
    <w:rsid w:val="001B5E2A"/>
    <w:rsid w:val="001B66BB"/>
    <w:rsid w:val="001B68C6"/>
    <w:rsid w:val="001B698D"/>
    <w:rsid w:val="001B6AF8"/>
    <w:rsid w:val="001B6B88"/>
    <w:rsid w:val="001B6EF8"/>
    <w:rsid w:val="001B6EFF"/>
    <w:rsid w:val="001B6FA7"/>
    <w:rsid w:val="001B7123"/>
    <w:rsid w:val="001B7144"/>
    <w:rsid w:val="001B7365"/>
    <w:rsid w:val="001B744F"/>
    <w:rsid w:val="001B74DB"/>
    <w:rsid w:val="001B7549"/>
    <w:rsid w:val="001B766E"/>
    <w:rsid w:val="001B771D"/>
    <w:rsid w:val="001B792F"/>
    <w:rsid w:val="001B7AC8"/>
    <w:rsid w:val="001B7BA1"/>
    <w:rsid w:val="001B7BE2"/>
    <w:rsid w:val="001B7C05"/>
    <w:rsid w:val="001B7E0D"/>
    <w:rsid w:val="001B7EBB"/>
    <w:rsid w:val="001B7F64"/>
    <w:rsid w:val="001B7F84"/>
    <w:rsid w:val="001C0367"/>
    <w:rsid w:val="001C0970"/>
    <w:rsid w:val="001C09D7"/>
    <w:rsid w:val="001C09DA"/>
    <w:rsid w:val="001C0A0C"/>
    <w:rsid w:val="001C0B3A"/>
    <w:rsid w:val="001C0B48"/>
    <w:rsid w:val="001C0C51"/>
    <w:rsid w:val="001C0CCF"/>
    <w:rsid w:val="001C0E94"/>
    <w:rsid w:val="001C0F18"/>
    <w:rsid w:val="001C126F"/>
    <w:rsid w:val="001C137E"/>
    <w:rsid w:val="001C13DE"/>
    <w:rsid w:val="001C143F"/>
    <w:rsid w:val="001C149D"/>
    <w:rsid w:val="001C14AD"/>
    <w:rsid w:val="001C15BD"/>
    <w:rsid w:val="001C1603"/>
    <w:rsid w:val="001C16D3"/>
    <w:rsid w:val="001C184A"/>
    <w:rsid w:val="001C19A5"/>
    <w:rsid w:val="001C1C1E"/>
    <w:rsid w:val="001C1E4D"/>
    <w:rsid w:val="001C1F89"/>
    <w:rsid w:val="001C1F8A"/>
    <w:rsid w:val="001C213E"/>
    <w:rsid w:val="001C227C"/>
    <w:rsid w:val="001C22BC"/>
    <w:rsid w:val="001C2342"/>
    <w:rsid w:val="001C23E4"/>
    <w:rsid w:val="001C24EE"/>
    <w:rsid w:val="001C24FA"/>
    <w:rsid w:val="001C2724"/>
    <w:rsid w:val="001C286C"/>
    <w:rsid w:val="001C2A9B"/>
    <w:rsid w:val="001C2CB9"/>
    <w:rsid w:val="001C2FE1"/>
    <w:rsid w:val="001C3099"/>
    <w:rsid w:val="001C33C4"/>
    <w:rsid w:val="001C369A"/>
    <w:rsid w:val="001C36E0"/>
    <w:rsid w:val="001C3966"/>
    <w:rsid w:val="001C3DD6"/>
    <w:rsid w:val="001C3E9E"/>
    <w:rsid w:val="001C3EAA"/>
    <w:rsid w:val="001C3F54"/>
    <w:rsid w:val="001C4299"/>
    <w:rsid w:val="001C4352"/>
    <w:rsid w:val="001C4372"/>
    <w:rsid w:val="001C43E4"/>
    <w:rsid w:val="001C4503"/>
    <w:rsid w:val="001C468E"/>
    <w:rsid w:val="001C4874"/>
    <w:rsid w:val="001C48C0"/>
    <w:rsid w:val="001C4A12"/>
    <w:rsid w:val="001C4B16"/>
    <w:rsid w:val="001C4CC2"/>
    <w:rsid w:val="001C4D3F"/>
    <w:rsid w:val="001C4F0B"/>
    <w:rsid w:val="001C51D6"/>
    <w:rsid w:val="001C51E1"/>
    <w:rsid w:val="001C52FA"/>
    <w:rsid w:val="001C56D9"/>
    <w:rsid w:val="001C58D6"/>
    <w:rsid w:val="001C5C5B"/>
    <w:rsid w:val="001C5C83"/>
    <w:rsid w:val="001C5CCF"/>
    <w:rsid w:val="001C5E39"/>
    <w:rsid w:val="001C5F3B"/>
    <w:rsid w:val="001C5F94"/>
    <w:rsid w:val="001C6117"/>
    <w:rsid w:val="001C6306"/>
    <w:rsid w:val="001C667A"/>
    <w:rsid w:val="001C675F"/>
    <w:rsid w:val="001C67EE"/>
    <w:rsid w:val="001C6B5B"/>
    <w:rsid w:val="001C6CE9"/>
    <w:rsid w:val="001C6D7E"/>
    <w:rsid w:val="001C6DCF"/>
    <w:rsid w:val="001C6E66"/>
    <w:rsid w:val="001C6EFE"/>
    <w:rsid w:val="001C7054"/>
    <w:rsid w:val="001C760E"/>
    <w:rsid w:val="001C78D7"/>
    <w:rsid w:val="001C79D9"/>
    <w:rsid w:val="001C7B4E"/>
    <w:rsid w:val="001C7D86"/>
    <w:rsid w:val="001C7EE7"/>
    <w:rsid w:val="001C7F31"/>
    <w:rsid w:val="001C7F45"/>
    <w:rsid w:val="001C7FBD"/>
    <w:rsid w:val="001D01E0"/>
    <w:rsid w:val="001D058F"/>
    <w:rsid w:val="001D06C7"/>
    <w:rsid w:val="001D074D"/>
    <w:rsid w:val="001D07A6"/>
    <w:rsid w:val="001D08A5"/>
    <w:rsid w:val="001D08FD"/>
    <w:rsid w:val="001D0A4F"/>
    <w:rsid w:val="001D0AD7"/>
    <w:rsid w:val="001D0AEE"/>
    <w:rsid w:val="001D0B35"/>
    <w:rsid w:val="001D0BD3"/>
    <w:rsid w:val="001D0E15"/>
    <w:rsid w:val="001D0E57"/>
    <w:rsid w:val="001D0E85"/>
    <w:rsid w:val="001D0EA6"/>
    <w:rsid w:val="001D0EB0"/>
    <w:rsid w:val="001D0F08"/>
    <w:rsid w:val="001D0F92"/>
    <w:rsid w:val="001D10AF"/>
    <w:rsid w:val="001D1100"/>
    <w:rsid w:val="001D1117"/>
    <w:rsid w:val="001D1193"/>
    <w:rsid w:val="001D11E9"/>
    <w:rsid w:val="001D1391"/>
    <w:rsid w:val="001D148E"/>
    <w:rsid w:val="001D158D"/>
    <w:rsid w:val="001D177D"/>
    <w:rsid w:val="001D1790"/>
    <w:rsid w:val="001D17E8"/>
    <w:rsid w:val="001D17FA"/>
    <w:rsid w:val="001D1825"/>
    <w:rsid w:val="001D1839"/>
    <w:rsid w:val="001D1990"/>
    <w:rsid w:val="001D1A8E"/>
    <w:rsid w:val="001D1AB2"/>
    <w:rsid w:val="001D1AEF"/>
    <w:rsid w:val="001D1B69"/>
    <w:rsid w:val="001D1BE5"/>
    <w:rsid w:val="001D1F02"/>
    <w:rsid w:val="001D204C"/>
    <w:rsid w:val="001D21F5"/>
    <w:rsid w:val="001D2374"/>
    <w:rsid w:val="001D249C"/>
    <w:rsid w:val="001D24C0"/>
    <w:rsid w:val="001D2564"/>
    <w:rsid w:val="001D2593"/>
    <w:rsid w:val="001D25C9"/>
    <w:rsid w:val="001D25D7"/>
    <w:rsid w:val="001D2751"/>
    <w:rsid w:val="001D28B6"/>
    <w:rsid w:val="001D29DC"/>
    <w:rsid w:val="001D2A31"/>
    <w:rsid w:val="001D2ACE"/>
    <w:rsid w:val="001D2B06"/>
    <w:rsid w:val="001D2C0D"/>
    <w:rsid w:val="001D2DFA"/>
    <w:rsid w:val="001D2F1B"/>
    <w:rsid w:val="001D3104"/>
    <w:rsid w:val="001D3297"/>
    <w:rsid w:val="001D3301"/>
    <w:rsid w:val="001D3368"/>
    <w:rsid w:val="001D355A"/>
    <w:rsid w:val="001D3C67"/>
    <w:rsid w:val="001D3C6A"/>
    <w:rsid w:val="001D3DC1"/>
    <w:rsid w:val="001D3F08"/>
    <w:rsid w:val="001D4068"/>
    <w:rsid w:val="001D41A2"/>
    <w:rsid w:val="001D45C1"/>
    <w:rsid w:val="001D4602"/>
    <w:rsid w:val="001D46E3"/>
    <w:rsid w:val="001D4888"/>
    <w:rsid w:val="001D4B90"/>
    <w:rsid w:val="001D4C08"/>
    <w:rsid w:val="001D4C6D"/>
    <w:rsid w:val="001D4CA6"/>
    <w:rsid w:val="001D4CC0"/>
    <w:rsid w:val="001D4D7E"/>
    <w:rsid w:val="001D4D92"/>
    <w:rsid w:val="001D4F86"/>
    <w:rsid w:val="001D50B2"/>
    <w:rsid w:val="001D50CA"/>
    <w:rsid w:val="001D51E8"/>
    <w:rsid w:val="001D535B"/>
    <w:rsid w:val="001D56FB"/>
    <w:rsid w:val="001D58C6"/>
    <w:rsid w:val="001D5956"/>
    <w:rsid w:val="001D5B5A"/>
    <w:rsid w:val="001D5CB0"/>
    <w:rsid w:val="001D5D76"/>
    <w:rsid w:val="001D5F12"/>
    <w:rsid w:val="001D5F7C"/>
    <w:rsid w:val="001D605F"/>
    <w:rsid w:val="001D617B"/>
    <w:rsid w:val="001D62D9"/>
    <w:rsid w:val="001D633B"/>
    <w:rsid w:val="001D6363"/>
    <w:rsid w:val="001D6432"/>
    <w:rsid w:val="001D6543"/>
    <w:rsid w:val="001D6695"/>
    <w:rsid w:val="001D66F3"/>
    <w:rsid w:val="001D66F5"/>
    <w:rsid w:val="001D6AA8"/>
    <w:rsid w:val="001D6B6B"/>
    <w:rsid w:val="001D6E7C"/>
    <w:rsid w:val="001D6F05"/>
    <w:rsid w:val="001D6F71"/>
    <w:rsid w:val="001D71C9"/>
    <w:rsid w:val="001D71F4"/>
    <w:rsid w:val="001D7260"/>
    <w:rsid w:val="001D7372"/>
    <w:rsid w:val="001D74BF"/>
    <w:rsid w:val="001D75E7"/>
    <w:rsid w:val="001D7645"/>
    <w:rsid w:val="001D78D4"/>
    <w:rsid w:val="001D7963"/>
    <w:rsid w:val="001D798A"/>
    <w:rsid w:val="001D7D27"/>
    <w:rsid w:val="001D7FA8"/>
    <w:rsid w:val="001E011D"/>
    <w:rsid w:val="001E0516"/>
    <w:rsid w:val="001E064B"/>
    <w:rsid w:val="001E0D49"/>
    <w:rsid w:val="001E123D"/>
    <w:rsid w:val="001E1457"/>
    <w:rsid w:val="001E1569"/>
    <w:rsid w:val="001E18F5"/>
    <w:rsid w:val="001E1DEF"/>
    <w:rsid w:val="001E1E86"/>
    <w:rsid w:val="001E1F59"/>
    <w:rsid w:val="001E1FD4"/>
    <w:rsid w:val="001E213F"/>
    <w:rsid w:val="001E238E"/>
    <w:rsid w:val="001E242F"/>
    <w:rsid w:val="001E2483"/>
    <w:rsid w:val="001E2625"/>
    <w:rsid w:val="001E2678"/>
    <w:rsid w:val="001E26B7"/>
    <w:rsid w:val="001E2827"/>
    <w:rsid w:val="001E2987"/>
    <w:rsid w:val="001E2A4B"/>
    <w:rsid w:val="001E2AED"/>
    <w:rsid w:val="001E2B1E"/>
    <w:rsid w:val="001E2CFF"/>
    <w:rsid w:val="001E2D1A"/>
    <w:rsid w:val="001E2F24"/>
    <w:rsid w:val="001E2F85"/>
    <w:rsid w:val="001E2FA7"/>
    <w:rsid w:val="001E30D4"/>
    <w:rsid w:val="001E310B"/>
    <w:rsid w:val="001E31B7"/>
    <w:rsid w:val="001E341C"/>
    <w:rsid w:val="001E34DF"/>
    <w:rsid w:val="001E355F"/>
    <w:rsid w:val="001E378B"/>
    <w:rsid w:val="001E378E"/>
    <w:rsid w:val="001E3825"/>
    <w:rsid w:val="001E38E4"/>
    <w:rsid w:val="001E3983"/>
    <w:rsid w:val="001E3A60"/>
    <w:rsid w:val="001E3B84"/>
    <w:rsid w:val="001E3CE1"/>
    <w:rsid w:val="001E45ED"/>
    <w:rsid w:val="001E4640"/>
    <w:rsid w:val="001E46FD"/>
    <w:rsid w:val="001E4A84"/>
    <w:rsid w:val="001E4D63"/>
    <w:rsid w:val="001E4E81"/>
    <w:rsid w:val="001E4F14"/>
    <w:rsid w:val="001E4FCE"/>
    <w:rsid w:val="001E521C"/>
    <w:rsid w:val="001E52D3"/>
    <w:rsid w:val="001E52EB"/>
    <w:rsid w:val="001E570D"/>
    <w:rsid w:val="001E58A4"/>
    <w:rsid w:val="001E5DDE"/>
    <w:rsid w:val="001E5E88"/>
    <w:rsid w:val="001E60FD"/>
    <w:rsid w:val="001E6123"/>
    <w:rsid w:val="001E61D2"/>
    <w:rsid w:val="001E6305"/>
    <w:rsid w:val="001E654A"/>
    <w:rsid w:val="001E65CD"/>
    <w:rsid w:val="001E6799"/>
    <w:rsid w:val="001E6B66"/>
    <w:rsid w:val="001E6E65"/>
    <w:rsid w:val="001E6EA5"/>
    <w:rsid w:val="001E6EE0"/>
    <w:rsid w:val="001E7160"/>
    <w:rsid w:val="001E723C"/>
    <w:rsid w:val="001E725E"/>
    <w:rsid w:val="001E73E8"/>
    <w:rsid w:val="001E740C"/>
    <w:rsid w:val="001E74E0"/>
    <w:rsid w:val="001E7554"/>
    <w:rsid w:val="001E760F"/>
    <w:rsid w:val="001E7615"/>
    <w:rsid w:val="001E76D5"/>
    <w:rsid w:val="001E7B64"/>
    <w:rsid w:val="001E7CF6"/>
    <w:rsid w:val="001E7D55"/>
    <w:rsid w:val="001E7EAC"/>
    <w:rsid w:val="001F02F3"/>
    <w:rsid w:val="001F0433"/>
    <w:rsid w:val="001F0589"/>
    <w:rsid w:val="001F0599"/>
    <w:rsid w:val="001F06AE"/>
    <w:rsid w:val="001F07C2"/>
    <w:rsid w:val="001F09BB"/>
    <w:rsid w:val="001F0C04"/>
    <w:rsid w:val="001F0C3B"/>
    <w:rsid w:val="001F0EE2"/>
    <w:rsid w:val="001F115C"/>
    <w:rsid w:val="001F1179"/>
    <w:rsid w:val="001F1215"/>
    <w:rsid w:val="001F1235"/>
    <w:rsid w:val="001F12D3"/>
    <w:rsid w:val="001F12D8"/>
    <w:rsid w:val="001F14BB"/>
    <w:rsid w:val="001F1508"/>
    <w:rsid w:val="001F16FB"/>
    <w:rsid w:val="001F1771"/>
    <w:rsid w:val="001F18F5"/>
    <w:rsid w:val="001F1BBD"/>
    <w:rsid w:val="001F1CB3"/>
    <w:rsid w:val="001F1D97"/>
    <w:rsid w:val="001F2038"/>
    <w:rsid w:val="001F2365"/>
    <w:rsid w:val="001F23E4"/>
    <w:rsid w:val="001F2468"/>
    <w:rsid w:val="001F24E0"/>
    <w:rsid w:val="001F25CF"/>
    <w:rsid w:val="001F283E"/>
    <w:rsid w:val="001F2873"/>
    <w:rsid w:val="001F29C2"/>
    <w:rsid w:val="001F2AB4"/>
    <w:rsid w:val="001F2B58"/>
    <w:rsid w:val="001F2DB7"/>
    <w:rsid w:val="001F2FC5"/>
    <w:rsid w:val="001F327A"/>
    <w:rsid w:val="001F32F7"/>
    <w:rsid w:val="001F3414"/>
    <w:rsid w:val="001F342D"/>
    <w:rsid w:val="001F34C9"/>
    <w:rsid w:val="001F35B2"/>
    <w:rsid w:val="001F35FA"/>
    <w:rsid w:val="001F3664"/>
    <w:rsid w:val="001F37B6"/>
    <w:rsid w:val="001F37CC"/>
    <w:rsid w:val="001F3841"/>
    <w:rsid w:val="001F38B5"/>
    <w:rsid w:val="001F38C2"/>
    <w:rsid w:val="001F392E"/>
    <w:rsid w:val="001F39A9"/>
    <w:rsid w:val="001F3A03"/>
    <w:rsid w:val="001F3ABD"/>
    <w:rsid w:val="001F3BCE"/>
    <w:rsid w:val="001F3F75"/>
    <w:rsid w:val="001F4055"/>
    <w:rsid w:val="001F4081"/>
    <w:rsid w:val="001F4089"/>
    <w:rsid w:val="001F415E"/>
    <w:rsid w:val="001F43C9"/>
    <w:rsid w:val="001F4530"/>
    <w:rsid w:val="001F4695"/>
    <w:rsid w:val="001F480C"/>
    <w:rsid w:val="001F4C51"/>
    <w:rsid w:val="001F4D76"/>
    <w:rsid w:val="001F506C"/>
    <w:rsid w:val="001F515F"/>
    <w:rsid w:val="001F51E9"/>
    <w:rsid w:val="001F53A3"/>
    <w:rsid w:val="001F5454"/>
    <w:rsid w:val="001F549B"/>
    <w:rsid w:val="001F54F9"/>
    <w:rsid w:val="001F5584"/>
    <w:rsid w:val="001F56E2"/>
    <w:rsid w:val="001F56FF"/>
    <w:rsid w:val="001F5740"/>
    <w:rsid w:val="001F5744"/>
    <w:rsid w:val="001F59E3"/>
    <w:rsid w:val="001F5A26"/>
    <w:rsid w:val="001F5CE2"/>
    <w:rsid w:val="001F5D04"/>
    <w:rsid w:val="001F605F"/>
    <w:rsid w:val="001F60C1"/>
    <w:rsid w:val="001F6274"/>
    <w:rsid w:val="001F62FC"/>
    <w:rsid w:val="001F631B"/>
    <w:rsid w:val="001F6403"/>
    <w:rsid w:val="001F64EB"/>
    <w:rsid w:val="001F6619"/>
    <w:rsid w:val="001F66D4"/>
    <w:rsid w:val="001F6A73"/>
    <w:rsid w:val="001F6CB8"/>
    <w:rsid w:val="001F6F8A"/>
    <w:rsid w:val="001F70A2"/>
    <w:rsid w:val="001F70BA"/>
    <w:rsid w:val="001F720E"/>
    <w:rsid w:val="001F7273"/>
    <w:rsid w:val="001F7355"/>
    <w:rsid w:val="001F7361"/>
    <w:rsid w:val="001F757A"/>
    <w:rsid w:val="001F75D4"/>
    <w:rsid w:val="001F7A64"/>
    <w:rsid w:val="001F7BB3"/>
    <w:rsid w:val="001F7BC8"/>
    <w:rsid w:val="001F7C95"/>
    <w:rsid w:val="001F7CC9"/>
    <w:rsid w:val="001F7F46"/>
    <w:rsid w:val="002002A8"/>
    <w:rsid w:val="002002E2"/>
    <w:rsid w:val="00200779"/>
    <w:rsid w:val="00200A17"/>
    <w:rsid w:val="00200A79"/>
    <w:rsid w:val="00200B4F"/>
    <w:rsid w:val="00200BDE"/>
    <w:rsid w:val="00200CC6"/>
    <w:rsid w:val="00200D7D"/>
    <w:rsid w:val="00200E99"/>
    <w:rsid w:val="00200FA2"/>
    <w:rsid w:val="0020104C"/>
    <w:rsid w:val="002011B0"/>
    <w:rsid w:val="002011E7"/>
    <w:rsid w:val="002015AD"/>
    <w:rsid w:val="002016A1"/>
    <w:rsid w:val="0020174D"/>
    <w:rsid w:val="002017C6"/>
    <w:rsid w:val="00201880"/>
    <w:rsid w:val="00201C0C"/>
    <w:rsid w:val="00201D69"/>
    <w:rsid w:val="00201FE2"/>
    <w:rsid w:val="00201FEF"/>
    <w:rsid w:val="00202008"/>
    <w:rsid w:val="002020DF"/>
    <w:rsid w:val="0020236A"/>
    <w:rsid w:val="002025BD"/>
    <w:rsid w:val="0020286E"/>
    <w:rsid w:val="002028B9"/>
    <w:rsid w:val="002029EB"/>
    <w:rsid w:val="00202A0B"/>
    <w:rsid w:val="00202D79"/>
    <w:rsid w:val="00202DC9"/>
    <w:rsid w:val="00202E25"/>
    <w:rsid w:val="00202E52"/>
    <w:rsid w:val="00203006"/>
    <w:rsid w:val="002030E0"/>
    <w:rsid w:val="00203181"/>
    <w:rsid w:val="00203212"/>
    <w:rsid w:val="0020322D"/>
    <w:rsid w:val="00203329"/>
    <w:rsid w:val="0020370A"/>
    <w:rsid w:val="00203783"/>
    <w:rsid w:val="0020385F"/>
    <w:rsid w:val="00203A16"/>
    <w:rsid w:val="00203A4D"/>
    <w:rsid w:val="00203A68"/>
    <w:rsid w:val="00203AC2"/>
    <w:rsid w:val="00203CA9"/>
    <w:rsid w:val="00203CB4"/>
    <w:rsid w:val="00203CF5"/>
    <w:rsid w:val="00203DE5"/>
    <w:rsid w:val="00203ED0"/>
    <w:rsid w:val="00203EF6"/>
    <w:rsid w:val="00203F88"/>
    <w:rsid w:val="00203FC7"/>
    <w:rsid w:val="00204000"/>
    <w:rsid w:val="002040D8"/>
    <w:rsid w:val="0020428C"/>
    <w:rsid w:val="002043C4"/>
    <w:rsid w:val="0020459D"/>
    <w:rsid w:val="0020460E"/>
    <w:rsid w:val="0020462B"/>
    <w:rsid w:val="00204665"/>
    <w:rsid w:val="002049DA"/>
    <w:rsid w:val="00204A7A"/>
    <w:rsid w:val="00204A92"/>
    <w:rsid w:val="00204B39"/>
    <w:rsid w:val="00204B9C"/>
    <w:rsid w:val="00204CA0"/>
    <w:rsid w:val="00204EA4"/>
    <w:rsid w:val="0020507C"/>
    <w:rsid w:val="002050CA"/>
    <w:rsid w:val="0020518A"/>
    <w:rsid w:val="002052BF"/>
    <w:rsid w:val="00205317"/>
    <w:rsid w:val="0020531D"/>
    <w:rsid w:val="00205392"/>
    <w:rsid w:val="0020568E"/>
    <w:rsid w:val="00205986"/>
    <w:rsid w:val="00205C92"/>
    <w:rsid w:val="00205D28"/>
    <w:rsid w:val="00205E77"/>
    <w:rsid w:val="00205F1C"/>
    <w:rsid w:val="00205F74"/>
    <w:rsid w:val="00206093"/>
    <w:rsid w:val="00206460"/>
    <w:rsid w:val="0020656D"/>
    <w:rsid w:val="002065F0"/>
    <w:rsid w:val="002065F8"/>
    <w:rsid w:val="002066CD"/>
    <w:rsid w:val="00206773"/>
    <w:rsid w:val="002067D8"/>
    <w:rsid w:val="002068A0"/>
    <w:rsid w:val="0020699F"/>
    <w:rsid w:val="00206CF0"/>
    <w:rsid w:val="00206D29"/>
    <w:rsid w:val="00206E17"/>
    <w:rsid w:val="00206E57"/>
    <w:rsid w:val="00206E8D"/>
    <w:rsid w:val="00206F4F"/>
    <w:rsid w:val="00207021"/>
    <w:rsid w:val="00207318"/>
    <w:rsid w:val="0020732F"/>
    <w:rsid w:val="00207505"/>
    <w:rsid w:val="00207871"/>
    <w:rsid w:val="00207A11"/>
    <w:rsid w:val="00207A96"/>
    <w:rsid w:val="00207AEE"/>
    <w:rsid w:val="00207B87"/>
    <w:rsid w:val="00207C73"/>
    <w:rsid w:val="00207C89"/>
    <w:rsid w:val="00207D00"/>
    <w:rsid w:val="0021029A"/>
    <w:rsid w:val="00210398"/>
    <w:rsid w:val="002103EC"/>
    <w:rsid w:val="00210421"/>
    <w:rsid w:val="00210532"/>
    <w:rsid w:val="00210572"/>
    <w:rsid w:val="002105A7"/>
    <w:rsid w:val="002105C1"/>
    <w:rsid w:val="00210611"/>
    <w:rsid w:val="0021061B"/>
    <w:rsid w:val="0021080B"/>
    <w:rsid w:val="0021084B"/>
    <w:rsid w:val="002108EE"/>
    <w:rsid w:val="002109C8"/>
    <w:rsid w:val="002109CA"/>
    <w:rsid w:val="00210A1E"/>
    <w:rsid w:val="00210EDE"/>
    <w:rsid w:val="0021103C"/>
    <w:rsid w:val="00211292"/>
    <w:rsid w:val="0021132D"/>
    <w:rsid w:val="0021149C"/>
    <w:rsid w:val="00211526"/>
    <w:rsid w:val="002116F9"/>
    <w:rsid w:val="002116FD"/>
    <w:rsid w:val="002117E1"/>
    <w:rsid w:val="00211947"/>
    <w:rsid w:val="00211B5D"/>
    <w:rsid w:val="00211BEC"/>
    <w:rsid w:val="00211BF5"/>
    <w:rsid w:val="00211C04"/>
    <w:rsid w:val="00211C3A"/>
    <w:rsid w:val="00211C82"/>
    <w:rsid w:val="00211C8A"/>
    <w:rsid w:val="00211E37"/>
    <w:rsid w:val="00211EFB"/>
    <w:rsid w:val="00211FB5"/>
    <w:rsid w:val="00212094"/>
    <w:rsid w:val="0021213F"/>
    <w:rsid w:val="00212329"/>
    <w:rsid w:val="00212621"/>
    <w:rsid w:val="00212704"/>
    <w:rsid w:val="0021286E"/>
    <w:rsid w:val="0021299A"/>
    <w:rsid w:val="002129D4"/>
    <w:rsid w:val="00212A51"/>
    <w:rsid w:val="00212A60"/>
    <w:rsid w:val="00212C59"/>
    <w:rsid w:val="00212CF1"/>
    <w:rsid w:val="00212F6C"/>
    <w:rsid w:val="00212FB1"/>
    <w:rsid w:val="0021306D"/>
    <w:rsid w:val="00213105"/>
    <w:rsid w:val="00213169"/>
    <w:rsid w:val="00213318"/>
    <w:rsid w:val="002134C1"/>
    <w:rsid w:val="002136A0"/>
    <w:rsid w:val="00213775"/>
    <w:rsid w:val="00213C6A"/>
    <w:rsid w:val="00213CDA"/>
    <w:rsid w:val="00213E1C"/>
    <w:rsid w:val="00213EF5"/>
    <w:rsid w:val="00213FB0"/>
    <w:rsid w:val="0021417D"/>
    <w:rsid w:val="002141D2"/>
    <w:rsid w:val="002143C3"/>
    <w:rsid w:val="002143EE"/>
    <w:rsid w:val="0021453A"/>
    <w:rsid w:val="00214595"/>
    <w:rsid w:val="002145FE"/>
    <w:rsid w:val="00214644"/>
    <w:rsid w:val="0021468F"/>
    <w:rsid w:val="00214802"/>
    <w:rsid w:val="00214961"/>
    <w:rsid w:val="00214DF0"/>
    <w:rsid w:val="00214F47"/>
    <w:rsid w:val="00215098"/>
    <w:rsid w:val="0021532F"/>
    <w:rsid w:val="00215374"/>
    <w:rsid w:val="002153D9"/>
    <w:rsid w:val="002157A0"/>
    <w:rsid w:val="00215869"/>
    <w:rsid w:val="002158B1"/>
    <w:rsid w:val="0021591D"/>
    <w:rsid w:val="0021592C"/>
    <w:rsid w:val="00215DCB"/>
    <w:rsid w:val="00215E45"/>
    <w:rsid w:val="00216268"/>
    <w:rsid w:val="00216512"/>
    <w:rsid w:val="00216791"/>
    <w:rsid w:val="002167E6"/>
    <w:rsid w:val="002167FC"/>
    <w:rsid w:val="0021689B"/>
    <w:rsid w:val="002168DB"/>
    <w:rsid w:val="0021692B"/>
    <w:rsid w:val="00216AAF"/>
    <w:rsid w:val="00216B8E"/>
    <w:rsid w:val="00216BF5"/>
    <w:rsid w:val="00216D53"/>
    <w:rsid w:val="00216D7D"/>
    <w:rsid w:val="00216D80"/>
    <w:rsid w:val="00216E54"/>
    <w:rsid w:val="002170CC"/>
    <w:rsid w:val="00217192"/>
    <w:rsid w:val="002171B5"/>
    <w:rsid w:val="00217272"/>
    <w:rsid w:val="0021739F"/>
    <w:rsid w:val="0021744E"/>
    <w:rsid w:val="0021746B"/>
    <w:rsid w:val="002175CD"/>
    <w:rsid w:val="00217BDF"/>
    <w:rsid w:val="00217C52"/>
    <w:rsid w:val="00217C5B"/>
    <w:rsid w:val="00217CC7"/>
    <w:rsid w:val="00217CD7"/>
    <w:rsid w:val="00217D47"/>
    <w:rsid w:val="00217E46"/>
    <w:rsid w:val="00217E5B"/>
    <w:rsid w:val="00217F32"/>
    <w:rsid w:val="002200DC"/>
    <w:rsid w:val="00220170"/>
    <w:rsid w:val="00220229"/>
    <w:rsid w:val="00220236"/>
    <w:rsid w:val="0022045A"/>
    <w:rsid w:val="00220545"/>
    <w:rsid w:val="002207FE"/>
    <w:rsid w:val="00220C8D"/>
    <w:rsid w:val="00220FBC"/>
    <w:rsid w:val="0022107E"/>
    <w:rsid w:val="002212BC"/>
    <w:rsid w:val="0022140C"/>
    <w:rsid w:val="0022152E"/>
    <w:rsid w:val="002215C2"/>
    <w:rsid w:val="002215C4"/>
    <w:rsid w:val="00221605"/>
    <w:rsid w:val="0022174F"/>
    <w:rsid w:val="00221757"/>
    <w:rsid w:val="002218D0"/>
    <w:rsid w:val="00221C49"/>
    <w:rsid w:val="00221C8B"/>
    <w:rsid w:val="00221CEF"/>
    <w:rsid w:val="00221E91"/>
    <w:rsid w:val="00221F4A"/>
    <w:rsid w:val="00221FB4"/>
    <w:rsid w:val="0022203C"/>
    <w:rsid w:val="002220AF"/>
    <w:rsid w:val="00222202"/>
    <w:rsid w:val="002225F9"/>
    <w:rsid w:val="002226EE"/>
    <w:rsid w:val="002227C6"/>
    <w:rsid w:val="00222ABF"/>
    <w:rsid w:val="00222BC0"/>
    <w:rsid w:val="00222D5F"/>
    <w:rsid w:val="00222D6A"/>
    <w:rsid w:val="00222ECF"/>
    <w:rsid w:val="00223069"/>
    <w:rsid w:val="002231BC"/>
    <w:rsid w:val="002232D7"/>
    <w:rsid w:val="00223433"/>
    <w:rsid w:val="00223485"/>
    <w:rsid w:val="002234A4"/>
    <w:rsid w:val="00223757"/>
    <w:rsid w:val="002239D4"/>
    <w:rsid w:val="00223B49"/>
    <w:rsid w:val="00223BD8"/>
    <w:rsid w:val="00223D30"/>
    <w:rsid w:val="00223D5A"/>
    <w:rsid w:val="00223D90"/>
    <w:rsid w:val="00223E25"/>
    <w:rsid w:val="00224126"/>
    <w:rsid w:val="0022426F"/>
    <w:rsid w:val="002242BC"/>
    <w:rsid w:val="002243C9"/>
    <w:rsid w:val="00224532"/>
    <w:rsid w:val="0022466E"/>
    <w:rsid w:val="00224711"/>
    <w:rsid w:val="00224AD0"/>
    <w:rsid w:val="00224B33"/>
    <w:rsid w:val="00224DC9"/>
    <w:rsid w:val="00224DD4"/>
    <w:rsid w:val="00224E6D"/>
    <w:rsid w:val="00224E9B"/>
    <w:rsid w:val="00224EF9"/>
    <w:rsid w:val="002250F4"/>
    <w:rsid w:val="002251CE"/>
    <w:rsid w:val="00225400"/>
    <w:rsid w:val="002254C2"/>
    <w:rsid w:val="00225888"/>
    <w:rsid w:val="002258EC"/>
    <w:rsid w:val="00225AD6"/>
    <w:rsid w:val="00225CE8"/>
    <w:rsid w:val="00226127"/>
    <w:rsid w:val="00226137"/>
    <w:rsid w:val="00226155"/>
    <w:rsid w:val="0022616B"/>
    <w:rsid w:val="002262B3"/>
    <w:rsid w:val="00226765"/>
    <w:rsid w:val="0022697C"/>
    <w:rsid w:val="0022697E"/>
    <w:rsid w:val="002269BF"/>
    <w:rsid w:val="00226BBE"/>
    <w:rsid w:val="00226C21"/>
    <w:rsid w:val="00226DD9"/>
    <w:rsid w:val="00226EF4"/>
    <w:rsid w:val="00226F19"/>
    <w:rsid w:val="00227058"/>
    <w:rsid w:val="0022714E"/>
    <w:rsid w:val="0022722D"/>
    <w:rsid w:val="002272DC"/>
    <w:rsid w:val="0022732E"/>
    <w:rsid w:val="002273A7"/>
    <w:rsid w:val="0022761D"/>
    <w:rsid w:val="00227659"/>
    <w:rsid w:val="002277F3"/>
    <w:rsid w:val="002278A0"/>
    <w:rsid w:val="00227958"/>
    <w:rsid w:val="00227984"/>
    <w:rsid w:val="00227D29"/>
    <w:rsid w:val="00227D99"/>
    <w:rsid w:val="00227E0C"/>
    <w:rsid w:val="00227F3B"/>
    <w:rsid w:val="00227FA2"/>
    <w:rsid w:val="002300F2"/>
    <w:rsid w:val="00230200"/>
    <w:rsid w:val="0023081A"/>
    <w:rsid w:val="002309A2"/>
    <w:rsid w:val="002309CC"/>
    <w:rsid w:val="00230B61"/>
    <w:rsid w:val="00230C09"/>
    <w:rsid w:val="00230CB7"/>
    <w:rsid w:val="00230D2C"/>
    <w:rsid w:val="00231149"/>
    <w:rsid w:val="002311C0"/>
    <w:rsid w:val="002311C5"/>
    <w:rsid w:val="00231430"/>
    <w:rsid w:val="00231679"/>
    <w:rsid w:val="00231833"/>
    <w:rsid w:val="00231AE6"/>
    <w:rsid w:val="00231B39"/>
    <w:rsid w:val="00231B47"/>
    <w:rsid w:val="00231B8B"/>
    <w:rsid w:val="00231B9A"/>
    <w:rsid w:val="00231BA9"/>
    <w:rsid w:val="00231C3A"/>
    <w:rsid w:val="00231C94"/>
    <w:rsid w:val="00231DDD"/>
    <w:rsid w:val="00231E59"/>
    <w:rsid w:val="00231E6C"/>
    <w:rsid w:val="00231EA3"/>
    <w:rsid w:val="00231EB8"/>
    <w:rsid w:val="00232012"/>
    <w:rsid w:val="0023209F"/>
    <w:rsid w:val="002323F0"/>
    <w:rsid w:val="00232533"/>
    <w:rsid w:val="00232951"/>
    <w:rsid w:val="002329AE"/>
    <w:rsid w:val="00232B87"/>
    <w:rsid w:val="00232BBD"/>
    <w:rsid w:val="00232DCE"/>
    <w:rsid w:val="00232DF0"/>
    <w:rsid w:val="00232E93"/>
    <w:rsid w:val="00232F2A"/>
    <w:rsid w:val="00232F4D"/>
    <w:rsid w:val="00232F79"/>
    <w:rsid w:val="002330D2"/>
    <w:rsid w:val="002331B3"/>
    <w:rsid w:val="00233432"/>
    <w:rsid w:val="00233487"/>
    <w:rsid w:val="002336AA"/>
    <w:rsid w:val="0023373E"/>
    <w:rsid w:val="00233777"/>
    <w:rsid w:val="00233968"/>
    <w:rsid w:val="00233A50"/>
    <w:rsid w:val="00233BDC"/>
    <w:rsid w:val="00233C01"/>
    <w:rsid w:val="00233CD3"/>
    <w:rsid w:val="00233DC2"/>
    <w:rsid w:val="0023413C"/>
    <w:rsid w:val="002346F0"/>
    <w:rsid w:val="00234722"/>
    <w:rsid w:val="00234945"/>
    <w:rsid w:val="002349C3"/>
    <w:rsid w:val="00234B19"/>
    <w:rsid w:val="00234B1F"/>
    <w:rsid w:val="00234B3C"/>
    <w:rsid w:val="00234D81"/>
    <w:rsid w:val="00234E70"/>
    <w:rsid w:val="00235066"/>
    <w:rsid w:val="002350B7"/>
    <w:rsid w:val="002350DC"/>
    <w:rsid w:val="00235118"/>
    <w:rsid w:val="00235216"/>
    <w:rsid w:val="00235286"/>
    <w:rsid w:val="00235355"/>
    <w:rsid w:val="0023535C"/>
    <w:rsid w:val="002354C9"/>
    <w:rsid w:val="002354F9"/>
    <w:rsid w:val="0023551F"/>
    <w:rsid w:val="0023554C"/>
    <w:rsid w:val="00235926"/>
    <w:rsid w:val="0023597F"/>
    <w:rsid w:val="00235BE1"/>
    <w:rsid w:val="00235DB9"/>
    <w:rsid w:val="00235EF6"/>
    <w:rsid w:val="00235FF7"/>
    <w:rsid w:val="00236283"/>
    <w:rsid w:val="0023629D"/>
    <w:rsid w:val="002362BC"/>
    <w:rsid w:val="002363C9"/>
    <w:rsid w:val="00236489"/>
    <w:rsid w:val="00236572"/>
    <w:rsid w:val="00236863"/>
    <w:rsid w:val="00236A08"/>
    <w:rsid w:val="00236CEA"/>
    <w:rsid w:val="00236EE7"/>
    <w:rsid w:val="00236EF7"/>
    <w:rsid w:val="0023717F"/>
    <w:rsid w:val="00237255"/>
    <w:rsid w:val="0023725D"/>
    <w:rsid w:val="002373B1"/>
    <w:rsid w:val="002373BA"/>
    <w:rsid w:val="0023740C"/>
    <w:rsid w:val="00237676"/>
    <w:rsid w:val="00237754"/>
    <w:rsid w:val="002379D5"/>
    <w:rsid w:val="00237B0A"/>
    <w:rsid w:val="00237D20"/>
    <w:rsid w:val="002400FE"/>
    <w:rsid w:val="0024010B"/>
    <w:rsid w:val="0024014C"/>
    <w:rsid w:val="002402C9"/>
    <w:rsid w:val="00240301"/>
    <w:rsid w:val="00240457"/>
    <w:rsid w:val="00240572"/>
    <w:rsid w:val="002405AD"/>
    <w:rsid w:val="002408A4"/>
    <w:rsid w:val="002409CB"/>
    <w:rsid w:val="00240B66"/>
    <w:rsid w:val="00240E78"/>
    <w:rsid w:val="002411DC"/>
    <w:rsid w:val="00241318"/>
    <w:rsid w:val="002413C7"/>
    <w:rsid w:val="0024149D"/>
    <w:rsid w:val="002414F0"/>
    <w:rsid w:val="0024196E"/>
    <w:rsid w:val="00241A8A"/>
    <w:rsid w:val="00241A93"/>
    <w:rsid w:val="00241BAF"/>
    <w:rsid w:val="00241BBA"/>
    <w:rsid w:val="00241D0A"/>
    <w:rsid w:val="00241D9C"/>
    <w:rsid w:val="00241E18"/>
    <w:rsid w:val="00241E21"/>
    <w:rsid w:val="0024213E"/>
    <w:rsid w:val="0024225D"/>
    <w:rsid w:val="002424AF"/>
    <w:rsid w:val="002425B3"/>
    <w:rsid w:val="00242686"/>
    <w:rsid w:val="00242880"/>
    <w:rsid w:val="00242CD5"/>
    <w:rsid w:val="00242E0D"/>
    <w:rsid w:val="00242EA1"/>
    <w:rsid w:val="00243064"/>
    <w:rsid w:val="00243646"/>
    <w:rsid w:val="002439DC"/>
    <w:rsid w:val="00243B0D"/>
    <w:rsid w:val="00243B0E"/>
    <w:rsid w:val="00243BC6"/>
    <w:rsid w:val="00243D77"/>
    <w:rsid w:val="00243FB8"/>
    <w:rsid w:val="00244117"/>
    <w:rsid w:val="002441D2"/>
    <w:rsid w:val="00244242"/>
    <w:rsid w:val="0024443E"/>
    <w:rsid w:val="00244553"/>
    <w:rsid w:val="00244656"/>
    <w:rsid w:val="002448D4"/>
    <w:rsid w:val="00244915"/>
    <w:rsid w:val="00244A6B"/>
    <w:rsid w:val="00244C89"/>
    <w:rsid w:val="00244D85"/>
    <w:rsid w:val="00244DC8"/>
    <w:rsid w:val="0024518C"/>
    <w:rsid w:val="0024530D"/>
    <w:rsid w:val="0024558C"/>
    <w:rsid w:val="002455A0"/>
    <w:rsid w:val="002456C4"/>
    <w:rsid w:val="0024572B"/>
    <w:rsid w:val="00245738"/>
    <w:rsid w:val="0024573B"/>
    <w:rsid w:val="002457DC"/>
    <w:rsid w:val="002457FD"/>
    <w:rsid w:val="002458BA"/>
    <w:rsid w:val="00245927"/>
    <w:rsid w:val="0024592C"/>
    <w:rsid w:val="0024595F"/>
    <w:rsid w:val="00245B8F"/>
    <w:rsid w:val="00245CE9"/>
    <w:rsid w:val="00245EDB"/>
    <w:rsid w:val="00245EE4"/>
    <w:rsid w:val="002460A7"/>
    <w:rsid w:val="0024636C"/>
    <w:rsid w:val="0024640D"/>
    <w:rsid w:val="0024645D"/>
    <w:rsid w:val="0024659E"/>
    <w:rsid w:val="00246644"/>
    <w:rsid w:val="002466E2"/>
    <w:rsid w:val="00246758"/>
    <w:rsid w:val="002469CA"/>
    <w:rsid w:val="00246BB8"/>
    <w:rsid w:val="00246C89"/>
    <w:rsid w:val="00247009"/>
    <w:rsid w:val="002472AE"/>
    <w:rsid w:val="0024736A"/>
    <w:rsid w:val="00247461"/>
    <w:rsid w:val="00247514"/>
    <w:rsid w:val="00247559"/>
    <w:rsid w:val="00247759"/>
    <w:rsid w:val="002477F2"/>
    <w:rsid w:val="00247925"/>
    <w:rsid w:val="00247A94"/>
    <w:rsid w:val="00247AA9"/>
    <w:rsid w:val="00247C1E"/>
    <w:rsid w:val="00247D85"/>
    <w:rsid w:val="00247FC6"/>
    <w:rsid w:val="0025005E"/>
    <w:rsid w:val="0025057F"/>
    <w:rsid w:val="00250615"/>
    <w:rsid w:val="00250A63"/>
    <w:rsid w:val="00250AFB"/>
    <w:rsid w:val="00250FC9"/>
    <w:rsid w:val="00251006"/>
    <w:rsid w:val="0025115E"/>
    <w:rsid w:val="00251342"/>
    <w:rsid w:val="002513BF"/>
    <w:rsid w:val="002514D2"/>
    <w:rsid w:val="002515C5"/>
    <w:rsid w:val="00251634"/>
    <w:rsid w:val="002516A0"/>
    <w:rsid w:val="0025176A"/>
    <w:rsid w:val="002517B5"/>
    <w:rsid w:val="002517CB"/>
    <w:rsid w:val="002518E9"/>
    <w:rsid w:val="00251AE1"/>
    <w:rsid w:val="00251BEA"/>
    <w:rsid w:val="00251D77"/>
    <w:rsid w:val="00251DE9"/>
    <w:rsid w:val="00251E49"/>
    <w:rsid w:val="00251E4C"/>
    <w:rsid w:val="00251EF8"/>
    <w:rsid w:val="00252132"/>
    <w:rsid w:val="00252167"/>
    <w:rsid w:val="0025240F"/>
    <w:rsid w:val="0025245B"/>
    <w:rsid w:val="002524D5"/>
    <w:rsid w:val="00252812"/>
    <w:rsid w:val="0025288D"/>
    <w:rsid w:val="002528BF"/>
    <w:rsid w:val="00252912"/>
    <w:rsid w:val="00252942"/>
    <w:rsid w:val="00252973"/>
    <w:rsid w:val="002529CA"/>
    <w:rsid w:val="00252CB8"/>
    <w:rsid w:val="00252D0E"/>
    <w:rsid w:val="00252D73"/>
    <w:rsid w:val="00252FC3"/>
    <w:rsid w:val="002530F2"/>
    <w:rsid w:val="002531DE"/>
    <w:rsid w:val="00253372"/>
    <w:rsid w:val="002534A2"/>
    <w:rsid w:val="002536A9"/>
    <w:rsid w:val="0025372F"/>
    <w:rsid w:val="002537E4"/>
    <w:rsid w:val="0025386D"/>
    <w:rsid w:val="00253B1D"/>
    <w:rsid w:val="00253BB7"/>
    <w:rsid w:val="00253BF4"/>
    <w:rsid w:val="00253C4D"/>
    <w:rsid w:val="00253C78"/>
    <w:rsid w:val="00253D71"/>
    <w:rsid w:val="00253DDD"/>
    <w:rsid w:val="00253E66"/>
    <w:rsid w:val="00253E7B"/>
    <w:rsid w:val="00254197"/>
    <w:rsid w:val="0025421E"/>
    <w:rsid w:val="002545E5"/>
    <w:rsid w:val="00254732"/>
    <w:rsid w:val="002547F9"/>
    <w:rsid w:val="0025496F"/>
    <w:rsid w:val="002549E6"/>
    <w:rsid w:val="002549FD"/>
    <w:rsid w:val="00254D2E"/>
    <w:rsid w:val="00254D9D"/>
    <w:rsid w:val="00254DCF"/>
    <w:rsid w:val="00254DD1"/>
    <w:rsid w:val="00254E39"/>
    <w:rsid w:val="00254EB9"/>
    <w:rsid w:val="00255040"/>
    <w:rsid w:val="00255136"/>
    <w:rsid w:val="0025534B"/>
    <w:rsid w:val="0025544A"/>
    <w:rsid w:val="00255475"/>
    <w:rsid w:val="00255577"/>
    <w:rsid w:val="002557F5"/>
    <w:rsid w:val="00255A7F"/>
    <w:rsid w:val="00255AE3"/>
    <w:rsid w:val="00255B36"/>
    <w:rsid w:val="00255BB7"/>
    <w:rsid w:val="00255CB5"/>
    <w:rsid w:val="00255DF3"/>
    <w:rsid w:val="00255E8A"/>
    <w:rsid w:val="00255F92"/>
    <w:rsid w:val="00256037"/>
    <w:rsid w:val="00256143"/>
    <w:rsid w:val="00256180"/>
    <w:rsid w:val="002564EB"/>
    <w:rsid w:val="00256590"/>
    <w:rsid w:val="00256674"/>
    <w:rsid w:val="00256A58"/>
    <w:rsid w:val="00256ADB"/>
    <w:rsid w:val="00256ADD"/>
    <w:rsid w:val="00256AEB"/>
    <w:rsid w:val="00256B2B"/>
    <w:rsid w:val="00256D13"/>
    <w:rsid w:val="00256D1E"/>
    <w:rsid w:val="00257302"/>
    <w:rsid w:val="00257541"/>
    <w:rsid w:val="00257784"/>
    <w:rsid w:val="002579B3"/>
    <w:rsid w:val="002579FC"/>
    <w:rsid w:val="00257A39"/>
    <w:rsid w:val="00257AC4"/>
    <w:rsid w:val="00257B0E"/>
    <w:rsid w:val="00257BBE"/>
    <w:rsid w:val="00260218"/>
    <w:rsid w:val="00260255"/>
    <w:rsid w:val="0026031A"/>
    <w:rsid w:val="0026036C"/>
    <w:rsid w:val="0026038D"/>
    <w:rsid w:val="002603EE"/>
    <w:rsid w:val="002604D7"/>
    <w:rsid w:val="002605AA"/>
    <w:rsid w:val="00260665"/>
    <w:rsid w:val="002608A3"/>
    <w:rsid w:val="00260979"/>
    <w:rsid w:val="00260A92"/>
    <w:rsid w:val="00260AB4"/>
    <w:rsid w:val="00260B50"/>
    <w:rsid w:val="00260B63"/>
    <w:rsid w:val="00260B9F"/>
    <w:rsid w:val="00260D7D"/>
    <w:rsid w:val="00260E0A"/>
    <w:rsid w:val="00260FD7"/>
    <w:rsid w:val="00261169"/>
    <w:rsid w:val="00261226"/>
    <w:rsid w:val="002614B0"/>
    <w:rsid w:val="002614FE"/>
    <w:rsid w:val="0026154A"/>
    <w:rsid w:val="002617A6"/>
    <w:rsid w:val="00261848"/>
    <w:rsid w:val="0026185E"/>
    <w:rsid w:val="00261860"/>
    <w:rsid w:val="002618C8"/>
    <w:rsid w:val="00261C65"/>
    <w:rsid w:val="00261D6D"/>
    <w:rsid w:val="00261DB3"/>
    <w:rsid w:val="00261EEF"/>
    <w:rsid w:val="00261FB9"/>
    <w:rsid w:val="00261FC4"/>
    <w:rsid w:val="0026250B"/>
    <w:rsid w:val="0026262C"/>
    <w:rsid w:val="002628CA"/>
    <w:rsid w:val="00262A1A"/>
    <w:rsid w:val="00262A87"/>
    <w:rsid w:val="00262AA9"/>
    <w:rsid w:val="0026317B"/>
    <w:rsid w:val="002632F7"/>
    <w:rsid w:val="00263309"/>
    <w:rsid w:val="0026339B"/>
    <w:rsid w:val="0026374C"/>
    <w:rsid w:val="00263A18"/>
    <w:rsid w:val="00263BA9"/>
    <w:rsid w:val="00263CEF"/>
    <w:rsid w:val="00263D32"/>
    <w:rsid w:val="00263D67"/>
    <w:rsid w:val="00263EF7"/>
    <w:rsid w:val="00263FB1"/>
    <w:rsid w:val="00263FF3"/>
    <w:rsid w:val="00264028"/>
    <w:rsid w:val="00264065"/>
    <w:rsid w:val="0026411F"/>
    <w:rsid w:val="002642A7"/>
    <w:rsid w:val="00264454"/>
    <w:rsid w:val="002644AC"/>
    <w:rsid w:val="0026452A"/>
    <w:rsid w:val="0026475D"/>
    <w:rsid w:val="002647CB"/>
    <w:rsid w:val="00264A80"/>
    <w:rsid w:val="00264B36"/>
    <w:rsid w:val="00264D26"/>
    <w:rsid w:val="00264DB0"/>
    <w:rsid w:val="00264DEA"/>
    <w:rsid w:val="00264E34"/>
    <w:rsid w:val="00264EF6"/>
    <w:rsid w:val="00264FCD"/>
    <w:rsid w:val="00265159"/>
    <w:rsid w:val="0026522D"/>
    <w:rsid w:val="00265244"/>
    <w:rsid w:val="0026524D"/>
    <w:rsid w:val="002653BD"/>
    <w:rsid w:val="002654D4"/>
    <w:rsid w:val="002657F9"/>
    <w:rsid w:val="0026586C"/>
    <w:rsid w:val="002658B4"/>
    <w:rsid w:val="00265955"/>
    <w:rsid w:val="00265974"/>
    <w:rsid w:val="00265A35"/>
    <w:rsid w:val="00265C9F"/>
    <w:rsid w:val="00265E4F"/>
    <w:rsid w:val="00265E70"/>
    <w:rsid w:val="00265F41"/>
    <w:rsid w:val="00265F44"/>
    <w:rsid w:val="002660E4"/>
    <w:rsid w:val="00266269"/>
    <w:rsid w:val="00266577"/>
    <w:rsid w:val="00266694"/>
    <w:rsid w:val="002667C6"/>
    <w:rsid w:val="00266A30"/>
    <w:rsid w:val="00266B65"/>
    <w:rsid w:val="00266B89"/>
    <w:rsid w:val="00266D65"/>
    <w:rsid w:val="00266D94"/>
    <w:rsid w:val="00266E40"/>
    <w:rsid w:val="00266F08"/>
    <w:rsid w:val="0026704F"/>
    <w:rsid w:val="002673A4"/>
    <w:rsid w:val="002673F1"/>
    <w:rsid w:val="0026752E"/>
    <w:rsid w:val="002675B8"/>
    <w:rsid w:val="00267642"/>
    <w:rsid w:val="002676BC"/>
    <w:rsid w:val="002676D6"/>
    <w:rsid w:val="00267913"/>
    <w:rsid w:val="00267928"/>
    <w:rsid w:val="00267A99"/>
    <w:rsid w:val="00267AEA"/>
    <w:rsid w:val="00267E49"/>
    <w:rsid w:val="002700E6"/>
    <w:rsid w:val="002702F3"/>
    <w:rsid w:val="0027052A"/>
    <w:rsid w:val="0027077A"/>
    <w:rsid w:val="00270863"/>
    <w:rsid w:val="00270A29"/>
    <w:rsid w:val="00270A40"/>
    <w:rsid w:val="00270A61"/>
    <w:rsid w:val="00270A95"/>
    <w:rsid w:val="00270B20"/>
    <w:rsid w:val="00270CBE"/>
    <w:rsid w:val="00270EA3"/>
    <w:rsid w:val="00270F37"/>
    <w:rsid w:val="002711CB"/>
    <w:rsid w:val="00271259"/>
    <w:rsid w:val="00271318"/>
    <w:rsid w:val="00271336"/>
    <w:rsid w:val="002714AC"/>
    <w:rsid w:val="0027167B"/>
    <w:rsid w:val="0027169E"/>
    <w:rsid w:val="00271811"/>
    <w:rsid w:val="00271932"/>
    <w:rsid w:val="002719E9"/>
    <w:rsid w:val="00271A29"/>
    <w:rsid w:val="00271A3A"/>
    <w:rsid w:val="00271BD4"/>
    <w:rsid w:val="00271CD0"/>
    <w:rsid w:val="00271D7A"/>
    <w:rsid w:val="00271DE3"/>
    <w:rsid w:val="0027210B"/>
    <w:rsid w:val="00272379"/>
    <w:rsid w:val="0027253A"/>
    <w:rsid w:val="002725DC"/>
    <w:rsid w:val="0027294B"/>
    <w:rsid w:val="00272B20"/>
    <w:rsid w:val="00272B3E"/>
    <w:rsid w:val="002730B1"/>
    <w:rsid w:val="00273160"/>
    <w:rsid w:val="0027317B"/>
    <w:rsid w:val="00273436"/>
    <w:rsid w:val="00273634"/>
    <w:rsid w:val="002739B7"/>
    <w:rsid w:val="00273EB4"/>
    <w:rsid w:val="00274070"/>
    <w:rsid w:val="002740CB"/>
    <w:rsid w:val="00274466"/>
    <w:rsid w:val="00274500"/>
    <w:rsid w:val="00274603"/>
    <w:rsid w:val="00274682"/>
    <w:rsid w:val="00274708"/>
    <w:rsid w:val="0027477A"/>
    <w:rsid w:val="00274A37"/>
    <w:rsid w:val="00274ABD"/>
    <w:rsid w:val="00274BB0"/>
    <w:rsid w:val="00274D57"/>
    <w:rsid w:val="00274DBB"/>
    <w:rsid w:val="00274E14"/>
    <w:rsid w:val="00274E70"/>
    <w:rsid w:val="00275152"/>
    <w:rsid w:val="00275158"/>
    <w:rsid w:val="00275336"/>
    <w:rsid w:val="002753E2"/>
    <w:rsid w:val="002753E3"/>
    <w:rsid w:val="002757E6"/>
    <w:rsid w:val="0027584F"/>
    <w:rsid w:val="0027591D"/>
    <w:rsid w:val="00275954"/>
    <w:rsid w:val="00275A15"/>
    <w:rsid w:val="00275C5A"/>
    <w:rsid w:val="00275CC9"/>
    <w:rsid w:val="00275CD6"/>
    <w:rsid w:val="00275D5E"/>
    <w:rsid w:val="00275D96"/>
    <w:rsid w:val="00275E3F"/>
    <w:rsid w:val="0027608D"/>
    <w:rsid w:val="0027611B"/>
    <w:rsid w:val="00276128"/>
    <w:rsid w:val="00276476"/>
    <w:rsid w:val="002764DE"/>
    <w:rsid w:val="002764FC"/>
    <w:rsid w:val="002766FD"/>
    <w:rsid w:val="0027686B"/>
    <w:rsid w:val="002768EE"/>
    <w:rsid w:val="00276907"/>
    <w:rsid w:val="002769EC"/>
    <w:rsid w:val="002769FE"/>
    <w:rsid w:val="00276AFE"/>
    <w:rsid w:val="00276C8C"/>
    <w:rsid w:val="00276D23"/>
    <w:rsid w:val="00276D47"/>
    <w:rsid w:val="00276FBC"/>
    <w:rsid w:val="00277082"/>
    <w:rsid w:val="002770E9"/>
    <w:rsid w:val="0027733D"/>
    <w:rsid w:val="002775AB"/>
    <w:rsid w:val="00280141"/>
    <w:rsid w:val="00280195"/>
    <w:rsid w:val="00280201"/>
    <w:rsid w:val="00280514"/>
    <w:rsid w:val="0028061D"/>
    <w:rsid w:val="00280656"/>
    <w:rsid w:val="00280C2E"/>
    <w:rsid w:val="00280CB8"/>
    <w:rsid w:val="00281014"/>
    <w:rsid w:val="002811FD"/>
    <w:rsid w:val="00281625"/>
    <w:rsid w:val="0028175E"/>
    <w:rsid w:val="002817C5"/>
    <w:rsid w:val="002818DE"/>
    <w:rsid w:val="00281A75"/>
    <w:rsid w:val="00281AE3"/>
    <w:rsid w:val="00281AFD"/>
    <w:rsid w:val="00281C7F"/>
    <w:rsid w:val="00281CE1"/>
    <w:rsid w:val="00281D27"/>
    <w:rsid w:val="00281F4D"/>
    <w:rsid w:val="00281F97"/>
    <w:rsid w:val="0028207B"/>
    <w:rsid w:val="002821E3"/>
    <w:rsid w:val="002823E5"/>
    <w:rsid w:val="0028243A"/>
    <w:rsid w:val="002824C7"/>
    <w:rsid w:val="002825D2"/>
    <w:rsid w:val="002825ED"/>
    <w:rsid w:val="002825FA"/>
    <w:rsid w:val="0028260C"/>
    <w:rsid w:val="00282650"/>
    <w:rsid w:val="002828DE"/>
    <w:rsid w:val="002829D5"/>
    <w:rsid w:val="00282A45"/>
    <w:rsid w:val="00282AFD"/>
    <w:rsid w:val="00282B87"/>
    <w:rsid w:val="00282B9C"/>
    <w:rsid w:val="00282CB9"/>
    <w:rsid w:val="00282CFF"/>
    <w:rsid w:val="0028306B"/>
    <w:rsid w:val="00283141"/>
    <w:rsid w:val="002831A7"/>
    <w:rsid w:val="0028324E"/>
    <w:rsid w:val="00283269"/>
    <w:rsid w:val="002832BD"/>
    <w:rsid w:val="002832C2"/>
    <w:rsid w:val="002833E3"/>
    <w:rsid w:val="002835D2"/>
    <w:rsid w:val="0028366C"/>
    <w:rsid w:val="002836EA"/>
    <w:rsid w:val="00283747"/>
    <w:rsid w:val="00283B51"/>
    <w:rsid w:val="00283CF1"/>
    <w:rsid w:val="00283D29"/>
    <w:rsid w:val="00283D4F"/>
    <w:rsid w:val="0028416E"/>
    <w:rsid w:val="002841AF"/>
    <w:rsid w:val="002841F4"/>
    <w:rsid w:val="002841F7"/>
    <w:rsid w:val="002841FE"/>
    <w:rsid w:val="00284266"/>
    <w:rsid w:val="0028447F"/>
    <w:rsid w:val="002844DC"/>
    <w:rsid w:val="0028453B"/>
    <w:rsid w:val="0028458B"/>
    <w:rsid w:val="002845AA"/>
    <w:rsid w:val="0028479B"/>
    <w:rsid w:val="0028487B"/>
    <w:rsid w:val="00284892"/>
    <w:rsid w:val="00284A4C"/>
    <w:rsid w:val="00284B16"/>
    <w:rsid w:val="00284B6A"/>
    <w:rsid w:val="00284BDF"/>
    <w:rsid w:val="00284E72"/>
    <w:rsid w:val="00284ED0"/>
    <w:rsid w:val="00284F41"/>
    <w:rsid w:val="00285149"/>
    <w:rsid w:val="00285166"/>
    <w:rsid w:val="002851E8"/>
    <w:rsid w:val="00285250"/>
    <w:rsid w:val="002852EE"/>
    <w:rsid w:val="002853B4"/>
    <w:rsid w:val="002853D8"/>
    <w:rsid w:val="00285477"/>
    <w:rsid w:val="00285613"/>
    <w:rsid w:val="00285664"/>
    <w:rsid w:val="00285789"/>
    <w:rsid w:val="002858E9"/>
    <w:rsid w:val="00285AFC"/>
    <w:rsid w:val="00285BCE"/>
    <w:rsid w:val="00285CB7"/>
    <w:rsid w:val="00285DB9"/>
    <w:rsid w:val="00285F3D"/>
    <w:rsid w:val="002861A3"/>
    <w:rsid w:val="002861F3"/>
    <w:rsid w:val="002865E5"/>
    <w:rsid w:val="0028665D"/>
    <w:rsid w:val="00286715"/>
    <w:rsid w:val="00286758"/>
    <w:rsid w:val="002867FF"/>
    <w:rsid w:val="00286837"/>
    <w:rsid w:val="00286AC4"/>
    <w:rsid w:val="00286B40"/>
    <w:rsid w:val="00286BEB"/>
    <w:rsid w:val="00286C37"/>
    <w:rsid w:val="00286CC1"/>
    <w:rsid w:val="00286CC8"/>
    <w:rsid w:val="00286CE3"/>
    <w:rsid w:val="00286ED9"/>
    <w:rsid w:val="00286EFF"/>
    <w:rsid w:val="00286F22"/>
    <w:rsid w:val="0028712E"/>
    <w:rsid w:val="002872DD"/>
    <w:rsid w:val="0028777E"/>
    <w:rsid w:val="00287982"/>
    <w:rsid w:val="00287B22"/>
    <w:rsid w:val="00287C9B"/>
    <w:rsid w:val="00287D67"/>
    <w:rsid w:val="00287EA4"/>
    <w:rsid w:val="00287EBF"/>
    <w:rsid w:val="00290074"/>
    <w:rsid w:val="00290135"/>
    <w:rsid w:val="002902C5"/>
    <w:rsid w:val="0029039B"/>
    <w:rsid w:val="0029050C"/>
    <w:rsid w:val="0029076D"/>
    <w:rsid w:val="00290A0F"/>
    <w:rsid w:val="00290A52"/>
    <w:rsid w:val="00290E5B"/>
    <w:rsid w:val="00290F9A"/>
    <w:rsid w:val="0029108A"/>
    <w:rsid w:val="0029114D"/>
    <w:rsid w:val="00291247"/>
    <w:rsid w:val="00291270"/>
    <w:rsid w:val="0029137C"/>
    <w:rsid w:val="0029137F"/>
    <w:rsid w:val="002915C8"/>
    <w:rsid w:val="002916DF"/>
    <w:rsid w:val="00291759"/>
    <w:rsid w:val="0029180E"/>
    <w:rsid w:val="002918A5"/>
    <w:rsid w:val="0029198F"/>
    <w:rsid w:val="00291A93"/>
    <w:rsid w:val="00291C08"/>
    <w:rsid w:val="00291CB7"/>
    <w:rsid w:val="00291D93"/>
    <w:rsid w:val="00291F60"/>
    <w:rsid w:val="00291FD4"/>
    <w:rsid w:val="00292169"/>
    <w:rsid w:val="002921D2"/>
    <w:rsid w:val="002922B1"/>
    <w:rsid w:val="00292320"/>
    <w:rsid w:val="0029236F"/>
    <w:rsid w:val="00292402"/>
    <w:rsid w:val="002924CB"/>
    <w:rsid w:val="00292908"/>
    <w:rsid w:val="002929F4"/>
    <w:rsid w:val="00292A06"/>
    <w:rsid w:val="00292B46"/>
    <w:rsid w:val="00292BD5"/>
    <w:rsid w:val="00293168"/>
    <w:rsid w:val="002931C4"/>
    <w:rsid w:val="0029339E"/>
    <w:rsid w:val="002933B1"/>
    <w:rsid w:val="002936EF"/>
    <w:rsid w:val="00293D86"/>
    <w:rsid w:val="00293E68"/>
    <w:rsid w:val="00293EC5"/>
    <w:rsid w:val="00293F2C"/>
    <w:rsid w:val="00293F77"/>
    <w:rsid w:val="00294099"/>
    <w:rsid w:val="00294161"/>
    <w:rsid w:val="002941AC"/>
    <w:rsid w:val="002943D7"/>
    <w:rsid w:val="002943EC"/>
    <w:rsid w:val="002944F9"/>
    <w:rsid w:val="0029453B"/>
    <w:rsid w:val="002945FB"/>
    <w:rsid w:val="002945FE"/>
    <w:rsid w:val="002948C5"/>
    <w:rsid w:val="00294A48"/>
    <w:rsid w:val="00294BCD"/>
    <w:rsid w:val="00294EEB"/>
    <w:rsid w:val="00294F5E"/>
    <w:rsid w:val="002950E2"/>
    <w:rsid w:val="002950F0"/>
    <w:rsid w:val="002950FD"/>
    <w:rsid w:val="00295155"/>
    <w:rsid w:val="002952C9"/>
    <w:rsid w:val="002953DA"/>
    <w:rsid w:val="002953FD"/>
    <w:rsid w:val="00295422"/>
    <w:rsid w:val="00295462"/>
    <w:rsid w:val="0029548E"/>
    <w:rsid w:val="00295504"/>
    <w:rsid w:val="00295720"/>
    <w:rsid w:val="00295AA6"/>
    <w:rsid w:val="00295C06"/>
    <w:rsid w:val="00295CAF"/>
    <w:rsid w:val="00295D01"/>
    <w:rsid w:val="00295E61"/>
    <w:rsid w:val="00295E8D"/>
    <w:rsid w:val="002960BE"/>
    <w:rsid w:val="00296202"/>
    <w:rsid w:val="0029626A"/>
    <w:rsid w:val="002963CF"/>
    <w:rsid w:val="00296436"/>
    <w:rsid w:val="0029675F"/>
    <w:rsid w:val="00296865"/>
    <w:rsid w:val="002968DD"/>
    <w:rsid w:val="00296982"/>
    <w:rsid w:val="00296989"/>
    <w:rsid w:val="00296C2E"/>
    <w:rsid w:val="00296E2A"/>
    <w:rsid w:val="00296E4A"/>
    <w:rsid w:val="0029712A"/>
    <w:rsid w:val="0029718D"/>
    <w:rsid w:val="00297191"/>
    <w:rsid w:val="002971A8"/>
    <w:rsid w:val="002971D5"/>
    <w:rsid w:val="002971F9"/>
    <w:rsid w:val="002974BE"/>
    <w:rsid w:val="002975EE"/>
    <w:rsid w:val="002976B2"/>
    <w:rsid w:val="00297738"/>
    <w:rsid w:val="0029791D"/>
    <w:rsid w:val="00297BB0"/>
    <w:rsid w:val="00297BC7"/>
    <w:rsid w:val="00297C50"/>
    <w:rsid w:val="00297C60"/>
    <w:rsid w:val="00297C79"/>
    <w:rsid w:val="00297D0F"/>
    <w:rsid w:val="00297D75"/>
    <w:rsid w:val="00297DFD"/>
    <w:rsid w:val="00297F79"/>
    <w:rsid w:val="00297FE9"/>
    <w:rsid w:val="002A0026"/>
    <w:rsid w:val="002A0390"/>
    <w:rsid w:val="002A0604"/>
    <w:rsid w:val="002A063F"/>
    <w:rsid w:val="002A065A"/>
    <w:rsid w:val="002A073B"/>
    <w:rsid w:val="002A076A"/>
    <w:rsid w:val="002A08B8"/>
    <w:rsid w:val="002A0A07"/>
    <w:rsid w:val="002A0A2B"/>
    <w:rsid w:val="002A0BB7"/>
    <w:rsid w:val="002A0C6B"/>
    <w:rsid w:val="002A0C9C"/>
    <w:rsid w:val="002A0CCD"/>
    <w:rsid w:val="002A0D13"/>
    <w:rsid w:val="002A0E42"/>
    <w:rsid w:val="002A0EB0"/>
    <w:rsid w:val="002A102C"/>
    <w:rsid w:val="002A10AA"/>
    <w:rsid w:val="002A10B3"/>
    <w:rsid w:val="002A113E"/>
    <w:rsid w:val="002A13AE"/>
    <w:rsid w:val="002A14AB"/>
    <w:rsid w:val="002A15F7"/>
    <w:rsid w:val="002A17FB"/>
    <w:rsid w:val="002A1A23"/>
    <w:rsid w:val="002A1AFA"/>
    <w:rsid w:val="002A1BDD"/>
    <w:rsid w:val="002A1F92"/>
    <w:rsid w:val="002A2107"/>
    <w:rsid w:val="002A21D3"/>
    <w:rsid w:val="002A2709"/>
    <w:rsid w:val="002A28B0"/>
    <w:rsid w:val="002A2ADE"/>
    <w:rsid w:val="002A2B38"/>
    <w:rsid w:val="002A2B80"/>
    <w:rsid w:val="002A2D7A"/>
    <w:rsid w:val="002A2F50"/>
    <w:rsid w:val="002A30E2"/>
    <w:rsid w:val="002A3258"/>
    <w:rsid w:val="002A3260"/>
    <w:rsid w:val="002A346F"/>
    <w:rsid w:val="002A35BC"/>
    <w:rsid w:val="002A3921"/>
    <w:rsid w:val="002A3943"/>
    <w:rsid w:val="002A3A25"/>
    <w:rsid w:val="002A3A56"/>
    <w:rsid w:val="002A3CAA"/>
    <w:rsid w:val="002A3CFA"/>
    <w:rsid w:val="002A3D62"/>
    <w:rsid w:val="002A3D9E"/>
    <w:rsid w:val="002A3DE1"/>
    <w:rsid w:val="002A3F0E"/>
    <w:rsid w:val="002A40F1"/>
    <w:rsid w:val="002A41E7"/>
    <w:rsid w:val="002A4251"/>
    <w:rsid w:val="002A4280"/>
    <w:rsid w:val="002A4706"/>
    <w:rsid w:val="002A4925"/>
    <w:rsid w:val="002A49E6"/>
    <w:rsid w:val="002A4B0D"/>
    <w:rsid w:val="002A4C96"/>
    <w:rsid w:val="002A4D9E"/>
    <w:rsid w:val="002A4E36"/>
    <w:rsid w:val="002A51F1"/>
    <w:rsid w:val="002A51F2"/>
    <w:rsid w:val="002A527B"/>
    <w:rsid w:val="002A5284"/>
    <w:rsid w:val="002A52AA"/>
    <w:rsid w:val="002A53FF"/>
    <w:rsid w:val="002A54A4"/>
    <w:rsid w:val="002A54B9"/>
    <w:rsid w:val="002A5689"/>
    <w:rsid w:val="002A5BBC"/>
    <w:rsid w:val="002A5BFA"/>
    <w:rsid w:val="002A5D21"/>
    <w:rsid w:val="002A5E93"/>
    <w:rsid w:val="002A5F2E"/>
    <w:rsid w:val="002A5F95"/>
    <w:rsid w:val="002A6566"/>
    <w:rsid w:val="002A65AA"/>
    <w:rsid w:val="002A67FB"/>
    <w:rsid w:val="002A6825"/>
    <w:rsid w:val="002A6A1D"/>
    <w:rsid w:val="002A6A9F"/>
    <w:rsid w:val="002A6C64"/>
    <w:rsid w:val="002A6C86"/>
    <w:rsid w:val="002A6CFE"/>
    <w:rsid w:val="002A6EA6"/>
    <w:rsid w:val="002A70B6"/>
    <w:rsid w:val="002A7159"/>
    <w:rsid w:val="002A7218"/>
    <w:rsid w:val="002A723D"/>
    <w:rsid w:val="002A73DB"/>
    <w:rsid w:val="002A7433"/>
    <w:rsid w:val="002A75B6"/>
    <w:rsid w:val="002A784E"/>
    <w:rsid w:val="002A786D"/>
    <w:rsid w:val="002A7943"/>
    <w:rsid w:val="002A797C"/>
    <w:rsid w:val="002A7ADA"/>
    <w:rsid w:val="002A7AF1"/>
    <w:rsid w:val="002A7CCD"/>
    <w:rsid w:val="002A7CF5"/>
    <w:rsid w:val="002A7EBB"/>
    <w:rsid w:val="002B0284"/>
    <w:rsid w:val="002B02C6"/>
    <w:rsid w:val="002B039F"/>
    <w:rsid w:val="002B05A1"/>
    <w:rsid w:val="002B05FD"/>
    <w:rsid w:val="002B072A"/>
    <w:rsid w:val="002B08DB"/>
    <w:rsid w:val="002B09A4"/>
    <w:rsid w:val="002B09D6"/>
    <w:rsid w:val="002B0AAA"/>
    <w:rsid w:val="002B0C83"/>
    <w:rsid w:val="002B0DAD"/>
    <w:rsid w:val="002B1028"/>
    <w:rsid w:val="002B10DB"/>
    <w:rsid w:val="002B10F2"/>
    <w:rsid w:val="002B1163"/>
    <w:rsid w:val="002B125D"/>
    <w:rsid w:val="002B130D"/>
    <w:rsid w:val="002B145E"/>
    <w:rsid w:val="002B1660"/>
    <w:rsid w:val="002B17AF"/>
    <w:rsid w:val="002B19DF"/>
    <w:rsid w:val="002B19F7"/>
    <w:rsid w:val="002B1A5E"/>
    <w:rsid w:val="002B1BAC"/>
    <w:rsid w:val="002B1C1F"/>
    <w:rsid w:val="002B1D19"/>
    <w:rsid w:val="002B1D7E"/>
    <w:rsid w:val="002B1DEB"/>
    <w:rsid w:val="002B1E53"/>
    <w:rsid w:val="002B2153"/>
    <w:rsid w:val="002B216E"/>
    <w:rsid w:val="002B26C3"/>
    <w:rsid w:val="002B276F"/>
    <w:rsid w:val="002B2CDA"/>
    <w:rsid w:val="002B3016"/>
    <w:rsid w:val="002B31C4"/>
    <w:rsid w:val="002B33B4"/>
    <w:rsid w:val="002B33FF"/>
    <w:rsid w:val="002B34EC"/>
    <w:rsid w:val="002B3680"/>
    <w:rsid w:val="002B392D"/>
    <w:rsid w:val="002B39ED"/>
    <w:rsid w:val="002B3A14"/>
    <w:rsid w:val="002B3AA9"/>
    <w:rsid w:val="002B3BBA"/>
    <w:rsid w:val="002B407E"/>
    <w:rsid w:val="002B4179"/>
    <w:rsid w:val="002B432F"/>
    <w:rsid w:val="002B43F6"/>
    <w:rsid w:val="002B449E"/>
    <w:rsid w:val="002B4733"/>
    <w:rsid w:val="002B47A9"/>
    <w:rsid w:val="002B483B"/>
    <w:rsid w:val="002B48C4"/>
    <w:rsid w:val="002B49EC"/>
    <w:rsid w:val="002B4C87"/>
    <w:rsid w:val="002B4EF4"/>
    <w:rsid w:val="002B502A"/>
    <w:rsid w:val="002B5231"/>
    <w:rsid w:val="002B5289"/>
    <w:rsid w:val="002B54B5"/>
    <w:rsid w:val="002B558B"/>
    <w:rsid w:val="002B5616"/>
    <w:rsid w:val="002B598C"/>
    <w:rsid w:val="002B5AC3"/>
    <w:rsid w:val="002B5CBF"/>
    <w:rsid w:val="002B5D2B"/>
    <w:rsid w:val="002B5D42"/>
    <w:rsid w:val="002B5EDC"/>
    <w:rsid w:val="002B611A"/>
    <w:rsid w:val="002B6135"/>
    <w:rsid w:val="002B6182"/>
    <w:rsid w:val="002B62B3"/>
    <w:rsid w:val="002B6372"/>
    <w:rsid w:val="002B6481"/>
    <w:rsid w:val="002B6512"/>
    <w:rsid w:val="002B6569"/>
    <w:rsid w:val="002B6754"/>
    <w:rsid w:val="002B679F"/>
    <w:rsid w:val="002B68AE"/>
    <w:rsid w:val="002B68FA"/>
    <w:rsid w:val="002B6A15"/>
    <w:rsid w:val="002B6B95"/>
    <w:rsid w:val="002B6BB4"/>
    <w:rsid w:val="002B6BC9"/>
    <w:rsid w:val="002B6CCE"/>
    <w:rsid w:val="002B6D3E"/>
    <w:rsid w:val="002B7069"/>
    <w:rsid w:val="002B70E1"/>
    <w:rsid w:val="002B75A2"/>
    <w:rsid w:val="002B76C5"/>
    <w:rsid w:val="002B76C7"/>
    <w:rsid w:val="002B777A"/>
    <w:rsid w:val="002B7A1A"/>
    <w:rsid w:val="002B7A24"/>
    <w:rsid w:val="002B7A79"/>
    <w:rsid w:val="002B7C59"/>
    <w:rsid w:val="002B7E84"/>
    <w:rsid w:val="002C0040"/>
    <w:rsid w:val="002C0098"/>
    <w:rsid w:val="002C0149"/>
    <w:rsid w:val="002C0175"/>
    <w:rsid w:val="002C018A"/>
    <w:rsid w:val="002C027B"/>
    <w:rsid w:val="002C043F"/>
    <w:rsid w:val="002C05DD"/>
    <w:rsid w:val="002C075D"/>
    <w:rsid w:val="002C0A19"/>
    <w:rsid w:val="002C0BEB"/>
    <w:rsid w:val="002C0C2C"/>
    <w:rsid w:val="002C0D09"/>
    <w:rsid w:val="002C0E51"/>
    <w:rsid w:val="002C0F3E"/>
    <w:rsid w:val="002C0F7A"/>
    <w:rsid w:val="002C101F"/>
    <w:rsid w:val="002C1081"/>
    <w:rsid w:val="002C11F0"/>
    <w:rsid w:val="002C14E0"/>
    <w:rsid w:val="002C1549"/>
    <w:rsid w:val="002C154C"/>
    <w:rsid w:val="002C19F1"/>
    <w:rsid w:val="002C1B15"/>
    <w:rsid w:val="002C1DE4"/>
    <w:rsid w:val="002C1F1E"/>
    <w:rsid w:val="002C206E"/>
    <w:rsid w:val="002C24C0"/>
    <w:rsid w:val="002C2510"/>
    <w:rsid w:val="002C2596"/>
    <w:rsid w:val="002C260D"/>
    <w:rsid w:val="002C2775"/>
    <w:rsid w:val="002C27C1"/>
    <w:rsid w:val="002C2828"/>
    <w:rsid w:val="002C28C6"/>
    <w:rsid w:val="002C2A5E"/>
    <w:rsid w:val="002C2B0C"/>
    <w:rsid w:val="002C2B17"/>
    <w:rsid w:val="002C2BC8"/>
    <w:rsid w:val="002C2C37"/>
    <w:rsid w:val="002C2DC7"/>
    <w:rsid w:val="002C2E4B"/>
    <w:rsid w:val="002C2F63"/>
    <w:rsid w:val="002C2F82"/>
    <w:rsid w:val="002C302B"/>
    <w:rsid w:val="002C30A0"/>
    <w:rsid w:val="002C33D2"/>
    <w:rsid w:val="002C342E"/>
    <w:rsid w:val="002C354B"/>
    <w:rsid w:val="002C3642"/>
    <w:rsid w:val="002C36E3"/>
    <w:rsid w:val="002C373C"/>
    <w:rsid w:val="002C3ADB"/>
    <w:rsid w:val="002C3C26"/>
    <w:rsid w:val="002C3C2A"/>
    <w:rsid w:val="002C3DC5"/>
    <w:rsid w:val="002C42A9"/>
    <w:rsid w:val="002C479A"/>
    <w:rsid w:val="002C4A46"/>
    <w:rsid w:val="002C4B19"/>
    <w:rsid w:val="002C4B6D"/>
    <w:rsid w:val="002C4CCF"/>
    <w:rsid w:val="002C5053"/>
    <w:rsid w:val="002C5099"/>
    <w:rsid w:val="002C51E5"/>
    <w:rsid w:val="002C539F"/>
    <w:rsid w:val="002C5592"/>
    <w:rsid w:val="002C5641"/>
    <w:rsid w:val="002C5689"/>
    <w:rsid w:val="002C5718"/>
    <w:rsid w:val="002C5889"/>
    <w:rsid w:val="002C5941"/>
    <w:rsid w:val="002C5A79"/>
    <w:rsid w:val="002C5A8C"/>
    <w:rsid w:val="002C5BE1"/>
    <w:rsid w:val="002C5C37"/>
    <w:rsid w:val="002C5E98"/>
    <w:rsid w:val="002C5ED2"/>
    <w:rsid w:val="002C60F6"/>
    <w:rsid w:val="002C6172"/>
    <w:rsid w:val="002C6B37"/>
    <w:rsid w:val="002C6B40"/>
    <w:rsid w:val="002C6B4B"/>
    <w:rsid w:val="002C6B8D"/>
    <w:rsid w:val="002C6BAE"/>
    <w:rsid w:val="002C6E86"/>
    <w:rsid w:val="002C6F16"/>
    <w:rsid w:val="002C6F46"/>
    <w:rsid w:val="002C6FE6"/>
    <w:rsid w:val="002C7090"/>
    <w:rsid w:val="002C70EC"/>
    <w:rsid w:val="002C71CE"/>
    <w:rsid w:val="002C71E5"/>
    <w:rsid w:val="002C742D"/>
    <w:rsid w:val="002C7458"/>
    <w:rsid w:val="002C7618"/>
    <w:rsid w:val="002C763C"/>
    <w:rsid w:val="002C7AB6"/>
    <w:rsid w:val="002C7AF5"/>
    <w:rsid w:val="002C7B9C"/>
    <w:rsid w:val="002C7BBD"/>
    <w:rsid w:val="002D038C"/>
    <w:rsid w:val="002D043D"/>
    <w:rsid w:val="002D05EE"/>
    <w:rsid w:val="002D0690"/>
    <w:rsid w:val="002D0722"/>
    <w:rsid w:val="002D07A3"/>
    <w:rsid w:val="002D07E3"/>
    <w:rsid w:val="002D08F8"/>
    <w:rsid w:val="002D0965"/>
    <w:rsid w:val="002D0D1D"/>
    <w:rsid w:val="002D125D"/>
    <w:rsid w:val="002D132F"/>
    <w:rsid w:val="002D1546"/>
    <w:rsid w:val="002D1550"/>
    <w:rsid w:val="002D1659"/>
    <w:rsid w:val="002D1937"/>
    <w:rsid w:val="002D1A24"/>
    <w:rsid w:val="002D1B8B"/>
    <w:rsid w:val="002D1B8E"/>
    <w:rsid w:val="002D1D1A"/>
    <w:rsid w:val="002D1E04"/>
    <w:rsid w:val="002D1E15"/>
    <w:rsid w:val="002D1E88"/>
    <w:rsid w:val="002D1F4A"/>
    <w:rsid w:val="002D20CF"/>
    <w:rsid w:val="002D217F"/>
    <w:rsid w:val="002D22B2"/>
    <w:rsid w:val="002D2301"/>
    <w:rsid w:val="002D230A"/>
    <w:rsid w:val="002D241F"/>
    <w:rsid w:val="002D2700"/>
    <w:rsid w:val="002D2940"/>
    <w:rsid w:val="002D2AFD"/>
    <w:rsid w:val="002D2C30"/>
    <w:rsid w:val="002D2D60"/>
    <w:rsid w:val="002D2D62"/>
    <w:rsid w:val="002D2D6E"/>
    <w:rsid w:val="002D3109"/>
    <w:rsid w:val="002D3148"/>
    <w:rsid w:val="002D32E2"/>
    <w:rsid w:val="002D338E"/>
    <w:rsid w:val="002D344C"/>
    <w:rsid w:val="002D3654"/>
    <w:rsid w:val="002D36D3"/>
    <w:rsid w:val="002D3865"/>
    <w:rsid w:val="002D388D"/>
    <w:rsid w:val="002D38A7"/>
    <w:rsid w:val="002D39BC"/>
    <w:rsid w:val="002D3A03"/>
    <w:rsid w:val="002D40DF"/>
    <w:rsid w:val="002D42DD"/>
    <w:rsid w:val="002D42F2"/>
    <w:rsid w:val="002D43E9"/>
    <w:rsid w:val="002D4613"/>
    <w:rsid w:val="002D4644"/>
    <w:rsid w:val="002D475C"/>
    <w:rsid w:val="002D4761"/>
    <w:rsid w:val="002D49CE"/>
    <w:rsid w:val="002D49DD"/>
    <w:rsid w:val="002D4BA0"/>
    <w:rsid w:val="002D4F22"/>
    <w:rsid w:val="002D5222"/>
    <w:rsid w:val="002D534D"/>
    <w:rsid w:val="002D543C"/>
    <w:rsid w:val="002D5499"/>
    <w:rsid w:val="002D5505"/>
    <w:rsid w:val="002D5545"/>
    <w:rsid w:val="002D5556"/>
    <w:rsid w:val="002D577C"/>
    <w:rsid w:val="002D57EC"/>
    <w:rsid w:val="002D5817"/>
    <w:rsid w:val="002D5B73"/>
    <w:rsid w:val="002D5BFD"/>
    <w:rsid w:val="002D5D74"/>
    <w:rsid w:val="002D5F20"/>
    <w:rsid w:val="002D5FB1"/>
    <w:rsid w:val="002D61F7"/>
    <w:rsid w:val="002D63B1"/>
    <w:rsid w:val="002D64EF"/>
    <w:rsid w:val="002D6554"/>
    <w:rsid w:val="002D6593"/>
    <w:rsid w:val="002D66C2"/>
    <w:rsid w:val="002D6754"/>
    <w:rsid w:val="002D6902"/>
    <w:rsid w:val="002D697A"/>
    <w:rsid w:val="002D6F01"/>
    <w:rsid w:val="002D7008"/>
    <w:rsid w:val="002D70C2"/>
    <w:rsid w:val="002D7137"/>
    <w:rsid w:val="002D71A3"/>
    <w:rsid w:val="002D71B2"/>
    <w:rsid w:val="002D720C"/>
    <w:rsid w:val="002D72AA"/>
    <w:rsid w:val="002D73DD"/>
    <w:rsid w:val="002D744F"/>
    <w:rsid w:val="002D745B"/>
    <w:rsid w:val="002D75F4"/>
    <w:rsid w:val="002D7832"/>
    <w:rsid w:val="002D7913"/>
    <w:rsid w:val="002D7ABB"/>
    <w:rsid w:val="002D7B15"/>
    <w:rsid w:val="002D7BD0"/>
    <w:rsid w:val="002D7C81"/>
    <w:rsid w:val="002D7DCA"/>
    <w:rsid w:val="002D7E15"/>
    <w:rsid w:val="002D7FF7"/>
    <w:rsid w:val="002E020D"/>
    <w:rsid w:val="002E02E4"/>
    <w:rsid w:val="002E0489"/>
    <w:rsid w:val="002E058B"/>
    <w:rsid w:val="002E06BD"/>
    <w:rsid w:val="002E0764"/>
    <w:rsid w:val="002E0860"/>
    <w:rsid w:val="002E0879"/>
    <w:rsid w:val="002E0C96"/>
    <w:rsid w:val="002E0EE6"/>
    <w:rsid w:val="002E0EEF"/>
    <w:rsid w:val="002E1071"/>
    <w:rsid w:val="002E135C"/>
    <w:rsid w:val="002E15B9"/>
    <w:rsid w:val="002E1683"/>
    <w:rsid w:val="002E16BE"/>
    <w:rsid w:val="002E1776"/>
    <w:rsid w:val="002E1AD3"/>
    <w:rsid w:val="002E1AEC"/>
    <w:rsid w:val="002E1B34"/>
    <w:rsid w:val="002E1C2F"/>
    <w:rsid w:val="002E1D19"/>
    <w:rsid w:val="002E1D9E"/>
    <w:rsid w:val="002E1E88"/>
    <w:rsid w:val="002E1E95"/>
    <w:rsid w:val="002E20D5"/>
    <w:rsid w:val="002E2158"/>
    <w:rsid w:val="002E21F8"/>
    <w:rsid w:val="002E2272"/>
    <w:rsid w:val="002E2515"/>
    <w:rsid w:val="002E2527"/>
    <w:rsid w:val="002E26EA"/>
    <w:rsid w:val="002E2968"/>
    <w:rsid w:val="002E29E3"/>
    <w:rsid w:val="002E2A14"/>
    <w:rsid w:val="002E2E5B"/>
    <w:rsid w:val="002E2FE2"/>
    <w:rsid w:val="002E303F"/>
    <w:rsid w:val="002E305A"/>
    <w:rsid w:val="002E3081"/>
    <w:rsid w:val="002E3321"/>
    <w:rsid w:val="002E341E"/>
    <w:rsid w:val="002E3425"/>
    <w:rsid w:val="002E344A"/>
    <w:rsid w:val="002E346D"/>
    <w:rsid w:val="002E34B4"/>
    <w:rsid w:val="002E3683"/>
    <w:rsid w:val="002E3772"/>
    <w:rsid w:val="002E380F"/>
    <w:rsid w:val="002E384F"/>
    <w:rsid w:val="002E38D7"/>
    <w:rsid w:val="002E39E0"/>
    <w:rsid w:val="002E3B41"/>
    <w:rsid w:val="002E3BC9"/>
    <w:rsid w:val="002E3F5D"/>
    <w:rsid w:val="002E44E2"/>
    <w:rsid w:val="002E479C"/>
    <w:rsid w:val="002E47AD"/>
    <w:rsid w:val="002E47F1"/>
    <w:rsid w:val="002E49CC"/>
    <w:rsid w:val="002E49D4"/>
    <w:rsid w:val="002E4BFB"/>
    <w:rsid w:val="002E4C11"/>
    <w:rsid w:val="002E4C46"/>
    <w:rsid w:val="002E4CE2"/>
    <w:rsid w:val="002E4EE8"/>
    <w:rsid w:val="002E4F02"/>
    <w:rsid w:val="002E4F62"/>
    <w:rsid w:val="002E534C"/>
    <w:rsid w:val="002E557F"/>
    <w:rsid w:val="002E55C4"/>
    <w:rsid w:val="002E58C8"/>
    <w:rsid w:val="002E5929"/>
    <w:rsid w:val="002E5B3B"/>
    <w:rsid w:val="002E5D2E"/>
    <w:rsid w:val="002E5E3C"/>
    <w:rsid w:val="002E6315"/>
    <w:rsid w:val="002E6374"/>
    <w:rsid w:val="002E63F4"/>
    <w:rsid w:val="002E642C"/>
    <w:rsid w:val="002E64E0"/>
    <w:rsid w:val="002E67D4"/>
    <w:rsid w:val="002E687D"/>
    <w:rsid w:val="002E68BB"/>
    <w:rsid w:val="002E6953"/>
    <w:rsid w:val="002E69D2"/>
    <w:rsid w:val="002E6B10"/>
    <w:rsid w:val="002E6B9D"/>
    <w:rsid w:val="002E6CE0"/>
    <w:rsid w:val="002E6E69"/>
    <w:rsid w:val="002E6E87"/>
    <w:rsid w:val="002E7167"/>
    <w:rsid w:val="002E74B0"/>
    <w:rsid w:val="002E7504"/>
    <w:rsid w:val="002E7722"/>
    <w:rsid w:val="002E7849"/>
    <w:rsid w:val="002E7A6C"/>
    <w:rsid w:val="002E7B1F"/>
    <w:rsid w:val="002E7D6A"/>
    <w:rsid w:val="002E7F09"/>
    <w:rsid w:val="002E7F5D"/>
    <w:rsid w:val="002E7F7C"/>
    <w:rsid w:val="002E7FCF"/>
    <w:rsid w:val="002F00A9"/>
    <w:rsid w:val="002F0179"/>
    <w:rsid w:val="002F029D"/>
    <w:rsid w:val="002F03D1"/>
    <w:rsid w:val="002F04BD"/>
    <w:rsid w:val="002F05EB"/>
    <w:rsid w:val="002F06E8"/>
    <w:rsid w:val="002F06F2"/>
    <w:rsid w:val="002F0767"/>
    <w:rsid w:val="002F07BA"/>
    <w:rsid w:val="002F07CD"/>
    <w:rsid w:val="002F0B10"/>
    <w:rsid w:val="002F0CB7"/>
    <w:rsid w:val="002F0DA9"/>
    <w:rsid w:val="002F0DAB"/>
    <w:rsid w:val="002F0DAC"/>
    <w:rsid w:val="002F0F5C"/>
    <w:rsid w:val="002F1014"/>
    <w:rsid w:val="002F10C9"/>
    <w:rsid w:val="002F12C6"/>
    <w:rsid w:val="002F14BA"/>
    <w:rsid w:val="002F1658"/>
    <w:rsid w:val="002F17C1"/>
    <w:rsid w:val="002F1811"/>
    <w:rsid w:val="002F1905"/>
    <w:rsid w:val="002F1BF9"/>
    <w:rsid w:val="002F1E3B"/>
    <w:rsid w:val="002F1EA2"/>
    <w:rsid w:val="002F1EDC"/>
    <w:rsid w:val="002F2106"/>
    <w:rsid w:val="002F243D"/>
    <w:rsid w:val="002F2473"/>
    <w:rsid w:val="002F278D"/>
    <w:rsid w:val="002F27E1"/>
    <w:rsid w:val="002F289C"/>
    <w:rsid w:val="002F28EC"/>
    <w:rsid w:val="002F2965"/>
    <w:rsid w:val="002F2A31"/>
    <w:rsid w:val="002F2A42"/>
    <w:rsid w:val="002F2B26"/>
    <w:rsid w:val="002F2C80"/>
    <w:rsid w:val="002F2F41"/>
    <w:rsid w:val="002F31C7"/>
    <w:rsid w:val="002F33AE"/>
    <w:rsid w:val="002F34C6"/>
    <w:rsid w:val="002F35F8"/>
    <w:rsid w:val="002F37BD"/>
    <w:rsid w:val="002F37D0"/>
    <w:rsid w:val="002F3927"/>
    <w:rsid w:val="002F3931"/>
    <w:rsid w:val="002F39DA"/>
    <w:rsid w:val="002F3E7D"/>
    <w:rsid w:val="002F3F8B"/>
    <w:rsid w:val="002F4207"/>
    <w:rsid w:val="002F421C"/>
    <w:rsid w:val="002F468F"/>
    <w:rsid w:val="002F470E"/>
    <w:rsid w:val="002F47C1"/>
    <w:rsid w:val="002F49B5"/>
    <w:rsid w:val="002F4A07"/>
    <w:rsid w:val="002F4B69"/>
    <w:rsid w:val="002F4BA8"/>
    <w:rsid w:val="002F4C14"/>
    <w:rsid w:val="002F4E4A"/>
    <w:rsid w:val="002F4F97"/>
    <w:rsid w:val="002F4FD7"/>
    <w:rsid w:val="002F5038"/>
    <w:rsid w:val="002F5057"/>
    <w:rsid w:val="002F5204"/>
    <w:rsid w:val="002F527F"/>
    <w:rsid w:val="002F53B2"/>
    <w:rsid w:val="002F540F"/>
    <w:rsid w:val="002F5AB4"/>
    <w:rsid w:val="002F5CCD"/>
    <w:rsid w:val="002F5E55"/>
    <w:rsid w:val="002F5EF2"/>
    <w:rsid w:val="002F61F9"/>
    <w:rsid w:val="002F6213"/>
    <w:rsid w:val="002F6270"/>
    <w:rsid w:val="002F62AD"/>
    <w:rsid w:val="002F643C"/>
    <w:rsid w:val="002F6447"/>
    <w:rsid w:val="002F64EB"/>
    <w:rsid w:val="002F666D"/>
    <w:rsid w:val="002F6C1F"/>
    <w:rsid w:val="002F6C23"/>
    <w:rsid w:val="002F6C8A"/>
    <w:rsid w:val="002F71C0"/>
    <w:rsid w:val="002F74F1"/>
    <w:rsid w:val="002F773A"/>
    <w:rsid w:val="002F7824"/>
    <w:rsid w:val="002F79B3"/>
    <w:rsid w:val="002F7AB2"/>
    <w:rsid w:val="002F7AD6"/>
    <w:rsid w:val="002F7BCB"/>
    <w:rsid w:val="002F7D38"/>
    <w:rsid w:val="002F7DB3"/>
    <w:rsid w:val="002F7DBA"/>
    <w:rsid w:val="002F7EF2"/>
    <w:rsid w:val="00300429"/>
    <w:rsid w:val="003004EB"/>
    <w:rsid w:val="003005D9"/>
    <w:rsid w:val="003006BE"/>
    <w:rsid w:val="003007C9"/>
    <w:rsid w:val="0030080A"/>
    <w:rsid w:val="00300817"/>
    <w:rsid w:val="00300865"/>
    <w:rsid w:val="00300A6C"/>
    <w:rsid w:val="00300BEE"/>
    <w:rsid w:val="00300C9A"/>
    <w:rsid w:val="00300F2D"/>
    <w:rsid w:val="00301017"/>
    <w:rsid w:val="0030141C"/>
    <w:rsid w:val="0030155F"/>
    <w:rsid w:val="003019ED"/>
    <w:rsid w:val="00301A71"/>
    <w:rsid w:val="00301AB6"/>
    <w:rsid w:val="00301CB0"/>
    <w:rsid w:val="00301D44"/>
    <w:rsid w:val="00301EA8"/>
    <w:rsid w:val="00301FFD"/>
    <w:rsid w:val="003020D0"/>
    <w:rsid w:val="00302363"/>
    <w:rsid w:val="00302371"/>
    <w:rsid w:val="00302491"/>
    <w:rsid w:val="00302540"/>
    <w:rsid w:val="003026ED"/>
    <w:rsid w:val="00302719"/>
    <w:rsid w:val="0030274B"/>
    <w:rsid w:val="003027EC"/>
    <w:rsid w:val="00302836"/>
    <w:rsid w:val="0030285E"/>
    <w:rsid w:val="00302906"/>
    <w:rsid w:val="00302A08"/>
    <w:rsid w:val="00302A3E"/>
    <w:rsid w:val="00302D8D"/>
    <w:rsid w:val="00302F63"/>
    <w:rsid w:val="00302FB6"/>
    <w:rsid w:val="0030324A"/>
    <w:rsid w:val="003032B8"/>
    <w:rsid w:val="0030331B"/>
    <w:rsid w:val="0030333D"/>
    <w:rsid w:val="003033C7"/>
    <w:rsid w:val="00303542"/>
    <w:rsid w:val="00303641"/>
    <w:rsid w:val="0030370D"/>
    <w:rsid w:val="003037C2"/>
    <w:rsid w:val="003038B5"/>
    <w:rsid w:val="003038ED"/>
    <w:rsid w:val="00303A6B"/>
    <w:rsid w:val="00303C96"/>
    <w:rsid w:val="00303CAC"/>
    <w:rsid w:val="00303E08"/>
    <w:rsid w:val="00303F38"/>
    <w:rsid w:val="00303F9B"/>
    <w:rsid w:val="00303F9D"/>
    <w:rsid w:val="003041C0"/>
    <w:rsid w:val="0030427F"/>
    <w:rsid w:val="00304329"/>
    <w:rsid w:val="00304331"/>
    <w:rsid w:val="003045A8"/>
    <w:rsid w:val="003045F3"/>
    <w:rsid w:val="003047BF"/>
    <w:rsid w:val="00304C70"/>
    <w:rsid w:val="00304D31"/>
    <w:rsid w:val="00304F24"/>
    <w:rsid w:val="00304F9F"/>
    <w:rsid w:val="00304FC3"/>
    <w:rsid w:val="00304FF9"/>
    <w:rsid w:val="0030518D"/>
    <w:rsid w:val="00305232"/>
    <w:rsid w:val="003052C4"/>
    <w:rsid w:val="00305651"/>
    <w:rsid w:val="003056FE"/>
    <w:rsid w:val="0030587B"/>
    <w:rsid w:val="00305902"/>
    <w:rsid w:val="00305AF2"/>
    <w:rsid w:val="00305E50"/>
    <w:rsid w:val="00305EA9"/>
    <w:rsid w:val="00305F1D"/>
    <w:rsid w:val="00305F69"/>
    <w:rsid w:val="00306116"/>
    <w:rsid w:val="00306210"/>
    <w:rsid w:val="003063C9"/>
    <w:rsid w:val="00306498"/>
    <w:rsid w:val="003064EC"/>
    <w:rsid w:val="00306540"/>
    <w:rsid w:val="00306A75"/>
    <w:rsid w:val="00306A7E"/>
    <w:rsid w:val="00306B66"/>
    <w:rsid w:val="00306C33"/>
    <w:rsid w:val="00306CBA"/>
    <w:rsid w:val="00306D98"/>
    <w:rsid w:val="0030716E"/>
    <w:rsid w:val="003074CF"/>
    <w:rsid w:val="0030771F"/>
    <w:rsid w:val="0030786C"/>
    <w:rsid w:val="0030797A"/>
    <w:rsid w:val="00307B4E"/>
    <w:rsid w:val="00307D5D"/>
    <w:rsid w:val="00310022"/>
    <w:rsid w:val="003102BF"/>
    <w:rsid w:val="003102E8"/>
    <w:rsid w:val="0031031A"/>
    <w:rsid w:val="003103B6"/>
    <w:rsid w:val="0031053C"/>
    <w:rsid w:val="00310869"/>
    <w:rsid w:val="00310981"/>
    <w:rsid w:val="00310A66"/>
    <w:rsid w:val="00310B1A"/>
    <w:rsid w:val="00310C17"/>
    <w:rsid w:val="00310C96"/>
    <w:rsid w:val="00310DB3"/>
    <w:rsid w:val="00310EA2"/>
    <w:rsid w:val="0031115B"/>
    <w:rsid w:val="00311185"/>
    <w:rsid w:val="00311402"/>
    <w:rsid w:val="00311421"/>
    <w:rsid w:val="00311614"/>
    <w:rsid w:val="00311629"/>
    <w:rsid w:val="00311D9B"/>
    <w:rsid w:val="00311DF8"/>
    <w:rsid w:val="00311FA9"/>
    <w:rsid w:val="003120D4"/>
    <w:rsid w:val="003120F6"/>
    <w:rsid w:val="00312263"/>
    <w:rsid w:val="003122A2"/>
    <w:rsid w:val="00312326"/>
    <w:rsid w:val="00312441"/>
    <w:rsid w:val="003124D9"/>
    <w:rsid w:val="00312594"/>
    <w:rsid w:val="003128EA"/>
    <w:rsid w:val="00312923"/>
    <w:rsid w:val="00312AE9"/>
    <w:rsid w:val="00312B8B"/>
    <w:rsid w:val="00312BD2"/>
    <w:rsid w:val="00312BE9"/>
    <w:rsid w:val="00312D8C"/>
    <w:rsid w:val="00312F71"/>
    <w:rsid w:val="00313251"/>
    <w:rsid w:val="003134E7"/>
    <w:rsid w:val="003136BA"/>
    <w:rsid w:val="00313777"/>
    <w:rsid w:val="00313851"/>
    <w:rsid w:val="0031389F"/>
    <w:rsid w:val="00313D0E"/>
    <w:rsid w:val="00313E81"/>
    <w:rsid w:val="00313F9B"/>
    <w:rsid w:val="00314069"/>
    <w:rsid w:val="00314291"/>
    <w:rsid w:val="00314936"/>
    <w:rsid w:val="00314991"/>
    <w:rsid w:val="00314A69"/>
    <w:rsid w:val="00314B2C"/>
    <w:rsid w:val="00314EA2"/>
    <w:rsid w:val="00314EFD"/>
    <w:rsid w:val="00314F7E"/>
    <w:rsid w:val="00314FC3"/>
    <w:rsid w:val="00315191"/>
    <w:rsid w:val="003151EA"/>
    <w:rsid w:val="003152AF"/>
    <w:rsid w:val="0031543F"/>
    <w:rsid w:val="00315498"/>
    <w:rsid w:val="003155D2"/>
    <w:rsid w:val="003156FB"/>
    <w:rsid w:val="0031575E"/>
    <w:rsid w:val="00315805"/>
    <w:rsid w:val="00315B13"/>
    <w:rsid w:val="00315B85"/>
    <w:rsid w:val="00315C14"/>
    <w:rsid w:val="00316439"/>
    <w:rsid w:val="00316474"/>
    <w:rsid w:val="003166BF"/>
    <w:rsid w:val="003168DE"/>
    <w:rsid w:val="00316B50"/>
    <w:rsid w:val="00316BAE"/>
    <w:rsid w:val="00316C19"/>
    <w:rsid w:val="00316C43"/>
    <w:rsid w:val="00316E7F"/>
    <w:rsid w:val="0031726D"/>
    <w:rsid w:val="003172AE"/>
    <w:rsid w:val="00317406"/>
    <w:rsid w:val="0031763E"/>
    <w:rsid w:val="003176D3"/>
    <w:rsid w:val="003176E0"/>
    <w:rsid w:val="0031793D"/>
    <w:rsid w:val="00317B6E"/>
    <w:rsid w:val="00317D60"/>
    <w:rsid w:val="00317D93"/>
    <w:rsid w:val="00317E0B"/>
    <w:rsid w:val="00317E1A"/>
    <w:rsid w:val="00317EE5"/>
    <w:rsid w:val="00320128"/>
    <w:rsid w:val="00320250"/>
    <w:rsid w:val="00320B21"/>
    <w:rsid w:val="00320B3A"/>
    <w:rsid w:val="00320BBA"/>
    <w:rsid w:val="00320BDF"/>
    <w:rsid w:val="00320ED5"/>
    <w:rsid w:val="00321103"/>
    <w:rsid w:val="0032114C"/>
    <w:rsid w:val="003211AB"/>
    <w:rsid w:val="0032155B"/>
    <w:rsid w:val="003218D2"/>
    <w:rsid w:val="00321B31"/>
    <w:rsid w:val="00321BE5"/>
    <w:rsid w:val="00322107"/>
    <w:rsid w:val="00322114"/>
    <w:rsid w:val="0032217F"/>
    <w:rsid w:val="003221A5"/>
    <w:rsid w:val="00322355"/>
    <w:rsid w:val="00322450"/>
    <w:rsid w:val="003224BD"/>
    <w:rsid w:val="003225D5"/>
    <w:rsid w:val="0032266D"/>
    <w:rsid w:val="0032279F"/>
    <w:rsid w:val="00322846"/>
    <w:rsid w:val="003229BC"/>
    <w:rsid w:val="00322B1E"/>
    <w:rsid w:val="00322B67"/>
    <w:rsid w:val="00322B9B"/>
    <w:rsid w:val="00322BDD"/>
    <w:rsid w:val="00322C52"/>
    <w:rsid w:val="0032304B"/>
    <w:rsid w:val="003230B9"/>
    <w:rsid w:val="003230CF"/>
    <w:rsid w:val="0032318F"/>
    <w:rsid w:val="003232AB"/>
    <w:rsid w:val="003233B2"/>
    <w:rsid w:val="003235A0"/>
    <w:rsid w:val="0032373F"/>
    <w:rsid w:val="0032390F"/>
    <w:rsid w:val="00323AF5"/>
    <w:rsid w:val="00323CBF"/>
    <w:rsid w:val="00323FD1"/>
    <w:rsid w:val="00324003"/>
    <w:rsid w:val="003242CF"/>
    <w:rsid w:val="003242D2"/>
    <w:rsid w:val="003242F9"/>
    <w:rsid w:val="003243E0"/>
    <w:rsid w:val="0032443D"/>
    <w:rsid w:val="0032462E"/>
    <w:rsid w:val="00324966"/>
    <w:rsid w:val="00324AAA"/>
    <w:rsid w:val="00324DE7"/>
    <w:rsid w:val="00324E13"/>
    <w:rsid w:val="00324F2B"/>
    <w:rsid w:val="0032503D"/>
    <w:rsid w:val="0032509A"/>
    <w:rsid w:val="00325314"/>
    <w:rsid w:val="00325336"/>
    <w:rsid w:val="003253F9"/>
    <w:rsid w:val="003256D6"/>
    <w:rsid w:val="00325818"/>
    <w:rsid w:val="00325B00"/>
    <w:rsid w:val="00325CC3"/>
    <w:rsid w:val="00325E21"/>
    <w:rsid w:val="00325E58"/>
    <w:rsid w:val="003261C2"/>
    <w:rsid w:val="003262BB"/>
    <w:rsid w:val="003262CA"/>
    <w:rsid w:val="003263D5"/>
    <w:rsid w:val="003264E8"/>
    <w:rsid w:val="003267DB"/>
    <w:rsid w:val="0032680D"/>
    <w:rsid w:val="00326855"/>
    <w:rsid w:val="0032685F"/>
    <w:rsid w:val="0032694D"/>
    <w:rsid w:val="00326B95"/>
    <w:rsid w:val="00326C4D"/>
    <w:rsid w:val="00326DA7"/>
    <w:rsid w:val="00326E01"/>
    <w:rsid w:val="00326EAD"/>
    <w:rsid w:val="00326EF2"/>
    <w:rsid w:val="00326F20"/>
    <w:rsid w:val="00327080"/>
    <w:rsid w:val="003270E4"/>
    <w:rsid w:val="003274FB"/>
    <w:rsid w:val="003276B9"/>
    <w:rsid w:val="003277D8"/>
    <w:rsid w:val="003279FC"/>
    <w:rsid w:val="00327AE1"/>
    <w:rsid w:val="00327BD1"/>
    <w:rsid w:val="00327CCE"/>
    <w:rsid w:val="00327D56"/>
    <w:rsid w:val="00327E73"/>
    <w:rsid w:val="00327F7E"/>
    <w:rsid w:val="00327FFA"/>
    <w:rsid w:val="003300CD"/>
    <w:rsid w:val="00330188"/>
    <w:rsid w:val="003303ED"/>
    <w:rsid w:val="003304F0"/>
    <w:rsid w:val="003305F8"/>
    <w:rsid w:val="003306A8"/>
    <w:rsid w:val="003307E2"/>
    <w:rsid w:val="003307E5"/>
    <w:rsid w:val="00330872"/>
    <w:rsid w:val="003309AE"/>
    <w:rsid w:val="00330AF9"/>
    <w:rsid w:val="00330DAA"/>
    <w:rsid w:val="00330F5C"/>
    <w:rsid w:val="00331046"/>
    <w:rsid w:val="00331185"/>
    <w:rsid w:val="00331231"/>
    <w:rsid w:val="0033127D"/>
    <w:rsid w:val="00331384"/>
    <w:rsid w:val="0033161D"/>
    <w:rsid w:val="00331680"/>
    <w:rsid w:val="0033179B"/>
    <w:rsid w:val="00331995"/>
    <w:rsid w:val="00331B24"/>
    <w:rsid w:val="00331C05"/>
    <w:rsid w:val="00331C13"/>
    <w:rsid w:val="00331C2A"/>
    <w:rsid w:val="00331C87"/>
    <w:rsid w:val="00331D38"/>
    <w:rsid w:val="00331E43"/>
    <w:rsid w:val="00331E6B"/>
    <w:rsid w:val="00331E7C"/>
    <w:rsid w:val="00331ED4"/>
    <w:rsid w:val="00331EE4"/>
    <w:rsid w:val="00332092"/>
    <w:rsid w:val="00332244"/>
    <w:rsid w:val="003322F9"/>
    <w:rsid w:val="00332645"/>
    <w:rsid w:val="00332869"/>
    <w:rsid w:val="003329EF"/>
    <w:rsid w:val="00332A14"/>
    <w:rsid w:val="00332A44"/>
    <w:rsid w:val="00332CCD"/>
    <w:rsid w:val="00332DB2"/>
    <w:rsid w:val="00332DF4"/>
    <w:rsid w:val="00332EF6"/>
    <w:rsid w:val="00332FE2"/>
    <w:rsid w:val="0033338F"/>
    <w:rsid w:val="00333524"/>
    <w:rsid w:val="00333A08"/>
    <w:rsid w:val="00333BE1"/>
    <w:rsid w:val="00333BE7"/>
    <w:rsid w:val="00333E5D"/>
    <w:rsid w:val="00334157"/>
    <w:rsid w:val="0033435C"/>
    <w:rsid w:val="00334441"/>
    <w:rsid w:val="00334464"/>
    <w:rsid w:val="003344B1"/>
    <w:rsid w:val="003347FA"/>
    <w:rsid w:val="003348CF"/>
    <w:rsid w:val="00334A84"/>
    <w:rsid w:val="00334ADE"/>
    <w:rsid w:val="00334B14"/>
    <w:rsid w:val="00334B9B"/>
    <w:rsid w:val="00334BCF"/>
    <w:rsid w:val="00334CA0"/>
    <w:rsid w:val="00334D2C"/>
    <w:rsid w:val="00334D9A"/>
    <w:rsid w:val="003354F8"/>
    <w:rsid w:val="00335515"/>
    <w:rsid w:val="003356A0"/>
    <w:rsid w:val="00335769"/>
    <w:rsid w:val="00335780"/>
    <w:rsid w:val="0033579D"/>
    <w:rsid w:val="0033590D"/>
    <w:rsid w:val="00335A1C"/>
    <w:rsid w:val="00335AC3"/>
    <w:rsid w:val="00335C20"/>
    <w:rsid w:val="00335CBF"/>
    <w:rsid w:val="00335D5F"/>
    <w:rsid w:val="00335E23"/>
    <w:rsid w:val="00335E5A"/>
    <w:rsid w:val="00335EE9"/>
    <w:rsid w:val="0033634F"/>
    <w:rsid w:val="003364B1"/>
    <w:rsid w:val="003364D7"/>
    <w:rsid w:val="003366C9"/>
    <w:rsid w:val="00336753"/>
    <w:rsid w:val="00336A3A"/>
    <w:rsid w:val="00336AF5"/>
    <w:rsid w:val="00336B47"/>
    <w:rsid w:val="00336C62"/>
    <w:rsid w:val="00336CC8"/>
    <w:rsid w:val="00336D3D"/>
    <w:rsid w:val="00336E2D"/>
    <w:rsid w:val="00337005"/>
    <w:rsid w:val="0033717F"/>
    <w:rsid w:val="003371B0"/>
    <w:rsid w:val="0033725B"/>
    <w:rsid w:val="003372F8"/>
    <w:rsid w:val="0033732A"/>
    <w:rsid w:val="003373E1"/>
    <w:rsid w:val="003376BA"/>
    <w:rsid w:val="003376C1"/>
    <w:rsid w:val="00337720"/>
    <w:rsid w:val="00337867"/>
    <w:rsid w:val="003378FE"/>
    <w:rsid w:val="00337939"/>
    <w:rsid w:val="00337949"/>
    <w:rsid w:val="00337AE6"/>
    <w:rsid w:val="00337E01"/>
    <w:rsid w:val="00337E7C"/>
    <w:rsid w:val="00337EAF"/>
    <w:rsid w:val="00337FFD"/>
    <w:rsid w:val="00340082"/>
    <w:rsid w:val="0034033B"/>
    <w:rsid w:val="00340421"/>
    <w:rsid w:val="003404A0"/>
    <w:rsid w:val="003406A3"/>
    <w:rsid w:val="00340867"/>
    <w:rsid w:val="00340BFC"/>
    <w:rsid w:val="00340C54"/>
    <w:rsid w:val="00340DF1"/>
    <w:rsid w:val="00340FAC"/>
    <w:rsid w:val="0034128B"/>
    <w:rsid w:val="00341348"/>
    <w:rsid w:val="003413AE"/>
    <w:rsid w:val="003413B4"/>
    <w:rsid w:val="00341546"/>
    <w:rsid w:val="0034169F"/>
    <w:rsid w:val="003418F3"/>
    <w:rsid w:val="00341E0D"/>
    <w:rsid w:val="00341F6F"/>
    <w:rsid w:val="00341FAA"/>
    <w:rsid w:val="00341FDF"/>
    <w:rsid w:val="00342082"/>
    <w:rsid w:val="003421F6"/>
    <w:rsid w:val="0034225A"/>
    <w:rsid w:val="00342271"/>
    <w:rsid w:val="00342583"/>
    <w:rsid w:val="003425DF"/>
    <w:rsid w:val="00342651"/>
    <w:rsid w:val="00342728"/>
    <w:rsid w:val="0034274E"/>
    <w:rsid w:val="00342778"/>
    <w:rsid w:val="00342795"/>
    <w:rsid w:val="003429FB"/>
    <w:rsid w:val="00342A78"/>
    <w:rsid w:val="00342AE5"/>
    <w:rsid w:val="00342AE7"/>
    <w:rsid w:val="00342BC8"/>
    <w:rsid w:val="00342DB4"/>
    <w:rsid w:val="00342E84"/>
    <w:rsid w:val="00342ED4"/>
    <w:rsid w:val="00342F97"/>
    <w:rsid w:val="00343135"/>
    <w:rsid w:val="00343171"/>
    <w:rsid w:val="003431F3"/>
    <w:rsid w:val="003433A8"/>
    <w:rsid w:val="003433BC"/>
    <w:rsid w:val="003434A8"/>
    <w:rsid w:val="00343519"/>
    <w:rsid w:val="003435A3"/>
    <w:rsid w:val="003439B6"/>
    <w:rsid w:val="00343BC9"/>
    <w:rsid w:val="00343D4D"/>
    <w:rsid w:val="00343D76"/>
    <w:rsid w:val="00343EBA"/>
    <w:rsid w:val="00343F38"/>
    <w:rsid w:val="00343F9B"/>
    <w:rsid w:val="00344008"/>
    <w:rsid w:val="003441C6"/>
    <w:rsid w:val="003444EF"/>
    <w:rsid w:val="00344521"/>
    <w:rsid w:val="00344773"/>
    <w:rsid w:val="003447E3"/>
    <w:rsid w:val="00344825"/>
    <w:rsid w:val="00344873"/>
    <w:rsid w:val="003448A2"/>
    <w:rsid w:val="003449AB"/>
    <w:rsid w:val="00344B82"/>
    <w:rsid w:val="00344C7D"/>
    <w:rsid w:val="00344FAA"/>
    <w:rsid w:val="0034520F"/>
    <w:rsid w:val="003452FF"/>
    <w:rsid w:val="003454B4"/>
    <w:rsid w:val="00345578"/>
    <w:rsid w:val="003456B4"/>
    <w:rsid w:val="0034576D"/>
    <w:rsid w:val="00345810"/>
    <w:rsid w:val="003458F9"/>
    <w:rsid w:val="00345962"/>
    <w:rsid w:val="00345B8A"/>
    <w:rsid w:val="00345C8F"/>
    <w:rsid w:val="00345EC8"/>
    <w:rsid w:val="00345F94"/>
    <w:rsid w:val="00346155"/>
    <w:rsid w:val="003461C8"/>
    <w:rsid w:val="00346221"/>
    <w:rsid w:val="003463DA"/>
    <w:rsid w:val="003463EC"/>
    <w:rsid w:val="00346402"/>
    <w:rsid w:val="00346782"/>
    <w:rsid w:val="00346902"/>
    <w:rsid w:val="00346D8A"/>
    <w:rsid w:val="00346DD0"/>
    <w:rsid w:val="00346E02"/>
    <w:rsid w:val="00346F55"/>
    <w:rsid w:val="003476EE"/>
    <w:rsid w:val="0034771F"/>
    <w:rsid w:val="003479F9"/>
    <w:rsid w:val="00347CDC"/>
    <w:rsid w:val="00347DFD"/>
    <w:rsid w:val="0035033D"/>
    <w:rsid w:val="003503D4"/>
    <w:rsid w:val="0035041A"/>
    <w:rsid w:val="00350446"/>
    <w:rsid w:val="00350483"/>
    <w:rsid w:val="003504BB"/>
    <w:rsid w:val="0035057E"/>
    <w:rsid w:val="003506BE"/>
    <w:rsid w:val="003507A9"/>
    <w:rsid w:val="003507C3"/>
    <w:rsid w:val="003508B2"/>
    <w:rsid w:val="003509E7"/>
    <w:rsid w:val="00350B57"/>
    <w:rsid w:val="00350BFF"/>
    <w:rsid w:val="00350D07"/>
    <w:rsid w:val="00350E1D"/>
    <w:rsid w:val="00351004"/>
    <w:rsid w:val="00351286"/>
    <w:rsid w:val="003514B5"/>
    <w:rsid w:val="003514F0"/>
    <w:rsid w:val="0035161A"/>
    <w:rsid w:val="00351664"/>
    <w:rsid w:val="003516D3"/>
    <w:rsid w:val="003517F9"/>
    <w:rsid w:val="00351A01"/>
    <w:rsid w:val="00351AE8"/>
    <w:rsid w:val="00351B97"/>
    <w:rsid w:val="00351BA0"/>
    <w:rsid w:val="00351BA9"/>
    <w:rsid w:val="00351BC8"/>
    <w:rsid w:val="00351CED"/>
    <w:rsid w:val="00351D71"/>
    <w:rsid w:val="00351DC3"/>
    <w:rsid w:val="0035218B"/>
    <w:rsid w:val="00352276"/>
    <w:rsid w:val="003526B1"/>
    <w:rsid w:val="003527F3"/>
    <w:rsid w:val="00352906"/>
    <w:rsid w:val="00352AEC"/>
    <w:rsid w:val="00352C34"/>
    <w:rsid w:val="00352CB8"/>
    <w:rsid w:val="00352DAE"/>
    <w:rsid w:val="00352DFC"/>
    <w:rsid w:val="0035300A"/>
    <w:rsid w:val="003530F3"/>
    <w:rsid w:val="00353314"/>
    <w:rsid w:val="00353568"/>
    <w:rsid w:val="0035356E"/>
    <w:rsid w:val="00353927"/>
    <w:rsid w:val="0035392E"/>
    <w:rsid w:val="00354095"/>
    <w:rsid w:val="0035411F"/>
    <w:rsid w:val="0035422F"/>
    <w:rsid w:val="00354260"/>
    <w:rsid w:val="00354270"/>
    <w:rsid w:val="00354376"/>
    <w:rsid w:val="003544EE"/>
    <w:rsid w:val="00354ACB"/>
    <w:rsid w:val="00354C0C"/>
    <w:rsid w:val="00354C86"/>
    <w:rsid w:val="00354E79"/>
    <w:rsid w:val="00354F64"/>
    <w:rsid w:val="003550C7"/>
    <w:rsid w:val="00355210"/>
    <w:rsid w:val="003554E8"/>
    <w:rsid w:val="00355522"/>
    <w:rsid w:val="00355546"/>
    <w:rsid w:val="00355588"/>
    <w:rsid w:val="00355636"/>
    <w:rsid w:val="00355678"/>
    <w:rsid w:val="00355697"/>
    <w:rsid w:val="003556F0"/>
    <w:rsid w:val="00355701"/>
    <w:rsid w:val="00355A9E"/>
    <w:rsid w:val="00355EEA"/>
    <w:rsid w:val="0035600E"/>
    <w:rsid w:val="00356195"/>
    <w:rsid w:val="0035620E"/>
    <w:rsid w:val="00356265"/>
    <w:rsid w:val="00356269"/>
    <w:rsid w:val="003562F8"/>
    <w:rsid w:val="00356303"/>
    <w:rsid w:val="00356374"/>
    <w:rsid w:val="0035648F"/>
    <w:rsid w:val="003564BB"/>
    <w:rsid w:val="00356687"/>
    <w:rsid w:val="003566D7"/>
    <w:rsid w:val="003567E9"/>
    <w:rsid w:val="0035680C"/>
    <w:rsid w:val="0035682B"/>
    <w:rsid w:val="00356A00"/>
    <w:rsid w:val="00356C0C"/>
    <w:rsid w:val="00356C8F"/>
    <w:rsid w:val="00356D6B"/>
    <w:rsid w:val="00356DC1"/>
    <w:rsid w:val="00356DCB"/>
    <w:rsid w:val="00356E1B"/>
    <w:rsid w:val="00356F24"/>
    <w:rsid w:val="00357115"/>
    <w:rsid w:val="003571A1"/>
    <w:rsid w:val="0035722E"/>
    <w:rsid w:val="00357253"/>
    <w:rsid w:val="003572ED"/>
    <w:rsid w:val="00357393"/>
    <w:rsid w:val="003575BE"/>
    <w:rsid w:val="003577CB"/>
    <w:rsid w:val="0035782F"/>
    <w:rsid w:val="00357BA6"/>
    <w:rsid w:val="00357BB6"/>
    <w:rsid w:val="00357D16"/>
    <w:rsid w:val="00357E60"/>
    <w:rsid w:val="00357E9B"/>
    <w:rsid w:val="00357EAF"/>
    <w:rsid w:val="00360028"/>
    <w:rsid w:val="003600C2"/>
    <w:rsid w:val="003601B5"/>
    <w:rsid w:val="00360272"/>
    <w:rsid w:val="003602C7"/>
    <w:rsid w:val="00360345"/>
    <w:rsid w:val="003606DB"/>
    <w:rsid w:val="0036080E"/>
    <w:rsid w:val="00360B61"/>
    <w:rsid w:val="00360BA3"/>
    <w:rsid w:val="00360DC9"/>
    <w:rsid w:val="00360DD9"/>
    <w:rsid w:val="00360DDA"/>
    <w:rsid w:val="00361062"/>
    <w:rsid w:val="003611D5"/>
    <w:rsid w:val="00361449"/>
    <w:rsid w:val="00361785"/>
    <w:rsid w:val="003617A3"/>
    <w:rsid w:val="00361820"/>
    <w:rsid w:val="003619CF"/>
    <w:rsid w:val="00361A05"/>
    <w:rsid w:val="00361C8A"/>
    <w:rsid w:val="00361C91"/>
    <w:rsid w:val="00362044"/>
    <w:rsid w:val="00362454"/>
    <w:rsid w:val="003624C4"/>
    <w:rsid w:val="003624F1"/>
    <w:rsid w:val="00362577"/>
    <w:rsid w:val="0036299B"/>
    <w:rsid w:val="003629B5"/>
    <w:rsid w:val="00362B1A"/>
    <w:rsid w:val="00362C23"/>
    <w:rsid w:val="00362EC9"/>
    <w:rsid w:val="00362F6B"/>
    <w:rsid w:val="00363317"/>
    <w:rsid w:val="0036342E"/>
    <w:rsid w:val="003634FE"/>
    <w:rsid w:val="0036362B"/>
    <w:rsid w:val="003638F9"/>
    <w:rsid w:val="00363939"/>
    <w:rsid w:val="003639AE"/>
    <w:rsid w:val="00363A0B"/>
    <w:rsid w:val="00363AAC"/>
    <w:rsid w:val="00363B00"/>
    <w:rsid w:val="00363BED"/>
    <w:rsid w:val="003640E3"/>
    <w:rsid w:val="00364209"/>
    <w:rsid w:val="00364226"/>
    <w:rsid w:val="00364676"/>
    <w:rsid w:val="003646CF"/>
    <w:rsid w:val="0036488C"/>
    <w:rsid w:val="003648D3"/>
    <w:rsid w:val="003649AC"/>
    <w:rsid w:val="00364A79"/>
    <w:rsid w:val="00364B2E"/>
    <w:rsid w:val="00364E60"/>
    <w:rsid w:val="0036500F"/>
    <w:rsid w:val="00365125"/>
    <w:rsid w:val="00365301"/>
    <w:rsid w:val="00365434"/>
    <w:rsid w:val="003654AC"/>
    <w:rsid w:val="003655AA"/>
    <w:rsid w:val="003655E9"/>
    <w:rsid w:val="003656D0"/>
    <w:rsid w:val="00365746"/>
    <w:rsid w:val="00365B3C"/>
    <w:rsid w:val="00365EE8"/>
    <w:rsid w:val="00365FDF"/>
    <w:rsid w:val="00365FF0"/>
    <w:rsid w:val="00366208"/>
    <w:rsid w:val="00366308"/>
    <w:rsid w:val="00366318"/>
    <w:rsid w:val="0036646D"/>
    <w:rsid w:val="003664E4"/>
    <w:rsid w:val="0036661F"/>
    <w:rsid w:val="0036662D"/>
    <w:rsid w:val="00366679"/>
    <w:rsid w:val="0036695B"/>
    <w:rsid w:val="003669AD"/>
    <w:rsid w:val="00366A43"/>
    <w:rsid w:val="00366A4D"/>
    <w:rsid w:val="00366B1A"/>
    <w:rsid w:val="00366B26"/>
    <w:rsid w:val="00366DA8"/>
    <w:rsid w:val="00366DCA"/>
    <w:rsid w:val="00367208"/>
    <w:rsid w:val="0036725A"/>
    <w:rsid w:val="00367313"/>
    <w:rsid w:val="0036736C"/>
    <w:rsid w:val="00367535"/>
    <w:rsid w:val="00367597"/>
    <w:rsid w:val="00367598"/>
    <w:rsid w:val="00367816"/>
    <w:rsid w:val="00367839"/>
    <w:rsid w:val="00367AEB"/>
    <w:rsid w:val="00367B3D"/>
    <w:rsid w:val="00367B67"/>
    <w:rsid w:val="00367BF8"/>
    <w:rsid w:val="00367D3A"/>
    <w:rsid w:val="00367E90"/>
    <w:rsid w:val="00367F86"/>
    <w:rsid w:val="00370332"/>
    <w:rsid w:val="0037033E"/>
    <w:rsid w:val="00370546"/>
    <w:rsid w:val="0037058C"/>
    <w:rsid w:val="003705C5"/>
    <w:rsid w:val="00370607"/>
    <w:rsid w:val="00370B18"/>
    <w:rsid w:val="00370B41"/>
    <w:rsid w:val="00370C58"/>
    <w:rsid w:val="003710CF"/>
    <w:rsid w:val="00371332"/>
    <w:rsid w:val="00371436"/>
    <w:rsid w:val="00371441"/>
    <w:rsid w:val="003715BA"/>
    <w:rsid w:val="0037167A"/>
    <w:rsid w:val="00371775"/>
    <w:rsid w:val="00371925"/>
    <w:rsid w:val="0037199B"/>
    <w:rsid w:val="003719DB"/>
    <w:rsid w:val="00371D02"/>
    <w:rsid w:val="00371E4F"/>
    <w:rsid w:val="00371E74"/>
    <w:rsid w:val="00372187"/>
    <w:rsid w:val="0037221A"/>
    <w:rsid w:val="00372229"/>
    <w:rsid w:val="0037228B"/>
    <w:rsid w:val="003722C8"/>
    <w:rsid w:val="003725B4"/>
    <w:rsid w:val="00372830"/>
    <w:rsid w:val="00372935"/>
    <w:rsid w:val="00372988"/>
    <w:rsid w:val="00372BCA"/>
    <w:rsid w:val="00372E81"/>
    <w:rsid w:val="0037315B"/>
    <w:rsid w:val="003734F7"/>
    <w:rsid w:val="0037358A"/>
    <w:rsid w:val="003735EA"/>
    <w:rsid w:val="00373656"/>
    <w:rsid w:val="0037374F"/>
    <w:rsid w:val="00373876"/>
    <w:rsid w:val="00373B46"/>
    <w:rsid w:val="00373BD7"/>
    <w:rsid w:val="00373C78"/>
    <w:rsid w:val="00373CA2"/>
    <w:rsid w:val="00373E1D"/>
    <w:rsid w:val="00373E82"/>
    <w:rsid w:val="00373E8E"/>
    <w:rsid w:val="00373F2E"/>
    <w:rsid w:val="00374309"/>
    <w:rsid w:val="00374392"/>
    <w:rsid w:val="00374557"/>
    <w:rsid w:val="0037472C"/>
    <w:rsid w:val="00374765"/>
    <w:rsid w:val="0037478C"/>
    <w:rsid w:val="003747E1"/>
    <w:rsid w:val="003747FB"/>
    <w:rsid w:val="00374A0E"/>
    <w:rsid w:val="00374C80"/>
    <w:rsid w:val="00374E76"/>
    <w:rsid w:val="00374E9A"/>
    <w:rsid w:val="00374EDF"/>
    <w:rsid w:val="003750F6"/>
    <w:rsid w:val="003751FB"/>
    <w:rsid w:val="0037528C"/>
    <w:rsid w:val="00375454"/>
    <w:rsid w:val="00375496"/>
    <w:rsid w:val="003754C4"/>
    <w:rsid w:val="00375506"/>
    <w:rsid w:val="00375661"/>
    <w:rsid w:val="00375695"/>
    <w:rsid w:val="00375866"/>
    <w:rsid w:val="00375890"/>
    <w:rsid w:val="003758C2"/>
    <w:rsid w:val="003759D0"/>
    <w:rsid w:val="00375B92"/>
    <w:rsid w:val="00375D85"/>
    <w:rsid w:val="00375E23"/>
    <w:rsid w:val="00375FEB"/>
    <w:rsid w:val="003760FC"/>
    <w:rsid w:val="003762D4"/>
    <w:rsid w:val="00376342"/>
    <w:rsid w:val="003763A9"/>
    <w:rsid w:val="003763D6"/>
    <w:rsid w:val="0037646F"/>
    <w:rsid w:val="003764C7"/>
    <w:rsid w:val="003765D8"/>
    <w:rsid w:val="0037665A"/>
    <w:rsid w:val="00376977"/>
    <w:rsid w:val="00376ABF"/>
    <w:rsid w:val="00376B17"/>
    <w:rsid w:val="00376DB2"/>
    <w:rsid w:val="00376E22"/>
    <w:rsid w:val="00376E66"/>
    <w:rsid w:val="00376E8A"/>
    <w:rsid w:val="00376F8B"/>
    <w:rsid w:val="003771DA"/>
    <w:rsid w:val="003771F5"/>
    <w:rsid w:val="0037726D"/>
    <w:rsid w:val="003777EF"/>
    <w:rsid w:val="00377965"/>
    <w:rsid w:val="00377D29"/>
    <w:rsid w:val="0038013B"/>
    <w:rsid w:val="003801A7"/>
    <w:rsid w:val="003801B5"/>
    <w:rsid w:val="003801BE"/>
    <w:rsid w:val="0038029A"/>
    <w:rsid w:val="00380502"/>
    <w:rsid w:val="0038050A"/>
    <w:rsid w:val="0038058C"/>
    <w:rsid w:val="0038074C"/>
    <w:rsid w:val="00380758"/>
    <w:rsid w:val="0038084A"/>
    <w:rsid w:val="00380914"/>
    <w:rsid w:val="00380A7E"/>
    <w:rsid w:val="00380AC7"/>
    <w:rsid w:val="00380AE0"/>
    <w:rsid w:val="00380E68"/>
    <w:rsid w:val="00380E9E"/>
    <w:rsid w:val="00380F3C"/>
    <w:rsid w:val="00380FD4"/>
    <w:rsid w:val="0038121B"/>
    <w:rsid w:val="00381258"/>
    <w:rsid w:val="00381514"/>
    <w:rsid w:val="0038158D"/>
    <w:rsid w:val="003819B3"/>
    <w:rsid w:val="00381ABA"/>
    <w:rsid w:val="00381C5B"/>
    <w:rsid w:val="00381CBB"/>
    <w:rsid w:val="00381D64"/>
    <w:rsid w:val="00381E26"/>
    <w:rsid w:val="00381EA9"/>
    <w:rsid w:val="00381EC6"/>
    <w:rsid w:val="00381EDE"/>
    <w:rsid w:val="00381F9C"/>
    <w:rsid w:val="003823EC"/>
    <w:rsid w:val="00382447"/>
    <w:rsid w:val="003825B2"/>
    <w:rsid w:val="00382B3A"/>
    <w:rsid w:val="00382BE5"/>
    <w:rsid w:val="00382C09"/>
    <w:rsid w:val="00382C9D"/>
    <w:rsid w:val="00382D7B"/>
    <w:rsid w:val="00382E74"/>
    <w:rsid w:val="00382F31"/>
    <w:rsid w:val="00382F3B"/>
    <w:rsid w:val="003830B3"/>
    <w:rsid w:val="0038321C"/>
    <w:rsid w:val="003832D4"/>
    <w:rsid w:val="003835B5"/>
    <w:rsid w:val="003835D2"/>
    <w:rsid w:val="0038362A"/>
    <w:rsid w:val="0038365B"/>
    <w:rsid w:val="0038365C"/>
    <w:rsid w:val="0038369B"/>
    <w:rsid w:val="00383797"/>
    <w:rsid w:val="00383AD7"/>
    <w:rsid w:val="00383B41"/>
    <w:rsid w:val="00383B78"/>
    <w:rsid w:val="00383C45"/>
    <w:rsid w:val="00383CE1"/>
    <w:rsid w:val="00383CE6"/>
    <w:rsid w:val="00383CF1"/>
    <w:rsid w:val="00383E39"/>
    <w:rsid w:val="00383E3D"/>
    <w:rsid w:val="00383F3C"/>
    <w:rsid w:val="00383FA7"/>
    <w:rsid w:val="00383FF9"/>
    <w:rsid w:val="00384009"/>
    <w:rsid w:val="003841F1"/>
    <w:rsid w:val="00384231"/>
    <w:rsid w:val="00384425"/>
    <w:rsid w:val="0038479F"/>
    <w:rsid w:val="003847CD"/>
    <w:rsid w:val="0038489F"/>
    <w:rsid w:val="003848BB"/>
    <w:rsid w:val="003849BE"/>
    <w:rsid w:val="00384A11"/>
    <w:rsid w:val="00384A19"/>
    <w:rsid w:val="00384BD5"/>
    <w:rsid w:val="00384D05"/>
    <w:rsid w:val="00384DEF"/>
    <w:rsid w:val="00384E26"/>
    <w:rsid w:val="003850EA"/>
    <w:rsid w:val="00385501"/>
    <w:rsid w:val="00385633"/>
    <w:rsid w:val="003856C7"/>
    <w:rsid w:val="00385709"/>
    <w:rsid w:val="00385A9D"/>
    <w:rsid w:val="00385D12"/>
    <w:rsid w:val="00385E6F"/>
    <w:rsid w:val="00385EF6"/>
    <w:rsid w:val="00385FCA"/>
    <w:rsid w:val="00386049"/>
    <w:rsid w:val="0038607E"/>
    <w:rsid w:val="003861A3"/>
    <w:rsid w:val="00386360"/>
    <w:rsid w:val="003863A3"/>
    <w:rsid w:val="00386A04"/>
    <w:rsid w:val="00386C4A"/>
    <w:rsid w:val="00386D6D"/>
    <w:rsid w:val="00386D7F"/>
    <w:rsid w:val="00387081"/>
    <w:rsid w:val="00387121"/>
    <w:rsid w:val="003871D8"/>
    <w:rsid w:val="003874B6"/>
    <w:rsid w:val="00387634"/>
    <w:rsid w:val="0038763C"/>
    <w:rsid w:val="00387643"/>
    <w:rsid w:val="003878EA"/>
    <w:rsid w:val="00387A37"/>
    <w:rsid w:val="00387B50"/>
    <w:rsid w:val="00387DE2"/>
    <w:rsid w:val="00387E07"/>
    <w:rsid w:val="00387E3C"/>
    <w:rsid w:val="003901E3"/>
    <w:rsid w:val="003902B1"/>
    <w:rsid w:val="003903CC"/>
    <w:rsid w:val="0039052C"/>
    <w:rsid w:val="003905F6"/>
    <w:rsid w:val="003908D9"/>
    <w:rsid w:val="00390C53"/>
    <w:rsid w:val="00390C7D"/>
    <w:rsid w:val="00390CEE"/>
    <w:rsid w:val="00390DE9"/>
    <w:rsid w:val="00390F18"/>
    <w:rsid w:val="00391107"/>
    <w:rsid w:val="003911CA"/>
    <w:rsid w:val="003912DF"/>
    <w:rsid w:val="00391554"/>
    <w:rsid w:val="00391644"/>
    <w:rsid w:val="0039179C"/>
    <w:rsid w:val="003919D7"/>
    <w:rsid w:val="00391D0F"/>
    <w:rsid w:val="00391DF3"/>
    <w:rsid w:val="00392137"/>
    <w:rsid w:val="003922B0"/>
    <w:rsid w:val="0039241D"/>
    <w:rsid w:val="00392748"/>
    <w:rsid w:val="00392842"/>
    <w:rsid w:val="00392951"/>
    <w:rsid w:val="00392CA7"/>
    <w:rsid w:val="00392FFE"/>
    <w:rsid w:val="0039303E"/>
    <w:rsid w:val="003930B9"/>
    <w:rsid w:val="00393172"/>
    <w:rsid w:val="003931B3"/>
    <w:rsid w:val="003932F6"/>
    <w:rsid w:val="0039370B"/>
    <w:rsid w:val="00393736"/>
    <w:rsid w:val="00393CC7"/>
    <w:rsid w:val="00393CDF"/>
    <w:rsid w:val="00393F70"/>
    <w:rsid w:val="00393F74"/>
    <w:rsid w:val="00393F81"/>
    <w:rsid w:val="003941AA"/>
    <w:rsid w:val="00394298"/>
    <w:rsid w:val="00394307"/>
    <w:rsid w:val="00394642"/>
    <w:rsid w:val="003946A8"/>
    <w:rsid w:val="00394C4A"/>
    <w:rsid w:val="00394C51"/>
    <w:rsid w:val="00394CBF"/>
    <w:rsid w:val="00394DDB"/>
    <w:rsid w:val="00394EB7"/>
    <w:rsid w:val="00394EDD"/>
    <w:rsid w:val="0039525F"/>
    <w:rsid w:val="003952B9"/>
    <w:rsid w:val="00395412"/>
    <w:rsid w:val="00395513"/>
    <w:rsid w:val="0039577C"/>
    <w:rsid w:val="00395879"/>
    <w:rsid w:val="00395A14"/>
    <w:rsid w:val="00395B00"/>
    <w:rsid w:val="00395B09"/>
    <w:rsid w:val="00395C84"/>
    <w:rsid w:val="00395E3B"/>
    <w:rsid w:val="00395F49"/>
    <w:rsid w:val="0039601D"/>
    <w:rsid w:val="0039605A"/>
    <w:rsid w:val="00396218"/>
    <w:rsid w:val="00396249"/>
    <w:rsid w:val="00396313"/>
    <w:rsid w:val="00396432"/>
    <w:rsid w:val="00396595"/>
    <w:rsid w:val="003965D6"/>
    <w:rsid w:val="00396654"/>
    <w:rsid w:val="003966BB"/>
    <w:rsid w:val="00396896"/>
    <w:rsid w:val="0039690D"/>
    <w:rsid w:val="00396B27"/>
    <w:rsid w:val="00396C3E"/>
    <w:rsid w:val="00396C54"/>
    <w:rsid w:val="00396CA6"/>
    <w:rsid w:val="00396EE7"/>
    <w:rsid w:val="00396FD0"/>
    <w:rsid w:val="00396FFA"/>
    <w:rsid w:val="00397231"/>
    <w:rsid w:val="00397357"/>
    <w:rsid w:val="0039736E"/>
    <w:rsid w:val="00397428"/>
    <w:rsid w:val="0039760A"/>
    <w:rsid w:val="00397946"/>
    <w:rsid w:val="003979EC"/>
    <w:rsid w:val="00397B19"/>
    <w:rsid w:val="00397C00"/>
    <w:rsid w:val="003A017C"/>
    <w:rsid w:val="003A03D4"/>
    <w:rsid w:val="003A05BB"/>
    <w:rsid w:val="003A06E2"/>
    <w:rsid w:val="003A09D8"/>
    <w:rsid w:val="003A0B37"/>
    <w:rsid w:val="003A0BBD"/>
    <w:rsid w:val="003A0CF8"/>
    <w:rsid w:val="003A0D31"/>
    <w:rsid w:val="003A0EAF"/>
    <w:rsid w:val="003A120B"/>
    <w:rsid w:val="003A143A"/>
    <w:rsid w:val="003A1550"/>
    <w:rsid w:val="003A15D7"/>
    <w:rsid w:val="003A17BD"/>
    <w:rsid w:val="003A1A31"/>
    <w:rsid w:val="003A1A5A"/>
    <w:rsid w:val="003A1A7A"/>
    <w:rsid w:val="003A1BC7"/>
    <w:rsid w:val="003A1BD3"/>
    <w:rsid w:val="003A1EB1"/>
    <w:rsid w:val="003A1F0C"/>
    <w:rsid w:val="003A232C"/>
    <w:rsid w:val="003A2392"/>
    <w:rsid w:val="003A263E"/>
    <w:rsid w:val="003A266C"/>
    <w:rsid w:val="003A26E2"/>
    <w:rsid w:val="003A2711"/>
    <w:rsid w:val="003A2831"/>
    <w:rsid w:val="003A2868"/>
    <w:rsid w:val="003A28E3"/>
    <w:rsid w:val="003A2A32"/>
    <w:rsid w:val="003A2A91"/>
    <w:rsid w:val="003A2B16"/>
    <w:rsid w:val="003A2DA8"/>
    <w:rsid w:val="003A2E3A"/>
    <w:rsid w:val="003A2E4B"/>
    <w:rsid w:val="003A2F5C"/>
    <w:rsid w:val="003A301D"/>
    <w:rsid w:val="003A3596"/>
    <w:rsid w:val="003A359C"/>
    <w:rsid w:val="003A35E9"/>
    <w:rsid w:val="003A36A1"/>
    <w:rsid w:val="003A3790"/>
    <w:rsid w:val="003A382F"/>
    <w:rsid w:val="003A38F4"/>
    <w:rsid w:val="003A39B8"/>
    <w:rsid w:val="003A3BC0"/>
    <w:rsid w:val="003A3C5C"/>
    <w:rsid w:val="003A3CB6"/>
    <w:rsid w:val="003A3D02"/>
    <w:rsid w:val="003A3D04"/>
    <w:rsid w:val="003A3D1C"/>
    <w:rsid w:val="003A3E64"/>
    <w:rsid w:val="003A3E7B"/>
    <w:rsid w:val="003A3EC9"/>
    <w:rsid w:val="003A3ED1"/>
    <w:rsid w:val="003A40BD"/>
    <w:rsid w:val="003A40EB"/>
    <w:rsid w:val="003A40EE"/>
    <w:rsid w:val="003A4274"/>
    <w:rsid w:val="003A44DB"/>
    <w:rsid w:val="003A4643"/>
    <w:rsid w:val="003A4778"/>
    <w:rsid w:val="003A4B23"/>
    <w:rsid w:val="003A4C14"/>
    <w:rsid w:val="003A4D7E"/>
    <w:rsid w:val="003A5298"/>
    <w:rsid w:val="003A5395"/>
    <w:rsid w:val="003A5512"/>
    <w:rsid w:val="003A55CC"/>
    <w:rsid w:val="003A56E8"/>
    <w:rsid w:val="003A5716"/>
    <w:rsid w:val="003A571A"/>
    <w:rsid w:val="003A575F"/>
    <w:rsid w:val="003A5C87"/>
    <w:rsid w:val="003A5D57"/>
    <w:rsid w:val="003A5D83"/>
    <w:rsid w:val="003A5FF8"/>
    <w:rsid w:val="003A6092"/>
    <w:rsid w:val="003A654C"/>
    <w:rsid w:val="003A687C"/>
    <w:rsid w:val="003A690F"/>
    <w:rsid w:val="003A6C04"/>
    <w:rsid w:val="003A6E27"/>
    <w:rsid w:val="003A6F36"/>
    <w:rsid w:val="003A73D5"/>
    <w:rsid w:val="003A7454"/>
    <w:rsid w:val="003A7823"/>
    <w:rsid w:val="003A79E6"/>
    <w:rsid w:val="003A7DE0"/>
    <w:rsid w:val="003A7E2E"/>
    <w:rsid w:val="003A7E5E"/>
    <w:rsid w:val="003A7ED7"/>
    <w:rsid w:val="003B0094"/>
    <w:rsid w:val="003B01B7"/>
    <w:rsid w:val="003B03AD"/>
    <w:rsid w:val="003B052A"/>
    <w:rsid w:val="003B05F9"/>
    <w:rsid w:val="003B06A5"/>
    <w:rsid w:val="003B085A"/>
    <w:rsid w:val="003B0924"/>
    <w:rsid w:val="003B0D0C"/>
    <w:rsid w:val="003B0EB5"/>
    <w:rsid w:val="003B0EDA"/>
    <w:rsid w:val="003B1114"/>
    <w:rsid w:val="003B1296"/>
    <w:rsid w:val="003B16F3"/>
    <w:rsid w:val="003B17E6"/>
    <w:rsid w:val="003B1809"/>
    <w:rsid w:val="003B18FC"/>
    <w:rsid w:val="003B1930"/>
    <w:rsid w:val="003B1CBE"/>
    <w:rsid w:val="003B1DAA"/>
    <w:rsid w:val="003B1E3D"/>
    <w:rsid w:val="003B1FAF"/>
    <w:rsid w:val="003B2277"/>
    <w:rsid w:val="003B22D3"/>
    <w:rsid w:val="003B22D8"/>
    <w:rsid w:val="003B22E0"/>
    <w:rsid w:val="003B240F"/>
    <w:rsid w:val="003B2627"/>
    <w:rsid w:val="003B26DF"/>
    <w:rsid w:val="003B26ED"/>
    <w:rsid w:val="003B2702"/>
    <w:rsid w:val="003B2940"/>
    <w:rsid w:val="003B29EE"/>
    <w:rsid w:val="003B2C7F"/>
    <w:rsid w:val="003B3318"/>
    <w:rsid w:val="003B3328"/>
    <w:rsid w:val="003B334E"/>
    <w:rsid w:val="003B3366"/>
    <w:rsid w:val="003B33E6"/>
    <w:rsid w:val="003B354F"/>
    <w:rsid w:val="003B36CC"/>
    <w:rsid w:val="003B3971"/>
    <w:rsid w:val="003B3C23"/>
    <w:rsid w:val="003B3E22"/>
    <w:rsid w:val="003B3F6E"/>
    <w:rsid w:val="003B4278"/>
    <w:rsid w:val="003B44A9"/>
    <w:rsid w:val="003B4621"/>
    <w:rsid w:val="003B4690"/>
    <w:rsid w:val="003B47A3"/>
    <w:rsid w:val="003B47E9"/>
    <w:rsid w:val="003B499E"/>
    <w:rsid w:val="003B4B1D"/>
    <w:rsid w:val="003B4C19"/>
    <w:rsid w:val="003B4C4D"/>
    <w:rsid w:val="003B5009"/>
    <w:rsid w:val="003B503C"/>
    <w:rsid w:val="003B51FF"/>
    <w:rsid w:val="003B5203"/>
    <w:rsid w:val="003B5521"/>
    <w:rsid w:val="003B5559"/>
    <w:rsid w:val="003B55D1"/>
    <w:rsid w:val="003B55E6"/>
    <w:rsid w:val="003B55F7"/>
    <w:rsid w:val="003B5711"/>
    <w:rsid w:val="003B5B01"/>
    <w:rsid w:val="003B5B61"/>
    <w:rsid w:val="003B5BA4"/>
    <w:rsid w:val="003B5C75"/>
    <w:rsid w:val="003B5D6F"/>
    <w:rsid w:val="003B5EA7"/>
    <w:rsid w:val="003B5FC3"/>
    <w:rsid w:val="003B6187"/>
    <w:rsid w:val="003B6285"/>
    <w:rsid w:val="003B62E1"/>
    <w:rsid w:val="003B6403"/>
    <w:rsid w:val="003B650D"/>
    <w:rsid w:val="003B65E4"/>
    <w:rsid w:val="003B677F"/>
    <w:rsid w:val="003B680E"/>
    <w:rsid w:val="003B68EF"/>
    <w:rsid w:val="003B6AD4"/>
    <w:rsid w:val="003B6B4B"/>
    <w:rsid w:val="003B6B4C"/>
    <w:rsid w:val="003B6BDC"/>
    <w:rsid w:val="003B6D0D"/>
    <w:rsid w:val="003B6D31"/>
    <w:rsid w:val="003B6DA1"/>
    <w:rsid w:val="003B6F4F"/>
    <w:rsid w:val="003B7165"/>
    <w:rsid w:val="003B73A5"/>
    <w:rsid w:val="003B7452"/>
    <w:rsid w:val="003B7494"/>
    <w:rsid w:val="003B7651"/>
    <w:rsid w:val="003B7725"/>
    <w:rsid w:val="003B7B60"/>
    <w:rsid w:val="003B7B64"/>
    <w:rsid w:val="003B7D0A"/>
    <w:rsid w:val="003B7E6D"/>
    <w:rsid w:val="003B7EF5"/>
    <w:rsid w:val="003B7F37"/>
    <w:rsid w:val="003B7F57"/>
    <w:rsid w:val="003B7F6F"/>
    <w:rsid w:val="003C016B"/>
    <w:rsid w:val="003C03BF"/>
    <w:rsid w:val="003C0491"/>
    <w:rsid w:val="003C0518"/>
    <w:rsid w:val="003C0588"/>
    <w:rsid w:val="003C0650"/>
    <w:rsid w:val="003C065F"/>
    <w:rsid w:val="003C07F3"/>
    <w:rsid w:val="003C0A43"/>
    <w:rsid w:val="003C135B"/>
    <w:rsid w:val="003C1654"/>
    <w:rsid w:val="003C18A2"/>
    <w:rsid w:val="003C199C"/>
    <w:rsid w:val="003C1A87"/>
    <w:rsid w:val="003C1AC4"/>
    <w:rsid w:val="003C1B72"/>
    <w:rsid w:val="003C1E6A"/>
    <w:rsid w:val="003C23A6"/>
    <w:rsid w:val="003C2594"/>
    <w:rsid w:val="003C25C9"/>
    <w:rsid w:val="003C25F7"/>
    <w:rsid w:val="003C2733"/>
    <w:rsid w:val="003C2901"/>
    <w:rsid w:val="003C2BB3"/>
    <w:rsid w:val="003C2D82"/>
    <w:rsid w:val="003C2DD0"/>
    <w:rsid w:val="003C2DFC"/>
    <w:rsid w:val="003C2FFA"/>
    <w:rsid w:val="003C32C0"/>
    <w:rsid w:val="003C33ED"/>
    <w:rsid w:val="003C34E5"/>
    <w:rsid w:val="003C3709"/>
    <w:rsid w:val="003C3801"/>
    <w:rsid w:val="003C38F4"/>
    <w:rsid w:val="003C3912"/>
    <w:rsid w:val="003C396E"/>
    <w:rsid w:val="003C3A3E"/>
    <w:rsid w:val="003C3A54"/>
    <w:rsid w:val="003C3BB7"/>
    <w:rsid w:val="003C3ED1"/>
    <w:rsid w:val="003C3F13"/>
    <w:rsid w:val="003C4161"/>
    <w:rsid w:val="003C4183"/>
    <w:rsid w:val="003C4536"/>
    <w:rsid w:val="003C4723"/>
    <w:rsid w:val="003C4B6E"/>
    <w:rsid w:val="003C4BA3"/>
    <w:rsid w:val="003C4CD3"/>
    <w:rsid w:val="003C4D90"/>
    <w:rsid w:val="003C4DB2"/>
    <w:rsid w:val="003C4DC8"/>
    <w:rsid w:val="003C4E65"/>
    <w:rsid w:val="003C4E7C"/>
    <w:rsid w:val="003C4F19"/>
    <w:rsid w:val="003C512F"/>
    <w:rsid w:val="003C52DE"/>
    <w:rsid w:val="003C52F3"/>
    <w:rsid w:val="003C547A"/>
    <w:rsid w:val="003C54CB"/>
    <w:rsid w:val="003C5542"/>
    <w:rsid w:val="003C5763"/>
    <w:rsid w:val="003C588B"/>
    <w:rsid w:val="003C58C3"/>
    <w:rsid w:val="003C5BFC"/>
    <w:rsid w:val="003C5D3B"/>
    <w:rsid w:val="003C6114"/>
    <w:rsid w:val="003C6218"/>
    <w:rsid w:val="003C661F"/>
    <w:rsid w:val="003C6A34"/>
    <w:rsid w:val="003C6C12"/>
    <w:rsid w:val="003C6DEE"/>
    <w:rsid w:val="003C6E97"/>
    <w:rsid w:val="003C6EF3"/>
    <w:rsid w:val="003C7058"/>
    <w:rsid w:val="003C725B"/>
    <w:rsid w:val="003C73BD"/>
    <w:rsid w:val="003C74C9"/>
    <w:rsid w:val="003C755E"/>
    <w:rsid w:val="003C75CF"/>
    <w:rsid w:val="003C7638"/>
    <w:rsid w:val="003C77A8"/>
    <w:rsid w:val="003C7815"/>
    <w:rsid w:val="003C7830"/>
    <w:rsid w:val="003C7980"/>
    <w:rsid w:val="003C7AEB"/>
    <w:rsid w:val="003C7C15"/>
    <w:rsid w:val="003C7D19"/>
    <w:rsid w:val="003C7D2F"/>
    <w:rsid w:val="003D0328"/>
    <w:rsid w:val="003D0438"/>
    <w:rsid w:val="003D058B"/>
    <w:rsid w:val="003D0772"/>
    <w:rsid w:val="003D0777"/>
    <w:rsid w:val="003D08DF"/>
    <w:rsid w:val="003D0B23"/>
    <w:rsid w:val="003D0C5A"/>
    <w:rsid w:val="003D0DDA"/>
    <w:rsid w:val="003D0F0B"/>
    <w:rsid w:val="003D0F4D"/>
    <w:rsid w:val="003D102F"/>
    <w:rsid w:val="003D11BF"/>
    <w:rsid w:val="003D1226"/>
    <w:rsid w:val="003D1244"/>
    <w:rsid w:val="003D14B2"/>
    <w:rsid w:val="003D14BF"/>
    <w:rsid w:val="003D14FC"/>
    <w:rsid w:val="003D1575"/>
    <w:rsid w:val="003D15EE"/>
    <w:rsid w:val="003D171A"/>
    <w:rsid w:val="003D1739"/>
    <w:rsid w:val="003D17A8"/>
    <w:rsid w:val="003D1828"/>
    <w:rsid w:val="003D18BB"/>
    <w:rsid w:val="003D1C04"/>
    <w:rsid w:val="003D1D43"/>
    <w:rsid w:val="003D1D73"/>
    <w:rsid w:val="003D1DE4"/>
    <w:rsid w:val="003D1E07"/>
    <w:rsid w:val="003D1E9A"/>
    <w:rsid w:val="003D209B"/>
    <w:rsid w:val="003D21B2"/>
    <w:rsid w:val="003D233F"/>
    <w:rsid w:val="003D2422"/>
    <w:rsid w:val="003D2566"/>
    <w:rsid w:val="003D2733"/>
    <w:rsid w:val="003D274F"/>
    <w:rsid w:val="003D2854"/>
    <w:rsid w:val="003D2949"/>
    <w:rsid w:val="003D29F1"/>
    <w:rsid w:val="003D2A1C"/>
    <w:rsid w:val="003D2E0D"/>
    <w:rsid w:val="003D2FBA"/>
    <w:rsid w:val="003D3177"/>
    <w:rsid w:val="003D32BD"/>
    <w:rsid w:val="003D3496"/>
    <w:rsid w:val="003D3537"/>
    <w:rsid w:val="003D3599"/>
    <w:rsid w:val="003D3714"/>
    <w:rsid w:val="003D39A1"/>
    <w:rsid w:val="003D39EF"/>
    <w:rsid w:val="003D3A61"/>
    <w:rsid w:val="003D3A6C"/>
    <w:rsid w:val="003D3AFC"/>
    <w:rsid w:val="003D3D2D"/>
    <w:rsid w:val="003D3D34"/>
    <w:rsid w:val="003D3DF4"/>
    <w:rsid w:val="003D3E09"/>
    <w:rsid w:val="003D3E13"/>
    <w:rsid w:val="003D3FBF"/>
    <w:rsid w:val="003D3FCC"/>
    <w:rsid w:val="003D40FF"/>
    <w:rsid w:val="003D4155"/>
    <w:rsid w:val="003D42EC"/>
    <w:rsid w:val="003D447F"/>
    <w:rsid w:val="003D44C6"/>
    <w:rsid w:val="003D4567"/>
    <w:rsid w:val="003D45B8"/>
    <w:rsid w:val="003D46C9"/>
    <w:rsid w:val="003D48DF"/>
    <w:rsid w:val="003D4A22"/>
    <w:rsid w:val="003D4A30"/>
    <w:rsid w:val="003D4A3D"/>
    <w:rsid w:val="003D4B5D"/>
    <w:rsid w:val="003D4BB5"/>
    <w:rsid w:val="003D4F49"/>
    <w:rsid w:val="003D509F"/>
    <w:rsid w:val="003D549B"/>
    <w:rsid w:val="003D54D5"/>
    <w:rsid w:val="003D58BB"/>
    <w:rsid w:val="003D5B3D"/>
    <w:rsid w:val="003D5BC4"/>
    <w:rsid w:val="003D5E40"/>
    <w:rsid w:val="003D5E71"/>
    <w:rsid w:val="003D6083"/>
    <w:rsid w:val="003D6244"/>
    <w:rsid w:val="003D6259"/>
    <w:rsid w:val="003D628D"/>
    <w:rsid w:val="003D6326"/>
    <w:rsid w:val="003D6334"/>
    <w:rsid w:val="003D65CE"/>
    <w:rsid w:val="003D663C"/>
    <w:rsid w:val="003D66B5"/>
    <w:rsid w:val="003D676D"/>
    <w:rsid w:val="003D6782"/>
    <w:rsid w:val="003D6A56"/>
    <w:rsid w:val="003D6B59"/>
    <w:rsid w:val="003D6E87"/>
    <w:rsid w:val="003D6F19"/>
    <w:rsid w:val="003D70C2"/>
    <w:rsid w:val="003D727E"/>
    <w:rsid w:val="003D7309"/>
    <w:rsid w:val="003D7452"/>
    <w:rsid w:val="003D7622"/>
    <w:rsid w:val="003D78FA"/>
    <w:rsid w:val="003D799E"/>
    <w:rsid w:val="003D79BB"/>
    <w:rsid w:val="003D7A18"/>
    <w:rsid w:val="003D7B11"/>
    <w:rsid w:val="003D7C6A"/>
    <w:rsid w:val="003D7C98"/>
    <w:rsid w:val="003D7D9D"/>
    <w:rsid w:val="003E007C"/>
    <w:rsid w:val="003E0164"/>
    <w:rsid w:val="003E029E"/>
    <w:rsid w:val="003E0543"/>
    <w:rsid w:val="003E0597"/>
    <w:rsid w:val="003E06A4"/>
    <w:rsid w:val="003E097F"/>
    <w:rsid w:val="003E0AD2"/>
    <w:rsid w:val="003E0BAF"/>
    <w:rsid w:val="003E0D28"/>
    <w:rsid w:val="003E0DA7"/>
    <w:rsid w:val="003E0E5E"/>
    <w:rsid w:val="003E0FB3"/>
    <w:rsid w:val="003E1072"/>
    <w:rsid w:val="003E1116"/>
    <w:rsid w:val="003E11A2"/>
    <w:rsid w:val="003E11ED"/>
    <w:rsid w:val="003E129E"/>
    <w:rsid w:val="003E17F3"/>
    <w:rsid w:val="003E182E"/>
    <w:rsid w:val="003E1952"/>
    <w:rsid w:val="003E1D7A"/>
    <w:rsid w:val="003E1D9B"/>
    <w:rsid w:val="003E1E96"/>
    <w:rsid w:val="003E20A2"/>
    <w:rsid w:val="003E2295"/>
    <w:rsid w:val="003E22B3"/>
    <w:rsid w:val="003E23D8"/>
    <w:rsid w:val="003E2478"/>
    <w:rsid w:val="003E24F7"/>
    <w:rsid w:val="003E2546"/>
    <w:rsid w:val="003E255C"/>
    <w:rsid w:val="003E27DE"/>
    <w:rsid w:val="003E28E1"/>
    <w:rsid w:val="003E29B6"/>
    <w:rsid w:val="003E2B05"/>
    <w:rsid w:val="003E2BBE"/>
    <w:rsid w:val="003E2F54"/>
    <w:rsid w:val="003E311B"/>
    <w:rsid w:val="003E31A3"/>
    <w:rsid w:val="003E3227"/>
    <w:rsid w:val="003E3342"/>
    <w:rsid w:val="003E3433"/>
    <w:rsid w:val="003E346F"/>
    <w:rsid w:val="003E34B0"/>
    <w:rsid w:val="003E34D7"/>
    <w:rsid w:val="003E3572"/>
    <w:rsid w:val="003E35D9"/>
    <w:rsid w:val="003E363E"/>
    <w:rsid w:val="003E377D"/>
    <w:rsid w:val="003E3867"/>
    <w:rsid w:val="003E3C37"/>
    <w:rsid w:val="003E3C69"/>
    <w:rsid w:val="003E3FA4"/>
    <w:rsid w:val="003E4007"/>
    <w:rsid w:val="003E4050"/>
    <w:rsid w:val="003E407B"/>
    <w:rsid w:val="003E4146"/>
    <w:rsid w:val="003E416F"/>
    <w:rsid w:val="003E41FC"/>
    <w:rsid w:val="003E423F"/>
    <w:rsid w:val="003E4270"/>
    <w:rsid w:val="003E427A"/>
    <w:rsid w:val="003E43D7"/>
    <w:rsid w:val="003E4472"/>
    <w:rsid w:val="003E4AE2"/>
    <w:rsid w:val="003E4B15"/>
    <w:rsid w:val="003E4F36"/>
    <w:rsid w:val="003E4FFB"/>
    <w:rsid w:val="003E50C7"/>
    <w:rsid w:val="003E5199"/>
    <w:rsid w:val="003E51FC"/>
    <w:rsid w:val="003E54C7"/>
    <w:rsid w:val="003E5603"/>
    <w:rsid w:val="003E5659"/>
    <w:rsid w:val="003E582A"/>
    <w:rsid w:val="003E583F"/>
    <w:rsid w:val="003E5961"/>
    <w:rsid w:val="003E59A7"/>
    <w:rsid w:val="003E5BE8"/>
    <w:rsid w:val="003E5C48"/>
    <w:rsid w:val="003E5CB8"/>
    <w:rsid w:val="003E5D95"/>
    <w:rsid w:val="003E5DFF"/>
    <w:rsid w:val="003E5EF1"/>
    <w:rsid w:val="003E5F6A"/>
    <w:rsid w:val="003E6076"/>
    <w:rsid w:val="003E60B0"/>
    <w:rsid w:val="003E6175"/>
    <w:rsid w:val="003E61B8"/>
    <w:rsid w:val="003E628C"/>
    <w:rsid w:val="003E6338"/>
    <w:rsid w:val="003E648F"/>
    <w:rsid w:val="003E655B"/>
    <w:rsid w:val="003E65B5"/>
    <w:rsid w:val="003E6820"/>
    <w:rsid w:val="003E684A"/>
    <w:rsid w:val="003E68BD"/>
    <w:rsid w:val="003E68C0"/>
    <w:rsid w:val="003E68CA"/>
    <w:rsid w:val="003E68D9"/>
    <w:rsid w:val="003E691C"/>
    <w:rsid w:val="003E6A1A"/>
    <w:rsid w:val="003E6A8C"/>
    <w:rsid w:val="003E6B7A"/>
    <w:rsid w:val="003E6E28"/>
    <w:rsid w:val="003E6EB2"/>
    <w:rsid w:val="003E701E"/>
    <w:rsid w:val="003E73AB"/>
    <w:rsid w:val="003E740D"/>
    <w:rsid w:val="003E749E"/>
    <w:rsid w:val="003E7795"/>
    <w:rsid w:val="003E79D8"/>
    <w:rsid w:val="003E7C30"/>
    <w:rsid w:val="003E7D2D"/>
    <w:rsid w:val="003E7D54"/>
    <w:rsid w:val="003F05EA"/>
    <w:rsid w:val="003F0726"/>
    <w:rsid w:val="003F07B1"/>
    <w:rsid w:val="003F0806"/>
    <w:rsid w:val="003F0853"/>
    <w:rsid w:val="003F09E0"/>
    <w:rsid w:val="003F0A5E"/>
    <w:rsid w:val="003F0D86"/>
    <w:rsid w:val="003F0E67"/>
    <w:rsid w:val="003F0ED0"/>
    <w:rsid w:val="003F0F13"/>
    <w:rsid w:val="003F0F31"/>
    <w:rsid w:val="003F0F6F"/>
    <w:rsid w:val="003F127F"/>
    <w:rsid w:val="003F1728"/>
    <w:rsid w:val="003F1A4C"/>
    <w:rsid w:val="003F1B5C"/>
    <w:rsid w:val="003F1BAE"/>
    <w:rsid w:val="003F1C5C"/>
    <w:rsid w:val="003F1E8C"/>
    <w:rsid w:val="003F1FB4"/>
    <w:rsid w:val="003F22E9"/>
    <w:rsid w:val="003F2458"/>
    <w:rsid w:val="003F2928"/>
    <w:rsid w:val="003F2AD7"/>
    <w:rsid w:val="003F2B2A"/>
    <w:rsid w:val="003F2B2E"/>
    <w:rsid w:val="003F2B5D"/>
    <w:rsid w:val="003F2BC6"/>
    <w:rsid w:val="003F2CEB"/>
    <w:rsid w:val="003F2DD1"/>
    <w:rsid w:val="003F2F40"/>
    <w:rsid w:val="003F301C"/>
    <w:rsid w:val="003F3596"/>
    <w:rsid w:val="003F3679"/>
    <w:rsid w:val="003F37DE"/>
    <w:rsid w:val="003F3AD1"/>
    <w:rsid w:val="003F4007"/>
    <w:rsid w:val="003F407D"/>
    <w:rsid w:val="003F40D2"/>
    <w:rsid w:val="003F4156"/>
    <w:rsid w:val="003F4310"/>
    <w:rsid w:val="003F437A"/>
    <w:rsid w:val="003F4408"/>
    <w:rsid w:val="003F476C"/>
    <w:rsid w:val="003F49BE"/>
    <w:rsid w:val="003F49C1"/>
    <w:rsid w:val="003F49DD"/>
    <w:rsid w:val="003F4A78"/>
    <w:rsid w:val="003F4B54"/>
    <w:rsid w:val="003F4B6F"/>
    <w:rsid w:val="003F4C69"/>
    <w:rsid w:val="003F4C99"/>
    <w:rsid w:val="003F4CBD"/>
    <w:rsid w:val="003F4DD4"/>
    <w:rsid w:val="003F4E62"/>
    <w:rsid w:val="003F4FB5"/>
    <w:rsid w:val="003F530F"/>
    <w:rsid w:val="003F549E"/>
    <w:rsid w:val="003F5ADF"/>
    <w:rsid w:val="003F5B06"/>
    <w:rsid w:val="003F5B26"/>
    <w:rsid w:val="003F5B95"/>
    <w:rsid w:val="003F5C1D"/>
    <w:rsid w:val="003F5EA2"/>
    <w:rsid w:val="003F5FA6"/>
    <w:rsid w:val="003F5FDD"/>
    <w:rsid w:val="003F6029"/>
    <w:rsid w:val="003F60CF"/>
    <w:rsid w:val="003F61F4"/>
    <w:rsid w:val="003F625D"/>
    <w:rsid w:val="003F639A"/>
    <w:rsid w:val="003F640F"/>
    <w:rsid w:val="003F6608"/>
    <w:rsid w:val="003F6685"/>
    <w:rsid w:val="003F66DB"/>
    <w:rsid w:val="003F6707"/>
    <w:rsid w:val="003F678D"/>
    <w:rsid w:val="003F6A0A"/>
    <w:rsid w:val="003F6B69"/>
    <w:rsid w:val="003F6DC6"/>
    <w:rsid w:val="003F6FD5"/>
    <w:rsid w:val="003F6FE8"/>
    <w:rsid w:val="003F704A"/>
    <w:rsid w:val="003F7072"/>
    <w:rsid w:val="003F74DB"/>
    <w:rsid w:val="003F754F"/>
    <w:rsid w:val="003F78E8"/>
    <w:rsid w:val="003F7C7D"/>
    <w:rsid w:val="003F7C99"/>
    <w:rsid w:val="00400052"/>
    <w:rsid w:val="0040010E"/>
    <w:rsid w:val="00400167"/>
    <w:rsid w:val="00400A08"/>
    <w:rsid w:val="00400B29"/>
    <w:rsid w:val="00400DFE"/>
    <w:rsid w:val="0040134F"/>
    <w:rsid w:val="0040160A"/>
    <w:rsid w:val="00401663"/>
    <w:rsid w:val="00401847"/>
    <w:rsid w:val="00401992"/>
    <w:rsid w:val="00401ACC"/>
    <w:rsid w:val="00401B18"/>
    <w:rsid w:val="00401D1D"/>
    <w:rsid w:val="004020F8"/>
    <w:rsid w:val="0040214C"/>
    <w:rsid w:val="0040218F"/>
    <w:rsid w:val="004026A1"/>
    <w:rsid w:val="00402812"/>
    <w:rsid w:val="0040289C"/>
    <w:rsid w:val="00402936"/>
    <w:rsid w:val="00402AB1"/>
    <w:rsid w:val="00402C24"/>
    <w:rsid w:val="00402CBA"/>
    <w:rsid w:val="00402D74"/>
    <w:rsid w:val="00402F31"/>
    <w:rsid w:val="00402F69"/>
    <w:rsid w:val="00403002"/>
    <w:rsid w:val="004030B3"/>
    <w:rsid w:val="004031E4"/>
    <w:rsid w:val="00403433"/>
    <w:rsid w:val="00403454"/>
    <w:rsid w:val="0040347A"/>
    <w:rsid w:val="00403576"/>
    <w:rsid w:val="0040380B"/>
    <w:rsid w:val="0040393B"/>
    <w:rsid w:val="00403AC6"/>
    <w:rsid w:val="00403B2D"/>
    <w:rsid w:val="00403C5D"/>
    <w:rsid w:val="0040412A"/>
    <w:rsid w:val="004044CA"/>
    <w:rsid w:val="0040450B"/>
    <w:rsid w:val="004046A3"/>
    <w:rsid w:val="004048E5"/>
    <w:rsid w:val="00404A84"/>
    <w:rsid w:val="00404B69"/>
    <w:rsid w:val="00404BA7"/>
    <w:rsid w:val="00404EE1"/>
    <w:rsid w:val="00404F02"/>
    <w:rsid w:val="00404F09"/>
    <w:rsid w:val="00404FCD"/>
    <w:rsid w:val="00405006"/>
    <w:rsid w:val="0040504B"/>
    <w:rsid w:val="00405133"/>
    <w:rsid w:val="00405154"/>
    <w:rsid w:val="004051DF"/>
    <w:rsid w:val="004051F6"/>
    <w:rsid w:val="004052F0"/>
    <w:rsid w:val="0040548B"/>
    <w:rsid w:val="004056F4"/>
    <w:rsid w:val="0040574B"/>
    <w:rsid w:val="004058E4"/>
    <w:rsid w:val="004059F4"/>
    <w:rsid w:val="00405A91"/>
    <w:rsid w:val="00405CE1"/>
    <w:rsid w:val="00405DB3"/>
    <w:rsid w:val="00405F1C"/>
    <w:rsid w:val="0040600E"/>
    <w:rsid w:val="0040623D"/>
    <w:rsid w:val="00406560"/>
    <w:rsid w:val="00406940"/>
    <w:rsid w:val="0040694A"/>
    <w:rsid w:val="00406985"/>
    <w:rsid w:val="00406A55"/>
    <w:rsid w:val="00406BA2"/>
    <w:rsid w:val="00406C36"/>
    <w:rsid w:val="00406E15"/>
    <w:rsid w:val="00407075"/>
    <w:rsid w:val="00407158"/>
    <w:rsid w:val="00407186"/>
    <w:rsid w:val="0040718D"/>
    <w:rsid w:val="00407200"/>
    <w:rsid w:val="00407221"/>
    <w:rsid w:val="00407241"/>
    <w:rsid w:val="0040727E"/>
    <w:rsid w:val="00407298"/>
    <w:rsid w:val="00407304"/>
    <w:rsid w:val="004074ED"/>
    <w:rsid w:val="004075C4"/>
    <w:rsid w:val="00407644"/>
    <w:rsid w:val="00407699"/>
    <w:rsid w:val="00407738"/>
    <w:rsid w:val="0040796E"/>
    <w:rsid w:val="004079DB"/>
    <w:rsid w:val="00407A54"/>
    <w:rsid w:val="00407A98"/>
    <w:rsid w:val="00407F00"/>
    <w:rsid w:val="00407FE5"/>
    <w:rsid w:val="00410072"/>
    <w:rsid w:val="0041010C"/>
    <w:rsid w:val="004101B0"/>
    <w:rsid w:val="004102DE"/>
    <w:rsid w:val="00410326"/>
    <w:rsid w:val="0041038E"/>
    <w:rsid w:val="00410453"/>
    <w:rsid w:val="00410708"/>
    <w:rsid w:val="00410D62"/>
    <w:rsid w:val="00410E08"/>
    <w:rsid w:val="00410E3E"/>
    <w:rsid w:val="00410EC7"/>
    <w:rsid w:val="00411002"/>
    <w:rsid w:val="0041117A"/>
    <w:rsid w:val="004112D5"/>
    <w:rsid w:val="004113FD"/>
    <w:rsid w:val="00411483"/>
    <w:rsid w:val="004118D0"/>
    <w:rsid w:val="00411938"/>
    <w:rsid w:val="00411AAA"/>
    <w:rsid w:val="00411AB2"/>
    <w:rsid w:val="00411ABA"/>
    <w:rsid w:val="00411AD8"/>
    <w:rsid w:val="00411B39"/>
    <w:rsid w:val="00411BCA"/>
    <w:rsid w:val="00411D5E"/>
    <w:rsid w:val="00411DE1"/>
    <w:rsid w:val="00411F17"/>
    <w:rsid w:val="00412161"/>
    <w:rsid w:val="00412194"/>
    <w:rsid w:val="0041219C"/>
    <w:rsid w:val="0041243D"/>
    <w:rsid w:val="00412525"/>
    <w:rsid w:val="00412616"/>
    <w:rsid w:val="004126A2"/>
    <w:rsid w:val="004127A7"/>
    <w:rsid w:val="00412825"/>
    <w:rsid w:val="00412EFC"/>
    <w:rsid w:val="0041300D"/>
    <w:rsid w:val="00413044"/>
    <w:rsid w:val="0041317C"/>
    <w:rsid w:val="00413335"/>
    <w:rsid w:val="00413556"/>
    <w:rsid w:val="0041376E"/>
    <w:rsid w:val="00413842"/>
    <w:rsid w:val="00413A1E"/>
    <w:rsid w:val="00413A2D"/>
    <w:rsid w:val="00413A99"/>
    <w:rsid w:val="00413E4C"/>
    <w:rsid w:val="0041434B"/>
    <w:rsid w:val="00414476"/>
    <w:rsid w:val="0041455B"/>
    <w:rsid w:val="004145AE"/>
    <w:rsid w:val="004146A5"/>
    <w:rsid w:val="00414741"/>
    <w:rsid w:val="0041476B"/>
    <w:rsid w:val="004148E0"/>
    <w:rsid w:val="0041493A"/>
    <w:rsid w:val="00414987"/>
    <w:rsid w:val="00414A2E"/>
    <w:rsid w:val="00414C2E"/>
    <w:rsid w:val="00414D36"/>
    <w:rsid w:val="0041507A"/>
    <w:rsid w:val="004151CF"/>
    <w:rsid w:val="0041521A"/>
    <w:rsid w:val="0041527F"/>
    <w:rsid w:val="0041532A"/>
    <w:rsid w:val="00415409"/>
    <w:rsid w:val="00415683"/>
    <w:rsid w:val="004157C1"/>
    <w:rsid w:val="004157D1"/>
    <w:rsid w:val="004158A5"/>
    <w:rsid w:val="00415AA1"/>
    <w:rsid w:val="00415AD3"/>
    <w:rsid w:val="00415B07"/>
    <w:rsid w:val="00415BE2"/>
    <w:rsid w:val="00415C2F"/>
    <w:rsid w:val="00415D41"/>
    <w:rsid w:val="00415DA2"/>
    <w:rsid w:val="00415DA3"/>
    <w:rsid w:val="00415E35"/>
    <w:rsid w:val="00415E7D"/>
    <w:rsid w:val="004160D6"/>
    <w:rsid w:val="004161CC"/>
    <w:rsid w:val="004161E3"/>
    <w:rsid w:val="00416364"/>
    <w:rsid w:val="0041649D"/>
    <w:rsid w:val="0041684C"/>
    <w:rsid w:val="0041692D"/>
    <w:rsid w:val="00416A46"/>
    <w:rsid w:val="00416ADB"/>
    <w:rsid w:val="00416ADC"/>
    <w:rsid w:val="00416ADE"/>
    <w:rsid w:val="00416B65"/>
    <w:rsid w:val="00416E0C"/>
    <w:rsid w:val="0041704B"/>
    <w:rsid w:val="00417436"/>
    <w:rsid w:val="004175ED"/>
    <w:rsid w:val="00417662"/>
    <w:rsid w:val="0041778F"/>
    <w:rsid w:val="00417B60"/>
    <w:rsid w:val="00417C3A"/>
    <w:rsid w:val="00417E16"/>
    <w:rsid w:val="00417E58"/>
    <w:rsid w:val="00417EAA"/>
    <w:rsid w:val="004203D8"/>
    <w:rsid w:val="0042047F"/>
    <w:rsid w:val="004207D4"/>
    <w:rsid w:val="00420962"/>
    <w:rsid w:val="00420AA6"/>
    <w:rsid w:val="00420B9F"/>
    <w:rsid w:val="00420C9B"/>
    <w:rsid w:val="00420DDB"/>
    <w:rsid w:val="00420DFB"/>
    <w:rsid w:val="00421083"/>
    <w:rsid w:val="00421135"/>
    <w:rsid w:val="004212AF"/>
    <w:rsid w:val="004212B4"/>
    <w:rsid w:val="0042160C"/>
    <w:rsid w:val="00421626"/>
    <w:rsid w:val="00421652"/>
    <w:rsid w:val="00421667"/>
    <w:rsid w:val="004218EB"/>
    <w:rsid w:val="0042192C"/>
    <w:rsid w:val="004219B0"/>
    <w:rsid w:val="004219DB"/>
    <w:rsid w:val="00421AFF"/>
    <w:rsid w:val="00421B0B"/>
    <w:rsid w:val="00421B71"/>
    <w:rsid w:val="00421CA2"/>
    <w:rsid w:val="00421D51"/>
    <w:rsid w:val="00421D9D"/>
    <w:rsid w:val="00422260"/>
    <w:rsid w:val="0042236D"/>
    <w:rsid w:val="004223F3"/>
    <w:rsid w:val="00422552"/>
    <w:rsid w:val="004225AD"/>
    <w:rsid w:val="00422728"/>
    <w:rsid w:val="00422935"/>
    <w:rsid w:val="00422AC7"/>
    <w:rsid w:val="00422E0E"/>
    <w:rsid w:val="00422E32"/>
    <w:rsid w:val="00423107"/>
    <w:rsid w:val="00423894"/>
    <w:rsid w:val="00423979"/>
    <w:rsid w:val="00423A8D"/>
    <w:rsid w:val="00423AAA"/>
    <w:rsid w:val="00423B6F"/>
    <w:rsid w:val="00423DB3"/>
    <w:rsid w:val="00423E25"/>
    <w:rsid w:val="00423EFB"/>
    <w:rsid w:val="0042413F"/>
    <w:rsid w:val="0042432E"/>
    <w:rsid w:val="004243D3"/>
    <w:rsid w:val="004248D8"/>
    <w:rsid w:val="00424A13"/>
    <w:rsid w:val="00424AEA"/>
    <w:rsid w:val="00424C44"/>
    <w:rsid w:val="00424D8E"/>
    <w:rsid w:val="00424DF0"/>
    <w:rsid w:val="00424ED2"/>
    <w:rsid w:val="00425382"/>
    <w:rsid w:val="0042546E"/>
    <w:rsid w:val="00425514"/>
    <w:rsid w:val="00425559"/>
    <w:rsid w:val="00425567"/>
    <w:rsid w:val="004256A8"/>
    <w:rsid w:val="00425722"/>
    <w:rsid w:val="004258B9"/>
    <w:rsid w:val="004259D6"/>
    <w:rsid w:val="00425F97"/>
    <w:rsid w:val="0042611B"/>
    <w:rsid w:val="004262C7"/>
    <w:rsid w:val="004263DD"/>
    <w:rsid w:val="0042641F"/>
    <w:rsid w:val="004266E2"/>
    <w:rsid w:val="0042691C"/>
    <w:rsid w:val="00426932"/>
    <w:rsid w:val="00426AAE"/>
    <w:rsid w:val="00426B73"/>
    <w:rsid w:val="00426CCD"/>
    <w:rsid w:val="00426F3B"/>
    <w:rsid w:val="00426F6C"/>
    <w:rsid w:val="00426F6D"/>
    <w:rsid w:val="00427022"/>
    <w:rsid w:val="004273A5"/>
    <w:rsid w:val="004274BF"/>
    <w:rsid w:val="004274EE"/>
    <w:rsid w:val="00427509"/>
    <w:rsid w:val="00427594"/>
    <w:rsid w:val="0042764E"/>
    <w:rsid w:val="00427BD0"/>
    <w:rsid w:val="00427E51"/>
    <w:rsid w:val="00427E5D"/>
    <w:rsid w:val="00430279"/>
    <w:rsid w:val="0043028F"/>
    <w:rsid w:val="00430643"/>
    <w:rsid w:val="004306E2"/>
    <w:rsid w:val="00430702"/>
    <w:rsid w:val="004309E4"/>
    <w:rsid w:val="00430CCF"/>
    <w:rsid w:val="00430CEC"/>
    <w:rsid w:val="00430E4D"/>
    <w:rsid w:val="00430EFC"/>
    <w:rsid w:val="0043106E"/>
    <w:rsid w:val="00431086"/>
    <w:rsid w:val="0043125E"/>
    <w:rsid w:val="004312ED"/>
    <w:rsid w:val="004313E9"/>
    <w:rsid w:val="00431460"/>
    <w:rsid w:val="00431570"/>
    <w:rsid w:val="0043157A"/>
    <w:rsid w:val="004315E3"/>
    <w:rsid w:val="004315F1"/>
    <w:rsid w:val="0043164A"/>
    <w:rsid w:val="004319F8"/>
    <w:rsid w:val="00431A11"/>
    <w:rsid w:val="00431A69"/>
    <w:rsid w:val="00431DA4"/>
    <w:rsid w:val="00431E55"/>
    <w:rsid w:val="00431E8D"/>
    <w:rsid w:val="00431F26"/>
    <w:rsid w:val="0043208D"/>
    <w:rsid w:val="0043211B"/>
    <w:rsid w:val="0043215B"/>
    <w:rsid w:val="004321F6"/>
    <w:rsid w:val="00432848"/>
    <w:rsid w:val="00432922"/>
    <w:rsid w:val="00432A55"/>
    <w:rsid w:val="00432B67"/>
    <w:rsid w:val="00432CD6"/>
    <w:rsid w:val="00432DBC"/>
    <w:rsid w:val="00433044"/>
    <w:rsid w:val="004331DE"/>
    <w:rsid w:val="004332B3"/>
    <w:rsid w:val="0043333B"/>
    <w:rsid w:val="00433341"/>
    <w:rsid w:val="00433487"/>
    <w:rsid w:val="00433764"/>
    <w:rsid w:val="004337D2"/>
    <w:rsid w:val="00433821"/>
    <w:rsid w:val="00433B38"/>
    <w:rsid w:val="00433BE8"/>
    <w:rsid w:val="00433D93"/>
    <w:rsid w:val="00433E70"/>
    <w:rsid w:val="00433F45"/>
    <w:rsid w:val="00434088"/>
    <w:rsid w:val="00434295"/>
    <w:rsid w:val="004342E4"/>
    <w:rsid w:val="004345AB"/>
    <w:rsid w:val="004345D7"/>
    <w:rsid w:val="00434637"/>
    <w:rsid w:val="00434AD5"/>
    <w:rsid w:val="00434B33"/>
    <w:rsid w:val="00434B6D"/>
    <w:rsid w:val="00434B76"/>
    <w:rsid w:val="00434E50"/>
    <w:rsid w:val="00434E77"/>
    <w:rsid w:val="00434F99"/>
    <w:rsid w:val="004350D3"/>
    <w:rsid w:val="004350F9"/>
    <w:rsid w:val="004355B5"/>
    <w:rsid w:val="004356EC"/>
    <w:rsid w:val="00435811"/>
    <w:rsid w:val="00435ADB"/>
    <w:rsid w:val="00435DD4"/>
    <w:rsid w:val="00435FC4"/>
    <w:rsid w:val="0043604B"/>
    <w:rsid w:val="004362A3"/>
    <w:rsid w:val="0043630C"/>
    <w:rsid w:val="00436365"/>
    <w:rsid w:val="00436535"/>
    <w:rsid w:val="0043670C"/>
    <w:rsid w:val="004367A1"/>
    <w:rsid w:val="00436A97"/>
    <w:rsid w:val="00436BBC"/>
    <w:rsid w:val="00436E20"/>
    <w:rsid w:val="004370E4"/>
    <w:rsid w:val="004371A1"/>
    <w:rsid w:val="0043728B"/>
    <w:rsid w:val="00437382"/>
    <w:rsid w:val="004375B9"/>
    <w:rsid w:val="004377F9"/>
    <w:rsid w:val="00437958"/>
    <w:rsid w:val="00437A4F"/>
    <w:rsid w:val="00437B1B"/>
    <w:rsid w:val="00437BF4"/>
    <w:rsid w:val="00437BFA"/>
    <w:rsid w:val="004403E7"/>
    <w:rsid w:val="00440438"/>
    <w:rsid w:val="004404D3"/>
    <w:rsid w:val="00440698"/>
    <w:rsid w:val="0044069B"/>
    <w:rsid w:val="00440ACF"/>
    <w:rsid w:val="00440C7C"/>
    <w:rsid w:val="00440D45"/>
    <w:rsid w:val="00440D73"/>
    <w:rsid w:val="00440E5A"/>
    <w:rsid w:val="0044115D"/>
    <w:rsid w:val="0044139F"/>
    <w:rsid w:val="00441517"/>
    <w:rsid w:val="00441565"/>
    <w:rsid w:val="00441587"/>
    <w:rsid w:val="004415D1"/>
    <w:rsid w:val="004416AF"/>
    <w:rsid w:val="004417E1"/>
    <w:rsid w:val="00441835"/>
    <w:rsid w:val="004418C3"/>
    <w:rsid w:val="004418DE"/>
    <w:rsid w:val="0044196D"/>
    <w:rsid w:val="00441AF2"/>
    <w:rsid w:val="00441B25"/>
    <w:rsid w:val="00441BAF"/>
    <w:rsid w:val="00441C63"/>
    <w:rsid w:val="00441D95"/>
    <w:rsid w:val="00441F78"/>
    <w:rsid w:val="00441F87"/>
    <w:rsid w:val="00442027"/>
    <w:rsid w:val="004420EA"/>
    <w:rsid w:val="0044223D"/>
    <w:rsid w:val="00442675"/>
    <w:rsid w:val="004426CB"/>
    <w:rsid w:val="004428D0"/>
    <w:rsid w:val="0044297A"/>
    <w:rsid w:val="00442B16"/>
    <w:rsid w:val="00442BF6"/>
    <w:rsid w:val="00442CE0"/>
    <w:rsid w:val="00442F0C"/>
    <w:rsid w:val="00442F5F"/>
    <w:rsid w:val="00443066"/>
    <w:rsid w:val="0044327E"/>
    <w:rsid w:val="00443301"/>
    <w:rsid w:val="0044335B"/>
    <w:rsid w:val="004434F9"/>
    <w:rsid w:val="0044352C"/>
    <w:rsid w:val="004437A4"/>
    <w:rsid w:val="00443838"/>
    <w:rsid w:val="00443A53"/>
    <w:rsid w:val="00443AA3"/>
    <w:rsid w:val="00443ABC"/>
    <w:rsid w:val="00443B1D"/>
    <w:rsid w:val="00443BEC"/>
    <w:rsid w:val="00443D8E"/>
    <w:rsid w:val="00443E50"/>
    <w:rsid w:val="00443EB6"/>
    <w:rsid w:val="00443F1C"/>
    <w:rsid w:val="00443FAC"/>
    <w:rsid w:val="0044402C"/>
    <w:rsid w:val="004440FB"/>
    <w:rsid w:val="00444167"/>
    <w:rsid w:val="00444185"/>
    <w:rsid w:val="004442FE"/>
    <w:rsid w:val="0044432D"/>
    <w:rsid w:val="004443A7"/>
    <w:rsid w:val="0044442C"/>
    <w:rsid w:val="004446CB"/>
    <w:rsid w:val="004446F1"/>
    <w:rsid w:val="00444737"/>
    <w:rsid w:val="00444809"/>
    <w:rsid w:val="00444871"/>
    <w:rsid w:val="00444877"/>
    <w:rsid w:val="004448BA"/>
    <w:rsid w:val="004449AB"/>
    <w:rsid w:val="004449B0"/>
    <w:rsid w:val="00444B49"/>
    <w:rsid w:val="00444B97"/>
    <w:rsid w:val="00444BD7"/>
    <w:rsid w:val="00444C5C"/>
    <w:rsid w:val="00444CC5"/>
    <w:rsid w:val="00444EC2"/>
    <w:rsid w:val="00445132"/>
    <w:rsid w:val="00445192"/>
    <w:rsid w:val="0044524D"/>
    <w:rsid w:val="00445282"/>
    <w:rsid w:val="00445298"/>
    <w:rsid w:val="00445327"/>
    <w:rsid w:val="00445372"/>
    <w:rsid w:val="004453A0"/>
    <w:rsid w:val="004453C6"/>
    <w:rsid w:val="004453CC"/>
    <w:rsid w:val="00445502"/>
    <w:rsid w:val="00445588"/>
    <w:rsid w:val="004456AD"/>
    <w:rsid w:val="0044579D"/>
    <w:rsid w:val="0044584B"/>
    <w:rsid w:val="004458D2"/>
    <w:rsid w:val="004458EE"/>
    <w:rsid w:val="00445941"/>
    <w:rsid w:val="00445A2B"/>
    <w:rsid w:val="00445DFC"/>
    <w:rsid w:val="00445F96"/>
    <w:rsid w:val="0044622B"/>
    <w:rsid w:val="0044623B"/>
    <w:rsid w:val="0044629F"/>
    <w:rsid w:val="004462B2"/>
    <w:rsid w:val="004462B3"/>
    <w:rsid w:val="0044640A"/>
    <w:rsid w:val="004464EB"/>
    <w:rsid w:val="004464EF"/>
    <w:rsid w:val="00446572"/>
    <w:rsid w:val="0044669E"/>
    <w:rsid w:val="00446702"/>
    <w:rsid w:val="004469EA"/>
    <w:rsid w:val="004469FB"/>
    <w:rsid w:val="00446B0B"/>
    <w:rsid w:val="00446C0D"/>
    <w:rsid w:val="00446CEE"/>
    <w:rsid w:val="00447093"/>
    <w:rsid w:val="004470BE"/>
    <w:rsid w:val="004470C5"/>
    <w:rsid w:val="0044767B"/>
    <w:rsid w:val="00447B12"/>
    <w:rsid w:val="00447D1B"/>
    <w:rsid w:val="00447D26"/>
    <w:rsid w:val="00447DAD"/>
    <w:rsid w:val="00447DFC"/>
    <w:rsid w:val="00447E30"/>
    <w:rsid w:val="0045007A"/>
    <w:rsid w:val="0045022F"/>
    <w:rsid w:val="00450486"/>
    <w:rsid w:val="00450997"/>
    <w:rsid w:val="00450A8A"/>
    <w:rsid w:val="00450C79"/>
    <w:rsid w:val="00450DB1"/>
    <w:rsid w:val="00450E80"/>
    <w:rsid w:val="00450F07"/>
    <w:rsid w:val="004510B3"/>
    <w:rsid w:val="00451179"/>
    <w:rsid w:val="004512AA"/>
    <w:rsid w:val="004512E2"/>
    <w:rsid w:val="004512F8"/>
    <w:rsid w:val="00451492"/>
    <w:rsid w:val="004514F4"/>
    <w:rsid w:val="0045156B"/>
    <w:rsid w:val="00451591"/>
    <w:rsid w:val="00451689"/>
    <w:rsid w:val="00451700"/>
    <w:rsid w:val="0045172D"/>
    <w:rsid w:val="00451871"/>
    <w:rsid w:val="00451A1B"/>
    <w:rsid w:val="00451A7E"/>
    <w:rsid w:val="00451B48"/>
    <w:rsid w:val="00451B78"/>
    <w:rsid w:val="00451BFD"/>
    <w:rsid w:val="00451CCD"/>
    <w:rsid w:val="00451D69"/>
    <w:rsid w:val="00451DB9"/>
    <w:rsid w:val="0045200E"/>
    <w:rsid w:val="004521F2"/>
    <w:rsid w:val="00452248"/>
    <w:rsid w:val="004522C9"/>
    <w:rsid w:val="0045232A"/>
    <w:rsid w:val="0045234F"/>
    <w:rsid w:val="00452843"/>
    <w:rsid w:val="00452876"/>
    <w:rsid w:val="0045292D"/>
    <w:rsid w:val="00452A1F"/>
    <w:rsid w:val="00452A9B"/>
    <w:rsid w:val="00452ACD"/>
    <w:rsid w:val="00452AE4"/>
    <w:rsid w:val="00452C42"/>
    <w:rsid w:val="00452CAD"/>
    <w:rsid w:val="00452CCD"/>
    <w:rsid w:val="00452F94"/>
    <w:rsid w:val="00453098"/>
    <w:rsid w:val="0045328B"/>
    <w:rsid w:val="00453534"/>
    <w:rsid w:val="00453605"/>
    <w:rsid w:val="0045366F"/>
    <w:rsid w:val="004537B6"/>
    <w:rsid w:val="004537C0"/>
    <w:rsid w:val="00453955"/>
    <w:rsid w:val="00453B20"/>
    <w:rsid w:val="00453B21"/>
    <w:rsid w:val="00453B91"/>
    <w:rsid w:val="00453C16"/>
    <w:rsid w:val="00454307"/>
    <w:rsid w:val="0045452F"/>
    <w:rsid w:val="004545C0"/>
    <w:rsid w:val="00454747"/>
    <w:rsid w:val="00454772"/>
    <w:rsid w:val="00454855"/>
    <w:rsid w:val="00454889"/>
    <w:rsid w:val="004548CE"/>
    <w:rsid w:val="00454A31"/>
    <w:rsid w:val="00454B2A"/>
    <w:rsid w:val="00454B63"/>
    <w:rsid w:val="00454DCA"/>
    <w:rsid w:val="00454E0B"/>
    <w:rsid w:val="00454E24"/>
    <w:rsid w:val="0045507D"/>
    <w:rsid w:val="00455136"/>
    <w:rsid w:val="0045516B"/>
    <w:rsid w:val="00455234"/>
    <w:rsid w:val="00455369"/>
    <w:rsid w:val="0045541B"/>
    <w:rsid w:val="00455770"/>
    <w:rsid w:val="00455971"/>
    <w:rsid w:val="00455A5D"/>
    <w:rsid w:val="00455C01"/>
    <w:rsid w:val="00455C1C"/>
    <w:rsid w:val="00455D45"/>
    <w:rsid w:val="00455E85"/>
    <w:rsid w:val="00455F23"/>
    <w:rsid w:val="004565A6"/>
    <w:rsid w:val="00456711"/>
    <w:rsid w:val="004567B2"/>
    <w:rsid w:val="004568E8"/>
    <w:rsid w:val="004568EB"/>
    <w:rsid w:val="0045696E"/>
    <w:rsid w:val="004569FE"/>
    <w:rsid w:val="00456CCE"/>
    <w:rsid w:val="00456CF6"/>
    <w:rsid w:val="00456FAB"/>
    <w:rsid w:val="0045700A"/>
    <w:rsid w:val="004571EC"/>
    <w:rsid w:val="0045721A"/>
    <w:rsid w:val="004576CC"/>
    <w:rsid w:val="00457C0D"/>
    <w:rsid w:val="00457D1F"/>
    <w:rsid w:val="00457EC9"/>
    <w:rsid w:val="00457FD4"/>
    <w:rsid w:val="00457FFD"/>
    <w:rsid w:val="00460173"/>
    <w:rsid w:val="004602E9"/>
    <w:rsid w:val="004602FE"/>
    <w:rsid w:val="0046056B"/>
    <w:rsid w:val="00460836"/>
    <w:rsid w:val="004608C8"/>
    <w:rsid w:val="00460B96"/>
    <w:rsid w:val="00460EF1"/>
    <w:rsid w:val="0046110A"/>
    <w:rsid w:val="004614ED"/>
    <w:rsid w:val="00461634"/>
    <w:rsid w:val="00461825"/>
    <w:rsid w:val="0046195B"/>
    <w:rsid w:val="0046197A"/>
    <w:rsid w:val="00461AA1"/>
    <w:rsid w:val="00461C05"/>
    <w:rsid w:val="00461C11"/>
    <w:rsid w:val="00461F26"/>
    <w:rsid w:val="004621FF"/>
    <w:rsid w:val="00462206"/>
    <w:rsid w:val="0046265C"/>
    <w:rsid w:val="00462894"/>
    <w:rsid w:val="00462915"/>
    <w:rsid w:val="004629D4"/>
    <w:rsid w:val="004629D6"/>
    <w:rsid w:val="00462A67"/>
    <w:rsid w:val="00462EDD"/>
    <w:rsid w:val="00462F5C"/>
    <w:rsid w:val="00462FF1"/>
    <w:rsid w:val="00463079"/>
    <w:rsid w:val="0046308C"/>
    <w:rsid w:val="00463108"/>
    <w:rsid w:val="00463144"/>
    <w:rsid w:val="004631EF"/>
    <w:rsid w:val="00463292"/>
    <w:rsid w:val="0046344A"/>
    <w:rsid w:val="00463481"/>
    <w:rsid w:val="004634E9"/>
    <w:rsid w:val="00463505"/>
    <w:rsid w:val="00463754"/>
    <w:rsid w:val="0046387A"/>
    <w:rsid w:val="00463888"/>
    <w:rsid w:val="004638B3"/>
    <w:rsid w:val="00463BB5"/>
    <w:rsid w:val="00463BE7"/>
    <w:rsid w:val="00463DBC"/>
    <w:rsid w:val="00463F66"/>
    <w:rsid w:val="004643D9"/>
    <w:rsid w:val="00464595"/>
    <w:rsid w:val="00464B10"/>
    <w:rsid w:val="00464C24"/>
    <w:rsid w:val="00464E8E"/>
    <w:rsid w:val="00464F6D"/>
    <w:rsid w:val="00464FDE"/>
    <w:rsid w:val="004651DC"/>
    <w:rsid w:val="00465360"/>
    <w:rsid w:val="0046575F"/>
    <w:rsid w:val="004657B8"/>
    <w:rsid w:val="00465877"/>
    <w:rsid w:val="004658AA"/>
    <w:rsid w:val="004658B5"/>
    <w:rsid w:val="0046598C"/>
    <w:rsid w:val="00465A3A"/>
    <w:rsid w:val="00465B83"/>
    <w:rsid w:val="00465DED"/>
    <w:rsid w:val="00466252"/>
    <w:rsid w:val="0046635C"/>
    <w:rsid w:val="004663DD"/>
    <w:rsid w:val="00466497"/>
    <w:rsid w:val="004665AC"/>
    <w:rsid w:val="0046667A"/>
    <w:rsid w:val="0046669E"/>
    <w:rsid w:val="00466742"/>
    <w:rsid w:val="004668A2"/>
    <w:rsid w:val="00466C06"/>
    <w:rsid w:val="00466C53"/>
    <w:rsid w:val="00466D63"/>
    <w:rsid w:val="00466E21"/>
    <w:rsid w:val="00466EB6"/>
    <w:rsid w:val="00466FAC"/>
    <w:rsid w:val="00467048"/>
    <w:rsid w:val="004670F8"/>
    <w:rsid w:val="00467397"/>
    <w:rsid w:val="0046757D"/>
    <w:rsid w:val="004676C3"/>
    <w:rsid w:val="0046770C"/>
    <w:rsid w:val="0046794D"/>
    <w:rsid w:val="00467A00"/>
    <w:rsid w:val="00467A4C"/>
    <w:rsid w:val="00467A60"/>
    <w:rsid w:val="00467B74"/>
    <w:rsid w:val="00467BF9"/>
    <w:rsid w:val="00467ED7"/>
    <w:rsid w:val="00467EE4"/>
    <w:rsid w:val="00467F09"/>
    <w:rsid w:val="00467FDB"/>
    <w:rsid w:val="00467FF5"/>
    <w:rsid w:val="00470013"/>
    <w:rsid w:val="00470401"/>
    <w:rsid w:val="00470623"/>
    <w:rsid w:val="00470D39"/>
    <w:rsid w:val="00470DB0"/>
    <w:rsid w:val="00471045"/>
    <w:rsid w:val="0047109C"/>
    <w:rsid w:val="004710B9"/>
    <w:rsid w:val="004710E8"/>
    <w:rsid w:val="0047116E"/>
    <w:rsid w:val="004712C3"/>
    <w:rsid w:val="004713B7"/>
    <w:rsid w:val="004713CB"/>
    <w:rsid w:val="00471420"/>
    <w:rsid w:val="00471449"/>
    <w:rsid w:val="00471510"/>
    <w:rsid w:val="004715BA"/>
    <w:rsid w:val="004719AC"/>
    <w:rsid w:val="004719AF"/>
    <w:rsid w:val="00471A41"/>
    <w:rsid w:val="00471AE2"/>
    <w:rsid w:val="00471AFB"/>
    <w:rsid w:val="00471B8F"/>
    <w:rsid w:val="00471C99"/>
    <w:rsid w:val="00471D54"/>
    <w:rsid w:val="00471EA5"/>
    <w:rsid w:val="00471F03"/>
    <w:rsid w:val="00472038"/>
    <w:rsid w:val="00472099"/>
    <w:rsid w:val="00472A79"/>
    <w:rsid w:val="00472AA0"/>
    <w:rsid w:val="00472ABE"/>
    <w:rsid w:val="00472BEC"/>
    <w:rsid w:val="00472E43"/>
    <w:rsid w:val="00472E7A"/>
    <w:rsid w:val="0047329B"/>
    <w:rsid w:val="004735C4"/>
    <w:rsid w:val="004739A2"/>
    <w:rsid w:val="00473AAF"/>
    <w:rsid w:val="00473CB6"/>
    <w:rsid w:val="00473F19"/>
    <w:rsid w:val="00474063"/>
    <w:rsid w:val="00474125"/>
    <w:rsid w:val="00474CA1"/>
    <w:rsid w:val="00474D78"/>
    <w:rsid w:val="00474DF1"/>
    <w:rsid w:val="00474FD8"/>
    <w:rsid w:val="0047509B"/>
    <w:rsid w:val="004750BA"/>
    <w:rsid w:val="004750C7"/>
    <w:rsid w:val="0047518C"/>
    <w:rsid w:val="00475557"/>
    <w:rsid w:val="00475591"/>
    <w:rsid w:val="00475713"/>
    <w:rsid w:val="00475750"/>
    <w:rsid w:val="004758C4"/>
    <w:rsid w:val="00475917"/>
    <w:rsid w:val="00475B54"/>
    <w:rsid w:val="00475B7B"/>
    <w:rsid w:val="00475CAD"/>
    <w:rsid w:val="00475DF1"/>
    <w:rsid w:val="00475E22"/>
    <w:rsid w:val="00475EBF"/>
    <w:rsid w:val="00476083"/>
    <w:rsid w:val="0047627E"/>
    <w:rsid w:val="0047629D"/>
    <w:rsid w:val="0047633D"/>
    <w:rsid w:val="004764DA"/>
    <w:rsid w:val="004765B4"/>
    <w:rsid w:val="004766B4"/>
    <w:rsid w:val="004767BC"/>
    <w:rsid w:val="00476894"/>
    <w:rsid w:val="00476985"/>
    <w:rsid w:val="00476FFF"/>
    <w:rsid w:val="004770AE"/>
    <w:rsid w:val="00477BB8"/>
    <w:rsid w:val="00477CCD"/>
    <w:rsid w:val="00477ED2"/>
    <w:rsid w:val="00477ED8"/>
    <w:rsid w:val="00477FE0"/>
    <w:rsid w:val="00480023"/>
    <w:rsid w:val="00480044"/>
    <w:rsid w:val="00480288"/>
    <w:rsid w:val="00480373"/>
    <w:rsid w:val="00480450"/>
    <w:rsid w:val="004806B3"/>
    <w:rsid w:val="0048088E"/>
    <w:rsid w:val="00480AA8"/>
    <w:rsid w:val="00480F2B"/>
    <w:rsid w:val="00480FED"/>
    <w:rsid w:val="00481072"/>
    <w:rsid w:val="004810E3"/>
    <w:rsid w:val="004810F0"/>
    <w:rsid w:val="0048126F"/>
    <w:rsid w:val="004814E6"/>
    <w:rsid w:val="004816C9"/>
    <w:rsid w:val="004817A2"/>
    <w:rsid w:val="0048186A"/>
    <w:rsid w:val="0048186C"/>
    <w:rsid w:val="004818DE"/>
    <w:rsid w:val="004819B0"/>
    <w:rsid w:val="004819D0"/>
    <w:rsid w:val="00481A74"/>
    <w:rsid w:val="00481A99"/>
    <w:rsid w:val="00481AA4"/>
    <w:rsid w:val="00481D94"/>
    <w:rsid w:val="00481E18"/>
    <w:rsid w:val="0048218D"/>
    <w:rsid w:val="00482224"/>
    <w:rsid w:val="00482319"/>
    <w:rsid w:val="00482586"/>
    <w:rsid w:val="0048260E"/>
    <w:rsid w:val="00482614"/>
    <w:rsid w:val="00482720"/>
    <w:rsid w:val="00482792"/>
    <w:rsid w:val="004828CF"/>
    <w:rsid w:val="0048294B"/>
    <w:rsid w:val="00482B04"/>
    <w:rsid w:val="00482C49"/>
    <w:rsid w:val="00482D19"/>
    <w:rsid w:val="00482D21"/>
    <w:rsid w:val="00482DCE"/>
    <w:rsid w:val="00482E48"/>
    <w:rsid w:val="00483073"/>
    <w:rsid w:val="004830D1"/>
    <w:rsid w:val="0048313D"/>
    <w:rsid w:val="004832E1"/>
    <w:rsid w:val="00483454"/>
    <w:rsid w:val="004835E7"/>
    <w:rsid w:val="0048368D"/>
    <w:rsid w:val="00483769"/>
    <w:rsid w:val="0048393B"/>
    <w:rsid w:val="004839B0"/>
    <w:rsid w:val="00483A43"/>
    <w:rsid w:val="00483AB1"/>
    <w:rsid w:val="00483AE8"/>
    <w:rsid w:val="00483C48"/>
    <w:rsid w:val="00483D5D"/>
    <w:rsid w:val="00483FFB"/>
    <w:rsid w:val="0048408B"/>
    <w:rsid w:val="004846B6"/>
    <w:rsid w:val="00484775"/>
    <w:rsid w:val="0048498B"/>
    <w:rsid w:val="00484C32"/>
    <w:rsid w:val="00484CB2"/>
    <w:rsid w:val="00484CF4"/>
    <w:rsid w:val="00484DC2"/>
    <w:rsid w:val="00484EAA"/>
    <w:rsid w:val="004851CA"/>
    <w:rsid w:val="00485473"/>
    <w:rsid w:val="004854A5"/>
    <w:rsid w:val="004854DE"/>
    <w:rsid w:val="004856BE"/>
    <w:rsid w:val="004856D0"/>
    <w:rsid w:val="00485780"/>
    <w:rsid w:val="004857B9"/>
    <w:rsid w:val="0048589F"/>
    <w:rsid w:val="004859E1"/>
    <w:rsid w:val="00485D78"/>
    <w:rsid w:val="00485DB8"/>
    <w:rsid w:val="00485DCE"/>
    <w:rsid w:val="00485E18"/>
    <w:rsid w:val="00485E29"/>
    <w:rsid w:val="004860D8"/>
    <w:rsid w:val="004860DE"/>
    <w:rsid w:val="0048622E"/>
    <w:rsid w:val="0048639A"/>
    <w:rsid w:val="00486412"/>
    <w:rsid w:val="004865F5"/>
    <w:rsid w:val="0048664A"/>
    <w:rsid w:val="00486675"/>
    <w:rsid w:val="00486703"/>
    <w:rsid w:val="00486797"/>
    <w:rsid w:val="004867E2"/>
    <w:rsid w:val="00486C21"/>
    <w:rsid w:val="00486C87"/>
    <w:rsid w:val="00486D45"/>
    <w:rsid w:val="00486E0D"/>
    <w:rsid w:val="004871C9"/>
    <w:rsid w:val="00487907"/>
    <w:rsid w:val="0048796E"/>
    <w:rsid w:val="00487CBC"/>
    <w:rsid w:val="00487DF7"/>
    <w:rsid w:val="00487DFE"/>
    <w:rsid w:val="0049022C"/>
    <w:rsid w:val="00490282"/>
    <w:rsid w:val="004904A9"/>
    <w:rsid w:val="00490598"/>
    <w:rsid w:val="00490709"/>
    <w:rsid w:val="004908A8"/>
    <w:rsid w:val="004909B2"/>
    <w:rsid w:val="00490B17"/>
    <w:rsid w:val="00490B6B"/>
    <w:rsid w:val="00490D4C"/>
    <w:rsid w:val="00490D52"/>
    <w:rsid w:val="00490F98"/>
    <w:rsid w:val="00491002"/>
    <w:rsid w:val="004911CD"/>
    <w:rsid w:val="0049134E"/>
    <w:rsid w:val="0049141A"/>
    <w:rsid w:val="0049147B"/>
    <w:rsid w:val="0049166A"/>
    <w:rsid w:val="004917DA"/>
    <w:rsid w:val="00491945"/>
    <w:rsid w:val="00491A5A"/>
    <w:rsid w:val="00491ABA"/>
    <w:rsid w:val="00491AD2"/>
    <w:rsid w:val="00491B3A"/>
    <w:rsid w:val="00491C7D"/>
    <w:rsid w:val="00491CCE"/>
    <w:rsid w:val="00491D6D"/>
    <w:rsid w:val="004922ED"/>
    <w:rsid w:val="00492315"/>
    <w:rsid w:val="00492322"/>
    <w:rsid w:val="004923DC"/>
    <w:rsid w:val="00492482"/>
    <w:rsid w:val="0049256A"/>
    <w:rsid w:val="004926BB"/>
    <w:rsid w:val="004926D6"/>
    <w:rsid w:val="004929EC"/>
    <w:rsid w:val="00492C98"/>
    <w:rsid w:val="00492CFD"/>
    <w:rsid w:val="0049316E"/>
    <w:rsid w:val="004931C8"/>
    <w:rsid w:val="004931D6"/>
    <w:rsid w:val="004932C8"/>
    <w:rsid w:val="004932F1"/>
    <w:rsid w:val="004934BC"/>
    <w:rsid w:val="004936C9"/>
    <w:rsid w:val="0049376C"/>
    <w:rsid w:val="0049385E"/>
    <w:rsid w:val="004938E1"/>
    <w:rsid w:val="00493914"/>
    <w:rsid w:val="00493972"/>
    <w:rsid w:val="00493D37"/>
    <w:rsid w:val="00493E20"/>
    <w:rsid w:val="00493E8D"/>
    <w:rsid w:val="00494036"/>
    <w:rsid w:val="00494207"/>
    <w:rsid w:val="0049438A"/>
    <w:rsid w:val="004944D3"/>
    <w:rsid w:val="00494566"/>
    <w:rsid w:val="004946B9"/>
    <w:rsid w:val="004946BB"/>
    <w:rsid w:val="00494848"/>
    <w:rsid w:val="00494935"/>
    <w:rsid w:val="004949C3"/>
    <w:rsid w:val="00494A6B"/>
    <w:rsid w:val="00494B05"/>
    <w:rsid w:val="00494DD5"/>
    <w:rsid w:val="004951A9"/>
    <w:rsid w:val="004951D4"/>
    <w:rsid w:val="004951E0"/>
    <w:rsid w:val="0049580A"/>
    <w:rsid w:val="0049581F"/>
    <w:rsid w:val="00495864"/>
    <w:rsid w:val="0049588D"/>
    <w:rsid w:val="00495896"/>
    <w:rsid w:val="00495A00"/>
    <w:rsid w:val="00495A69"/>
    <w:rsid w:val="00495BB3"/>
    <w:rsid w:val="00495CD1"/>
    <w:rsid w:val="00495E89"/>
    <w:rsid w:val="00496074"/>
    <w:rsid w:val="0049613F"/>
    <w:rsid w:val="004962D2"/>
    <w:rsid w:val="00496459"/>
    <w:rsid w:val="0049653D"/>
    <w:rsid w:val="0049661A"/>
    <w:rsid w:val="004966D1"/>
    <w:rsid w:val="0049671D"/>
    <w:rsid w:val="004967F3"/>
    <w:rsid w:val="00496909"/>
    <w:rsid w:val="0049695C"/>
    <w:rsid w:val="00496C86"/>
    <w:rsid w:val="00496DBE"/>
    <w:rsid w:val="00496E11"/>
    <w:rsid w:val="004970E0"/>
    <w:rsid w:val="004970E6"/>
    <w:rsid w:val="0049727A"/>
    <w:rsid w:val="004972E2"/>
    <w:rsid w:val="0049760B"/>
    <w:rsid w:val="00497887"/>
    <w:rsid w:val="00497A66"/>
    <w:rsid w:val="00497A94"/>
    <w:rsid w:val="00497C82"/>
    <w:rsid w:val="00497E68"/>
    <w:rsid w:val="00497F4E"/>
    <w:rsid w:val="004A0110"/>
    <w:rsid w:val="004A0173"/>
    <w:rsid w:val="004A01B8"/>
    <w:rsid w:val="004A021E"/>
    <w:rsid w:val="004A0229"/>
    <w:rsid w:val="004A03D1"/>
    <w:rsid w:val="004A0428"/>
    <w:rsid w:val="004A05A3"/>
    <w:rsid w:val="004A0683"/>
    <w:rsid w:val="004A06F7"/>
    <w:rsid w:val="004A070F"/>
    <w:rsid w:val="004A07D3"/>
    <w:rsid w:val="004A083E"/>
    <w:rsid w:val="004A08FA"/>
    <w:rsid w:val="004A0A9B"/>
    <w:rsid w:val="004A0BE2"/>
    <w:rsid w:val="004A0C3D"/>
    <w:rsid w:val="004A0DA1"/>
    <w:rsid w:val="004A1000"/>
    <w:rsid w:val="004A100E"/>
    <w:rsid w:val="004A13D6"/>
    <w:rsid w:val="004A156A"/>
    <w:rsid w:val="004A1598"/>
    <w:rsid w:val="004A1D12"/>
    <w:rsid w:val="004A1EF0"/>
    <w:rsid w:val="004A23E5"/>
    <w:rsid w:val="004A26EF"/>
    <w:rsid w:val="004A27F7"/>
    <w:rsid w:val="004A2855"/>
    <w:rsid w:val="004A2A90"/>
    <w:rsid w:val="004A2B00"/>
    <w:rsid w:val="004A2C12"/>
    <w:rsid w:val="004A2C1B"/>
    <w:rsid w:val="004A2DA9"/>
    <w:rsid w:val="004A2F49"/>
    <w:rsid w:val="004A30DD"/>
    <w:rsid w:val="004A31C1"/>
    <w:rsid w:val="004A31DB"/>
    <w:rsid w:val="004A3221"/>
    <w:rsid w:val="004A331A"/>
    <w:rsid w:val="004A33C4"/>
    <w:rsid w:val="004A353D"/>
    <w:rsid w:val="004A35ED"/>
    <w:rsid w:val="004A3656"/>
    <w:rsid w:val="004A374A"/>
    <w:rsid w:val="004A3786"/>
    <w:rsid w:val="004A3816"/>
    <w:rsid w:val="004A3835"/>
    <w:rsid w:val="004A3851"/>
    <w:rsid w:val="004A3996"/>
    <w:rsid w:val="004A3B41"/>
    <w:rsid w:val="004A3BA9"/>
    <w:rsid w:val="004A3C19"/>
    <w:rsid w:val="004A3FE3"/>
    <w:rsid w:val="004A4312"/>
    <w:rsid w:val="004A4358"/>
    <w:rsid w:val="004A43ED"/>
    <w:rsid w:val="004A44A6"/>
    <w:rsid w:val="004A45BE"/>
    <w:rsid w:val="004A46CD"/>
    <w:rsid w:val="004A4997"/>
    <w:rsid w:val="004A4B03"/>
    <w:rsid w:val="004A4C74"/>
    <w:rsid w:val="004A4C93"/>
    <w:rsid w:val="004A4D80"/>
    <w:rsid w:val="004A4DA5"/>
    <w:rsid w:val="004A52E9"/>
    <w:rsid w:val="004A5411"/>
    <w:rsid w:val="004A543D"/>
    <w:rsid w:val="004A5631"/>
    <w:rsid w:val="004A5855"/>
    <w:rsid w:val="004A599E"/>
    <w:rsid w:val="004A59C0"/>
    <w:rsid w:val="004A5A55"/>
    <w:rsid w:val="004A5A9C"/>
    <w:rsid w:val="004A5BEF"/>
    <w:rsid w:val="004A5D06"/>
    <w:rsid w:val="004A5D84"/>
    <w:rsid w:val="004A5E40"/>
    <w:rsid w:val="004A5FE0"/>
    <w:rsid w:val="004A6040"/>
    <w:rsid w:val="004A60C1"/>
    <w:rsid w:val="004A60EA"/>
    <w:rsid w:val="004A652D"/>
    <w:rsid w:val="004A6597"/>
    <w:rsid w:val="004A65CD"/>
    <w:rsid w:val="004A6601"/>
    <w:rsid w:val="004A660E"/>
    <w:rsid w:val="004A669F"/>
    <w:rsid w:val="004A6C03"/>
    <w:rsid w:val="004A6D4F"/>
    <w:rsid w:val="004A6EB5"/>
    <w:rsid w:val="004A6FA0"/>
    <w:rsid w:val="004A6FA9"/>
    <w:rsid w:val="004A71C5"/>
    <w:rsid w:val="004A7505"/>
    <w:rsid w:val="004A75EA"/>
    <w:rsid w:val="004A7848"/>
    <w:rsid w:val="004A793B"/>
    <w:rsid w:val="004A7A07"/>
    <w:rsid w:val="004A7A0A"/>
    <w:rsid w:val="004A7AB1"/>
    <w:rsid w:val="004A7B74"/>
    <w:rsid w:val="004A7D09"/>
    <w:rsid w:val="004A7D47"/>
    <w:rsid w:val="004A7E62"/>
    <w:rsid w:val="004A7F5A"/>
    <w:rsid w:val="004B00B0"/>
    <w:rsid w:val="004B00E8"/>
    <w:rsid w:val="004B07E5"/>
    <w:rsid w:val="004B0828"/>
    <w:rsid w:val="004B09E9"/>
    <w:rsid w:val="004B0A24"/>
    <w:rsid w:val="004B0B4A"/>
    <w:rsid w:val="004B0BBD"/>
    <w:rsid w:val="004B0D26"/>
    <w:rsid w:val="004B1468"/>
    <w:rsid w:val="004B17DA"/>
    <w:rsid w:val="004B19AF"/>
    <w:rsid w:val="004B1C28"/>
    <w:rsid w:val="004B1CB4"/>
    <w:rsid w:val="004B224D"/>
    <w:rsid w:val="004B22E0"/>
    <w:rsid w:val="004B23F6"/>
    <w:rsid w:val="004B25F7"/>
    <w:rsid w:val="004B2991"/>
    <w:rsid w:val="004B2A15"/>
    <w:rsid w:val="004B2CA0"/>
    <w:rsid w:val="004B2E1B"/>
    <w:rsid w:val="004B2F18"/>
    <w:rsid w:val="004B2F5C"/>
    <w:rsid w:val="004B3042"/>
    <w:rsid w:val="004B3083"/>
    <w:rsid w:val="004B3154"/>
    <w:rsid w:val="004B32D6"/>
    <w:rsid w:val="004B33A7"/>
    <w:rsid w:val="004B3574"/>
    <w:rsid w:val="004B369E"/>
    <w:rsid w:val="004B36C8"/>
    <w:rsid w:val="004B3881"/>
    <w:rsid w:val="004B3919"/>
    <w:rsid w:val="004B3A12"/>
    <w:rsid w:val="004B3AD1"/>
    <w:rsid w:val="004B3DDB"/>
    <w:rsid w:val="004B3E12"/>
    <w:rsid w:val="004B434E"/>
    <w:rsid w:val="004B4374"/>
    <w:rsid w:val="004B4428"/>
    <w:rsid w:val="004B4476"/>
    <w:rsid w:val="004B44FD"/>
    <w:rsid w:val="004B45DF"/>
    <w:rsid w:val="004B475D"/>
    <w:rsid w:val="004B4947"/>
    <w:rsid w:val="004B4E13"/>
    <w:rsid w:val="004B4ECA"/>
    <w:rsid w:val="004B4F2A"/>
    <w:rsid w:val="004B5031"/>
    <w:rsid w:val="004B540A"/>
    <w:rsid w:val="004B5612"/>
    <w:rsid w:val="004B5859"/>
    <w:rsid w:val="004B5AFE"/>
    <w:rsid w:val="004B5B89"/>
    <w:rsid w:val="004B5CFC"/>
    <w:rsid w:val="004B5D9E"/>
    <w:rsid w:val="004B5E98"/>
    <w:rsid w:val="004B5E9A"/>
    <w:rsid w:val="004B6104"/>
    <w:rsid w:val="004B6127"/>
    <w:rsid w:val="004B64DD"/>
    <w:rsid w:val="004B64F9"/>
    <w:rsid w:val="004B65A8"/>
    <w:rsid w:val="004B65CC"/>
    <w:rsid w:val="004B6658"/>
    <w:rsid w:val="004B66AA"/>
    <w:rsid w:val="004B6728"/>
    <w:rsid w:val="004B6751"/>
    <w:rsid w:val="004B67C6"/>
    <w:rsid w:val="004B687B"/>
    <w:rsid w:val="004B694A"/>
    <w:rsid w:val="004B697F"/>
    <w:rsid w:val="004B6A32"/>
    <w:rsid w:val="004B6A42"/>
    <w:rsid w:val="004B6ADF"/>
    <w:rsid w:val="004B6BC0"/>
    <w:rsid w:val="004B6D69"/>
    <w:rsid w:val="004B6DF7"/>
    <w:rsid w:val="004B6DFC"/>
    <w:rsid w:val="004B6EDC"/>
    <w:rsid w:val="004B6F06"/>
    <w:rsid w:val="004B6F07"/>
    <w:rsid w:val="004B6F79"/>
    <w:rsid w:val="004B6FB6"/>
    <w:rsid w:val="004B700B"/>
    <w:rsid w:val="004B714D"/>
    <w:rsid w:val="004B71AD"/>
    <w:rsid w:val="004B72CE"/>
    <w:rsid w:val="004B7309"/>
    <w:rsid w:val="004B732E"/>
    <w:rsid w:val="004B736A"/>
    <w:rsid w:val="004B738C"/>
    <w:rsid w:val="004B7476"/>
    <w:rsid w:val="004B75F4"/>
    <w:rsid w:val="004B774D"/>
    <w:rsid w:val="004B77B3"/>
    <w:rsid w:val="004B78CC"/>
    <w:rsid w:val="004B78F5"/>
    <w:rsid w:val="004B7AD0"/>
    <w:rsid w:val="004B7D8F"/>
    <w:rsid w:val="004B7E08"/>
    <w:rsid w:val="004B7E91"/>
    <w:rsid w:val="004C01D6"/>
    <w:rsid w:val="004C03CD"/>
    <w:rsid w:val="004C03E3"/>
    <w:rsid w:val="004C067B"/>
    <w:rsid w:val="004C0931"/>
    <w:rsid w:val="004C09BD"/>
    <w:rsid w:val="004C0A42"/>
    <w:rsid w:val="004C0B80"/>
    <w:rsid w:val="004C0C4A"/>
    <w:rsid w:val="004C0CBB"/>
    <w:rsid w:val="004C0F02"/>
    <w:rsid w:val="004C10B7"/>
    <w:rsid w:val="004C1391"/>
    <w:rsid w:val="004C14BD"/>
    <w:rsid w:val="004C1742"/>
    <w:rsid w:val="004C1776"/>
    <w:rsid w:val="004C17BA"/>
    <w:rsid w:val="004C17DA"/>
    <w:rsid w:val="004C1818"/>
    <w:rsid w:val="004C18C9"/>
    <w:rsid w:val="004C18F0"/>
    <w:rsid w:val="004C1BC8"/>
    <w:rsid w:val="004C2173"/>
    <w:rsid w:val="004C23C0"/>
    <w:rsid w:val="004C24DF"/>
    <w:rsid w:val="004C2586"/>
    <w:rsid w:val="004C26EE"/>
    <w:rsid w:val="004C2747"/>
    <w:rsid w:val="004C2AC2"/>
    <w:rsid w:val="004C2B6D"/>
    <w:rsid w:val="004C2CA0"/>
    <w:rsid w:val="004C2E0D"/>
    <w:rsid w:val="004C3207"/>
    <w:rsid w:val="004C3237"/>
    <w:rsid w:val="004C3265"/>
    <w:rsid w:val="004C32D1"/>
    <w:rsid w:val="004C3345"/>
    <w:rsid w:val="004C35E5"/>
    <w:rsid w:val="004C37BE"/>
    <w:rsid w:val="004C3A8B"/>
    <w:rsid w:val="004C3B02"/>
    <w:rsid w:val="004C3D0D"/>
    <w:rsid w:val="004C3D1F"/>
    <w:rsid w:val="004C3D24"/>
    <w:rsid w:val="004C3F5A"/>
    <w:rsid w:val="004C40BF"/>
    <w:rsid w:val="004C4293"/>
    <w:rsid w:val="004C4439"/>
    <w:rsid w:val="004C44FF"/>
    <w:rsid w:val="004C461B"/>
    <w:rsid w:val="004C4743"/>
    <w:rsid w:val="004C475D"/>
    <w:rsid w:val="004C498F"/>
    <w:rsid w:val="004C4AED"/>
    <w:rsid w:val="004C4DAA"/>
    <w:rsid w:val="004C4DE7"/>
    <w:rsid w:val="004C4FCC"/>
    <w:rsid w:val="004C5008"/>
    <w:rsid w:val="004C51B1"/>
    <w:rsid w:val="004C52B0"/>
    <w:rsid w:val="004C53C0"/>
    <w:rsid w:val="004C5500"/>
    <w:rsid w:val="004C555E"/>
    <w:rsid w:val="004C5600"/>
    <w:rsid w:val="004C56FB"/>
    <w:rsid w:val="004C5831"/>
    <w:rsid w:val="004C584A"/>
    <w:rsid w:val="004C5850"/>
    <w:rsid w:val="004C5854"/>
    <w:rsid w:val="004C587E"/>
    <w:rsid w:val="004C5A81"/>
    <w:rsid w:val="004C5C14"/>
    <w:rsid w:val="004C5CE1"/>
    <w:rsid w:val="004C5D1B"/>
    <w:rsid w:val="004C5FF1"/>
    <w:rsid w:val="004C602C"/>
    <w:rsid w:val="004C610F"/>
    <w:rsid w:val="004C61C2"/>
    <w:rsid w:val="004C61EF"/>
    <w:rsid w:val="004C6294"/>
    <w:rsid w:val="004C63E4"/>
    <w:rsid w:val="004C645E"/>
    <w:rsid w:val="004C6593"/>
    <w:rsid w:val="004C66DD"/>
    <w:rsid w:val="004C66F7"/>
    <w:rsid w:val="004C6802"/>
    <w:rsid w:val="004C6A78"/>
    <w:rsid w:val="004C6AA9"/>
    <w:rsid w:val="004C6AFA"/>
    <w:rsid w:val="004C6D6B"/>
    <w:rsid w:val="004C6EB3"/>
    <w:rsid w:val="004C70C6"/>
    <w:rsid w:val="004C713C"/>
    <w:rsid w:val="004C7264"/>
    <w:rsid w:val="004C72C0"/>
    <w:rsid w:val="004C75BD"/>
    <w:rsid w:val="004C75CF"/>
    <w:rsid w:val="004C75DB"/>
    <w:rsid w:val="004C75FB"/>
    <w:rsid w:val="004C76B6"/>
    <w:rsid w:val="004C7704"/>
    <w:rsid w:val="004C77A0"/>
    <w:rsid w:val="004C7815"/>
    <w:rsid w:val="004C789B"/>
    <w:rsid w:val="004C78EA"/>
    <w:rsid w:val="004C78F7"/>
    <w:rsid w:val="004C7A6C"/>
    <w:rsid w:val="004C7DCC"/>
    <w:rsid w:val="004C7DD9"/>
    <w:rsid w:val="004D04FA"/>
    <w:rsid w:val="004D0856"/>
    <w:rsid w:val="004D09BD"/>
    <w:rsid w:val="004D0A7C"/>
    <w:rsid w:val="004D104A"/>
    <w:rsid w:val="004D11D1"/>
    <w:rsid w:val="004D1210"/>
    <w:rsid w:val="004D148E"/>
    <w:rsid w:val="004D15E5"/>
    <w:rsid w:val="004D167E"/>
    <w:rsid w:val="004D18E4"/>
    <w:rsid w:val="004D1983"/>
    <w:rsid w:val="004D1A11"/>
    <w:rsid w:val="004D1B00"/>
    <w:rsid w:val="004D1B9A"/>
    <w:rsid w:val="004D1BEB"/>
    <w:rsid w:val="004D1E29"/>
    <w:rsid w:val="004D1E85"/>
    <w:rsid w:val="004D1E93"/>
    <w:rsid w:val="004D1F41"/>
    <w:rsid w:val="004D1F6A"/>
    <w:rsid w:val="004D2281"/>
    <w:rsid w:val="004D23A4"/>
    <w:rsid w:val="004D24CB"/>
    <w:rsid w:val="004D24F7"/>
    <w:rsid w:val="004D264F"/>
    <w:rsid w:val="004D27BA"/>
    <w:rsid w:val="004D2855"/>
    <w:rsid w:val="004D299A"/>
    <w:rsid w:val="004D2A7F"/>
    <w:rsid w:val="004D2ABA"/>
    <w:rsid w:val="004D2C17"/>
    <w:rsid w:val="004D2C2D"/>
    <w:rsid w:val="004D2CA4"/>
    <w:rsid w:val="004D2EDD"/>
    <w:rsid w:val="004D2F00"/>
    <w:rsid w:val="004D31E2"/>
    <w:rsid w:val="004D343D"/>
    <w:rsid w:val="004D34AB"/>
    <w:rsid w:val="004D351C"/>
    <w:rsid w:val="004D354C"/>
    <w:rsid w:val="004D378A"/>
    <w:rsid w:val="004D3889"/>
    <w:rsid w:val="004D38C0"/>
    <w:rsid w:val="004D3A37"/>
    <w:rsid w:val="004D40CE"/>
    <w:rsid w:val="004D42ED"/>
    <w:rsid w:val="004D4339"/>
    <w:rsid w:val="004D4356"/>
    <w:rsid w:val="004D4673"/>
    <w:rsid w:val="004D4771"/>
    <w:rsid w:val="004D4779"/>
    <w:rsid w:val="004D47E2"/>
    <w:rsid w:val="004D4933"/>
    <w:rsid w:val="004D5085"/>
    <w:rsid w:val="004D53D0"/>
    <w:rsid w:val="004D5414"/>
    <w:rsid w:val="004D55B6"/>
    <w:rsid w:val="004D599C"/>
    <w:rsid w:val="004D5BC2"/>
    <w:rsid w:val="004D5C50"/>
    <w:rsid w:val="004D5F2F"/>
    <w:rsid w:val="004D601A"/>
    <w:rsid w:val="004D608B"/>
    <w:rsid w:val="004D6118"/>
    <w:rsid w:val="004D6289"/>
    <w:rsid w:val="004D63EE"/>
    <w:rsid w:val="004D6657"/>
    <w:rsid w:val="004D6815"/>
    <w:rsid w:val="004D6935"/>
    <w:rsid w:val="004D69B5"/>
    <w:rsid w:val="004D6CB7"/>
    <w:rsid w:val="004D6D4E"/>
    <w:rsid w:val="004D7053"/>
    <w:rsid w:val="004D70A2"/>
    <w:rsid w:val="004D70ED"/>
    <w:rsid w:val="004D70FD"/>
    <w:rsid w:val="004D7227"/>
    <w:rsid w:val="004D7604"/>
    <w:rsid w:val="004D767F"/>
    <w:rsid w:val="004D79D4"/>
    <w:rsid w:val="004D7B5E"/>
    <w:rsid w:val="004D7BD7"/>
    <w:rsid w:val="004D7D4D"/>
    <w:rsid w:val="004D7DD0"/>
    <w:rsid w:val="004E0041"/>
    <w:rsid w:val="004E0550"/>
    <w:rsid w:val="004E0726"/>
    <w:rsid w:val="004E09D6"/>
    <w:rsid w:val="004E09DE"/>
    <w:rsid w:val="004E09E7"/>
    <w:rsid w:val="004E0A82"/>
    <w:rsid w:val="004E0A98"/>
    <w:rsid w:val="004E0B37"/>
    <w:rsid w:val="004E0B3C"/>
    <w:rsid w:val="004E0B45"/>
    <w:rsid w:val="004E0BB3"/>
    <w:rsid w:val="004E0BDD"/>
    <w:rsid w:val="004E0D11"/>
    <w:rsid w:val="004E0D9C"/>
    <w:rsid w:val="004E0E4C"/>
    <w:rsid w:val="004E0E7F"/>
    <w:rsid w:val="004E0EB8"/>
    <w:rsid w:val="004E0FB2"/>
    <w:rsid w:val="004E1066"/>
    <w:rsid w:val="004E15C8"/>
    <w:rsid w:val="004E176A"/>
    <w:rsid w:val="004E18E9"/>
    <w:rsid w:val="004E193D"/>
    <w:rsid w:val="004E1A7F"/>
    <w:rsid w:val="004E1CAF"/>
    <w:rsid w:val="004E1DE7"/>
    <w:rsid w:val="004E214E"/>
    <w:rsid w:val="004E2524"/>
    <w:rsid w:val="004E2756"/>
    <w:rsid w:val="004E28A2"/>
    <w:rsid w:val="004E28FD"/>
    <w:rsid w:val="004E2ADC"/>
    <w:rsid w:val="004E2B72"/>
    <w:rsid w:val="004E2D50"/>
    <w:rsid w:val="004E3062"/>
    <w:rsid w:val="004E3117"/>
    <w:rsid w:val="004E32D9"/>
    <w:rsid w:val="004E34C3"/>
    <w:rsid w:val="004E3706"/>
    <w:rsid w:val="004E3781"/>
    <w:rsid w:val="004E378B"/>
    <w:rsid w:val="004E378D"/>
    <w:rsid w:val="004E37CC"/>
    <w:rsid w:val="004E3990"/>
    <w:rsid w:val="004E3B62"/>
    <w:rsid w:val="004E3C3E"/>
    <w:rsid w:val="004E3C7C"/>
    <w:rsid w:val="004E3F22"/>
    <w:rsid w:val="004E4041"/>
    <w:rsid w:val="004E40A5"/>
    <w:rsid w:val="004E4116"/>
    <w:rsid w:val="004E4159"/>
    <w:rsid w:val="004E43B2"/>
    <w:rsid w:val="004E4569"/>
    <w:rsid w:val="004E464D"/>
    <w:rsid w:val="004E49CC"/>
    <w:rsid w:val="004E4DB0"/>
    <w:rsid w:val="004E4EDC"/>
    <w:rsid w:val="004E51BB"/>
    <w:rsid w:val="004E5781"/>
    <w:rsid w:val="004E59AD"/>
    <w:rsid w:val="004E5A54"/>
    <w:rsid w:val="004E5AC0"/>
    <w:rsid w:val="004E5DA9"/>
    <w:rsid w:val="004E5E74"/>
    <w:rsid w:val="004E5F4B"/>
    <w:rsid w:val="004E5F89"/>
    <w:rsid w:val="004E6046"/>
    <w:rsid w:val="004E6260"/>
    <w:rsid w:val="004E6295"/>
    <w:rsid w:val="004E6304"/>
    <w:rsid w:val="004E6515"/>
    <w:rsid w:val="004E6559"/>
    <w:rsid w:val="004E68D6"/>
    <w:rsid w:val="004E6B0A"/>
    <w:rsid w:val="004E6BFD"/>
    <w:rsid w:val="004E6C7A"/>
    <w:rsid w:val="004E70FE"/>
    <w:rsid w:val="004E7108"/>
    <w:rsid w:val="004E7292"/>
    <w:rsid w:val="004E7397"/>
    <w:rsid w:val="004E7450"/>
    <w:rsid w:val="004E7550"/>
    <w:rsid w:val="004E78E2"/>
    <w:rsid w:val="004E79AF"/>
    <w:rsid w:val="004E79D0"/>
    <w:rsid w:val="004E7A34"/>
    <w:rsid w:val="004E7C5D"/>
    <w:rsid w:val="004E7CAD"/>
    <w:rsid w:val="004E7CF3"/>
    <w:rsid w:val="004E7D6C"/>
    <w:rsid w:val="004E7E41"/>
    <w:rsid w:val="004E7FE6"/>
    <w:rsid w:val="004F0297"/>
    <w:rsid w:val="004F0318"/>
    <w:rsid w:val="004F03B0"/>
    <w:rsid w:val="004F0456"/>
    <w:rsid w:val="004F088A"/>
    <w:rsid w:val="004F0927"/>
    <w:rsid w:val="004F0991"/>
    <w:rsid w:val="004F0AF7"/>
    <w:rsid w:val="004F0D68"/>
    <w:rsid w:val="004F0E21"/>
    <w:rsid w:val="004F0EC0"/>
    <w:rsid w:val="004F107A"/>
    <w:rsid w:val="004F1190"/>
    <w:rsid w:val="004F11E2"/>
    <w:rsid w:val="004F125D"/>
    <w:rsid w:val="004F13D4"/>
    <w:rsid w:val="004F1475"/>
    <w:rsid w:val="004F1505"/>
    <w:rsid w:val="004F150D"/>
    <w:rsid w:val="004F152D"/>
    <w:rsid w:val="004F1561"/>
    <w:rsid w:val="004F16D0"/>
    <w:rsid w:val="004F199C"/>
    <w:rsid w:val="004F19B3"/>
    <w:rsid w:val="004F1ADD"/>
    <w:rsid w:val="004F1C0A"/>
    <w:rsid w:val="004F1CA2"/>
    <w:rsid w:val="004F1D02"/>
    <w:rsid w:val="004F1DB8"/>
    <w:rsid w:val="004F1DC8"/>
    <w:rsid w:val="004F2033"/>
    <w:rsid w:val="004F2232"/>
    <w:rsid w:val="004F22EE"/>
    <w:rsid w:val="004F25BA"/>
    <w:rsid w:val="004F25E4"/>
    <w:rsid w:val="004F2679"/>
    <w:rsid w:val="004F285D"/>
    <w:rsid w:val="004F287D"/>
    <w:rsid w:val="004F28C6"/>
    <w:rsid w:val="004F292E"/>
    <w:rsid w:val="004F2A38"/>
    <w:rsid w:val="004F2BAC"/>
    <w:rsid w:val="004F2C06"/>
    <w:rsid w:val="004F2C9B"/>
    <w:rsid w:val="004F2F21"/>
    <w:rsid w:val="004F3075"/>
    <w:rsid w:val="004F307A"/>
    <w:rsid w:val="004F31D1"/>
    <w:rsid w:val="004F3218"/>
    <w:rsid w:val="004F321B"/>
    <w:rsid w:val="004F323A"/>
    <w:rsid w:val="004F3479"/>
    <w:rsid w:val="004F38DF"/>
    <w:rsid w:val="004F3988"/>
    <w:rsid w:val="004F3BDF"/>
    <w:rsid w:val="004F3CF7"/>
    <w:rsid w:val="004F3D54"/>
    <w:rsid w:val="004F3DE5"/>
    <w:rsid w:val="004F3F87"/>
    <w:rsid w:val="004F404B"/>
    <w:rsid w:val="004F40C8"/>
    <w:rsid w:val="004F4188"/>
    <w:rsid w:val="004F42D8"/>
    <w:rsid w:val="004F4505"/>
    <w:rsid w:val="004F469E"/>
    <w:rsid w:val="004F483E"/>
    <w:rsid w:val="004F4B86"/>
    <w:rsid w:val="004F4EBA"/>
    <w:rsid w:val="004F4FD9"/>
    <w:rsid w:val="004F51C7"/>
    <w:rsid w:val="004F5334"/>
    <w:rsid w:val="004F5391"/>
    <w:rsid w:val="004F54F0"/>
    <w:rsid w:val="004F551B"/>
    <w:rsid w:val="004F55FB"/>
    <w:rsid w:val="004F5698"/>
    <w:rsid w:val="004F56E1"/>
    <w:rsid w:val="004F5862"/>
    <w:rsid w:val="004F5927"/>
    <w:rsid w:val="004F5D41"/>
    <w:rsid w:val="004F6157"/>
    <w:rsid w:val="004F6570"/>
    <w:rsid w:val="004F681E"/>
    <w:rsid w:val="004F690F"/>
    <w:rsid w:val="004F6913"/>
    <w:rsid w:val="004F69D1"/>
    <w:rsid w:val="004F6A05"/>
    <w:rsid w:val="004F6A10"/>
    <w:rsid w:val="004F6B3C"/>
    <w:rsid w:val="004F6BF3"/>
    <w:rsid w:val="004F6BF8"/>
    <w:rsid w:val="004F6C5D"/>
    <w:rsid w:val="004F6CEB"/>
    <w:rsid w:val="004F6D7C"/>
    <w:rsid w:val="004F6E32"/>
    <w:rsid w:val="004F7116"/>
    <w:rsid w:val="004F7263"/>
    <w:rsid w:val="004F7276"/>
    <w:rsid w:val="004F73F6"/>
    <w:rsid w:val="004F753D"/>
    <w:rsid w:val="004F75E2"/>
    <w:rsid w:val="004F7708"/>
    <w:rsid w:val="004F77BB"/>
    <w:rsid w:val="004F7865"/>
    <w:rsid w:val="004F7C70"/>
    <w:rsid w:val="004F7D35"/>
    <w:rsid w:val="004F7D81"/>
    <w:rsid w:val="004F7DE8"/>
    <w:rsid w:val="004F7F96"/>
    <w:rsid w:val="00500322"/>
    <w:rsid w:val="00500357"/>
    <w:rsid w:val="005003EF"/>
    <w:rsid w:val="005005BA"/>
    <w:rsid w:val="005005D2"/>
    <w:rsid w:val="005007D1"/>
    <w:rsid w:val="00500887"/>
    <w:rsid w:val="005008C6"/>
    <w:rsid w:val="005009BE"/>
    <w:rsid w:val="00500A22"/>
    <w:rsid w:val="00500BFF"/>
    <w:rsid w:val="00500E82"/>
    <w:rsid w:val="00500E96"/>
    <w:rsid w:val="00500F4B"/>
    <w:rsid w:val="00500F86"/>
    <w:rsid w:val="00500F92"/>
    <w:rsid w:val="0050108F"/>
    <w:rsid w:val="00501319"/>
    <w:rsid w:val="0050174E"/>
    <w:rsid w:val="00501758"/>
    <w:rsid w:val="00501854"/>
    <w:rsid w:val="00501906"/>
    <w:rsid w:val="00501AE2"/>
    <w:rsid w:val="00501B1E"/>
    <w:rsid w:val="00501BCA"/>
    <w:rsid w:val="00501E96"/>
    <w:rsid w:val="00502005"/>
    <w:rsid w:val="0050203D"/>
    <w:rsid w:val="0050219B"/>
    <w:rsid w:val="005021DA"/>
    <w:rsid w:val="005022AC"/>
    <w:rsid w:val="00502328"/>
    <w:rsid w:val="00502385"/>
    <w:rsid w:val="005026EF"/>
    <w:rsid w:val="0050274B"/>
    <w:rsid w:val="005027E0"/>
    <w:rsid w:val="00502970"/>
    <w:rsid w:val="00502AC2"/>
    <w:rsid w:val="00502CE4"/>
    <w:rsid w:val="00502D22"/>
    <w:rsid w:val="00502D64"/>
    <w:rsid w:val="00502EA2"/>
    <w:rsid w:val="00502F92"/>
    <w:rsid w:val="00503082"/>
    <w:rsid w:val="00503089"/>
    <w:rsid w:val="005031AA"/>
    <w:rsid w:val="00503258"/>
    <w:rsid w:val="00503349"/>
    <w:rsid w:val="00503487"/>
    <w:rsid w:val="005035B7"/>
    <w:rsid w:val="005036D0"/>
    <w:rsid w:val="00503819"/>
    <w:rsid w:val="00503885"/>
    <w:rsid w:val="005038D7"/>
    <w:rsid w:val="00503920"/>
    <w:rsid w:val="0050396B"/>
    <w:rsid w:val="00503B21"/>
    <w:rsid w:val="00503B53"/>
    <w:rsid w:val="00503C7A"/>
    <w:rsid w:val="00503F17"/>
    <w:rsid w:val="00503F3A"/>
    <w:rsid w:val="00503F80"/>
    <w:rsid w:val="00504062"/>
    <w:rsid w:val="005040C3"/>
    <w:rsid w:val="0050415B"/>
    <w:rsid w:val="005042AF"/>
    <w:rsid w:val="0050432A"/>
    <w:rsid w:val="00504503"/>
    <w:rsid w:val="00504988"/>
    <w:rsid w:val="00504A22"/>
    <w:rsid w:val="00504A37"/>
    <w:rsid w:val="00504CEE"/>
    <w:rsid w:val="00504D4E"/>
    <w:rsid w:val="00504D8E"/>
    <w:rsid w:val="00504F45"/>
    <w:rsid w:val="00505048"/>
    <w:rsid w:val="0050507C"/>
    <w:rsid w:val="0050522D"/>
    <w:rsid w:val="00505987"/>
    <w:rsid w:val="00505A50"/>
    <w:rsid w:val="00505B2C"/>
    <w:rsid w:val="00505C50"/>
    <w:rsid w:val="00505DD8"/>
    <w:rsid w:val="00506224"/>
    <w:rsid w:val="0050635D"/>
    <w:rsid w:val="0050643E"/>
    <w:rsid w:val="005065C1"/>
    <w:rsid w:val="00506607"/>
    <w:rsid w:val="005066E8"/>
    <w:rsid w:val="005068D0"/>
    <w:rsid w:val="00506928"/>
    <w:rsid w:val="00506B4E"/>
    <w:rsid w:val="00506BA4"/>
    <w:rsid w:val="00506C50"/>
    <w:rsid w:val="00506D06"/>
    <w:rsid w:val="00506D24"/>
    <w:rsid w:val="00506D2F"/>
    <w:rsid w:val="00506F14"/>
    <w:rsid w:val="00506F38"/>
    <w:rsid w:val="00506F46"/>
    <w:rsid w:val="0050707B"/>
    <w:rsid w:val="005070FF"/>
    <w:rsid w:val="00507134"/>
    <w:rsid w:val="005071A0"/>
    <w:rsid w:val="0050721A"/>
    <w:rsid w:val="0050756D"/>
    <w:rsid w:val="005077EF"/>
    <w:rsid w:val="00507B61"/>
    <w:rsid w:val="00507D2A"/>
    <w:rsid w:val="00507D30"/>
    <w:rsid w:val="00507D4F"/>
    <w:rsid w:val="00507E1E"/>
    <w:rsid w:val="00507F94"/>
    <w:rsid w:val="00507FEE"/>
    <w:rsid w:val="005100A9"/>
    <w:rsid w:val="0051014B"/>
    <w:rsid w:val="0051016F"/>
    <w:rsid w:val="0051036B"/>
    <w:rsid w:val="00510496"/>
    <w:rsid w:val="00510509"/>
    <w:rsid w:val="0051051D"/>
    <w:rsid w:val="005105A1"/>
    <w:rsid w:val="005107EE"/>
    <w:rsid w:val="0051081D"/>
    <w:rsid w:val="00510834"/>
    <w:rsid w:val="00510850"/>
    <w:rsid w:val="0051091C"/>
    <w:rsid w:val="00510E38"/>
    <w:rsid w:val="00511176"/>
    <w:rsid w:val="005111A1"/>
    <w:rsid w:val="0051129E"/>
    <w:rsid w:val="00511607"/>
    <w:rsid w:val="00511609"/>
    <w:rsid w:val="00511794"/>
    <w:rsid w:val="005118D5"/>
    <w:rsid w:val="005118FD"/>
    <w:rsid w:val="00511A6D"/>
    <w:rsid w:val="00511AD5"/>
    <w:rsid w:val="00511CBB"/>
    <w:rsid w:val="00511DC7"/>
    <w:rsid w:val="00511EE0"/>
    <w:rsid w:val="00511F68"/>
    <w:rsid w:val="005120D7"/>
    <w:rsid w:val="0051238B"/>
    <w:rsid w:val="00512416"/>
    <w:rsid w:val="00512486"/>
    <w:rsid w:val="00512499"/>
    <w:rsid w:val="005124C1"/>
    <w:rsid w:val="005126CF"/>
    <w:rsid w:val="0051276A"/>
    <w:rsid w:val="0051278E"/>
    <w:rsid w:val="00512861"/>
    <w:rsid w:val="005129EE"/>
    <w:rsid w:val="00512D6E"/>
    <w:rsid w:val="00512F8D"/>
    <w:rsid w:val="00513050"/>
    <w:rsid w:val="00513276"/>
    <w:rsid w:val="005135FC"/>
    <w:rsid w:val="00513675"/>
    <w:rsid w:val="005136B1"/>
    <w:rsid w:val="005137AF"/>
    <w:rsid w:val="005137B3"/>
    <w:rsid w:val="005137CF"/>
    <w:rsid w:val="00513A1A"/>
    <w:rsid w:val="00513A4D"/>
    <w:rsid w:val="00513B0B"/>
    <w:rsid w:val="00513C5E"/>
    <w:rsid w:val="00513CBD"/>
    <w:rsid w:val="00513DAF"/>
    <w:rsid w:val="00513E09"/>
    <w:rsid w:val="00514048"/>
    <w:rsid w:val="00514257"/>
    <w:rsid w:val="00514276"/>
    <w:rsid w:val="005142C5"/>
    <w:rsid w:val="005143CA"/>
    <w:rsid w:val="0051444C"/>
    <w:rsid w:val="00514603"/>
    <w:rsid w:val="0051485C"/>
    <w:rsid w:val="00514A28"/>
    <w:rsid w:val="00514A6B"/>
    <w:rsid w:val="00514FE7"/>
    <w:rsid w:val="0051501B"/>
    <w:rsid w:val="0051516F"/>
    <w:rsid w:val="00515173"/>
    <w:rsid w:val="005152B5"/>
    <w:rsid w:val="005157D5"/>
    <w:rsid w:val="00515886"/>
    <w:rsid w:val="00515933"/>
    <w:rsid w:val="00515982"/>
    <w:rsid w:val="005159F6"/>
    <w:rsid w:val="00515B0F"/>
    <w:rsid w:val="00515BF6"/>
    <w:rsid w:val="00515E43"/>
    <w:rsid w:val="00515E49"/>
    <w:rsid w:val="00515F38"/>
    <w:rsid w:val="00516129"/>
    <w:rsid w:val="00516280"/>
    <w:rsid w:val="005164D7"/>
    <w:rsid w:val="005164E9"/>
    <w:rsid w:val="00516731"/>
    <w:rsid w:val="005168B6"/>
    <w:rsid w:val="00516AE6"/>
    <w:rsid w:val="00516BD1"/>
    <w:rsid w:val="00516C86"/>
    <w:rsid w:val="00516C91"/>
    <w:rsid w:val="00516CE5"/>
    <w:rsid w:val="00516CE6"/>
    <w:rsid w:val="00517113"/>
    <w:rsid w:val="005171A4"/>
    <w:rsid w:val="005173DE"/>
    <w:rsid w:val="00517449"/>
    <w:rsid w:val="005174CA"/>
    <w:rsid w:val="005174FE"/>
    <w:rsid w:val="00517544"/>
    <w:rsid w:val="005176E4"/>
    <w:rsid w:val="00517803"/>
    <w:rsid w:val="00517952"/>
    <w:rsid w:val="00517A62"/>
    <w:rsid w:val="00517A9A"/>
    <w:rsid w:val="00517AA6"/>
    <w:rsid w:val="00517C0D"/>
    <w:rsid w:val="00517C8A"/>
    <w:rsid w:val="00517CCB"/>
    <w:rsid w:val="00517D16"/>
    <w:rsid w:val="00517E0A"/>
    <w:rsid w:val="00517EDE"/>
    <w:rsid w:val="00517F41"/>
    <w:rsid w:val="00517F74"/>
    <w:rsid w:val="005200B4"/>
    <w:rsid w:val="00520442"/>
    <w:rsid w:val="005204E0"/>
    <w:rsid w:val="005204ED"/>
    <w:rsid w:val="00520556"/>
    <w:rsid w:val="005207D0"/>
    <w:rsid w:val="005208F7"/>
    <w:rsid w:val="005209C6"/>
    <w:rsid w:val="00520B54"/>
    <w:rsid w:val="00520C39"/>
    <w:rsid w:val="0052123C"/>
    <w:rsid w:val="00521319"/>
    <w:rsid w:val="005214E2"/>
    <w:rsid w:val="00521543"/>
    <w:rsid w:val="00521751"/>
    <w:rsid w:val="0052194C"/>
    <w:rsid w:val="00521B79"/>
    <w:rsid w:val="00521DBE"/>
    <w:rsid w:val="00521DEA"/>
    <w:rsid w:val="00521F35"/>
    <w:rsid w:val="00521FAC"/>
    <w:rsid w:val="00522122"/>
    <w:rsid w:val="005226FE"/>
    <w:rsid w:val="00522AD7"/>
    <w:rsid w:val="00522BC8"/>
    <w:rsid w:val="00522D12"/>
    <w:rsid w:val="00522D68"/>
    <w:rsid w:val="00522D75"/>
    <w:rsid w:val="00522F2C"/>
    <w:rsid w:val="00522F56"/>
    <w:rsid w:val="00522FE2"/>
    <w:rsid w:val="0052331E"/>
    <w:rsid w:val="005233F2"/>
    <w:rsid w:val="005233FA"/>
    <w:rsid w:val="00523448"/>
    <w:rsid w:val="0052350E"/>
    <w:rsid w:val="0052360A"/>
    <w:rsid w:val="005238F0"/>
    <w:rsid w:val="00523927"/>
    <w:rsid w:val="00523AB3"/>
    <w:rsid w:val="00523B2F"/>
    <w:rsid w:val="00523BC3"/>
    <w:rsid w:val="00523C28"/>
    <w:rsid w:val="00523CD4"/>
    <w:rsid w:val="00523D70"/>
    <w:rsid w:val="00523E03"/>
    <w:rsid w:val="00523E8C"/>
    <w:rsid w:val="00523F1A"/>
    <w:rsid w:val="00523F7A"/>
    <w:rsid w:val="00524400"/>
    <w:rsid w:val="00524523"/>
    <w:rsid w:val="005245B3"/>
    <w:rsid w:val="00524773"/>
    <w:rsid w:val="00524F44"/>
    <w:rsid w:val="005258D0"/>
    <w:rsid w:val="00525981"/>
    <w:rsid w:val="00525AB0"/>
    <w:rsid w:val="00525F14"/>
    <w:rsid w:val="00525FC4"/>
    <w:rsid w:val="00525FF1"/>
    <w:rsid w:val="00526207"/>
    <w:rsid w:val="00526312"/>
    <w:rsid w:val="005265EC"/>
    <w:rsid w:val="00526615"/>
    <w:rsid w:val="0052669C"/>
    <w:rsid w:val="005266C3"/>
    <w:rsid w:val="005267B3"/>
    <w:rsid w:val="00526A0A"/>
    <w:rsid w:val="00526A32"/>
    <w:rsid w:val="00526C3D"/>
    <w:rsid w:val="00526D28"/>
    <w:rsid w:val="00526D2D"/>
    <w:rsid w:val="00526ED3"/>
    <w:rsid w:val="0052708F"/>
    <w:rsid w:val="005270C8"/>
    <w:rsid w:val="00527689"/>
    <w:rsid w:val="005276A4"/>
    <w:rsid w:val="0052776C"/>
    <w:rsid w:val="00527A59"/>
    <w:rsid w:val="00527B8A"/>
    <w:rsid w:val="00527C96"/>
    <w:rsid w:val="00527EAB"/>
    <w:rsid w:val="0053010E"/>
    <w:rsid w:val="005301E8"/>
    <w:rsid w:val="00530A73"/>
    <w:rsid w:val="00530B4D"/>
    <w:rsid w:val="00530BF0"/>
    <w:rsid w:val="00530C05"/>
    <w:rsid w:val="00530D90"/>
    <w:rsid w:val="00530DA4"/>
    <w:rsid w:val="00530FB8"/>
    <w:rsid w:val="00531463"/>
    <w:rsid w:val="00531570"/>
    <w:rsid w:val="0053176B"/>
    <w:rsid w:val="00531863"/>
    <w:rsid w:val="00531A8F"/>
    <w:rsid w:val="00531B3E"/>
    <w:rsid w:val="00531BB6"/>
    <w:rsid w:val="00531D7F"/>
    <w:rsid w:val="00531E22"/>
    <w:rsid w:val="00531EEC"/>
    <w:rsid w:val="00532060"/>
    <w:rsid w:val="005321B1"/>
    <w:rsid w:val="005323A8"/>
    <w:rsid w:val="00532591"/>
    <w:rsid w:val="0053269D"/>
    <w:rsid w:val="005330C9"/>
    <w:rsid w:val="0053339D"/>
    <w:rsid w:val="00533490"/>
    <w:rsid w:val="005334EE"/>
    <w:rsid w:val="00533522"/>
    <w:rsid w:val="0053373F"/>
    <w:rsid w:val="00533815"/>
    <w:rsid w:val="00533904"/>
    <w:rsid w:val="00533A22"/>
    <w:rsid w:val="00533AD4"/>
    <w:rsid w:val="00533BAB"/>
    <w:rsid w:val="00533F74"/>
    <w:rsid w:val="00534018"/>
    <w:rsid w:val="005341B3"/>
    <w:rsid w:val="00534360"/>
    <w:rsid w:val="00534462"/>
    <w:rsid w:val="005344EB"/>
    <w:rsid w:val="00534514"/>
    <w:rsid w:val="00534555"/>
    <w:rsid w:val="00534628"/>
    <w:rsid w:val="00534723"/>
    <w:rsid w:val="005347E3"/>
    <w:rsid w:val="00534804"/>
    <w:rsid w:val="0053494A"/>
    <w:rsid w:val="00534A71"/>
    <w:rsid w:val="00534AEE"/>
    <w:rsid w:val="00534B6D"/>
    <w:rsid w:val="00534DBE"/>
    <w:rsid w:val="00534E28"/>
    <w:rsid w:val="00534EDB"/>
    <w:rsid w:val="00534EEC"/>
    <w:rsid w:val="0053505E"/>
    <w:rsid w:val="005354E1"/>
    <w:rsid w:val="00535601"/>
    <w:rsid w:val="005356AE"/>
    <w:rsid w:val="005357B7"/>
    <w:rsid w:val="005358EB"/>
    <w:rsid w:val="00535984"/>
    <w:rsid w:val="005359A3"/>
    <w:rsid w:val="00535B09"/>
    <w:rsid w:val="00535C71"/>
    <w:rsid w:val="00535CC9"/>
    <w:rsid w:val="00535FAB"/>
    <w:rsid w:val="0053605A"/>
    <w:rsid w:val="00536074"/>
    <w:rsid w:val="005360F7"/>
    <w:rsid w:val="00536395"/>
    <w:rsid w:val="0053639B"/>
    <w:rsid w:val="0053654E"/>
    <w:rsid w:val="00536596"/>
    <w:rsid w:val="005366ED"/>
    <w:rsid w:val="0053689D"/>
    <w:rsid w:val="00536B0B"/>
    <w:rsid w:val="00536B9E"/>
    <w:rsid w:val="00536DB1"/>
    <w:rsid w:val="00536EFC"/>
    <w:rsid w:val="00536F42"/>
    <w:rsid w:val="00536F4D"/>
    <w:rsid w:val="00537032"/>
    <w:rsid w:val="00537128"/>
    <w:rsid w:val="00537182"/>
    <w:rsid w:val="005373F0"/>
    <w:rsid w:val="00537423"/>
    <w:rsid w:val="0053745A"/>
    <w:rsid w:val="00537609"/>
    <w:rsid w:val="0053785D"/>
    <w:rsid w:val="005378FB"/>
    <w:rsid w:val="00537AAF"/>
    <w:rsid w:val="00537BE9"/>
    <w:rsid w:val="00537D04"/>
    <w:rsid w:val="00537D26"/>
    <w:rsid w:val="00537EE7"/>
    <w:rsid w:val="005400AC"/>
    <w:rsid w:val="005400BD"/>
    <w:rsid w:val="00540143"/>
    <w:rsid w:val="00540178"/>
    <w:rsid w:val="005402E2"/>
    <w:rsid w:val="0054044C"/>
    <w:rsid w:val="005405EA"/>
    <w:rsid w:val="00540942"/>
    <w:rsid w:val="00540A23"/>
    <w:rsid w:val="00540AFC"/>
    <w:rsid w:val="00540C36"/>
    <w:rsid w:val="00540DD2"/>
    <w:rsid w:val="00540E4F"/>
    <w:rsid w:val="00540F07"/>
    <w:rsid w:val="00541075"/>
    <w:rsid w:val="005410B6"/>
    <w:rsid w:val="00541133"/>
    <w:rsid w:val="00541147"/>
    <w:rsid w:val="00541273"/>
    <w:rsid w:val="00541360"/>
    <w:rsid w:val="0054150A"/>
    <w:rsid w:val="00541A02"/>
    <w:rsid w:val="00541A44"/>
    <w:rsid w:val="00541BD4"/>
    <w:rsid w:val="00541DEF"/>
    <w:rsid w:val="00541EDD"/>
    <w:rsid w:val="00541F37"/>
    <w:rsid w:val="0054201B"/>
    <w:rsid w:val="00542122"/>
    <w:rsid w:val="005422E6"/>
    <w:rsid w:val="0054248E"/>
    <w:rsid w:val="0054260E"/>
    <w:rsid w:val="00542612"/>
    <w:rsid w:val="0054269B"/>
    <w:rsid w:val="005426BA"/>
    <w:rsid w:val="00542743"/>
    <w:rsid w:val="00542744"/>
    <w:rsid w:val="00542C2D"/>
    <w:rsid w:val="00542CAD"/>
    <w:rsid w:val="00542E34"/>
    <w:rsid w:val="00542E72"/>
    <w:rsid w:val="00542F04"/>
    <w:rsid w:val="00543374"/>
    <w:rsid w:val="0054345A"/>
    <w:rsid w:val="00543515"/>
    <w:rsid w:val="005435B5"/>
    <w:rsid w:val="0054369D"/>
    <w:rsid w:val="00543843"/>
    <w:rsid w:val="0054398F"/>
    <w:rsid w:val="005439C6"/>
    <w:rsid w:val="00543C33"/>
    <w:rsid w:val="00543D6E"/>
    <w:rsid w:val="00543E1D"/>
    <w:rsid w:val="00543EBB"/>
    <w:rsid w:val="00544164"/>
    <w:rsid w:val="00544252"/>
    <w:rsid w:val="00544447"/>
    <w:rsid w:val="00544596"/>
    <w:rsid w:val="005445DC"/>
    <w:rsid w:val="005446D3"/>
    <w:rsid w:val="005446FF"/>
    <w:rsid w:val="005448AC"/>
    <w:rsid w:val="00544BF7"/>
    <w:rsid w:val="00544E3E"/>
    <w:rsid w:val="00544E73"/>
    <w:rsid w:val="00544F86"/>
    <w:rsid w:val="00544F8D"/>
    <w:rsid w:val="00544FF9"/>
    <w:rsid w:val="0054541B"/>
    <w:rsid w:val="00545553"/>
    <w:rsid w:val="005456C6"/>
    <w:rsid w:val="00545A11"/>
    <w:rsid w:val="00545C6B"/>
    <w:rsid w:val="00545CBA"/>
    <w:rsid w:val="00545E85"/>
    <w:rsid w:val="00545F6B"/>
    <w:rsid w:val="00546299"/>
    <w:rsid w:val="0054656D"/>
    <w:rsid w:val="00546594"/>
    <w:rsid w:val="00546690"/>
    <w:rsid w:val="005466B0"/>
    <w:rsid w:val="0054692E"/>
    <w:rsid w:val="0054692F"/>
    <w:rsid w:val="005469E3"/>
    <w:rsid w:val="00546B91"/>
    <w:rsid w:val="00546C97"/>
    <w:rsid w:val="00546E37"/>
    <w:rsid w:val="0054710F"/>
    <w:rsid w:val="005471D2"/>
    <w:rsid w:val="00547312"/>
    <w:rsid w:val="005477D4"/>
    <w:rsid w:val="0054780B"/>
    <w:rsid w:val="005478BD"/>
    <w:rsid w:val="005479E3"/>
    <w:rsid w:val="00547A95"/>
    <w:rsid w:val="00547C63"/>
    <w:rsid w:val="00547CEA"/>
    <w:rsid w:val="0055002A"/>
    <w:rsid w:val="00550051"/>
    <w:rsid w:val="00550052"/>
    <w:rsid w:val="00550102"/>
    <w:rsid w:val="00550147"/>
    <w:rsid w:val="00550429"/>
    <w:rsid w:val="005507F6"/>
    <w:rsid w:val="00550A27"/>
    <w:rsid w:val="00550C0F"/>
    <w:rsid w:val="00550E35"/>
    <w:rsid w:val="00550E86"/>
    <w:rsid w:val="00550FEE"/>
    <w:rsid w:val="0055109B"/>
    <w:rsid w:val="00551285"/>
    <w:rsid w:val="005512DB"/>
    <w:rsid w:val="00551505"/>
    <w:rsid w:val="00551690"/>
    <w:rsid w:val="0055169E"/>
    <w:rsid w:val="00551832"/>
    <w:rsid w:val="005518A3"/>
    <w:rsid w:val="00551985"/>
    <w:rsid w:val="00551AA5"/>
    <w:rsid w:val="00551D27"/>
    <w:rsid w:val="00551E93"/>
    <w:rsid w:val="00551F0A"/>
    <w:rsid w:val="00551F3A"/>
    <w:rsid w:val="00551F8D"/>
    <w:rsid w:val="005521C3"/>
    <w:rsid w:val="005522EE"/>
    <w:rsid w:val="00552340"/>
    <w:rsid w:val="00552497"/>
    <w:rsid w:val="005525FD"/>
    <w:rsid w:val="00552643"/>
    <w:rsid w:val="0055264E"/>
    <w:rsid w:val="0055270D"/>
    <w:rsid w:val="00552BD3"/>
    <w:rsid w:val="00552CBB"/>
    <w:rsid w:val="00552EDB"/>
    <w:rsid w:val="00552F2B"/>
    <w:rsid w:val="00552F45"/>
    <w:rsid w:val="00552FF1"/>
    <w:rsid w:val="00553027"/>
    <w:rsid w:val="00553077"/>
    <w:rsid w:val="005530B6"/>
    <w:rsid w:val="005530C0"/>
    <w:rsid w:val="005531FF"/>
    <w:rsid w:val="005532A0"/>
    <w:rsid w:val="005532BE"/>
    <w:rsid w:val="005535A1"/>
    <w:rsid w:val="005536EA"/>
    <w:rsid w:val="00553B09"/>
    <w:rsid w:val="00553B87"/>
    <w:rsid w:val="005541E6"/>
    <w:rsid w:val="00554335"/>
    <w:rsid w:val="00554373"/>
    <w:rsid w:val="005543B5"/>
    <w:rsid w:val="005545D3"/>
    <w:rsid w:val="005545EB"/>
    <w:rsid w:val="005546E5"/>
    <w:rsid w:val="005549D3"/>
    <w:rsid w:val="00554A5F"/>
    <w:rsid w:val="00554B5D"/>
    <w:rsid w:val="00554BA6"/>
    <w:rsid w:val="00554DD6"/>
    <w:rsid w:val="00554FFB"/>
    <w:rsid w:val="00555109"/>
    <w:rsid w:val="0055518F"/>
    <w:rsid w:val="005554E8"/>
    <w:rsid w:val="00555657"/>
    <w:rsid w:val="0055566A"/>
    <w:rsid w:val="005556BD"/>
    <w:rsid w:val="00555A0B"/>
    <w:rsid w:val="00555AF4"/>
    <w:rsid w:val="00555C1D"/>
    <w:rsid w:val="00555C56"/>
    <w:rsid w:val="00555ECA"/>
    <w:rsid w:val="00555F5A"/>
    <w:rsid w:val="00556034"/>
    <w:rsid w:val="0055606F"/>
    <w:rsid w:val="00556539"/>
    <w:rsid w:val="00556821"/>
    <w:rsid w:val="00556830"/>
    <w:rsid w:val="005568CE"/>
    <w:rsid w:val="005569D9"/>
    <w:rsid w:val="00556A8B"/>
    <w:rsid w:val="00556B33"/>
    <w:rsid w:val="00556B35"/>
    <w:rsid w:val="00556B70"/>
    <w:rsid w:val="00556B95"/>
    <w:rsid w:val="00556D33"/>
    <w:rsid w:val="00556E92"/>
    <w:rsid w:val="00556EC7"/>
    <w:rsid w:val="00556F9E"/>
    <w:rsid w:val="00557233"/>
    <w:rsid w:val="005572EE"/>
    <w:rsid w:val="00557363"/>
    <w:rsid w:val="0055737A"/>
    <w:rsid w:val="005573BD"/>
    <w:rsid w:val="0055741A"/>
    <w:rsid w:val="005574F4"/>
    <w:rsid w:val="0055750D"/>
    <w:rsid w:val="005577DB"/>
    <w:rsid w:val="005577E3"/>
    <w:rsid w:val="005577E7"/>
    <w:rsid w:val="005578D3"/>
    <w:rsid w:val="00557986"/>
    <w:rsid w:val="00557A74"/>
    <w:rsid w:val="00557DDF"/>
    <w:rsid w:val="005600C5"/>
    <w:rsid w:val="00560144"/>
    <w:rsid w:val="00560188"/>
    <w:rsid w:val="00560241"/>
    <w:rsid w:val="005604A8"/>
    <w:rsid w:val="005604FC"/>
    <w:rsid w:val="00560713"/>
    <w:rsid w:val="0056073B"/>
    <w:rsid w:val="0056095E"/>
    <w:rsid w:val="005609A5"/>
    <w:rsid w:val="005609C0"/>
    <w:rsid w:val="00560EA4"/>
    <w:rsid w:val="0056107D"/>
    <w:rsid w:val="0056110A"/>
    <w:rsid w:val="0056113F"/>
    <w:rsid w:val="0056115A"/>
    <w:rsid w:val="0056116F"/>
    <w:rsid w:val="005611B7"/>
    <w:rsid w:val="00561205"/>
    <w:rsid w:val="00561211"/>
    <w:rsid w:val="005615C1"/>
    <w:rsid w:val="0056184F"/>
    <w:rsid w:val="005618D4"/>
    <w:rsid w:val="00561940"/>
    <w:rsid w:val="005619B4"/>
    <w:rsid w:val="005619C7"/>
    <w:rsid w:val="00561A18"/>
    <w:rsid w:val="00561E27"/>
    <w:rsid w:val="00561E31"/>
    <w:rsid w:val="00561E72"/>
    <w:rsid w:val="00561FFF"/>
    <w:rsid w:val="005620DE"/>
    <w:rsid w:val="005622C5"/>
    <w:rsid w:val="00562370"/>
    <w:rsid w:val="0056247B"/>
    <w:rsid w:val="005624B0"/>
    <w:rsid w:val="00562776"/>
    <w:rsid w:val="0056282D"/>
    <w:rsid w:val="005628B8"/>
    <w:rsid w:val="005628D6"/>
    <w:rsid w:val="005628FF"/>
    <w:rsid w:val="0056297E"/>
    <w:rsid w:val="005629FA"/>
    <w:rsid w:val="00562BF4"/>
    <w:rsid w:val="00562F81"/>
    <w:rsid w:val="00563102"/>
    <w:rsid w:val="00563205"/>
    <w:rsid w:val="0056340B"/>
    <w:rsid w:val="00563461"/>
    <w:rsid w:val="005636E5"/>
    <w:rsid w:val="0056379D"/>
    <w:rsid w:val="00563882"/>
    <w:rsid w:val="0056389D"/>
    <w:rsid w:val="00563904"/>
    <w:rsid w:val="0056394E"/>
    <w:rsid w:val="00563A1A"/>
    <w:rsid w:val="00563B44"/>
    <w:rsid w:val="00563DC2"/>
    <w:rsid w:val="00563EF1"/>
    <w:rsid w:val="005640BB"/>
    <w:rsid w:val="0056417B"/>
    <w:rsid w:val="005642C2"/>
    <w:rsid w:val="005642E0"/>
    <w:rsid w:val="00564307"/>
    <w:rsid w:val="0056431A"/>
    <w:rsid w:val="0056437B"/>
    <w:rsid w:val="00564593"/>
    <w:rsid w:val="00564867"/>
    <w:rsid w:val="00564BC9"/>
    <w:rsid w:val="00564D77"/>
    <w:rsid w:val="00564DD0"/>
    <w:rsid w:val="00564F8B"/>
    <w:rsid w:val="00565432"/>
    <w:rsid w:val="005654B6"/>
    <w:rsid w:val="00565604"/>
    <w:rsid w:val="0056567B"/>
    <w:rsid w:val="005656C6"/>
    <w:rsid w:val="00565777"/>
    <w:rsid w:val="0056589B"/>
    <w:rsid w:val="0056591B"/>
    <w:rsid w:val="00565BB0"/>
    <w:rsid w:val="00565C79"/>
    <w:rsid w:val="00565DF0"/>
    <w:rsid w:val="00565EC8"/>
    <w:rsid w:val="00566042"/>
    <w:rsid w:val="005662CD"/>
    <w:rsid w:val="005662EE"/>
    <w:rsid w:val="00566450"/>
    <w:rsid w:val="005664CA"/>
    <w:rsid w:val="00566920"/>
    <w:rsid w:val="0056696F"/>
    <w:rsid w:val="005669BE"/>
    <w:rsid w:val="00566A15"/>
    <w:rsid w:val="00566B31"/>
    <w:rsid w:val="00566B36"/>
    <w:rsid w:val="00566BC4"/>
    <w:rsid w:val="00566F86"/>
    <w:rsid w:val="0056714E"/>
    <w:rsid w:val="005671D3"/>
    <w:rsid w:val="005672A6"/>
    <w:rsid w:val="0056739A"/>
    <w:rsid w:val="005674CA"/>
    <w:rsid w:val="00567794"/>
    <w:rsid w:val="00567811"/>
    <w:rsid w:val="0056791F"/>
    <w:rsid w:val="00567920"/>
    <w:rsid w:val="0056795C"/>
    <w:rsid w:val="0056795E"/>
    <w:rsid w:val="0056799B"/>
    <w:rsid w:val="00567B15"/>
    <w:rsid w:val="00567B35"/>
    <w:rsid w:val="00567BD4"/>
    <w:rsid w:val="0057015F"/>
    <w:rsid w:val="005704C1"/>
    <w:rsid w:val="005707D7"/>
    <w:rsid w:val="0057087E"/>
    <w:rsid w:val="0057090A"/>
    <w:rsid w:val="00570947"/>
    <w:rsid w:val="005709D7"/>
    <w:rsid w:val="00570AB5"/>
    <w:rsid w:val="00570B80"/>
    <w:rsid w:val="00570D85"/>
    <w:rsid w:val="005710A0"/>
    <w:rsid w:val="005712FA"/>
    <w:rsid w:val="005713F3"/>
    <w:rsid w:val="005714D2"/>
    <w:rsid w:val="005716B7"/>
    <w:rsid w:val="00571880"/>
    <w:rsid w:val="0057194B"/>
    <w:rsid w:val="00571997"/>
    <w:rsid w:val="00571A3C"/>
    <w:rsid w:val="00571A40"/>
    <w:rsid w:val="00571AF8"/>
    <w:rsid w:val="00571B30"/>
    <w:rsid w:val="00571C18"/>
    <w:rsid w:val="00571CB6"/>
    <w:rsid w:val="00571CE9"/>
    <w:rsid w:val="00571CF0"/>
    <w:rsid w:val="00571D30"/>
    <w:rsid w:val="00571E7E"/>
    <w:rsid w:val="00571FEF"/>
    <w:rsid w:val="0057220A"/>
    <w:rsid w:val="00572269"/>
    <w:rsid w:val="0057242E"/>
    <w:rsid w:val="0057244A"/>
    <w:rsid w:val="005728D2"/>
    <w:rsid w:val="00572977"/>
    <w:rsid w:val="00572A6C"/>
    <w:rsid w:val="00572F26"/>
    <w:rsid w:val="00572F6E"/>
    <w:rsid w:val="005730DA"/>
    <w:rsid w:val="0057312C"/>
    <w:rsid w:val="00573279"/>
    <w:rsid w:val="005735DD"/>
    <w:rsid w:val="0057398A"/>
    <w:rsid w:val="00573B42"/>
    <w:rsid w:val="00573B8B"/>
    <w:rsid w:val="00573D1E"/>
    <w:rsid w:val="00573DA9"/>
    <w:rsid w:val="00573F1E"/>
    <w:rsid w:val="0057402D"/>
    <w:rsid w:val="005741C3"/>
    <w:rsid w:val="0057424F"/>
    <w:rsid w:val="00574358"/>
    <w:rsid w:val="005743FA"/>
    <w:rsid w:val="0057444E"/>
    <w:rsid w:val="00574453"/>
    <w:rsid w:val="00574924"/>
    <w:rsid w:val="005749C7"/>
    <w:rsid w:val="00574E7B"/>
    <w:rsid w:val="00574EEB"/>
    <w:rsid w:val="00574F37"/>
    <w:rsid w:val="005750C5"/>
    <w:rsid w:val="00575141"/>
    <w:rsid w:val="00575232"/>
    <w:rsid w:val="00575253"/>
    <w:rsid w:val="005752DC"/>
    <w:rsid w:val="005752DE"/>
    <w:rsid w:val="0057561A"/>
    <w:rsid w:val="00575672"/>
    <w:rsid w:val="005756B2"/>
    <w:rsid w:val="00575783"/>
    <w:rsid w:val="005757CC"/>
    <w:rsid w:val="005757F9"/>
    <w:rsid w:val="00575952"/>
    <w:rsid w:val="00575C53"/>
    <w:rsid w:val="00575D60"/>
    <w:rsid w:val="00575D8D"/>
    <w:rsid w:val="005760DE"/>
    <w:rsid w:val="00576149"/>
    <w:rsid w:val="00576323"/>
    <w:rsid w:val="005765A7"/>
    <w:rsid w:val="005766FF"/>
    <w:rsid w:val="00576803"/>
    <w:rsid w:val="005768C7"/>
    <w:rsid w:val="00576972"/>
    <w:rsid w:val="005769AC"/>
    <w:rsid w:val="00576A3E"/>
    <w:rsid w:val="00576ACE"/>
    <w:rsid w:val="00576E32"/>
    <w:rsid w:val="0057718A"/>
    <w:rsid w:val="00577248"/>
    <w:rsid w:val="0057740B"/>
    <w:rsid w:val="00577558"/>
    <w:rsid w:val="0057790A"/>
    <w:rsid w:val="00577ABC"/>
    <w:rsid w:val="00577AEE"/>
    <w:rsid w:val="00577BC7"/>
    <w:rsid w:val="00577C28"/>
    <w:rsid w:val="00577C43"/>
    <w:rsid w:val="00577D16"/>
    <w:rsid w:val="00577EEB"/>
    <w:rsid w:val="00577EF5"/>
    <w:rsid w:val="00577F4B"/>
    <w:rsid w:val="00577FC2"/>
    <w:rsid w:val="005800DB"/>
    <w:rsid w:val="00580154"/>
    <w:rsid w:val="005802E9"/>
    <w:rsid w:val="00580302"/>
    <w:rsid w:val="00580542"/>
    <w:rsid w:val="00580757"/>
    <w:rsid w:val="00580A6F"/>
    <w:rsid w:val="00580D22"/>
    <w:rsid w:val="00580D78"/>
    <w:rsid w:val="00580E8A"/>
    <w:rsid w:val="00580EAF"/>
    <w:rsid w:val="005811E6"/>
    <w:rsid w:val="00581325"/>
    <w:rsid w:val="0058146E"/>
    <w:rsid w:val="0058158C"/>
    <w:rsid w:val="00581664"/>
    <w:rsid w:val="00581A6D"/>
    <w:rsid w:val="00581B50"/>
    <w:rsid w:val="00581C61"/>
    <w:rsid w:val="00581C66"/>
    <w:rsid w:val="00581F1E"/>
    <w:rsid w:val="00582030"/>
    <w:rsid w:val="005822F5"/>
    <w:rsid w:val="00582383"/>
    <w:rsid w:val="00582516"/>
    <w:rsid w:val="00582663"/>
    <w:rsid w:val="0058274B"/>
    <w:rsid w:val="00582A85"/>
    <w:rsid w:val="00582C91"/>
    <w:rsid w:val="005831FF"/>
    <w:rsid w:val="0058322F"/>
    <w:rsid w:val="005832D8"/>
    <w:rsid w:val="00583699"/>
    <w:rsid w:val="005837B6"/>
    <w:rsid w:val="005837C0"/>
    <w:rsid w:val="005837DE"/>
    <w:rsid w:val="00583975"/>
    <w:rsid w:val="00583A20"/>
    <w:rsid w:val="00583A7F"/>
    <w:rsid w:val="00583B3C"/>
    <w:rsid w:val="00583CD6"/>
    <w:rsid w:val="00583E1F"/>
    <w:rsid w:val="00583F17"/>
    <w:rsid w:val="00583F86"/>
    <w:rsid w:val="005840E4"/>
    <w:rsid w:val="0058414F"/>
    <w:rsid w:val="0058422C"/>
    <w:rsid w:val="0058445E"/>
    <w:rsid w:val="005846F7"/>
    <w:rsid w:val="0058470C"/>
    <w:rsid w:val="00584883"/>
    <w:rsid w:val="005848BD"/>
    <w:rsid w:val="00584993"/>
    <w:rsid w:val="00584B8C"/>
    <w:rsid w:val="00584B95"/>
    <w:rsid w:val="00584C18"/>
    <w:rsid w:val="00584C50"/>
    <w:rsid w:val="00584CA6"/>
    <w:rsid w:val="00584DEA"/>
    <w:rsid w:val="00584DEE"/>
    <w:rsid w:val="00584E05"/>
    <w:rsid w:val="00584E68"/>
    <w:rsid w:val="00584FC4"/>
    <w:rsid w:val="0058500B"/>
    <w:rsid w:val="00585101"/>
    <w:rsid w:val="00585356"/>
    <w:rsid w:val="0058540C"/>
    <w:rsid w:val="0058572C"/>
    <w:rsid w:val="00585AAE"/>
    <w:rsid w:val="00585BF0"/>
    <w:rsid w:val="00585CDD"/>
    <w:rsid w:val="00585D2B"/>
    <w:rsid w:val="00585D7D"/>
    <w:rsid w:val="00585D91"/>
    <w:rsid w:val="00586190"/>
    <w:rsid w:val="005862D8"/>
    <w:rsid w:val="005862E2"/>
    <w:rsid w:val="00586350"/>
    <w:rsid w:val="00586594"/>
    <w:rsid w:val="00586645"/>
    <w:rsid w:val="00586825"/>
    <w:rsid w:val="0058683A"/>
    <w:rsid w:val="00586914"/>
    <w:rsid w:val="00586ABD"/>
    <w:rsid w:val="00586B9A"/>
    <w:rsid w:val="00586BD3"/>
    <w:rsid w:val="00586D05"/>
    <w:rsid w:val="00586EA8"/>
    <w:rsid w:val="00586F0D"/>
    <w:rsid w:val="00586F14"/>
    <w:rsid w:val="00587058"/>
    <w:rsid w:val="005870B8"/>
    <w:rsid w:val="005873BE"/>
    <w:rsid w:val="0058754F"/>
    <w:rsid w:val="00587A5C"/>
    <w:rsid w:val="00587B3F"/>
    <w:rsid w:val="00587F5C"/>
    <w:rsid w:val="00587F91"/>
    <w:rsid w:val="00587FC1"/>
    <w:rsid w:val="0059005C"/>
    <w:rsid w:val="005900E1"/>
    <w:rsid w:val="0059015B"/>
    <w:rsid w:val="005901C9"/>
    <w:rsid w:val="00590287"/>
    <w:rsid w:val="0059030E"/>
    <w:rsid w:val="00590422"/>
    <w:rsid w:val="00590444"/>
    <w:rsid w:val="0059067B"/>
    <w:rsid w:val="005906E0"/>
    <w:rsid w:val="00590825"/>
    <w:rsid w:val="005909AA"/>
    <w:rsid w:val="005909FB"/>
    <w:rsid w:val="00590A6B"/>
    <w:rsid w:val="00590B5D"/>
    <w:rsid w:val="00590C41"/>
    <w:rsid w:val="00590C66"/>
    <w:rsid w:val="00590D39"/>
    <w:rsid w:val="00590F05"/>
    <w:rsid w:val="005910A7"/>
    <w:rsid w:val="0059110C"/>
    <w:rsid w:val="005911D4"/>
    <w:rsid w:val="0059154C"/>
    <w:rsid w:val="00591578"/>
    <w:rsid w:val="0059187B"/>
    <w:rsid w:val="00591881"/>
    <w:rsid w:val="00591957"/>
    <w:rsid w:val="00591962"/>
    <w:rsid w:val="00591CE2"/>
    <w:rsid w:val="00591DD8"/>
    <w:rsid w:val="00591FBF"/>
    <w:rsid w:val="00592154"/>
    <w:rsid w:val="005923FA"/>
    <w:rsid w:val="00592506"/>
    <w:rsid w:val="00592550"/>
    <w:rsid w:val="00592668"/>
    <w:rsid w:val="0059289C"/>
    <w:rsid w:val="0059299C"/>
    <w:rsid w:val="00592A48"/>
    <w:rsid w:val="00592C3D"/>
    <w:rsid w:val="00592F9E"/>
    <w:rsid w:val="00592FD2"/>
    <w:rsid w:val="00593192"/>
    <w:rsid w:val="005933B0"/>
    <w:rsid w:val="005936A5"/>
    <w:rsid w:val="00593731"/>
    <w:rsid w:val="005938FC"/>
    <w:rsid w:val="0059391B"/>
    <w:rsid w:val="00593AB0"/>
    <w:rsid w:val="00593AF2"/>
    <w:rsid w:val="00593B17"/>
    <w:rsid w:val="00593D32"/>
    <w:rsid w:val="00593E17"/>
    <w:rsid w:val="005940A1"/>
    <w:rsid w:val="00594234"/>
    <w:rsid w:val="005944F3"/>
    <w:rsid w:val="00594527"/>
    <w:rsid w:val="005945A0"/>
    <w:rsid w:val="00594DEA"/>
    <w:rsid w:val="00594EA9"/>
    <w:rsid w:val="00595056"/>
    <w:rsid w:val="0059507A"/>
    <w:rsid w:val="005950E2"/>
    <w:rsid w:val="00595142"/>
    <w:rsid w:val="005951CC"/>
    <w:rsid w:val="005951F2"/>
    <w:rsid w:val="00595240"/>
    <w:rsid w:val="00595512"/>
    <w:rsid w:val="00595551"/>
    <w:rsid w:val="0059570E"/>
    <w:rsid w:val="00595B5A"/>
    <w:rsid w:val="00595F92"/>
    <w:rsid w:val="00595FF8"/>
    <w:rsid w:val="0059618A"/>
    <w:rsid w:val="00596264"/>
    <w:rsid w:val="00596391"/>
    <w:rsid w:val="0059650C"/>
    <w:rsid w:val="00596792"/>
    <w:rsid w:val="00596940"/>
    <w:rsid w:val="00596FF6"/>
    <w:rsid w:val="005970A9"/>
    <w:rsid w:val="005970F0"/>
    <w:rsid w:val="00597185"/>
    <w:rsid w:val="005971CE"/>
    <w:rsid w:val="00597234"/>
    <w:rsid w:val="00597566"/>
    <w:rsid w:val="005977B2"/>
    <w:rsid w:val="00597804"/>
    <w:rsid w:val="0059787F"/>
    <w:rsid w:val="00597A0D"/>
    <w:rsid w:val="00597B0C"/>
    <w:rsid w:val="00597BF9"/>
    <w:rsid w:val="00597C9F"/>
    <w:rsid w:val="00597E12"/>
    <w:rsid w:val="00597E81"/>
    <w:rsid w:val="005A013D"/>
    <w:rsid w:val="005A0370"/>
    <w:rsid w:val="005A03AF"/>
    <w:rsid w:val="005A067A"/>
    <w:rsid w:val="005A083B"/>
    <w:rsid w:val="005A0B27"/>
    <w:rsid w:val="005A0B40"/>
    <w:rsid w:val="005A0C11"/>
    <w:rsid w:val="005A0CFC"/>
    <w:rsid w:val="005A10B7"/>
    <w:rsid w:val="005A13B1"/>
    <w:rsid w:val="005A13F2"/>
    <w:rsid w:val="005A140A"/>
    <w:rsid w:val="005A1492"/>
    <w:rsid w:val="005A162F"/>
    <w:rsid w:val="005A17E5"/>
    <w:rsid w:val="005A184B"/>
    <w:rsid w:val="005A19BF"/>
    <w:rsid w:val="005A1C41"/>
    <w:rsid w:val="005A1DB9"/>
    <w:rsid w:val="005A1EF0"/>
    <w:rsid w:val="005A21DE"/>
    <w:rsid w:val="005A22F3"/>
    <w:rsid w:val="005A23BC"/>
    <w:rsid w:val="005A2545"/>
    <w:rsid w:val="005A257C"/>
    <w:rsid w:val="005A258B"/>
    <w:rsid w:val="005A26EE"/>
    <w:rsid w:val="005A27AD"/>
    <w:rsid w:val="005A281D"/>
    <w:rsid w:val="005A2830"/>
    <w:rsid w:val="005A295C"/>
    <w:rsid w:val="005A2AD7"/>
    <w:rsid w:val="005A2CC1"/>
    <w:rsid w:val="005A2CE1"/>
    <w:rsid w:val="005A2D7A"/>
    <w:rsid w:val="005A2DB3"/>
    <w:rsid w:val="005A2DB7"/>
    <w:rsid w:val="005A2F92"/>
    <w:rsid w:val="005A2F97"/>
    <w:rsid w:val="005A302B"/>
    <w:rsid w:val="005A3046"/>
    <w:rsid w:val="005A309A"/>
    <w:rsid w:val="005A319A"/>
    <w:rsid w:val="005A32BD"/>
    <w:rsid w:val="005A332C"/>
    <w:rsid w:val="005A373D"/>
    <w:rsid w:val="005A37D9"/>
    <w:rsid w:val="005A384B"/>
    <w:rsid w:val="005A392F"/>
    <w:rsid w:val="005A39BF"/>
    <w:rsid w:val="005A3A26"/>
    <w:rsid w:val="005A3BA2"/>
    <w:rsid w:val="005A3C60"/>
    <w:rsid w:val="005A3EB8"/>
    <w:rsid w:val="005A426D"/>
    <w:rsid w:val="005A433D"/>
    <w:rsid w:val="005A43AD"/>
    <w:rsid w:val="005A463C"/>
    <w:rsid w:val="005A49C5"/>
    <w:rsid w:val="005A4AC4"/>
    <w:rsid w:val="005A4B30"/>
    <w:rsid w:val="005A4FB6"/>
    <w:rsid w:val="005A4FC8"/>
    <w:rsid w:val="005A509E"/>
    <w:rsid w:val="005A5253"/>
    <w:rsid w:val="005A53E6"/>
    <w:rsid w:val="005A5493"/>
    <w:rsid w:val="005A5D4A"/>
    <w:rsid w:val="005A5D7D"/>
    <w:rsid w:val="005A60EA"/>
    <w:rsid w:val="005A67B0"/>
    <w:rsid w:val="005A67FD"/>
    <w:rsid w:val="005A6892"/>
    <w:rsid w:val="005A6A27"/>
    <w:rsid w:val="005A6AD4"/>
    <w:rsid w:val="005A6BC1"/>
    <w:rsid w:val="005A6D2C"/>
    <w:rsid w:val="005A6D51"/>
    <w:rsid w:val="005A6D76"/>
    <w:rsid w:val="005A7067"/>
    <w:rsid w:val="005A739F"/>
    <w:rsid w:val="005A73A5"/>
    <w:rsid w:val="005A7502"/>
    <w:rsid w:val="005A75D6"/>
    <w:rsid w:val="005A7606"/>
    <w:rsid w:val="005A76C1"/>
    <w:rsid w:val="005A7758"/>
    <w:rsid w:val="005A791B"/>
    <w:rsid w:val="005A7A1E"/>
    <w:rsid w:val="005A7B43"/>
    <w:rsid w:val="005A7C67"/>
    <w:rsid w:val="005A7D88"/>
    <w:rsid w:val="005A7FBF"/>
    <w:rsid w:val="005A7FCC"/>
    <w:rsid w:val="005B0155"/>
    <w:rsid w:val="005B02F3"/>
    <w:rsid w:val="005B0522"/>
    <w:rsid w:val="005B080F"/>
    <w:rsid w:val="005B085E"/>
    <w:rsid w:val="005B0B58"/>
    <w:rsid w:val="005B0CF4"/>
    <w:rsid w:val="005B0D45"/>
    <w:rsid w:val="005B0F1A"/>
    <w:rsid w:val="005B0F4F"/>
    <w:rsid w:val="005B114C"/>
    <w:rsid w:val="005B12C1"/>
    <w:rsid w:val="005B155A"/>
    <w:rsid w:val="005B172A"/>
    <w:rsid w:val="005B17B5"/>
    <w:rsid w:val="005B1894"/>
    <w:rsid w:val="005B1984"/>
    <w:rsid w:val="005B1A82"/>
    <w:rsid w:val="005B1AD5"/>
    <w:rsid w:val="005B1CCF"/>
    <w:rsid w:val="005B1EEE"/>
    <w:rsid w:val="005B1F66"/>
    <w:rsid w:val="005B1FBF"/>
    <w:rsid w:val="005B2068"/>
    <w:rsid w:val="005B239A"/>
    <w:rsid w:val="005B2406"/>
    <w:rsid w:val="005B246E"/>
    <w:rsid w:val="005B2485"/>
    <w:rsid w:val="005B27DE"/>
    <w:rsid w:val="005B284B"/>
    <w:rsid w:val="005B286F"/>
    <w:rsid w:val="005B2996"/>
    <w:rsid w:val="005B2BFF"/>
    <w:rsid w:val="005B2D79"/>
    <w:rsid w:val="005B2DD0"/>
    <w:rsid w:val="005B2F81"/>
    <w:rsid w:val="005B3027"/>
    <w:rsid w:val="005B3339"/>
    <w:rsid w:val="005B3388"/>
    <w:rsid w:val="005B34F4"/>
    <w:rsid w:val="005B3774"/>
    <w:rsid w:val="005B37C2"/>
    <w:rsid w:val="005B3809"/>
    <w:rsid w:val="005B3A67"/>
    <w:rsid w:val="005B3C77"/>
    <w:rsid w:val="005B3D37"/>
    <w:rsid w:val="005B3E09"/>
    <w:rsid w:val="005B3F5C"/>
    <w:rsid w:val="005B3FB0"/>
    <w:rsid w:val="005B4071"/>
    <w:rsid w:val="005B40A0"/>
    <w:rsid w:val="005B4355"/>
    <w:rsid w:val="005B44DB"/>
    <w:rsid w:val="005B4516"/>
    <w:rsid w:val="005B474A"/>
    <w:rsid w:val="005B48CC"/>
    <w:rsid w:val="005B496D"/>
    <w:rsid w:val="005B4A3F"/>
    <w:rsid w:val="005B4E53"/>
    <w:rsid w:val="005B51D7"/>
    <w:rsid w:val="005B521A"/>
    <w:rsid w:val="005B52EE"/>
    <w:rsid w:val="005B5534"/>
    <w:rsid w:val="005B55B5"/>
    <w:rsid w:val="005B5714"/>
    <w:rsid w:val="005B5857"/>
    <w:rsid w:val="005B58EB"/>
    <w:rsid w:val="005B59A7"/>
    <w:rsid w:val="005B59C3"/>
    <w:rsid w:val="005B5A21"/>
    <w:rsid w:val="005B5B27"/>
    <w:rsid w:val="005B5BE8"/>
    <w:rsid w:val="005B5C82"/>
    <w:rsid w:val="005B5D10"/>
    <w:rsid w:val="005B5D28"/>
    <w:rsid w:val="005B5D56"/>
    <w:rsid w:val="005B5E3F"/>
    <w:rsid w:val="005B5F16"/>
    <w:rsid w:val="005B5F5C"/>
    <w:rsid w:val="005B5FB2"/>
    <w:rsid w:val="005B626B"/>
    <w:rsid w:val="005B62CB"/>
    <w:rsid w:val="005B6627"/>
    <w:rsid w:val="005B66A7"/>
    <w:rsid w:val="005B6802"/>
    <w:rsid w:val="005B699D"/>
    <w:rsid w:val="005B6A46"/>
    <w:rsid w:val="005B6A56"/>
    <w:rsid w:val="005B6A57"/>
    <w:rsid w:val="005B6E03"/>
    <w:rsid w:val="005B6F48"/>
    <w:rsid w:val="005B6F77"/>
    <w:rsid w:val="005B6FC8"/>
    <w:rsid w:val="005B72AB"/>
    <w:rsid w:val="005B74C3"/>
    <w:rsid w:val="005B74CB"/>
    <w:rsid w:val="005B7630"/>
    <w:rsid w:val="005B7650"/>
    <w:rsid w:val="005B76EF"/>
    <w:rsid w:val="005B772D"/>
    <w:rsid w:val="005B7838"/>
    <w:rsid w:val="005B793B"/>
    <w:rsid w:val="005B7AE1"/>
    <w:rsid w:val="005B7EFF"/>
    <w:rsid w:val="005C0222"/>
    <w:rsid w:val="005C036F"/>
    <w:rsid w:val="005C056F"/>
    <w:rsid w:val="005C05CE"/>
    <w:rsid w:val="005C05E9"/>
    <w:rsid w:val="005C0628"/>
    <w:rsid w:val="005C06E8"/>
    <w:rsid w:val="005C09F4"/>
    <w:rsid w:val="005C0EA3"/>
    <w:rsid w:val="005C0EEA"/>
    <w:rsid w:val="005C0F4B"/>
    <w:rsid w:val="005C0FA0"/>
    <w:rsid w:val="005C1003"/>
    <w:rsid w:val="005C1173"/>
    <w:rsid w:val="005C1306"/>
    <w:rsid w:val="005C13E7"/>
    <w:rsid w:val="005C14D5"/>
    <w:rsid w:val="005C17FF"/>
    <w:rsid w:val="005C1933"/>
    <w:rsid w:val="005C19C4"/>
    <w:rsid w:val="005C1B76"/>
    <w:rsid w:val="005C1B83"/>
    <w:rsid w:val="005C1CE1"/>
    <w:rsid w:val="005C2039"/>
    <w:rsid w:val="005C2225"/>
    <w:rsid w:val="005C222B"/>
    <w:rsid w:val="005C256F"/>
    <w:rsid w:val="005C25FF"/>
    <w:rsid w:val="005C2677"/>
    <w:rsid w:val="005C2B55"/>
    <w:rsid w:val="005C2BA1"/>
    <w:rsid w:val="005C2D03"/>
    <w:rsid w:val="005C2D55"/>
    <w:rsid w:val="005C2DA4"/>
    <w:rsid w:val="005C2F13"/>
    <w:rsid w:val="005C2F71"/>
    <w:rsid w:val="005C32E1"/>
    <w:rsid w:val="005C346B"/>
    <w:rsid w:val="005C37A0"/>
    <w:rsid w:val="005C383B"/>
    <w:rsid w:val="005C3A8C"/>
    <w:rsid w:val="005C3C2A"/>
    <w:rsid w:val="005C3DC6"/>
    <w:rsid w:val="005C3E5B"/>
    <w:rsid w:val="005C440A"/>
    <w:rsid w:val="005C48C7"/>
    <w:rsid w:val="005C48D9"/>
    <w:rsid w:val="005C4BFD"/>
    <w:rsid w:val="005C4C1E"/>
    <w:rsid w:val="005C4D58"/>
    <w:rsid w:val="005C4ED9"/>
    <w:rsid w:val="005C4F27"/>
    <w:rsid w:val="005C4FA2"/>
    <w:rsid w:val="005C50A3"/>
    <w:rsid w:val="005C5159"/>
    <w:rsid w:val="005C52B0"/>
    <w:rsid w:val="005C56B2"/>
    <w:rsid w:val="005C57F0"/>
    <w:rsid w:val="005C5ABC"/>
    <w:rsid w:val="005C5B0A"/>
    <w:rsid w:val="005C5C93"/>
    <w:rsid w:val="005C5E88"/>
    <w:rsid w:val="005C5EAA"/>
    <w:rsid w:val="005C5F69"/>
    <w:rsid w:val="005C6243"/>
    <w:rsid w:val="005C62A0"/>
    <w:rsid w:val="005C62DF"/>
    <w:rsid w:val="005C6441"/>
    <w:rsid w:val="005C64D9"/>
    <w:rsid w:val="005C654E"/>
    <w:rsid w:val="005C661C"/>
    <w:rsid w:val="005C6D50"/>
    <w:rsid w:val="005C6D65"/>
    <w:rsid w:val="005C6D75"/>
    <w:rsid w:val="005C6F47"/>
    <w:rsid w:val="005C6F4C"/>
    <w:rsid w:val="005C6F68"/>
    <w:rsid w:val="005C7179"/>
    <w:rsid w:val="005C71CC"/>
    <w:rsid w:val="005C72C0"/>
    <w:rsid w:val="005C739A"/>
    <w:rsid w:val="005C747D"/>
    <w:rsid w:val="005C7890"/>
    <w:rsid w:val="005C79FC"/>
    <w:rsid w:val="005C7B37"/>
    <w:rsid w:val="005C7C31"/>
    <w:rsid w:val="005C7CED"/>
    <w:rsid w:val="005C7DAC"/>
    <w:rsid w:val="005C7E29"/>
    <w:rsid w:val="005D0060"/>
    <w:rsid w:val="005D0344"/>
    <w:rsid w:val="005D044D"/>
    <w:rsid w:val="005D0518"/>
    <w:rsid w:val="005D079F"/>
    <w:rsid w:val="005D085A"/>
    <w:rsid w:val="005D08C5"/>
    <w:rsid w:val="005D090E"/>
    <w:rsid w:val="005D092E"/>
    <w:rsid w:val="005D09E1"/>
    <w:rsid w:val="005D0A7D"/>
    <w:rsid w:val="005D0ABD"/>
    <w:rsid w:val="005D0E01"/>
    <w:rsid w:val="005D0EB2"/>
    <w:rsid w:val="005D0F10"/>
    <w:rsid w:val="005D10B7"/>
    <w:rsid w:val="005D11D8"/>
    <w:rsid w:val="005D1602"/>
    <w:rsid w:val="005D1613"/>
    <w:rsid w:val="005D1885"/>
    <w:rsid w:val="005D18AD"/>
    <w:rsid w:val="005D1A1B"/>
    <w:rsid w:val="005D1C45"/>
    <w:rsid w:val="005D1DAB"/>
    <w:rsid w:val="005D1DE6"/>
    <w:rsid w:val="005D1FA3"/>
    <w:rsid w:val="005D1FA8"/>
    <w:rsid w:val="005D1FEE"/>
    <w:rsid w:val="005D231B"/>
    <w:rsid w:val="005D2508"/>
    <w:rsid w:val="005D2641"/>
    <w:rsid w:val="005D2678"/>
    <w:rsid w:val="005D2686"/>
    <w:rsid w:val="005D26B4"/>
    <w:rsid w:val="005D26CD"/>
    <w:rsid w:val="005D29B1"/>
    <w:rsid w:val="005D2A19"/>
    <w:rsid w:val="005D2CF5"/>
    <w:rsid w:val="005D2D1E"/>
    <w:rsid w:val="005D2D53"/>
    <w:rsid w:val="005D2ECF"/>
    <w:rsid w:val="005D2F3B"/>
    <w:rsid w:val="005D2F85"/>
    <w:rsid w:val="005D3084"/>
    <w:rsid w:val="005D3330"/>
    <w:rsid w:val="005D34E7"/>
    <w:rsid w:val="005D35B5"/>
    <w:rsid w:val="005D3715"/>
    <w:rsid w:val="005D3770"/>
    <w:rsid w:val="005D38DF"/>
    <w:rsid w:val="005D3943"/>
    <w:rsid w:val="005D3B80"/>
    <w:rsid w:val="005D3CB4"/>
    <w:rsid w:val="005D3D14"/>
    <w:rsid w:val="005D3DC2"/>
    <w:rsid w:val="005D40D0"/>
    <w:rsid w:val="005D43D6"/>
    <w:rsid w:val="005D4529"/>
    <w:rsid w:val="005D4771"/>
    <w:rsid w:val="005D47D4"/>
    <w:rsid w:val="005D4B07"/>
    <w:rsid w:val="005D4B46"/>
    <w:rsid w:val="005D4C4A"/>
    <w:rsid w:val="005D4DA8"/>
    <w:rsid w:val="005D4E5E"/>
    <w:rsid w:val="005D50D4"/>
    <w:rsid w:val="005D52F0"/>
    <w:rsid w:val="005D5674"/>
    <w:rsid w:val="005D5A05"/>
    <w:rsid w:val="005D5ADA"/>
    <w:rsid w:val="005D5B1B"/>
    <w:rsid w:val="005D5B97"/>
    <w:rsid w:val="005D5C52"/>
    <w:rsid w:val="005D5EA9"/>
    <w:rsid w:val="005D5F2C"/>
    <w:rsid w:val="005D619A"/>
    <w:rsid w:val="005D6204"/>
    <w:rsid w:val="005D623F"/>
    <w:rsid w:val="005D63E5"/>
    <w:rsid w:val="005D65DA"/>
    <w:rsid w:val="005D6677"/>
    <w:rsid w:val="005D6743"/>
    <w:rsid w:val="005D6787"/>
    <w:rsid w:val="005D67F1"/>
    <w:rsid w:val="005D68C1"/>
    <w:rsid w:val="005D6933"/>
    <w:rsid w:val="005D69FA"/>
    <w:rsid w:val="005D6A0C"/>
    <w:rsid w:val="005D6A1C"/>
    <w:rsid w:val="005D6B0F"/>
    <w:rsid w:val="005D6C16"/>
    <w:rsid w:val="005D6C55"/>
    <w:rsid w:val="005D6CC6"/>
    <w:rsid w:val="005D6CD0"/>
    <w:rsid w:val="005D704B"/>
    <w:rsid w:val="005D716D"/>
    <w:rsid w:val="005D72AB"/>
    <w:rsid w:val="005D72EF"/>
    <w:rsid w:val="005D7759"/>
    <w:rsid w:val="005D7760"/>
    <w:rsid w:val="005D7908"/>
    <w:rsid w:val="005D7A72"/>
    <w:rsid w:val="005D7AEB"/>
    <w:rsid w:val="005D7C4A"/>
    <w:rsid w:val="005D7C64"/>
    <w:rsid w:val="005D7E9E"/>
    <w:rsid w:val="005D7F75"/>
    <w:rsid w:val="005D7FA7"/>
    <w:rsid w:val="005E0025"/>
    <w:rsid w:val="005E00E9"/>
    <w:rsid w:val="005E0176"/>
    <w:rsid w:val="005E01DB"/>
    <w:rsid w:val="005E03BE"/>
    <w:rsid w:val="005E043A"/>
    <w:rsid w:val="005E0551"/>
    <w:rsid w:val="005E0567"/>
    <w:rsid w:val="005E063D"/>
    <w:rsid w:val="005E06D6"/>
    <w:rsid w:val="005E09C4"/>
    <w:rsid w:val="005E0A89"/>
    <w:rsid w:val="005E0E1F"/>
    <w:rsid w:val="005E10F1"/>
    <w:rsid w:val="005E1215"/>
    <w:rsid w:val="005E135D"/>
    <w:rsid w:val="005E159B"/>
    <w:rsid w:val="005E1608"/>
    <w:rsid w:val="005E164F"/>
    <w:rsid w:val="005E16CA"/>
    <w:rsid w:val="005E175E"/>
    <w:rsid w:val="005E1824"/>
    <w:rsid w:val="005E1995"/>
    <w:rsid w:val="005E1B14"/>
    <w:rsid w:val="005E1B87"/>
    <w:rsid w:val="005E1BEF"/>
    <w:rsid w:val="005E257A"/>
    <w:rsid w:val="005E25F8"/>
    <w:rsid w:val="005E26D6"/>
    <w:rsid w:val="005E29D0"/>
    <w:rsid w:val="005E2A41"/>
    <w:rsid w:val="005E2C9B"/>
    <w:rsid w:val="005E2DAC"/>
    <w:rsid w:val="005E2F9F"/>
    <w:rsid w:val="005E318C"/>
    <w:rsid w:val="005E321C"/>
    <w:rsid w:val="005E32E2"/>
    <w:rsid w:val="005E379B"/>
    <w:rsid w:val="005E387C"/>
    <w:rsid w:val="005E39EF"/>
    <w:rsid w:val="005E3A05"/>
    <w:rsid w:val="005E3C23"/>
    <w:rsid w:val="005E3E8E"/>
    <w:rsid w:val="005E3FC6"/>
    <w:rsid w:val="005E3FE4"/>
    <w:rsid w:val="005E3FFC"/>
    <w:rsid w:val="005E4555"/>
    <w:rsid w:val="005E462B"/>
    <w:rsid w:val="005E4664"/>
    <w:rsid w:val="005E469D"/>
    <w:rsid w:val="005E474E"/>
    <w:rsid w:val="005E47F0"/>
    <w:rsid w:val="005E48E0"/>
    <w:rsid w:val="005E48E6"/>
    <w:rsid w:val="005E48FD"/>
    <w:rsid w:val="005E4C5E"/>
    <w:rsid w:val="005E4C7E"/>
    <w:rsid w:val="005E4EAA"/>
    <w:rsid w:val="005E4ED2"/>
    <w:rsid w:val="005E4FB7"/>
    <w:rsid w:val="005E50BB"/>
    <w:rsid w:val="005E512A"/>
    <w:rsid w:val="005E515A"/>
    <w:rsid w:val="005E5369"/>
    <w:rsid w:val="005E5411"/>
    <w:rsid w:val="005E54C1"/>
    <w:rsid w:val="005E568A"/>
    <w:rsid w:val="005E575E"/>
    <w:rsid w:val="005E578C"/>
    <w:rsid w:val="005E57E7"/>
    <w:rsid w:val="005E58BA"/>
    <w:rsid w:val="005E58C4"/>
    <w:rsid w:val="005E59ED"/>
    <w:rsid w:val="005E5D3F"/>
    <w:rsid w:val="005E5E97"/>
    <w:rsid w:val="005E5EB6"/>
    <w:rsid w:val="005E5F70"/>
    <w:rsid w:val="005E60A0"/>
    <w:rsid w:val="005E6240"/>
    <w:rsid w:val="005E6251"/>
    <w:rsid w:val="005E630A"/>
    <w:rsid w:val="005E6461"/>
    <w:rsid w:val="005E64C8"/>
    <w:rsid w:val="005E6880"/>
    <w:rsid w:val="005E68E2"/>
    <w:rsid w:val="005E6A4D"/>
    <w:rsid w:val="005E6B9F"/>
    <w:rsid w:val="005E6CBC"/>
    <w:rsid w:val="005E6E1A"/>
    <w:rsid w:val="005E6E81"/>
    <w:rsid w:val="005E6EC0"/>
    <w:rsid w:val="005E6ED5"/>
    <w:rsid w:val="005E72FF"/>
    <w:rsid w:val="005E7396"/>
    <w:rsid w:val="005E73C0"/>
    <w:rsid w:val="005E76D9"/>
    <w:rsid w:val="005E7739"/>
    <w:rsid w:val="005E7B43"/>
    <w:rsid w:val="005E7E23"/>
    <w:rsid w:val="005E7F67"/>
    <w:rsid w:val="005E7FF3"/>
    <w:rsid w:val="005F0402"/>
    <w:rsid w:val="005F0426"/>
    <w:rsid w:val="005F0493"/>
    <w:rsid w:val="005F06C5"/>
    <w:rsid w:val="005F07ED"/>
    <w:rsid w:val="005F0945"/>
    <w:rsid w:val="005F0948"/>
    <w:rsid w:val="005F0E46"/>
    <w:rsid w:val="005F0F9D"/>
    <w:rsid w:val="005F106F"/>
    <w:rsid w:val="005F109F"/>
    <w:rsid w:val="005F1205"/>
    <w:rsid w:val="005F1503"/>
    <w:rsid w:val="005F1559"/>
    <w:rsid w:val="005F16B9"/>
    <w:rsid w:val="005F1BF4"/>
    <w:rsid w:val="005F1D4B"/>
    <w:rsid w:val="005F21E7"/>
    <w:rsid w:val="005F23DE"/>
    <w:rsid w:val="005F248D"/>
    <w:rsid w:val="005F269F"/>
    <w:rsid w:val="005F2706"/>
    <w:rsid w:val="005F2784"/>
    <w:rsid w:val="005F27EC"/>
    <w:rsid w:val="005F29AC"/>
    <w:rsid w:val="005F2A3E"/>
    <w:rsid w:val="005F2B62"/>
    <w:rsid w:val="005F2CC5"/>
    <w:rsid w:val="005F2D2E"/>
    <w:rsid w:val="005F3664"/>
    <w:rsid w:val="005F3B5C"/>
    <w:rsid w:val="005F3BCA"/>
    <w:rsid w:val="005F3BEA"/>
    <w:rsid w:val="005F3C94"/>
    <w:rsid w:val="005F3FD2"/>
    <w:rsid w:val="005F4256"/>
    <w:rsid w:val="005F4272"/>
    <w:rsid w:val="005F434A"/>
    <w:rsid w:val="005F43CA"/>
    <w:rsid w:val="005F4433"/>
    <w:rsid w:val="005F4712"/>
    <w:rsid w:val="005F4806"/>
    <w:rsid w:val="005F4A96"/>
    <w:rsid w:val="005F4ABA"/>
    <w:rsid w:val="005F4C94"/>
    <w:rsid w:val="005F4FBA"/>
    <w:rsid w:val="005F4FC2"/>
    <w:rsid w:val="005F5006"/>
    <w:rsid w:val="005F517D"/>
    <w:rsid w:val="005F54BA"/>
    <w:rsid w:val="005F55A4"/>
    <w:rsid w:val="005F55AE"/>
    <w:rsid w:val="005F56B9"/>
    <w:rsid w:val="005F56EF"/>
    <w:rsid w:val="005F5818"/>
    <w:rsid w:val="005F5839"/>
    <w:rsid w:val="005F59F9"/>
    <w:rsid w:val="005F5B2F"/>
    <w:rsid w:val="005F5CAE"/>
    <w:rsid w:val="005F5CD0"/>
    <w:rsid w:val="005F5DE7"/>
    <w:rsid w:val="005F5E23"/>
    <w:rsid w:val="005F5E97"/>
    <w:rsid w:val="005F5F72"/>
    <w:rsid w:val="005F6050"/>
    <w:rsid w:val="005F61B7"/>
    <w:rsid w:val="005F61D3"/>
    <w:rsid w:val="005F638C"/>
    <w:rsid w:val="005F647B"/>
    <w:rsid w:val="005F671A"/>
    <w:rsid w:val="005F6883"/>
    <w:rsid w:val="005F6891"/>
    <w:rsid w:val="005F69E0"/>
    <w:rsid w:val="005F6A8F"/>
    <w:rsid w:val="005F6AAD"/>
    <w:rsid w:val="005F6B40"/>
    <w:rsid w:val="005F6BB7"/>
    <w:rsid w:val="005F6C72"/>
    <w:rsid w:val="005F6E66"/>
    <w:rsid w:val="005F6EEB"/>
    <w:rsid w:val="005F6EF1"/>
    <w:rsid w:val="005F6F40"/>
    <w:rsid w:val="005F709E"/>
    <w:rsid w:val="005F7160"/>
    <w:rsid w:val="005F7184"/>
    <w:rsid w:val="005F73AB"/>
    <w:rsid w:val="005F7588"/>
    <w:rsid w:val="005F75C0"/>
    <w:rsid w:val="005F761F"/>
    <w:rsid w:val="005F76A9"/>
    <w:rsid w:val="005F76BE"/>
    <w:rsid w:val="005F772F"/>
    <w:rsid w:val="005F7913"/>
    <w:rsid w:val="005F799D"/>
    <w:rsid w:val="005F7A84"/>
    <w:rsid w:val="005F7BAB"/>
    <w:rsid w:val="005F7D1A"/>
    <w:rsid w:val="00600058"/>
    <w:rsid w:val="0060013A"/>
    <w:rsid w:val="006003DB"/>
    <w:rsid w:val="0060049E"/>
    <w:rsid w:val="006004B1"/>
    <w:rsid w:val="00600548"/>
    <w:rsid w:val="00600B71"/>
    <w:rsid w:val="00600CF5"/>
    <w:rsid w:val="00600F8A"/>
    <w:rsid w:val="00600F8B"/>
    <w:rsid w:val="006010E8"/>
    <w:rsid w:val="006012D0"/>
    <w:rsid w:val="0060132B"/>
    <w:rsid w:val="00601401"/>
    <w:rsid w:val="00601411"/>
    <w:rsid w:val="0060158E"/>
    <w:rsid w:val="0060173D"/>
    <w:rsid w:val="00601892"/>
    <w:rsid w:val="00601967"/>
    <w:rsid w:val="00601B67"/>
    <w:rsid w:val="00601BBE"/>
    <w:rsid w:val="00601C64"/>
    <w:rsid w:val="00601D57"/>
    <w:rsid w:val="00601DA7"/>
    <w:rsid w:val="00601EF6"/>
    <w:rsid w:val="006020DE"/>
    <w:rsid w:val="0060210B"/>
    <w:rsid w:val="00602277"/>
    <w:rsid w:val="006022F8"/>
    <w:rsid w:val="00602497"/>
    <w:rsid w:val="0060276F"/>
    <w:rsid w:val="006028D3"/>
    <w:rsid w:val="00602A0E"/>
    <w:rsid w:val="00602B0E"/>
    <w:rsid w:val="00602BB5"/>
    <w:rsid w:val="00602F08"/>
    <w:rsid w:val="00603220"/>
    <w:rsid w:val="00603847"/>
    <w:rsid w:val="00603940"/>
    <w:rsid w:val="00603977"/>
    <w:rsid w:val="00603A60"/>
    <w:rsid w:val="00603A8B"/>
    <w:rsid w:val="00603AA0"/>
    <w:rsid w:val="00603BCE"/>
    <w:rsid w:val="00603DB9"/>
    <w:rsid w:val="00604053"/>
    <w:rsid w:val="00604186"/>
    <w:rsid w:val="00604244"/>
    <w:rsid w:val="00604279"/>
    <w:rsid w:val="006043B8"/>
    <w:rsid w:val="006044CA"/>
    <w:rsid w:val="00604662"/>
    <w:rsid w:val="006046AB"/>
    <w:rsid w:val="006048A8"/>
    <w:rsid w:val="00604DAF"/>
    <w:rsid w:val="00604EFA"/>
    <w:rsid w:val="006050C9"/>
    <w:rsid w:val="00605386"/>
    <w:rsid w:val="006053FE"/>
    <w:rsid w:val="00605466"/>
    <w:rsid w:val="00605494"/>
    <w:rsid w:val="006054A1"/>
    <w:rsid w:val="00605591"/>
    <w:rsid w:val="0060567C"/>
    <w:rsid w:val="0060571F"/>
    <w:rsid w:val="00605885"/>
    <w:rsid w:val="006058FD"/>
    <w:rsid w:val="00605ABB"/>
    <w:rsid w:val="00605BDE"/>
    <w:rsid w:val="00605DBE"/>
    <w:rsid w:val="00605F4B"/>
    <w:rsid w:val="00605F68"/>
    <w:rsid w:val="00605F80"/>
    <w:rsid w:val="0060605A"/>
    <w:rsid w:val="006060CA"/>
    <w:rsid w:val="0060667C"/>
    <w:rsid w:val="006069AF"/>
    <w:rsid w:val="00606B50"/>
    <w:rsid w:val="00606CDE"/>
    <w:rsid w:val="00606D94"/>
    <w:rsid w:val="00606F1E"/>
    <w:rsid w:val="00606FBA"/>
    <w:rsid w:val="00606FD8"/>
    <w:rsid w:val="0060715D"/>
    <w:rsid w:val="00607384"/>
    <w:rsid w:val="00607537"/>
    <w:rsid w:val="00607575"/>
    <w:rsid w:val="00607595"/>
    <w:rsid w:val="00607669"/>
    <w:rsid w:val="0060769C"/>
    <w:rsid w:val="006076F4"/>
    <w:rsid w:val="00607706"/>
    <w:rsid w:val="00607749"/>
    <w:rsid w:val="00607782"/>
    <w:rsid w:val="006079CA"/>
    <w:rsid w:val="00607A9A"/>
    <w:rsid w:val="00607AFD"/>
    <w:rsid w:val="00607B47"/>
    <w:rsid w:val="00607BD2"/>
    <w:rsid w:val="00607CD7"/>
    <w:rsid w:val="00607ED1"/>
    <w:rsid w:val="00607FE5"/>
    <w:rsid w:val="00610045"/>
    <w:rsid w:val="0061011A"/>
    <w:rsid w:val="006102CB"/>
    <w:rsid w:val="006102FE"/>
    <w:rsid w:val="006103DA"/>
    <w:rsid w:val="0061073F"/>
    <w:rsid w:val="0061076C"/>
    <w:rsid w:val="00610785"/>
    <w:rsid w:val="00610826"/>
    <w:rsid w:val="006108DF"/>
    <w:rsid w:val="0061091C"/>
    <w:rsid w:val="0061094B"/>
    <w:rsid w:val="00610980"/>
    <w:rsid w:val="006109BD"/>
    <w:rsid w:val="00610A05"/>
    <w:rsid w:val="00610B1B"/>
    <w:rsid w:val="00610B3A"/>
    <w:rsid w:val="00610D51"/>
    <w:rsid w:val="0061131D"/>
    <w:rsid w:val="00611377"/>
    <w:rsid w:val="00611506"/>
    <w:rsid w:val="0061164A"/>
    <w:rsid w:val="00611664"/>
    <w:rsid w:val="00611869"/>
    <w:rsid w:val="006118E9"/>
    <w:rsid w:val="00611B12"/>
    <w:rsid w:val="00611DB5"/>
    <w:rsid w:val="00611DE7"/>
    <w:rsid w:val="00611E07"/>
    <w:rsid w:val="006121AC"/>
    <w:rsid w:val="0061228A"/>
    <w:rsid w:val="00612420"/>
    <w:rsid w:val="006124E0"/>
    <w:rsid w:val="0061279D"/>
    <w:rsid w:val="006129A8"/>
    <w:rsid w:val="006129FD"/>
    <w:rsid w:val="00612C8D"/>
    <w:rsid w:val="00612CF6"/>
    <w:rsid w:val="00612D76"/>
    <w:rsid w:val="00612F55"/>
    <w:rsid w:val="00612F97"/>
    <w:rsid w:val="00613177"/>
    <w:rsid w:val="00613181"/>
    <w:rsid w:val="0061345D"/>
    <w:rsid w:val="0061351E"/>
    <w:rsid w:val="00613535"/>
    <w:rsid w:val="00613632"/>
    <w:rsid w:val="00613663"/>
    <w:rsid w:val="00613666"/>
    <w:rsid w:val="00613751"/>
    <w:rsid w:val="00613803"/>
    <w:rsid w:val="006138F3"/>
    <w:rsid w:val="00613988"/>
    <w:rsid w:val="006139B9"/>
    <w:rsid w:val="00613A6B"/>
    <w:rsid w:val="00613BA5"/>
    <w:rsid w:val="00613C1A"/>
    <w:rsid w:val="00613E9A"/>
    <w:rsid w:val="00613EE8"/>
    <w:rsid w:val="006141C8"/>
    <w:rsid w:val="006141F2"/>
    <w:rsid w:val="00614263"/>
    <w:rsid w:val="0061439C"/>
    <w:rsid w:val="00614459"/>
    <w:rsid w:val="006144C8"/>
    <w:rsid w:val="0061489C"/>
    <w:rsid w:val="00614B3F"/>
    <w:rsid w:val="00614F53"/>
    <w:rsid w:val="006150EF"/>
    <w:rsid w:val="006151A0"/>
    <w:rsid w:val="006151D7"/>
    <w:rsid w:val="00615230"/>
    <w:rsid w:val="0061533F"/>
    <w:rsid w:val="006153C5"/>
    <w:rsid w:val="00615437"/>
    <w:rsid w:val="0061549B"/>
    <w:rsid w:val="0061551E"/>
    <w:rsid w:val="006155EA"/>
    <w:rsid w:val="006156AB"/>
    <w:rsid w:val="006156B2"/>
    <w:rsid w:val="00615C2D"/>
    <w:rsid w:val="00615C3A"/>
    <w:rsid w:val="00615D53"/>
    <w:rsid w:val="00615F1E"/>
    <w:rsid w:val="00616278"/>
    <w:rsid w:val="00616370"/>
    <w:rsid w:val="00616394"/>
    <w:rsid w:val="006165CB"/>
    <w:rsid w:val="006167CD"/>
    <w:rsid w:val="00616802"/>
    <w:rsid w:val="006168B9"/>
    <w:rsid w:val="0061695C"/>
    <w:rsid w:val="00616F35"/>
    <w:rsid w:val="0061704D"/>
    <w:rsid w:val="00617074"/>
    <w:rsid w:val="00617107"/>
    <w:rsid w:val="006171D7"/>
    <w:rsid w:val="0061728B"/>
    <w:rsid w:val="00617340"/>
    <w:rsid w:val="00617347"/>
    <w:rsid w:val="0061737B"/>
    <w:rsid w:val="00617578"/>
    <w:rsid w:val="006176F5"/>
    <w:rsid w:val="00617754"/>
    <w:rsid w:val="0061777D"/>
    <w:rsid w:val="0061778A"/>
    <w:rsid w:val="006178C1"/>
    <w:rsid w:val="006178C6"/>
    <w:rsid w:val="006179E4"/>
    <w:rsid w:val="006179EA"/>
    <w:rsid w:val="00617A1C"/>
    <w:rsid w:val="00617A8B"/>
    <w:rsid w:val="00617C34"/>
    <w:rsid w:val="00617D21"/>
    <w:rsid w:val="00617E12"/>
    <w:rsid w:val="00617E1D"/>
    <w:rsid w:val="00617F00"/>
    <w:rsid w:val="00617F3E"/>
    <w:rsid w:val="00617FAC"/>
    <w:rsid w:val="00620353"/>
    <w:rsid w:val="0062040E"/>
    <w:rsid w:val="006207E4"/>
    <w:rsid w:val="0062083B"/>
    <w:rsid w:val="006208DE"/>
    <w:rsid w:val="00620A07"/>
    <w:rsid w:val="00620A76"/>
    <w:rsid w:val="00620C25"/>
    <w:rsid w:val="00620CA1"/>
    <w:rsid w:val="00621088"/>
    <w:rsid w:val="00621187"/>
    <w:rsid w:val="0062140B"/>
    <w:rsid w:val="00621477"/>
    <w:rsid w:val="00621590"/>
    <w:rsid w:val="006215C1"/>
    <w:rsid w:val="00621804"/>
    <w:rsid w:val="006218E2"/>
    <w:rsid w:val="00621A4F"/>
    <w:rsid w:val="00621ADA"/>
    <w:rsid w:val="00621AE0"/>
    <w:rsid w:val="00621CD2"/>
    <w:rsid w:val="00621DCA"/>
    <w:rsid w:val="00621DDB"/>
    <w:rsid w:val="00621DF6"/>
    <w:rsid w:val="00621FD9"/>
    <w:rsid w:val="00622181"/>
    <w:rsid w:val="00622480"/>
    <w:rsid w:val="00622483"/>
    <w:rsid w:val="00622490"/>
    <w:rsid w:val="006224B5"/>
    <w:rsid w:val="006227BD"/>
    <w:rsid w:val="00622D46"/>
    <w:rsid w:val="00622DAD"/>
    <w:rsid w:val="00622DF2"/>
    <w:rsid w:val="00622EA9"/>
    <w:rsid w:val="00622FDA"/>
    <w:rsid w:val="006235C0"/>
    <w:rsid w:val="006236B9"/>
    <w:rsid w:val="00623796"/>
    <w:rsid w:val="00623838"/>
    <w:rsid w:val="006238A0"/>
    <w:rsid w:val="006239F2"/>
    <w:rsid w:val="00623AB3"/>
    <w:rsid w:val="00623BFF"/>
    <w:rsid w:val="00623C68"/>
    <w:rsid w:val="00623F7B"/>
    <w:rsid w:val="006240C6"/>
    <w:rsid w:val="00624186"/>
    <w:rsid w:val="00624497"/>
    <w:rsid w:val="006245CD"/>
    <w:rsid w:val="00624797"/>
    <w:rsid w:val="00624AC3"/>
    <w:rsid w:val="00624AFB"/>
    <w:rsid w:val="00624BD4"/>
    <w:rsid w:val="00624E0A"/>
    <w:rsid w:val="00624FE9"/>
    <w:rsid w:val="0062540C"/>
    <w:rsid w:val="006254FD"/>
    <w:rsid w:val="0062551C"/>
    <w:rsid w:val="00625553"/>
    <w:rsid w:val="006256C7"/>
    <w:rsid w:val="006257DE"/>
    <w:rsid w:val="006258AD"/>
    <w:rsid w:val="006258C7"/>
    <w:rsid w:val="00625937"/>
    <w:rsid w:val="00625A5E"/>
    <w:rsid w:val="00625B01"/>
    <w:rsid w:val="00625D6F"/>
    <w:rsid w:val="00625F10"/>
    <w:rsid w:val="00625F40"/>
    <w:rsid w:val="0062608A"/>
    <w:rsid w:val="006260FE"/>
    <w:rsid w:val="00626138"/>
    <w:rsid w:val="00626157"/>
    <w:rsid w:val="006261C4"/>
    <w:rsid w:val="00626301"/>
    <w:rsid w:val="006263A8"/>
    <w:rsid w:val="00626523"/>
    <w:rsid w:val="0062653C"/>
    <w:rsid w:val="00626962"/>
    <w:rsid w:val="00626B12"/>
    <w:rsid w:val="00626D4F"/>
    <w:rsid w:val="00626ECE"/>
    <w:rsid w:val="00627009"/>
    <w:rsid w:val="006271D8"/>
    <w:rsid w:val="00627314"/>
    <w:rsid w:val="0062751F"/>
    <w:rsid w:val="0062760B"/>
    <w:rsid w:val="00627715"/>
    <w:rsid w:val="00627727"/>
    <w:rsid w:val="00627786"/>
    <w:rsid w:val="00627811"/>
    <w:rsid w:val="00627944"/>
    <w:rsid w:val="006279D7"/>
    <w:rsid w:val="00627A2D"/>
    <w:rsid w:val="00627D4B"/>
    <w:rsid w:val="00627FB0"/>
    <w:rsid w:val="00630061"/>
    <w:rsid w:val="006300A9"/>
    <w:rsid w:val="00630299"/>
    <w:rsid w:val="006303AC"/>
    <w:rsid w:val="00630519"/>
    <w:rsid w:val="0063053E"/>
    <w:rsid w:val="00630557"/>
    <w:rsid w:val="00630749"/>
    <w:rsid w:val="0063081F"/>
    <w:rsid w:val="006308C0"/>
    <w:rsid w:val="0063093C"/>
    <w:rsid w:val="00630ADA"/>
    <w:rsid w:val="00630B0C"/>
    <w:rsid w:val="00630D99"/>
    <w:rsid w:val="0063158F"/>
    <w:rsid w:val="006315C2"/>
    <w:rsid w:val="0063178B"/>
    <w:rsid w:val="00631AEC"/>
    <w:rsid w:val="00631C3D"/>
    <w:rsid w:val="00631D6B"/>
    <w:rsid w:val="00631D94"/>
    <w:rsid w:val="00631E67"/>
    <w:rsid w:val="00631EF7"/>
    <w:rsid w:val="006320CB"/>
    <w:rsid w:val="00632183"/>
    <w:rsid w:val="006322DE"/>
    <w:rsid w:val="006322EC"/>
    <w:rsid w:val="006324D2"/>
    <w:rsid w:val="006326C1"/>
    <w:rsid w:val="006328CE"/>
    <w:rsid w:val="006328F5"/>
    <w:rsid w:val="00632C64"/>
    <w:rsid w:val="00632C96"/>
    <w:rsid w:val="00632F82"/>
    <w:rsid w:val="006330A1"/>
    <w:rsid w:val="006332D0"/>
    <w:rsid w:val="00633361"/>
    <w:rsid w:val="00633371"/>
    <w:rsid w:val="00633641"/>
    <w:rsid w:val="00633644"/>
    <w:rsid w:val="006337DA"/>
    <w:rsid w:val="006339FE"/>
    <w:rsid w:val="00633C5D"/>
    <w:rsid w:val="00633CE6"/>
    <w:rsid w:val="00633D58"/>
    <w:rsid w:val="00633DB6"/>
    <w:rsid w:val="00634351"/>
    <w:rsid w:val="006345FA"/>
    <w:rsid w:val="0063460A"/>
    <w:rsid w:val="00634631"/>
    <w:rsid w:val="0063464C"/>
    <w:rsid w:val="006346FE"/>
    <w:rsid w:val="0063479F"/>
    <w:rsid w:val="006348B4"/>
    <w:rsid w:val="006348E6"/>
    <w:rsid w:val="00634CB8"/>
    <w:rsid w:val="00634CD7"/>
    <w:rsid w:val="00634DE9"/>
    <w:rsid w:val="00634F4F"/>
    <w:rsid w:val="00635109"/>
    <w:rsid w:val="006351B5"/>
    <w:rsid w:val="00635203"/>
    <w:rsid w:val="00635279"/>
    <w:rsid w:val="006352C8"/>
    <w:rsid w:val="006353F0"/>
    <w:rsid w:val="00635412"/>
    <w:rsid w:val="006355F1"/>
    <w:rsid w:val="006356C8"/>
    <w:rsid w:val="00635730"/>
    <w:rsid w:val="006357B5"/>
    <w:rsid w:val="006357C1"/>
    <w:rsid w:val="006357D6"/>
    <w:rsid w:val="00635826"/>
    <w:rsid w:val="006359BA"/>
    <w:rsid w:val="00635A46"/>
    <w:rsid w:val="00635A7C"/>
    <w:rsid w:val="00635D05"/>
    <w:rsid w:val="00635E16"/>
    <w:rsid w:val="00635E98"/>
    <w:rsid w:val="00636074"/>
    <w:rsid w:val="006360FF"/>
    <w:rsid w:val="006363E5"/>
    <w:rsid w:val="006364A1"/>
    <w:rsid w:val="00636614"/>
    <w:rsid w:val="0063664F"/>
    <w:rsid w:val="00636766"/>
    <w:rsid w:val="0063678E"/>
    <w:rsid w:val="00636839"/>
    <w:rsid w:val="0063693C"/>
    <w:rsid w:val="00636A38"/>
    <w:rsid w:val="00636C78"/>
    <w:rsid w:val="00636D24"/>
    <w:rsid w:val="00636DE5"/>
    <w:rsid w:val="00636FBD"/>
    <w:rsid w:val="0063700F"/>
    <w:rsid w:val="006372DA"/>
    <w:rsid w:val="00637442"/>
    <w:rsid w:val="00637929"/>
    <w:rsid w:val="00637AB5"/>
    <w:rsid w:val="00637B6D"/>
    <w:rsid w:val="00637BFD"/>
    <w:rsid w:val="00637C5C"/>
    <w:rsid w:val="00637D57"/>
    <w:rsid w:val="00637D6E"/>
    <w:rsid w:val="00637ECA"/>
    <w:rsid w:val="00637EE1"/>
    <w:rsid w:val="00637FD7"/>
    <w:rsid w:val="006400C9"/>
    <w:rsid w:val="0064019D"/>
    <w:rsid w:val="00640290"/>
    <w:rsid w:val="00640311"/>
    <w:rsid w:val="0064036D"/>
    <w:rsid w:val="00640449"/>
    <w:rsid w:val="006407F7"/>
    <w:rsid w:val="0064085B"/>
    <w:rsid w:val="00640895"/>
    <w:rsid w:val="00640982"/>
    <w:rsid w:val="00640CA3"/>
    <w:rsid w:val="00640DDE"/>
    <w:rsid w:val="00641165"/>
    <w:rsid w:val="0064116A"/>
    <w:rsid w:val="006411C0"/>
    <w:rsid w:val="0064126B"/>
    <w:rsid w:val="006412B2"/>
    <w:rsid w:val="00641417"/>
    <w:rsid w:val="006417F7"/>
    <w:rsid w:val="0064191A"/>
    <w:rsid w:val="0064193E"/>
    <w:rsid w:val="006419B5"/>
    <w:rsid w:val="00641A48"/>
    <w:rsid w:val="00641AD2"/>
    <w:rsid w:val="00641B52"/>
    <w:rsid w:val="00641C4E"/>
    <w:rsid w:val="00641CB6"/>
    <w:rsid w:val="00641D54"/>
    <w:rsid w:val="00641FB3"/>
    <w:rsid w:val="0064222C"/>
    <w:rsid w:val="00642588"/>
    <w:rsid w:val="006425CB"/>
    <w:rsid w:val="0064288A"/>
    <w:rsid w:val="00642ABD"/>
    <w:rsid w:val="00642E0F"/>
    <w:rsid w:val="00642FF3"/>
    <w:rsid w:val="00643000"/>
    <w:rsid w:val="00643277"/>
    <w:rsid w:val="00643387"/>
    <w:rsid w:val="0064356D"/>
    <w:rsid w:val="00643635"/>
    <w:rsid w:val="00643773"/>
    <w:rsid w:val="00643827"/>
    <w:rsid w:val="0064393D"/>
    <w:rsid w:val="00643A6F"/>
    <w:rsid w:val="00643CC4"/>
    <w:rsid w:val="00643DD9"/>
    <w:rsid w:val="00644125"/>
    <w:rsid w:val="0064413E"/>
    <w:rsid w:val="006442C8"/>
    <w:rsid w:val="0064434C"/>
    <w:rsid w:val="00644361"/>
    <w:rsid w:val="00644519"/>
    <w:rsid w:val="00644550"/>
    <w:rsid w:val="006447B6"/>
    <w:rsid w:val="00644942"/>
    <w:rsid w:val="00644BC1"/>
    <w:rsid w:val="00644CF4"/>
    <w:rsid w:val="00644D31"/>
    <w:rsid w:val="00644D34"/>
    <w:rsid w:val="00644D42"/>
    <w:rsid w:val="00644DAC"/>
    <w:rsid w:val="00645019"/>
    <w:rsid w:val="00645235"/>
    <w:rsid w:val="00645284"/>
    <w:rsid w:val="0064540D"/>
    <w:rsid w:val="00645495"/>
    <w:rsid w:val="00645552"/>
    <w:rsid w:val="006456C4"/>
    <w:rsid w:val="0064576A"/>
    <w:rsid w:val="00645962"/>
    <w:rsid w:val="00645AEC"/>
    <w:rsid w:val="00645D1E"/>
    <w:rsid w:val="00645E75"/>
    <w:rsid w:val="00645F7F"/>
    <w:rsid w:val="00646010"/>
    <w:rsid w:val="006462E3"/>
    <w:rsid w:val="006463DD"/>
    <w:rsid w:val="00646412"/>
    <w:rsid w:val="00646573"/>
    <w:rsid w:val="00646769"/>
    <w:rsid w:val="006467ED"/>
    <w:rsid w:val="00646ABD"/>
    <w:rsid w:val="00646AFF"/>
    <w:rsid w:val="00646B9E"/>
    <w:rsid w:val="00646BAA"/>
    <w:rsid w:val="00647123"/>
    <w:rsid w:val="00647176"/>
    <w:rsid w:val="00647186"/>
    <w:rsid w:val="006471CC"/>
    <w:rsid w:val="00647284"/>
    <w:rsid w:val="006472FE"/>
    <w:rsid w:val="006473C2"/>
    <w:rsid w:val="0064757E"/>
    <w:rsid w:val="00647614"/>
    <w:rsid w:val="006478D4"/>
    <w:rsid w:val="00647910"/>
    <w:rsid w:val="00647A29"/>
    <w:rsid w:val="00647AC6"/>
    <w:rsid w:val="00647AF8"/>
    <w:rsid w:val="00647B9F"/>
    <w:rsid w:val="00647CF0"/>
    <w:rsid w:val="00647E93"/>
    <w:rsid w:val="00647F19"/>
    <w:rsid w:val="00647F66"/>
    <w:rsid w:val="00647F71"/>
    <w:rsid w:val="00650109"/>
    <w:rsid w:val="00650114"/>
    <w:rsid w:val="00650198"/>
    <w:rsid w:val="00650482"/>
    <w:rsid w:val="00650488"/>
    <w:rsid w:val="006504DB"/>
    <w:rsid w:val="0065079F"/>
    <w:rsid w:val="00650AF9"/>
    <w:rsid w:val="00650BBE"/>
    <w:rsid w:val="00650C25"/>
    <w:rsid w:val="00650FCA"/>
    <w:rsid w:val="00650FE2"/>
    <w:rsid w:val="006510A6"/>
    <w:rsid w:val="00651203"/>
    <w:rsid w:val="00651250"/>
    <w:rsid w:val="00651285"/>
    <w:rsid w:val="0065138B"/>
    <w:rsid w:val="006513FD"/>
    <w:rsid w:val="00651711"/>
    <w:rsid w:val="00651804"/>
    <w:rsid w:val="00651825"/>
    <w:rsid w:val="00651836"/>
    <w:rsid w:val="006518ED"/>
    <w:rsid w:val="006519FA"/>
    <w:rsid w:val="0065205C"/>
    <w:rsid w:val="006520C2"/>
    <w:rsid w:val="006522C2"/>
    <w:rsid w:val="006522F1"/>
    <w:rsid w:val="006524AB"/>
    <w:rsid w:val="0065251C"/>
    <w:rsid w:val="00652551"/>
    <w:rsid w:val="006525E9"/>
    <w:rsid w:val="00652633"/>
    <w:rsid w:val="00652662"/>
    <w:rsid w:val="00652716"/>
    <w:rsid w:val="00652738"/>
    <w:rsid w:val="0065277B"/>
    <w:rsid w:val="006528D6"/>
    <w:rsid w:val="00652975"/>
    <w:rsid w:val="00652A28"/>
    <w:rsid w:val="00652B68"/>
    <w:rsid w:val="00652D1E"/>
    <w:rsid w:val="00652D7D"/>
    <w:rsid w:val="00653220"/>
    <w:rsid w:val="006532C9"/>
    <w:rsid w:val="006535C3"/>
    <w:rsid w:val="006535CF"/>
    <w:rsid w:val="00653712"/>
    <w:rsid w:val="0065379F"/>
    <w:rsid w:val="00653BB2"/>
    <w:rsid w:val="00653DC3"/>
    <w:rsid w:val="00653FC1"/>
    <w:rsid w:val="00654031"/>
    <w:rsid w:val="00654270"/>
    <w:rsid w:val="00654393"/>
    <w:rsid w:val="0065458B"/>
    <w:rsid w:val="00654619"/>
    <w:rsid w:val="006547FB"/>
    <w:rsid w:val="00654A90"/>
    <w:rsid w:val="00654AC8"/>
    <w:rsid w:val="00654CAE"/>
    <w:rsid w:val="00655051"/>
    <w:rsid w:val="00655134"/>
    <w:rsid w:val="00655266"/>
    <w:rsid w:val="00655383"/>
    <w:rsid w:val="00655858"/>
    <w:rsid w:val="006558B4"/>
    <w:rsid w:val="0065592D"/>
    <w:rsid w:val="00655935"/>
    <w:rsid w:val="00655A48"/>
    <w:rsid w:val="00655B01"/>
    <w:rsid w:val="00655B02"/>
    <w:rsid w:val="00655B3C"/>
    <w:rsid w:val="00655D3B"/>
    <w:rsid w:val="00655E7C"/>
    <w:rsid w:val="00655F70"/>
    <w:rsid w:val="00656022"/>
    <w:rsid w:val="00656075"/>
    <w:rsid w:val="00656188"/>
    <w:rsid w:val="006562FB"/>
    <w:rsid w:val="00656318"/>
    <w:rsid w:val="006564B6"/>
    <w:rsid w:val="00656767"/>
    <w:rsid w:val="006567FB"/>
    <w:rsid w:val="00656880"/>
    <w:rsid w:val="006568DC"/>
    <w:rsid w:val="00656949"/>
    <w:rsid w:val="006569A1"/>
    <w:rsid w:val="006569E1"/>
    <w:rsid w:val="00656A14"/>
    <w:rsid w:val="00656AD9"/>
    <w:rsid w:val="00656C91"/>
    <w:rsid w:val="00656CDF"/>
    <w:rsid w:val="00656D3D"/>
    <w:rsid w:val="00656E15"/>
    <w:rsid w:val="00656F2D"/>
    <w:rsid w:val="00657009"/>
    <w:rsid w:val="006570CF"/>
    <w:rsid w:val="0065715A"/>
    <w:rsid w:val="006572D0"/>
    <w:rsid w:val="006573DA"/>
    <w:rsid w:val="00657403"/>
    <w:rsid w:val="00657410"/>
    <w:rsid w:val="006575D4"/>
    <w:rsid w:val="00657759"/>
    <w:rsid w:val="006578A3"/>
    <w:rsid w:val="006578E6"/>
    <w:rsid w:val="006579B3"/>
    <w:rsid w:val="00657AA9"/>
    <w:rsid w:val="00657BE9"/>
    <w:rsid w:val="00657C3A"/>
    <w:rsid w:val="00657EB2"/>
    <w:rsid w:val="00657FA3"/>
    <w:rsid w:val="00660086"/>
    <w:rsid w:val="0066026E"/>
    <w:rsid w:val="006605D5"/>
    <w:rsid w:val="00660960"/>
    <w:rsid w:val="00660AA2"/>
    <w:rsid w:val="00660DB7"/>
    <w:rsid w:val="00660F5C"/>
    <w:rsid w:val="00661051"/>
    <w:rsid w:val="006610F1"/>
    <w:rsid w:val="00661226"/>
    <w:rsid w:val="006613A5"/>
    <w:rsid w:val="006614C9"/>
    <w:rsid w:val="00661689"/>
    <w:rsid w:val="00661786"/>
    <w:rsid w:val="00661A6A"/>
    <w:rsid w:val="00661C23"/>
    <w:rsid w:val="00661C62"/>
    <w:rsid w:val="00661C6B"/>
    <w:rsid w:val="00661CC4"/>
    <w:rsid w:val="00661D05"/>
    <w:rsid w:val="00661F8D"/>
    <w:rsid w:val="00662115"/>
    <w:rsid w:val="0066217B"/>
    <w:rsid w:val="006622D5"/>
    <w:rsid w:val="00662389"/>
    <w:rsid w:val="006624D6"/>
    <w:rsid w:val="00662526"/>
    <w:rsid w:val="006629F9"/>
    <w:rsid w:val="00662B02"/>
    <w:rsid w:val="00662B2D"/>
    <w:rsid w:val="00662B3D"/>
    <w:rsid w:val="00662B91"/>
    <w:rsid w:val="00662BDE"/>
    <w:rsid w:val="00662D3E"/>
    <w:rsid w:val="00662E4C"/>
    <w:rsid w:val="00663045"/>
    <w:rsid w:val="00663062"/>
    <w:rsid w:val="006630D2"/>
    <w:rsid w:val="006633E7"/>
    <w:rsid w:val="00663477"/>
    <w:rsid w:val="00663612"/>
    <w:rsid w:val="00663644"/>
    <w:rsid w:val="006637BF"/>
    <w:rsid w:val="00663852"/>
    <w:rsid w:val="006638F4"/>
    <w:rsid w:val="0066393E"/>
    <w:rsid w:val="00663DEA"/>
    <w:rsid w:val="00664308"/>
    <w:rsid w:val="0066430D"/>
    <w:rsid w:val="0066431D"/>
    <w:rsid w:val="00664499"/>
    <w:rsid w:val="006644E5"/>
    <w:rsid w:val="0066451E"/>
    <w:rsid w:val="006645F2"/>
    <w:rsid w:val="006645FE"/>
    <w:rsid w:val="0066460A"/>
    <w:rsid w:val="0066460D"/>
    <w:rsid w:val="00664614"/>
    <w:rsid w:val="00664879"/>
    <w:rsid w:val="006649F6"/>
    <w:rsid w:val="00664AB1"/>
    <w:rsid w:val="00664ADC"/>
    <w:rsid w:val="00664B36"/>
    <w:rsid w:val="00664C6E"/>
    <w:rsid w:val="00665251"/>
    <w:rsid w:val="006653C1"/>
    <w:rsid w:val="00665418"/>
    <w:rsid w:val="0066547F"/>
    <w:rsid w:val="006654C1"/>
    <w:rsid w:val="00665547"/>
    <w:rsid w:val="0066575B"/>
    <w:rsid w:val="006657C1"/>
    <w:rsid w:val="00665833"/>
    <w:rsid w:val="00665D4A"/>
    <w:rsid w:val="00665E20"/>
    <w:rsid w:val="00665E6A"/>
    <w:rsid w:val="00665FC9"/>
    <w:rsid w:val="006661C8"/>
    <w:rsid w:val="00666392"/>
    <w:rsid w:val="00666454"/>
    <w:rsid w:val="00666544"/>
    <w:rsid w:val="00666815"/>
    <w:rsid w:val="00666863"/>
    <w:rsid w:val="006669FD"/>
    <w:rsid w:val="00666AE7"/>
    <w:rsid w:val="00666C81"/>
    <w:rsid w:val="00666DF7"/>
    <w:rsid w:val="00666E9E"/>
    <w:rsid w:val="00666EAB"/>
    <w:rsid w:val="00666F63"/>
    <w:rsid w:val="006671AE"/>
    <w:rsid w:val="006671D3"/>
    <w:rsid w:val="006672F3"/>
    <w:rsid w:val="00667422"/>
    <w:rsid w:val="00667447"/>
    <w:rsid w:val="006674E1"/>
    <w:rsid w:val="00667739"/>
    <w:rsid w:val="00667753"/>
    <w:rsid w:val="006678C2"/>
    <w:rsid w:val="00667A89"/>
    <w:rsid w:val="00667B49"/>
    <w:rsid w:val="00667BE3"/>
    <w:rsid w:val="00667D73"/>
    <w:rsid w:val="00667E66"/>
    <w:rsid w:val="006706BB"/>
    <w:rsid w:val="006706D6"/>
    <w:rsid w:val="006708CD"/>
    <w:rsid w:val="0067090E"/>
    <w:rsid w:val="00670A35"/>
    <w:rsid w:val="00670A67"/>
    <w:rsid w:val="00670ACF"/>
    <w:rsid w:val="00670BC1"/>
    <w:rsid w:val="00670CDD"/>
    <w:rsid w:val="00670D2F"/>
    <w:rsid w:val="00670D7E"/>
    <w:rsid w:val="00670F75"/>
    <w:rsid w:val="00671004"/>
    <w:rsid w:val="006712AD"/>
    <w:rsid w:val="006713B6"/>
    <w:rsid w:val="00671443"/>
    <w:rsid w:val="006715C7"/>
    <w:rsid w:val="0067175E"/>
    <w:rsid w:val="0067184D"/>
    <w:rsid w:val="0067198A"/>
    <w:rsid w:val="00671A8B"/>
    <w:rsid w:val="00671EAD"/>
    <w:rsid w:val="006721A4"/>
    <w:rsid w:val="00672646"/>
    <w:rsid w:val="0067271C"/>
    <w:rsid w:val="00672885"/>
    <w:rsid w:val="00672A6B"/>
    <w:rsid w:val="00672C9F"/>
    <w:rsid w:val="00672CB4"/>
    <w:rsid w:val="00672EA3"/>
    <w:rsid w:val="00672F93"/>
    <w:rsid w:val="006730DD"/>
    <w:rsid w:val="006731EA"/>
    <w:rsid w:val="0067332C"/>
    <w:rsid w:val="0067337A"/>
    <w:rsid w:val="006733A1"/>
    <w:rsid w:val="00673541"/>
    <w:rsid w:val="00673648"/>
    <w:rsid w:val="0067367E"/>
    <w:rsid w:val="006736F7"/>
    <w:rsid w:val="006738B9"/>
    <w:rsid w:val="006738C2"/>
    <w:rsid w:val="00673A2E"/>
    <w:rsid w:val="00673ABD"/>
    <w:rsid w:val="00673B17"/>
    <w:rsid w:val="00673BD7"/>
    <w:rsid w:val="00673E40"/>
    <w:rsid w:val="00673F1E"/>
    <w:rsid w:val="00673FA0"/>
    <w:rsid w:val="006740EA"/>
    <w:rsid w:val="00674131"/>
    <w:rsid w:val="0067424E"/>
    <w:rsid w:val="006742B3"/>
    <w:rsid w:val="006742D2"/>
    <w:rsid w:val="006742F0"/>
    <w:rsid w:val="00674302"/>
    <w:rsid w:val="006745DB"/>
    <w:rsid w:val="00674807"/>
    <w:rsid w:val="0067488F"/>
    <w:rsid w:val="0067492A"/>
    <w:rsid w:val="00674959"/>
    <w:rsid w:val="006749F1"/>
    <w:rsid w:val="00674B4E"/>
    <w:rsid w:val="00674CE4"/>
    <w:rsid w:val="00674D81"/>
    <w:rsid w:val="00674E42"/>
    <w:rsid w:val="00674EC3"/>
    <w:rsid w:val="00674FEB"/>
    <w:rsid w:val="00675119"/>
    <w:rsid w:val="0067513E"/>
    <w:rsid w:val="006751C9"/>
    <w:rsid w:val="006756CB"/>
    <w:rsid w:val="00675778"/>
    <w:rsid w:val="006759F3"/>
    <w:rsid w:val="00675CEF"/>
    <w:rsid w:val="00675FE1"/>
    <w:rsid w:val="00676050"/>
    <w:rsid w:val="00676088"/>
    <w:rsid w:val="006760B7"/>
    <w:rsid w:val="006763A2"/>
    <w:rsid w:val="0067642F"/>
    <w:rsid w:val="00676563"/>
    <w:rsid w:val="006765A3"/>
    <w:rsid w:val="0067670A"/>
    <w:rsid w:val="0067680D"/>
    <w:rsid w:val="0067692D"/>
    <w:rsid w:val="00676A1E"/>
    <w:rsid w:val="00676B5A"/>
    <w:rsid w:val="00676B8A"/>
    <w:rsid w:val="0067712B"/>
    <w:rsid w:val="006771B2"/>
    <w:rsid w:val="006771D6"/>
    <w:rsid w:val="006772AD"/>
    <w:rsid w:val="0067740B"/>
    <w:rsid w:val="006774A3"/>
    <w:rsid w:val="006776D4"/>
    <w:rsid w:val="00677785"/>
    <w:rsid w:val="006777CB"/>
    <w:rsid w:val="00677874"/>
    <w:rsid w:val="00677AEC"/>
    <w:rsid w:val="00677B1E"/>
    <w:rsid w:val="00677CF6"/>
    <w:rsid w:val="00677FE7"/>
    <w:rsid w:val="006800AD"/>
    <w:rsid w:val="00680157"/>
    <w:rsid w:val="00680166"/>
    <w:rsid w:val="006801C3"/>
    <w:rsid w:val="006801EA"/>
    <w:rsid w:val="006802CE"/>
    <w:rsid w:val="006802DB"/>
    <w:rsid w:val="006802E8"/>
    <w:rsid w:val="00680330"/>
    <w:rsid w:val="006804B9"/>
    <w:rsid w:val="0068056B"/>
    <w:rsid w:val="00680687"/>
    <w:rsid w:val="006807AD"/>
    <w:rsid w:val="00680813"/>
    <w:rsid w:val="00680815"/>
    <w:rsid w:val="00680855"/>
    <w:rsid w:val="0068088C"/>
    <w:rsid w:val="00680B34"/>
    <w:rsid w:val="00680CC2"/>
    <w:rsid w:val="00680E83"/>
    <w:rsid w:val="00680F25"/>
    <w:rsid w:val="00680F34"/>
    <w:rsid w:val="0068115A"/>
    <w:rsid w:val="0068120F"/>
    <w:rsid w:val="006813F8"/>
    <w:rsid w:val="0068141E"/>
    <w:rsid w:val="00681764"/>
    <w:rsid w:val="006818FB"/>
    <w:rsid w:val="00681B22"/>
    <w:rsid w:val="00681C50"/>
    <w:rsid w:val="00681C74"/>
    <w:rsid w:val="00681C96"/>
    <w:rsid w:val="00681CE5"/>
    <w:rsid w:val="00681DB4"/>
    <w:rsid w:val="00682092"/>
    <w:rsid w:val="00682112"/>
    <w:rsid w:val="00682360"/>
    <w:rsid w:val="00682389"/>
    <w:rsid w:val="006824A0"/>
    <w:rsid w:val="006828B6"/>
    <w:rsid w:val="00682B3E"/>
    <w:rsid w:val="00682B48"/>
    <w:rsid w:val="00682BA6"/>
    <w:rsid w:val="00682E2E"/>
    <w:rsid w:val="00682EE8"/>
    <w:rsid w:val="00683214"/>
    <w:rsid w:val="0068326C"/>
    <w:rsid w:val="006832AD"/>
    <w:rsid w:val="006834D6"/>
    <w:rsid w:val="00683627"/>
    <w:rsid w:val="006837B8"/>
    <w:rsid w:val="0068380F"/>
    <w:rsid w:val="006838E5"/>
    <w:rsid w:val="006839F8"/>
    <w:rsid w:val="00683A3B"/>
    <w:rsid w:val="00683A56"/>
    <w:rsid w:val="00683BCB"/>
    <w:rsid w:val="00683DAF"/>
    <w:rsid w:val="00683F3B"/>
    <w:rsid w:val="00683FA9"/>
    <w:rsid w:val="00683FC3"/>
    <w:rsid w:val="00684103"/>
    <w:rsid w:val="00684182"/>
    <w:rsid w:val="0068451F"/>
    <w:rsid w:val="0068486B"/>
    <w:rsid w:val="00684877"/>
    <w:rsid w:val="00684904"/>
    <w:rsid w:val="006849B2"/>
    <w:rsid w:val="00684A29"/>
    <w:rsid w:val="00684C4A"/>
    <w:rsid w:val="00684F5A"/>
    <w:rsid w:val="00684FDA"/>
    <w:rsid w:val="0068515C"/>
    <w:rsid w:val="0068532E"/>
    <w:rsid w:val="0068575B"/>
    <w:rsid w:val="006857CF"/>
    <w:rsid w:val="006857F0"/>
    <w:rsid w:val="0068594D"/>
    <w:rsid w:val="00685BA0"/>
    <w:rsid w:val="00685DBE"/>
    <w:rsid w:val="00685FC0"/>
    <w:rsid w:val="00685FED"/>
    <w:rsid w:val="0068616B"/>
    <w:rsid w:val="0068617D"/>
    <w:rsid w:val="006861AB"/>
    <w:rsid w:val="00686264"/>
    <w:rsid w:val="0068651A"/>
    <w:rsid w:val="00686957"/>
    <w:rsid w:val="00686A27"/>
    <w:rsid w:val="00686A37"/>
    <w:rsid w:val="00686BC3"/>
    <w:rsid w:val="00686C8A"/>
    <w:rsid w:val="00686CC3"/>
    <w:rsid w:val="00686E80"/>
    <w:rsid w:val="006871ED"/>
    <w:rsid w:val="006872BA"/>
    <w:rsid w:val="006874D0"/>
    <w:rsid w:val="0068770C"/>
    <w:rsid w:val="00687B40"/>
    <w:rsid w:val="00687B9C"/>
    <w:rsid w:val="00687CBF"/>
    <w:rsid w:val="00687DA0"/>
    <w:rsid w:val="00690023"/>
    <w:rsid w:val="006900FA"/>
    <w:rsid w:val="006902E6"/>
    <w:rsid w:val="00690432"/>
    <w:rsid w:val="006904C5"/>
    <w:rsid w:val="00690509"/>
    <w:rsid w:val="0069058C"/>
    <w:rsid w:val="00690624"/>
    <w:rsid w:val="0069068C"/>
    <w:rsid w:val="0069072C"/>
    <w:rsid w:val="0069073E"/>
    <w:rsid w:val="00690795"/>
    <w:rsid w:val="006908CD"/>
    <w:rsid w:val="00690B48"/>
    <w:rsid w:val="00690C1B"/>
    <w:rsid w:val="00690D2D"/>
    <w:rsid w:val="00690EC4"/>
    <w:rsid w:val="00690F4B"/>
    <w:rsid w:val="006910F6"/>
    <w:rsid w:val="0069137E"/>
    <w:rsid w:val="00691648"/>
    <w:rsid w:val="006917D7"/>
    <w:rsid w:val="006919A8"/>
    <w:rsid w:val="00691A15"/>
    <w:rsid w:val="00691D11"/>
    <w:rsid w:val="00691D7B"/>
    <w:rsid w:val="00691DA7"/>
    <w:rsid w:val="006925C7"/>
    <w:rsid w:val="00692719"/>
    <w:rsid w:val="006927F7"/>
    <w:rsid w:val="0069282D"/>
    <w:rsid w:val="006929D3"/>
    <w:rsid w:val="00692A52"/>
    <w:rsid w:val="00692A72"/>
    <w:rsid w:val="00692E94"/>
    <w:rsid w:val="00693359"/>
    <w:rsid w:val="00693379"/>
    <w:rsid w:val="0069351F"/>
    <w:rsid w:val="00693620"/>
    <w:rsid w:val="00693661"/>
    <w:rsid w:val="0069374A"/>
    <w:rsid w:val="006937A8"/>
    <w:rsid w:val="00693DAD"/>
    <w:rsid w:val="00693F9D"/>
    <w:rsid w:val="00693FB1"/>
    <w:rsid w:val="0069409B"/>
    <w:rsid w:val="006940B3"/>
    <w:rsid w:val="0069434C"/>
    <w:rsid w:val="006943E1"/>
    <w:rsid w:val="006943EE"/>
    <w:rsid w:val="006945B5"/>
    <w:rsid w:val="006947C2"/>
    <w:rsid w:val="00694DC1"/>
    <w:rsid w:val="00694E61"/>
    <w:rsid w:val="00694EDA"/>
    <w:rsid w:val="00694F44"/>
    <w:rsid w:val="00694FCA"/>
    <w:rsid w:val="00695203"/>
    <w:rsid w:val="0069524E"/>
    <w:rsid w:val="006953CD"/>
    <w:rsid w:val="006953DB"/>
    <w:rsid w:val="00695487"/>
    <w:rsid w:val="006954AA"/>
    <w:rsid w:val="006954DE"/>
    <w:rsid w:val="00695669"/>
    <w:rsid w:val="006956F1"/>
    <w:rsid w:val="006956F5"/>
    <w:rsid w:val="006957CE"/>
    <w:rsid w:val="006959E3"/>
    <w:rsid w:val="00695FC9"/>
    <w:rsid w:val="0069627A"/>
    <w:rsid w:val="00696455"/>
    <w:rsid w:val="00696AEB"/>
    <w:rsid w:val="00696BFD"/>
    <w:rsid w:val="00696C16"/>
    <w:rsid w:val="00696C2B"/>
    <w:rsid w:val="00696C6E"/>
    <w:rsid w:val="00696CD0"/>
    <w:rsid w:val="00696D2A"/>
    <w:rsid w:val="00696EF5"/>
    <w:rsid w:val="00696EF9"/>
    <w:rsid w:val="00696F51"/>
    <w:rsid w:val="00696F59"/>
    <w:rsid w:val="0069715F"/>
    <w:rsid w:val="00697360"/>
    <w:rsid w:val="0069739F"/>
    <w:rsid w:val="00697620"/>
    <w:rsid w:val="0069784F"/>
    <w:rsid w:val="006979A5"/>
    <w:rsid w:val="006979C2"/>
    <w:rsid w:val="00697ED4"/>
    <w:rsid w:val="006A006A"/>
    <w:rsid w:val="006A016F"/>
    <w:rsid w:val="006A0197"/>
    <w:rsid w:val="006A01C7"/>
    <w:rsid w:val="006A02E9"/>
    <w:rsid w:val="006A04CA"/>
    <w:rsid w:val="006A04EB"/>
    <w:rsid w:val="006A052D"/>
    <w:rsid w:val="006A08F3"/>
    <w:rsid w:val="006A0A51"/>
    <w:rsid w:val="006A0CD7"/>
    <w:rsid w:val="006A0D2F"/>
    <w:rsid w:val="006A0DF7"/>
    <w:rsid w:val="006A0E48"/>
    <w:rsid w:val="006A105C"/>
    <w:rsid w:val="006A15EF"/>
    <w:rsid w:val="006A16CE"/>
    <w:rsid w:val="006A16D3"/>
    <w:rsid w:val="006A1798"/>
    <w:rsid w:val="006A17B9"/>
    <w:rsid w:val="006A1A93"/>
    <w:rsid w:val="006A1AFC"/>
    <w:rsid w:val="006A1BAE"/>
    <w:rsid w:val="006A1D03"/>
    <w:rsid w:val="006A1E6B"/>
    <w:rsid w:val="006A1EDA"/>
    <w:rsid w:val="006A1FDB"/>
    <w:rsid w:val="006A1FF3"/>
    <w:rsid w:val="006A209B"/>
    <w:rsid w:val="006A2100"/>
    <w:rsid w:val="006A22C1"/>
    <w:rsid w:val="006A2384"/>
    <w:rsid w:val="006A23A6"/>
    <w:rsid w:val="006A261E"/>
    <w:rsid w:val="006A26F5"/>
    <w:rsid w:val="006A27AB"/>
    <w:rsid w:val="006A28D8"/>
    <w:rsid w:val="006A2A23"/>
    <w:rsid w:val="006A2A53"/>
    <w:rsid w:val="006A2E71"/>
    <w:rsid w:val="006A2F9F"/>
    <w:rsid w:val="006A31B8"/>
    <w:rsid w:val="006A32EC"/>
    <w:rsid w:val="006A3586"/>
    <w:rsid w:val="006A35B4"/>
    <w:rsid w:val="006A35ED"/>
    <w:rsid w:val="006A3793"/>
    <w:rsid w:val="006A379B"/>
    <w:rsid w:val="006A37A8"/>
    <w:rsid w:val="006A38AA"/>
    <w:rsid w:val="006A3A57"/>
    <w:rsid w:val="006A3B56"/>
    <w:rsid w:val="006A3C80"/>
    <w:rsid w:val="006A3F02"/>
    <w:rsid w:val="006A4060"/>
    <w:rsid w:val="006A4080"/>
    <w:rsid w:val="006A41B9"/>
    <w:rsid w:val="006A4321"/>
    <w:rsid w:val="006A43D9"/>
    <w:rsid w:val="006A4429"/>
    <w:rsid w:val="006A4558"/>
    <w:rsid w:val="006A4731"/>
    <w:rsid w:val="006A4739"/>
    <w:rsid w:val="006A4848"/>
    <w:rsid w:val="006A4A4E"/>
    <w:rsid w:val="006A4AF0"/>
    <w:rsid w:val="006A4B56"/>
    <w:rsid w:val="006A4BA8"/>
    <w:rsid w:val="006A4C4F"/>
    <w:rsid w:val="006A4CE8"/>
    <w:rsid w:val="006A4F5F"/>
    <w:rsid w:val="006A4FF1"/>
    <w:rsid w:val="006A50E0"/>
    <w:rsid w:val="006A54B0"/>
    <w:rsid w:val="006A5A5E"/>
    <w:rsid w:val="006A5BFD"/>
    <w:rsid w:val="006A5C60"/>
    <w:rsid w:val="006A5D91"/>
    <w:rsid w:val="006A5DB7"/>
    <w:rsid w:val="006A5EC7"/>
    <w:rsid w:val="006A5F63"/>
    <w:rsid w:val="006A60DF"/>
    <w:rsid w:val="006A62B4"/>
    <w:rsid w:val="006A62D3"/>
    <w:rsid w:val="006A6595"/>
    <w:rsid w:val="006A6650"/>
    <w:rsid w:val="006A6863"/>
    <w:rsid w:val="006A68E2"/>
    <w:rsid w:val="006A692F"/>
    <w:rsid w:val="006A699B"/>
    <w:rsid w:val="006A6A28"/>
    <w:rsid w:val="006A6A8F"/>
    <w:rsid w:val="006A6AE7"/>
    <w:rsid w:val="006A6AF3"/>
    <w:rsid w:val="006A6B99"/>
    <w:rsid w:val="006A6D0A"/>
    <w:rsid w:val="006A6D30"/>
    <w:rsid w:val="006A6EC7"/>
    <w:rsid w:val="006A6EE4"/>
    <w:rsid w:val="006A70A8"/>
    <w:rsid w:val="006A7128"/>
    <w:rsid w:val="006A7227"/>
    <w:rsid w:val="006A734B"/>
    <w:rsid w:val="006A7357"/>
    <w:rsid w:val="006A7379"/>
    <w:rsid w:val="006A7426"/>
    <w:rsid w:val="006A74ED"/>
    <w:rsid w:val="006A7B4A"/>
    <w:rsid w:val="006A7E5F"/>
    <w:rsid w:val="006A7E9C"/>
    <w:rsid w:val="006A7F59"/>
    <w:rsid w:val="006B0154"/>
    <w:rsid w:val="006B025B"/>
    <w:rsid w:val="006B0373"/>
    <w:rsid w:val="006B03A7"/>
    <w:rsid w:val="006B041C"/>
    <w:rsid w:val="006B0533"/>
    <w:rsid w:val="006B0829"/>
    <w:rsid w:val="006B0848"/>
    <w:rsid w:val="006B0962"/>
    <w:rsid w:val="006B0A2D"/>
    <w:rsid w:val="006B0AE8"/>
    <w:rsid w:val="006B0D3E"/>
    <w:rsid w:val="006B0F02"/>
    <w:rsid w:val="006B1035"/>
    <w:rsid w:val="006B108B"/>
    <w:rsid w:val="006B111A"/>
    <w:rsid w:val="006B12D4"/>
    <w:rsid w:val="006B139C"/>
    <w:rsid w:val="006B17F8"/>
    <w:rsid w:val="006B1892"/>
    <w:rsid w:val="006B1A47"/>
    <w:rsid w:val="006B1AAA"/>
    <w:rsid w:val="006B1BD2"/>
    <w:rsid w:val="006B1BFE"/>
    <w:rsid w:val="006B1D4F"/>
    <w:rsid w:val="006B1DDD"/>
    <w:rsid w:val="006B1E3D"/>
    <w:rsid w:val="006B2090"/>
    <w:rsid w:val="006B20B8"/>
    <w:rsid w:val="006B212E"/>
    <w:rsid w:val="006B2304"/>
    <w:rsid w:val="006B2469"/>
    <w:rsid w:val="006B25DD"/>
    <w:rsid w:val="006B2600"/>
    <w:rsid w:val="006B261B"/>
    <w:rsid w:val="006B2A36"/>
    <w:rsid w:val="006B2C90"/>
    <w:rsid w:val="006B2E36"/>
    <w:rsid w:val="006B2EC8"/>
    <w:rsid w:val="006B2F34"/>
    <w:rsid w:val="006B303B"/>
    <w:rsid w:val="006B333D"/>
    <w:rsid w:val="006B3373"/>
    <w:rsid w:val="006B33DC"/>
    <w:rsid w:val="006B3481"/>
    <w:rsid w:val="006B35E6"/>
    <w:rsid w:val="006B3782"/>
    <w:rsid w:val="006B38E4"/>
    <w:rsid w:val="006B39BB"/>
    <w:rsid w:val="006B3C1C"/>
    <w:rsid w:val="006B3C5A"/>
    <w:rsid w:val="006B3DA5"/>
    <w:rsid w:val="006B3F60"/>
    <w:rsid w:val="006B411F"/>
    <w:rsid w:val="006B41F9"/>
    <w:rsid w:val="006B4458"/>
    <w:rsid w:val="006B4566"/>
    <w:rsid w:val="006B4569"/>
    <w:rsid w:val="006B465A"/>
    <w:rsid w:val="006B48C8"/>
    <w:rsid w:val="006B4A20"/>
    <w:rsid w:val="006B4CB0"/>
    <w:rsid w:val="006B4D98"/>
    <w:rsid w:val="006B4DF3"/>
    <w:rsid w:val="006B4F1C"/>
    <w:rsid w:val="006B51BE"/>
    <w:rsid w:val="006B5353"/>
    <w:rsid w:val="006B53E1"/>
    <w:rsid w:val="006B55A1"/>
    <w:rsid w:val="006B589C"/>
    <w:rsid w:val="006B5BF9"/>
    <w:rsid w:val="006B5F63"/>
    <w:rsid w:val="006B5F68"/>
    <w:rsid w:val="006B5F85"/>
    <w:rsid w:val="006B60E0"/>
    <w:rsid w:val="006B6134"/>
    <w:rsid w:val="006B61E3"/>
    <w:rsid w:val="006B6743"/>
    <w:rsid w:val="006B6829"/>
    <w:rsid w:val="006B68BC"/>
    <w:rsid w:val="006B68C4"/>
    <w:rsid w:val="006B69DE"/>
    <w:rsid w:val="006B6AB2"/>
    <w:rsid w:val="006B6D76"/>
    <w:rsid w:val="006B6DD0"/>
    <w:rsid w:val="006B71F4"/>
    <w:rsid w:val="006B71F9"/>
    <w:rsid w:val="006B72EA"/>
    <w:rsid w:val="006B76B8"/>
    <w:rsid w:val="006B779F"/>
    <w:rsid w:val="006B7810"/>
    <w:rsid w:val="006B7893"/>
    <w:rsid w:val="006B7993"/>
    <w:rsid w:val="006B7A2B"/>
    <w:rsid w:val="006B7ABA"/>
    <w:rsid w:val="006B7B10"/>
    <w:rsid w:val="006B7CF4"/>
    <w:rsid w:val="006B7DE1"/>
    <w:rsid w:val="006B7DFC"/>
    <w:rsid w:val="006C0399"/>
    <w:rsid w:val="006C052F"/>
    <w:rsid w:val="006C0835"/>
    <w:rsid w:val="006C08BC"/>
    <w:rsid w:val="006C0A5D"/>
    <w:rsid w:val="006C0B99"/>
    <w:rsid w:val="006C0D46"/>
    <w:rsid w:val="006C0E81"/>
    <w:rsid w:val="006C0F2A"/>
    <w:rsid w:val="006C0F55"/>
    <w:rsid w:val="006C1071"/>
    <w:rsid w:val="006C1275"/>
    <w:rsid w:val="006C17A1"/>
    <w:rsid w:val="006C17DE"/>
    <w:rsid w:val="006C18A0"/>
    <w:rsid w:val="006C18B5"/>
    <w:rsid w:val="006C18DA"/>
    <w:rsid w:val="006C1935"/>
    <w:rsid w:val="006C19E4"/>
    <w:rsid w:val="006C1A50"/>
    <w:rsid w:val="006C1AFD"/>
    <w:rsid w:val="006C1DFE"/>
    <w:rsid w:val="006C1F4D"/>
    <w:rsid w:val="006C20B0"/>
    <w:rsid w:val="006C21B5"/>
    <w:rsid w:val="006C2218"/>
    <w:rsid w:val="006C22EA"/>
    <w:rsid w:val="006C2333"/>
    <w:rsid w:val="006C248F"/>
    <w:rsid w:val="006C2576"/>
    <w:rsid w:val="006C25A2"/>
    <w:rsid w:val="006C2611"/>
    <w:rsid w:val="006C2677"/>
    <w:rsid w:val="006C2726"/>
    <w:rsid w:val="006C29F6"/>
    <w:rsid w:val="006C2A25"/>
    <w:rsid w:val="006C2A8E"/>
    <w:rsid w:val="006C2C08"/>
    <w:rsid w:val="006C2CC0"/>
    <w:rsid w:val="006C2D7B"/>
    <w:rsid w:val="006C2EA2"/>
    <w:rsid w:val="006C2F93"/>
    <w:rsid w:val="006C30BE"/>
    <w:rsid w:val="006C31AF"/>
    <w:rsid w:val="006C31DF"/>
    <w:rsid w:val="006C3255"/>
    <w:rsid w:val="006C328A"/>
    <w:rsid w:val="006C3331"/>
    <w:rsid w:val="006C344D"/>
    <w:rsid w:val="006C3455"/>
    <w:rsid w:val="006C3471"/>
    <w:rsid w:val="006C3821"/>
    <w:rsid w:val="006C38A2"/>
    <w:rsid w:val="006C3D19"/>
    <w:rsid w:val="006C3F26"/>
    <w:rsid w:val="006C3FBE"/>
    <w:rsid w:val="006C3FD8"/>
    <w:rsid w:val="006C400A"/>
    <w:rsid w:val="006C4336"/>
    <w:rsid w:val="006C439F"/>
    <w:rsid w:val="006C448D"/>
    <w:rsid w:val="006C4565"/>
    <w:rsid w:val="006C45A4"/>
    <w:rsid w:val="006C4729"/>
    <w:rsid w:val="006C4C58"/>
    <w:rsid w:val="006C4F33"/>
    <w:rsid w:val="006C4F3B"/>
    <w:rsid w:val="006C5067"/>
    <w:rsid w:val="006C5138"/>
    <w:rsid w:val="006C51C0"/>
    <w:rsid w:val="006C5404"/>
    <w:rsid w:val="006C5456"/>
    <w:rsid w:val="006C54AD"/>
    <w:rsid w:val="006C553D"/>
    <w:rsid w:val="006C559E"/>
    <w:rsid w:val="006C5697"/>
    <w:rsid w:val="006C58A6"/>
    <w:rsid w:val="006C58F6"/>
    <w:rsid w:val="006C591F"/>
    <w:rsid w:val="006C59E9"/>
    <w:rsid w:val="006C5AA2"/>
    <w:rsid w:val="006C5B95"/>
    <w:rsid w:val="006C5BEF"/>
    <w:rsid w:val="006C5F1A"/>
    <w:rsid w:val="006C5F6C"/>
    <w:rsid w:val="006C6235"/>
    <w:rsid w:val="006C62F0"/>
    <w:rsid w:val="006C632B"/>
    <w:rsid w:val="006C6503"/>
    <w:rsid w:val="006C655E"/>
    <w:rsid w:val="006C669A"/>
    <w:rsid w:val="006C6A87"/>
    <w:rsid w:val="006C6AC3"/>
    <w:rsid w:val="006C6AF9"/>
    <w:rsid w:val="006C6AFD"/>
    <w:rsid w:val="006C6C4E"/>
    <w:rsid w:val="006C6C63"/>
    <w:rsid w:val="006C6CA3"/>
    <w:rsid w:val="006C6DFF"/>
    <w:rsid w:val="006C6F79"/>
    <w:rsid w:val="006C6FF7"/>
    <w:rsid w:val="006C7189"/>
    <w:rsid w:val="006C71EE"/>
    <w:rsid w:val="006C728D"/>
    <w:rsid w:val="006C7368"/>
    <w:rsid w:val="006C74AD"/>
    <w:rsid w:val="006C75FE"/>
    <w:rsid w:val="006C7665"/>
    <w:rsid w:val="006C7912"/>
    <w:rsid w:val="006C79AC"/>
    <w:rsid w:val="006C7A08"/>
    <w:rsid w:val="006C7A23"/>
    <w:rsid w:val="006C7DC1"/>
    <w:rsid w:val="006C7FAA"/>
    <w:rsid w:val="006D001F"/>
    <w:rsid w:val="006D02CB"/>
    <w:rsid w:val="006D0338"/>
    <w:rsid w:val="006D0517"/>
    <w:rsid w:val="006D056A"/>
    <w:rsid w:val="006D05C2"/>
    <w:rsid w:val="006D09EA"/>
    <w:rsid w:val="006D0A13"/>
    <w:rsid w:val="006D0C91"/>
    <w:rsid w:val="006D0D17"/>
    <w:rsid w:val="006D0E26"/>
    <w:rsid w:val="006D0EC3"/>
    <w:rsid w:val="006D10A5"/>
    <w:rsid w:val="006D10CE"/>
    <w:rsid w:val="006D12B7"/>
    <w:rsid w:val="006D12FC"/>
    <w:rsid w:val="006D132B"/>
    <w:rsid w:val="006D158D"/>
    <w:rsid w:val="006D1592"/>
    <w:rsid w:val="006D15A9"/>
    <w:rsid w:val="006D1A8D"/>
    <w:rsid w:val="006D1F2F"/>
    <w:rsid w:val="006D1F7C"/>
    <w:rsid w:val="006D21D6"/>
    <w:rsid w:val="006D2253"/>
    <w:rsid w:val="006D22CF"/>
    <w:rsid w:val="006D22F8"/>
    <w:rsid w:val="006D23BA"/>
    <w:rsid w:val="006D24B6"/>
    <w:rsid w:val="006D2618"/>
    <w:rsid w:val="006D2638"/>
    <w:rsid w:val="006D2688"/>
    <w:rsid w:val="006D2751"/>
    <w:rsid w:val="006D29F7"/>
    <w:rsid w:val="006D2AEF"/>
    <w:rsid w:val="006D2B5E"/>
    <w:rsid w:val="006D2C78"/>
    <w:rsid w:val="006D2D4C"/>
    <w:rsid w:val="006D2D9D"/>
    <w:rsid w:val="006D2DB7"/>
    <w:rsid w:val="006D2F9E"/>
    <w:rsid w:val="006D3069"/>
    <w:rsid w:val="006D30EB"/>
    <w:rsid w:val="006D3134"/>
    <w:rsid w:val="006D32BF"/>
    <w:rsid w:val="006D330B"/>
    <w:rsid w:val="006D336D"/>
    <w:rsid w:val="006D3475"/>
    <w:rsid w:val="006D352A"/>
    <w:rsid w:val="006D35D2"/>
    <w:rsid w:val="006D3954"/>
    <w:rsid w:val="006D39F0"/>
    <w:rsid w:val="006D3A9F"/>
    <w:rsid w:val="006D3C7D"/>
    <w:rsid w:val="006D3C83"/>
    <w:rsid w:val="006D3D76"/>
    <w:rsid w:val="006D3D87"/>
    <w:rsid w:val="006D4320"/>
    <w:rsid w:val="006D4659"/>
    <w:rsid w:val="006D467B"/>
    <w:rsid w:val="006D467C"/>
    <w:rsid w:val="006D498D"/>
    <w:rsid w:val="006D4A75"/>
    <w:rsid w:val="006D4A82"/>
    <w:rsid w:val="006D4B6F"/>
    <w:rsid w:val="006D4E03"/>
    <w:rsid w:val="006D4E60"/>
    <w:rsid w:val="006D4FA6"/>
    <w:rsid w:val="006D512C"/>
    <w:rsid w:val="006D51CC"/>
    <w:rsid w:val="006D5287"/>
    <w:rsid w:val="006D529F"/>
    <w:rsid w:val="006D52AF"/>
    <w:rsid w:val="006D544D"/>
    <w:rsid w:val="006D5590"/>
    <w:rsid w:val="006D57EF"/>
    <w:rsid w:val="006D59C7"/>
    <w:rsid w:val="006D5D5F"/>
    <w:rsid w:val="006D5DBD"/>
    <w:rsid w:val="006D5EA6"/>
    <w:rsid w:val="006D5EBA"/>
    <w:rsid w:val="006D5FA6"/>
    <w:rsid w:val="006D6010"/>
    <w:rsid w:val="006D6846"/>
    <w:rsid w:val="006D68FB"/>
    <w:rsid w:val="006D69A5"/>
    <w:rsid w:val="006D6A18"/>
    <w:rsid w:val="006D6B63"/>
    <w:rsid w:val="006D6B9B"/>
    <w:rsid w:val="006D6D7A"/>
    <w:rsid w:val="006D6F2A"/>
    <w:rsid w:val="006D731E"/>
    <w:rsid w:val="006D74DD"/>
    <w:rsid w:val="006D75DF"/>
    <w:rsid w:val="006D764E"/>
    <w:rsid w:val="006D765D"/>
    <w:rsid w:val="006D7A8B"/>
    <w:rsid w:val="006D7B30"/>
    <w:rsid w:val="006D7C26"/>
    <w:rsid w:val="006D7DAB"/>
    <w:rsid w:val="006D7E95"/>
    <w:rsid w:val="006D7EF5"/>
    <w:rsid w:val="006D7F10"/>
    <w:rsid w:val="006E04F5"/>
    <w:rsid w:val="006E05DD"/>
    <w:rsid w:val="006E0AB2"/>
    <w:rsid w:val="006E0C0A"/>
    <w:rsid w:val="006E0D6E"/>
    <w:rsid w:val="006E0E7F"/>
    <w:rsid w:val="006E1005"/>
    <w:rsid w:val="006E10EB"/>
    <w:rsid w:val="006E1724"/>
    <w:rsid w:val="006E174F"/>
    <w:rsid w:val="006E17DC"/>
    <w:rsid w:val="006E17F6"/>
    <w:rsid w:val="006E1985"/>
    <w:rsid w:val="006E1A85"/>
    <w:rsid w:val="006E1F35"/>
    <w:rsid w:val="006E227D"/>
    <w:rsid w:val="006E248B"/>
    <w:rsid w:val="006E2868"/>
    <w:rsid w:val="006E2A44"/>
    <w:rsid w:val="006E2D76"/>
    <w:rsid w:val="006E2E31"/>
    <w:rsid w:val="006E2EF2"/>
    <w:rsid w:val="006E2F50"/>
    <w:rsid w:val="006E3199"/>
    <w:rsid w:val="006E341F"/>
    <w:rsid w:val="006E34BA"/>
    <w:rsid w:val="006E36BE"/>
    <w:rsid w:val="006E36E7"/>
    <w:rsid w:val="006E36F7"/>
    <w:rsid w:val="006E390E"/>
    <w:rsid w:val="006E39C9"/>
    <w:rsid w:val="006E39D2"/>
    <w:rsid w:val="006E3E82"/>
    <w:rsid w:val="006E3F71"/>
    <w:rsid w:val="006E3F99"/>
    <w:rsid w:val="006E4154"/>
    <w:rsid w:val="006E450E"/>
    <w:rsid w:val="006E45A5"/>
    <w:rsid w:val="006E4619"/>
    <w:rsid w:val="006E46C3"/>
    <w:rsid w:val="006E472E"/>
    <w:rsid w:val="006E4954"/>
    <w:rsid w:val="006E49D8"/>
    <w:rsid w:val="006E4CE2"/>
    <w:rsid w:val="006E508C"/>
    <w:rsid w:val="006E5236"/>
    <w:rsid w:val="006E54BC"/>
    <w:rsid w:val="006E554A"/>
    <w:rsid w:val="006E56E5"/>
    <w:rsid w:val="006E5704"/>
    <w:rsid w:val="006E584B"/>
    <w:rsid w:val="006E59E5"/>
    <w:rsid w:val="006E5A53"/>
    <w:rsid w:val="006E5C52"/>
    <w:rsid w:val="006E5C92"/>
    <w:rsid w:val="006E5E5B"/>
    <w:rsid w:val="006E5EF1"/>
    <w:rsid w:val="006E5F2F"/>
    <w:rsid w:val="006E5F6C"/>
    <w:rsid w:val="006E615A"/>
    <w:rsid w:val="006E6280"/>
    <w:rsid w:val="006E62E6"/>
    <w:rsid w:val="006E6703"/>
    <w:rsid w:val="006E677F"/>
    <w:rsid w:val="006E6910"/>
    <w:rsid w:val="006E695A"/>
    <w:rsid w:val="006E69AB"/>
    <w:rsid w:val="006E6BC2"/>
    <w:rsid w:val="006E6F31"/>
    <w:rsid w:val="006E7004"/>
    <w:rsid w:val="006E76AA"/>
    <w:rsid w:val="006E7845"/>
    <w:rsid w:val="006E7EBB"/>
    <w:rsid w:val="006F0079"/>
    <w:rsid w:val="006F06A5"/>
    <w:rsid w:val="006F0C2E"/>
    <w:rsid w:val="006F0ECB"/>
    <w:rsid w:val="006F0EFB"/>
    <w:rsid w:val="006F1492"/>
    <w:rsid w:val="006F14A1"/>
    <w:rsid w:val="006F14AD"/>
    <w:rsid w:val="006F1524"/>
    <w:rsid w:val="006F15BE"/>
    <w:rsid w:val="006F15FA"/>
    <w:rsid w:val="006F18D5"/>
    <w:rsid w:val="006F1D69"/>
    <w:rsid w:val="006F1D71"/>
    <w:rsid w:val="006F1EDD"/>
    <w:rsid w:val="006F2020"/>
    <w:rsid w:val="006F20AF"/>
    <w:rsid w:val="006F2106"/>
    <w:rsid w:val="006F212B"/>
    <w:rsid w:val="006F2181"/>
    <w:rsid w:val="006F2216"/>
    <w:rsid w:val="006F245E"/>
    <w:rsid w:val="006F2853"/>
    <w:rsid w:val="006F2BF6"/>
    <w:rsid w:val="006F2DED"/>
    <w:rsid w:val="006F2F49"/>
    <w:rsid w:val="006F2F96"/>
    <w:rsid w:val="006F306C"/>
    <w:rsid w:val="006F30B3"/>
    <w:rsid w:val="006F34AC"/>
    <w:rsid w:val="006F3520"/>
    <w:rsid w:val="006F35D8"/>
    <w:rsid w:val="006F364E"/>
    <w:rsid w:val="006F3658"/>
    <w:rsid w:val="006F3727"/>
    <w:rsid w:val="006F376A"/>
    <w:rsid w:val="006F3C09"/>
    <w:rsid w:val="006F3E1B"/>
    <w:rsid w:val="006F4068"/>
    <w:rsid w:val="006F442E"/>
    <w:rsid w:val="006F4509"/>
    <w:rsid w:val="006F452C"/>
    <w:rsid w:val="006F4600"/>
    <w:rsid w:val="006F46C8"/>
    <w:rsid w:val="006F4818"/>
    <w:rsid w:val="006F4847"/>
    <w:rsid w:val="006F4993"/>
    <w:rsid w:val="006F499D"/>
    <w:rsid w:val="006F4CC6"/>
    <w:rsid w:val="006F4E5A"/>
    <w:rsid w:val="006F4EF2"/>
    <w:rsid w:val="006F4F23"/>
    <w:rsid w:val="006F5062"/>
    <w:rsid w:val="006F50E3"/>
    <w:rsid w:val="006F52CA"/>
    <w:rsid w:val="006F55F9"/>
    <w:rsid w:val="006F5643"/>
    <w:rsid w:val="006F5724"/>
    <w:rsid w:val="006F5B58"/>
    <w:rsid w:val="006F5DBF"/>
    <w:rsid w:val="006F5EFF"/>
    <w:rsid w:val="006F5F50"/>
    <w:rsid w:val="006F6111"/>
    <w:rsid w:val="006F63A5"/>
    <w:rsid w:val="006F63E2"/>
    <w:rsid w:val="006F6424"/>
    <w:rsid w:val="006F646E"/>
    <w:rsid w:val="006F6489"/>
    <w:rsid w:val="006F64E6"/>
    <w:rsid w:val="006F6797"/>
    <w:rsid w:val="006F69E2"/>
    <w:rsid w:val="006F6A69"/>
    <w:rsid w:val="006F6A78"/>
    <w:rsid w:val="006F6A96"/>
    <w:rsid w:val="006F6B1B"/>
    <w:rsid w:val="006F6BD6"/>
    <w:rsid w:val="006F6C13"/>
    <w:rsid w:val="006F6CB0"/>
    <w:rsid w:val="006F6E87"/>
    <w:rsid w:val="006F6FBA"/>
    <w:rsid w:val="006F712E"/>
    <w:rsid w:val="006F71CA"/>
    <w:rsid w:val="006F7354"/>
    <w:rsid w:val="006F7537"/>
    <w:rsid w:val="006F78F2"/>
    <w:rsid w:val="006F7944"/>
    <w:rsid w:val="006F7B19"/>
    <w:rsid w:val="006F7BB3"/>
    <w:rsid w:val="006F7CB2"/>
    <w:rsid w:val="006F7D1B"/>
    <w:rsid w:val="006F7DD9"/>
    <w:rsid w:val="006F7E6A"/>
    <w:rsid w:val="007000E2"/>
    <w:rsid w:val="00700152"/>
    <w:rsid w:val="00700391"/>
    <w:rsid w:val="007004D9"/>
    <w:rsid w:val="007005E0"/>
    <w:rsid w:val="00700603"/>
    <w:rsid w:val="00700616"/>
    <w:rsid w:val="00700B5F"/>
    <w:rsid w:val="00700E1A"/>
    <w:rsid w:val="00700FCD"/>
    <w:rsid w:val="0070106F"/>
    <w:rsid w:val="00701127"/>
    <w:rsid w:val="00701258"/>
    <w:rsid w:val="007012D2"/>
    <w:rsid w:val="00701407"/>
    <w:rsid w:val="0070142B"/>
    <w:rsid w:val="00701660"/>
    <w:rsid w:val="00701689"/>
    <w:rsid w:val="00701B52"/>
    <w:rsid w:val="00701D27"/>
    <w:rsid w:val="00701EC5"/>
    <w:rsid w:val="00701F8B"/>
    <w:rsid w:val="0070200F"/>
    <w:rsid w:val="00702098"/>
    <w:rsid w:val="007020A5"/>
    <w:rsid w:val="007021F1"/>
    <w:rsid w:val="007022AF"/>
    <w:rsid w:val="00702311"/>
    <w:rsid w:val="00702325"/>
    <w:rsid w:val="00702439"/>
    <w:rsid w:val="007024EC"/>
    <w:rsid w:val="0070251E"/>
    <w:rsid w:val="00702577"/>
    <w:rsid w:val="007025F2"/>
    <w:rsid w:val="00702715"/>
    <w:rsid w:val="0070276E"/>
    <w:rsid w:val="0070278E"/>
    <w:rsid w:val="007028E9"/>
    <w:rsid w:val="00702907"/>
    <w:rsid w:val="00702D15"/>
    <w:rsid w:val="00702E23"/>
    <w:rsid w:val="00702F00"/>
    <w:rsid w:val="00702F8F"/>
    <w:rsid w:val="00703282"/>
    <w:rsid w:val="00703457"/>
    <w:rsid w:val="00703489"/>
    <w:rsid w:val="00703615"/>
    <w:rsid w:val="0070365B"/>
    <w:rsid w:val="007037F5"/>
    <w:rsid w:val="00703B41"/>
    <w:rsid w:val="00703E0B"/>
    <w:rsid w:val="00704325"/>
    <w:rsid w:val="00704477"/>
    <w:rsid w:val="007045E3"/>
    <w:rsid w:val="007045FA"/>
    <w:rsid w:val="00704705"/>
    <w:rsid w:val="00704746"/>
    <w:rsid w:val="00704F2E"/>
    <w:rsid w:val="00705018"/>
    <w:rsid w:val="00705552"/>
    <w:rsid w:val="00705585"/>
    <w:rsid w:val="007056E5"/>
    <w:rsid w:val="0070575A"/>
    <w:rsid w:val="00705BCD"/>
    <w:rsid w:val="00705DAD"/>
    <w:rsid w:val="00705E75"/>
    <w:rsid w:val="007062AB"/>
    <w:rsid w:val="007063C8"/>
    <w:rsid w:val="00706416"/>
    <w:rsid w:val="0070666E"/>
    <w:rsid w:val="007066F1"/>
    <w:rsid w:val="007068B3"/>
    <w:rsid w:val="00706975"/>
    <w:rsid w:val="007069C7"/>
    <w:rsid w:val="00706CBB"/>
    <w:rsid w:val="00706D4C"/>
    <w:rsid w:val="00706D8A"/>
    <w:rsid w:val="00707067"/>
    <w:rsid w:val="00707217"/>
    <w:rsid w:val="0070726C"/>
    <w:rsid w:val="00707848"/>
    <w:rsid w:val="00707921"/>
    <w:rsid w:val="007079E9"/>
    <w:rsid w:val="007079FC"/>
    <w:rsid w:val="00707AED"/>
    <w:rsid w:val="00707B83"/>
    <w:rsid w:val="00707CB5"/>
    <w:rsid w:val="00707F61"/>
    <w:rsid w:val="00710162"/>
    <w:rsid w:val="00710360"/>
    <w:rsid w:val="00710525"/>
    <w:rsid w:val="007106B5"/>
    <w:rsid w:val="00710780"/>
    <w:rsid w:val="007108FF"/>
    <w:rsid w:val="00710957"/>
    <w:rsid w:val="007109D7"/>
    <w:rsid w:val="00710A98"/>
    <w:rsid w:val="00710C09"/>
    <w:rsid w:val="00710D5A"/>
    <w:rsid w:val="00710D60"/>
    <w:rsid w:val="00710EF9"/>
    <w:rsid w:val="00710F16"/>
    <w:rsid w:val="007110A8"/>
    <w:rsid w:val="007110FF"/>
    <w:rsid w:val="00711488"/>
    <w:rsid w:val="00711665"/>
    <w:rsid w:val="00711707"/>
    <w:rsid w:val="007117F8"/>
    <w:rsid w:val="00711838"/>
    <w:rsid w:val="007118CE"/>
    <w:rsid w:val="00711A13"/>
    <w:rsid w:val="00711A36"/>
    <w:rsid w:val="00711B54"/>
    <w:rsid w:val="00711B80"/>
    <w:rsid w:val="00711CC4"/>
    <w:rsid w:val="00711E92"/>
    <w:rsid w:val="00711ED1"/>
    <w:rsid w:val="00711ED5"/>
    <w:rsid w:val="00711F2E"/>
    <w:rsid w:val="00711FF9"/>
    <w:rsid w:val="0071201E"/>
    <w:rsid w:val="007122EA"/>
    <w:rsid w:val="007122EC"/>
    <w:rsid w:val="007125D3"/>
    <w:rsid w:val="00712779"/>
    <w:rsid w:val="007127C6"/>
    <w:rsid w:val="00712925"/>
    <w:rsid w:val="00712A47"/>
    <w:rsid w:val="00712CC0"/>
    <w:rsid w:val="00712ECB"/>
    <w:rsid w:val="00712FD6"/>
    <w:rsid w:val="00713079"/>
    <w:rsid w:val="0071394C"/>
    <w:rsid w:val="0071395A"/>
    <w:rsid w:val="00713EED"/>
    <w:rsid w:val="00714091"/>
    <w:rsid w:val="00714217"/>
    <w:rsid w:val="007143BB"/>
    <w:rsid w:val="00714423"/>
    <w:rsid w:val="00714506"/>
    <w:rsid w:val="0071479E"/>
    <w:rsid w:val="007149C8"/>
    <w:rsid w:val="00714AB7"/>
    <w:rsid w:val="00714B79"/>
    <w:rsid w:val="00714C26"/>
    <w:rsid w:val="00714E10"/>
    <w:rsid w:val="00714EC9"/>
    <w:rsid w:val="00715086"/>
    <w:rsid w:val="007150F0"/>
    <w:rsid w:val="00715286"/>
    <w:rsid w:val="0071529C"/>
    <w:rsid w:val="007153FF"/>
    <w:rsid w:val="0071550D"/>
    <w:rsid w:val="00715541"/>
    <w:rsid w:val="00715560"/>
    <w:rsid w:val="007155B8"/>
    <w:rsid w:val="007155DE"/>
    <w:rsid w:val="00715608"/>
    <w:rsid w:val="00715702"/>
    <w:rsid w:val="00715708"/>
    <w:rsid w:val="00715857"/>
    <w:rsid w:val="00715BCE"/>
    <w:rsid w:val="00715C20"/>
    <w:rsid w:val="00715CC6"/>
    <w:rsid w:val="00715EEE"/>
    <w:rsid w:val="00716115"/>
    <w:rsid w:val="00716170"/>
    <w:rsid w:val="00716417"/>
    <w:rsid w:val="00716514"/>
    <w:rsid w:val="0071653D"/>
    <w:rsid w:val="0071655B"/>
    <w:rsid w:val="007165C6"/>
    <w:rsid w:val="007165D9"/>
    <w:rsid w:val="007168F2"/>
    <w:rsid w:val="007169AE"/>
    <w:rsid w:val="00716B1C"/>
    <w:rsid w:val="00716CCF"/>
    <w:rsid w:val="00716D3B"/>
    <w:rsid w:val="00716E9E"/>
    <w:rsid w:val="00716EC5"/>
    <w:rsid w:val="00716F8F"/>
    <w:rsid w:val="007170DA"/>
    <w:rsid w:val="007171CE"/>
    <w:rsid w:val="007172AD"/>
    <w:rsid w:val="00717367"/>
    <w:rsid w:val="00717459"/>
    <w:rsid w:val="00717546"/>
    <w:rsid w:val="007178C2"/>
    <w:rsid w:val="00717A62"/>
    <w:rsid w:val="00717ADB"/>
    <w:rsid w:val="00717D16"/>
    <w:rsid w:val="00717DD6"/>
    <w:rsid w:val="00717DFC"/>
    <w:rsid w:val="00717E7F"/>
    <w:rsid w:val="00717EB9"/>
    <w:rsid w:val="00717FB1"/>
    <w:rsid w:val="0072038A"/>
    <w:rsid w:val="0072073E"/>
    <w:rsid w:val="00720801"/>
    <w:rsid w:val="007208B4"/>
    <w:rsid w:val="007208CF"/>
    <w:rsid w:val="00720ADD"/>
    <w:rsid w:val="00720C7D"/>
    <w:rsid w:val="00720E21"/>
    <w:rsid w:val="00720F35"/>
    <w:rsid w:val="00720FA9"/>
    <w:rsid w:val="00721189"/>
    <w:rsid w:val="00721270"/>
    <w:rsid w:val="00721372"/>
    <w:rsid w:val="00721618"/>
    <w:rsid w:val="00721619"/>
    <w:rsid w:val="0072188F"/>
    <w:rsid w:val="00721A45"/>
    <w:rsid w:val="00721B72"/>
    <w:rsid w:val="00721EA9"/>
    <w:rsid w:val="00721FB1"/>
    <w:rsid w:val="0072219C"/>
    <w:rsid w:val="007222BD"/>
    <w:rsid w:val="00722353"/>
    <w:rsid w:val="007223C3"/>
    <w:rsid w:val="0072253D"/>
    <w:rsid w:val="00722667"/>
    <w:rsid w:val="00722B1B"/>
    <w:rsid w:val="00722B83"/>
    <w:rsid w:val="00722DAD"/>
    <w:rsid w:val="00722EE0"/>
    <w:rsid w:val="007235CF"/>
    <w:rsid w:val="00723920"/>
    <w:rsid w:val="00723B2E"/>
    <w:rsid w:val="00723B47"/>
    <w:rsid w:val="00723C90"/>
    <w:rsid w:val="00723CBD"/>
    <w:rsid w:val="00723CD9"/>
    <w:rsid w:val="00723E57"/>
    <w:rsid w:val="0072405E"/>
    <w:rsid w:val="0072416F"/>
    <w:rsid w:val="00724199"/>
    <w:rsid w:val="007243AD"/>
    <w:rsid w:val="007245F2"/>
    <w:rsid w:val="007246DB"/>
    <w:rsid w:val="007246FE"/>
    <w:rsid w:val="00724BE6"/>
    <w:rsid w:val="00724E2E"/>
    <w:rsid w:val="00724EC0"/>
    <w:rsid w:val="00724FB0"/>
    <w:rsid w:val="00725025"/>
    <w:rsid w:val="007250D0"/>
    <w:rsid w:val="007251CB"/>
    <w:rsid w:val="00725961"/>
    <w:rsid w:val="0072598A"/>
    <w:rsid w:val="00725CCF"/>
    <w:rsid w:val="00725FC4"/>
    <w:rsid w:val="007260B7"/>
    <w:rsid w:val="0072623B"/>
    <w:rsid w:val="007262EF"/>
    <w:rsid w:val="00726458"/>
    <w:rsid w:val="00726483"/>
    <w:rsid w:val="00726531"/>
    <w:rsid w:val="007266B1"/>
    <w:rsid w:val="007266C3"/>
    <w:rsid w:val="007267B8"/>
    <w:rsid w:val="0072680F"/>
    <w:rsid w:val="007268F6"/>
    <w:rsid w:val="0072695A"/>
    <w:rsid w:val="00726DCD"/>
    <w:rsid w:val="00726ED6"/>
    <w:rsid w:val="007270DC"/>
    <w:rsid w:val="00727216"/>
    <w:rsid w:val="00727468"/>
    <w:rsid w:val="0072761F"/>
    <w:rsid w:val="0072778C"/>
    <w:rsid w:val="00727939"/>
    <w:rsid w:val="00727A23"/>
    <w:rsid w:val="00727A9D"/>
    <w:rsid w:val="00727C43"/>
    <w:rsid w:val="00727C47"/>
    <w:rsid w:val="00727C87"/>
    <w:rsid w:val="00727C94"/>
    <w:rsid w:val="00727E3C"/>
    <w:rsid w:val="0073010B"/>
    <w:rsid w:val="00730419"/>
    <w:rsid w:val="00730ABC"/>
    <w:rsid w:val="00730D8C"/>
    <w:rsid w:val="00731152"/>
    <w:rsid w:val="0073119E"/>
    <w:rsid w:val="00731722"/>
    <w:rsid w:val="007318D9"/>
    <w:rsid w:val="00731990"/>
    <w:rsid w:val="00731B0A"/>
    <w:rsid w:val="00731B65"/>
    <w:rsid w:val="00731B9F"/>
    <w:rsid w:val="00731D34"/>
    <w:rsid w:val="00731E39"/>
    <w:rsid w:val="00731E95"/>
    <w:rsid w:val="00731EAE"/>
    <w:rsid w:val="00731F4D"/>
    <w:rsid w:val="00732099"/>
    <w:rsid w:val="007320FF"/>
    <w:rsid w:val="00732125"/>
    <w:rsid w:val="0073215A"/>
    <w:rsid w:val="007323CF"/>
    <w:rsid w:val="007329EA"/>
    <w:rsid w:val="00732A11"/>
    <w:rsid w:val="00732BAB"/>
    <w:rsid w:val="00732C43"/>
    <w:rsid w:val="00732F2E"/>
    <w:rsid w:val="00732FA6"/>
    <w:rsid w:val="00733060"/>
    <w:rsid w:val="00733073"/>
    <w:rsid w:val="007332A9"/>
    <w:rsid w:val="007332EF"/>
    <w:rsid w:val="0073378C"/>
    <w:rsid w:val="00733918"/>
    <w:rsid w:val="00733999"/>
    <w:rsid w:val="00733A58"/>
    <w:rsid w:val="00733AB0"/>
    <w:rsid w:val="00733F17"/>
    <w:rsid w:val="00734181"/>
    <w:rsid w:val="0073436B"/>
    <w:rsid w:val="0073458C"/>
    <w:rsid w:val="0073479E"/>
    <w:rsid w:val="00734B66"/>
    <w:rsid w:val="00734BB9"/>
    <w:rsid w:val="00734C0A"/>
    <w:rsid w:val="00734CCC"/>
    <w:rsid w:val="00734E01"/>
    <w:rsid w:val="00734E10"/>
    <w:rsid w:val="00735033"/>
    <w:rsid w:val="0073523E"/>
    <w:rsid w:val="00735328"/>
    <w:rsid w:val="007357C9"/>
    <w:rsid w:val="007357E7"/>
    <w:rsid w:val="00735A27"/>
    <w:rsid w:val="00735B84"/>
    <w:rsid w:val="00735BAF"/>
    <w:rsid w:val="00735EE8"/>
    <w:rsid w:val="007360B6"/>
    <w:rsid w:val="007362D2"/>
    <w:rsid w:val="00736310"/>
    <w:rsid w:val="0073649F"/>
    <w:rsid w:val="007366F7"/>
    <w:rsid w:val="00736729"/>
    <w:rsid w:val="0073685B"/>
    <w:rsid w:val="00736993"/>
    <w:rsid w:val="007369D6"/>
    <w:rsid w:val="00736A0C"/>
    <w:rsid w:val="00736A98"/>
    <w:rsid w:val="00736B1C"/>
    <w:rsid w:val="00736B94"/>
    <w:rsid w:val="00736B95"/>
    <w:rsid w:val="00736BAE"/>
    <w:rsid w:val="00736DAE"/>
    <w:rsid w:val="00736ED3"/>
    <w:rsid w:val="00736ED4"/>
    <w:rsid w:val="007370EA"/>
    <w:rsid w:val="00737131"/>
    <w:rsid w:val="00737166"/>
    <w:rsid w:val="00737241"/>
    <w:rsid w:val="00737250"/>
    <w:rsid w:val="0073729A"/>
    <w:rsid w:val="007372B5"/>
    <w:rsid w:val="00737431"/>
    <w:rsid w:val="00737463"/>
    <w:rsid w:val="00737480"/>
    <w:rsid w:val="007374AD"/>
    <w:rsid w:val="007376A1"/>
    <w:rsid w:val="00737A1D"/>
    <w:rsid w:val="00737A81"/>
    <w:rsid w:val="00737BE7"/>
    <w:rsid w:val="0074022B"/>
    <w:rsid w:val="007402E5"/>
    <w:rsid w:val="00740687"/>
    <w:rsid w:val="0074069C"/>
    <w:rsid w:val="0074074A"/>
    <w:rsid w:val="0074085C"/>
    <w:rsid w:val="007409A3"/>
    <w:rsid w:val="00740CEE"/>
    <w:rsid w:val="00740E17"/>
    <w:rsid w:val="00740E37"/>
    <w:rsid w:val="00740EB7"/>
    <w:rsid w:val="0074102F"/>
    <w:rsid w:val="0074115A"/>
    <w:rsid w:val="00741206"/>
    <w:rsid w:val="007414B3"/>
    <w:rsid w:val="0074175A"/>
    <w:rsid w:val="00741990"/>
    <w:rsid w:val="00741C1C"/>
    <w:rsid w:val="00741D99"/>
    <w:rsid w:val="00741F04"/>
    <w:rsid w:val="00741F19"/>
    <w:rsid w:val="00741F9C"/>
    <w:rsid w:val="00742080"/>
    <w:rsid w:val="007420DD"/>
    <w:rsid w:val="0074211F"/>
    <w:rsid w:val="007424E0"/>
    <w:rsid w:val="007424E4"/>
    <w:rsid w:val="00742733"/>
    <w:rsid w:val="00742772"/>
    <w:rsid w:val="00742776"/>
    <w:rsid w:val="00742B71"/>
    <w:rsid w:val="00742C5B"/>
    <w:rsid w:val="00742E2B"/>
    <w:rsid w:val="00742F0B"/>
    <w:rsid w:val="007432FC"/>
    <w:rsid w:val="007433D9"/>
    <w:rsid w:val="00743433"/>
    <w:rsid w:val="0074351A"/>
    <w:rsid w:val="00743733"/>
    <w:rsid w:val="00743862"/>
    <w:rsid w:val="00743BC4"/>
    <w:rsid w:val="00743C01"/>
    <w:rsid w:val="00743D0C"/>
    <w:rsid w:val="00743FFB"/>
    <w:rsid w:val="007440C8"/>
    <w:rsid w:val="00744150"/>
    <w:rsid w:val="007441AF"/>
    <w:rsid w:val="00744467"/>
    <w:rsid w:val="00744524"/>
    <w:rsid w:val="00744713"/>
    <w:rsid w:val="00744826"/>
    <w:rsid w:val="007449BF"/>
    <w:rsid w:val="00744A8D"/>
    <w:rsid w:val="00744B4A"/>
    <w:rsid w:val="00744C82"/>
    <w:rsid w:val="00744D5C"/>
    <w:rsid w:val="00744E4D"/>
    <w:rsid w:val="00744EBB"/>
    <w:rsid w:val="007451EF"/>
    <w:rsid w:val="007453F2"/>
    <w:rsid w:val="00745625"/>
    <w:rsid w:val="007457B0"/>
    <w:rsid w:val="0074589F"/>
    <w:rsid w:val="007458D0"/>
    <w:rsid w:val="0074597D"/>
    <w:rsid w:val="00745B0E"/>
    <w:rsid w:val="00745E65"/>
    <w:rsid w:val="00745F81"/>
    <w:rsid w:val="00745FB9"/>
    <w:rsid w:val="0074607D"/>
    <w:rsid w:val="0074615A"/>
    <w:rsid w:val="0074627D"/>
    <w:rsid w:val="007463FE"/>
    <w:rsid w:val="00746BC0"/>
    <w:rsid w:val="00747012"/>
    <w:rsid w:val="00747100"/>
    <w:rsid w:val="0074712E"/>
    <w:rsid w:val="007472E4"/>
    <w:rsid w:val="007474C2"/>
    <w:rsid w:val="0074759D"/>
    <w:rsid w:val="00747A61"/>
    <w:rsid w:val="00747AB6"/>
    <w:rsid w:val="00747BE5"/>
    <w:rsid w:val="00747C55"/>
    <w:rsid w:val="00747C60"/>
    <w:rsid w:val="00747F21"/>
    <w:rsid w:val="00747F5B"/>
    <w:rsid w:val="00750326"/>
    <w:rsid w:val="00750487"/>
    <w:rsid w:val="00750593"/>
    <w:rsid w:val="00750663"/>
    <w:rsid w:val="00750688"/>
    <w:rsid w:val="007509B8"/>
    <w:rsid w:val="007509D1"/>
    <w:rsid w:val="00750B65"/>
    <w:rsid w:val="00750C09"/>
    <w:rsid w:val="00750EB4"/>
    <w:rsid w:val="00750EC2"/>
    <w:rsid w:val="00750F7D"/>
    <w:rsid w:val="00750F92"/>
    <w:rsid w:val="0075105A"/>
    <w:rsid w:val="007510B4"/>
    <w:rsid w:val="007513B2"/>
    <w:rsid w:val="0075159B"/>
    <w:rsid w:val="0075179F"/>
    <w:rsid w:val="007517D8"/>
    <w:rsid w:val="007517F9"/>
    <w:rsid w:val="007518C1"/>
    <w:rsid w:val="007518F7"/>
    <w:rsid w:val="0075199C"/>
    <w:rsid w:val="00751A08"/>
    <w:rsid w:val="00751C69"/>
    <w:rsid w:val="00751E2C"/>
    <w:rsid w:val="00751E70"/>
    <w:rsid w:val="00751F62"/>
    <w:rsid w:val="00751F73"/>
    <w:rsid w:val="00751FCD"/>
    <w:rsid w:val="00751FE3"/>
    <w:rsid w:val="0075205C"/>
    <w:rsid w:val="0075206A"/>
    <w:rsid w:val="00752142"/>
    <w:rsid w:val="00752266"/>
    <w:rsid w:val="007523F9"/>
    <w:rsid w:val="00752428"/>
    <w:rsid w:val="00752531"/>
    <w:rsid w:val="00752895"/>
    <w:rsid w:val="007529B6"/>
    <w:rsid w:val="00752B36"/>
    <w:rsid w:val="00752BD2"/>
    <w:rsid w:val="00752C01"/>
    <w:rsid w:val="00752CBA"/>
    <w:rsid w:val="00752D78"/>
    <w:rsid w:val="00752DE5"/>
    <w:rsid w:val="00752DF6"/>
    <w:rsid w:val="00752FE1"/>
    <w:rsid w:val="007530CC"/>
    <w:rsid w:val="007532DF"/>
    <w:rsid w:val="007533D6"/>
    <w:rsid w:val="007533EE"/>
    <w:rsid w:val="00753405"/>
    <w:rsid w:val="00753500"/>
    <w:rsid w:val="00753514"/>
    <w:rsid w:val="0075357E"/>
    <w:rsid w:val="00753799"/>
    <w:rsid w:val="007537F1"/>
    <w:rsid w:val="00753886"/>
    <w:rsid w:val="00753905"/>
    <w:rsid w:val="00753A8D"/>
    <w:rsid w:val="00753B29"/>
    <w:rsid w:val="00753BFD"/>
    <w:rsid w:val="00753C73"/>
    <w:rsid w:val="00753D37"/>
    <w:rsid w:val="00753DAD"/>
    <w:rsid w:val="00753E69"/>
    <w:rsid w:val="00753F2E"/>
    <w:rsid w:val="00753F72"/>
    <w:rsid w:val="007542D7"/>
    <w:rsid w:val="00754466"/>
    <w:rsid w:val="00754494"/>
    <w:rsid w:val="007544A4"/>
    <w:rsid w:val="007547C3"/>
    <w:rsid w:val="00754814"/>
    <w:rsid w:val="00754833"/>
    <w:rsid w:val="007549FB"/>
    <w:rsid w:val="00754A01"/>
    <w:rsid w:val="00754AEF"/>
    <w:rsid w:val="00754BE3"/>
    <w:rsid w:val="00754C16"/>
    <w:rsid w:val="00754C6E"/>
    <w:rsid w:val="00754D01"/>
    <w:rsid w:val="00754D07"/>
    <w:rsid w:val="00754F82"/>
    <w:rsid w:val="00754FC3"/>
    <w:rsid w:val="0075525D"/>
    <w:rsid w:val="007552AF"/>
    <w:rsid w:val="00755557"/>
    <w:rsid w:val="00755686"/>
    <w:rsid w:val="0075597A"/>
    <w:rsid w:val="00755B5C"/>
    <w:rsid w:val="00755B7F"/>
    <w:rsid w:val="00755BE4"/>
    <w:rsid w:val="00755D98"/>
    <w:rsid w:val="00755E0A"/>
    <w:rsid w:val="00755F4E"/>
    <w:rsid w:val="0075606B"/>
    <w:rsid w:val="00756110"/>
    <w:rsid w:val="007561B8"/>
    <w:rsid w:val="007561C6"/>
    <w:rsid w:val="0075644C"/>
    <w:rsid w:val="0075645C"/>
    <w:rsid w:val="00756511"/>
    <w:rsid w:val="007565C0"/>
    <w:rsid w:val="0075663F"/>
    <w:rsid w:val="00756894"/>
    <w:rsid w:val="007568D1"/>
    <w:rsid w:val="007568F0"/>
    <w:rsid w:val="00756CFF"/>
    <w:rsid w:val="00756D75"/>
    <w:rsid w:val="00756DAF"/>
    <w:rsid w:val="00756E42"/>
    <w:rsid w:val="00756F37"/>
    <w:rsid w:val="00757257"/>
    <w:rsid w:val="00757289"/>
    <w:rsid w:val="00757304"/>
    <w:rsid w:val="007573E8"/>
    <w:rsid w:val="00757586"/>
    <w:rsid w:val="0075763C"/>
    <w:rsid w:val="00757644"/>
    <w:rsid w:val="0075779B"/>
    <w:rsid w:val="007578F2"/>
    <w:rsid w:val="00757C13"/>
    <w:rsid w:val="00757CBF"/>
    <w:rsid w:val="00757DE0"/>
    <w:rsid w:val="00757F3F"/>
    <w:rsid w:val="00757FD7"/>
    <w:rsid w:val="00760037"/>
    <w:rsid w:val="0076013A"/>
    <w:rsid w:val="007601F7"/>
    <w:rsid w:val="00760233"/>
    <w:rsid w:val="00760431"/>
    <w:rsid w:val="007605C4"/>
    <w:rsid w:val="00760885"/>
    <w:rsid w:val="007609F7"/>
    <w:rsid w:val="00760AB5"/>
    <w:rsid w:val="00760B08"/>
    <w:rsid w:val="00760C4E"/>
    <w:rsid w:val="00760EB7"/>
    <w:rsid w:val="00760EC1"/>
    <w:rsid w:val="00760EEB"/>
    <w:rsid w:val="00760F9E"/>
    <w:rsid w:val="0076100F"/>
    <w:rsid w:val="007610E9"/>
    <w:rsid w:val="00761409"/>
    <w:rsid w:val="007615F6"/>
    <w:rsid w:val="00761695"/>
    <w:rsid w:val="007616E3"/>
    <w:rsid w:val="007616E6"/>
    <w:rsid w:val="007618DE"/>
    <w:rsid w:val="007619EE"/>
    <w:rsid w:val="00761A46"/>
    <w:rsid w:val="00761B33"/>
    <w:rsid w:val="00761FCA"/>
    <w:rsid w:val="00762144"/>
    <w:rsid w:val="007621AC"/>
    <w:rsid w:val="007623B6"/>
    <w:rsid w:val="00762794"/>
    <w:rsid w:val="007627BE"/>
    <w:rsid w:val="0076281F"/>
    <w:rsid w:val="007629D5"/>
    <w:rsid w:val="00762A02"/>
    <w:rsid w:val="00762A37"/>
    <w:rsid w:val="00762A7E"/>
    <w:rsid w:val="00762B68"/>
    <w:rsid w:val="00762F1B"/>
    <w:rsid w:val="00762F4C"/>
    <w:rsid w:val="007632ED"/>
    <w:rsid w:val="00763581"/>
    <w:rsid w:val="0076360C"/>
    <w:rsid w:val="007636F3"/>
    <w:rsid w:val="007637AA"/>
    <w:rsid w:val="007638B7"/>
    <w:rsid w:val="007638C7"/>
    <w:rsid w:val="007638D1"/>
    <w:rsid w:val="00763A14"/>
    <w:rsid w:val="00763D3D"/>
    <w:rsid w:val="00763E0C"/>
    <w:rsid w:val="00764058"/>
    <w:rsid w:val="00764108"/>
    <w:rsid w:val="00764298"/>
    <w:rsid w:val="00764445"/>
    <w:rsid w:val="00764634"/>
    <w:rsid w:val="007646D7"/>
    <w:rsid w:val="00764702"/>
    <w:rsid w:val="0076473C"/>
    <w:rsid w:val="0076488C"/>
    <w:rsid w:val="007648AA"/>
    <w:rsid w:val="00764D8B"/>
    <w:rsid w:val="00764F03"/>
    <w:rsid w:val="00765066"/>
    <w:rsid w:val="007652F4"/>
    <w:rsid w:val="007653C0"/>
    <w:rsid w:val="00765579"/>
    <w:rsid w:val="007655AC"/>
    <w:rsid w:val="00765633"/>
    <w:rsid w:val="007657E9"/>
    <w:rsid w:val="00765B1A"/>
    <w:rsid w:val="00765CE0"/>
    <w:rsid w:val="00765DC1"/>
    <w:rsid w:val="00765E0D"/>
    <w:rsid w:val="00766025"/>
    <w:rsid w:val="00766253"/>
    <w:rsid w:val="00766317"/>
    <w:rsid w:val="00766599"/>
    <w:rsid w:val="0076663D"/>
    <w:rsid w:val="007666F6"/>
    <w:rsid w:val="00766770"/>
    <w:rsid w:val="00766773"/>
    <w:rsid w:val="007667C8"/>
    <w:rsid w:val="007668EC"/>
    <w:rsid w:val="00766ADA"/>
    <w:rsid w:val="00766B8C"/>
    <w:rsid w:val="00766D68"/>
    <w:rsid w:val="00766D80"/>
    <w:rsid w:val="00766F2D"/>
    <w:rsid w:val="0076703D"/>
    <w:rsid w:val="0076704E"/>
    <w:rsid w:val="00767106"/>
    <w:rsid w:val="00767353"/>
    <w:rsid w:val="0076736D"/>
    <w:rsid w:val="0076742A"/>
    <w:rsid w:val="007674D0"/>
    <w:rsid w:val="00767627"/>
    <w:rsid w:val="0076784D"/>
    <w:rsid w:val="00767857"/>
    <w:rsid w:val="00767A81"/>
    <w:rsid w:val="00767B10"/>
    <w:rsid w:val="00767C09"/>
    <w:rsid w:val="00767C7E"/>
    <w:rsid w:val="00767D67"/>
    <w:rsid w:val="007701D8"/>
    <w:rsid w:val="007702A1"/>
    <w:rsid w:val="007702F7"/>
    <w:rsid w:val="00770314"/>
    <w:rsid w:val="0077035B"/>
    <w:rsid w:val="0077038B"/>
    <w:rsid w:val="00770400"/>
    <w:rsid w:val="00770425"/>
    <w:rsid w:val="007704BB"/>
    <w:rsid w:val="00770688"/>
    <w:rsid w:val="0077079E"/>
    <w:rsid w:val="007708C1"/>
    <w:rsid w:val="00770A1A"/>
    <w:rsid w:val="00770AC6"/>
    <w:rsid w:val="00770C94"/>
    <w:rsid w:val="00771328"/>
    <w:rsid w:val="007713C6"/>
    <w:rsid w:val="007716F8"/>
    <w:rsid w:val="00771705"/>
    <w:rsid w:val="0077185E"/>
    <w:rsid w:val="00771B89"/>
    <w:rsid w:val="00771BBF"/>
    <w:rsid w:val="00771CC0"/>
    <w:rsid w:val="00771D15"/>
    <w:rsid w:val="00771DA0"/>
    <w:rsid w:val="00771E65"/>
    <w:rsid w:val="00771EE9"/>
    <w:rsid w:val="00771F6C"/>
    <w:rsid w:val="00771FFF"/>
    <w:rsid w:val="0077238B"/>
    <w:rsid w:val="007723E2"/>
    <w:rsid w:val="007723F8"/>
    <w:rsid w:val="00772414"/>
    <w:rsid w:val="007724AB"/>
    <w:rsid w:val="007728F7"/>
    <w:rsid w:val="00772A93"/>
    <w:rsid w:val="00772B00"/>
    <w:rsid w:val="00772B1A"/>
    <w:rsid w:val="00772B99"/>
    <w:rsid w:val="00772DC9"/>
    <w:rsid w:val="00772E59"/>
    <w:rsid w:val="00772F3E"/>
    <w:rsid w:val="0077306A"/>
    <w:rsid w:val="0077321C"/>
    <w:rsid w:val="0077332C"/>
    <w:rsid w:val="0077332F"/>
    <w:rsid w:val="00773341"/>
    <w:rsid w:val="00773437"/>
    <w:rsid w:val="00773576"/>
    <w:rsid w:val="007735E4"/>
    <w:rsid w:val="007736C2"/>
    <w:rsid w:val="00773788"/>
    <w:rsid w:val="0077382D"/>
    <w:rsid w:val="00773894"/>
    <w:rsid w:val="00773938"/>
    <w:rsid w:val="00773BF4"/>
    <w:rsid w:val="00773D75"/>
    <w:rsid w:val="00773F3D"/>
    <w:rsid w:val="007742FA"/>
    <w:rsid w:val="007745A1"/>
    <w:rsid w:val="0077460D"/>
    <w:rsid w:val="0077463F"/>
    <w:rsid w:val="0077465E"/>
    <w:rsid w:val="007746EA"/>
    <w:rsid w:val="00774A86"/>
    <w:rsid w:val="00774B24"/>
    <w:rsid w:val="00774E5B"/>
    <w:rsid w:val="00774F68"/>
    <w:rsid w:val="00774FDF"/>
    <w:rsid w:val="00775348"/>
    <w:rsid w:val="007753E1"/>
    <w:rsid w:val="007759EC"/>
    <w:rsid w:val="00775A37"/>
    <w:rsid w:val="00775AB5"/>
    <w:rsid w:val="00775ACF"/>
    <w:rsid w:val="00775B3C"/>
    <w:rsid w:val="00775BF7"/>
    <w:rsid w:val="00775FF6"/>
    <w:rsid w:val="007760FF"/>
    <w:rsid w:val="00776255"/>
    <w:rsid w:val="0077628B"/>
    <w:rsid w:val="00776469"/>
    <w:rsid w:val="007766C4"/>
    <w:rsid w:val="007766FD"/>
    <w:rsid w:val="0077676C"/>
    <w:rsid w:val="00776882"/>
    <w:rsid w:val="00776954"/>
    <w:rsid w:val="00776A29"/>
    <w:rsid w:val="00776A5B"/>
    <w:rsid w:val="00776AB3"/>
    <w:rsid w:val="00776ADE"/>
    <w:rsid w:val="00776D64"/>
    <w:rsid w:val="00776DA1"/>
    <w:rsid w:val="00776E7F"/>
    <w:rsid w:val="00776FBD"/>
    <w:rsid w:val="00777006"/>
    <w:rsid w:val="007770BC"/>
    <w:rsid w:val="007770F0"/>
    <w:rsid w:val="007771EC"/>
    <w:rsid w:val="00777335"/>
    <w:rsid w:val="0077761D"/>
    <w:rsid w:val="0077761E"/>
    <w:rsid w:val="0077775F"/>
    <w:rsid w:val="0077780A"/>
    <w:rsid w:val="00777889"/>
    <w:rsid w:val="007778AE"/>
    <w:rsid w:val="007778C9"/>
    <w:rsid w:val="0077797E"/>
    <w:rsid w:val="007779A9"/>
    <w:rsid w:val="00777A4A"/>
    <w:rsid w:val="00777CDF"/>
    <w:rsid w:val="00777F50"/>
    <w:rsid w:val="00780019"/>
    <w:rsid w:val="0078004F"/>
    <w:rsid w:val="00780214"/>
    <w:rsid w:val="007802A2"/>
    <w:rsid w:val="00780404"/>
    <w:rsid w:val="00780465"/>
    <w:rsid w:val="00780497"/>
    <w:rsid w:val="00780549"/>
    <w:rsid w:val="00780566"/>
    <w:rsid w:val="007805BC"/>
    <w:rsid w:val="007808DA"/>
    <w:rsid w:val="00780D57"/>
    <w:rsid w:val="00780D77"/>
    <w:rsid w:val="00780E15"/>
    <w:rsid w:val="00780EC8"/>
    <w:rsid w:val="00781076"/>
    <w:rsid w:val="0078132A"/>
    <w:rsid w:val="007813FE"/>
    <w:rsid w:val="0078148D"/>
    <w:rsid w:val="00781552"/>
    <w:rsid w:val="0078160B"/>
    <w:rsid w:val="007816DF"/>
    <w:rsid w:val="00781CC1"/>
    <w:rsid w:val="00781DA7"/>
    <w:rsid w:val="00781DBE"/>
    <w:rsid w:val="00781EA2"/>
    <w:rsid w:val="007821EB"/>
    <w:rsid w:val="00782284"/>
    <w:rsid w:val="00782397"/>
    <w:rsid w:val="00782417"/>
    <w:rsid w:val="007824B0"/>
    <w:rsid w:val="007824CA"/>
    <w:rsid w:val="00782504"/>
    <w:rsid w:val="00782566"/>
    <w:rsid w:val="00782669"/>
    <w:rsid w:val="007828AC"/>
    <w:rsid w:val="007829D7"/>
    <w:rsid w:val="00782AE5"/>
    <w:rsid w:val="00782DEF"/>
    <w:rsid w:val="0078332C"/>
    <w:rsid w:val="00783409"/>
    <w:rsid w:val="007834E4"/>
    <w:rsid w:val="007836F4"/>
    <w:rsid w:val="0078378B"/>
    <w:rsid w:val="00783860"/>
    <w:rsid w:val="00783D79"/>
    <w:rsid w:val="00783E89"/>
    <w:rsid w:val="00783E8D"/>
    <w:rsid w:val="00784166"/>
    <w:rsid w:val="0078429D"/>
    <w:rsid w:val="007842DA"/>
    <w:rsid w:val="00784361"/>
    <w:rsid w:val="007843F2"/>
    <w:rsid w:val="00784568"/>
    <w:rsid w:val="007845A6"/>
    <w:rsid w:val="007845AB"/>
    <w:rsid w:val="007846FA"/>
    <w:rsid w:val="00784714"/>
    <w:rsid w:val="007847B9"/>
    <w:rsid w:val="00784AAA"/>
    <w:rsid w:val="00784BC1"/>
    <w:rsid w:val="00784DEB"/>
    <w:rsid w:val="00784E18"/>
    <w:rsid w:val="00784ECA"/>
    <w:rsid w:val="00785031"/>
    <w:rsid w:val="0078504A"/>
    <w:rsid w:val="0078504D"/>
    <w:rsid w:val="00785123"/>
    <w:rsid w:val="00785173"/>
    <w:rsid w:val="00785250"/>
    <w:rsid w:val="00785378"/>
    <w:rsid w:val="0078537B"/>
    <w:rsid w:val="00785611"/>
    <w:rsid w:val="00785742"/>
    <w:rsid w:val="00785808"/>
    <w:rsid w:val="0078581D"/>
    <w:rsid w:val="0078586A"/>
    <w:rsid w:val="00785930"/>
    <w:rsid w:val="00785987"/>
    <w:rsid w:val="00785A18"/>
    <w:rsid w:val="00785A67"/>
    <w:rsid w:val="00785A9F"/>
    <w:rsid w:val="00785AA4"/>
    <w:rsid w:val="00785B72"/>
    <w:rsid w:val="00785C69"/>
    <w:rsid w:val="0078625B"/>
    <w:rsid w:val="007863B1"/>
    <w:rsid w:val="007863D3"/>
    <w:rsid w:val="0078674E"/>
    <w:rsid w:val="00786887"/>
    <w:rsid w:val="007868F0"/>
    <w:rsid w:val="00786A8A"/>
    <w:rsid w:val="00786C66"/>
    <w:rsid w:val="00786DEE"/>
    <w:rsid w:val="00786EBB"/>
    <w:rsid w:val="00786EED"/>
    <w:rsid w:val="0078711F"/>
    <w:rsid w:val="007873E9"/>
    <w:rsid w:val="00787683"/>
    <w:rsid w:val="0078787D"/>
    <w:rsid w:val="00787AD8"/>
    <w:rsid w:val="00787BB8"/>
    <w:rsid w:val="00787C8C"/>
    <w:rsid w:val="00787D92"/>
    <w:rsid w:val="00787E68"/>
    <w:rsid w:val="007900C3"/>
    <w:rsid w:val="0079022D"/>
    <w:rsid w:val="007903A3"/>
    <w:rsid w:val="00790745"/>
    <w:rsid w:val="00790A2A"/>
    <w:rsid w:val="00790A2F"/>
    <w:rsid w:val="00790AB4"/>
    <w:rsid w:val="00790C62"/>
    <w:rsid w:val="00790CA3"/>
    <w:rsid w:val="00790CC6"/>
    <w:rsid w:val="00790D5E"/>
    <w:rsid w:val="00790DBD"/>
    <w:rsid w:val="00790DC3"/>
    <w:rsid w:val="00790E95"/>
    <w:rsid w:val="00790FBE"/>
    <w:rsid w:val="007911F6"/>
    <w:rsid w:val="00791354"/>
    <w:rsid w:val="00791380"/>
    <w:rsid w:val="00791411"/>
    <w:rsid w:val="007916B8"/>
    <w:rsid w:val="0079182E"/>
    <w:rsid w:val="00791A9A"/>
    <w:rsid w:val="00791E0E"/>
    <w:rsid w:val="00791EDF"/>
    <w:rsid w:val="0079204F"/>
    <w:rsid w:val="007921F9"/>
    <w:rsid w:val="007922AE"/>
    <w:rsid w:val="00792313"/>
    <w:rsid w:val="007925DF"/>
    <w:rsid w:val="00792750"/>
    <w:rsid w:val="00792868"/>
    <w:rsid w:val="007928A3"/>
    <w:rsid w:val="00792AD4"/>
    <w:rsid w:val="00792B6D"/>
    <w:rsid w:val="00792D22"/>
    <w:rsid w:val="00792D44"/>
    <w:rsid w:val="00792E87"/>
    <w:rsid w:val="00792F17"/>
    <w:rsid w:val="00792FF9"/>
    <w:rsid w:val="007931B9"/>
    <w:rsid w:val="007934E5"/>
    <w:rsid w:val="00793660"/>
    <w:rsid w:val="007937FA"/>
    <w:rsid w:val="007939B6"/>
    <w:rsid w:val="007939D3"/>
    <w:rsid w:val="00793E0B"/>
    <w:rsid w:val="00793E51"/>
    <w:rsid w:val="00793F7C"/>
    <w:rsid w:val="00793FD1"/>
    <w:rsid w:val="0079422E"/>
    <w:rsid w:val="00794279"/>
    <w:rsid w:val="007944EC"/>
    <w:rsid w:val="00794587"/>
    <w:rsid w:val="00794729"/>
    <w:rsid w:val="00794B24"/>
    <w:rsid w:val="00795122"/>
    <w:rsid w:val="00795146"/>
    <w:rsid w:val="007954C8"/>
    <w:rsid w:val="00795D88"/>
    <w:rsid w:val="00795F27"/>
    <w:rsid w:val="00795FE4"/>
    <w:rsid w:val="007967FA"/>
    <w:rsid w:val="00796822"/>
    <w:rsid w:val="00796AB7"/>
    <w:rsid w:val="00796ACC"/>
    <w:rsid w:val="00796BB5"/>
    <w:rsid w:val="00796C50"/>
    <w:rsid w:val="00796E03"/>
    <w:rsid w:val="0079710A"/>
    <w:rsid w:val="00797233"/>
    <w:rsid w:val="007972EC"/>
    <w:rsid w:val="00797646"/>
    <w:rsid w:val="00797968"/>
    <w:rsid w:val="007979AF"/>
    <w:rsid w:val="007979B3"/>
    <w:rsid w:val="007979C2"/>
    <w:rsid w:val="00797A52"/>
    <w:rsid w:val="00797AF3"/>
    <w:rsid w:val="00797B19"/>
    <w:rsid w:val="00797B44"/>
    <w:rsid w:val="00797D24"/>
    <w:rsid w:val="00797F65"/>
    <w:rsid w:val="007A005D"/>
    <w:rsid w:val="007A0304"/>
    <w:rsid w:val="007A07C7"/>
    <w:rsid w:val="007A08AA"/>
    <w:rsid w:val="007A0A12"/>
    <w:rsid w:val="007A0F5C"/>
    <w:rsid w:val="007A109E"/>
    <w:rsid w:val="007A11CC"/>
    <w:rsid w:val="007A130F"/>
    <w:rsid w:val="007A132D"/>
    <w:rsid w:val="007A1341"/>
    <w:rsid w:val="007A1345"/>
    <w:rsid w:val="007A13C8"/>
    <w:rsid w:val="007A17DB"/>
    <w:rsid w:val="007A17ED"/>
    <w:rsid w:val="007A1866"/>
    <w:rsid w:val="007A1C72"/>
    <w:rsid w:val="007A1CC1"/>
    <w:rsid w:val="007A1CD3"/>
    <w:rsid w:val="007A1F9F"/>
    <w:rsid w:val="007A217E"/>
    <w:rsid w:val="007A232A"/>
    <w:rsid w:val="007A2383"/>
    <w:rsid w:val="007A257F"/>
    <w:rsid w:val="007A264D"/>
    <w:rsid w:val="007A26A4"/>
    <w:rsid w:val="007A2706"/>
    <w:rsid w:val="007A28FA"/>
    <w:rsid w:val="007A2976"/>
    <w:rsid w:val="007A2A57"/>
    <w:rsid w:val="007A2C5D"/>
    <w:rsid w:val="007A2D30"/>
    <w:rsid w:val="007A2DDB"/>
    <w:rsid w:val="007A2E1B"/>
    <w:rsid w:val="007A2EA2"/>
    <w:rsid w:val="007A304F"/>
    <w:rsid w:val="007A3065"/>
    <w:rsid w:val="007A3152"/>
    <w:rsid w:val="007A3154"/>
    <w:rsid w:val="007A3396"/>
    <w:rsid w:val="007A34C1"/>
    <w:rsid w:val="007A3506"/>
    <w:rsid w:val="007A35F0"/>
    <w:rsid w:val="007A36B0"/>
    <w:rsid w:val="007A372A"/>
    <w:rsid w:val="007A38F1"/>
    <w:rsid w:val="007A3B31"/>
    <w:rsid w:val="007A3C5F"/>
    <w:rsid w:val="007A3CED"/>
    <w:rsid w:val="007A3D67"/>
    <w:rsid w:val="007A3D9D"/>
    <w:rsid w:val="007A3E8B"/>
    <w:rsid w:val="007A407C"/>
    <w:rsid w:val="007A41B8"/>
    <w:rsid w:val="007A4265"/>
    <w:rsid w:val="007A4345"/>
    <w:rsid w:val="007A44D0"/>
    <w:rsid w:val="007A466F"/>
    <w:rsid w:val="007A4703"/>
    <w:rsid w:val="007A492B"/>
    <w:rsid w:val="007A4938"/>
    <w:rsid w:val="007A4B40"/>
    <w:rsid w:val="007A4C23"/>
    <w:rsid w:val="007A4C82"/>
    <w:rsid w:val="007A4CB5"/>
    <w:rsid w:val="007A4E1C"/>
    <w:rsid w:val="007A4E81"/>
    <w:rsid w:val="007A4F76"/>
    <w:rsid w:val="007A4F78"/>
    <w:rsid w:val="007A4FDF"/>
    <w:rsid w:val="007A5059"/>
    <w:rsid w:val="007A5155"/>
    <w:rsid w:val="007A547F"/>
    <w:rsid w:val="007A54CF"/>
    <w:rsid w:val="007A5925"/>
    <w:rsid w:val="007A59EF"/>
    <w:rsid w:val="007A6A0F"/>
    <w:rsid w:val="007A6B9B"/>
    <w:rsid w:val="007A6C01"/>
    <w:rsid w:val="007A6C4F"/>
    <w:rsid w:val="007A6D23"/>
    <w:rsid w:val="007A6DC0"/>
    <w:rsid w:val="007A6F56"/>
    <w:rsid w:val="007A6F89"/>
    <w:rsid w:val="007A70BA"/>
    <w:rsid w:val="007A718B"/>
    <w:rsid w:val="007A71A5"/>
    <w:rsid w:val="007A7336"/>
    <w:rsid w:val="007A75DC"/>
    <w:rsid w:val="007A75E4"/>
    <w:rsid w:val="007A763F"/>
    <w:rsid w:val="007A7670"/>
    <w:rsid w:val="007A774A"/>
    <w:rsid w:val="007A77EC"/>
    <w:rsid w:val="007A7C34"/>
    <w:rsid w:val="007A7C4B"/>
    <w:rsid w:val="007A7D29"/>
    <w:rsid w:val="007A7E04"/>
    <w:rsid w:val="007A7F4F"/>
    <w:rsid w:val="007A7FAC"/>
    <w:rsid w:val="007B035B"/>
    <w:rsid w:val="007B041F"/>
    <w:rsid w:val="007B04BC"/>
    <w:rsid w:val="007B06AA"/>
    <w:rsid w:val="007B08EF"/>
    <w:rsid w:val="007B0A77"/>
    <w:rsid w:val="007B0C09"/>
    <w:rsid w:val="007B0C8A"/>
    <w:rsid w:val="007B0D68"/>
    <w:rsid w:val="007B0D86"/>
    <w:rsid w:val="007B0FAA"/>
    <w:rsid w:val="007B11CF"/>
    <w:rsid w:val="007B11E2"/>
    <w:rsid w:val="007B1342"/>
    <w:rsid w:val="007B149F"/>
    <w:rsid w:val="007B1508"/>
    <w:rsid w:val="007B1623"/>
    <w:rsid w:val="007B18C8"/>
    <w:rsid w:val="007B198D"/>
    <w:rsid w:val="007B1AB2"/>
    <w:rsid w:val="007B1AFB"/>
    <w:rsid w:val="007B1BD5"/>
    <w:rsid w:val="007B1DD2"/>
    <w:rsid w:val="007B1EC2"/>
    <w:rsid w:val="007B20BA"/>
    <w:rsid w:val="007B20C8"/>
    <w:rsid w:val="007B2144"/>
    <w:rsid w:val="007B214D"/>
    <w:rsid w:val="007B22CC"/>
    <w:rsid w:val="007B2334"/>
    <w:rsid w:val="007B23F1"/>
    <w:rsid w:val="007B24C9"/>
    <w:rsid w:val="007B251D"/>
    <w:rsid w:val="007B25AB"/>
    <w:rsid w:val="007B2612"/>
    <w:rsid w:val="007B27B1"/>
    <w:rsid w:val="007B27C3"/>
    <w:rsid w:val="007B28BD"/>
    <w:rsid w:val="007B28DC"/>
    <w:rsid w:val="007B2B52"/>
    <w:rsid w:val="007B2C1D"/>
    <w:rsid w:val="007B2F32"/>
    <w:rsid w:val="007B310C"/>
    <w:rsid w:val="007B3111"/>
    <w:rsid w:val="007B3166"/>
    <w:rsid w:val="007B31E6"/>
    <w:rsid w:val="007B3496"/>
    <w:rsid w:val="007B34CF"/>
    <w:rsid w:val="007B3533"/>
    <w:rsid w:val="007B354A"/>
    <w:rsid w:val="007B3686"/>
    <w:rsid w:val="007B3A6C"/>
    <w:rsid w:val="007B3AB0"/>
    <w:rsid w:val="007B3E1D"/>
    <w:rsid w:val="007B3FA9"/>
    <w:rsid w:val="007B4165"/>
    <w:rsid w:val="007B4223"/>
    <w:rsid w:val="007B44E2"/>
    <w:rsid w:val="007B4653"/>
    <w:rsid w:val="007B47C6"/>
    <w:rsid w:val="007B4C51"/>
    <w:rsid w:val="007B4D13"/>
    <w:rsid w:val="007B4F58"/>
    <w:rsid w:val="007B504F"/>
    <w:rsid w:val="007B51CB"/>
    <w:rsid w:val="007B528D"/>
    <w:rsid w:val="007B52B9"/>
    <w:rsid w:val="007B54B8"/>
    <w:rsid w:val="007B56F1"/>
    <w:rsid w:val="007B5800"/>
    <w:rsid w:val="007B5D56"/>
    <w:rsid w:val="007B5ECE"/>
    <w:rsid w:val="007B63CA"/>
    <w:rsid w:val="007B6489"/>
    <w:rsid w:val="007B64C3"/>
    <w:rsid w:val="007B65C5"/>
    <w:rsid w:val="007B66D4"/>
    <w:rsid w:val="007B671F"/>
    <w:rsid w:val="007B676F"/>
    <w:rsid w:val="007B6886"/>
    <w:rsid w:val="007B69A4"/>
    <w:rsid w:val="007B6BE5"/>
    <w:rsid w:val="007B6C86"/>
    <w:rsid w:val="007B7013"/>
    <w:rsid w:val="007B727D"/>
    <w:rsid w:val="007B72F6"/>
    <w:rsid w:val="007B7365"/>
    <w:rsid w:val="007B77D1"/>
    <w:rsid w:val="007B77DE"/>
    <w:rsid w:val="007B7A33"/>
    <w:rsid w:val="007B7ABA"/>
    <w:rsid w:val="007B7BC2"/>
    <w:rsid w:val="007B7D89"/>
    <w:rsid w:val="007B7E9D"/>
    <w:rsid w:val="007B7EE4"/>
    <w:rsid w:val="007C0772"/>
    <w:rsid w:val="007C07C7"/>
    <w:rsid w:val="007C085D"/>
    <w:rsid w:val="007C086C"/>
    <w:rsid w:val="007C087A"/>
    <w:rsid w:val="007C0AA0"/>
    <w:rsid w:val="007C0D62"/>
    <w:rsid w:val="007C0DA1"/>
    <w:rsid w:val="007C0DD6"/>
    <w:rsid w:val="007C0FAD"/>
    <w:rsid w:val="007C1026"/>
    <w:rsid w:val="007C11AD"/>
    <w:rsid w:val="007C11BA"/>
    <w:rsid w:val="007C125E"/>
    <w:rsid w:val="007C1344"/>
    <w:rsid w:val="007C13B4"/>
    <w:rsid w:val="007C1440"/>
    <w:rsid w:val="007C15A5"/>
    <w:rsid w:val="007C16F3"/>
    <w:rsid w:val="007C177B"/>
    <w:rsid w:val="007C179E"/>
    <w:rsid w:val="007C1842"/>
    <w:rsid w:val="007C188C"/>
    <w:rsid w:val="007C1CA3"/>
    <w:rsid w:val="007C1CD9"/>
    <w:rsid w:val="007C1D3E"/>
    <w:rsid w:val="007C1EF5"/>
    <w:rsid w:val="007C1F0A"/>
    <w:rsid w:val="007C20A5"/>
    <w:rsid w:val="007C224D"/>
    <w:rsid w:val="007C22D8"/>
    <w:rsid w:val="007C249D"/>
    <w:rsid w:val="007C2545"/>
    <w:rsid w:val="007C25EC"/>
    <w:rsid w:val="007C26B5"/>
    <w:rsid w:val="007C26DA"/>
    <w:rsid w:val="007C2752"/>
    <w:rsid w:val="007C2992"/>
    <w:rsid w:val="007C2E11"/>
    <w:rsid w:val="007C2F7C"/>
    <w:rsid w:val="007C304C"/>
    <w:rsid w:val="007C32EF"/>
    <w:rsid w:val="007C33BA"/>
    <w:rsid w:val="007C35F7"/>
    <w:rsid w:val="007C361D"/>
    <w:rsid w:val="007C362B"/>
    <w:rsid w:val="007C3670"/>
    <w:rsid w:val="007C3791"/>
    <w:rsid w:val="007C37A2"/>
    <w:rsid w:val="007C3856"/>
    <w:rsid w:val="007C392A"/>
    <w:rsid w:val="007C396A"/>
    <w:rsid w:val="007C39F0"/>
    <w:rsid w:val="007C3A20"/>
    <w:rsid w:val="007C3BD6"/>
    <w:rsid w:val="007C4057"/>
    <w:rsid w:val="007C409D"/>
    <w:rsid w:val="007C4215"/>
    <w:rsid w:val="007C44FF"/>
    <w:rsid w:val="007C4516"/>
    <w:rsid w:val="007C451F"/>
    <w:rsid w:val="007C4567"/>
    <w:rsid w:val="007C472C"/>
    <w:rsid w:val="007C495F"/>
    <w:rsid w:val="007C4989"/>
    <w:rsid w:val="007C4A39"/>
    <w:rsid w:val="007C4A60"/>
    <w:rsid w:val="007C4A9F"/>
    <w:rsid w:val="007C4B84"/>
    <w:rsid w:val="007C4D81"/>
    <w:rsid w:val="007C4F01"/>
    <w:rsid w:val="007C5030"/>
    <w:rsid w:val="007C51C3"/>
    <w:rsid w:val="007C52E0"/>
    <w:rsid w:val="007C55BC"/>
    <w:rsid w:val="007C55DC"/>
    <w:rsid w:val="007C59D6"/>
    <w:rsid w:val="007C5A36"/>
    <w:rsid w:val="007C5A53"/>
    <w:rsid w:val="007C5B00"/>
    <w:rsid w:val="007C5B1E"/>
    <w:rsid w:val="007C5BB4"/>
    <w:rsid w:val="007C5BE0"/>
    <w:rsid w:val="007C5C0F"/>
    <w:rsid w:val="007C5C9B"/>
    <w:rsid w:val="007C5CC1"/>
    <w:rsid w:val="007C5EF3"/>
    <w:rsid w:val="007C5F44"/>
    <w:rsid w:val="007C5F4D"/>
    <w:rsid w:val="007C6124"/>
    <w:rsid w:val="007C62A2"/>
    <w:rsid w:val="007C6328"/>
    <w:rsid w:val="007C652D"/>
    <w:rsid w:val="007C67E6"/>
    <w:rsid w:val="007C683B"/>
    <w:rsid w:val="007C6860"/>
    <w:rsid w:val="007C69DA"/>
    <w:rsid w:val="007C6AC9"/>
    <w:rsid w:val="007C6D1E"/>
    <w:rsid w:val="007C6DC1"/>
    <w:rsid w:val="007C6DC3"/>
    <w:rsid w:val="007C7025"/>
    <w:rsid w:val="007C7076"/>
    <w:rsid w:val="007C70B5"/>
    <w:rsid w:val="007C70F9"/>
    <w:rsid w:val="007C70FC"/>
    <w:rsid w:val="007C70FF"/>
    <w:rsid w:val="007C7185"/>
    <w:rsid w:val="007C7344"/>
    <w:rsid w:val="007C74FD"/>
    <w:rsid w:val="007C7584"/>
    <w:rsid w:val="007C76F2"/>
    <w:rsid w:val="007C7A39"/>
    <w:rsid w:val="007C7C25"/>
    <w:rsid w:val="007C7C93"/>
    <w:rsid w:val="007C7CCB"/>
    <w:rsid w:val="007C7E8D"/>
    <w:rsid w:val="007C7EB3"/>
    <w:rsid w:val="007C7EDD"/>
    <w:rsid w:val="007C7F29"/>
    <w:rsid w:val="007C7FD5"/>
    <w:rsid w:val="007D0015"/>
    <w:rsid w:val="007D004F"/>
    <w:rsid w:val="007D008E"/>
    <w:rsid w:val="007D022D"/>
    <w:rsid w:val="007D0300"/>
    <w:rsid w:val="007D035F"/>
    <w:rsid w:val="007D042F"/>
    <w:rsid w:val="007D0690"/>
    <w:rsid w:val="007D06B2"/>
    <w:rsid w:val="007D08F3"/>
    <w:rsid w:val="007D0921"/>
    <w:rsid w:val="007D0929"/>
    <w:rsid w:val="007D0936"/>
    <w:rsid w:val="007D0B38"/>
    <w:rsid w:val="007D0EA7"/>
    <w:rsid w:val="007D0F20"/>
    <w:rsid w:val="007D1493"/>
    <w:rsid w:val="007D1792"/>
    <w:rsid w:val="007D181A"/>
    <w:rsid w:val="007D187B"/>
    <w:rsid w:val="007D1893"/>
    <w:rsid w:val="007D19C1"/>
    <w:rsid w:val="007D1A9C"/>
    <w:rsid w:val="007D1CD6"/>
    <w:rsid w:val="007D1E81"/>
    <w:rsid w:val="007D1F9C"/>
    <w:rsid w:val="007D1FDC"/>
    <w:rsid w:val="007D2103"/>
    <w:rsid w:val="007D21EF"/>
    <w:rsid w:val="007D23AC"/>
    <w:rsid w:val="007D244B"/>
    <w:rsid w:val="007D24CD"/>
    <w:rsid w:val="007D252E"/>
    <w:rsid w:val="007D256A"/>
    <w:rsid w:val="007D2627"/>
    <w:rsid w:val="007D29F1"/>
    <w:rsid w:val="007D2A43"/>
    <w:rsid w:val="007D2CC5"/>
    <w:rsid w:val="007D2E5F"/>
    <w:rsid w:val="007D2E8C"/>
    <w:rsid w:val="007D2F94"/>
    <w:rsid w:val="007D3288"/>
    <w:rsid w:val="007D33A3"/>
    <w:rsid w:val="007D33C4"/>
    <w:rsid w:val="007D3454"/>
    <w:rsid w:val="007D3574"/>
    <w:rsid w:val="007D3657"/>
    <w:rsid w:val="007D367F"/>
    <w:rsid w:val="007D36E9"/>
    <w:rsid w:val="007D37B4"/>
    <w:rsid w:val="007D3984"/>
    <w:rsid w:val="007D3D64"/>
    <w:rsid w:val="007D4012"/>
    <w:rsid w:val="007D4066"/>
    <w:rsid w:val="007D409D"/>
    <w:rsid w:val="007D42EE"/>
    <w:rsid w:val="007D435F"/>
    <w:rsid w:val="007D471E"/>
    <w:rsid w:val="007D4906"/>
    <w:rsid w:val="007D4AF0"/>
    <w:rsid w:val="007D4F16"/>
    <w:rsid w:val="007D4F42"/>
    <w:rsid w:val="007D50E8"/>
    <w:rsid w:val="007D52C4"/>
    <w:rsid w:val="007D5302"/>
    <w:rsid w:val="007D53A6"/>
    <w:rsid w:val="007D5440"/>
    <w:rsid w:val="007D5461"/>
    <w:rsid w:val="007D56B9"/>
    <w:rsid w:val="007D5733"/>
    <w:rsid w:val="007D581D"/>
    <w:rsid w:val="007D582A"/>
    <w:rsid w:val="007D59DB"/>
    <w:rsid w:val="007D5EC9"/>
    <w:rsid w:val="007D5EE5"/>
    <w:rsid w:val="007D5F91"/>
    <w:rsid w:val="007D644A"/>
    <w:rsid w:val="007D649B"/>
    <w:rsid w:val="007D6510"/>
    <w:rsid w:val="007D66A0"/>
    <w:rsid w:val="007D67A6"/>
    <w:rsid w:val="007D6824"/>
    <w:rsid w:val="007D68A5"/>
    <w:rsid w:val="007D69EB"/>
    <w:rsid w:val="007D6F12"/>
    <w:rsid w:val="007D7023"/>
    <w:rsid w:val="007D7056"/>
    <w:rsid w:val="007D7359"/>
    <w:rsid w:val="007D73E6"/>
    <w:rsid w:val="007D74DD"/>
    <w:rsid w:val="007D778C"/>
    <w:rsid w:val="007D78FC"/>
    <w:rsid w:val="007D7950"/>
    <w:rsid w:val="007D7A83"/>
    <w:rsid w:val="007D7BF8"/>
    <w:rsid w:val="007D7D01"/>
    <w:rsid w:val="007D7D8C"/>
    <w:rsid w:val="007D7E75"/>
    <w:rsid w:val="007E0084"/>
    <w:rsid w:val="007E00EE"/>
    <w:rsid w:val="007E0312"/>
    <w:rsid w:val="007E0377"/>
    <w:rsid w:val="007E06A0"/>
    <w:rsid w:val="007E0A7F"/>
    <w:rsid w:val="007E0D7A"/>
    <w:rsid w:val="007E0F63"/>
    <w:rsid w:val="007E1183"/>
    <w:rsid w:val="007E128F"/>
    <w:rsid w:val="007E1360"/>
    <w:rsid w:val="007E14EE"/>
    <w:rsid w:val="007E1571"/>
    <w:rsid w:val="007E1829"/>
    <w:rsid w:val="007E19A5"/>
    <w:rsid w:val="007E1A0A"/>
    <w:rsid w:val="007E1A5E"/>
    <w:rsid w:val="007E1B02"/>
    <w:rsid w:val="007E1F1B"/>
    <w:rsid w:val="007E20A0"/>
    <w:rsid w:val="007E2216"/>
    <w:rsid w:val="007E22C7"/>
    <w:rsid w:val="007E24E2"/>
    <w:rsid w:val="007E26AF"/>
    <w:rsid w:val="007E2716"/>
    <w:rsid w:val="007E278C"/>
    <w:rsid w:val="007E29F0"/>
    <w:rsid w:val="007E2E92"/>
    <w:rsid w:val="007E316A"/>
    <w:rsid w:val="007E3BA0"/>
    <w:rsid w:val="007E3EF8"/>
    <w:rsid w:val="007E3FBC"/>
    <w:rsid w:val="007E4046"/>
    <w:rsid w:val="007E4347"/>
    <w:rsid w:val="007E4354"/>
    <w:rsid w:val="007E4425"/>
    <w:rsid w:val="007E442A"/>
    <w:rsid w:val="007E4478"/>
    <w:rsid w:val="007E44FE"/>
    <w:rsid w:val="007E4754"/>
    <w:rsid w:val="007E48F1"/>
    <w:rsid w:val="007E4DB8"/>
    <w:rsid w:val="007E4DC0"/>
    <w:rsid w:val="007E5023"/>
    <w:rsid w:val="007E50BC"/>
    <w:rsid w:val="007E5145"/>
    <w:rsid w:val="007E515D"/>
    <w:rsid w:val="007E53BA"/>
    <w:rsid w:val="007E5516"/>
    <w:rsid w:val="007E568A"/>
    <w:rsid w:val="007E5693"/>
    <w:rsid w:val="007E5B62"/>
    <w:rsid w:val="007E5CA0"/>
    <w:rsid w:val="007E5CFD"/>
    <w:rsid w:val="007E5D96"/>
    <w:rsid w:val="007E6004"/>
    <w:rsid w:val="007E6014"/>
    <w:rsid w:val="007E6407"/>
    <w:rsid w:val="007E6410"/>
    <w:rsid w:val="007E6584"/>
    <w:rsid w:val="007E6898"/>
    <w:rsid w:val="007E68EA"/>
    <w:rsid w:val="007E6D2F"/>
    <w:rsid w:val="007E72F4"/>
    <w:rsid w:val="007E742B"/>
    <w:rsid w:val="007E7558"/>
    <w:rsid w:val="007E7584"/>
    <w:rsid w:val="007E760D"/>
    <w:rsid w:val="007E76D3"/>
    <w:rsid w:val="007E781F"/>
    <w:rsid w:val="007E783B"/>
    <w:rsid w:val="007E7BEF"/>
    <w:rsid w:val="007E7C55"/>
    <w:rsid w:val="007E7C81"/>
    <w:rsid w:val="007E7E56"/>
    <w:rsid w:val="007E7F52"/>
    <w:rsid w:val="007F0100"/>
    <w:rsid w:val="007F0164"/>
    <w:rsid w:val="007F038B"/>
    <w:rsid w:val="007F0587"/>
    <w:rsid w:val="007F05CB"/>
    <w:rsid w:val="007F0695"/>
    <w:rsid w:val="007F06AE"/>
    <w:rsid w:val="007F0893"/>
    <w:rsid w:val="007F08FC"/>
    <w:rsid w:val="007F097F"/>
    <w:rsid w:val="007F0B54"/>
    <w:rsid w:val="007F0B79"/>
    <w:rsid w:val="007F0C81"/>
    <w:rsid w:val="007F0CF1"/>
    <w:rsid w:val="007F0D0A"/>
    <w:rsid w:val="007F0E54"/>
    <w:rsid w:val="007F0F6B"/>
    <w:rsid w:val="007F1017"/>
    <w:rsid w:val="007F1125"/>
    <w:rsid w:val="007F11C0"/>
    <w:rsid w:val="007F1211"/>
    <w:rsid w:val="007F12F3"/>
    <w:rsid w:val="007F157A"/>
    <w:rsid w:val="007F1728"/>
    <w:rsid w:val="007F1729"/>
    <w:rsid w:val="007F1863"/>
    <w:rsid w:val="007F1994"/>
    <w:rsid w:val="007F1A17"/>
    <w:rsid w:val="007F1B00"/>
    <w:rsid w:val="007F1C49"/>
    <w:rsid w:val="007F1D61"/>
    <w:rsid w:val="007F1E51"/>
    <w:rsid w:val="007F1FFC"/>
    <w:rsid w:val="007F20B5"/>
    <w:rsid w:val="007F24C2"/>
    <w:rsid w:val="007F2508"/>
    <w:rsid w:val="007F2621"/>
    <w:rsid w:val="007F2631"/>
    <w:rsid w:val="007F2637"/>
    <w:rsid w:val="007F284F"/>
    <w:rsid w:val="007F288D"/>
    <w:rsid w:val="007F2A0C"/>
    <w:rsid w:val="007F2ACD"/>
    <w:rsid w:val="007F2AFC"/>
    <w:rsid w:val="007F2D11"/>
    <w:rsid w:val="007F2F79"/>
    <w:rsid w:val="007F3046"/>
    <w:rsid w:val="007F338C"/>
    <w:rsid w:val="007F3799"/>
    <w:rsid w:val="007F37A8"/>
    <w:rsid w:val="007F3872"/>
    <w:rsid w:val="007F38AD"/>
    <w:rsid w:val="007F406F"/>
    <w:rsid w:val="007F413A"/>
    <w:rsid w:val="007F4300"/>
    <w:rsid w:val="007F4446"/>
    <w:rsid w:val="007F460A"/>
    <w:rsid w:val="007F4738"/>
    <w:rsid w:val="007F490E"/>
    <w:rsid w:val="007F4A3F"/>
    <w:rsid w:val="007F4A61"/>
    <w:rsid w:val="007F4DD1"/>
    <w:rsid w:val="007F4E55"/>
    <w:rsid w:val="007F4E76"/>
    <w:rsid w:val="007F4EC7"/>
    <w:rsid w:val="007F5165"/>
    <w:rsid w:val="007F518B"/>
    <w:rsid w:val="007F51EC"/>
    <w:rsid w:val="007F5255"/>
    <w:rsid w:val="007F5429"/>
    <w:rsid w:val="007F54EB"/>
    <w:rsid w:val="007F5528"/>
    <w:rsid w:val="007F5659"/>
    <w:rsid w:val="007F56CC"/>
    <w:rsid w:val="007F5875"/>
    <w:rsid w:val="007F596E"/>
    <w:rsid w:val="007F5B45"/>
    <w:rsid w:val="007F5BBA"/>
    <w:rsid w:val="007F5CDD"/>
    <w:rsid w:val="007F5D32"/>
    <w:rsid w:val="007F5DFD"/>
    <w:rsid w:val="007F5ECD"/>
    <w:rsid w:val="007F60DA"/>
    <w:rsid w:val="007F61C2"/>
    <w:rsid w:val="007F66F1"/>
    <w:rsid w:val="007F67D0"/>
    <w:rsid w:val="007F6D0B"/>
    <w:rsid w:val="007F6D73"/>
    <w:rsid w:val="007F7100"/>
    <w:rsid w:val="007F728E"/>
    <w:rsid w:val="007F7513"/>
    <w:rsid w:val="007F7570"/>
    <w:rsid w:val="007F769D"/>
    <w:rsid w:val="007F7782"/>
    <w:rsid w:val="007F7A16"/>
    <w:rsid w:val="007F7B4D"/>
    <w:rsid w:val="007F7C91"/>
    <w:rsid w:val="007F7EEF"/>
    <w:rsid w:val="008003E5"/>
    <w:rsid w:val="0080048E"/>
    <w:rsid w:val="00800495"/>
    <w:rsid w:val="00800891"/>
    <w:rsid w:val="00800B80"/>
    <w:rsid w:val="00800CAA"/>
    <w:rsid w:val="00800CB8"/>
    <w:rsid w:val="00800CDD"/>
    <w:rsid w:val="00800E11"/>
    <w:rsid w:val="00800EAF"/>
    <w:rsid w:val="00800EBA"/>
    <w:rsid w:val="00800F01"/>
    <w:rsid w:val="00800F0B"/>
    <w:rsid w:val="00800F8B"/>
    <w:rsid w:val="00800FBF"/>
    <w:rsid w:val="0080114F"/>
    <w:rsid w:val="008012B6"/>
    <w:rsid w:val="00801326"/>
    <w:rsid w:val="008013BF"/>
    <w:rsid w:val="008013D7"/>
    <w:rsid w:val="00801658"/>
    <w:rsid w:val="00801686"/>
    <w:rsid w:val="00801799"/>
    <w:rsid w:val="00801959"/>
    <w:rsid w:val="008019EF"/>
    <w:rsid w:val="00801C3A"/>
    <w:rsid w:val="00801FAE"/>
    <w:rsid w:val="008025C5"/>
    <w:rsid w:val="00802660"/>
    <w:rsid w:val="008027D9"/>
    <w:rsid w:val="008027FB"/>
    <w:rsid w:val="0080286F"/>
    <w:rsid w:val="00802872"/>
    <w:rsid w:val="00802B2D"/>
    <w:rsid w:val="00803164"/>
    <w:rsid w:val="008031E8"/>
    <w:rsid w:val="00803441"/>
    <w:rsid w:val="008034C7"/>
    <w:rsid w:val="008034E5"/>
    <w:rsid w:val="00803670"/>
    <w:rsid w:val="00803696"/>
    <w:rsid w:val="0080381B"/>
    <w:rsid w:val="008038AC"/>
    <w:rsid w:val="00803B95"/>
    <w:rsid w:val="00803C9B"/>
    <w:rsid w:val="00803E3F"/>
    <w:rsid w:val="00803E47"/>
    <w:rsid w:val="00803E77"/>
    <w:rsid w:val="00803F4E"/>
    <w:rsid w:val="00804136"/>
    <w:rsid w:val="00804160"/>
    <w:rsid w:val="00804169"/>
    <w:rsid w:val="0080417E"/>
    <w:rsid w:val="008041BC"/>
    <w:rsid w:val="008041EC"/>
    <w:rsid w:val="00804304"/>
    <w:rsid w:val="00804515"/>
    <w:rsid w:val="00804973"/>
    <w:rsid w:val="008049D3"/>
    <w:rsid w:val="00804A41"/>
    <w:rsid w:val="00805063"/>
    <w:rsid w:val="0080510B"/>
    <w:rsid w:val="00805142"/>
    <w:rsid w:val="0080517F"/>
    <w:rsid w:val="008053E6"/>
    <w:rsid w:val="00805456"/>
    <w:rsid w:val="0080566B"/>
    <w:rsid w:val="00805A16"/>
    <w:rsid w:val="00805AB2"/>
    <w:rsid w:val="00805B0B"/>
    <w:rsid w:val="00805E74"/>
    <w:rsid w:val="00805E83"/>
    <w:rsid w:val="00805FCE"/>
    <w:rsid w:val="0080611B"/>
    <w:rsid w:val="0080622C"/>
    <w:rsid w:val="00806414"/>
    <w:rsid w:val="00806493"/>
    <w:rsid w:val="00806551"/>
    <w:rsid w:val="00806739"/>
    <w:rsid w:val="0080680A"/>
    <w:rsid w:val="00806A01"/>
    <w:rsid w:val="00806BCF"/>
    <w:rsid w:val="00806D1C"/>
    <w:rsid w:val="00806D3F"/>
    <w:rsid w:val="00806D56"/>
    <w:rsid w:val="00806FEC"/>
    <w:rsid w:val="00807542"/>
    <w:rsid w:val="00807788"/>
    <w:rsid w:val="00807A8B"/>
    <w:rsid w:val="00807C20"/>
    <w:rsid w:val="00807CFD"/>
    <w:rsid w:val="00810087"/>
    <w:rsid w:val="008101D8"/>
    <w:rsid w:val="008101FA"/>
    <w:rsid w:val="00810365"/>
    <w:rsid w:val="0081037E"/>
    <w:rsid w:val="0081057B"/>
    <w:rsid w:val="00810611"/>
    <w:rsid w:val="008106BE"/>
    <w:rsid w:val="0081085E"/>
    <w:rsid w:val="00810873"/>
    <w:rsid w:val="008108AA"/>
    <w:rsid w:val="00810B17"/>
    <w:rsid w:val="00810D0C"/>
    <w:rsid w:val="00810D90"/>
    <w:rsid w:val="00810D9A"/>
    <w:rsid w:val="00810FC4"/>
    <w:rsid w:val="00811230"/>
    <w:rsid w:val="00811330"/>
    <w:rsid w:val="00811383"/>
    <w:rsid w:val="008113B0"/>
    <w:rsid w:val="00811766"/>
    <w:rsid w:val="008118AE"/>
    <w:rsid w:val="00811BDB"/>
    <w:rsid w:val="00811C7B"/>
    <w:rsid w:val="00811E5E"/>
    <w:rsid w:val="00812149"/>
    <w:rsid w:val="008122BD"/>
    <w:rsid w:val="008123E4"/>
    <w:rsid w:val="00812663"/>
    <w:rsid w:val="0081281A"/>
    <w:rsid w:val="00812911"/>
    <w:rsid w:val="008129DE"/>
    <w:rsid w:val="00812C06"/>
    <w:rsid w:val="00812CAC"/>
    <w:rsid w:val="00812D0E"/>
    <w:rsid w:val="00812DFA"/>
    <w:rsid w:val="00812E4C"/>
    <w:rsid w:val="00813050"/>
    <w:rsid w:val="0081327D"/>
    <w:rsid w:val="00813415"/>
    <w:rsid w:val="008134BC"/>
    <w:rsid w:val="00813576"/>
    <w:rsid w:val="00813582"/>
    <w:rsid w:val="008135B1"/>
    <w:rsid w:val="0081377A"/>
    <w:rsid w:val="008137B6"/>
    <w:rsid w:val="00813A62"/>
    <w:rsid w:val="00813BD4"/>
    <w:rsid w:val="00813C70"/>
    <w:rsid w:val="00813DAE"/>
    <w:rsid w:val="00814003"/>
    <w:rsid w:val="0081406A"/>
    <w:rsid w:val="008142E4"/>
    <w:rsid w:val="0081430B"/>
    <w:rsid w:val="008145C6"/>
    <w:rsid w:val="0081466B"/>
    <w:rsid w:val="00814758"/>
    <w:rsid w:val="008147B7"/>
    <w:rsid w:val="00814818"/>
    <w:rsid w:val="00814960"/>
    <w:rsid w:val="008149AC"/>
    <w:rsid w:val="00814A0C"/>
    <w:rsid w:val="00814A82"/>
    <w:rsid w:val="00814CA8"/>
    <w:rsid w:val="00814D22"/>
    <w:rsid w:val="00814DF2"/>
    <w:rsid w:val="00814E28"/>
    <w:rsid w:val="00814F1E"/>
    <w:rsid w:val="00815008"/>
    <w:rsid w:val="008152C8"/>
    <w:rsid w:val="0081539D"/>
    <w:rsid w:val="0081568F"/>
    <w:rsid w:val="008156ED"/>
    <w:rsid w:val="00815719"/>
    <w:rsid w:val="008157CE"/>
    <w:rsid w:val="00815801"/>
    <w:rsid w:val="008158EF"/>
    <w:rsid w:val="00815952"/>
    <w:rsid w:val="00815D29"/>
    <w:rsid w:val="00815D40"/>
    <w:rsid w:val="00815E73"/>
    <w:rsid w:val="00815F58"/>
    <w:rsid w:val="008162F6"/>
    <w:rsid w:val="00816361"/>
    <w:rsid w:val="00816393"/>
    <w:rsid w:val="0081640E"/>
    <w:rsid w:val="008166DC"/>
    <w:rsid w:val="008166EF"/>
    <w:rsid w:val="00816836"/>
    <w:rsid w:val="00816B88"/>
    <w:rsid w:val="00816E03"/>
    <w:rsid w:val="00816EC1"/>
    <w:rsid w:val="00816FAB"/>
    <w:rsid w:val="00816FEF"/>
    <w:rsid w:val="008170E0"/>
    <w:rsid w:val="008171CD"/>
    <w:rsid w:val="0081722B"/>
    <w:rsid w:val="00817589"/>
    <w:rsid w:val="008175CE"/>
    <w:rsid w:val="0081767E"/>
    <w:rsid w:val="00817AF3"/>
    <w:rsid w:val="00817E7F"/>
    <w:rsid w:val="00817EBE"/>
    <w:rsid w:val="00817EEB"/>
    <w:rsid w:val="00820025"/>
    <w:rsid w:val="0082010C"/>
    <w:rsid w:val="008201A4"/>
    <w:rsid w:val="0082027D"/>
    <w:rsid w:val="00820479"/>
    <w:rsid w:val="0082058D"/>
    <w:rsid w:val="00820632"/>
    <w:rsid w:val="008208E5"/>
    <w:rsid w:val="00820916"/>
    <w:rsid w:val="00820A8C"/>
    <w:rsid w:val="00820B97"/>
    <w:rsid w:val="00820DAB"/>
    <w:rsid w:val="00820DCD"/>
    <w:rsid w:val="00820FA5"/>
    <w:rsid w:val="00821046"/>
    <w:rsid w:val="0082113F"/>
    <w:rsid w:val="0082145C"/>
    <w:rsid w:val="00821536"/>
    <w:rsid w:val="008215FB"/>
    <w:rsid w:val="008219B4"/>
    <w:rsid w:val="00821AE1"/>
    <w:rsid w:val="00821C7A"/>
    <w:rsid w:val="00821CE8"/>
    <w:rsid w:val="00821DAF"/>
    <w:rsid w:val="00821E1C"/>
    <w:rsid w:val="00821ECA"/>
    <w:rsid w:val="00821F03"/>
    <w:rsid w:val="008220CC"/>
    <w:rsid w:val="0082215E"/>
    <w:rsid w:val="008223E7"/>
    <w:rsid w:val="008228C4"/>
    <w:rsid w:val="00822976"/>
    <w:rsid w:val="00822991"/>
    <w:rsid w:val="00822B3A"/>
    <w:rsid w:val="00822BFE"/>
    <w:rsid w:val="00822CDB"/>
    <w:rsid w:val="00822DCE"/>
    <w:rsid w:val="00823174"/>
    <w:rsid w:val="0082343F"/>
    <w:rsid w:val="00823465"/>
    <w:rsid w:val="00823555"/>
    <w:rsid w:val="008236B3"/>
    <w:rsid w:val="00823B3E"/>
    <w:rsid w:val="00823B9A"/>
    <w:rsid w:val="00823E93"/>
    <w:rsid w:val="00823EC0"/>
    <w:rsid w:val="00823F8D"/>
    <w:rsid w:val="00824043"/>
    <w:rsid w:val="00824168"/>
    <w:rsid w:val="0082433C"/>
    <w:rsid w:val="008243F8"/>
    <w:rsid w:val="00824773"/>
    <w:rsid w:val="0082481F"/>
    <w:rsid w:val="00824DA0"/>
    <w:rsid w:val="00824DD3"/>
    <w:rsid w:val="00824E9C"/>
    <w:rsid w:val="00824F4E"/>
    <w:rsid w:val="008250FE"/>
    <w:rsid w:val="00825181"/>
    <w:rsid w:val="00825463"/>
    <w:rsid w:val="008256AE"/>
    <w:rsid w:val="00825751"/>
    <w:rsid w:val="00825839"/>
    <w:rsid w:val="00825A71"/>
    <w:rsid w:val="00825AC3"/>
    <w:rsid w:val="00825D7F"/>
    <w:rsid w:val="00825F6A"/>
    <w:rsid w:val="0082604D"/>
    <w:rsid w:val="0082607E"/>
    <w:rsid w:val="00826090"/>
    <w:rsid w:val="008262BF"/>
    <w:rsid w:val="00826346"/>
    <w:rsid w:val="008263CC"/>
    <w:rsid w:val="008264EB"/>
    <w:rsid w:val="00826651"/>
    <w:rsid w:val="008266E0"/>
    <w:rsid w:val="00826780"/>
    <w:rsid w:val="008267D4"/>
    <w:rsid w:val="00826866"/>
    <w:rsid w:val="0082686C"/>
    <w:rsid w:val="008268CE"/>
    <w:rsid w:val="008268FA"/>
    <w:rsid w:val="00826B21"/>
    <w:rsid w:val="00826C0B"/>
    <w:rsid w:val="00826D3C"/>
    <w:rsid w:val="00826D46"/>
    <w:rsid w:val="00826D6B"/>
    <w:rsid w:val="00826E9D"/>
    <w:rsid w:val="00826F3D"/>
    <w:rsid w:val="00827082"/>
    <w:rsid w:val="0082750F"/>
    <w:rsid w:val="00827518"/>
    <w:rsid w:val="00827566"/>
    <w:rsid w:val="008277F1"/>
    <w:rsid w:val="00827958"/>
    <w:rsid w:val="00827963"/>
    <w:rsid w:val="00827B3D"/>
    <w:rsid w:val="00827C23"/>
    <w:rsid w:val="00827C78"/>
    <w:rsid w:val="00827C81"/>
    <w:rsid w:val="00827D4D"/>
    <w:rsid w:val="00827EAF"/>
    <w:rsid w:val="00827F28"/>
    <w:rsid w:val="0083017D"/>
    <w:rsid w:val="0083039F"/>
    <w:rsid w:val="00830443"/>
    <w:rsid w:val="00830499"/>
    <w:rsid w:val="0083070F"/>
    <w:rsid w:val="008308AF"/>
    <w:rsid w:val="00830952"/>
    <w:rsid w:val="00830ADF"/>
    <w:rsid w:val="00830B59"/>
    <w:rsid w:val="00830CC1"/>
    <w:rsid w:val="00830D98"/>
    <w:rsid w:val="00830FAA"/>
    <w:rsid w:val="0083109F"/>
    <w:rsid w:val="008311DC"/>
    <w:rsid w:val="00831268"/>
    <w:rsid w:val="008312C6"/>
    <w:rsid w:val="00831416"/>
    <w:rsid w:val="00831463"/>
    <w:rsid w:val="00831720"/>
    <w:rsid w:val="00831847"/>
    <w:rsid w:val="0083186A"/>
    <w:rsid w:val="00831AE4"/>
    <w:rsid w:val="00831C55"/>
    <w:rsid w:val="00831D14"/>
    <w:rsid w:val="00831D66"/>
    <w:rsid w:val="00831E89"/>
    <w:rsid w:val="00831F85"/>
    <w:rsid w:val="00832015"/>
    <w:rsid w:val="00832072"/>
    <w:rsid w:val="00832570"/>
    <w:rsid w:val="00832F4F"/>
    <w:rsid w:val="00833010"/>
    <w:rsid w:val="0083302F"/>
    <w:rsid w:val="008331CA"/>
    <w:rsid w:val="008333B1"/>
    <w:rsid w:val="00833479"/>
    <w:rsid w:val="00833512"/>
    <w:rsid w:val="00833B05"/>
    <w:rsid w:val="00833C09"/>
    <w:rsid w:val="00833C58"/>
    <w:rsid w:val="00833C77"/>
    <w:rsid w:val="00833C96"/>
    <w:rsid w:val="00833CCF"/>
    <w:rsid w:val="00833D70"/>
    <w:rsid w:val="00833DDF"/>
    <w:rsid w:val="00833E1D"/>
    <w:rsid w:val="00833F90"/>
    <w:rsid w:val="00833F9B"/>
    <w:rsid w:val="0083438A"/>
    <w:rsid w:val="00834429"/>
    <w:rsid w:val="0083455A"/>
    <w:rsid w:val="00834561"/>
    <w:rsid w:val="00834649"/>
    <w:rsid w:val="00834871"/>
    <w:rsid w:val="00834A1D"/>
    <w:rsid w:val="00834AF7"/>
    <w:rsid w:val="00834B58"/>
    <w:rsid w:val="00834BFE"/>
    <w:rsid w:val="00834CC6"/>
    <w:rsid w:val="00834D20"/>
    <w:rsid w:val="00834F1B"/>
    <w:rsid w:val="00835129"/>
    <w:rsid w:val="0083522D"/>
    <w:rsid w:val="008355E9"/>
    <w:rsid w:val="0083568F"/>
    <w:rsid w:val="00835826"/>
    <w:rsid w:val="00835860"/>
    <w:rsid w:val="00835A5D"/>
    <w:rsid w:val="00835AA0"/>
    <w:rsid w:val="00835AD7"/>
    <w:rsid w:val="00835AFE"/>
    <w:rsid w:val="00835BBF"/>
    <w:rsid w:val="00835CB8"/>
    <w:rsid w:val="00835CE1"/>
    <w:rsid w:val="00835D19"/>
    <w:rsid w:val="00835EAD"/>
    <w:rsid w:val="00836057"/>
    <w:rsid w:val="008361EF"/>
    <w:rsid w:val="00836216"/>
    <w:rsid w:val="0083621E"/>
    <w:rsid w:val="0083624A"/>
    <w:rsid w:val="00836286"/>
    <w:rsid w:val="008362B4"/>
    <w:rsid w:val="00836328"/>
    <w:rsid w:val="0083658B"/>
    <w:rsid w:val="0083660A"/>
    <w:rsid w:val="00836659"/>
    <w:rsid w:val="00836685"/>
    <w:rsid w:val="00836706"/>
    <w:rsid w:val="008367EB"/>
    <w:rsid w:val="0083684E"/>
    <w:rsid w:val="008368C9"/>
    <w:rsid w:val="00836938"/>
    <w:rsid w:val="00836AB4"/>
    <w:rsid w:val="00836AE6"/>
    <w:rsid w:val="00836B0E"/>
    <w:rsid w:val="00836D6A"/>
    <w:rsid w:val="00837051"/>
    <w:rsid w:val="0083720C"/>
    <w:rsid w:val="0083725E"/>
    <w:rsid w:val="008373A4"/>
    <w:rsid w:val="008374E9"/>
    <w:rsid w:val="008375E5"/>
    <w:rsid w:val="008378CC"/>
    <w:rsid w:val="00837951"/>
    <w:rsid w:val="008379D0"/>
    <w:rsid w:val="00837A27"/>
    <w:rsid w:val="00837B61"/>
    <w:rsid w:val="00837BFC"/>
    <w:rsid w:val="00837C91"/>
    <w:rsid w:val="00837CD0"/>
    <w:rsid w:val="00837E4C"/>
    <w:rsid w:val="00837EDA"/>
    <w:rsid w:val="0084027A"/>
    <w:rsid w:val="00840381"/>
    <w:rsid w:val="008404B5"/>
    <w:rsid w:val="0084068B"/>
    <w:rsid w:val="008407D2"/>
    <w:rsid w:val="0084088B"/>
    <w:rsid w:val="00840BDB"/>
    <w:rsid w:val="00840CA2"/>
    <w:rsid w:val="00840CDA"/>
    <w:rsid w:val="00840D70"/>
    <w:rsid w:val="00840E80"/>
    <w:rsid w:val="00840FAF"/>
    <w:rsid w:val="00840FB2"/>
    <w:rsid w:val="00841524"/>
    <w:rsid w:val="008415C9"/>
    <w:rsid w:val="008415F7"/>
    <w:rsid w:val="0084169E"/>
    <w:rsid w:val="0084176C"/>
    <w:rsid w:val="0084193B"/>
    <w:rsid w:val="00841954"/>
    <w:rsid w:val="008419FC"/>
    <w:rsid w:val="00841B59"/>
    <w:rsid w:val="00841BA7"/>
    <w:rsid w:val="00841CEE"/>
    <w:rsid w:val="00841E01"/>
    <w:rsid w:val="00841E18"/>
    <w:rsid w:val="00841E53"/>
    <w:rsid w:val="00841E9A"/>
    <w:rsid w:val="008421A9"/>
    <w:rsid w:val="008421B4"/>
    <w:rsid w:val="00842279"/>
    <w:rsid w:val="0084227B"/>
    <w:rsid w:val="0084237F"/>
    <w:rsid w:val="00842387"/>
    <w:rsid w:val="00842486"/>
    <w:rsid w:val="00842721"/>
    <w:rsid w:val="008427B0"/>
    <w:rsid w:val="008429BD"/>
    <w:rsid w:val="008429DA"/>
    <w:rsid w:val="00842AC7"/>
    <w:rsid w:val="00842B17"/>
    <w:rsid w:val="00842B51"/>
    <w:rsid w:val="00842E35"/>
    <w:rsid w:val="00842EAD"/>
    <w:rsid w:val="00842F85"/>
    <w:rsid w:val="008432A5"/>
    <w:rsid w:val="0084337A"/>
    <w:rsid w:val="0084347D"/>
    <w:rsid w:val="008434D4"/>
    <w:rsid w:val="0084374F"/>
    <w:rsid w:val="008438FD"/>
    <w:rsid w:val="0084392B"/>
    <w:rsid w:val="00843952"/>
    <w:rsid w:val="00843998"/>
    <w:rsid w:val="008439C0"/>
    <w:rsid w:val="00843E84"/>
    <w:rsid w:val="00843EAE"/>
    <w:rsid w:val="00843F6D"/>
    <w:rsid w:val="008446B0"/>
    <w:rsid w:val="008448C0"/>
    <w:rsid w:val="00844A22"/>
    <w:rsid w:val="00844A67"/>
    <w:rsid w:val="00844AF2"/>
    <w:rsid w:val="00844CA3"/>
    <w:rsid w:val="00844CCF"/>
    <w:rsid w:val="00844DAB"/>
    <w:rsid w:val="00844DD9"/>
    <w:rsid w:val="00844DEB"/>
    <w:rsid w:val="00844E74"/>
    <w:rsid w:val="00844EA1"/>
    <w:rsid w:val="00844F9E"/>
    <w:rsid w:val="008452C5"/>
    <w:rsid w:val="00845589"/>
    <w:rsid w:val="008455F0"/>
    <w:rsid w:val="00845612"/>
    <w:rsid w:val="008459E1"/>
    <w:rsid w:val="00845B7C"/>
    <w:rsid w:val="00845DC4"/>
    <w:rsid w:val="00845E7C"/>
    <w:rsid w:val="0084626D"/>
    <w:rsid w:val="00846410"/>
    <w:rsid w:val="00846563"/>
    <w:rsid w:val="008465AB"/>
    <w:rsid w:val="008465EA"/>
    <w:rsid w:val="0084666C"/>
    <w:rsid w:val="00846770"/>
    <w:rsid w:val="008468FD"/>
    <w:rsid w:val="00846928"/>
    <w:rsid w:val="00846E18"/>
    <w:rsid w:val="00847081"/>
    <w:rsid w:val="0084714D"/>
    <w:rsid w:val="0084737E"/>
    <w:rsid w:val="0084744B"/>
    <w:rsid w:val="008474C9"/>
    <w:rsid w:val="00847573"/>
    <w:rsid w:val="008475D5"/>
    <w:rsid w:val="008476F0"/>
    <w:rsid w:val="00847703"/>
    <w:rsid w:val="0084782E"/>
    <w:rsid w:val="0084788A"/>
    <w:rsid w:val="00847B4F"/>
    <w:rsid w:val="00847C1C"/>
    <w:rsid w:val="00847D22"/>
    <w:rsid w:val="00847DB5"/>
    <w:rsid w:val="00847DF5"/>
    <w:rsid w:val="00847E05"/>
    <w:rsid w:val="00847EDE"/>
    <w:rsid w:val="0085022C"/>
    <w:rsid w:val="0085047F"/>
    <w:rsid w:val="0085061B"/>
    <w:rsid w:val="008506BB"/>
    <w:rsid w:val="00850839"/>
    <w:rsid w:val="0085087B"/>
    <w:rsid w:val="00850A94"/>
    <w:rsid w:val="00850B60"/>
    <w:rsid w:val="00850BCA"/>
    <w:rsid w:val="00850D0A"/>
    <w:rsid w:val="00850E5B"/>
    <w:rsid w:val="00850F1B"/>
    <w:rsid w:val="00850F77"/>
    <w:rsid w:val="00850FE8"/>
    <w:rsid w:val="00851094"/>
    <w:rsid w:val="0085131D"/>
    <w:rsid w:val="00851637"/>
    <w:rsid w:val="0085172F"/>
    <w:rsid w:val="00851758"/>
    <w:rsid w:val="00851AB5"/>
    <w:rsid w:val="00852085"/>
    <w:rsid w:val="008520C2"/>
    <w:rsid w:val="00852199"/>
    <w:rsid w:val="0085235D"/>
    <w:rsid w:val="0085244B"/>
    <w:rsid w:val="008526A9"/>
    <w:rsid w:val="008526F7"/>
    <w:rsid w:val="0085285F"/>
    <w:rsid w:val="00852972"/>
    <w:rsid w:val="00852B23"/>
    <w:rsid w:val="00852BAE"/>
    <w:rsid w:val="00852C0C"/>
    <w:rsid w:val="00852CA5"/>
    <w:rsid w:val="00852E0C"/>
    <w:rsid w:val="00852E8D"/>
    <w:rsid w:val="00852FD5"/>
    <w:rsid w:val="0085309D"/>
    <w:rsid w:val="00853104"/>
    <w:rsid w:val="0085310C"/>
    <w:rsid w:val="008531B9"/>
    <w:rsid w:val="008531EE"/>
    <w:rsid w:val="0085326C"/>
    <w:rsid w:val="00853305"/>
    <w:rsid w:val="00853312"/>
    <w:rsid w:val="0085336C"/>
    <w:rsid w:val="0085340F"/>
    <w:rsid w:val="0085365C"/>
    <w:rsid w:val="00853702"/>
    <w:rsid w:val="0085370E"/>
    <w:rsid w:val="008538E1"/>
    <w:rsid w:val="00853AFA"/>
    <w:rsid w:val="00853F7E"/>
    <w:rsid w:val="00853FB1"/>
    <w:rsid w:val="008540B0"/>
    <w:rsid w:val="008540B9"/>
    <w:rsid w:val="00854196"/>
    <w:rsid w:val="008542E4"/>
    <w:rsid w:val="00854379"/>
    <w:rsid w:val="008543CE"/>
    <w:rsid w:val="008543F3"/>
    <w:rsid w:val="008543F5"/>
    <w:rsid w:val="008544AA"/>
    <w:rsid w:val="00854623"/>
    <w:rsid w:val="008546CA"/>
    <w:rsid w:val="0085482F"/>
    <w:rsid w:val="00854857"/>
    <w:rsid w:val="008549FA"/>
    <w:rsid w:val="00855051"/>
    <w:rsid w:val="00855069"/>
    <w:rsid w:val="00855120"/>
    <w:rsid w:val="00855468"/>
    <w:rsid w:val="008556D7"/>
    <w:rsid w:val="008557EC"/>
    <w:rsid w:val="00855809"/>
    <w:rsid w:val="008559C3"/>
    <w:rsid w:val="00855B81"/>
    <w:rsid w:val="00855C1C"/>
    <w:rsid w:val="00855E4F"/>
    <w:rsid w:val="00856005"/>
    <w:rsid w:val="00856170"/>
    <w:rsid w:val="008562AE"/>
    <w:rsid w:val="008563A6"/>
    <w:rsid w:val="0085641F"/>
    <w:rsid w:val="00856443"/>
    <w:rsid w:val="0085648B"/>
    <w:rsid w:val="008567C2"/>
    <w:rsid w:val="00856851"/>
    <w:rsid w:val="00856897"/>
    <w:rsid w:val="008569C2"/>
    <w:rsid w:val="00856A56"/>
    <w:rsid w:val="00856AED"/>
    <w:rsid w:val="00856B6D"/>
    <w:rsid w:val="00856BB8"/>
    <w:rsid w:val="00856E8F"/>
    <w:rsid w:val="00856E9A"/>
    <w:rsid w:val="00856EFB"/>
    <w:rsid w:val="0085704E"/>
    <w:rsid w:val="008571D8"/>
    <w:rsid w:val="00857314"/>
    <w:rsid w:val="0085735A"/>
    <w:rsid w:val="00857432"/>
    <w:rsid w:val="00857529"/>
    <w:rsid w:val="00857539"/>
    <w:rsid w:val="00857617"/>
    <w:rsid w:val="00857804"/>
    <w:rsid w:val="008579C7"/>
    <w:rsid w:val="00857D8A"/>
    <w:rsid w:val="00860285"/>
    <w:rsid w:val="00860340"/>
    <w:rsid w:val="008604D0"/>
    <w:rsid w:val="0086073D"/>
    <w:rsid w:val="0086075D"/>
    <w:rsid w:val="00860CD2"/>
    <w:rsid w:val="00860D97"/>
    <w:rsid w:val="0086127A"/>
    <w:rsid w:val="008614E6"/>
    <w:rsid w:val="0086156A"/>
    <w:rsid w:val="008616BB"/>
    <w:rsid w:val="008616C5"/>
    <w:rsid w:val="008616E8"/>
    <w:rsid w:val="0086176F"/>
    <w:rsid w:val="0086189A"/>
    <w:rsid w:val="0086196D"/>
    <w:rsid w:val="008619FC"/>
    <w:rsid w:val="00861B95"/>
    <w:rsid w:val="00861BD0"/>
    <w:rsid w:val="00861C6A"/>
    <w:rsid w:val="00861DA5"/>
    <w:rsid w:val="00861DE7"/>
    <w:rsid w:val="00861DE9"/>
    <w:rsid w:val="00861F23"/>
    <w:rsid w:val="00861F4D"/>
    <w:rsid w:val="0086217E"/>
    <w:rsid w:val="0086226B"/>
    <w:rsid w:val="008623FB"/>
    <w:rsid w:val="00862502"/>
    <w:rsid w:val="00862625"/>
    <w:rsid w:val="008626B2"/>
    <w:rsid w:val="008629E0"/>
    <w:rsid w:val="008629EC"/>
    <w:rsid w:val="00862B62"/>
    <w:rsid w:val="00862C0E"/>
    <w:rsid w:val="00862C42"/>
    <w:rsid w:val="00862C80"/>
    <w:rsid w:val="00862CBC"/>
    <w:rsid w:val="00862CC1"/>
    <w:rsid w:val="00862EDB"/>
    <w:rsid w:val="00862F86"/>
    <w:rsid w:val="00862FF2"/>
    <w:rsid w:val="00863106"/>
    <w:rsid w:val="008631C2"/>
    <w:rsid w:val="00863254"/>
    <w:rsid w:val="008633A3"/>
    <w:rsid w:val="008635D0"/>
    <w:rsid w:val="008636E9"/>
    <w:rsid w:val="0086370A"/>
    <w:rsid w:val="008639CD"/>
    <w:rsid w:val="00863B2C"/>
    <w:rsid w:val="00863C34"/>
    <w:rsid w:val="00863D0B"/>
    <w:rsid w:val="00863EEF"/>
    <w:rsid w:val="00863F01"/>
    <w:rsid w:val="00864018"/>
    <w:rsid w:val="00864061"/>
    <w:rsid w:val="0086411B"/>
    <w:rsid w:val="0086417A"/>
    <w:rsid w:val="00864267"/>
    <w:rsid w:val="0086429D"/>
    <w:rsid w:val="008642A7"/>
    <w:rsid w:val="008642AB"/>
    <w:rsid w:val="00864456"/>
    <w:rsid w:val="008646D9"/>
    <w:rsid w:val="0086471A"/>
    <w:rsid w:val="00864747"/>
    <w:rsid w:val="00864992"/>
    <w:rsid w:val="00864B85"/>
    <w:rsid w:val="00864C66"/>
    <w:rsid w:val="00864C87"/>
    <w:rsid w:val="00864D43"/>
    <w:rsid w:val="00864DB4"/>
    <w:rsid w:val="00864DCC"/>
    <w:rsid w:val="0086505A"/>
    <w:rsid w:val="008651AF"/>
    <w:rsid w:val="008652C1"/>
    <w:rsid w:val="0086556C"/>
    <w:rsid w:val="00865735"/>
    <w:rsid w:val="00865760"/>
    <w:rsid w:val="0086576F"/>
    <w:rsid w:val="008657CB"/>
    <w:rsid w:val="00865BEC"/>
    <w:rsid w:val="00865C02"/>
    <w:rsid w:val="00865CC7"/>
    <w:rsid w:val="00865DE4"/>
    <w:rsid w:val="00865E6E"/>
    <w:rsid w:val="00866064"/>
    <w:rsid w:val="008660D4"/>
    <w:rsid w:val="008661E9"/>
    <w:rsid w:val="00866472"/>
    <w:rsid w:val="008665AF"/>
    <w:rsid w:val="00866AC5"/>
    <w:rsid w:val="00866C62"/>
    <w:rsid w:val="00866C77"/>
    <w:rsid w:val="00866DC0"/>
    <w:rsid w:val="00866DEC"/>
    <w:rsid w:val="00866F01"/>
    <w:rsid w:val="00866FA9"/>
    <w:rsid w:val="00866FBA"/>
    <w:rsid w:val="00867010"/>
    <w:rsid w:val="00867019"/>
    <w:rsid w:val="00867071"/>
    <w:rsid w:val="008671DC"/>
    <w:rsid w:val="00867259"/>
    <w:rsid w:val="008672DE"/>
    <w:rsid w:val="0086749D"/>
    <w:rsid w:val="00867529"/>
    <w:rsid w:val="0086790D"/>
    <w:rsid w:val="00867B96"/>
    <w:rsid w:val="00867CEC"/>
    <w:rsid w:val="00867DAF"/>
    <w:rsid w:val="00867E0F"/>
    <w:rsid w:val="00867EDD"/>
    <w:rsid w:val="00867FAB"/>
    <w:rsid w:val="008700B3"/>
    <w:rsid w:val="008702DD"/>
    <w:rsid w:val="00870520"/>
    <w:rsid w:val="008705AA"/>
    <w:rsid w:val="0087083D"/>
    <w:rsid w:val="00870852"/>
    <w:rsid w:val="008708D8"/>
    <w:rsid w:val="0087094C"/>
    <w:rsid w:val="00870976"/>
    <w:rsid w:val="0087099E"/>
    <w:rsid w:val="00870BB5"/>
    <w:rsid w:val="00870E9F"/>
    <w:rsid w:val="00871180"/>
    <w:rsid w:val="0087129F"/>
    <w:rsid w:val="008712F2"/>
    <w:rsid w:val="00871348"/>
    <w:rsid w:val="008713C0"/>
    <w:rsid w:val="00871453"/>
    <w:rsid w:val="00871467"/>
    <w:rsid w:val="008714EB"/>
    <w:rsid w:val="008715F2"/>
    <w:rsid w:val="008717D4"/>
    <w:rsid w:val="008717D9"/>
    <w:rsid w:val="00871855"/>
    <w:rsid w:val="00871C49"/>
    <w:rsid w:val="00871C66"/>
    <w:rsid w:val="00871F29"/>
    <w:rsid w:val="00871FA9"/>
    <w:rsid w:val="00872221"/>
    <w:rsid w:val="008722A7"/>
    <w:rsid w:val="008723B2"/>
    <w:rsid w:val="00872518"/>
    <w:rsid w:val="00872592"/>
    <w:rsid w:val="0087266C"/>
    <w:rsid w:val="0087271D"/>
    <w:rsid w:val="0087277C"/>
    <w:rsid w:val="008727C8"/>
    <w:rsid w:val="00872804"/>
    <w:rsid w:val="00872822"/>
    <w:rsid w:val="008728E9"/>
    <w:rsid w:val="00872B99"/>
    <w:rsid w:val="00872C0A"/>
    <w:rsid w:val="00872FD9"/>
    <w:rsid w:val="0087309B"/>
    <w:rsid w:val="008730BA"/>
    <w:rsid w:val="00873300"/>
    <w:rsid w:val="0087339B"/>
    <w:rsid w:val="00873465"/>
    <w:rsid w:val="008735C2"/>
    <w:rsid w:val="00873761"/>
    <w:rsid w:val="00873974"/>
    <w:rsid w:val="00873B19"/>
    <w:rsid w:val="00873C63"/>
    <w:rsid w:val="00873CBE"/>
    <w:rsid w:val="00873DB7"/>
    <w:rsid w:val="00873F24"/>
    <w:rsid w:val="00873FB3"/>
    <w:rsid w:val="008741BF"/>
    <w:rsid w:val="00874240"/>
    <w:rsid w:val="008742E0"/>
    <w:rsid w:val="0087478C"/>
    <w:rsid w:val="00874BE7"/>
    <w:rsid w:val="00874D0B"/>
    <w:rsid w:val="00874D17"/>
    <w:rsid w:val="008750CD"/>
    <w:rsid w:val="00875441"/>
    <w:rsid w:val="0087552D"/>
    <w:rsid w:val="0087556D"/>
    <w:rsid w:val="0087558B"/>
    <w:rsid w:val="00875794"/>
    <w:rsid w:val="00875824"/>
    <w:rsid w:val="00875A32"/>
    <w:rsid w:val="00875A7E"/>
    <w:rsid w:val="00875CED"/>
    <w:rsid w:val="00875D5C"/>
    <w:rsid w:val="00875FB6"/>
    <w:rsid w:val="00876103"/>
    <w:rsid w:val="008761D8"/>
    <w:rsid w:val="00876295"/>
    <w:rsid w:val="008762FF"/>
    <w:rsid w:val="008763DB"/>
    <w:rsid w:val="008764CA"/>
    <w:rsid w:val="008764D1"/>
    <w:rsid w:val="00876561"/>
    <w:rsid w:val="008768A9"/>
    <w:rsid w:val="00876C1A"/>
    <w:rsid w:val="00877152"/>
    <w:rsid w:val="008771E9"/>
    <w:rsid w:val="0087720F"/>
    <w:rsid w:val="00877244"/>
    <w:rsid w:val="0087761F"/>
    <w:rsid w:val="00877726"/>
    <w:rsid w:val="00877742"/>
    <w:rsid w:val="0087781C"/>
    <w:rsid w:val="008778D6"/>
    <w:rsid w:val="008779C5"/>
    <w:rsid w:val="00877A78"/>
    <w:rsid w:val="00877B5B"/>
    <w:rsid w:val="00877CA2"/>
    <w:rsid w:val="00877CEF"/>
    <w:rsid w:val="00877E71"/>
    <w:rsid w:val="00877E8A"/>
    <w:rsid w:val="00877FC3"/>
    <w:rsid w:val="008800AF"/>
    <w:rsid w:val="008800D6"/>
    <w:rsid w:val="0088034D"/>
    <w:rsid w:val="00880539"/>
    <w:rsid w:val="00880683"/>
    <w:rsid w:val="00880990"/>
    <w:rsid w:val="008809B7"/>
    <w:rsid w:val="008809DA"/>
    <w:rsid w:val="00880B26"/>
    <w:rsid w:val="00880BC9"/>
    <w:rsid w:val="00880C9C"/>
    <w:rsid w:val="00880CF4"/>
    <w:rsid w:val="00880D42"/>
    <w:rsid w:val="00880FE9"/>
    <w:rsid w:val="008811AC"/>
    <w:rsid w:val="00881377"/>
    <w:rsid w:val="00881502"/>
    <w:rsid w:val="00881545"/>
    <w:rsid w:val="00881660"/>
    <w:rsid w:val="008817A2"/>
    <w:rsid w:val="008817B3"/>
    <w:rsid w:val="00881972"/>
    <w:rsid w:val="00881A62"/>
    <w:rsid w:val="00881B4A"/>
    <w:rsid w:val="00881E0E"/>
    <w:rsid w:val="00881E3A"/>
    <w:rsid w:val="00881F0D"/>
    <w:rsid w:val="00881F71"/>
    <w:rsid w:val="0088206F"/>
    <w:rsid w:val="00882261"/>
    <w:rsid w:val="008823E5"/>
    <w:rsid w:val="008824C7"/>
    <w:rsid w:val="0088258B"/>
    <w:rsid w:val="00882669"/>
    <w:rsid w:val="00882874"/>
    <w:rsid w:val="00882877"/>
    <w:rsid w:val="00882E3C"/>
    <w:rsid w:val="00882F0B"/>
    <w:rsid w:val="0088308A"/>
    <w:rsid w:val="008831A2"/>
    <w:rsid w:val="008831BB"/>
    <w:rsid w:val="008831DC"/>
    <w:rsid w:val="008831FB"/>
    <w:rsid w:val="00883390"/>
    <w:rsid w:val="00883495"/>
    <w:rsid w:val="008835FB"/>
    <w:rsid w:val="00883664"/>
    <w:rsid w:val="00883787"/>
    <w:rsid w:val="008837FA"/>
    <w:rsid w:val="008838B0"/>
    <w:rsid w:val="008838D5"/>
    <w:rsid w:val="00883A59"/>
    <w:rsid w:val="00883C22"/>
    <w:rsid w:val="00883DBD"/>
    <w:rsid w:val="00883F80"/>
    <w:rsid w:val="008840E9"/>
    <w:rsid w:val="00884477"/>
    <w:rsid w:val="008845A8"/>
    <w:rsid w:val="0088473F"/>
    <w:rsid w:val="008849A5"/>
    <w:rsid w:val="008849B3"/>
    <w:rsid w:val="00884B0B"/>
    <w:rsid w:val="00884B0D"/>
    <w:rsid w:val="00884DE6"/>
    <w:rsid w:val="008850F4"/>
    <w:rsid w:val="008852BC"/>
    <w:rsid w:val="008855E4"/>
    <w:rsid w:val="0088565F"/>
    <w:rsid w:val="00885674"/>
    <w:rsid w:val="0088568A"/>
    <w:rsid w:val="0088579B"/>
    <w:rsid w:val="008857AA"/>
    <w:rsid w:val="0088585D"/>
    <w:rsid w:val="008859DB"/>
    <w:rsid w:val="00885AB3"/>
    <w:rsid w:val="00885AE7"/>
    <w:rsid w:val="00885BEA"/>
    <w:rsid w:val="00885CA2"/>
    <w:rsid w:val="00885E7D"/>
    <w:rsid w:val="00886206"/>
    <w:rsid w:val="0088620A"/>
    <w:rsid w:val="00886248"/>
    <w:rsid w:val="008863EB"/>
    <w:rsid w:val="008864E7"/>
    <w:rsid w:val="008865A6"/>
    <w:rsid w:val="00886634"/>
    <w:rsid w:val="00886775"/>
    <w:rsid w:val="00886A1B"/>
    <w:rsid w:val="00886ABA"/>
    <w:rsid w:val="00886B0D"/>
    <w:rsid w:val="00886BD6"/>
    <w:rsid w:val="00886CD2"/>
    <w:rsid w:val="00886D40"/>
    <w:rsid w:val="00886F12"/>
    <w:rsid w:val="0088753C"/>
    <w:rsid w:val="0088759A"/>
    <w:rsid w:val="00887836"/>
    <w:rsid w:val="00887D72"/>
    <w:rsid w:val="00887F0C"/>
    <w:rsid w:val="008903F8"/>
    <w:rsid w:val="0089043D"/>
    <w:rsid w:val="00890493"/>
    <w:rsid w:val="008904FC"/>
    <w:rsid w:val="008905D7"/>
    <w:rsid w:val="008907B7"/>
    <w:rsid w:val="00890846"/>
    <w:rsid w:val="00890B96"/>
    <w:rsid w:val="00890C3E"/>
    <w:rsid w:val="00890CC3"/>
    <w:rsid w:val="0089108D"/>
    <w:rsid w:val="0089113C"/>
    <w:rsid w:val="008911D6"/>
    <w:rsid w:val="00891385"/>
    <w:rsid w:val="0089162F"/>
    <w:rsid w:val="0089164D"/>
    <w:rsid w:val="0089165A"/>
    <w:rsid w:val="00891710"/>
    <w:rsid w:val="0089193B"/>
    <w:rsid w:val="008919D9"/>
    <w:rsid w:val="00891A43"/>
    <w:rsid w:val="00891BCD"/>
    <w:rsid w:val="00891E6F"/>
    <w:rsid w:val="00891FD0"/>
    <w:rsid w:val="0089208C"/>
    <w:rsid w:val="00892241"/>
    <w:rsid w:val="00892542"/>
    <w:rsid w:val="00892571"/>
    <w:rsid w:val="0089275D"/>
    <w:rsid w:val="008927DF"/>
    <w:rsid w:val="008928D5"/>
    <w:rsid w:val="00892A36"/>
    <w:rsid w:val="00892C6D"/>
    <w:rsid w:val="00892ED3"/>
    <w:rsid w:val="008931E0"/>
    <w:rsid w:val="0089321F"/>
    <w:rsid w:val="00893239"/>
    <w:rsid w:val="008932E0"/>
    <w:rsid w:val="00893373"/>
    <w:rsid w:val="008933E6"/>
    <w:rsid w:val="0089345C"/>
    <w:rsid w:val="00893484"/>
    <w:rsid w:val="00893576"/>
    <w:rsid w:val="00893577"/>
    <w:rsid w:val="008935E8"/>
    <w:rsid w:val="008939B8"/>
    <w:rsid w:val="00893A07"/>
    <w:rsid w:val="00893B4F"/>
    <w:rsid w:val="00893E04"/>
    <w:rsid w:val="00893E2D"/>
    <w:rsid w:val="008941E5"/>
    <w:rsid w:val="0089420E"/>
    <w:rsid w:val="008942F0"/>
    <w:rsid w:val="00894347"/>
    <w:rsid w:val="00894489"/>
    <w:rsid w:val="008945A5"/>
    <w:rsid w:val="00894689"/>
    <w:rsid w:val="008946F7"/>
    <w:rsid w:val="0089476B"/>
    <w:rsid w:val="00894CD6"/>
    <w:rsid w:val="008950C3"/>
    <w:rsid w:val="00895111"/>
    <w:rsid w:val="00895154"/>
    <w:rsid w:val="00895461"/>
    <w:rsid w:val="00895531"/>
    <w:rsid w:val="008955C1"/>
    <w:rsid w:val="008958BA"/>
    <w:rsid w:val="00895A26"/>
    <w:rsid w:val="00895A3F"/>
    <w:rsid w:val="00895AE7"/>
    <w:rsid w:val="00895F99"/>
    <w:rsid w:val="008962CC"/>
    <w:rsid w:val="0089631C"/>
    <w:rsid w:val="008963A5"/>
    <w:rsid w:val="0089646E"/>
    <w:rsid w:val="008966A5"/>
    <w:rsid w:val="008966DA"/>
    <w:rsid w:val="00896727"/>
    <w:rsid w:val="008967F2"/>
    <w:rsid w:val="00896871"/>
    <w:rsid w:val="00896A32"/>
    <w:rsid w:val="00896A97"/>
    <w:rsid w:val="00896B8B"/>
    <w:rsid w:val="00896BEB"/>
    <w:rsid w:val="00896BF1"/>
    <w:rsid w:val="00896BF8"/>
    <w:rsid w:val="00896C10"/>
    <w:rsid w:val="00896D5D"/>
    <w:rsid w:val="00896DB2"/>
    <w:rsid w:val="00896E53"/>
    <w:rsid w:val="00896E66"/>
    <w:rsid w:val="00896F86"/>
    <w:rsid w:val="00896FD8"/>
    <w:rsid w:val="0089721D"/>
    <w:rsid w:val="008972D3"/>
    <w:rsid w:val="0089741A"/>
    <w:rsid w:val="0089753B"/>
    <w:rsid w:val="0089779E"/>
    <w:rsid w:val="008977D5"/>
    <w:rsid w:val="008978FD"/>
    <w:rsid w:val="00897950"/>
    <w:rsid w:val="00897A83"/>
    <w:rsid w:val="00897BF5"/>
    <w:rsid w:val="00897EF2"/>
    <w:rsid w:val="008A0081"/>
    <w:rsid w:val="008A0557"/>
    <w:rsid w:val="008A05B5"/>
    <w:rsid w:val="008A05E0"/>
    <w:rsid w:val="008A076A"/>
    <w:rsid w:val="008A0885"/>
    <w:rsid w:val="008A0A10"/>
    <w:rsid w:val="008A0D4C"/>
    <w:rsid w:val="008A0DDA"/>
    <w:rsid w:val="008A0E28"/>
    <w:rsid w:val="008A0F66"/>
    <w:rsid w:val="008A1214"/>
    <w:rsid w:val="008A13A2"/>
    <w:rsid w:val="008A1420"/>
    <w:rsid w:val="008A18A8"/>
    <w:rsid w:val="008A192B"/>
    <w:rsid w:val="008A19BC"/>
    <w:rsid w:val="008A1BED"/>
    <w:rsid w:val="008A1C3B"/>
    <w:rsid w:val="008A1EE9"/>
    <w:rsid w:val="008A218B"/>
    <w:rsid w:val="008A2340"/>
    <w:rsid w:val="008A242D"/>
    <w:rsid w:val="008A24EF"/>
    <w:rsid w:val="008A261C"/>
    <w:rsid w:val="008A26F6"/>
    <w:rsid w:val="008A2802"/>
    <w:rsid w:val="008A28B9"/>
    <w:rsid w:val="008A2EA2"/>
    <w:rsid w:val="008A2EF0"/>
    <w:rsid w:val="008A2F9D"/>
    <w:rsid w:val="008A3085"/>
    <w:rsid w:val="008A3120"/>
    <w:rsid w:val="008A3158"/>
    <w:rsid w:val="008A3363"/>
    <w:rsid w:val="008A3371"/>
    <w:rsid w:val="008A366E"/>
    <w:rsid w:val="008A369C"/>
    <w:rsid w:val="008A390F"/>
    <w:rsid w:val="008A3A27"/>
    <w:rsid w:val="008A3A44"/>
    <w:rsid w:val="008A3C3E"/>
    <w:rsid w:val="008A3C65"/>
    <w:rsid w:val="008A3DBD"/>
    <w:rsid w:val="008A3EBC"/>
    <w:rsid w:val="008A3F4A"/>
    <w:rsid w:val="008A4247"/>
    <w:rsid w:val="008A448E"/>
    <w:rsid w:val="008A47A7"/>
    <w:rsid w:val="008A4894"/>
    <w:rsid w:val="008A4989"/>
    <w:rsid w:val="008A4C2B"/>
    <w:rsid w:val="008A4EFC"/>
    <w:rsid w:val="008A4FF9"/>
    <w:rsid w:val="008A5186"/>
    <w:rsid w:val="008A518B"/>
    <w:rsid w:val="008A51DE"/>
    <w:rsid w:val="008A533D"/>
    <w:rsid w:val="008A543C"/>
    <w:rsid w:val="008A5626"/>
    <w:rsid w:val="008A565B"/>
    <w:rsid w:val="008A590D"/>
    <w:rsid w:val="008A5927"/>
    <w:rsid w:val="008A59F5"/>
    <w:rsid w:val="008A5B70"/>
    <w:rsid w:val="008A5C03"/>
    <w:rsid w:val="008A5CB8"/>
    <w:rsid w:val="008A5E90"/>
    <w:rsid w:val="008A5E93"/>
    <w:rsid w:val="008A5EAF"/>
    <w:rsid w:val="008A5F97"/>
    <w:rsid w:val="008A6588"/>
    <w:rsid w:val="008A658A"/>
    <w:rsid w:val="008A65E5"/>
    <w:rsid w:val="008A6729"/>
    <w:rsid w:val="008A689E"/>
    <w:rsid w:val="008A6994"/>
    <w:rsid w:val="008A6999"/>
    <w:rsid w:val="008A6CF2"/>
    <w:rsid w:val="008A6F2A"/>
    <w:rsid w:val="008A7127"/>
    <w:rsid w:val="008A735E"/>
    <w:rsid w:val="008A7693"/>
    <w:rsid w:val="008A772E"/>
    <w:rsid w:val="008A7881"/>
    <w:rsid w:val="008A79DE"/>
    <w:rsid w:val="008A7AD6"/>
    <w:rsid w:val="008A7BFF"/>
    <w:rsid w:val="008A7D3E"/>
    <w:rsid w:val="008A7DA8"/>
    <w:rsid w:val="008A7DBD"/>
    <w:rsid w:val="008A7F83"/>
    <w:rsid w:val="008A7FF2"/>
    <w:rsid w:val="008B05E2"/>
    <w:rsid w:val="008B0652"/>
    <w:rsid w:val="008B08EB"/>
    <w:rsid w:val="008B0927"/>
    <w:rsid w:val="008B0970"/>
    <w:rsid w:val="008B0A77"/>
    <w:rsid w:val="008B0B4A"/>
    <w:rsid w:val="008B0B7E"/>
    <w:rsid w:val="008B0FF0"/>
    <w:rsid w:val="008B0FF3"/>
    <w:rsid w:val="008B11B5"/>
    <w:rsid w:val="008B1337"/>
    <w:rsid w:val="008B144F"/>
    <w:rsid w:val="008B1467"/>
    <w:rsid w:val="008B1710"/>
    <w:rsid w:val="008B1757"/>
    <w:rsid w:val="008B1922"/>
    <w:rsid w:val="008B1929"/>
    <w:rsid w:val="008B192C"/>
    <w:rsid w:val="008B1AA5"/>
    <w:rsid w:val="008B1C02"/>
    <w:rsid w:val="008B1C33"/>
    <w:rsid w:val="008B1C53"/>
    <w:rsid w:val="008B1D2F"/>
    <w:rsid w:val="008B1D47"/>
    <w:rsid w:val="008B1E5B"/>
    <w:rsid w:val="008B21FD"/>
    <w:rsid w:val="008B2404"/>
    <w:rsid w:val="008B242C"/>
    <w:rsid w:val="008B247A"/>
    <w:rsid w:val="008B293D"/>
    <w:rsid w:val="008B2B5D"/>
    <w:rsid w:val="008B2B65"/>
    <w:rsid w:val="008B2B69"/>
    <w:rsid w:val="008B2C63"/>
    <w:rsid w:val="008B3227"/>
    <w:rsid w:val="008B3525"/>
    <w:rsid w:val="008B3ACD"/>
    <w:rsid w:val="008B3AD0"/>
    <w:rsid w:val="008B3BC5"/>
    <w:rsid w:val="008B3EA5"/>
    <w:rsid w:val="008B411D"/>
    <w:rsid w:val="008B4223"/>
    <w:rsid w:val="008B435D"/>
    <w:rsid w:val="008B4661"/>
    <w:rsid w:val="008B4689"/>
    <w:rsid w:val="008B4769"/>
    <w:rsid w:val="008B47F1"/>
    <w:rsid w:val="008B4B6F"/>
    <w:rsid w:val="008B4D67"/>
    <w:rsid w:val="008B5055"/>
    <w:rsid w:val="008B5082"/>
    <w:rsid w:val="008B51B2"/>
    <w:rsid w:val="008B5265"/>
    <w:rsid w:val="008B5609"/>
    <w:rsid w:val="008B56A6"/>
    <w:rsid w:val="008B5724"/>
    <w:rsid w:val="008B578C"/>
    <w:rsid w:val="008B595E"/>
    <w:rsid w:val="008B5A52"/>
    <w:rsid w:val="008B5B4D"/>
    <w:rsid w:val="008B5D00"/>
    <w:rsid w:val="008B5FBC"/>
    <w:rsid w:val="008B6057"/>
    <w:rsid w:val="008B6242"/>
    <w:rsid w:val="008B63A3"/>
    <w:rsid w:val="008B6463"/>
    <w:rsid w:val="008B652F"/>
    <w:rsid w:val="008B66D1"/>
    <w:rsid w:val="008B6996"/>
    <w:rsid w:val="008B6A6B"/>
    <w:rsid w:val="008B6EB5"/>
    <w:rsid w:val="008B7062"/>
    <w:rsid w:val="008B7233"/>
    <w:rsid w:val="008B7440"/>
    <w:rsid w:val="008B7701"/>
    <w:rsid w:val="008B7714"/>
    <w:rsid w:val="008B7764"/>
    <w:rsid w:val="008B7992"/>
    <w:rsid w:val="008B79FE"/>
    <w:rsid w:val="008B7AA0"/>
    <w:rsid w:val="008B7C22"/>
    <w:rsid w:val="008B7C75"/>
    <w:rsid w:val="008B7D7E"/>
    <w:rsid w:val="008C00AA"/>
    <w:rsid w:val="008C01C3"/>
    <w:rsid w:val="008C0592"/>
    <w:rsid w:val="008C06CD"/>
    <w:rsid w:val="008C07F1"/>
    <w:rsid w:val="008C094C"/>
    <w:rsid w:val="008C0DC9"/>
    <w:rsid w:val="008C10C0"/>
    <w:rsid w:val="008C10C2"/>
    <w:rsid w:val="008C10D7"/>
    <w:rsid w:val="008C1227"/>
    <w:rsid w:val="008C1359"/>
    <w:rsid w:val="008C13D9"/>
    <w:rsid w:val="008C1453"/>
    <w:rsid w:val="008C1514"/>
    <w:rsid w:val="008C15A8"/>
    <w:rsid w:val="008C1600"/>
    <w:rsid w:val="008C1616"/>
    <w:rsid w:val="008C1619"/>
    <w:rsid w:val="008C1772"/>
    <w:rsid w:val="008C1852"/>
    <w:rsid w:val="008C1ABF"/>
    <w:rsid w:val="008C1DC0"/>
    <w:rsid w:val="008C1E0C"/>
    <w:rsid w:val="008C1F1C"/>
    <w:rsid w:val="008C21BE"/>
    <w:rsid w:val="008C27FE"/>
    <w:rsid w:val="008C28B4"/>
    <w:rsid w:val="008C28CE"/>
    <w:rsid w:val="008C296A"/>
    <w:rsid w:val="008C2E25"/>
    <w:rsid w:val="008C2F3C"/>
    <w:rsid w:val="008C31D2"/>
    <w:rsid w:val="008C31EF"/>
    <w:rsid w:val="008C33FD"/>
    <w:rsid w:val="008C35B8"/>
    <w:rsid w:val="008C366E"/>
    <w:rsid w:val="008C36FA"/>
    <w:rsid w:val="008C384A"/>
    <w:rsid w:val="008C386C"/>
    <w:rsid w:val="008C39CD"/>
    <w:rsid w:val="008C3AD8"/>
    <w:rsid w:val="008C3C21"/>
    <w:rsid w:val="008C3C97"/>
    <w:rsid w:val="008C3D26"/>
    <w:rsid w:val="008C4138"/>
    <w:rsid w:val="008C4188"/>
    <w:rsid w:val="008C45B1"/>
    <w:rsid w:val="008C4624"/>
    <w:rsid w:val="008C4948"/>
    <w:rsid w:val="008C4BE3"/>
    <w:rsid w:val="008C4D57"/>
    <w:rsid w:val="008C4F8E"/>
    <w:rsid w:val="008C5106"/>
    <w:rsid w:val="008C512E"/>
    <w:rsid w:val="008C5238"/>
    <w:rsid w:val="008C5249"/>
    <w:rsid w:val="008C5275"/>
    <w:rsid w:val="008C5610"/>
    <w:rsid w:val="008C56CF"/>
    <w:rsid w:val="008C5739"/>
    <w:rsid w:val="008C580B"/>
    <w:rsid w:val="008C580D"/>
    <w:rsid w:val="008C5A59"/>
    <w:rsid w:val="008C5B14"/>
    <w:rsid w:val="008C5C01"/>
    <w:rsid w:val="008C5C50"/>
    <w:rsid w:val="008C5D40"/>
    <w:rsid w:val="008C5D72"/>
    <w:rsid w:val="008C5E6D"/>
    <w:rsid w:val="008C5E6F"/>
    <w:rsid w:val="008C6108"/>
    <w:rsid w:val="008C63E2"/>
    <w:rsid w:val="008C66D7"/>
    <w:rsid w:val="008C66DE"/>
    <w:rsid w:val="008C69AE"/>
    <w:rsid w:val="008C6C4C"/>
    <w:rsid w:val="008C6D68"/>
    <w:rsid w:val="008C70CE"/>
    <w:rsid w:val="008C7282"/>
    <w:rsid w:val="008C7530"/>
    <w:rsid w:val="008C75E4"/>
    <w:rsid w:val="008C7776"/>
    <w:rsid w:val="008C7950"/>
    <w:rsid w:val="008C796A"/>
    <w:rsid w:val="008C797C"/>
    <w:rsid w:val="008C79B6"/>
    <w:rsid w:val="008C7A1C"/>
    <w:rsid w:val="008C7C39"/>
    <w:rsid w:val="008C7EC0"/>
    <w:rsid w:val="008C7ECB"/>
    <w:rsid w:val="008C7F0D"/>
    <w:rsid w:val="008C7FBA"/>
    <w:rsid w:val="008D00E0"/>
    <w:rsid w:val="008D01CD"/>
    <w:rsid w:val="008D02F9"/>
    <w:rsid w:val="008D02FD"/>
    <w:rsid w:val="008D032F"/>
    <w:rsid w:val="008D04E0"/>
    <w:rsid w:val="008D0635"/>
    <w:rsid w:val="008D093B"/>
    <w:rsid w:val="008D0A06"/>
    <w:rsid w:val="008D0A63"/>
    <w:rsid w:val="008D0CD5"/>
    <w:rsid w:val="008D0ED2"/>
    <w:rsid w:val="008D0F21"/>
    <w:rsid w:val="008D0FA3"/>
    <w:rsid w:val="008D1157"/>
    <w:rsid w:val="008D11E4"/>
    <w:rsid w:val="008D147A"/>
    <w:rsid w:val="008D14C9"/>
    <w:rsid w:val="008D152D"/>
    <w:rsid w:val="008D1546"/>
    <w:rsid w:val="008D16A8"/>
    <w:rsid w:val="008D1726"/>
    <w:rsid w:val="008D17E3"/>
    <w:rsid w:val="008D1AC4"/>
    <w:rsid w:val="008D1C54"/>
    <w:rsid w:val="008D1ED8"/>
    <w:rsid w:val="008D2251"/>
    <w:rsid w:val="008D2275"/>
    <w:rsid w:val="008D23FE"/>
    <w:rsid w:val="008D26F2"/>
    <w:rsid w:val="008D272F"/>
    <w:rsid w:val="008D2737"/>
    <w:rsid w:val="008D27A4"/>
    <w:rsid w:val="008D2B69"/>
    <w:rsid w:val="008D2BB6"/>
    <w:rsid w:val="008D2C8E"/>
    <w:rsid w:val="008D2E23"/>
    <w:rsid w:val="008D30A7"/>
    <w:rsid w:val="008D32D8"/>
    <w:rsid w:val="008D3635"/>
    <w:rsid w:val="008D3661"/>
    <w:rsid w:val="008D3851"/>
    <w:rsid w:val="008D388D"/>
    <w:rsid w:val="008D397B"/>
    <w:rsid w:val="008D3A97"/>
    <w:rsid w:val="008D3AD3"/>
    <w:rsid w:val="008D3AF0"/>
    <w:rsid w:val="008D3B16"/>
    <w:rsid w:val="008D3B86"/>
    <w:rsid w:val="008D40AF"/>
    <w:rsid w:val="008D41DA"/>
    <w:rsid w:val="008D4223"/>
    <w:rsid w:val="008D426A"/>
    <w:rsid w:val="008D4366"/>
    <w:rsid w:val="008D4379"/>
    <w:rsid w:val="008D43FD"/>
    <w:rsid w:val="008D44D5"/>
    <w:rsid w:val="008D4514"/>
    <w:rsid w:val="008D453E"/>
    <w:rsid w:val="008D4622"/>
    <w:rsid w:val="008D4755"/>
    <w:rsid w:val="008D4B3E"/>
    <w:rsid w:val="008D4C3D"/>
    <w:rsid w:val="008D4D0F"/>
    <w:rsid w:val="008D4D41"/>
    <w:rsid w:val="008D4DEF"/>
    <w:rsid w:val="008D4ECE"/>
    <w:rsid w:val="008D4FC1"/>
    <w:rsid w:val="008D50CF"/>
    <w:rsid w:val="008D515A"/>
    <w:rsid w:val="008D51A5"/>
    <w:rsid w:val="008D521C"/>
    <w:rsid w:val="008D5245"/>
    <w:rsid w:val="008D53D6"/>
    <w:rsid w:val="008D543F"/>
    <w:rsid w:val="008D5535"/>
    <w:rsid w:val="008D5718"/>
    <w:rsid w:val="008D5AA1"/>
    <w:rsid w:val="008D5C60"/>
    <w:rsid w:val="008D5C6D"/>
    <w:rsid w:val="008D5D35"/>
    <w:rsid w:val="008D5DB1"/>
    <w:rsid w:val="008D5F02"/>
    <w:rsid w:val="008D5FAE"/>
    <w:rsid w:val="008D618B"/>
    <w:rsid w:val="008D61F4"/>
    <w:rsid w:val="008D635B"/>
    <w:rsid w:val="008D63EE"/>
    <w:rsid w:val="008D63F1"/>
    <w:rsid w:val="008D6404"/>
    <w:rsid w:val="008D6415"/>
    <w:rsid w:val="008D656B"/>
    <w:rsid w:val="008D66DD"/>
    <w:rsid w:val="008D672E"/>
    <w:rsid w:val="008D680B"/>
    <w:rsid w:val="008D69E0"/>
    <w:rsid w:val="008D6C45"/>
    <w:rsid w:val="008D6C83"/>
    <w:rsid w:val="008D6CC6"/>
    <w:rsid w:val="008D6DC6"/>
    <w:rsid w:val="008D6F39"/>
    <w:rsid w:val="008D6F3F"/>
    <w:rsid w:val="008D70F6"/>
    <w:rsid w:val="008D71C6"/>
    <w:rsid w:val="008D733A"/>
    <w:rsid w:val="008D739B"/>
    <w:rsid w:val="008D743C"/>
    <w:rsid w:val="008D74AE"/>
    <w:rsid w:val="008D7642"/>
    <w:rsid w:val="008D77F9"/>
    <w:rsid w:val="008D79DC"/>
    <w:rsid w:val="008D7B61"/>
    <w:rsid w:val="008D7F31"/>
    <w:rsid w:val="008E0104"/>
    <w:rsid w:val="008E0116"/>
    <w:rsid w:val="008E01A8"/>
    <w:rsid w:val="008E041A"/>
    <w:rsid w:val="008E05DC"/>
    <w:rsid w:val="008E0964"/>
    <w:rsid w:val="008E0B39"/>
    <w:rsid w:val="008E0D3C"/>
    <w:rsid w:val="008E0EFA"/>
    <w:rsid w:val="008E117C"/>
    <w:rsid w:val="008E11CB"/>
    <w:rsid w:val="008E14FF"/>
    <w:rsid w:val="008E1566"/>
    <w:rsid w:val="008E167F"/>
    <w:rsid w:val="008E16C5"/>
    <w:rsid w:val="008E18F5"/>
    <w:rsid w:val="008E192B"/>
    <w:rsid w:val="008E1962"/>
    <w:rsid w:val="008E196A"/>
    <w:rsid w:val="008E1B4C"/>
    <w:rsid w:val="008E1B9E"/>
    <w:rsid w:val="008E1BA4"/>
    <w:rsid w:val="008E1C06"/>
    <w:rsid w:val="008E1C98"/>
    <w:rsid w:val="008E1D3B"/>
    <w:rsid w:val="008E1E0F"/>
    <w:rsid w:val="008E1E59"/>
    <w:rsid w:val="008E1E70"/>
    <w:rsid w:val="008E21A7"/>
    <w:rsid w:val="008E239C"/>
    <w:rsid w:val="008E23AC"/>
    <w:rsid w:val="008E2660"/>
    <w:rsid w:val="008E26D3"/>
    <w:rsid w:val="008E2A60"/>
    <w:rsid w:val="008E2ABB"/>
    <w:rsid w:val="008E30AB"/>
    <w:rsid w:val="008E30CD"/>
    <w:rsid w:val="008E34F1"/>
    <w:rsid w:val="008E35DE"/>
    <w:rsid w:val="008E3BF1"/>
    <w:rsid w:val="008E3C05"/>
    <w:rsid w:val="008E3C63"/>
    <w:rsid w:val="008E3E7B"/>
    <w:rsid w:val="008E43C5"/>
    <w:rsid w:val="008E453B"/>
    <w:rsid w:val="008E4549"/>
    <w:rsid w:val="008E4606"/>
    <w:rsid w:val="008E4611"/>
    <w:rsid w:val="008E495E"/>
    <w:rsid w:val="008E4A4A"/>
    <w:rsid w:val="008E4B53"/>
    <w:rsid w:val="008E4B6A"/>
    <w:rsid w:val="008E4BB0"/>
    <w:rsid w:val="008E4C5E"/>
    <w:rsid w:val="008E4DDC"/>
    <w:rsid w:val="008E4E8C"/>
    <w:rsid w:val="008E5166"/>
    <w:rsid w:val="008E51CF"/>
    <w:rsid w:val="008E52A1"/>
    <w:rsid w:val="008E52CD"/>
    <w:rsid w:val="008E540A"/>
    <w:rsid w:val="008E550D"/>
    <w:rsid w:val="008E5533"/>
    <w:rsid w:val="008E55AB"/>
    <w:rsid w:val="008E5683"/>
    <w:rsid w:val="008E5755"/>
    <w:rsid w:val="008E5885"/>
    <w:rsid w:val="008E59EB"/>
    <w:rsid w:val="008E5A46"/>
    <w:rsid w:val="008E5B43"/>
    <w:rsid w:val="008E5C40"/>
    <w:rsid w:val="008E5CB0"/>
    <w:rsid w:val="008E5F51"/>
    <w:rsid w:val="008E6096"/>
    <w:rsid w:val="008E6119"/>
    <w:rsid w:val="008E614B"/>
    <w:rsid w:val="008E621B"/>
    <w:rsid w:val="008E62D2"/>
    <w:rsid w:val="008E6351"/>
    <w:rsid w:val="008E6554"/>
    <w:rsid w:val="008E6606"/>
    <w:rsid w:val="008E68F9"/>
    <w:rsid w:val="008E6900"/>
    <w:rsid w:val="008E6A59"/>
    <w:rsid w:val="008E6B1B"/>
    <w:rsid w:val="008E6BF9"/>
    <w:rsid w:val="008E6CA7"/>
    <w:rsid w:val="008E6CF9"/>
    <w:rsid w:val="008E6D18"/>
    <w:rsid w:val="008E6F1C"/>
    <w:rsid w:val="008E6F3D"/>
    <w:rsid w:val="008E6F58"/>
    <w:rsid w:val="008E713F"/>
    <w:rsid w:val="008E7468"/>
    <w:rsid w:val="008E747C"/>
    <w:rsid w:val="008E755B"/>
    <w:rsid w:val="008E764A"/>
    <w:rsid w:val="008E77A2"/>
    <w:rsid w:val="008E77B3"/>
    <w:rsid w:val="008E78F3"/>
    <w:rsid w:val="008E7989"/>
    <w:rsid w:val="008E7996"/>
    <w:rsid w:val="008E7D53"/>
    <w:rsid w:val="008E7E7F"/>
    <w:rsid w:val="008E7F51"/>
    <w:rsid w:val="008F031E"/>
    <w:rsid w:val="008F0434"/>
    <w:rsid w:val="008F055F"/>
    <w:rsid w:val="008F06E6"/>
    <w:rsid w:val="008F087B"/>
    <w:rsid w:val="008F08AE"/>
    <w:rsid w:val="008F08C7"/>
    <w:rsid w:val="008F09EA"/>
    <w:rsid w:val="008F0ABC"/>
    <w:rsid w:val="008F0B4F"/>
    <w:rsid w:val="008F0D51"/>
    <w:rsid w:val="008F1133"/>
    <w:rsid w:val="008F11E6"/>
    <w:rsid w:val="008F1205"/>
    <w:rsid w:val="008F120A"/>
    <w:rsid w:val="008F127A"/>
    <w:rsid w:val="008F163E"/>
    <w:rsid w:val="008F164D"/>
    <w:rsid w:val="008F1691"/>
    <w:rsid w:val="008F1709"/>
    <w:rsid w:val="008F1816"/>
    <w:rsid w:val="008F1849"/>
    <w:rsid w:val="008F19C7"/>
    <w:rsid w:val="008F1A1D"/>
    <w:rsid w:val="008F1B7B"/>
    <w:rsid w:val="008F1D43"/>
    <w:rsid w:val="008F1DA9"/>
    <w:rsid w:val="008F1F7E"/>
    <w:rsid w:val="008F215C"/>
    <w:rsid w:val="008F23BD"/>
    <w:rsid w:val="008F24BD"/>
    <w:rsid w:val="008F269E"/>
    <w:rsid w:val="008F2795"/>
    <w:rsid w:val="008F27E0"/>
    <w:rsid w:val="008F2913"/>
    <w:rsid w:val="008F2933"/>
    <w:rsid w:val="008F2A01"/>
    <w:rsid w:val="008F2C65"/>
    <w:rsid w:val="008F2CB3"/>
    <w:rsid w:val="008F2F97"/>
    <w:rsid w:val="008F2FFA"/>
    <w:rsid w:val="008F33C0"/>
    <w:rsid w:val="008F33F1"/>
    <w:rsid w:val="008F3576"/>
    <w:rsid w:val="008F372F"/>
    <w:rsid w:val="008F378C"/>
    <w:rsid w:val="008F37B0"/>
    <w:rsid w:val="008F3878"/>
    <w:rsid w:val="008F3898"/>
    <w:rsid w:val="008F3A2D"/>
    <w:rsid w:val="008F3C47"/>
    <w:rsid w:val="008F3C51"/>
    <w:rsid w:val="008F3F39"/>
    <w:rsid w:val="008F436D"/>
    <w:rsid w:val="008F4510"/>
    <w:rsid w:val="008F4622"/>
    <w:rsid w:val="008F47D1"/>
    <w:rsid w:val="008F488A"/>
    <w:rsid w:val="008F48DB"/>
    <w:rsid w:val="008F48EB"/>
    <w:rsid w:val="008F494F"/>
    <w:rsid w:val="008F4961"/>
    <w:rsid w:val="008F4A15"/>
    <w:rsid w:val="008F4B84"/>
    <w:rsid w:val="008F4D21"/>
    <w:rsid w:val="008F4D26"/>
    <w:rsid w:val="008F4D9A"/>
    <w:rsid w:val="008F4F0B"/>
    <w:rsid w:val="008F53D3"/>
    <w:rsid w:val="008F552D"/>
    <w:rsid w:val="008F5812"/>
    <w:rsid w:val="008F589B"/>
    <w:rsid w:val="008F593C"/>
    <w:rsid w:val="008F5C3F"/>
    <w:rsid w:val="008F6121"/>
    <w:rsid w:val="008F64BA"/>
    <w:rsid w:val="008F65D8"/>
    <w:rsid w:val="008F66EE"/>
    <w:rsid w:val="008F682E"/>
    <w:rsid w:val="008F68B2"/>
    <w:rsid w:val="008F6BE2"/>
    <w:rsid w:val="008F6C6E"/>
    <w:rsid w:val="008F6CDF"/>
    <w:rsid w:val="008F6D73"/>
    <w:rsid w:val="008F6F31"/>
    <w:rsid w:val="008F6FDD"/>
    <w:rsid w:val="008F7029"/>
    <w:rsid w:val="008F712C"/>
    <w:rsid w:val="008F722B"/>
    <w:rsid w:val="008F7507"/>
    <w:rsid w:val="008F7A88"/>
    <w:rsid w:val="008F7B47"/>
    <w:rsid w:val="008F7C67"/>
    <w:rsid w:val="008F7E17"/>
    <w:rsid w:val="009002C2"/>
    <w:rsid w:val="00900317"/>
    <w:rsid w:val="00900489"/>
    <w:rsid w:val="009004EA"/>
    <w:rsid w:val="00900548"/>
    <w:rsid w:val="00900614"/>
    <w:rsid w:val="009009F4"/>
    <w:rsid w:val="00900DC3"/>
    <w:rsid w:val="00900F13"/>
    <w:rsid w:val="009011EB"/>
    <w:rsid w:val="009012C8"/>
    <w:rsid w:val="00901603"/>
    <w:rsid w:val="009016CE"/>
    <w:rsid w:val="00901733"/>
    <w:rsid w:val="009017DC"/>
    <w:rsid w:val="00901988"/>
    <w:rsid w:val="00901B0B"/>
    <w:rsid w:val="00901CA1"/>
    <w:rsid w:val="00901CF3"/>
    <w:rsid w:val="0090206F"/>
    <w:rsid w:val="0090240D"/>
    <w:rsid w:val="00902434"/>
    <w:rsid w:val="009025CD"/>
    <w:rsid w:val="00902717"/>
    <w:rsid w:val="00902788"/>
    <w:rsid w:val="00902849"/>
    <w:rsid w:val="00902861"/>
    <w:rsid w:val="009028CA"/>
    <w:rsid w:val="00902975"/>
    <w:rsid w:val="00902AD7"/>
    <w:rsid w:val="00902B38"/>
    <w:rsid w:val="00902B4B"/>
    <w:rsid w:val="00902CC3"/>
    <w:rsid w:val="00902DE6"/>
    <w:rsid w:val="00902E9B"/>
    <w:rsid w:val="00902EE8"/>
    <w:rsid w:val="009031C6"/>
    <w:rsid w:val="009031D5"/>
    <w:rsid w:val="00903314"/>
    <w:rsid w:val="009033EC"/>
    <w:rsid w:val="009033FF"/>
    <w:rsid w:val="009036D9"/>
    <w:rsid w:val="0090371D"/>
    <w:rsid w:val="0090379D"/>
    <w:rsid w:val="00903B73"/>
    <w:rsid w:val="00903CF9"/>
    <w:rsid w:val="00903E5D"/>
    <w:rsid w:val="00904144"/>
    <w:rsid w:val="0090439C"/>
    <w:rsid w:val="009046C4"/>
    <w:rsid w:val="009046D4"/>
    <w:rsid w:val="00904916"/>
    <w:rsid w:val="0090492E"/>
    <w:rsid w:val="00904948"/>
    <w:rsid w:val="00904977"/>
    <w:rsid w:val="00904979"/>
    <w:rsid w:val="00904AE8"/>
    <w:rsid w:val="0090510B"/>
    <w:rsid w:val="009051DC"/>
    <w:rsid w:val="00905268"/>
    <w:rsid w:val="00905395"/>
    <w:rsid w:val="00905683"/>
    <w:rsid w:val="00905B27"/>
    <w:rsid w:val="00905B5C"/>
    <w:rsid w:val="00905B61"/>
    <w:rsid w:val="00905D55"/>
    <w:rsid w:val="00905DDC"/>
    <w:rsid w:val="009060D7"/>
    <w:rsid w:val="00906127"/>
    <w:rsid w:val="009062A5"/>
    <w:rsid w:val="009062F6"/>
    <w:rsid w:val="009062FD"/>
    <w:rsid w:val="009063C2"/>
    <w:rsid w:val="00906632"/>
    <w:rsid w:val="009066A2"/>
    <w:rsid w:val="00906AC2"/>
    <w:rsid w:val="00906B11"/>
    <w:rsid w:val="00906B35"/>
    <w:rsid w:val="00906C15"/>
    <w:rsid w:val="00906C3C"/>
    <w:rsid w:val="00906D48"/>
    <w:rsid w:val="009071C8"/>
    <w:rsid w:val="0090738E"/>
    <w:rsid w:val="0090765C"/>
    <w:rsid w:val="00907699"/>
    <w:rsid w:val="00907748"/>
    <w:rsid w:val="00907A5A"/>
    <w:rsid w:val="00907C5A"/>
    <w:rsid w:val="00907D21"/>
    <w:rsid w:val="00907E36"/>
    <w:rsid w:val="00910155"/>
    <w:rsid w:val="0091017A"/>
    <w:rsid w:val="00910541"/>
    <w:rsid w:val="00910651"/>
    <w:rsid w:val="00910732"/>
    <w:rsid w:val="009107F4"/>
    <w:rsid w:val="00910979"/>
    <w:rsid w:val="00910AE4"/>
    <w:rsid w:val="00910C1B"/>
    <w:rsid w:val="00910F4C"/>
    <w:rsid w:val="00910F73"/>
    <w:rsid w:val="00910FA7"/>
    <w:rsid w:val="00911147"/>
    <w:rsid w:val="00911272"/>
    <w:rsid w:val="00911339"/>
    <w:rsid w:val="009113DD"/>
    <w:rsid w:val="0091186E"/>
    <w:rsid w:val="00911D38"/>
    <w:rsid w:val="00911DDC"/>
    <w:rsid w:val="00911E0D"/>
    <w:rsid w:val="00911E33"/>
    <w:rsid w:val="00911ED2"/>
    <w:rsid w:val="00911F62"/>
    <w:rsid w:val="00912065"/>
    <w:rsid w:val="00912094"/>
    <w:rsid w:val="009120C9"/>
    <w:rsid w:val="0091215E"/>
    <w:rsid w:val="0091217D"/>
    <w:rsid w:val="0091220C"/>
    <w:rsid w:val="00912322"/>
    <w:rsid w:val="009125BE"/>
    <w:rsid w:val="009125EF"/>
    <w:rsid w:val="009126E5"/>
    <w:rsid w:val="00912723"/>
    <w:rsid w:val="009127E3"/>
    <w:rsid w:val="00912810"/>
    <w:rsid w:val="00912A1D"/>
    <w:rsid w:val="00912A27"/>
    <w:rsid w:val="00912B6C"/>
    <w:rsid w:val="00912B82"/>
    <w:rsid w:val="00912D2B"/>
    <w:rsid w:val="00912F56"/>
    <w:rsid w:val="00913005"/>
    <w:rsid w:val="00913271"/>
    <w:rsid w:val="00913546"/>
    <w:rsid w:val="00913589"/>
    <w:rsid w:val="009135D6"/>
    <w:rsid w:val="0091374B"/>
    <w:rsid w:val="009138B2"/>
    <w:rsid w:val="00913934"/>
    <w:rsid w:val="00913976"/>
    <w:rsid w:val="009139BE"/>
    <w:rsid w:val="00913A00"/>
    <w:rsid w:val="00913A32"/>
    <w:rsid w:val="00913BBE"/>
    <w:rsid w:val="00913CDC"/>
    <w:rsid w:val="00913E2A"/>
    <w:rsid w:val="00913EE5"/>
    <w:rsid w:val="00913F1E"/>
    <w:rsid w:val="009143E5"/>
    <w:rsid w:val="0091444F"/>
    <w:rsid w:val="009144EF"/>
    <w:rsid w:val="009145F0"/>
    <w:rsid w:val="0091489E"/>
    <w:rsid w:val="00914923"/>
    <w:rsid w:val="00914B4F"/>
    <w:rsid w:val="00914BC5"/>
    <w:rsid w:val="00914C77"/>
    <w:rsid w:val="00914D1D"/>
    <w:rsid w:val="00914D37"/>
    <w:rsid w:val="00914D81"/>
    <w:rsid w:val="00914E95"/>
    <w:rsid w:val="00915010"/>
    <w:rsid w:val="009151A8"/>
    <w:rsid w:val="0091522C"/>
    <w:rsid w:val="0091535C"/>
    <w:rsid w:val="00915399"/>
    <w:rsid w:val="0091591B"/>
    <w:rsid w:val="00915939"/>
    <w:rsid w:val="00915942"/>
    <w:rsid w:val="00915C7B"/>
    <w:rsid w:val="00915D01"/>
    <w:rsid w:val="00915E22"/>
    <w:rsid w:val="00915F7A"/>
    <w:rsid w:val="00915FD1"/>
    <w:rsid w:val="00916032"/>
    <w:rsid w:val="00916084"/>
    <w:rsid w:val="009163F3"/>
    <w:rsid w:val="00916930"/>
    <w:rsid w:val="00916AC9"/>
    <w:rsid w:val="00916B4A"/>
    <w:rsid w:val="00916F56"/>
    <w:rsid w:val="00916F94"/>
    <w:rsid w:val="00917076"/>
    <w:rsid w:val="00917469"/>
    <w:rsid w:val="009177AD"/>
    <w:rsid w:val="009178B3"/>
    <w:rsid w:val="009179B0"/>
    <w:rsid w:val="00917B1B"/>
    <w:rsid w:val="00917F27"/>
    <w:rsid w:val="009202DD"/>
    <w:rsid w:val="009205E4"/>
    <w:rsid w:val="009207A1"/>
    <w:rsid w:val="009208F8"/>
    <w:rsid w:val="00920B29"/>
    <w:rsid w:val="00920B6B"/>
    <w:rsid w:val="00920F0E"/>
    <w:rsid w:val="00920FD7"/>
    <w:rsid w:val="00921156"/>
    <w:rsid w:val="00921192"/>
    <w:rsid w:val="009211C8"/>
    <w:rsid w:val="0092126D"/>
    <w:rsid w:val="00921301"/>
    <w:rsid w:val="00921318"/>
    <w:rsid w:val="0092132F"/>
    <w:rsid w:val="009214CC"/>
    <w:rsid w:val="009214CD"/>
    <w:rsid w:val="0092158F"/>
    <w:rsid w:val="0092168D"/>
    <w:rsid w:val="009217B3"/>
    <w:rsid w:val="00921906"/>
    <w:rsid w:val="00921ACB"/>
    <w:rsid w:val="00921B48"/>
    <w:rsid w:val="00921C0C"/>
    <w:rsid w:val="00921D4F"/>
    <w:rsid w:val="00921E5F"/>
    <w:rsid w:val="00922412"/>
    <w:rsid w:val="00922464"/>
    <w:rsid w:val="00922839"/>
    <w:rsid w:val="00922AFD"/>
    <w:rsid w:val="00922C91"/>
    <w:rsid w:val="00922D28"/>
    <w:rsid w:val="00923005"/>
    <w:rsid w:val="00923133"/>
    <w:rsid w:val="00923137"/>
    <w:rsid w:val="0092316F"/>
    <w:rsid w:val="009233CC"/>
    <w:rsid w:val="00923487"/>
    <w:rsid w:val="0092357B"/>
    <w:rsid w:val="009235FA"/>
    <w:rsid w:val="00923638"/>
    <w:rsid w:val="0092369B"/>
    <w:rsid w:val="009237BE"/>
    <w:rsid w:val="009237C6"/>
    <w:rsid w:val="0092392B"/>
    <w:rsid w:val="00923A3C"/>
    <w:rsid w:val="00923A53"/>
    <w:rsid w:val="00923B29"/>
    <w:rsid w:val="00923BFA"/>
    <w:rsid w:val="00924065"/>
    <w:rsid w:val="0092410E"/>
    <w:rsid w:val="00924288"/>
    <w:rsid w:val="00924291"/>
    <w:rsid w:val="00924361"/>
    <w:rsid w:val="0092454B"/>
    <w:rsid w:val="00924560"/>
    <w:rsid w:val="009245FF"/>
    <w:rsid w:val="0092492B"/>
    <w:rsid w:val="00924943"/>
    <w:rsid w:val="00924959"/>
    <w:rsid w:val="0092495F"/>
    <w:rsid w:val="00924D46"/>
    <w:rsid w:val="00924D5D"/>
    <w:rsid w:val="00924D9E"/>
    <w:rsid w:val="00924E83"/>
    <w:rsid w:val="00924F06"/>
    <w:rsid w:val="009251AF"/>
    <w:rsid w:val="00925399"/>
    <w:rsid w:val="009253AC"/>
    <w:rsid w:val="009253CD"/>
    <w:rsid w:val="00925462"/>
    <w:rsid w:val="0092546A"/>
    <w:rsid w:val="0092557D"/>
    <w:rsid w:val="00925591"/>
    <w:rsid w:val="009255BA"/>
    <w:rsid w:val="009259AB"/>
    <w:rsid w:val="00925ABA"/>
    <w:rsid w:val="00925AE1"/>
    <w:rsid w:val="00925AE9"/>
    <w:rsid w:val="00925C6B"/>
    <w:rsid w:val="00925DC7"/>
    <w:rsid w:val="00925E38"/>
    <w:rsid w:val="00926179"/>
    <w:rsid w:val="00926245"/>
    <w:rsid w:val="0092664A"/>
    <w:rsid w:val="0092668F"/>
    <w:rsid w:val="00926701"/>
    <w:rsid w:val="00926732"/>
    <w:rsid w:val="009267B5"/>
    <w:rsid w:val="00926918"/>
    <w:rsid w:val="00926C86"/>
    <w:rsid w:val="00927017"/>
    <w:rsid w:val="0092707B"/>
    <w:rsid w:val="00927435"/>
    <w:rsid w:val="00927483"/>
    <w:rsid w:val="009279BD"/>
    <w:rsid w:val="00927AA7"/>
    <w:rsid w:val="00927C2D"/>
    <w:rsid w:val="00927CF8"/>
    <w:rsid w:val="00927E4B"/>
    <w:rsid w:val="00927E91"/>
    <w:rsid w:val="0093004A"/>
    <w:rsid w:val="0093014A"/>
    <w:rsid w:val="00930202"/>
    <w:rsid w:val="009303FE"/>
    <w:rsid w:val="00930620"/>
    <w:rsid w:val="00930650"/>
    <w:rsid w:val="00930692"/>
    <w:rsid w:val="009306EF"/>
    <w:rsid w:val="0093071F"/>
    <w:rsid w:val="00930906"/>
    <w:rsid w:val="00930BD4"/>
    <w:rsid w:val="00930BF8"/>
    <w:rsid w:val="00930E3F"/>
    <w:rsid w:val="00930ECC"/>
    <w:rsid w:val="00930F9B"/>
    <w:rsid w:val="00931014"/>
    <w:rsid w:val="00931079"/>
    <w:rsid w:val="009313D4"/>
    <w:rsid w:val="00931622"/>
    <w:rsid w:val="0093173B"/>
    <w:rsid w:val="00931907"/>
    <w:rsid w:val="0093190D"/>
    <w:rsid w:val="00931A58"/>
    <w:rsid w:val="00931ACC"/>
    <w:rsid w:val="00931AF0"/>
    <w:rsid w:val="00931BD8"/>
    <w:rsid w:val="00931C9F"/>
    <w:rsid w:val="00931F46"/>
    <w:rsid w:val="00931F6F"/>
    <w:rsid w:val="00932084"/>
    <w:rsid w:val="0093216A"/>
    <w:rsid w:val="00932172"/>
    <w:rsid w:val="009324C2"/>
    <w:rsid w:val="00932555"/>
    <w:rsid w:val="009327D2"/>
    <w:rsid w:val="009328C5"/>
    <w:rsid w:val="00932D87"/>
    <w:rsid w:val="00932F56"/>
    <w:rsid w:val="00932F8D"/>
    <w:rsid w:val="009330A6"/>
    <w:rsid w:val="0093310A"/>
    <w:rsid w:val="009332E5"/>
    <w:rsid w:val="009335F6"/>
    <w:rsid w:val="009336E4"/>
    <w:rsid w:val="0093385E"/>
    <w:rsid w:val="009338DB"/>
    <w:rsid w:val="00933A66"/>
    <w:rsid w:val="00933B64"/>
    <w:rsid w:val="00933C3C"/>
    <w:rsid w:val="00933CAA"/>
    <w:rsid w:val="009341D9"/>
    <w:rsid w:val="0093444C"/>
    <w:rsid w:val="009344EF"/>
    <w:rsid w:val="0093463D"/>
    <w:rsid w:val="00934717"/>
    <w:rsid w:val="00934988"/>
    <w:rsid w:val="009349A6"/>
    <w:rsid w:val="009349B8"/>
    <w:rsid w:val="009349EB"/>
    <w:rsid w:val="00934A63"/>
    <w:rsid w:val="00934B57"/>
    <w:rsid w:val="00934B9F"/>
    <w:rsid w:val="00934EDC"/>
    <w:rsid w:val="00934FA9"/>
    <w:rsid w:val="00935069"/>
    <w:rsid w:val="00935119"/>
    <w:rsid w:val="009351C5"/>
    <w:rsid w:val="0093541E"/>
    <w:rsid w:val="00935591"/>
    <w:rsid w:val="00935A30"/>
    <w:rsid w:val="00935BF7"/>
    <w:rsid w:val="00935DB5"/>
    <w:rsid w:val="00935DDD"/>
    <w:rsid w:val="00935E14"/>
    <w:rsid w:val="00935EE9"/>
    <w:rsid w:val="00936285"/>
    <w:rsid w:val="00936537"/>
    <w:rsid w:val="00936800"/>
    <w:rsid w:val="009368C8"/>
    <w:rsid w:val="00936969"/>
    <w:rsid w:val="00936B2B"/>
    <w:rsid w:val="00936D02"/>
    <w:rsid w:val="00936FF0"/>
    <w:rsid w:val="00937089"/>
    <w:rsid w:val="00937344"/>
    <w:rsid w:val="00937761"/>
    <w:rsid w:val="009377A7"/>
    <w:rsid w:val="009378E2"/>
    <w:rsid w:val="009379F8"/>
    <w:rsid w:val="00937A6E"/>
    <w:rsid w:val="00937B84"/>
    <w:rsid w:val="00937BB3"/>
    <w:rsid w:val="00937D88"/>
    <w:rsid w:val="00937EA0"/>
    <w:rsid w:val="00937EE4"/>
    <w:rsid w:val="00937F96"/>
    <w:rsid w:val="00940116"/>
    <w:rsid w:val="0094017C"/>
    <w:rsid w:val="009402B5"/>
    <w:rsid w:val="00940361"/>
    <w:rsid w:val="00940364"/>
    <w:rsid w:val="00940400"/>
    <w:rsid w:val="009404C3"/>
    <w:rsid w:val="00940508"/>
    <w:rsid w:val="00940611"/>
    <w:rsid w:val="0094061B"/>
    <w:rsid w:val="00940669"/>
    <w:rsid w:val="009406C4"/>
    <w:rsid w:val="00940B9C"/>
    <w:rsid w:val="00940E5B"/>
    <w:rsid w:val="0094110D"/>
    <w:rsid w:val="0094117F"/>
    <w:rsid w:val="0094134F"/>
    <w:rsid w:val="00941656"/>
    <w:rsid w:val="00941802"/>
    <w:rsid w:val="00941833"/>
    <w:rsid w:val="00941B51"/>
    <w:rsid w:val="00941C20"/>
    <w:rsid w:val="00941C70"/>
    <w:rsid w:val="00941D08"/>
    <w:rsid w:val="00941D7E"/>
    <w:rsid w:val="00941FF4"/>
    <w:rsid w:val="00942332"/>
    <w:rsid w:val="00942399"/>
    <w:rsid w:val="00942490"/>
    <w:rsid w:val="009425BA"/>
    <w:rsid w:val="00942609"/>
    <w:rsid w:val="009427B7"/>
    <w:rsid w:val="009427E1"/>
    <w:rsid w:val="009428CF"/>
    <w:rsid w:val="00942A96"/>
    <w:rsid w:val="00942BB2"/>
    <w:rsid w:val="00942C1A"/>
    <w:rsid w:val="00942C33"/>
    <w:rsid w:val="00942C86"/>
    <w:rsid w:val="00942C91"/>
    <w:rsid w:val="00942C9A"/>
    <w:rsid w:val="00942CC6"/>
    <w:rsid w:val="00942ECC"/>
    <w:rsid w:val="009431DC"/>
    <w:rsid w:val="00943238"/>
    <w:rsid w:val="00943411"/>
    <w:rsid w:val="009434B2"/>
    <w:rsid w:val="00943508"/>
    <w:rsid w:val="00943599"/>
    <w:rsid w:val="009436D3"/>
    <w:rsid w:val="00943724"/>
    <w:rsid w:val="009437E3"/>
    <w:rsid w:val="00943851"/>
    <w:rsid w:val="00943918"/>
    <w:rsid w:val="00943BC7"/>
    <w:rsid w:val="00943FA4"/>
    <w:rsid w:val="00944163"/>
    <w:rsid w:val="0094417D"/>
    <w:rsid w:val="0094440D"/>
    <w:rsid w:val="0094471E"/>
    <w:rsid w:val="009447AD"/>
    <w:rsid w:val="00944878"/>
    <w:rsid w:val="009448C2"/>
    <w:rsid w:val="0094491B"/>
    <w:rsid w:val="00944A94"/>
    <w:rsid w:val="00944B41"/>
    <w:rsid w:val="00944B88"/>
    <w:rsid w:val="00944BA9"/>
    <w:rsid w:val="00944EEC"/>
    <w:rsid w:val="00944F8A"/>
    <w:rsid w:val="0094513B"/>
    <w:rsid w:val="0094529C"/>
    <w:rsid w:val="009452B2"/>
    <w:rsid w:val="0094531D"/>
    <w:rsid w:val="00945635"/>
    <w:rsid w:val="009456CA"/>
    <w:rsid w:val="0094573B"/>
    <w:rsid w:val="00945770"/>
    <w:rsid w:val="009458A5"/>
    <w:rsid w:val="009458B9"/>
    <w:rsid w:val="00945C7E"/>
    <w:rsid w:val="00945DCB"/>
    <w:rsid w:val="00945E44"/>
    <w:rsid w:val="00945FE0"/>
    <w:rsid w:val="009460AF"/>
    <w:rsid w:val="009462C3"/>
    <w:rsid w:val="00946908"/>
    <w:rsid w:val="00946A21"/>
    <w:rsid w:val="00946B06"/>
    <w:rsid w:val="00946B9A"/>
    <w:rsid w:val="00946CFD"/>
    <w:rsid w:val="00946DEB"/>
    <w:rsid w:val="00946ED7"/>
    <w:rsid w:val="00946FB8"/>
    <w:rsid w:val="00947292"/>
    <w:rsid w:val="00947338"/>
    <w:rsid w:val="009474CB"/>
    <w:rsid w:val="00947685"/>
    <w:rsid w:val="00947723"/>
    <w:rsid w:val="00947922"/>
    <w:rsid w:val="00947931"/>
    <w:rsid w:val="009479C4"/>
    <w:rsid w:val="00947B24"/>
    <w:rsid w:val="00947B85"/>
    <w:rsid w:val="00947BB1"/>
    <w:rsid w:val="00947C00"/>
    <w:rsid w:val="00947D4D"/>
    <w:rsid w:val="00947E70"/>
    <w:rsid w:val="00947F2C"/>
    <w:rsid w:val="00947FB5"/>
    <w:rsid w:val="00947FC6"/>
    <w:rsid w:val="00950333"/>
    <w:rsid w:val="009503B5"/>
    <w:rsid w:val="0095042B"/>
    <w:rsid w:val="009504F9"/>
    <w:rsid w:val="009505AA"/>
    <w:rsid w:val="009505CB"/>
    <w:rsid w:val="00950ACC"/>
    <w:rsid w:val="00950AFE"/>
    <w:rsid w:val="00950B34"/>
    <w:rsid w:val="00950C24"/>
    <w:rsid w:val="00950DB4"/>
    <w:rsid w:val="00950E87"/>
    <w:rsid w:val="00950E94"/>
    <w:rsid w:val="00950EBB"/>
    <w:rsid w:val="00950ECD"/>
    <w:rsid w:val="009510A2"/>
    <w:rsid w:val="009510CD"/>
    <w:rsid w:val="00951356"/>
    <w:rsid w:val="00951435"/>
    <w:rsid w:val="0095143D"/>
    <w:rsid w:val="009516F4"/>
    <w:rsid w:val="00951916"/>
    <w:rsid w:val="009519B3"/>
    <w:rsid w:val="00951CBD"/>
    <w:rsid w:val="00951DAD"/>
    <w:rsid w:val="00951DAE"/>
    <w:rsid w:val="00951E20"/>
    <w:rsid w:val="00951E26"/>
    <w:rsid w:val="00952000"/>
    <w:rsid w:val="0095217D"/>
    <w:rsid w:val="00952643"/>
    <w:rsid w:val="00952A28"/>
    <w:rsid w:val="00952ABB"/>
    <w:rsid w:val="00952C2A"/>
    <w:rsid w:val="00952E17"/>
    <w:rsid w:val="00953257"/>
    <w:rsid w:val="009534D8"/>
    <w:rsid w:val="00953E7C"/>
    <w:rsid w:val="00953E80"/>
    <w:rsid w:val="00953E89"/>
    <w:rsid w:val="00953EC4"/>
    <w:rsid w:val="00953FCB"/>
    <w:rsid w:val="0095409A"/>
    <w:rsid w:val="009540CC"/>
    <w:rsid w:val="00954227"/>
    <w:rsid w:val="009542A4"/>
    <w:rsid w:val="009543B4"/>
    <w:rsid w:val="009546EA"/>
    <w:rsid w:val="00954715"/>
    <w:rsid w:val="0095474C"/>
    <w:rsid w:val="00954896"/>
    <w:rsid w:val="00954953"/>
    <w:rsid w:val="009549F4"/>
    <w:rsid w:val="00954AD5"/>
    <w:rsid w:val="00954E07"/>
    <w:rsid w:val="00954FE9"/>
    <w:rsid w:val="0095515B"/>
    <w:rsid w:val="0095519B"/>
    <w:rsid w:val="00955540"/>
    <w:rsid w:val="009556A2"/>
    <w:rsid w:val="00955720"/>
    <w:rsid w:val="00955963"/>
    <w:rsid w:val="00955B4A"/>
    <w:rsid w:val="00955C39"/>
    <w:rsid w:val="00955C52"/>
    <w:rsid w:val="00955CE5"/>
    <w:rsid w:val="0095627F"/>
    <w:rsid w:val="009562BC"/>
    <w:rsid w:val="009563B8"/>
    <w:rsid w:val="009563F0"/>
    <w:rsid w:val="0095648D"/>
    <w:rsid w:val="0095650B"/>
    <w:rsid w:val="00956626"/>
    <w:rsid w:val="009566CD"/>
    <w:rsid w:val="00956750"/>
    <w:rsid w:val="009568CE"/>
    <w:rsid w:val="00956940"/>
    <w:rsid w:val="00956BAC"/>
    <w:rsid w:val="00956BEA"/>
    <w:rsid w:val="00956D8E"/>
    <w:rsid w:val="00957149"/>
    <w:rsid w:val="0095780C"/>
    <w:rsid w:val="00957870"/>
    <w:rsid w:val="00957961"/>
    <w:rsid w:val="00957A6E"/>
    <w:rsid w:val="00957AA4"/>
    <w:rsid w:val="00957B37"/>
    <w:rsid w:val="00957B8B"/>
    <w:rsid w:val="00957D25"/>
    <w:rsid w:val="00957D59"/>
    <w:rsid w:val="00957D92"/>
    <w:rsid w:val="00957E05"/>
    <w:rsid w:val="00957F01"/>
    <w:rsid w:val="00960107"/>
    <w:rsid w:val="009602BA"/>
    <w:rsid w:val="0096034A"/>
    <w:rsid w:val="00960380"/>
    <w:rsid w:val="009604B1"/>
    <w:rsid w:val="0096056C"/>
    <w:rsid w:val="009605C7"/>
    <w:rsid w:val="00960788"/>
    <w:rsid w:val="0096089D"/>
    <w:rsid w:val="00960A11"/>
    <w:rsid w:val="00960B73"/>
    <w:rsid w:val="00960BBD"/>
    <w:rsid w:val="00960DBF"/>
    <w:rsid w:val="00960F17"/>
    <w:rsid w:val="00960FB0"/>
    <w:rsid w:val="009610CB"/>
    <w:rsid w:val="00961219"/>
    <w:rsid w:val="00961227"/>
    <w:rsid w:val="0096123D"/>
    <w:rsid w:val="00961374"/>
    <w:rsid w:val="0096151F"/>
    <w:rsid w:val="00961558"/>
    <w:rsid w:val="0096161A"/>
    <w:rsid w:val="0096187D"/>
    <w:rsid w:val="00961A3A"/>
    <w:rsid w:val="00961A87"/>
    <w:rsid w:val="00961A9F"/>
    <w:rsid w:val="00961CF6"/>
    <w:rsid w:val="00961EB4"/>
    <w:rsid w:val="00961FE9"/>
    <w:rsid w:val="00961FF8"/>
    <w:rsid w:val="00962206"/>
    <w:rsid w:val="0096237C"/>
    <w:rsid w:val="009626A3"/>
    <w:rsid w:val="00962887"/>
    <w:rsid w:val="009628BD"/>
    <w:rsid w:val="00962A7B"/>
    <w:rsid w:val="00962AC9"/>
    <w:rsid w:val="00962BDF"/>
    <w:rsid w:val="00962CB9"/>
    <w:rsid w:val="00962CED"/>
    <w:rsid w:val="00962FE8"/>
    <w:rsid w:val="00963175"/>
    <w:rsid w:val="0096321B"/>
    <w:rsid w:val="009633B6"/>
    <w:rsid w:val="0096342F"/>
    <w:rsid w:val="00963547"/>
    <w:rsid w:val="009635A5"/>
    <w:rsid w:val="00963633"/>
    <w:rsid w:val="0096363C"/>
    <w:rsid w:val="0096365B"/>
    <w:rsid w:val="00963831"/>
    <w:rsid w:val="0096391D"/>
    <w:rsid w:val="009639A7"/>
    <w:rsid w:val="00963BED"/>
    <w:rsid w:val="00964088"/>
    <w:rsid w:val="009641F6"/>
    <w:rsid w:val="00964262"/>
    <w:rsid w:val="00964312"/>
    <w:rsid w:val="009644C7"/>
    <w:rsid w:val="00964800"/>
    <w:rsid w:val="00964928"/>
    <w:rsid w:val="00964C08"/>
    <w:rsid w:val="00964C60"/>
    <w:rsid w:val="00964CAA"/>
    <w:rsid w:val="00964E85"/>
    <w:rsid w:val="009651D4"/>
    <w:rsid w:val="009651F1"/>
    <w:rsid w:val="00965231"/>
    <w:rsid w:val="00965236"/>
    <w:rsid w:val="009653F2"/>
    <w:rsid w:val="009654E8"/>
    <w:rsid w:val="00965504"/>
    <w:rsid w:val="0096554C"/>
    <w:rsid w:val="00965830"/>
    <w:rsid w:val="00965891"/>
    <w:rsid w:val="00965893"/>
    <w:rsid w:val="0096598C"/>
    <w:rsid w:val="00965ACD"/>
    <w:rsid w:val="00965B8A"/>
    <w:rsid w:val="00965F0A"/>
    <w:rsid w:val="00965F1F"/>
    <w:rsid w:val="00966134"/>
    <w:rsid w:val="0096627C"/>
    <w:rsid w:val="009662BE"/>
    <w:rsid w:val="00966427"/>
    <w:rsid w:val="0096649C"/>
    <w:rsid w:val="0096667A"/>
    <w:rsid w:val="00966684"/>
    <w:rsid w:val="009667D8"/>
    <w:rsid w:val="0096684A"/>
    <w:rsid w:val="00966931"/>
    <w:rsid w:val="00966964"/>
    <w:rsid w:val="00966A0F"/>
    <w:rsid w:val="00966B4C"/>
    <w:rsid w:val="00966F92"/>
    <w:rsid w:val="00966FD8"/>
    <w:rsid w:val="0096703D"/>
    <w:rsid w:val="00967388"/>
    <w:rsid w:val="00967B26"/>
    <w:rsid w:val="00967C08"/>
    <w:rsid w:val="00967E15"/>
    <w:rsid w:val="00967F7B"/>
    <w:rsid w:val="00970095"/>
    <w:rsid w:val="00970177"/>
    <w:rsid w:val="0097057B"/>
    <w:rsid w:val="009705C6"/>
    <w:rsid w:val="009705DD"/>
    <w:rsid w:val="0097071F"/>
    <w:rsid w:val="00970813"/>
    <w:rsid w:val="00970ED1"/>
    <w:rsid w:val="009710D3"/>
    <w:rsid w:val="00971281"/>
    <w:rsid w:val="009713D8"/>
    <w:rsid w:val="00971455"/>
    <w:rsid w:val="009715C1"/>
    <w:rsid w:val="009717AC"/>
    <w:rsid w:val="00971C08"/>
    <w:rsid w:val="00971E26"/>
    <w:rsid w:val="0097203E"/>
    <w:rsid w:val="009721DE"/>
    <w:rsid w:val="0097222D"/>
    <w:rsid w:val="00972697"/>
    <w:rsid w:val="00972831"/>
    <w:rsid w:val="00972859"/>
    <w:rsid w:val="00972E98"/>
    <w:rsid w:val="00972E99"/>
    <w:rsid w:val="009732FE"/>
    <w:rsid w:val="009735F0"/>
    <w:rsid w:val="0097372C"/>
    <w:rsid w:val="00973830"/>
    <w:rsid w:val="00973A33"/>
    <w:rsid w:val="00973BF2"/>
    <w:rsid w:val="00973C55"/>
    <w:rsid w:val="00973C8C"/>
    <w:rsid w:val="00973C8F"/>
    <w:rsid w:val="00974151"/>
    <w:rsid w:val="0097446D"/>
    <w:rsid w:val="00974722"/>
    <w:rsid w:val="00974911"/>
    <w:rsid w:val="00974914"/>
    <w:rsid w:val="00974950"/>
    <w:rsid w:val="00974A65"/>
    <w:rsid w:val="00974BC2"/>
    <w:rsid w:val="00974BEB"/>
    <w:rsid w:val="00974DFB"/>
    <w:rsid w:val="00974F09"/>
    <w:rsid w:val="009750C4"/>
    <w:rsid w:val="009751C1"/>
    <w:rsid w:val="009757D7"/>
    <w:rsid w:val="0097592B"/>
    <w:rsid w:val="00975D1C"/>
    <w:rsid w:val="00975D99"/>
    <w:rsid w:val="00975E98"/>
    <w:rsid w:val="00975EDB"/>
    <w:rsid w:val="00975F22"/>
    <w:rsid w:val="00975FFA"/>
    <w:rsid w:val="009760BC"/>
    <w:rsid w:val="0097624C"/>
    <w:rsid w:val="00976254"/>
    <w:rsid w:val="009762D3"/>
    <w:rsid w:val="00976313"/>
    <w:rsid w:val="009763B3"/>
    <w:rsid w:val="00976536"/>
    <w:rsid w:val="00976649"/>
    <w:rsid w:val="00976AE4"/>
    <w:rsid w:val="00976E03"/>
    <w:rsid w:val="00977317"/>
    <w:rsid w:val="00977367"/>
    <w:rsid w:val="009773D6"/>
    <w:rsid w:val="009774E9"/>
    <w:rsid w:val="009774F8"/>
    <w:rsid w:val="00977AB5"/>
    <w:rsid w:val="00977B31"/>
    <w:rsid w:val="00977BB0"/>
    <w:rsid w:val="00977CE0"/>
    <w:rsid w:val="00977D35"/>
    <w:rsid w:val="00977D85"/>
    <w:rsid w:val="00977E42"/>
    <w:rsid w:val="00977EA3"/>
    <w:rsid w:val="009802A0"/>
    <w:rsid w:val="00980897"/>
    <w:rsid w:val="009808AE"/>
    <w:rsid w:val="009809DD"/>
    <w:rsid w:val="009809EF"/>
    <w:rsid w:val="00980D31"/>
    <w:rsid w:val="009811F1"/>
    <w:rsid w:val="00981251"/>
    <w:rsid w:val="0098139E"/>
    <w:rsid w:val="009815AA"/>
    <w:rsid w:val="00981614"/>
    <w:rsid w:val="0098164C"/>
    <w:rsid w:val="00981702"/>
    <w:rsid w:val="009817E7"/>
    <w:rsid w:val="0098183C"/>
    <w:rsid w:val="009819EA"/>
    <w:rsid w:val="00981A2E"/>
    <w:rsid w:val="00981A92"/>
    <w:rsid w:val="00981CD4"/>
    <w:rsid w:val="00981E49"/>
    <w:rsid w:val="00981EC9"/>
    <w:rsid w:val="00981ECD"/>
    <w:rsid w:val="00981F16"/>
    <w:rsid w:val="00981F80"/>
    <w:rsid w:val="0098218B"/>
    <w:rsid w:val="00982249"/>
    <w:rsid w:val="009823E0"/>
    <w:rsid w:val="0098262F"/>
    <w:rsid w:val="009826CC"/>
    <w:rsid w:val="0098272A"/>
    <w:rsid w:val="009829FB"/>
    <w:rsid w:val="00982C0C"/>
    <w:rsid w:val="00982D0B"/>
    <w:rsid w:val="00982DD4"/>
    <w:rsid w:val="00982EA1"/>
    <w:rsid w:val="009830D0"/>
    <w:rsid w:val="00983395"/>
    <w:rsid w:val="00983465"/>
    <w:rsid w:val="00983491"/>
    <w:rsid w:val="009834C5"/>
    <w:rsid w:val="00983667"/>
    <w:rsid w:val="009838B5"/>
    <w:rsid w:val="00983B47"/>
    <w:rsid w:val="00983B49"/>
    <w:rsid w:val="00983CDA"/>
    <w:rsid w:val="00983D56"/>
    <w:rsid w:val="00983DC9"/>
    <w:rsid w:val="00983E57"/>
    <w:rsid w:val="00983FAA"/>
    <w:rsid w:val="0098404C"/>
    <w:rsid w:val="00984392"/>
    <w:rsid w:val="0098469D"/>
    <w:rsid w:val="009846F7"/>
    <w:rsid w:val="009847C3"/>
    <w:rsid w:val="009848BE"/>
    <w:rsid w:val="009848DD"/>
    <w:rsid w:val="009849C3"/>
    <w:rsid w:val="00984ABF"/>
    <w:rsid w:val="00984B9D"/>
    <w:rsid w:val="00984CDE"/>
    <w:rsid w:val="00984E8C"/>
    <w:rsid w:val="00984F6F"/>
    <w:rsid w:val="00985156"/>
    <w:rsid w:val="00985288"/>
    <w:rsid w:val="00985333"/>
    <w:rsid w:val="00985384"/>
    <w:rsid w:val="00985432"/>
    <w:rsid w:val="0098549E"/>
    <w:rsid w:val="00985709"/>
    <w:rsid w:val="009858B4"/>
    <w:rsid w:val="00985A6F"/>
    <w:rsid w:val="00985DE2"/>
    <w:rsid w:val="00985E87"/>
    <w:rsid w:val="00985EE8"/>
    <w:rsid w:val="00985F10"/>
    <w:rsid w:val="009860AC"/>
    <w:rsid w:val="009861A9"/>
    <w:rsid w:val="009864D5"/>
    <w:rsid w:val="0098675D"/>
    <w:rsid w:val="009867CD"/>
    <w:rsid w:val="0098689A"/>
    <w:rsid w:val="00986972"/>
    <w:rsid w:val="00986A35"/>
    <w:rsid w:val="00986A7A"/>
    <w:rsid w:val="00986AB3"/>
    <w:rsid w:val="00986BCF"/>
    <w:rsid w:val="00986C1B"/>
    <w:rsid w:val="00986DB6"/>
    <w:rsid w:val="00986F7A"/>
    <w:rsid w:val="0098711D"/>
    <w:rsid w:val="00987896"/>
    <w:rsid w:val="0098792A"/>
    <w:rsid w:val="009879F8"/>
    <w:rsid w:val="00987B5D"/>
    <w:rsid w:val="00987BA4"/>
    <w:rsid w:val="00987BD7"/>
    <w:rsid w:val="00987BE3"/>
    <w:rsid w:val="00987CF9"/>
    <w:rsid w:val="00987D45"/>
    <w:rsid w:val="00987D81"/>
    <w:rsid w:val="00987EBB"/>
    <w:rsid w:val="00987F23"/>
    <w:rsid w:val="0099005B"/>
    <w:rsid w:val="00990096"/>
    <w:rsid w:val="00990153"/>
    <w:rsid w:val="009901C1"/>
    <w:rsid w:val="00990744"/>
    <w:rsid w:val="00990A29"/>
    <w:rsid w:val="00990BFB"/>
    <w:rsid w:val="00990CBF"/>
    <w:rsid w:val="00990CFB"/>
    <w:rsid w:val="00990E67"/>
    <w:rsid w:val="00990F28"/>
    <w:rsid w:val="00990F5A"/>
    <w:rsid w:val="00991294"/>
    <w:rsid w:val="00991673"/>
    <w:rsid w:val="00991676"/>
    <w:rsid w:val="009916C4"/>
    <w:rsid w:val="00991793"/>
    <w:rsid w:val="009918D4"/>
    <w:rsid w:val="00991A16"/>
    <w:rsid w:val="00991CEA"/>
    <w:rsid w:val="00991D67"/>
    <w:rsid w:val="00991FE3"/>
    <w:rsid w:val="00992011"/>
    <w:rsid w:val="0099203D"/>
    <w:rsid w:val="0099204C"/>
    <w:rsid w:val="00992073"/>
    <w:rsid w:val="00992166"/>
    <w:rsid w:val="009921D0"/>
    <w:rsid w:val="009923AE"/>
    <w:rsid w:val="0099253B"/>
    <w:rsid w:val="0099262A"/>
    <w:rsid w:val="009926E0"/>
    <w:rsid w:val="0099271B"/>
    <w:rsid w:val="00992802"/>
    <w:rsid w:val="00992929"/>
    <w:rsid w:val="009929A3"/>
    <w:rsid w:val="00992AD8"/>
    <w:rsid w:val="00992F7B"/>
    <w:rsid w:val="00992F9C"/>
    <w:rsid w:val="0099309D"/>
    <w:rsid w:val="009934FC"/>
    <w:rsid w:val="009935C8"/>
    <w:rsid w:val="0099362B"/>
    <w:rsid w:val="009938DA"/>
    <w:rsid w:val="009939B0"/>
    <w:rsid w:val="00993F6C"/>
    <w:rsid w:val="00993FE5"/>
    <w:rsid w:val="0099401B"/>
    <w:rsid w:val="00994254"/>
    <w:rsid w:val="00994452"/>
    <w:rsid w:val="0099448E"/>
    <w:rsid w:val="0099449D"/>
    <w:rsid w:val="0099451E"/>
    <w:rsid w:val="00994599"/>
    <w:rsid w:val="00994891"/>
    <w:rsid w:val="00994A64"/>
    <w:rsid w:val="00994B8A"/>
    <w:rsid w:val="00994DC2"/>
    <w:rsid w:val="00994E1C"/>
    <w:rsid w:val="00994E34"/>
    <w:rsid w:val="00995208"/>
    <w:rsid w:val="009952B9"/>
    <w:rsid w:val="00995446"/>
    <w:rsid w:val="00995646"/>
    <w:rsid w:val="009957FB"/>
    <w:rsid w:val="009958B7"/>
    <w:rsid w:val="009958E0"/>
    <w:rsid w:val="00995AD9"/>
    <w:rsid w:val="00995B94"/>
    <w:rsid w:val="00995D32"/>
    <w:rsid w:val="00995EDB"/>
    <w:rsid w:val="00995F04"/>
    <w:rsid w:val="00996080"/>
    <w:rsid w:val="009961DB"/>
    <w:rsid w:val="009962C4"/>
    <w:rsid w:val="0099656A"/>
    <w:rsid w:val="009967F9"/>
    <w:rsid w:val="0099688B"/>
    <w:rsid w:val="00996915"/>
    <w:rsid w:val="00996B1A"/>
    <w:rsid w:val="00996B6B"/>
    <w:rsid w:val="00996B76"/>
    <w:rsid w:val="00996C28"/>
    <w:rsid w:val="00996E17"/>
    <w:rsid w:val="0099700B"/>
    <w:rsid w:val="0099707C"/>
    <w:rsid w:val="00997195"/>
    <w:rsid w:val="0099733F"/>
    <w:rsid w:val="00997415"/>
    <w:rsid w:val="00997560"/>
    <w:rsid w:val="0099758E"/>
    <w:rsid w:val="00997610"/>
    <w:rsid w:val="0099769E"/>
    <w:rsid w:val="00997736"/>
    <w:rsid w:val="00997D84"/>
    <w:rsid w:val="00997E82"/>
    <w:rsid w:val="009A0125"/>
    <w:rsid w:val="009A01E2"/>
    <w:rsid w:val="009A0365"/>
    <w:rsid w:val="009A0498"/>
    <w:rsid w:val="009A04AD"/>
    <w:rsid w:val="009A0663"/>
    <w:rsid w:val="009A0735"/>
    <w:rsid w:val="009A0766"/>
    <w:rsid w:val="009A0898"/>
    <w:rsid w:val="009A0925"/>
    <w:rsid w:val="009A0BF6"/>
    <w:rsid w:val="009A0C69"/>
    <w:rsid w:val="009A0E44"/>
    <w:rsid w:val="009A0FE7"/>
    <w:rsid w:val="009A1023"/>
    <w:rsid w:val="009A1077"/>
    <w:rsid w:val="009A12CD"/>
    <w:rsid w:val="009A12CE"/>
    <w:rsid w:val="009A1337"/>
    <w:rsid w:val="009A1423"/>
    <w:rsid w:val="009A1498"/>
    <w:rsid w:val="009A14E8"/>
    <w:rsid w:val="009A1501"/>
    <w:rsid w:val="009A1744"/>
    <w:rsid w:val="009A1785"/>
    <w:rsid w:val="009A18F6"/>
    <w:rsid w:val="009A1A55"/>
    <w:rsid w:val="009A1B34"/>
    <w:rsid w:val="009A1DD5"/>
    <w:rsid w:val="009A208A"/>
    <w:rsid w:val="009A2480"/>
    <w:rsid w:val="009A24AB"/>
    <w:rsid w:val="009A251C"/>
    <w:rsid w:val="009A2839"/>
    <w:rsid w:val="009A2867"/>
    <w:rsid w:val="009A28C7"/>
    <w:rsid w:val="009A2A1E"/>
    <w:rsid w:val="009A2B14"/>
    <w:rsid w:val="009A2B59"/>
    <w:rsid w:val="009A2B84"/>
    <w:rsid w:val="009A2BA7"/>
    <w:rsid w:val="009A2BF1"/>
    <w:rsid w:val="009A2C29"/>
    <w:rsid w:val="009A2D25"/>
    <w:rsid w:val="009A2D7A"/>
    <w:rsid w:val="009A2DCC"/>
    <w:rsid w:val="009A3092"/>
    <w:rsid w:val="009A30A6"/>
    <w:rsid w:val="009A3444"/>
    <w:rsid w:val="009A34E9"/>
    <w:rsid w:val="009A3677"/>
    <w:rsid w:val="009A3743"/>
    <w:rsid w:val="009A378B"/>
    <w:rsid w:val="009A3888"/>
    <w:rsid w:val="009A3A7A"/>
    <w:rsid w:val="009A3A88"/>
    <w:rsid w:val="009A3B7F"/>
    <w:rsid w:val="009A3C6E"/>
    <w:rsid w:val="009A3DDC"/>
    <w:rsid w:val="009A3F02"/>
    <w:rsid w:val="009A3F41"/>
    <w:rsid w:val="009A401A"/>
    <w:rsid w:val="009A401C"/>
    <w:rsid w:val="009A408A"/>
    <w:rsid w:val="009A42DB"/>
    <w:rsid w:val="009A441F"/>
    <w:rsid w:val="009A4460"/>
    <w:rsid w:val="009A44B2"/>
    <w:rsid w:val="009A4669"/>
    <w:rsid w:val="009A475A"/>
    <w:rsid w:val="009A479A"/>
    <w:rsid w:val="009A4A2F"/>
    <w:rsid w:val="009A4A69"/>
    <w:rsid w:val="009A4AE5"/>
    <w:rsid w:val="009A4BA5"/>
    <w:rsid w:val="009A4BE2"/>
    <w:rsid w:val="009A4D01"/>
    <w:rsid w:val="009A4EB7"/>
    <w:rsid w:val="009A4EC2"/>
    <w:rsid w:val="009A4F4F"/>
    <w:rsid w:val="009A51EE"/>
    <w:rsid w:val="009A529B"/>
    <w:rsid w:val="009A5374"/>
    <w:rsid w:val="009A53EC"/>
    <w:rsid w:val="009A5457"/>
    <w:rsid w:val="009A5577"/>
    <w:rsid w:val="009A55BB"/>
    <w:rsid w:val="009A5ABC"/>
    <w:rsid w:val="009A5B77"/>
    <w:rsid w:val="009A5D0F"/>
    <w:rsid w:val="009A5DAD"/>
    <w:rsid w:val="009A5F79"/>
    <w:rsid w:val="009A6361"/>
    <w:rsid w:val="009A63A0"/>
    <w:rsid w:val="009A6515"/>
    <w:rsid w:val="009A66A9"/>
    <w:rsid w:val="009A6981"/>
    <w:rsid w:val="009A69CD"/>
    <w:rsid w:val="009A6AB4"/>
    <w:rsid w:val="009A6B72"/>
    <w:rsid w:val="009A6C48"/>
    <w:rsid w:val="009A6E03"/>
    <w:rsid w:val="009A6FB4"/>
    <w:rsid w:val="009A716E"/>
    <w:rsid w:val="009A735D"/>
    <w:rsid w:val="009A7393"/>
    <w:rsid w:val="009A7429"/>
    <w:rsid w:val="009A7487"/>
    <w:rsid w:val="009A766C"/>
    <w:rsid w:val="009A7855"/>
    <w:rsid w:val="009A799D"/>
    <w:rsid w:val="009A7A2D"/>
    <w:rsid w:val="009A7A42"/>
    <w:rsid w:val="009A7A4D"/>
    <w:rsid w:val="009A7CF6"/>
    <w:rsid w:val="009A7DEC"/>
    <w:rsid w:val="009A7DFF"/>
    <w:rsid w:val="009A7F10"/>
    <w:rsid w:val="009B0243"/>
    <w:rsid w:val="009B02BB"/>
    <w:rsid w:val="009B02F8"/>
    <w:rsid w:val="009B03AC"/>
    <w:rsid w:val="009B067D"/>
    <w:rsid w:val="009B06EC"/>
    <w:rsid w:val="009B07DA"/>
    <w:rsid w:val="009B082C"/>
    <w:rsid w:val="009B0851"/>
    <w:rsid w:val="009B08CB"/>
    <w:rsid w:val="009B095C"/>
    <w:rsid w:val="009B0AFA"/>
    <w:rsid w:val="009B0B7C"/>
    <w:rsid w:val="009B0B96"/>
    <w:rsid w:val="009B0ED9"/>
    <w:rsid w:val="009B0F74"/>
    <w:rsid w:val="009B107D"/>
    <w:rsid w:val="009B13CA"/>
    <w:rsid w:val="009B1565"/>
    <w:rsid w:val="009B17E7"/>
    <w:rsid w:val="009B183B"/>
    <w:rsid w:val="009B1927"/>
    <w:rsid w:val="009B1930"/>
    <w:rsid w:val="009B1980"/>
    <w:rsid w:val="009B1C12"/>
    <w:rsid w:val="009B1CD7"/>
    <w:rsid w:val="009B1D91"/>
    <w:rsid w:val="009B1FCB"/>
    <w:rsid w:val="009B206E"/>
    <w:rsid w:val="009B2459"/>
    <w:rsid w:val="009B24C4"/>
    <w:rsid w:val="009B2615"/>
    <w:rsid w:val="009B2826"/>
    <w:rsid w:val="009B2832"/>
    <w:rsid w:val="009B2896"/>
    <w:rsid w:val="009B28D0"/>
    <w:rsid w:val="009B28DB"/>
    <w:rsid w:val="009B28EB"/>
    <w:rsid w:val="009B2A71"/>
    <w:rsid w:val="009B2CE6"/>
    <w:rsid w:val="009B30C9"/>
    <w:rsid w:val="009B31CB"/>
    <w:rsid w:val="009B3442"/>
    <w:rsid w:val="009B3662"/>
    <w:rsid w:val="009B37C4"/>
    <w:rsid w:val="009B399B"/>
    <w:rsid w:val="009B3A48"/>
    <w:rsid w:val="009B3CFB"/>
    <w:rsid w:val="009B3E26"/>
    <w:rsid w:val="009B3EBA"/>
    <w:rsid w:val="009B3EF3"/>
    <w:rsid w:val="009B4010"/>
    <w:rsid w:val="009B4168"/>
    <w:rsid w:val="009B44AA"/>
    <w:rsid w:val="009B458A"/>
    <w:rsid w:val="009B45AA"/>
    <w:rsid w:val="009B4730"/>
    <w:rsid w:val="009B4734"/>
    <w:rsid w:val="009B48A8"/>
    <w:rsid w:val="009B48F6"/>
    <w:rsid w:val="009B4950"/>
    <w:rsid w:val="009B49F5"/>
    <w:rsid w:val="009B4A0D"/>
    <w:rsid w:val="009B4A88"/>
    <w:rsid w:val="009B4BC4"/>
    <w:rsid w:val="009B4C44"/>
    <w:rsid w:val="009B4D3A"/>
    <w:rsid w:val="009B4DA0"/>
    <w:rsid w:val="009B4E3A"/>
    <w:rsid w:val="009B509B"/>
    <w:rsid w:val="009B5244"/>
    <w:rsid w:val="009B543F"/>
    <w:rsid w:val="009B54F1"/>
    <w:rsid w:val="009B5635"/>
    <w:rsid w:val="009B5703"/>
    <w:rsid w:val="009B5736"/>
    <w:rsid w:val="009B5852"/>
    <w:rsid w:val="009B5AAD"/>
    <w:rsid w:val="009B5D40"/>
    <w:rsid w:val="009B5DEA"/>
    <w:rsid w:val="009B5FFA"/>
    <w:rsid w:val="009B601D"/>
    <w:rsid w:val="009B6033"/>
    <w:rsid w:val="009B625C"/>
    <w:rsid w:val="009B637E"/>
    <w:rsid w:val="009B64C1"/>
    <w:rsid w:val="009B65BE"/>
    <w:rsid w:val="009B67AC"/>
    <w:rsid w:val="009B68C5"/>
    <w:rsid w:val="009B6984"/>
    <w:rsid w:val="009B6BFC"/>
    <w:rsid w:val="009B6C28"/>
    <w:rsid w:val="009B6C70"/>
    <w:rsid w:val="009B6C7E"/>
    <w:rsid w:val="009B6D6A"/>
    <w:rsid w:val="009B6E69"/>
    <w:rsid w:val="009B6EDF"/>
    <w:rsid w:val="009B6F43"/>
    <w:rsid w:val="009B707D"/>
    <w:rsid w:val="009B7161"/>
    <w:rsid w:val="009B71C2"/>
    <w:rsid w:val="009B72F4"/>
    <w:rsid w:val="009B734E"/>
    <w:rsid w:val="009B7409"/>
    <w:rsid w:val="009B7430"/>
    <w:rsid w:val="009B7443"/>
    <w:rsid w:val="009B7581"/>
    <w:rsid w:val="009B75BB"/>
    <w:rsid w:val="009B7892"/>
    <w:rsid w:val="009B79D6"/>
    <w:rsid w:val="009B7A1C"/>
    <w:rsid w:val="009B7B13"/>
    <w:rsid w:val="009B7C29"/>
    <w:rsid w:val="009B7C2B"/>
    <w:rsid w:val="009B7CC9"/>
    <w:rsid w:val="009B7D02"/>
    <w:rsid w:val="009B7D20"/>
    <w:rsid w:val="009B7FB6"/>
    <w:rsid w:val="009C020D"/>
    <w:rsid w:val="009C0329"/>
    <w:rsid w:val="009C0473"/>
    <w:rsid w:val="009C04F5"/>
    <w:rsid w:val="009C05E4"/>
    <w:rsid w:val="009C0677"/>
    <w:rsid w:val="009C06D1"/>
    <w:rsid w:val="009C0787"/>
    <w:rsid w:val="009C086C"/>
    <w:rsid w:val="009C08D9"/>
    <w:rsid w:val="009C0CD3"/>
    <w:rsid w:val="009C0E4A"/>
    <w:rsid w:val="009C1090"/>
    <w:rsid w:val="009C10E3"/>
    <w:rsid w:val="009C1271"/>
    <w:rsid w:val="009C135B"/>
    <w:rsid w:val="009C145A"/>
    <w:rsid w:val="009C146A"/>
    <w:rsid w:val="009C14F2"/>
    <w:rsid w:val="009C1570"/>
    <w:rsid w:val="009C16B1"/>
    <w:rsid w:val="009C173C"/>
    <w:rsid w:val="009C1831"/>
    <w:rsid w:val="009C19D1"/>
    <w:rsid w:val="009C1C87"/>
    <w:rsid w:val="009C1CFA"/>
    <w:rsid w:val="009C1D7F"/>
    <w:rsid w:val="009C1DDF"/>
    <w:rsid w:val="009C1F02"/>
    <w:rsid w:val="009C1F16"/>
    <w:rsid w:val="009C1F83"/>
    <w:rsid w:val="009C2208"/>
    <w:rsid w:val="009C2330"/>
    <w:rsid w:val="009C241C"/>
    <w:rsid w:val="009C2542"/>
    <w:rsid w:val="009C257E"/>
    <w:rsid w:val="009C258C"/>
    <w:rsid w:val="009C274D"/>
    <w:rsid w:val="009C282F"/>
    <w:rsid w:val="009C29DD"/>
    <w:rsid w:val="009C29EF"/>
    <w:rsid w:val="009C2C09"/>
    <w:rsid w:val="009C2D37"/>
    <w:rsid w:val="009C2D9E"/>
    <w:rsid w:val="009C2ED4"/>
    <w:rsid w:val="009C31F4"/>
    <w:rsid w:val="009C323C"/>
    <w:rsid w:val="009C327C"/>
    <w:rsid w:val="009C32A5"/>
    <w:rsid w:val="009C32EC"/>
    <w:rsid w:val="009C33BE"/>
    <w:rsid w:val="009C3582"/>
    <w:rsid w:val="009C3706"/>
    <w:rsid w:val="009C3996"/>
    <w:rsid w:val="009C399E"/>
    <w:rsid w:val="009C3A08"/>
    <w:rsid w:val="009C3A3A"/>
    <w:rsid w:val="009C3A41"/>
    <w:rsid w:val="009C3BB0"/>
    <w:rsid w:val="009C3C28"/>
    <w:rsid w:val="009C3C6E"/>
    <w:rsid w:val="009C3EBC"/>
    <w:rsid w:val="009C3F29"/>
    <w:rsid w:val="009C405C"/>
    <w:rsid w:val="009C426B"/>
    <w:rsid w:val="009C44EE"/>
    <w:rsid w:val="009C4532"/>
    <w:rsid w:val="009C4570"/>
    <w:rsid w:val="009C46F5"/>
    <w:rsid w:val="009C498D"/>
    <w:rsid w:val="009C49E8"/>
    <w:rsid w:val="009C4E5E"/>
    <w:rsid w:val="009C4EE1"/>
    <w:rsid w:val="009C4FBA"/>
    <w:rsid w:val="009C5022"/>
    <w:rsid w:val="009C5029"/>
    <w:rsid w:val="009C513E"/>
    <w:rsid w:val="009C5153"/>
    <w:rsid w:val="009C520B"/>
    <w:rsid w:val="009C5469"/>
    <w:rsid w:val="009C5534"/>
    <w:rsid w:val="009C562C"/>
    <w:rsid w:val="009C57CA"/>
    <w:rsid w:val="009C580B"/>
    <w:rsid w:val="009C586B"/>
    <w:rsid w:val="009C59C8"/>
    <w:rsid w:val="009C5B8B"/>
    <w:rsid w:val="009C5CCF"/>
    <w:rsid w:val="009C5DDE"/>
    <w:rsid w:val="009C5E40"/>
    <w:rsid w:val="009C62B3"/>
    <w:rsid w:val="009C6398"/>
    <w:rsid w:val="009C644C"/>
    <w:rsid w:val="009C6466"/>
    <w:rsid w:val="009C64BE"/>
    <w:rsid w:val="009C661B"/>
    <w:rsid w:val="009C671C"/>
    <w:rsid w:val="009C6783"/>
    <w:rsid w:val="009C689E"/>
    <w:rsid w:val="009C6AE4"/>
    <w:rsid w:val="009C6C1A"/>
    <w:rsid w:val="009C6CEA"/>
    <w:rsid w:val="009C6D89"/>
    <w:rsid w:val="009C6E79"/>
    <w:rsid w:val="009C721B"/>
    <w:rsid w:val="009C7782"/>
    <w:rsid w:val="009C7B85"/>
    <w:rsid w:val="009C7BA1"/>
    <w:rsid w:val="009D01B6"/>
    <w:rsid w:val="009D0254"/>
    <w:rsid w:val="009D03F9"/>
    <w:rsid w:val="009D04F4"/>
    <w:rsid w:val="009D0521"/>
    <w:rsid w:val="009D0729"/>
    <w:rsid w:val="009D0899"/>
    <w:rsid w:val="009D08C2"/>
    <w:rsid w:val="009D0958"/>
    <w:rsid w:val="009D095E"/>
    <w:rsid w:val="009D0DDE"/>
    <w:rsid w:val="009D1262"/>
    <w:rsid w:val="009D12F1"/>
    <w:rsid w:val="009D13FD"/>
    <w:rsid w:val="009D16C1"/>
    <w:rsid w:val="009D17A0"/>
    <w:rsid w:val="009D1907"/>
    <w:rsid w:val="009D1A64"/>
    <w:rsid w:val="009D1BF8"/>
    <w:rsid w:val="009D2095"/>
    <w:rsid w:val="009D2113"/>
    <w:rsid w:val="009D221F"/>
    <w:rsid w:val="009D2331"/>
    <w:rsid w:val="009D2472"/>
    <w:rsid w:val="009D2679"/>
    <w:rsid w:val="009D2733"/>
    <w:rsid w:val="009D278E"/>
    <w:rsid w:val="009D2BBA"/>
    <w:rsid w:val="009D2E01"/>
    <w:rsid w:val="009D2E9A"/>
    <w:rsid w:val="009D31DD"/>
    <w:rsid w:val="009D365B"/>
    <w:rsid w:val="009D3688"/>
    <w:rsid w:val="009D36CB"/>
    <w:rsid w:val="009D36DA"/>
    <w:rsid w:val="009D3778"/>
    <w:rsid w:val="009D38A1"/>
    <w:rsid w:val="009D3C75"/>
    <w:rsid w:val="009D3CB1"/>
    <w:rsid w:val="009D3D6A"/>
    <w:rsid w:val="009D3DD4"/>
    <w:rsid w:val="009D3DEB"/>
    <w:rsid w:val="009D3F7D"/>
    <w:rsid w:val="009D406B"/>
    <w:rsid w:val="009D409D"/>
    <w:rsid w:val="009D4276"/>
    <w:rsid w:val="009D42C6"/>
    <w:rsid w:val="009D4458"/>
    <w:rsid w:val="009D44FC"/>
    <w:rsid w:val="009D46C3"/>
    <w:rsid w:val="009D47B0"/>
    <w:rsid w:val="009D48C6"/>
    <w:rsid w:val="009D4A35"/>
    <w:rsid w:val="009D4B02"/>
    <w:rsid w:val="009D4C0A"/>
    <w:rsid w:val="009D4F37"/>
    <w:rsid w:val="009D4F90"/>
    <w:rsid w:val="009D502D"/>
    <w:rsid w:val="009D5209"/>
    <w:rsid w:val="009D526B"/>
    <w:rsid w:val="009D5344"/>
    <w:rsid w:val="009D5348"/>
    <w:rsid w:val="009D5711"/>
    <w:rsid w:val="009D572D"/>
    <w:rsid w:val="009D5A72"/>
    <w:rsid w:val="009D5B14"/>
    <w:rsid w:val="009D5B91"/>
    <w:rsid w:val="009D5BB1"/>
    <w:rsid w:val="009D5C81"/>
    <w:rsid w:val="009D5CC5"/>
    <w:rsid w:val="009D5E6C"/>
    <w:rsid w:val="009D5F8D"/>
    <w:rsid w:val="009D60E6"/>
    <w:rsid w:val="009D62C1"/>
    <w:rsid w:val="009D62D2"/>
    <w:rsid w:val="009D6382"/>
    <w:rsid w:val="009D6444"/>
    <w:rsid w:val="009D6673"/>
    <w:rsid w:val="009D6721"/>
    <w:rsid w:val="009D67F6"/>
    <w:rsid w:val="009D6A67"/>
    <w:rsid w:val="009D6F43"/>
    <w:rsid w:val="009D7027"/>
    <w:rsid w:val="009D7210"/>
    <w:rsid w:val="009D7225"/>
    <w:rsid w:val="009D7343"/>
    <w:rsid w:val="009D75E6"/>
    <w:rsid w:val="009D771C"/>
    <w:rsid w:val="009D780F"/>
    <w:rsid w:val="009D792E"/>
    <w:rsid w:val="009D7CB9"/>
    <w:rsid w:val="009D7E33"/>
    <w:rsid w:val="009D7E5F"/>
    <w:rsid w:val="009D7F53"/>
    <w:rsid w:val="009D7F5E"/>
    <w:rsid w:val="009E00A4"/>
    <w:rsid w:val="009E00C2"/>
    <w:rsid w:val="009E015B"/>
    <w:rsid w:val="009E01A9"/>
    <w:rsid w:val="009E024A"/>
    <w:rsid w:val="009E026F"/>
    <w:rsid w:val="009E0308"/>
    <w:rsid w:val="009E05F5"/>
    <w:rsid w:val="009E05FF"/>
    <w:rsid w:val="009E0638"/>
    <w:rsid w:val="009E069E"/>
    <w:rsid w:val="009E0909"/>
    <w:rsid w:val="009E0A6F"/>
    <w:rsid w:val="009E0BC4"/>
    <w:rsid w:val="009E0DFE"/>
    <w:rsid w:val="009E0F4D"/>
    <w:rsid w:val="009E0F72"/>
    <w:rsid w:val="009E0FD0"/>
    <w:rsid w:val="009E118B"/>
    <w:rsid w:val="009E11F4"/>
    <w:rsid w:val="009E12C4"/>
    <w:rsid w:val="009E1342"/>
    <w:rsid w:val="009E13B0"/>
    <w:rsid w:val="009E184F"/>
    <w:rsid w:val="009E1AEA"/>
    <w:rsid w:val="009E1B3D"/>
    <w:rsid w:val="009E1E29"/>
    <w:rsid w:val="009E2542"/>
    <w:rsid w:val="009E2659"/>
    <w:rsid w:val="009E295D"/>
    <w:rsid w:val="009E2C65"/>
    <w:rsid w:val="009E2C68"/>
    <w:rsid w:val="009E2C80"/>
    <w:rsid w:val="009E2D1B"/>
    <w:rsid w:val="009E2D47"/>
    <w:rsid w:val="009E2D99"/>
    <w:rsid w:val="009E2E03"/>
    <w:rsid w:val="009E30DB"/>
    <w:rsid w:val="009E3135"/>
    <w:rsid w:val="009E3166"/>
    <w:rsid w:val="009E31F6"/>
    <w:rsid w:val="009E321B"/>
    <w:rsid w:val="009E322B"/>
    <w:rsid w:val="009E3456"/>
    <w:rsid w:val="009E3495"/>
    <w:rsid w:val="009E35C1"/>
    <w:rsid w:val="009E3768"/>
    <w:rsid w:val="009E383E"/>
    <w:rsid w:val="009E389B"/>
    <w:rsid w:val="009E3CD7"/>
    <w:rsid w:val="009E3DCC"/>
    <w:rsid w:val="009E3FC5"/>
    <w:rsid w:val="009E419C"/>
    <w:rsid w:val="009E41BE"/>
    <w:rsid w:val="009E41D0"/>
    <w:rsid w:val="009E4616"/>
    <w:rsid w:val="009E46AB"/>
    <w:rsid w:val="009E48F9"/>
    <w:rsid w:val="009E4984"/>
    <w:rsid w:val="009E4AD2"/>
    <w:rsid w:val="009E4B6B"/>
    <w:rsid w:val="009E4C07"/>
    <w:rsid w:val="009E4C24"/>
    <w:rsid w:val="009E4D10"/>
    <w:rsid w:val="009E4E7A"/>
    <w:rsid w:val="009E4FAC"/>
    <w:rsid w:val="009E50A6"/>
    <w:rsid w:val="009E5122"/>
    <w:rsid w:val="009E518D"/>
    <w:rsid w:val="009E51CC"/>
    <w:rsid w:val="009E57B7"/>
    <w:rsid w:val="009E5844"/>
    <w:rsid w:val="009E58E9"/>
    <w:rsid w:val="009E5A9F"/>
    <w:rsid w:val="009E5ABF"/>
    <w:rsid w:val="009E5DAA"/>
    <w:rsid w:val="009E5E17"/>
    <w:rsid w:val="009E5EC4"/>
    <w:rsid w:val="009E5F91"/>
    <w:rsid w:val="009E5FDE"/>
    <w:rsid w:val="009E601B"/>
    <w:rsid w:val="009E6284"/>
    <w:rsid w:val="009E64C7"/>
    <w:rsid w:val="009E64D0"/>
    <w:rsid w:val="009E64E8"/>
    <w:rsid w:val="009E656C"/>
    <w:rsid w:val="009E6580"/>
    <w:rsid w:val="009E6593"/>
    <w:rsid w:val="009E6717"/>
    <w:rsid w:val="009E673B"/>
    <w:rsid w:val="009E6AB4"/>
    <w:rsid w:val="009E6B11"/>
    <w:rsid w:val="009E6E4C"/>
    <w:rsid w:val="009E717F"/>
    <w:rsid w:val="009E7314"/>
    <w:rsid w:val="009E73EF"/>
    <w:rsid w:val="009E75E4"/>
    <w:rsid w:val="009E777F"/>
    <w:rsid w:val="009E77A1"/>
    <w:rsid w:val="009E795D"/>
    <w:rsid w:val="009E7BA2"/>
    <w:rsid w:val="009E7BA3"/>
    <w:rsid w:val="009E7C85"/>
    <w:rsid w:val="009E7CC0"/>
    <w:rsid w:val="009E7E1D"/>
    <w:rsid w:val="009F027D"/>
    <w:rsid w:val="009F040D"/>
    <w:rsid w:val="009F04B1"/>
    <w:rsid w:val="009F0569"/>
    <w:rsid w:val="009F0672"/>
    <w:rsid w:val="009F08CC"/>
    <w:rsid w:val="009F0984"/>
    <w:rsid w:val="009F0996"/>
    <w:rsid w:val="009F0D8C"/>
    <w:rsid w:val="009F0FEB"/>
    <w:rsid w:val="009F10B5"/>
    <w:rsid w:val="009F11A4"/>
    <w:rsid w:val="009F11B9"/>
    <w:rsid w:val="009F18D7"/>
    <w:rsid w:val="009F19A1"/>
    <w:rsid w:val="009F1A00"/>
    <w:rsid w:val="009F1BCA"/>
    <w:rsid w:val="009F1BCE"/>
    <w:rsid w:val="009F1C00"/>
    <w:rsid w:val="009F1C71"/>
    <w:rsid w:val="009F1C96"/>
    <w:rsid w:val="009F1F34"/>
    <w:rsid w:val="009F1FDD"/>
    <w:rsid w:val="009F245C"/>
    <w:rsid w:val="009F2690"/>
    <w:rsid w:val="009F284C"/>
    <w:rsid w:val="009F2AB6"/>
    <w:rsid w:val="009F2ADF"/>
    <w:rsid w:val="009F2C99"/>
    <w:rsid w:val="009F2CB4"/>
    <w:rsid w:val="009F2D3F"/>
    <w:rsid w:val="009F2D9A"/>
    <w:rsid w:val="009F300D"/>
    <w:rsid w:val="009F318F"/>
    <w:rsid w:val="009F3221"/>
    <w:rsid w:val="009F32CB"/>
    <w:rsid w:val="009F3380"/>
    <w:rsid w:val="009F3527"/>
    <w:rsid w:val="009F3977"/>
    <w:rsid w:val="009F3AD0"/>
    <w:rsid w:val="009F3C3E"/>
    <w:rsid w:val="009F3E38"/>
    <w:rsid w:val="009F3F4E"/>
    <w:rsid w:val="009F3F84"/>
    <w:rsid w:val="009F3FCC"/>
    <w:rsid w:val="009F401A"/>
    <w:rsid w:val="009F4056"/>
    <w:rsid w:val="009F407C"/>
    <w:rsid w:val="009F418F"/>
    <w:rsid w:val="009F43C7"/>
    <w:rsid w:val="009F448C"/>
    <w:rsid w:val="009F460B"/>
    <w:rsid w:val="009F466D"/>
    <w:rsid w:val="009F476B"/>
    <w:rsid w:val="009F47B7"/>
    <w:rsid w:val="009F4D66"/>
    <w:rsid w:val="009F4D7F"/>
    <w:rsid w:val="009F4E91"/>
    <w:rsid w:val="009F4F6E"/>
    <w:rsid w:val="009F51D1"/>
    <w:rsid w:val="009F51EE"/>
    <w:rsid w:val="009F5624"/>
    <w:rsid w:val="009F5738"/>
    <w:rsid w:val="009F584F"/>
    <w:rsid w:val="009F58C4"/>
    <w:rsid w:val="009F5A32"/>
    <w:rsid w:val="009F5A99"/>
    <w:rsid w:val="009F5BAF"/>
    <w:rsid w:val="009F5ED3"/>
    <w:rsid w:val="009F5F5E"/>
    <w:rsid w:val="009F5F71"/>
    <w:rsid w:val="009F6060"/>
    <w:rsid w:val="009F6120"/>
    <w:rsid w:val="009F643A"/>
    <w:rsid w:val="009F6709"/>
    <w:rsid w:val="009F67FD"/>
    <w:rsid w:val="009F692C"/>
    <w:rsid w:val="009F6B44"/>
    <w:rsid w:val="009F6D73"/>
    <w:rsid w:val="009F6ECF"/>
    <w:rsid w:val="009F6F61"/>
    <w:rsid w:val="009F701F"/>
    <w:rsid w:val="009F7079"/>
    <w:rsid w:val="009F7339"/>
    <w:rsid w:val="009F73CD"/>
    <w:rsid w:val="009F7571"/>
    <w:rsid w:val="009F7645"/>
    <w:rsid w:val="009F76C3"/>
    <w:rsid w:val="009F7795"/>
    <w:rsid w:val="009F7803"/>
    <w:rsid w:val="009F7815"/>
    <w:rsid w:val="009F7833"/>
    <w:rsid w:val="009F78CC"/>
    <w:rsid w:val="009F78D4"/>
    <w:rsid w:val="009F7D10"/>
    <w:rsid w:val="009F7EC1"/>
    <w:rsid w:val="009F7F4E"/>
    <w:rsid w:val="00A00050"/>
    <w:rsid w:val="00A000ED"/>
    <w:rsid w:val="00A00118"/>
    <w:rsid w:val="00A00214"/>
    <w:rsid w:val="00A00401"/>
    <w:rsid w:val="00A00491"/>
    <w:rsid w:val="00A009AC"/>
    <w:rsid w:val="00A00CD0"/>
    <w:rsid w:val="00A00D76"/>
    <w:rsid w:val="00A00D87"/>
    <w:rsid w:val="00A00DCF"/>
    <w:rsid w:val="00A01070"/>
    <w:rsid w:val="00A0110D"/>
    <w:rsid w:val="00A01120"/>
    <w:rsid w:val="00A01184"/>
    <w:rsid w:val="00A0128E"/>
    <w:rsid w:val="00A0135B"/>
    <w:rsid w:val="00A01449"/>
    <w:rsid w:val="00A017EE"/>
    <w:rsid w:val="00A0191C"/>
    <w:rsid w:val="00A01940"/>
    <w:rsid w:val="00A01977"/>
    <w:rsid w:val="00A01C9E"/>
    <w:rsid w:val="00A01E36"/>
    <w:rsid w:val="00A0233B"/>
    <w:rsid w:val="00A023D4"/>
    <w:rsid w:val="00A025A2"/>
    <w:rsid w:val="00A025E2"/>
    <w:rsid w:val="00A02637"/>
    <w:rsid w:val="00A02935"/>
    <w:rsid w:val="00A02A52"/>
    <w:rsid w:val="00A02A62"/>
    <w:rsid w:val="00A02B42"/>
    <w:rsid w:val="00A02CBF"/>
    <w:rsid w:val="00A032F6"/>
    <w:rsid w:val="00A0336D"/>
    <w:rsid w:val="00A0344C"/>
    <w:rsid w:val="00A034F9"/>
    <w:rsid w:val="00A03646"/>
    <w:rsid w:val="00A037C2"/>
    <w:rsid w:val="00A03921"/>
    <w:rsid w:val="00A03971"/>
    <w:rsid w:val="00A03A35"/>
    <w:rsid w:val="00A03D43"/>
    <w:rsid w:val="00A03D5F"/>
    <w:rsid w:val="00A03DE2"/>
    <w:rsid w:val="00A03E76"/>
    <w:rsid w:val="00A03F9D"/>
    <w:rsid w:val="00A040EF"/>
    <w:rsid w:val="00A04380"/>
    <w:rsid w:val="00A0448B"/>
    <w:rsid w:val="00A04786"/>
    <w:rsid w:val="00A04BCE"/>
    <w:rsid w:val="00A05044"/>
    <w:rsid w:val="00A0507E"/>
    <w:rsid w:val="00A050AB"/>
    <w:rsid w:val="00A05114"/>
    <w:rsid w:val="00A053F2"/>
    <w:rsid w:val="00A05472"/>
    <w:rsid w:val="00A054A8"/>
    <w:rsid w:val="00A055A6"/>
    <w:rsid w:val="00A05A53"/>
    <w:rsid w:val="00A05C32"/>
    <w:rsid w:val="00A05D76"/>
    <w:rsid w:val="00A0627E"/>
    <w:rsid w:val="00A06305"/>
    <w:rsid w:val="00A063AF"/>
    <w:rsid w:val="00A063D7"/>
    <w:rsid w:val="00A064F4"/>
    <w:rsid w:val="00A0653F"/>
    <w:rsid w:val="00A0668A"/>
    <w:rsid w:val="00A06736"/>
    <w:rsid w:val="00A06B72"/>
    <w:rsid w:val="00A06B7A"/>
    <w:rsid w:val="00A06DD0"/>
    <w:rsid w:val="00A06E16"/>
    <w:rsid w:val="00A06F50"/>
    <w:rsid w:val="00A0732B"/>
    <w:rsid w:val="00A073BD"/>
    <w:rsid w:val="00A07460"/>
    <w:rsid w:val="00A077C8"/>
    <w:rsid w:val="00A07950"/>
    <w:rsid w:val="00A0797B"/>
    <w:rsid w:val="00A07E59"/>
    <w:rsid w:val="00A07E62"/>
    <w:rsid w:val="00A07FC4"/>
    <w:rsid w:val="00A1005B"/>
    <w:rsid w:val="00A10261"/>
    <w:rsid w:val="00A104C9"/>
    <w:rsid w:val="00A10515"/>
    <w:rsid w:val="00A10683"/>
    <w:rsid w:val="00A1093D"/>
    <w:rsid w:val="00A109DA"/>
    <w:rsid w:val="00A10A0F"/>
    <w:rsid w:val="00A10BDB"/>
    <w:rsid w:val="00A10C89"/>
    <w:rsid w:val="00A10D9A"/>
    <w:rsid w:val="00A11008"/>
    <w:rsid w:val="00A1132A"/>
    <w:rsid w:val="00A11359"/>
    <w:rsid w:val="00A11371"/>
    <w:rsid w:val="00A1139D"/>
    <w:rsid w:val="00A11507"/>
    <w:rsid w:val="00A11696"/>
    <w:rsid w:val="00A117D5"/>
    <w:rsid w:val="00A1185A"/>
    <w:rsid w:val="00A118B4"/>
    <w:rsid w:val="00A11956"/>
    <w:rsid w:val="00A11A6A"/>
    <w:rsid w:val="00A11C22"/>
    <w:rsid w:val="00A11CD0"/>
    <w:rsid w:val="00A11EDF"/>
    <w:rsid w:val="00A11F6B"/>
    <w:rsid w:val="00A11F81"/>
    <w:rsid w:val="00A12043"/>
    <w:rsid w:val="00A123E3"/>
    <w:rsid w:val="00A124B9"/>
    <w:rsid w:val="00A1258B"/>
    <w:rsid w:val="00A126C9"/>
    <w:rsid w:val="00A126D3"/>
    <w:rsid w:val="00A127EE"/>
    <w:rsid w:val="00A128EC"/>
    <w:rsid w:val="00A12974"/>
    <w:rsid w:val="00A12BF5"/>
    <w:rsid w:val="00A12C01"/>
    <w:rsid w:val="00A12EE9"/>
    <w:rsid w:val="00A13038"/>
    <w:rsid w:val="00A130EF"/>
    <w:rsid w:val="00A13162"/>
    <w:rsid w:val="00A1332F"/>
    <w:rsid w:val="00A13550"/>
    <w:rsid w:val="00A13714"/>
    <w:rsid w:val="00A13723"/>
    <w:rsid w:val="00A13948"/>
    <w:rsid w:val="00A13A7C"/>
    <w:rsid w:val="00A13AEA"/>
    <w:rsid w:val="00A13BAD"/>
    <w:rsid w:val="00A13D0A"/>
    <w:rsid w:val="00A13E8F"/>
    <w:rsid w:val="00A13EBE"/>
    <w:rsid w:val="00A13F70"/>
    <w:rsid w:val="00A14091"/>
    <w:rsid w:val="00A14108"/>
    <w:rsid w:val="00A141F7"/>
    <w:rsid w:val="00A14228"/>
    <w:rsid w:val="00A1436D"/>
    <w:rsid w:val="00A14387"/>
    <w:rsid w:val="00A143E6"/>
    <w:rsid w:val="00A1446F"/>
    <w:rsid w:val="00A146D6"/>
    <w:rsid w:val="00A147F3"/>
    <w:rsid w:val="00A14855"/>
    <w:rsid w:val="00A14E5A"/>
    <w:rsid w:val="00A14EDC"/>
    <w:rsid w:val="00A1501A"/>
    <w:rsid w:val="00A15146"/>
    <w:rsid w:val="00A15236"/>
    <w:rsid w:val="00A15296"/>
    <w:rsid w:val="00A15298"/>
    <w:rsid w:val="00A15339"/>
    <w:rsid w:val="00A153FC"/>
    <w:rsid w:val="00A154B0"/>
    <w:rsid w:val="00A1555B"/>
    <w:rsid w:val="00A155C5"/>
    <w:rsid w:val="00A15718"/>
    <w:rsid w:val="00A15843"/>
    <w:rsid w:val="00A15A76"/>
    <w:rsid w:val="00A15AAB"/>
    <w:rsid w:val="00A15B8D"/>
    <w:rsid w:val="00A15C9C"/>
    <w:rsid w:val="00A15D90"/>
    <w:rsid w:val="00A15E15"/>
    <w:rsid w:val="00A15E26"/>
    <w:rsid w:val="00A15F07"/>
    <w:rsid w:val="00A16164"/>
    <w:rsid w:val="00A161E0"/>
    <w:rsid w:val="00A163D5"/>
    <w:rsid w:val="00A163DF"/>
    <w:rsid w:val="00A165B9"/>
    <w:rsid w:val="00A165D7"/>
    <w:rsid w:val="00A16698"/>
    <w:rsid w:val="00A16767"/>
    <w:rsid w:val="00A16796"/>
    <w:rsid w:val="00A168BB"/>
    <w:rsid w:val="00A16941"/>
    <w:rsid w:val="00A16943"/>
    <w:rsid w:val="00A16A3D"/>
    <w:rsid w:val="00A16AD8"/>
    <w:rsid w:val="00A16BF3"/>
    <w:rsid w:val="00A16C6B"/>
    <w:rsid w:val="00A16C8C"/>
    <w:rsid w:val="00A16C9D"/>
    <w:rsid w:val="00A1717E"/>
    <w:rsid w:val="00A1734B"/>
    <w:rsid w:val="00A17383"/>
    <w:rsid w:val="00A1763B"/>
    <w:rsid w:val="00A17831"/>
    <w:rsid w:val="00A17C81"/>
    <w:rsid w:val="00A17E16"/>
    <w:rsid w:val="00A17FBE"/>
    <w:rsid w:val="00A2005D"/>
    <w:rsid w:val="00A200D9"/>
    <w:rsid w:val="00A2021E"/>
    <w:rsid w:val="00A202FE"/>
    <w:rsid w:val="00A20467"/>
    <w:rsid w:val="00A20746"/>
    <w:rsid w:val="00A21279"/>
    <w:rsid w:val="00A21346"/>
    <w:rsid w:val="00A213FE"/>
    <w:rsid w:val="00A2153E"/>
    <w:rsid w:val="00A216C6"/>
    <w:rsid w:val="00A21B21"/>
    <w:rsid w:val="00A21C2F"/>
    <w:rsid w:val="00A21C95"/>
    <w:rsid w:val="00A21CF3"/>
    <w:rsid w:val="00A21E86"/>
    <w:rsid w:val="00A21FC4"/>
    <w:rsid w:val="00A22321"/>
    <w:rsid w:val="00A22412"/>
    <w:rsid w:val="00A224A4"/>
    <w:rsid w:val="00A225DC"/>
    <w:rsid w:val="00A228D8"/>
    <w:rsid w:val="00A22A6A"/>
    <w:rsid w:val="00A22B35"/>
    <w:rsid w:val="00A22E36"/>
    <w:rsid w:val="00A22EA1"/>
    <w:rsid w:val="00A23139"/>
    <w:rsid w:val="00A2319B"/>
    <w:rsid w:val="00A23215"/>
    <w:rsid w:val="00A2332A"/>
    <w:rsid w:val="00A23374"/>
    <w:rsid w:val="00A23456"/>
    <w:rsid w:val="00A234D7"/>
    <w:rsid w:val="00A236A1"/>
    <w:rsid w:val="00A238CE"/>
    <w:rsid w:val="00A23A06"/>
    <w:rsid w:val="00A23A13"/>
    <w:rsid w:val="00A23BC5"/>
    <w:rsid w:val="00A23C45"/>
    <w:rsid w:val="00A23D41"/>
    <w:rsid w:val="00A23D9D"/>
    <w:rsid w:val="00A24132"/>
    <w:rsid w:val="00A24206"/>
    <w:rsid w:val="00A24300"/>
    <w:rsid w:val="00A24369"/>
    <w:rsid w:val="00A243CB"/>
    <w:rsid w:val="00A24408"/>
    <w:rsid w:val="00A24411"/>
    <w:rsid w:val="00A24424"/>
    <w:rsid w:val="00A24658"/>
    <w:rsid w:val="00A24813"/>
    <w:rsid w:val="00A248BC"/>
    <w:rsid w:val="00A2490F"/>
    <w:rsid w:val="00A24A5C"/>
    <w:rsid w:val="00A24A80"/>
    <w:rsid w:val="00A24B56"/>
    <w:rsid w:val="00A24C09"/>
    <w:rsid w:val="00A24FB4"/>
    <w:rsid w:val="00A25272"/>
    <w:rsid w:val="00A25277"/>
    <w:rsid w:val="00A2538F"/>
    <w:rsid w:val="00A2555A"/>
    <w:rsid w:val="00A255C7"/>
    <w:rsid w:val="00A25818"/>
    <w:rsid w:val="00A25A0E"/>
    <w:rsid w:val="00A25A59"/>
    <w:rsid w:val="00A25A79"/>
    <w:rsid w:val="00A25AB2"/>
    <w:rsid w:val="00A25CEE"/>
    <w:rsid w:val="00A25E15"/>
    <w:rsid w:val="00A25E2C"/>
    <w:rsid w:val="00A25FAE"/>
    <w:rsid w:val="00A26469"/>
    <w:rsid w:val="00A265EF"/>
    <w:rsid w:val="00A26744"/>
    <w:rsid w:val="00A26821"/>
    <w:rsid w:val="00A26958"/>
    <w:rsid w:val="00A269C7"/>
    <w:rsid w:val="00A26A60"/>
    <w:rsid w:val="00A26FED"/>
    <w:rsid w:val="00A270A0"/>
    <w:rsid w:val="00A270A5"/>
    <w:rsid w:val="00A2710D"/>
    <w:rsid w:val="00A27369"/>
    <w:rsid w:val="00A27423"/>
    <w:rsid w:val="00A27486"/>
    <w:rsid w:val="00A27618"/>
    <w:rsid w:val="00A276FE"/>
    <w:rsid w:val="00A27704"/>
    <w:rsid w:val="00A27771"/>
    <w:rsid w:val="00A2781D"/>
    <w:rsid w:val="00A27932"/>
    <w:rsid w:val="00A27A92"/>
    <w:rsid w:val="00A27AEC"/>
    <w:rsid w:val="00A27BA0"/>
    <w:rsid w:val="00A27CFF"/>
    <w:rsid w:val="00A27DF0"/>
    <w:rsid w:val="00A27E57"/>
    <w:rsid w:val="00A27FB8"/>
    <w:rsid w:val="00A301A4"/>
    <w:rsid w:val="00A3047E"/>
    <w:rsid w:val="00A3073D"/>
    <w:rsid w:val="00A30AED"/>
    <w:rsid w:val="00A30BF5"/>
    <w:rsid w:val="00A30DF9"/>
    <w:rsid w:val="00A30FC8"/>
    <w:rsid w:val="00A31154"/>
    <w:rsid w:val="00A3135F"/>
    <w:rsid w:val="00A3144C"/>
    <w:rsid w:val="00A317ED"/>
    <w:rsid w:val="00A319D6"/>
    <w:rsid w:val="00A31B2D"/>
    <w:rsid w:val="00A31C2A"/>
    <w:rsid w:val="00A31CC6"/>
    <w:rsid w:val="00A31D25"/>
    <w:rsid w:val="00A31D4C"/>
    <w:rsid w:val="00A31DEE"/>
    <w:rsid w:val="00A31EB2"/>
    <w:rsid w:val="00A32053"/>
    <w:rsid w:val="00A320DB"/>
    <w:rsid w:val="00A323A8"/>
    <w:rsid w:val="00A324C1"/>
    <w:rsid w:val="00A3273E"/>
    <w:rsid w:val="00A3291B"/>
    <w:rsid w:val="00A32B26"/>
    <w:rsid w:val="00A32B2B"/>
    <w:rsid w:val="00A32B4D"/>
    <w:rsid w:val="00A33068"/>
    <w:rsid w:val="00A33089"/>
    <w:rsid w:val="00A33124"/>
    <w:rsid w:val="00A33167"/>
    <w:rsid w:val="00A33195"/>
    <w:rsid w:val="00A33204"/>
    <w:rsid w:val="00A335DC"/>
    <w:rsid w:val="00A337C5"/>
    <w:rsid w:val="00A337F0"/>
    <w:rsid w:val="00A33839"/>
    <w:rsid w:val="00A3385F"/>
    <w:rsid w:val="00A3395B"/>
    <w:rsid w:val="00A33ABD"/>
    <w:rsid w:val="00A33AE9"/>
    <w:rsid w:val="00A33B42"/>
    <w:rsid w:val="00A33F7A"/>
    <w:rsid w:val="00A340D4"/>
    <w:rsid w:val="00A340D7"/>
    <w:rsid w:val="00A34115"/>
    <w:rsid w:val="00A34258"/>
    <w:rsid w:val="00A34284"/>
    <w:rsid w:val="00A34630"/>
    <w:rsid w:val="00A346A8"/>
    <w:rsid w:val="00A349CF"/>
    <w:rsid w:val="00A34B49"/>
    <w:rsid w:val="00A34B59"/>
    <w:rsid w:val="00A34D0D"/>
    <w:rsid w:val="00A34D5D"/>
    <w:rsid w:val="00A34D9F"/>
    <w:rsid w:val="00A34E35"/>
    <w:rsid w:val="00A34E86"/>
    <w:rsid w:val="00A34EA8"/>
    <w:rsid w:val="00A34F57"/>
    <w:rsid w:val="00A3506F"/>
    <w:rsid w:val="00A35316"/>
    <w:rsid w:val="00A3545B"/>
    <w:rsid w:val="00A35AA0"/>
    <w:rsid w:val="00A35D16"/>
    <w:rsid w:val="00A35DE8"/>
    <w:rsid w:val="00A35EEC"/>
    <w:rsid w:val="00A36171"/>
    <w:rsid w:val="00A36378"/>
    <w:rsid w:val="00A363ED"/>
    <w:rsid w:val="00A36545"/>
    <w:rsid w:val="00A366A8"/>
    <w:rsid w:val="00A3681B"/>
    <w:rsid w:val="00A36893"/>
    <w:rsid w:val="00A368BE"/>
    <w:rsid w:val="00A36BCC"/>
    <w:rsid w:val="00A36D9A"/>
    <w:rsid w:val="00A36DF7"/>
    <w:rsid w:val="00A36E89"/>
    <w:rsid w:val="00A36E93"/>
    <w:rsid w:val="00A36F2E"/>
    <w:rsid w:val="00A36F48"/>
    <w:rsid w:val="00A36F9B"/>
    <w:rsid w:val="00A37008"/>
    <w:rsid w:val="00A37052"/>
    <w:rsid w:val="00A3712E"/>
    <w:rsid w:val="00A37172"/>
    <w:rsid w:val="00A372AC"/>
    <w:rsid w:val="00A372B2"/>
    <w:rsid w:val="00A37465"/>
    <w:rsid w:val="00A37641"/>
    <w:rsid w:val="00A3775F"/>
    <w:rsid w:val="00A3780D"/>
    <w:rsid w:val="00A379BE"/>
    <w:rsid w:val="00A37BC5"/>
    <w:rsid w:val="00A37BCD"/>
    <w:rsid w:val="00A37C80"/>
    <w:rsid w:val="00A37E17"/>
    <w:rsid w:val="00A37EDE"/>
    <w:rsid w:val="00A4008C"/>
    <w:rsid w:val="00A40190"/>
    <w:rsid w:val="00A402D1"/>
    <w:rsid w:val="00A40313"/>
    <w:rsid w:val="00A40351"/>
    <w:rsid w:val="00A4045C"/>
    <w:rsid w:val="00A40499"/>
    <w:rsid w:val="00A40506"/>
    <w:rsid w:val="00A40607"/>
    <w:rsid w:val="00A40617"/>
    <w:rsid w:val="00A406FB"/>
    <w:rsid w:val="00A408AD"/>
    <w:rsid w:val="00A409BF"/>
    <w:rsid w:val="00A40ABB"/>
    <w:rsid w:val="00A40D46"/>
    <w:rsid w:val="00A40FD2"/>
    <w:rsid w:val="00A4104A"/>
    <w:rsid w:val="00A41353"/>
    <w:rsid w:val="00A4145E"/>
    <w:rsid w:val="00A41505"/>
    <w:rsid w:val="00A415B6"/>
    <w:rsid w:val="00A415D3"/>
    <w:rsid w:val="00A41689"/>
    <w:rsid w:val="00A41817"/>
    <w:rsid w:val="00A41827"/>
    <w:rsid w:val="00A41911"/>
    <w:rsid w:val="00A419DD"/>
    <w:rsid w:val="00A41A76"/>
    <w:rsid w:val="00A41A78"/>
    <w:rsid w:val="00A41E84"/>
    <w:rsid w:val="00A41F3C"/>
    <w:rsid w:val="00A41F8B"/>
    <w:rsid w:val="00A42051"/>
    <w:rsid w:val="00A4216F"/>
    <w:rsid w:val="00A42592"/>
    <w:rsid w:val="00A42719"/>
    <w:rsid w:val="00A428C3"/>
    <w:rsid w:val="00A42CEF"/>
    <w:rsid w:val="00A42D1B"/>
    <w:rsid w:val="00A42D95"/>
    <w:rsid w:val="00A42E04"/>
    <w:rsid w:val="00A42EA5"/>
    <w:rsid w:val="00A4328E"/>
    <w:rsid w:val="00A43294"/>
    <w:rsid w:val="00A43338"/>
    <w:rsid w:val="00A43432"/>
    <w:rsid w:val="00A4374F"/>
    <w:rsid w:val="00A4382C"/>
    <w:rsid w:val="00A43930"/>
    <w:rsid w:val="00A43979"/>
    <w:rsid w:val="00A43A76"/>
    <w:rsid w:val="00A43B20"/>
    <w:rsid w:val="00A43B2F"/>
    <w:rsid w:val="00A43C3B"/>
    <w:rsid w:val="00A43C59"/>
    <w:rsid w:val="00A43EC8"/>
    <w:rsid w:val="00A43F2C"/>
    <w:rsid w:val="00A44142"/>
    <w:rsid w:val="00A442D0"/>
    <w:rsid w:val="00A4441D"/>
    <w:rsid w:val="00A44545"/>
    <w:rsid w:val="00A4471A"/>
    <w:rsid w:val="00A44783"/>
    <w:rsid w:val="00A449FD"/>
    <w:rsid w:val="00A44B60"/>
    <w:rsid w:val="00A44BE0"/>
    <w:rsid w:val="00A44CCE"/>
    <w:rsid w:val="00A44DD1"/>
    <w:rsid w:val="00A44FF6"/>
    <w:rsid w:val="00A450DA"/>
    <w:rsid w:val="00A45179"/>
    <w:rsid w:val="00A45212"/>
    <w:rsid w:val="00A4527B"/>
    <w:rsid w:val="00A454AE"/>
    <w:rsid w:val="00A4558E"/>
    <w:rsid w:val="00A45596"/>
    <w:rsid w:val="00A456FC"/>
    <w:rsid w:val="00A45A00"/>
    <w:rsid w:val="00A45A53"/>
    <w:rsid w:val="00A45BF0"/>
    <w:rsid w:val="00A45F2E"/>
    <w:rsid w:val="00A46071"/>
    <w:rsid w:val="00A460F4"/>
    <w:rsid w:val="00A4628A"/>
    <w:rsid w:val="00A464CC"/>
    <w:rsid w:val="00A4667F"/>
    <w:rsid w:val="00A466F6"/>
    <w:rsid w:val="00A468C9"/>
    <w:rsid w:val="00A46924"/>
    <w:rsid w:val="00A46A89"/>
    <w:rsid w:val="00A46D34"/>
    <w:rsid w:val="00A46DC5"/>
    <w:rsid w:val="00A47070"/>
    <w:rsid w:val="00A47306"/>
    <w:rsid w:val="00A474BD"/>
    <w:rsid w:val="00A47701"/>
    <w:rsid w:val="00A477EB"/>
    <w:rsid w:val="00A477FE"/>
    <w:rsid w:val="00A47AE0"/>
    <w:rsid w:val="00A47B80"/>
    <w:rsid w:val="00A47CC7"/>
    <w:rsid w:val="00A47D86"/>
    <w:rsid w:val="00A47E1B"/>
    <w:rsid w:val="00A47E96"/>
    <w:rsid w:val="00A47FF3"/>
    <w:rsid w:val="00A47FFE"/>
    <w:rsid w:val="00A500E7"/>
    <w:rsid w:val="00A501FD"/>
    <w:rsid w:val="00A50411"/>
    <w:rsid w:val="00A504E9"/>
    <w:rsid w:val="00A5054F"/>
    <w:rsid w:val="00A505C3"/>
    <w:rsid w:val="00A50693"/>
    <w:rsid w:val="00A5084D"/>
    <w:rsid w:val="00A508A4"/>
    <w:rsid w:val="00A508D3"/>
    <w:rsid w:val="00A50BBE"/>
    <w:rsid w:val="00A50BBF"/>
    <w:rsid w:val="00A50BC6"/>
    <w:rsid w:val="00A50C63"/>
    <w:rsid w:val="00A50ECD"/>
    <w:rsid w:val="00A50FF8"/>
    <w:rsid w:val="00A5119A"/>
    <w:rsid w:val="00A5122C"/>
    <w:rsid w:val="00A5122E"/>
    <w:rsid w:val="00A512EA"/>
    <w:rsid w:val="00A51430"/>
    <w:rsid w:val="00A51624"/>
    <w:rsid w:val="00A5168B"/>
    <w:rsid w:val="00A516FC"/>
    <w:rsid w:val="00A5172E"/>
    <w:rsid w:val="00A517AB"/>
    <w:rsid w:val="00A517FA"/>
    <w:rsid w:val="00A51846"/>
    <w:rsid w:val="00A51878"/>
    <w:rsid w:val="00A518F3"/>
    <w:rsid w:val="00A5194A"/>
    <w:rsid w:val="00A519AF"/>
    <w:rsid w:val="00A51ADC"/>
    <w:rsid w:val="00A51B58"/>
    <w:rsid w:val="00A51DD4"/>
    <w:rsid w:val="00A51F11"/>
    <w:rsid w:val="00A5211B"/>
    <w:rsid w:val="00A522DE"/>
    <w:rsid w:val="00A52352"/>
    <w:rsid w:val="00A524FB"/>
    <w:rsid w:val="00A5251A"/>
    <w:rsid w:val="00A52544"/>
    <w:rsid w:val="00A5267E"/>
    <w:rsid w:val="00A52729"/>
    <w:rsid w:val="00A5275E"/>
    <w:rsid w:val="00A5278D"/>
    <w:rsid w:val="00A5287C"/>
    <w:rsid w:val="00A52A8E"/>
    <w:rsid w:val="00A52B59"/>
    <w:rsid w:val="00A52D13"/>
    <w:rsid w:val="00A52D92"/>
    <w:rsid w:val="00A52E62"/>
    <w:rsid w:val="00A5351A"/>
    <w:rsid w:val="00A53675"/>
    <w:rsid w:val="00A5375D"/>
    <w:rsid w:val="00A53A31"/>
    <w:rsid w:val="00A53ABB"/>
    <w:rsid w:val="00A53E01"/>
    <w:rsid w:val="00A53E0C"/>
    <w:rsid w:val="00A53F67"/>
    <w:rsid w:val="00A543A3"/>
    <w:rsid w:val="00A5449F"/>
    <w:rsid w:val="00A545B3"/>
    <w:rsid w:val="00A54605"/>
    <w:rsid w:val="00A54837"/>
    <w:rsid w:val="00A54995"/>
    <w:rsid w:val="00A549BD"/>
    <w:rsid w:val="00A54A3C"/>
    <w:rsid w:val="00A54A64"/>
    <w:rsid w:val="00A54A8A"/>
    <w:rsid w:val="00A54C71"/>
    <w:rsid w:val="00A54D25"/>
    <w:rsid w:val="00A55072"/>
    <w:rsid w:val="00A55137"/>
    <w:rsid w:val="00A551AB"/>
    <w:rsid w:val="00A55210"/>
    <w:rsid w:val="00A55484"/>
    <w:rsid w:val="00A554A7"/>
    <w:rsid w:val="00A554F2"/>
    <w:rsid w:val="00A5552A"/>
    <w:rsid w:val="00A55886"/>
    <w:rsid w:val="00A558E4"/>
    <w:rsid w:val="00A5590B"/>
    <w:rsid w:val="00A5596F"/>
    <w:rsid w:val="00A55C7B"/>
    <w:rsid w:val="00A55C99"/>
    <w:rsid w:val="00A55C9B"/>
    <w:rsid w:val="00A55D82"/>
    <w:rsid w:val="00A5605F"/>
    <w:rsid w:val="00A560FE"/>
    <w:rsid w:val="00A56150"/>
    <w:rsid w:val="00A561F1"/>
    <w:rsid w:val="00A56386"/>
    <w:rsid w:val="00A564D7"/>
    <w:rsid w:val="00A56535"/>
    <w:rsid w:val="00A56880"/>
    <w:rsid w:val="00A5695E"/>
    <w:rsid w:val="00A56A47"/>
    <w:rsid w:val="00A56B6A"/>
    <w:rsid w:val="00A56BCA"/>
    <w:rsid w:val="00A56E58"/>
    <w:rsid w:val="00A571D9"/>
    <w:rsid w:val="00A5766E"/>
    <w:rsid w:val="00A57675"/>
    <w:rsid w:val="00A57839"/>
    <w:rsid w:val="00A578DC"/>
    <w:rsid w:val="00A57A41"/>
    <w:rsid w:val="00A57CFB"/>
    <w:rsid w:val="00A57F0C"/>
    <w:rsid w:val="00A600F8"/>
    <w:rsid w:val="00A60157"/>
    <w:rsid w:val="00A60372"/>
    <w:rsid w:val="00A60513"/>
    <w:rsid w:val="00A60839"/>
    <w:rsid w:val="00A60969"/>
    <w:rsid w:val="00A609A3"/>
    <w:rsid w:val="00A60B5E"/>
    <w:rsid w:val="00A6102A"/>
    <w:rsid w:val="00A610A6"/>
    <w:rsid w:val="00A610E7"/>
    <w:rsid w:val="00A611DC"/>
    <w:rsid w:val="00A614C0"/>
    <w:rsid w:val="00A6156D"/>
    <w:rsid w:val="00A61573"/>
    <w:rsid w:val="00A6166B"/>
    <w:rsid w:val="00A61689"/>
    <w:rsid w:val="00A616AA"/>
    <w:rsid w:val="00A6182F"/>
    <w:rsid w:val="00A618AF"/>
    <w:rsid w:val="00A618C3"/>
    <w:rsid w:val="00A61E4A"/>
    <w:rsid w:val="00A61E74"/>
    <w:rsid w:val="00A62048"/>
    <w:rsid w:val="00A6214E"/>
    <w:rsid w:val="00A621AB"/>
    <w:rsid w:val="00A6236F"/>
    <w:rsid w:val="00A62727"/>
    <w:rsid w:val="00A6275F"/>
    <w:rsid w:val="00A62865"/>
    <w:rsid w:val="00A62B28"/>
    <w:rsid w:val="00A62B7E"/>
    <w:rsid w:val="00A62D20"/>
    <w:rsid w:val="00A62E07"/>
    <w:rsid w:val="00A62F8E"/>
    <w:rsid w:val="00A6307C"/>
    <w:rsid w:val="00A632E1"/>
    <w:rsid w:val="00A6356B"/>
    <w:rsid w:val="00A6358C"/>
    <w:rsid w:val="00A63733"/>
    <w:rsid w:val="00A63906"/>
    <w:rsid w:val="00A63B40"/>
    <w:rsid w:val="00A63C4D"/>
    <w:rsid w:val="00A63F4E"/>
    <w:rsid w:val="00A640E2"/>
    <w:rsid w:val="00A64446"/>
    <w:rsid w:val="00A64B02"/>
    <w:rsid w:val="00A64C49"/>
    <w:rsid w:val="00A64CA9"/>
    <w:rsid w:val="00A64D65"/>
    <w:rsid w:val="00A64E24"/>
    <w:rsid w:val="00A64EB3"/>
    <w:rsid w:val="00A652FE"/>
    <w:rsid w:val="00A65314"/>
    <w:rsid w:val="00A653EA"/>
    <w:rsid w:val="00A654CC"/>
    <w:rsid w:val="00A658FF"/>
    <w:rsid w:val="00A6590B"/>
    <w:rsid w:val="00A65A39"/>
    <w:rsid w:val="00A65AF2"/>
    <w:rsid w:val="00A65B42"/>
    <w:rsid w:val="00A65C44"/>
    <w:rsid w:val="00A65DB8"/>
    <w:rsid w:val="00A6600F"/>
    <w:rsid w:val="00A662FE"/>
    <w:rsid w:val="00A66342"/>
    <w:rsid w:val="00A66455"/>
    <w:rsid w:val="00A6649F"/>
    <w:rsid w:val="00A6660A"/>
    <w:rsid w:val="00A66B6B"/>
    <w:rsid w:val="00A66CA6"/>
    <w:rsid w:val="00A66E09"/>
    <w:rsid w:val="00A66E13"/>
    <w:rsid w:val="00A66EDF"/>
    <w:rsid w:val="00A66F39"/>
    <w:rsid w:val="00A66F4D"/>
    <w:rsid w:val="00A66F59"/>
    <w:rsid w:val="00A6700F"/>
    <w:rsid w:val="00A67093"/>
    <w:rsid w:val="00A6725B"/>
    <w:rsid w:val="00A6726D"/>
    <w:rsid w:val="00A67540"/>
    <w:rsid w:val="00A677B9"/>
    <w:rsid w:val="00A67838"/>
    <w:rsid w:val="00A67931"/>
    <w:rsid w:val="00A67935"/>
    <w:rsid w:val="00A679D2"/>
    <w:rsid w:val="00A67D7A"/>
    <w:rsid w:val="00A67FF4"/>
    <w:rsid w:val="00A700B9"/>
    <w:rsid w:val="00A7023F"/>
    <w:rsid w:val="00A702D7"/>
    <w:rsid w:val="00A702FB"/>
    <w:rsid w:val="00A70443"/>
    <w:rsid w:val="00A7055A"/>
    <w:rsid w:val="00A705C0"/>
    <w:rsid w:val="00A70605"/>
    <w:rsid w:val="00A70688"/>
    <w:rsid w:val="00A708D4"/>
    <w:rsid w:val="00A70974"/>
    <w:rsid w:val="00A709E5"/>
    <w:rsid w:val="00A70A6B"/>
    <w:rsid w:val="00A70F55"/>
    <w:rsid w:val="00A7105C"/>
    <w:rsid w:val="00A710C5"/>
    <w:rsid w:val="00A71215"/>
    <w:rsid w:val="00A7179F"/>
    <w:rsid w:val="00A717B0"/>
    <w:rsid w:val="00A71898"/>
    <w:rsid w:val="00A718D3"/>
    <w:rsid w:val="00A71A18"/>
    <w:rsid w:val="00A71AAA"/>
    <w:rsid w:val="00A71AAF"/>
    <w:rsid w:val="00A71AC3"/>
    <w:rsid w:val="00A71B09"/>
    <w:rsid w:val="00A71B19"/>
    <w:rsid w:val="00A71D8B"/>
    <w:rsid w:val="00A721A9"/>
    <w:rsid w:val="00A7223C"/>
    <w:rsid w:val="00A7245E"/>
    <w:rsid w:val="00A725C0"/>
    <w:rsid w:val="00A725FB"/>
    <w:rsid w:val="00A72661"/>
    <w:rsid w:val="00A727D9"/>
    <w:rsid w:val="00A728D2"/>
    <w:rsid w:val="00A72A17"/>
    <w:rsid w:val="00A72B51"/>
    <w:rsid w:val="00A72F81"/>
    <w:rsid w:val="00A73042"/>
    <w:rsid w:val="00A73099"/>
    <w:rsid w:val="00A73103"/>
    <w:rsid w:val="00A73134"/>
    <w:rsid w:val="00A73169"/>
    <w:rsid w:val="00A73204"/>
    <w:rsid w:val="00A7325B"/>
    <w:rsid w:val="00A733B7"/>
    <w:rsid w:val="00A7357C"/>
    <w:rsid w:val="00A7364E"/>
    <w:rsid w:val="00A7365A"/>
    <w:rsid w:val="00A7383C"/>
    <w:rsid w:val="00A73975"/>
    <w:rsid w:val="00A73B4C"/>
    <w:rsid w:val="00A73C00"/>
    <w:rsid w:val="00A73C5F"/>
    <w:rsid w:val="00A73E5E"/>
    <w:rsid w:val="00A73F21"/>
    <w:rsid w:val="00A74203"/>
    <w:rsid w:val="00A7435B"/>
    <w:rsid w:val="00A7453E"/>
    <w:rsid w:val="00A746C2"/>
    <w:rsid w:val="00A748B1"/>
    <w:rsid w:val="00A74BA9"/>
    <w:rsid w:val="00A74E88"/>
    <w:rsid w:val="00A750D4"/>
    <w:rsid w:val="00A75133"/>
    <w:rsid w:val="00A753E1"/>
    <w:rsid w:val="00A7572F"/>
    <w:rsid w:val="00A7585E"/>
    <w:rsid w:val="00A75943"/>
    <w:rsid w:val="00A75C5E"/>
    <w:rsid w:val="00A75E05"/>
    <w:rsid w:val="00A76001"/>
    <w:rsid w:val="00A76106"/>
    <w:rsid w:val="00A76315"/>
    <w:rsid w:val="00A7650F"/>
    <w:rsid w:val="00A765FC"/>
    <w:rsid w:val="00A766ED"/>
    <w:rsid w:val="00A7692F"/>
    <w:rsid w:val="00A7696B"/>
    <w:rsid w:val="00A769FA"/>
    <w:rsid w:val="00A76AE5"/>
    <w:rsid w:val="00A76B67"/>
    <w:rsid w:val="00A76CEF"/>
    <w:rsid w:val="00A76D5F"/>
    <w:rsid w:val="00A76E57"/>
    <w:rsid w:val="00A76EE6"/>
    <w:rsid w:val="00A76FBF"/>
    <w:rsid w:val="00A7706E"/>
    <w:rsid w:val="00A77074"/>
    <w:rsid w:val="00A771E5"/>
    <w:rsid w:val="00A772CD"/>
    <w:rsid w:val="00A7742F"/>
    <w:rsid w:val="00A77484"/>
    <w:rsid w:val="00A77494"/>
    <w:rsid w:val="00A7765B"/>
    <w:rsid w:val="00A7774C"/>
    <w:rsid w:val="00A777B2"/>
    <w:rsid w:val="00A777C3"/>
    <w:rsid w:val="00A778C2"/>
    <w:rsid w:val="00A779FA"/>
    <w:rsid w:val="00A77ADD"/>
    <w:rsid w:val="00A77B49"/>
    <w:rsid w:val="00A77E41"/>
    <w:rsid w:val="00A77EE3"/>
    <w:rsid w:val="00A77F45"/>
    <w:rsid w:val="00A800F3"/>
    <w:rsid w:val="00A80353"/>
    <w:rsid w:val="00A80467"/>
    <w:rsid w:val="00A8046D"/>
    <w:rsid w:val="00A8047B"/>
    <w:rsid w:val="00A80519"/>
    <w:rsid w:val="00A80552"/>
    <w:rsid w:val="00A806A2"/>
    <w:rsid w:val="00A80B96"/>
    <w:rsid w:val="00A80DFB"/>
    <w:rsid w:val="00A80EC3"/>
    <w:rsid w:val="00A80ED8"/>
    <w:rsid w:val="00A80F7D"/>
    <w:rsid w:val="00A8101D"/>
    <w:rsid w:val="00A8105D"/>
    <w:rsid w:val="00A8115E"/>
    <w:rsid w:val="00A81209"/>
    <w:rsid w:val="00A81262"/>
    <w:rsid w:val="00A81563"/>
    <w:rsid w:val="00A815A8"/>
    <w:rsid w:val="00A81753"/>
    <w:rsid w:val="00A81795"/>
    <w:rsid w:val="00A817AC"/>
    <w:rsid w:val="00A81867"/>
    <w:rsid w:val="00A819DD"/>
    <w:rsid w:val="00A81B49"/>
    <w:rsid w:val="00A81B6F"/>
    <w:rsid w:val="00A81BB4"/>
    <w:rsid w:val="00A81C12"/>
    <w:rsid w:val="00A81DBF"/>
    <w:rsid w:val="00A81E00"/>
    <w:rsid w:val="00A81F36"/>
    <w:rsid w:val="00A81F83"/>
    <w:rsid w:val="00A81FDE"/>
    <w:rsid w:val="00A820BC"/>
    <w:rsid w:val="00A82148"/>
    <w:rsid w:val="00A8226D"/>
    <w:rsid w:val="00A822BA"/>
    <w:rsid w:val="00A82314"/>
    <w:rsid w:val="00A8239B"/>
    <w:rsid w:val="00A82438"/>
    <w:rsid w:val="00A825D4"/>
    <w:rsid w:val="00A8271F"/>
    <w:rsid w:val="00A82791"/>
    <w:rsid w:val="00A828F6"/>
    <w:rsid w:val="00A82929"/>
    <w:rsid w:val="00A82B73"/>
    <w:rsid w:val="00A82EB2"/>
    <w:rsid w:val="00A82FDC"/>
    <w:rsid w:val="00A83188"/>
    <w:rsid w:val="00A83247"/>
    <w:rsid w:val="00A83450"/>
    <w:rsid w:val="00A835F5"/>
    <w:rsid w:val="00A836ED"/>
    <w:rsid w:val="00A83723"/>
    <w:rsid w:val="00A8385B"/>
    <w:rsid w:val="00A83B3C"/>
    <w:rsid w:val="00A83D52"/>
    <w:rsid w:val="00A83DC1"/>
    <w:rsid w:val="00A8413A"/>
    <w:rsid w:val="00A843AC"/>
    <w:rsid w:val="00A843E6"/>
    <w:rsid w:val="00A84596"/>
    <w:rsid w:val="00A845DF"/>
    <w:rsid w:val="00A846DC"/>
    <w:rsid w:val="00A8488B"/>
    <w:rsid w:val="00A848C3"/>
    <w:rsid w:val="00A84ABA"/>
    <w:rsid w:val="00A84C30"/>
    <w:rsid w:val="00A84C5A"/>
    <w:rsid w:val="00A84F17"/>
    <w:rsid w:val="00A8507C"/>
    <w:rsid w:val="00A850CF"/>
    <w:rsid w:val="00A85319"/>
    <w:rsid w:val="00A85625"/>
    <w:rsid w:val="00A857DA"/>
    <w:rsid w:val="00A858AA"/>
    <w:rsid w:val="00A8595D"/>
    <w:rsid w:val="00A85CBE"/>
    <w:rsid w:val="00A85F8C"/>
    <w:rsid w:val="00A86019"/>
    <w:rsid w:val="00A8602F"/>
    <w:rsid w:val="00A86054"/>
    <w:rsid w:val="00A86439"/>
    <w:rsid w:val="00A86508"/>
    <w:rsid w:val="00A8658A"/>
    <w:rsid w:val="00A867A2"/>
    <w:rsid w:val="00A867FE"/>
    <w:rsid w:val="00A868D7"/>
    <w:rsid w:val="00A86A2B"/>
    <w:rsid w:val="00A86A35"/>
    <w:rsid w:val="00A86BCF"/>
    <w:rsid w:val="00A86C97"/>
    <w:rsid w:val="00A86D57"/>
    <w:rsid w:val="00A86D64"/>
    <w:rsid w:val="00A86E8B"/>
    <w:rsid w:val="00A86EC1"/>
    <w:rsid w:val="00A86FFB"/>
    <w:rsid w:val="00A87164"/>
    <w:rsid w:val="00A871A9"/>
    <w:rsid w:val="00A8722B"/>
    <w:rsid w:val="00A8723B"/>
    <w:rsid w:val="00A87251"/>
    <w:rsid w:val="00A872C0"/>
    <w:rsid w:val="00A87441"/>
    <w:rsid w:val="00A875FF"/>
    <w:rsid w:val="00A87772"/>
    <w:rsid w:val="00A877D0"/>
    <w:rsid w:val="00A87A74"/>
    <w:rsid w:val="00A9006D"/>
    <w:rsid w:val="00A9010B"/>
    <w:rsid w:val="00A90268"/>
    <w:rsid w:val="00A902F7"/>
    <w:rsid w:val="00A90318"/>
    <w:rsid w:val="00A904EA"/>
    <w:rsid w:val="00A906E5"/>
    <w:rsid w:val="00A90823"/>
    <w:rsid w:val="00A9087F"/>
    <w:rsid w:val="00A90915"/>
    <w:rsid w:val="00A9098D"/>
    <w:rsid w:val="00A90C0D"/>
    <w:rsid w:val="00A90C68"/>
    <w:rsid w:val="00A90ED4"/>
    <w:rsid w:val="00A913C2"/>
    <w:rsid w:val="00A913D3"/>
    <w:rsid w:val="00A91566"/>
    <w:rsid w:val="00A917DF"/>
    <w:rsid w:val="00A91D0C"/>
    <w:rsid w:val="00A91DB2"/>
    <w:rsid w:val="00A91E0A"/>
    <w:rsid w:val="00A91F9C"/>
    <w:rsid w:val="00A9216F"/>
    <w:rsid w:val="00A923F8"/>
    <w:rsid w:val="00A92528"/>
    <w:rsid w:val="00A92592"/>
    <w:rsid w:val="00A925B7"/>
    <w:rsid w:val="00A927E1"/>
    <w:rsid w:val="00A9281D"/>
    <w:rsid w:val="00A92998"/>
    <w:rsid w:val="00A92A50"/>
    <w:rsid w:val="00A92BA7"/>
    <w:rsid w:val="00A92BAF"/>
    <w:rsid w:val="00A92CA8"/>
    <w:rsid w:val="00A92CD0"/>
    <w:rsid w:val="00A92DF1"/>
    <w:rsid w:val="00A92DF9"/>
    <w:rsid w:val="00A93072"/>
    <w:rsid w:val="00A93254"/>
    <w:rsid w:val="00A9341F"/>
    <w:rsid w:val="00A934B5"/>
    <w:rsid w:val="00A934DD"/>
    <w:rsid w:val="00A936F8"/>
    <w:rsid w:val="00A9374E"/>
    <w:rsid w:val="00A938BD"/>
    <w:rsid w:val="00A93953"/>
    <w:rsid w:val="00A939BE"/>
    <w:rsid w:val="00A93BAF"/>
    <w:rsid w:val="00A93E1B"/>
    <w:rsid w:val="00A93F19"/>
    <w:rsid w:val="00A940C4"/>
    <w:rsid w:val="00A94189"/>
    <w:rsid w:val="00A941AA"/>
    <w:rsid w:val="00A9433F"/>
    <w:rsid w:val="00A943F7"/>
    <w:rsid w:val="00A94603"/>
    <w:rsid w:val="00A9472E"/>
    <w:rsid w:val="00A94878"/>
    <w:rsid w:val="00A94A21"/>
    <w:rsid w:val="00A94BFA"/>
    <w:rsid w:val="00A94C4A"/>
    <w:rsid w:val="00A94D37"/>
    <w:rsid w:val="00A94E12"/>
    <w:rsid w:val="00A94E32"/>
    <w:rsid w:val="00A95059"/>
    <w:rsid w:val="00A950B3"/>
    <w:rsid w:val="00A95176"/>
    <w:rsid w:val="00A9523E"/>
    <w:rsid w:val="00A95371"/>
    <w:rsid w:val="00A95373"/>
    <w:rsid w:val="00A954A8"/>
    <w:rsid w:val="00A954EE"/>
    <w:rsid w:val="00A9568E"/>
    <w:rsid w:val="00A95864"/>
    <w:rsid w:val="00A959BF"/>
    <w:rsid w:val="00A959D8"/>
    <w:rsid w:val="00A959F6"/>
    <w:rsid w:val="00A95A31"/>
    <w:rsid w:val="00A95BBA"/>
    <w:rsid w:val="00A95E86"/>
    <w:rsid w:val="00A95EAC"/>
    <w:rsid w:val="00A9632F"/>
    <w:rsid w:val="00A96441"/>
    <w:rsid w:val="00A96505"/>
    <w:rsid w:val="00A9658D"/>
    <w:rsid w:val="00A965FA"/>
    <w:rsid w:val="00A967E5"/>
    <w:rsid w:val="00A96C3F"/>
    <w:rsid w:val="00A96E14"/>
    <w:rsid w:val="00A96E92"/>
    <w:rsid w:val="00A96EBE"/>
    <w:rsid w:val="00A97179"/>
    <w:rsid w:val="00A9738C"/>
    <w:rsid w:val="00A973B4"/>
    <w:rsid w:val="00A97616"/>
    <w:rsid w:val="00A97638"/>
    <w:rsid w:val="00A9773B"/>
    <w:rsid w:val="00A9779D"/>
    <w:rsid w:val="00A977DB"/>
    <w:rsid w:val="00A97A33"/>
    <w:rsid w:val="00A97AFD"/>
    <w:rsid w:val="00A97B71"/>
    <w:rsid w:val="00A97CAE"/>
    <w:rsid w:val="00A97FC4"/>
    <w:rsid w:val="00AA0245"/>
    <w:rsid w:val="00AA02B9"/>
    <w:rsid w:val="00AA04F6"/>
    <w:rsid w:val="00AA0527"/>
    <w:rsid w:val="00AA05C6"/>
    <w:rsid w:val="00AA07C9"/>
    <w:rsid w:val="00AA0D20"/>
    <w:rsid w:val="00AA0D88"/>
    <w:rsid w:val="00AA0E74"/>
    <w:rsid w:val="00AA0F5B"/>
    <w:rsid w:val="00AA0FB9"/>
    <w:rsid w:val="00AA113D"/>
    <w:rsid w:val="00AA11AF"/>
    <w:rsid w:val="00AA12FE"/>
    <w:rsid w:val="00AA1382"/>
    <w:rsid w:val="00AA1562"/>
    <w:rsid w:val="00AA1867"/>
    <w:rsid w:val="00AA1931"/>
    <w:rsid w:val="00AA1988"/>
    <w:rsid w:val="00AA198E"/>
    <w:rsid w:val="00AA1AC9"/>
    <w:rsid w:val="00AA1B57"/>
    <w:rsid w:val="00AA1CAB"/>
    <w:rsid w:val="00AA1D27"/>
    <w:rsid w:val="00AA1D6C"/>
    <w:rsid w:val="00AA1E6E"/>
    <w:rsid w:val="00AA1EAF"/>
    <w:rsid w:val="00AA1F72"/>
    <w:rsid w:val="00AA1FE0"/>
    <w:rsid w:val="00AA2100"/>
    <w:rsid w:val="00AA228E"/>
    <w:rsid w:val="00AA23DA"/>
    <w:rsid w:val="00AA24E7"/>
    <w:rsid w:val="00AA256E"/>
    <w:rsid w:val="00AA28B5"/>
    <w:rsid w:val="00AA2944"/>
    <w:rsid w:val="00AA2A9A"/>
    <w:rsid w:val="00AA2C49"/>
    <w:rsid w:val="00AA2DF5"/>
    <w:rsid w:val="00AA2F8F"/>
    <w:rsid w:val="00AA310B"/>
    <w:rsid w:val="00AA3160"/>
    <w:rsid w:val="00AA31C6"/>
    <w:rsid w:val="00AA32E1"/>
    <w:rsid w:val="00AA3420"/>
    <w:rsid w:val="00AA34EA"/>
    <w:rsid w:val="00AA370F"/>
    <w:rsid w:val="00AA38E1"/>
    <w:rsid w:val="00AA3A20"/>
    <w:rsid w:val="00AA3C8E"/>
    <w:rsid w:val="00AA3D06"/>
    <w:rsid w:val="00AA421F"/>
    <w:rsid w:val="00AA42B2"/>
    <w:rsid w:val="00AA43C9"/>
    <w:rsid w:val="00AA4575"/>
    <w:rsid w:val="00AA4729"/>
    <w:rsid w:val="00AA4C02"/>
    <w:rsid w:val="00AA4D69"/>
    <w:rsid w:val="00AA4E3F"/>
    <w:rsid w:val="00AA4EA2"/>
    <w:rsid w:val="00AA4EDE"/>
    <w:rsid w:val="00AA506C"/>
    <w:rsid w:val="00AA539E"/>
    <w:rsid w:val="00AA53AC"/>
    <w:rsid w:val="00AA57E9"/>
    <w:rsid w:val="00AA5A29"/>
    <w:rsid w:val="00AA606E"/>
    <w:rsid w:val="00AA608D"/>
    <w:rsid w:val="00AA6096"/>
    <w:rsid w:val="00AA6444"/>
    <w:rsid w:val="00AA6616"/>
    <w:rsid w:val="00AA68F4"/>
    <w:rsid w:val="00AA69DD"/>
    <w:rsid w:val="00AA6AB3"/>
    <w:rsid w:val="00AA6AB9"/>
    <w:rsid w:val="00AA6BD5"/>
    <w:rsid w:val="00AA6BD8"/>
    <w:rsid w:val="00AA6BE2"/>
    <w:rsid w:val="00AA6C37"/>
    <w:rsid w:val="00AA6C7D"/>
    <w:rsid w:val="00AA6DBB"/>
    <w:rsid w:val="00AA6E5E"/>
    <w:rsid w:val="00AA70D7"/>
    <w:rsid w:val="00AA7101"/>
    <w:rsid w:val="00AA717B"/>
    <w:rsid w:val="00AA7454"/>
    <w:rsid w:val="00AA794A"/>
    <w:rsid w:val="00AA7ED9"/>
    <w:rsid w:val="00AA7F39"/>
    <w:rsid w:val="00AA7FD6"/>
    <w:rsid w:val="00AB0320"/>
    <w:rsid w:val="00AB042A"/>
    <w:rsid w:val="00AB04B1"/>
    <w:rsid w:val="00AB0553"/>
    <w:rsid w:val="00AB06E7"/>
    <w:rsid w:val="00AB0755"/>
    <w:rsid w:val="00AB085F"/>
    <w:rsid w:val="00AB0AFE"/>
    <w:rsid w:val="00AB0D6A"/>
    <w:rsid w:val="00AB0D8D"/>
    <w:rsid w:val="00AB0ED1"/>
    <w:rsid w:val="00AB0F4D"/>
    <w:rsid w:val="00AB1017"/>
    <w:rsid w:val="00AB1076"/>
    <w:rsid w:val="00AB1093"/>
    <w:rsid w:val="00AB10AD"/>
    <w:rsid w:val="00AB11AD"/>
    <w:rsid w:val="00AB12EC"/>
    <w:rsid w:val="00AB14FC"/>
    <w:rsid w:val="00AB16B9"/>
    <w:rsid w:val="00AB16C0"/>
    <w:rsid w:val="00AB19DC"/>
    <w:rsid w:val="00AB19EF"/>
    <w:rsid w:val="00AB1D3E"/>
    <w:rsid w:val="00AB20C6"/>
    <w:rsid w:val="00AB22E6"/>
    <w:rsid w:val="00AB2329"/>
    <w:rsid w:val="00AB2458"/>
    <w:rsid w:val="00AB2495"/>
    <w:rsid w:val="00AB253D"/>
    <w:rsid w:val="00AB25B3"/>
    <w:rsid w:val="00AB262F"/>
    <w:rsid w:val="00AB2692"/>
    <w:rsid w:val="00AB2812"/>
    <w:rsid w:val="00AB2A3C"/>
    <w:rsid w:val="00AB2BBC"/>
    <w:rsid w:val="00AB2D34"/>
    <w:rsid w:val="00AB2D36"/>
    <w:rsid w:val="00AB2D40"/>
    <w:rsid w:val="00AB2E39"/>
    <w:rsid w:val="00AB2E60"/>
    <w:rsid w:val="00AB2EDB"/>
    <w:rsid w:val="00AB310C"/>
    <w:rsid w:val="00AB3207"/>
    <w:rsid w:val="00AB3244"/>
    <w:rsid w:val="00AB331D"/>
    <w:rsid w:val="00AB33A6"/>
    <w:rsid w:val="00AB3430"/>
    <w:rsid w:val="00AB358C"/>
    <w:rsid w:val="00AB35B0"/>
    <w:rsid w:val="00AB360F"/>
    <w:rsid w:val="00AB364B"/>
    <w:rsid w:val="00AB37B9"/>
    <w:rsid w:val="00AB3A4D"/>
    <w:rsid w:val="00AB3C7B"/>
    <w:rsid w:val="00AB3CB7"/>
    <w:rsid w:val="00AB3DD7"/>
    <w:rsid w:val="00AB3DFB"/>
    <w:rsid w:val="00AB403F"/>
    <w:rsid w:val="00AB43D9"/>
    <w:rsid w:val="00AB4457"/>
    <w:rsid w:val="00AB4584"/>
    <w:rsid w:val="00AB468F"/>
    <w:rsid w:val="00AB469D"/>
    <w:rsid w:val="00AB48ED"/>
    <w:rsid w:val="00AB49DC"/>
    <w:rsid w:val="00AB4AD1"/>
    <w:rsid w:val="00AB4D5A"/>
    <w:rsid w:val="00AB4D76"/>
    <w:rsid w:val="00AB4F49"/>
    <w:rsid w:val="00AB50AF"/>
    <w:rsid w:val="00AB526E"/>
    <w:rsid w:val="00AB550C"/>
    <w:rsid w:val="00AB5515"/>
    <w:rsid w:val="00AB57A1"/>
    <w:rsid w:val="00AB583F"/>
    <w:rsid w:val="00AB5884"/>
    <w:rsid w:val="00AB5ABA"/>
    <w:rsid w:val="00AB5BC3"/>
    <w:rsid w:val="00AB5CF4"/>
    <w:rsid w:val="00AB5DF9"/>
    <w:rsid w:val="00AB5E07"/>
    <w:rsid w:val="00AB5F2C"/>
    <w:rsid w:val="00AB6020"/>
    <w:rsid w:val="00AB6092"/>
    <w:rsid w:val="00AB61C6"/>
    <w:rsid w:val="00AB6376"/>
    <w:rsid w:val="00AB6707"/>
    <w:rsid w:val="00AB67DE"/>
    <w:rsid w:val="00AB6BB2"/>
    <w:rsid w:val="00AB6F00"/>
    <w:rsid w:val="00AB6FC0"/>
    <w:rsid w:val="00AB721C"/>
    <w:rsid w:val="00AB7259"/>
    <w:rsid w:val="00AB73D0"/>
    <w:rsid w:val="00AB744D"/>
    <w:rsid w:val="00AB7721"/>
    <w:rsid w:val="00AB777A"/>
    <w:rsid w:val="00AB78B2"/>
    <w:rsid w:val="00AB7984"/>
    <w:rsid w:val="00AB79EE"/>
    <w:rsid w:val="00AB7ADC"/>
    <w:rsid w:val="00AB7C36"/>
    <w:rsid w:val="00AB7C69"/>
    <w:rsid w:val="00AB7CFA"/>
    <w:rsid w:val="00AC010D"/>
    <w:rsid w:val="00AC0363"/>
    <w:rsid w:val="00AC036C"/>
    <w:rsid w:val="00AC0390"/>
    <w:rsid w:val="00AC0399"/>
    <w:rsid w:val="00AC09F5"/>
    <w:rsid w:val="00AC0CDE"/>
    <w:rsid w:val="00AC0CFC"/>
    <w:rsid w:val="00AC0E00"/>
    <w:rsid w:val="00AC1059"/>
    <w:rsid w:val="00AC1168"/>
    <w:rsid w:val="00AC1171"/>
    <w:rsid w:val="00AC119B"/>
    <w:rsid w:val="00AC1283"/>
    <w:rsid w:val="00AC12BD"/>
    <w:rsid w:val="00AC1737"/>
    <w:rsid w:val="00AC1894"/>
    <w:rsid w:val="00AC1A1E"/>
    <w:rsid w:val="00AC1B90"/>
    <w:rsid w:val="00AC22ED"/>
    <w:rsid w:val="00AC287C"/>
    <w:rsid w:val="00AC28F4"/>
    <w:rsid w:val="00AC2931"/>
    <w:rsid w:val="00AC2A96"/>
    <w:rsid w:val="00AC2B98"/>
    <w:rsid w:val="00AC2CBF"/>
    <w:rsid w:val="00AC32D6"/>
    <w:rsid w:val="00AC34C7"/>
    <w:rsid w:val="00AC3718"/>
    <w:rsid w:val="00AC37AE"/>
    <w:rsid w:val="00AC38F6"/>
    <w:rsid w:val="00AC391E"/>
    <w:rsid w:val="00AC3933"/>
    <w:rsid w:val="00AC39FB"/>
    <w:rsid w:val="00AC3A39"/>
    <w:rsid w:val="00AC3ABC"/>
    <w:rsid w:val="00AC3B35"/>
    <w:rsid w:val="00AC3BC1"/>
    <w:rsid w:val="00AC409E"/>
    <w:rsid w:val="00AC40CA"/>
    <w:rsid w:val="00AC4138"/>
    <w:rsid w:val="00AC42C0"/>
    <w:rsid w:val="00AC435E"/>
    <w:rsid w:val="00AC43BC"/>
    <w:rsid w:val="00AC43D3"/>
    <w:rsid w:val="00AC4488"/>
    <w:rsid w:val="00AC4741"/>
    <w:rsid w:val="00AC489F"/>
    <w:rsid w:val="00AC49D2"/>
    <w:rsid w:val="00AC4A3C"/>
    <w:rsid w:val="00AC4AF0"/>
    <w:rsid w:val="00AC4B06"/>
    <w:rsid w:val="00AC4B7E"/>
    <w:rsid w:val="00AC4C1A"/>
    <w:rsid w:val="00AC4F4A"/>
    <w:rsid w:val="00AC4F4F"/>
    <w:rsid w:val="00AC5042"/>
    <w:rsid w:val="00AC5138"/>
    <w:rsid w:val="00AC5154"/>
    <w:rsid w:val="00AC53EF"/>
    <w:rsid w:val="00AC5602"/>
    <w:rsid w:val="00AC566F"/>
    <w:rsid w:val="00AC5943"/>
    <w:rsid w:val="00AC59D5"/>
    <w:rsid w:val="00AC5A0B"/>
    <w:rsid w:val="00AC5A15"/>
    <w:rsid w:val="00AC5B42"/>
    <w:rsid w:val="00AC5B48"/>
    <w:rsid w:val="00AC5BBC"/>
    <w:rsid w:val="00AC5BCF"/>
    <w:rsid w:val="00AC5C6F"/>
    <w:rsid w:val="00AC5CBD"/>
    <w:rsid w:val="00AC5D07"/>
    <w:rsid w:val="00AC5D15"/>
    <w:rsid w:val="00AC5D60"/>
    <w:rsid w:val="00AC6013"/>
    <w:rsid w:val="00AC616C"/>
    <w:rsid w:val="00AC647C"/>
    <w:rsid w:val="00AC6642"/>
    <w:rsid w:val="00AC6BC0"/>
    <w:rsid w:val="00AC6BDF"/>
    <w:rsid w:val="00AC6C40"/>
    <w:rsid w:val="00AC6EE7"/>
    <w:rsid w:val="00AC701D"/>
    <w:rsid w:val="00AC7388"/>
    <w:rsid w:val="00AC7950"/>
    <w:rsid w:val="00AC7B3D"/>
    <w:rsid w:val="00AC7B47"/>
    <w:rsid w:val="00AC7CF5"/>
    <w:rsid w:val="00AC7F4C"/>
    <w:rsid w:val="00AC7F94"/>
    <w:rsid w:val="00AD01F5"/>
    <w:rsid w:val="00AD0398"/>
    <w:rsid w:val="00AD0479"/>
    <w:rsid w:val="00AD096D"/>
    <w:rsid w:val="00AD09B2"/>
    <w:rsid w:val="00AD0E37"/>
    <w:rsid w:val="00AD0E50"/>
    <w:rsid w:val="00AD0E51"/>
    <w:rsid w:val="00AD12A1"/>
    <w:rsid w:val="00AD13A4"/>
    <w:rsid w:val="00AD144C"/>
    <w:rsid w:val="00AD1450"/>
    <w:rsid w:val="00AD14F4"/>
    <w:rsid w:val="00AD15E8"/>
    <w:rsid w:val="00AD16E5"/>
    <w:rsid w:val="00AD17DC"/>
    <w:rsid w:val="00AD19B0"/>
    <w:rsid w:val="00AD19F5"/>
    <w:rsid w:val="00AD1A75"/>
    <w:rsid w:val="00AD1ABE"/>
    <w:rsid w:val="00AD1B0D"/>
    <w:rsid w:val="00AD1B70"/>
    <w:rsid w:val="00AD1BB9"/>
    <w:rsid w:val="00AD1BF6"/>
    <w:rsid w:val="00AD1D89"/>
    <w:rsid w:val="00AD1ED4"/>
    <w:rsid w:val="00AD1EF6"/>
    <w:rsid w:val="00AD23DF"/>
    <w:rsid w:val="00AD2595"/>
    <w:rsid w:val="00AD2694"/>
    <w:rsid w:val="00AD27CA"/>
    <w:rsid w:val="00AD296B"/>
    <w:rsid w:val="00AD2975"/>
    <w:rsid w:val="00AD29E3"/>
    <w:rsid w:val="00AD2B77"/>
    <w:rsid w:val="00AD2DA1"/>
    <w:rsid w:val="00AD31CC"/>
    <w:rsid w:val="00AD32C5"/>
    <w:rsid w:val="00AD32DD"/>
    <w:rsid w:val="00AD3336"/>
    <w:rsid w:val="00AD344A"/>
    <w:rsid w:val="00AD34AD"/>
    <w:rsid w:val="00AD34F5"/>
    <w:rsid w:val="00AD351A"/>
    <w:rsid w:val="00AD356D"/>
    <w:rsid w:val="00AD35FC"/>
    <w:rsid w:val="00AD3748"/>
    <w:rsid w:val="00AD37CE"/>
    <w:rsid w:val="00AD38BE"/>
    <w:rsid w:val="00AD396B"/>
    <w:rsid w:val="00AD399B"/>
    <w:rsid w:val="00AD39EE"/>
    <w:rsid w:val="00AD3A2F"/>
    <w:rsid w:val="00AD3A80"/>
    <w:rsid w:val="00AD3BA3"/>
    <w:rsid w:val="00AD3D21"/>
    <w:rsid w:val="00AD3FAC"/>
    <w:rsid w:val="00AD402C"/>
    <w:rsid w:val="00AD407A"/>
    <w:rsid w:val="00AD46FC"/>
    <w:rsid w:val="00AD4851"/>
    <w:rsid w:val="00AD4C15"/>
    <w:rsid w:val="00AD4CE2"/>
    <w:rsid w:val="00AD4CFC"/>
    <w:rsid w:val="00AD4D48"/>
    <w:rsid w:val="00AD4ED6"/>
    <w:rsid w:val="00AD4F4D"/>
    <w:rsid w:val="00AD4FF8"/>
    <w:rsid w:val="00AD500B"/>
    <w:rsid w:val="00AD5084"/>
    <w:rsid w:val="00AD50E5"/>
    <w:rsid w:val="00AD51D3"/>
    <w:rsid w:val="00AD52D7"/>
    <w:rsid w:val="00AD5333"/>
    <w:rsid w:val="00AD56C5"/>
    <w:rsid w:val="00AD5951"/>
    <w:rsid w:val="00AD59C3"/>
    <w:rsid w:val="00AD5A36"/>
    <w:rsid w:val="00AD5A47"/>
    <w:rsid w:val="00AD5B51"/>
    <w:rsid w:val="00AD5C44"/>
    <w:rsid w:val="00AD5DF1"/>
    <w:rsid w:val="00AD5EA6"/>
    <w:rsid w:val="00AD6059"/>
    <w:rsid w:val="00AD628B"/>
    <w:rsid w:val="00AD6411"/>
    <w:rsid w:val="00AD6502"/>
    <w:rsid w:val="00AD66DC"/>
    <w:rsid w:val="00AD6723"/>
    <w:rsid w:val="00AD6A82"/>
    <w:rsid w:val="00AD6B4C"/>
    <w:rsid w:val="00AD6B95"/>
    <w:rsid w:val="00AD6F12"/>
    <w:rsid w:val="00AD6FA7"/>
    <w:rsid w:val="00AD70D1"/>
    <w:rsid w:val="00AD722D"/>
    <w:rsid w:val="00AD7287"/>
    <w:rsid w:val="00AD72D0"/>
    <w:rsid w:val="00AD7316"/>
    <w:rsid w:val="00AD7546"/>
    <w:rsid w:val="00AD75EE"/>
    <w:rsid w:val="00AD75F5"/>
    <w:rsid w:val="00AD79F5"/>
    <w:rsid w:val="00AD7AB4"/>
    <w:rsid w:val="00AD7C35"/>
    <w:rsid w:val="00AD7CE2"/>
    <w:rsid w:val="00AD7CEE"/>
    <w:rsid w:val="00AD7D5D"/>
    <w:rsid w:val="00AD7E1E"/>
    <w:rsid w:val="00AD7F94"/>
    <w:rsid w:val="00AD7FA0"/>
    <w:rsid w:val="00AD7FC0"/>
    <w:rsid w:val="00AD7FD5"/>
    <w:rsid w:val="00AE0390"/>
    <w:rsid w:val="00AE0695"/>
    <w:rsid w:val="00AE06B6"/>
    <w:rsid w:val="00AE06E9"/>
    <w:rsid w:val="00AE071F"/>
    <w:rsid w:val="00AE07B4"/>
    <w:rsid w:val="00AE082B"/>
    <w:rsid w:val="00AE0A1E"/>
    <w:rsid w:val="00AE1281"/>
    <w:rsid w:val="00AE12A6"/>
    <w:rsid w:val="00AE13B4"/>
    <w:rsid w:val="00AE1464"/>
    <w:rsid w:val="00AE15DB"/>
    <w:rsid w:val="00AE16D2"/>
    <w:rsid w:val="00AE1763"/>
    <w:rsid w:val="00AE17BE"/>
    <w:rsid w:val="00AE1966"/>
    <w:rsid w:val="00AE1A32"/>
    <w:rsid w:val="00AE1AD8"/>
    <w:rsid w:val="00AE1E19"/>
    <w:rsid w:val="00AE1F84"/>
    <w:rsid w:val="00AE2190"/>
    <w:rsid w:val="00AE22E9"/>
    <w:rsid w:val="00AE2542"/>
    <w:rsid w:val="00AE2922"/>
    <w:rsid w:val="00AE2976"/>
    <w:rsid w:val="00AE29D0"/>
    <w:rsid w:val="00AE2B32"/>
    <w:rsid w:val="00AE2DA2"/>
    <w:rsid w:val="00AE2DC4"/>
    <w:rsid w:val="00AE305E"/>
    <w:rsid w:val="00AE3206"/>
    <w:rsid w:val="00AE3220"/>
    <w:rsid w:val="00AE3415"/>
    <w:rsid w:val="00AE35D4"/>
    <w:rsid w:val="00AE3B4E"/>
    <w:rsid w:val="00AE3BEA"/>
    <w:rsid w:val="00AE3CAF"/>
    <w:rsid w:val="00AE3DFC"/>
    <w:rsid w:val="00AE3E7E"/>
    <w:rsid w:val="00AE3E8D"/>
    <w:rsid w:val="00AE3F51"/>
    <w:rsid w:val="00AE407C"/>
    <w:rsid w:val="00AE4228"/>
    <w:rsid w:val="00AE4251"/>
    <w:rsid w:val="00AE42A0"/>
    <w:rsid w:val="00AE43C2"/>
    <w:rsid w:val="00AE440C"/>
    <w:rsid w:val="00AE44E8"/>
    <w:rsid w:val="00AE4810"/>
    <w:rsid w:val="00AE48CE"/>
    <w:rsid w:val="00AE4A2D"/>
    <w:rsid w:val="00AE4A61"/>
    <w:rsid w:val="00AE4E4A"/>
    <w:rsid w:val="00AE4E73"/>
    <w:rsid w:val="00AE4E83"/>
    <w:rsid w:val="00AE4F56"/>
    <w:rsid w:val="00AE503D"/>
    <w:rsid w:val="00AE50F0"/>
    <w:rsid w:val="00AE51F1"/>
    <w:rsid w:val="00AE5296"/>
    <w:rsid w:val="00AE53AC"/>
    <w:rsid w:val="00AE541A"/>
    <w:rsid w:val="00AE5620"/>
    <w:rsid w:val="00AE5991"/>
    <w:rsid w:val="00AE5A49"/>
    <w:rsid w:val="00AE5D86"/>
    <w:rsid w:val="00AE5F2D"/>
    <w:rsid w:val="00AE5F4D"/>
    <w:rsid w:val="00AE62E1"/>
    <w:rsid w:val="00AE63C1"/>
    <w:rsid w:val="00AE64E4"/>
    <w:rsid w:val="00AE6518"/>
    <w:rsid w:val="00AE652C"/>
    <w:rsid w:val="00AE65BC"/>
    <w:rsid w:val="00AE662C"/>
    <w:rsid w:val="00AE66FD"/>
    <w:rsid w:val="00AE670E"/>
    <w:rsid w:val="00AE6717"/>
    <w:rsid w:val="00AE6815"/>
    <w:rsid w:val="00AE6915"/>
    <w:rsid w:val="00AE6926"/>
    <w:rsid w:val="00AE692D"/>
    <w:rsid w:val="00AE6A6B"/>
    <w:rsid w:val="00AE7011"/>
    <w:rsid w:val="00AE709E"/>
    <w:rsid w:val="00AE7217"/>
    <w:rsid w:val="00AE7396"/>
    <w:rsid w:val="00AE7524"/>
    <w:rsid w:val="00AE7D30"/>
    <w:rsid w:val="00AE7E53"/>
    <w:rsid w:val="00AF0064"/>
    <w:rsid w:val="00AF0187"/>
    <w:rsid w:val="00AF018A"/>
    <w:rsid w:val="00AF039C"/>
    <w:rsid w:val="00AF03FA"/>
    <w:rsid w:val="00AF04BD"/>
    <w:rsid w:val="00AF052D"/>
    <w:rsid w:val="00AF0914"/>
    <w:rsid w:val="00AF0B23"/>
    <w:rsid w:val="00AF0B7F"/>
    <w:rsid w:val="00AF0BC8"/>
    <w:rsid w:val="00AF0E38"/>
    <w:rsid w:val="00AF0FB7"/>
    <w:rsid w:val="00AF0FDF"/>
    <w:rsid w:val="00AF1133"/>
    <w:rsid w:val="00AF1135"/>
    <w:rsid w:val="00AF1315"/>
    <w:rsid w:val="00AF13E8"/>
    <w:rsid w:val="00AF159F"/>
    <w:rsid w:val="00AF1698"/>
    <w:rsid w:val="00AF19BF"/>
    <w:rsid w:val="00AF1A37"/>
    <w:rsid w:val="00AF1B0F"/>
    <w:rsid w:val="00AF1B52"/>
    <w:rsid w:val="00AF1C58"/>
    <w:rsid w:val="00AF1CFB"/>
    <w:rsid w:val="00AF20AD"/>
    <w:rsid w:val="00AF2103"/>
    <w:rsid w:val="00AF2311"/>
    <w:rsid w:val="00AF24EC"/>
    <w:rsid w:val="00AF2813"/>
    <w:rsid w:val="00AF28B7"/>
    <w:rsid w:val="00AF2991"/>
    <w:rsid w:val="00AF2A1F"/>
    <w:rsid w:val="00AF2ABC"/>
    <w:rsid w:val="00AF2AEB"/>
    <w:rsid w:val="00AF2CE6"/>
    <w:rsid w:val="00AF2CF9"/>
    <w:rsid w:val="00AF2D9D"/>
    <w:rsid w:val="00AF2DC3"/>
    <w:rsid w:val="00AF2FF3"/>
    <w:rsid w:val="00AF3012"/>
    <w:rsid w:val="00AF3038"/>
    <w:rsid w:val="00AF3045"/>
    <w:rsid w:val="00AF30E3"/>
    <w:rsid w:val="00AF31C2"/>
    <w:rsid w:val="00AF3526"/>
    <w:rsid w:val="00AF3529"/>
    <w:rsid w:val="00AF36C2"/>
    <w:rsid w:val="00AF3760"/>
    <w:rsid w:val="00AF3803"/>
    <w:rsid w:val="00AF383A"/>
    <w:rsid w:val="00AF3843"/>
    <w:rsid w:val="00AF3AB7"/>
    <w:rsid w:val="00AF3CF5"/>
    <w:rsid w:val="00AF3D9B"/>
    <w:rsid w:val="00AF3DB1"/>
    <w:rsid w:val="00AF3EDF"/>
    <w:rsid w:val="00AF3F8C"/>
    <w:rsid w:val="00AF3FEC"/>
    <w:rsid w:val="00AF4230"/>
    <w:rsid w:val="00AF4241"/>
    <w:rsid w:val="00AF46CC"/>
    <w:rsid w:val="00AF473A"/>
    <w:rsid w:val="00AF477B"/>
    <w:rsid w:val="00AF4877"/>
    <w:rsid w:val="00AF49A7"/>
    <w:rsid w:val="00AF4C1D"/>
    <w:rsid w:val="00AF4C38"/>
    <w:rsid w:val="00AF4D75"/>
    <w:rsid w:val="00AF4DA5"/>
    <w:rsid w:val="00AF4FF2"/>
    <w:rsid w:val="00AF5231"/>
    <w:rsid w:val="00AF55BB"/>
    <w:rsid w:val="00AF56DE"/>
    <w:rsid w:val="00AF57E3"/>
    <w:rsid w:val="00AF5814"/>
    <w:rsid w:val="00AF5910"/>
    <w:rsid w:val="00AF5A55"/>
    <w:rsid w:val="00AF5C2B"/>
    <w:rsid w:val="00AF5C71"/>
    <w:rsid w:val="00AF5D6E"/>
    <w:rsid w:val="00AF5E38"/>
    <w:rsid w:val="00AF6264"/>
    <w:rsid w:val="00AF63BC"/>
    <w:rsid w:val="00AF64FE"/>
    <w:rsid w:val="00AF6782"/>
    <w:rsid w:val="00AF6844"/>
    <w:rsid w:val="00AF6902"/>
    <w:rsid w:val="00AF69C2"/>
    <w:rsid w:val="00AF6D45"/>
    <w:rsid w:val="00AF6E76"/>
    <w:rsid w:val="00AF6F0A"/>
    <w:rsid w:val="00AF711E"/>
    <w:rsid w:val="00AF720D"/>
    <w:rsid w:val="00AF7238"/>
    <w:rsid w:val="00AF72BB"/>
    <w:rsid w:val="00AF76F0"/>
    <w:rsid w:val="00AF7779"/>
    <w:rsid w:val="00AF78CC"/>
    <w:rsid w:val="00AF7907"/>
    <w:rsid w:val="00AF7B9F"/>
    <w:rsid w:val="00AF7DE1"/>
    <w:rsid w:val="00B0068F"/>
    <w:rsid w:val="00B007E5"/>
    <w:rsid w:val="00B00944"/>
    <w:rsid w:val="00B009FB"/>
    <w:rsid w:val="00B00A4F"/>
    <w:rsid w:val="00B00A94"/>
    <w:rsid w:val="00B00AAA"/>
    <w:rsid w:val="00B00BEF"/>
    <w:rsid w:val="00B00CBD"/>
    <w:rsid w:val="00B00D34"/>
    <w:rsid w:val="00B00ED4"/>
    <w:rsid w:val="00B01282"/>
    <w:rsid w:val="00B01287"/>
    <w:rsid w:val="00B01362"/>
    <w:rsid w:val="00B01A64"/>
    <w:rsid w:val="00B01BC9"/>
    <w:rsid w:val="00B01D07"/>
    <w:rsid w:val="00B01D9E"/>
    <w:rsid w:val="00B01DFD"/>
    <w:rsid w:val="00B01E73"/>
    <w:rsid w:val="00B0222D"/>
    <w:rsid w:val="00B02545"/>
    <w:rsid w:val="00B025BC"/>
    <w:rsid w:val="00B02855"/>
    <w:rsid w:val="00B02969"/>
    <w:rsid w:val="00B029A3"/>
    <w:rsid w:val="00B02BD9"/>
    <w:rsid w:val="00B02F34"/>
    <w:rsid w:val="00B02FAA"/>
    <w:rsid w:val="00B03190"/>
    <w:rsid w:val="00B033E5"/>
    <w:rsid w:val="00B03459"/>
    <w:rsid w:val="00B0353D"/>
    <w:rsid w:val="00B03590"/>
    <w:rsid w:val="00B035D0"/>
    <w:rsid w:val="00B038CF"/>
    <w:rsid w:val="00B03967"/>
    <w:rsid w:val="00B03A63"/>
    <w:rsid w:val="00B03B88"/>
    <w:rsid w:val="00B03E0B"/>
    <w:rsid w:val="00B03EA8"/>
    <w:rsid w:val="00B03EAA"/>
    <w:rsid w:val="00B03F4D"/>
    <w:rsid w:val="00B03FBE"/>
    <w:rsid w:val="00B0404A"/>
    <w:rsid w:val="00B0433C"/>
    <w:rsid w:val="00B04580"/>
    <w:rsid w:val="00B046AB"/>
    <w:rsid w:val="00B04864"/>
    <w:rsid w:val="00B0492F"/>
    <w:rsid w:val="00B0499B"/>
    <w:rsid w:val="00B04A8B"/>
    <w:rsid w:val="00B04CC8"/>
    <w:rsid w:val="00B04EBC"/>
    <w:rsid w:val="00B04FFE"/>
    <w:rsid w:val="00B05035"/>
    <w:rsid w:val="00B05149"/>
    <w:rsid w:val="00B0523E"/>
    <w:rsid w:val="00B05475"/>
    <w:rsid w:val="00B05565"/>
    <w:rsid w:val="00B059A2"/>
    <w:rsid w:val="00B05C1C"/>
    <w:rsid w:val="00B05C26"/>
    <w:rsid w:val="00B06243"/>
    <w:rsid w:val="00B064EE"/>
    <w:rsid w:val="00B06676"/>
    <w:rsid w:val="00B068C8"/>
    <w:rsid w:val="00B06970"/>
    <w:rsid w:val="00B069F4"/>
    <w:rsid w:val="00B06A27"/>
    <w:rsid w:val="00B06EC3"/>
    <w:rsid w:val="00B070E8"/>
    <w:rsid w:val="00B0714F"/>
    <w:rsid w:val="00B07220"/>
    <w:rsid w:val="00B0725A"/>
    <w:rsid w:val="00B07521"/>
    <w:rsid w:val="00B07540"/>
    <w:rsid w:val="00B07638"/>
    <w:rsid w:val="00B0768A"/>
    <w:rsid w:val="00B07735"/>
    <w:rsid w:val="00B07991"/>
    <w:rsid w:val="00B07A61"/>
    <w:rsid w:val="00B07A72"/>
    <w:rsid w:val="00B07A76"/>
    <w:rsid w:val="00B07B86"/>
    <w:rsid w:val="00B07C83"/>
    <w:rsid w:val="00B07F77"/>
    <w:rsid w:val="00B1012A"/>
    <w:rsid w:val="00B101E0"/>
    <w:rsid w:val="00B10262"/>
    <w:rsid w:val="00B10309"/>
    <w:rsid w:val="00B10556"/>
    <w:rsid w:val="00B1057A"/>
    <w:rsid w:val="00B105E3"/>
    <w:rsid w:val="00B10697"/>
    <w:rsid w:val="00B106BD"/>
    <w:rsid w:val="00B10783"/>
    <w:rsid w:val="00B109C1"/>
    <w:rsid w:val="00B10C8B"/>
    <w:rsid w:val="00B10D54"/>
    <w:rsid w:val="00B10E8D"/>
    <w:rsid w:val="00B10FA3"/>
    <w:rsid w:val="00B110F1"/>
    <w:rsid w:val="00B11290"/>
    <w:rsid w:val="00B112FA"/>
    <w:rsid w:val="00B11310"/>
    <w:rsid w:val="00B11485"/>
    <w:rsid w:val="00B1164B"/>
    <w:rsid w:val="00B11760"/>
    <w:rsid w:val="00B117B9"/>
    <w:rsid w:val="00B11820"/>
    <w:rsid w:val="00B11887"/>
    <w:rsid w:val="00B118FE"/>
    <w:rsid w:val="00B11A03"/>
    <w:rsid w:val="00B11AF9"/>
    <w:rsid w:val="00B12035"/>
    <w:rsid w:val="00B1207A"/>
    <w:rsid w:val="00B120E9"/>
    <w:rsid w:val="00B12192"/>
    <w:rsid w:val="00B121D3"/>
    <w:rsid w:val="00B122B4"/>
    <w:rsid w:val="00B1236F"/>
    <w:rsid w:val="00B12409"/>
    <w:rsid w:val="00B1271D"/>
    <w:rsid w:val="00B1275E"/>
    <w:rsid w:val="00B1279F"/>
    <w:rsid w:val="00B12890"/>
    <w:rsid w:val="00B129A4"/>
    <w:rsid w:val="00B12A5C"/>
    <w:rsid w:val="00B12C69"/>
    <w:rsid w:val="00B12CBB"/>
    <w:rsid w:val="00B12D1C"/>
    <w:rsid w:val="00B1306C"/>
    <w:rsid w:val="00B13085"/>
    <w:rsid w:val="00B132AF"/>
    <w:rsid w:val="00B132B2"/>
    <w:rsid w:val="00B1338D"/>
    <w:rsid w:val="00B133FD"/>
    <w:rsid w:val="00B13676"/>
    <w:rsid w:val="00B136EB"/>
    <w:rsid w:val="00B13A5E"/>
    <w:rsid w:val="00B13B1C"/>
    <w:rsid w:val="00B13C29"/>
    <w:rsid w:val="00B1407B"/>
    <w:rsid w:val="00B14136"/>
    <w:rsid w:val="00B141E0"/>
    <w:rsid w:val="00B1439D"/>
    <w:rsid w:val="00B143D3"/>
    <w:rsid w:val="00B144BA"/>
    <w:rsid w:val="00B1450A"/>
    <w:rsid w:val="00B1461B"/>
    <w:rsid w:val="00B14703"/>
    <w:rsid w:val="00B1497D"/>
    <w:rsid w:val="00B1497E"/>
    <w:rsid w:val="00B14A79"/>
    <w:rsid w:val="00B14AFB"/>
    <w:rsid w:val="00B14C85"/>
    <w:rsid w:val="00B14D83"/>
    <w:rsid w:val="00B15023"/>
    <w:rsid w:val="00B15365"/>
    <w:rsid w:val="00B153D8"/>
    <w:rsid w:val="00B1545C"/>
    <w:rsid w:val="00B15493"/>
    <w:rsid w:val="00B154E6"/>
    <w:rsid w:val="00B15520"/>
    <w:rsid w:val="00B1560C"/>
    <w:rsid w:val="00B157E3"/>
    <w:rsid w:val="00B15823"/>
    <w:rsid w:val="00B15AD4"/>
    <w:rsid w:val="00B15B0F"/>
    <w:rsid w:val="00B15D62"/>
    <w:rsid w:val="00B15DB8"/>
    <w:rsid w:val="00B16027"/>
    <w:rsid w:val="00B1608A"/>
    <w:rsid w:val="00B16361"/>
    <w:rsid w:val="00B16366"/>
    <w:rsid w:val="00B1639C"/>
    <w:rsid w:val="00B16EE3"/>
    <w:rsid w:val="00B17235"/>
    <w:rsid w:val="00B172A9"/>
    <w:rsid w:val="00B17307"/>
    <w:rsid w:val="00B17410"/>
    <w:rsid w:val="00B174B9"/>
    <w:rsid w:val="00B17516"/>
    <w:rsid w:val="00B1758B"/>
    <w:rsid w:val="00B17644"/>
    <w:rsid w:val="00B1766D"/>
    <w:rsid w:val="00B17979"/>
    <w:rsid w:val="00B179EB"/>
    <w:rsid w:val="00B17B11"/>
    <w:rsid w:val="00B17B71"/>
    <w:rsid w:val="00B17DBD"/>
    <w:rsid w:val="00B17EB7"/>
    <w:rsid w:val="00B17EC1"/>
    <w:rsid w:val="00B17EEF"/>
    <w:rsid w:val="00B17FE7"/>
    <w:rsid w:val="00B1A42D"/>
    <w:rsid w:val="00B20039"/>
    <w:rsid w:val="00B2017C"/>
    <w:rsid w:val="00B201A4"/>
    <w:rsid w:val="00B201D1"/>
    <w:rsid w:val="00B20358"/>
    <w:rsid w:val="00B2046C"/>
    <w:rsid w:val="00B20478"/>
    <w:rsid w:val="00B2053A"/>
    <w:rsid w:val="00B205BB"/>
    <w:rsid w:val="00B20699"/>
    <w:rsid w:val="00B2075B"/>
    <w:rsid w:val="00B208E3"/>
    <w:rsid w:val="00B2095E"/>
    <w:rsid w:val="00B209FF"/>
    <w:rsid w:val="00B20AAD"/>
    <w:rsid w:val="00B20BA3"/>
    <w:rsid w:val="00B20EE7"/>
    <w:rsid w:val="00B20F3A"/>
    <w:rsid w:val="00B21009"/>
    <w:rsid w:val="00B210EA"/>
    <w:rsid w:val="00B21195"/>
    <w:rsid w:val="00B213A6"/>
    <w:rsid w:val="00B2146D"/>
    <w:rsid w:val="00B21C9C"/>
    <w:rsid w:val="00B21D70"/>
    <w:rsid w:val="00B21EDE"/>
    <w:rsid w:val="00B21FAA"/>
    <w:rsid w:val="00B220C0"/>
    <w:rsid w:val="00B2217E"/>
    <w:rsid w:val="00B2243A"/>
    <w:rsid w:val="00B225AB"/>
    <w:rsid w:val="00B226F7"/>
    <w:rsid w:val="00B22925"/>
    <w:rsid w:val="00B2294E"/>
    <w:rsid w:val="00B229B3"/>
    <w:rsid w:val="00B22AEB"/>
    <w:rsid w:val="00B22C23"/>
    <w:rsid w:val="00B22C9A"/>
    <w:rsid w:val="00B22D93"/>
    <w:rsid w:val="00B230BA"/>
    <w:rsid w:val="00B232CF"/>
    <w:rsid w:val="00B2337A"/>
    <w:rsid w:val="00B2345D"/>
    <w:rsid w:val="00B235B0"/>
    <w:rsid w:val="00B2389B"/>
    <w:rsid w:val="00B23B8B"/>
    <w:rsid w:val="00B23F59"/>
    <w:rsid w:val="00B2422A"/>
    <w:rsid w:val="00B2434F"/>
    <w:rsid w:val="00B24503"/>
    <w:rsid w:val="00B24938"/>
    <w:rsid w:val="00B24975"/>
    <w:rsid w:val="00B249A7"/>
    <w:rsid w:val="00B24D96"/>
    <w:rsid w:val="00B24DAA"/>
    <w:rsid w:val="00B24DF6"/>
    <w:rsid w:val="00B24E27"/>
    <w:rsid w:val="00B24F2E"/>
    <w:rsid w:val="00B2512E"/>
    <w:rsid w:val="00B25183"/>
    <w:rsid w:val="00B2523C"/>
    <w:rsid w:val="00B253C8"/>
    <w:rsid w:val="00B2540D"/>
    <w:rsid w:val="00B255DB"/>
    <w:rsid w:val="00B256AE"/>
    <w:rsid w:val="00B25909"/>
    <w:rsid w:val="00B259B8"/>
    <w:rsid w:val="00B25B05"/>
    <w:rsid w:val="00B25BE7"/>
    <w:rsid w:val="00B25E33"/>
    <w:rsid w:val="00B25F12"/>
    <w:rsid w:val="00B2626B"/>
    <w:rsid w:val="00B262BA"/>
    <w:rsid w:val="00B263BA"/>
    <w:rsid w:val="00B2643D"/>
    <w:rsid w:val="00B269FD"/>
    <w:rsid w:val="00B26AB9"/>
    <w:rsid w:val="00B26B02"/>
    <w:rsid w:val="00B26C48"/>
    <w:rsid w:val="00B26CAF"/>
    <w:rsid w:val="00B26D7A"/>
    <w:rsid w:val="00B26F17"/>
    <w:rsid w:val="00B2705B"/>
    <w:rsid w:val="00B271A1"/>
    <w:rsid w:val="00B2729B"/>
    <w:rsid w:val="00B2769E"/>
    <w:rsid w:val="00B278CD"/>
    <w:rsid w:val="00B279EE"/>
    <w:rsid w:val="00B27A61"/>
    <w:rsid w:val="00B27B39"/>
    <w:rsid w:val="00B27B3D"/>
    <w:rsid w:val="00B27B7C"/>
    <w:rsid w:val="00B27D10"/>
    <w:rsid w:val="00B27F61"/>
    <w:rsid w:val="00B27FE6"/>
    <w:rsid w:val="00B300C6"/>
    <w:rsid w:val="00B30279"/>
    <w:rsid w:val="00B302AD"/>
    <w:rsid w:val="00B3030E"/>
    <w:rsid w:val="00B3031E"/>
    <w:rsid w:val="00B3032D"/>
    <w:rsid w:val="00B303F1"/>
    <w:rsid w:val="00B30425"/>
    <w:rsid w:val="00B3049F"/>
    <w:rsid w:val="00B304CA"/>
    <w:rsid w:val="00B30571"/>
    <w:rsid w:val="00B3065D"/>
    <w:rsid w:val="00B3071C"/>
    <w:rsid w:val="00B3083C"/>
    <w:rsid w:val="00B308E5"/>
    <w:rsid w:val="00B30941"/>
    <w:rsid w:val="00B309D7"/>
    <w:rsid w:val="00B30D28"/>
    <w:rsid w:val="00B30F46"/>
    <w:rsid w:val="00B30FE6"/>
    <w:rsid w:val="00B3108F"/>
    <w:rsid w:val="00B310D1"/>
    <w:rsid w:val="00B3110D"/>
    <w:rsid w:val="00B3122C"/>
    <w:rsid w:val="00B31366"/>
    <w:rsid w:val="00B313FC"/>
    <w:rsid w:val="00B31613"/>
    <w:rsid w:val="00B31753"/>
    <w:rsid w:val="00B317C7"/>
    <w:rsid w:val="00B31957"/>
    <w:rsid w:val="00B319DB"/>
    <w:rsid w:val="00B31B0D"/>
    <w:rsid w:val="00B31E7D"/>
    <w:rsid w:val="00B31EF1"/>
    <w:rsid w:val="00B31FDA"/>
    <w:rsid w:val="00B320AC"/>
    <w:rsid w:val="00B324DD"/>
    <w:rsid w:val="00B325AF"/>
    <w:rsid w:val="00B327DB"/>
    <w:rsid w:val="00B32C01"/>
    <w:rsid w:val="00B32C95"/>
    <w:rsid w:val="00B32D22"/>
    <w:rsid w:val="00B33089"/>
    <w:rsid w:val="00B33179"/>
    <w:rsid w:val="00B332F1"/>
    <w:rsid w:val="00B333AF"/>
    <w:rsid w:val="00B33425"/>
    <w:rsid w:val="00B3356D"/>
    <w:rsid w:val="00B338D3"/>
    <w:rsid w:val="00B33949"/>
    <w:rsid w:val="00B33986"/>
    <w:rsid w:val="00B33B49"/>
    <w:rsid w:val="00B33E11"/>
    <w:rsid w:val="00B34020"/>
    <w:rsid w:val="00B3453D"/>
    <w:rsid w:val="00B3456B"/>
    <w:rsid w:val="00B3463B"/>
    <w:rsid w:val="00B346D0"/>
    <w:rsid w:val="00B3472D"/>
    <w:rsid w:val="00B34877"/>
    <w:rsid w:val="00B34CC6"/>
    <w:rsid w:val="00B34D3B"/>
    <w:rsid w:val="00B34D54"/>
    <w:rsid w:val="00B34D75"/>
    <w:rsid w:val="00B34D89"/>
    <w:rsid w:val="00B34E77"/>
    <w:rsid w:val="00B34FE2"/>
    <w:rsid w:val="00B34FE3"/>
    <w:rsid w:val="00B3514A"/>
    <w:rsid w:val="00B35166"/>
    <w:rsid w:val="00B351CA"/>
    <w:rsid w:val="00B351D2"/>
    <w:rsid w:val="00B35240"/>
    <w:rsid w:val="00B352A5"/>
    <w:rsid w:val="00B354D5"/>
    <w:rsid w:val="00B356C3"/>
    <w:rsid w:val="00B357D8"/>
    <w:rsid w:val="00B35839"/>
    <w:rsid w:val="00B3586F"/>
    <w:rsid w:val="00B358DF"/>
    <w:rsid w:val="00B35AEE"/>
    <w:rsid w:val="00B35B01"/>
    <w:rsid w:val="00B35B3B"/>
    <w:rsid w:val="00B35B40"/>
    <w:rsid w:val="00B35BD1"/>
    <w:rsid w:val="00B35C53"/>
    <w:rsid w:val="00B35EE5"/>
    <w:rsid w:val="00B3601E"/>
    <w:rsid w:val="00B360F4"/>
    <w:rsid w:val="00B36367"/>
    <w:rsid w:val="00B3641B"/>
    <w:rsid w:val="00B36958"/>
    <w:rsid w:val="00B36A00"/>
    <w:rsid w:val="00B36ABE"/>
    <w:rsid w:val="00B36CB9"/>
    <w:rsid w:val="00B36F67"/>
    <w:rsid w:val="00B370D9"/>
    <w:rsid w:val="00B370DC"/>
    <w:rsid w:val="00B3728E"/>
    <w:rsid w:val="00B37321"/>
    <w:rsid w:val="00B373ED"/>
    <w:rsid w:val="00B374F9"/>
    <w:rsid w:val="00B374FA"/>
    <w:rsid w:val="00B37512"/>
    <w:rsid w:val="00B37594"/>
    <w:rsid w:val="00B375C2"/>
    <w:rsid w:val="00B3792B"/>
    <w:rsid w:val="00B37945"/>
    <w:rsid w:val="00B37A7B"/>
    <w:rsid w:val="00B37A8A"/>
    <w:rsid w:val="00B37A98"/>
    <w:rsid w:val="00B37AE5"/>
    <w:rsid w:val="00B37BBF"/>
    <w:rsid w:val="00B37BFC"/>
    <w:rsid w:val="00B37CEC"/>
    <w:rsid w:val="00B37D50"/>
    <w:rsid w:val="00B37EAC"/>
    <w:rsid w:val="00B40137"/>
    <w:rsid w:val="00B40241"/>
    <w:rsid w:val="00B40251"/>
    <w:rsid w:val="00B40358"/>
    <w:rsid w:val="00B4036D"/>
    <w:rsid w:val="00B40422"/>
    <w:rsid w:val="00B406BB"/>
    <w:rsid w:val="00B406C0"/>
    <w:rsid w:val="00B406F2"/>
    <w:rsid w:val="00B4070F"/>
    <w:rsid w:val="00B40877"/>
    <w:rsid w:val="00B40AC5"/>
    <w:rsid w:val="00B40CED"/>
    <w:rsid w:val="00B40D2A"/>
    <w:rsid w:val="00B40EF9"/>
    <w:rsid w:val="00B4116D"/>
    <w:rsid w:val="00B41334"/>
    <w:rsid w:val="00B4139E"/>
    <w:rsid w:val="00B414E8"/>
    <w:rsid w:val="00B41614"/>
    <w:rsid w:val="00B4186F"/>
    <w:rsid w:val="00B41C2C"/>
    <w:rsid w:val="00B41E04"/>
    <w:rsid w:val="00B41EC8"/>
    <w:rsid w:val="00B41F89"/>
    <w:rsid w:val="00B41F95"/>
    <w:rsid w:val="00B41FB1"/>
    <w:rsid w:val="00B42022"/>
    <w:rsid w:val="00B42099"/>
    <w:rsid w:val="00B424F6"/>
    <w:rsid w:val="00B4267D"/>
    <w:rsid w:val="00B42851"/>
    <w:rsid w:val="00B42BD3"/>
    <w:rsid w:val="00B42EF9"/>
    <w:rsid w:val="00B42F80"/>
    <w:rsid w:val="00B43289"/>
    <w:rsid w:val="00B43347"/>
    <w:rsid w:val="00B435CB"/>
    <w:rsid w:val="00B43B35"/>
    <w:rsid w:val="00B43BB5"/>
    <w:rsid w:val="00B43D28"/>
    <w:rsid w:val="00B43D2E"/>
    <w:rsid w:val="00B43F38"/>
    <w:rsid w:val="00B440FE"/>
    <w:rsid w:val="00B44191"/>
    <w:rsid w:val="00B441EF"/>
    <w:rsid w:val="00B4429B"/>
    <w:rsid w:val="00B4447F"/>
    <w:rsid w:val="00B44647"/>
    <w:rsid w:val="00B446D2"/>
    <w:rsid w:val="00B44785"/>
    <w:rsid w:val="00B44789"/>
    <w:rsid w:val="00B447CB"/>
    <w:rsid w:val="00B449C0"/>
    <w:rsid w:val="00B449C3"/>
    <w:rsid w:val="00B4503F"/>
    <w:rsid w:val="00B45161"/>
    <w:rsid w:val="00B45164"/>
    <w:rsid w:val="00B4521E"/>
    <w:rsid w:val="00B454DF"/>
    <w:rsid w:val="00B45745"/>
    <w:rsid w:val="00B4575C"/>
    <w:rsid w:val="00B4575D"/>
    <w:rsid w:val="00B45982"/>
    <w:rsid w:val="00B45A39"/>
    <w:rsid w:val="00B45D55"/>
    <w:rsid w:val="00B45E04"/>
    <w:rsid w:val="00B45E97"/>
    <w:rsid w:val="00B4608C"/>
    <w:rsid w:val="00B460DC"/>
    <w:rsid w:val="00B460E3"/>
    <w:rsid w:val="00B46254"/>
    <w:rsid w:val="00B463BA"/>
    <w:rsid w:val="00B46555"/>
    <w:rsid w:val="00B46584"/>
    <w:rsid w:val="00B465EC"/>
    <w:rsid w:val="00B466C1"/>
    <w:rsid w:val="00B46854"/>
    <w:rsid w:val="00B4686D"/>
    <w:rsid w:val="00B468ED"/>
    <w:rsid w:val="00B468F2"/>
    <w:rsid w:val="00B469E1"/>
    <w:rsid w:val="00B46B17"/>
    <w:rsid w:val="00B46DE9"/>
    <w:rsid w:val="00B46F47"/>
    <w:rsid w:val="00B46FA8"/>
    <w:rsid w:val="00B470C1"/>
    <w:rsid w:val="00B472FF"/>
    <w:rsid w:val="00B47330"/>
    <w:rsid w:val="00B47430"/>
    <w:rsid w:val="00B47583"/>
    <w:rsid w:val="00B47A03"/>
    <w:rsid w:val="00B47B13"/>
    <w:rsid w:val="00B47C8D"/>
    <w:rsid w:val="00B47CE4"/>
    <w:rsid w:val="00B47D01"/>
    <w:rsid w:val="00B47D3A"/>
    <w:rsid w:val="00B47E6F"/>
    <w:rsid w:val="00B47E8A"/>
    <w:rsid w:val="00B47F47"/>
    <w:rsid w:val="00B500EF"/>
    <w:rsid w:val="00B501D7"/>
    <w:rsid w:val="00B50414"/>
    <w:rsid w:val="00B50590"/>
    <w:rsid w:val="00B505C8"/>
    <w:rsid w:val="00B5068B"/>
    <w:rsid w:val="00B5074D"/>
    <w:rsid w:val="00B507B5"/>
    <w:rsid w:val="00B508C0"/>
    <w:rsid w:val="00B508CC"/>
    <w:rsid w:val="00B508D1"/>
    <w:rsid w:val="00B50C8E"/>
    <w:rsid w:val="00B50CA2"/>
    <w:rsid w:val="00B50D5B"/>
    <w:rsid w:val="00B50D7D"/>
    <w:rsid w:val="00B50DB8"/>
    <w:rsid w:val="00B50F2B"/>
    <w:rsid w:val="00B51072"/>
    <w:rsid w:val="00B510AE"/>
    <w:rsid w:val="00B51124"/>
    <w:rsid w:val="00B51151"/>
    <w:rsid w:val="00B5115D"/>
    <w:rsid w:val="00B5121A"/>
    <w:rsid w:val="00B5151E"/>
    <w:rsid w:val="00B51A77"/>
    <w:rsid w:val="00B51B87"/>
    <w:rsid w:val="00B51D73"/>
    <w:rsid w:val="00B51EA2"/>
    <w:rsid w:val="00B5222A"/>
    <w:rsid w:val="00B52304"/>
    <w:rsid w:val="00B52348"/>
    <w:rsid w:val="00B523B2"/>
    <w:rsid w:val="00B523C1"/>
    <w:rsid w:val="00B5241D"/>
    <w:rsid w:val="00B5243F"/>
    <w:rsid w:val="00B5283B"/>
    <w:rsid w:val="00B528CB"/>
    <w:rsid w:val="00B528EC"/>
    <w:rsid w:val="00B52AA2"/>
    <w:rsid w:val="00B52BE2"/>
    <w:rsid w:val="00B52C2A"/>
    <w:rsid w:val="00B52D4E"/>
    <w:rsid w:val="00B52D65"/>
    <w:rsid w:val="00B52D81"/>
    <w:rsid w:val="00B52E04"/>
    <w:rsid w:val="00B52F99"/>
    <w:rsid w:val="00B52FA6"/>
    <w:rsid w:val="00B52FD2"/>
    <w:rsid w:val="00B53293"/>
    <w:rsid w:val="00B53654"/>
    <w:rsid w:val="00B536E6"/>
    <w:rsid w:val="00B53785"/>
    <w:rsid w:val="00B53905"/>
    <w:rsid w:val="00B53958"/>
    <w:rsid w:val="00B5399B"/>
    <w:rsid w:val="00B539A7"/>
    <w:rsid w:val="00B53AE4"/>
    <w:rsid w:val="00B53B55"/>
    <w:rsid w:val="00B53CCE"/>
    <w:rsid w:val="00B53CD0"/>
    <w:rsid w:val="00B5408A"/>
    <w:rsid w:val="00B541EF"/>
    <w:rsid w:val="00B54390"/>
    <w:rsid w:val="00B54465"/>
    <w:rsid w:val="00B5459C"/>
    <w:rsid w:val="00B546DB"/>
    <w:rsid w:val="00B547F8"/>
    <w:rsid w:val="00B54832"/>
    <w:rsid w:val="00B548B7"/>
    <w:rsid w:val="00B54919"/>
    <w:rsid w:val="00B54B5B"/>
    <w:rsid w:val="00B54B75"/>
    <w:rsid w:val="00B54BA3"/>
    <w:rsid w:val="00B54C22"/>
    <w:rsid w:val="00B54C41"/>
    <w:rsid w:val="00B54D27"/>
    <w:rsid w:val="00B54F7B"/>
    <w:rsid w:val="00B5509C"/>
    <w:rsid w:val="00B552E8"/>
    <w:rsid w:val="00B552EB"/>
    <w:rsid w:val="00B552FB"/>
    <w:rsid w:val="00B5562E"/>
    <w:rsid w:val="00B556C9"/>
    <w:rsid w:val="00B557B6"/>
    <w:rsid w:val="00B557BF"/>
    <w:rsid w:val="00B55862"/>
    <w:rsid w:val="00B55970"/>
    <w:rsid w:val="00B559FE"/>
    <w:rsid w:val="00B55B1C"/>
    <w:rsid w:val="00B55BBD"/>
    <w:rsid w:val="00B55D60"/>
    <w:rsid w:val="00B55D65"/>
    <w:rsid w:val="00B55D76"/>
    <w:rsid w:val="00B55F64"/>
    <w:rsid w:val="00B56080"/>
    <w:rsid w:val="00B56303"/>
    <w:rsid w:val="00B56305"/>
    <w:rsid w:val="00B56438"/>
    <w:rsid w:val="00B564C4"/>
    <w:rsid w:val="00B56617"/>
    <w:rsid w:val="00B566F6"/>
    <w:rsid w:val="00B569F1"/>
    <w:rsid w:val="00B56CC5"/>
    <w:rsid w:val="00B56CD6"/>
    <w:rsid w:val="00B56DEE"/>
    <w:rsid w:val="00B56E3A"/>
    <w:rsid w:val="00B57000"/>
    <w:rsid w:val="00B570CE"/>
    <w:rsid w:val="00B57107"/>
    <w:rsid w:val="00B57194"/>
    <w:rsid w:val="00B571DF"/>
    <w:rsid w:val="00B5762B"/>
    <w:rsid w:val="00B57647"/>
    <w:rsid w:val="00B57679"/>
    <w:rsid w:val="00B57729"/>
    <w:rsid w:val="00B5772C"/>
    <w:rsid w:val="00B57862"/>
    <w:rsid w:val="00B5790A"/>
    <w:rsid w:val="00B57ADA"/>
    <w:rsid w:val="00B57BD1"/>
    <w:rsid w:val="00B57BF5"/>
    <w:rsid w:val="00B57C2A"/>
    <w:rsid w:val="00B57D87"/>
    <w:rsid w:val="00B57DB2"/>
    <w:rsid w:val="00B60377"/>
    <w:rsid w:val="00B60498"/>
    <w:rsid w:val="00B60844"/>
    <w:rsid w:val="00B60910"/>
    <w:rsid w:val="00B60939"/>
    <w:rsid w:val="00B60A2E"/>
    <w:rsid w:val="00B60AFD"/>
    <w:rsid w:val="00B60DA8"/>
    <w:rsid w:val="00B61075"/>
    <w:rsid w:val="00B6111A"/>
    <w:rsid w:val="00B611F2"/>
    <w:rsid w:val="00B615C7"/>
    <w:rsid w:val="00B6195D"/>
    <w:rsid w:val="00B61A18"/>
    <w:rsid w:val="00B61DB7"/>
    <w:rsid w:val="00B62029"/>
    <w:rsid w:val="00B62035"/>
    <w:rsid w:val="00B62173"/>
    <w:rsid w:val="00B621B8"/>
    <w:rsid w:val="00B62715"/>
    <w:rsid w:val="00B6285C"/>
    <w:rsid w:val="00B628DB"/>
    <w:rsid w:val="00B62A34"/>
    <w:rsid w:val="00B62B4C"/>
    <w:rsid w:val="00B62EC2"/>
    <w:rsid w:val="00B63022"/>
    <w:rsid w:val="00B631B7"/>
    <w:rsid w:val="00B6328D"/>
    <w:rsid w:val="00B6332F"/>
    <w:rsid w:val="00B63606"/>
    <w:rsid w:val="00B638BB"/>
    <w:rsid w:val="00B63C52"/>
    <w:rsid w:val="00B63CAD"/>
    <w:rsid w:val="00B63CB3"/>
    <w:rsid w:val="00B63E4B"/>
    <w:rsid w:val="00B63FBA"/>
    <w:rsid w:val="00B6422C"/>
    <w:rsid w:val="00B64237"/>
    <w:rsid w:val="00B64444"/>
    <w:rsid w:val="00B6445A"/>
    <w:rsid w:val="00B644E0"/>
    <w:rsid w:val="00B645D5"/>
    <w:rsid w:val="00B64640"/>
    <w:rsid w:val="00B647D2"/>
    <w:rsid w:val="00B64856"/>
    <w:rsid w:val="00B64902"/>
    <w:rsid w:val="00B64924"/>
    <w:rsid w:val="00B64969"/>
    <w:rsid w:val="00B64B8D"/>
    <w:rsid w:val="00B64B96"/>
    <w:rsid w:val="00B64E47"/>
    <w:rsid w:val="00B64E9A"/>
    <w:rsid w:val="00B64FEB"/>
    <w:rsid w:val="00B65056"/>
    <w:rsid w:val="00B6520C"/>
    <w:rsid w:val="00B652A7"/>
    <w:rsid w:val="00B65359"/>
    <w:rsid w:val="00B653DA"/>
    <w:rsid w:val="00B65504"/>
    <w:rsid w:val="00B65611"/>
    <w:rsid w:val="00B65655"/>
    <w:rsid w:val="00B656CE"/>
    <w:rsid w:val="00B658CD"/>
    <w:rsid w:val="00B65A7A"/>
    <w:rsid w:val="00B65B51"/>
    <w:rsid w:val="00B65DCE"/>
    <w:rsid w:val="00B65E43"/>
    <w:rsid w:val="00B65F1E"/>
    <w:rsid w:val="00B66296"/>
    <w:rsid w:val="00B66539"/>
    <w:rsid w:val="00B6678D"/>
    <w:rsid w:val="00B667D7"/>
    <w:rsid w:val="00B667E8"/>
    <w:rsid w:val="00B66927"/>
    <w:rsid w:val="00B66CCA"/>
    <w:rsid w:val="00B66CFD"/>
    <w:rsid w:val="00B66EA5"/>
    <w:rsid w:val="00B671A8"/>
    <w:rsid w:val="00B671AC"/>
    <w:rsid w:val="00B674B3"/>
    <w:rsid w:val="00B676CE"/>
    <w:rsid w:val="00B679A6"/>
    <w:rsid w:val="00B67A63"/>
    <w:rsid w:val="00B67CBB"/>
    <w:rsid w:val="00B67D8A"/>
    <w:rsid w:val="00B67DF6"/>
    <w:rsid w:val="00B67FD2"/>
    <w:rsid w:val="00B7002B"/>
    <w:rsid w:val="00B700F0"/>
    <w:rsid w:val="00B70278"/>
    <w:rsid w:val="00B70322"/>
    <w:rsid w:val="00B703C4"/>
    <w:rsid w:val="00B704A5"/>
    <w:rsid w:val="00B70526"/>
    <w:rsid w:val="00B705BC"/>
    <w:rsid w:val="00B7073B"/>
    <w:rsid w:val="00B7078B"/>
    <w:rsid w:val="00B708D1"/>
    <w:rsid w:val="00B70A2A"/>
    <w:rsid w:val="00B70AB3"/>
    <w:rsid w:val="00B70DB1"/>
    <w:rsid w:val="00B70E8E"/>
    <w:rsid w:val="00B70F6A"/>
    <w:rsid w:val="00B70F88"/>
    <w:rsid w:val="00B71086"/>
    <w:rsid w:val="00B71296"/>
    <w:rsid w:val="00B71364"/>
    <w:rsid w:val="00B713BC"/>
    <w:rsid w:val="00B7149D"/>
    <w:rsid w:val="00B716F2"/>
    <w:rsid w:val="00B719B1"/>
    <w:rsid w:val="00B71A69"/>
    <w:rsid w:val="00B71D4A"/>
    <w:rsid w:val="00B71DC3"/>
    <w:rsid w:val="00B720F8"/>
    <w:rsid w:val="00B721BA"/>
    <w:rsid w:val="00B72313"/>
    <w:rsid w:val="00B72718"/>
    <w:rsid w:val="00B728DC"/>
    <w:rsid w:val="00B729EB"/>
    <w:rsid w:val="00B72B96"/>
    <w:rsid w:val="00B72C33"/>
    <w:rsid w:val="00B72CBE"/>
    <w:rsid w:val="00B72D77"/>
    <w:rsid w:val="00B73193"/>
    <w:rsid w:val="00B731AA"/>
    <w:rsid w:val="00B733BB"/>
    <w:rsid w:val="00B73407"/>
    <w:rsid w:val="00B7341A"/>
    <w:rsid w:val="00B7356A"/>
    <w:rsid w:val="00B735FD"/>
    <w:rsid w:val="00B73820"/>
    <w:rsid w:val="00B738AE"/>
    <w:rsid w:val="00B73905"/>
    <w:rsid w:val="00B739D9"/>
    <w:rsid w:val="00B73ABB"/>
    <w:rsid w:val="00B73B2A"/>
    <w:rsid w:val="00B73C23"/>
    <w:rsid w:val="00B73D9E"/>
    <w:rsid w:val="00B73DCF"/>
    <w:rsid w:val="00B7451B"/>
    <w:rsid w:val="00B749D9"/>
    <w:rsid w:val="00B74CD7"/>
    <w:rsid w:val="00B74F05"/>
    <w:rsid w:val="00B7538F"/>
    <w:rsid w:val="00B75647"/>
    <w:rsid w:val="00B75690"/>
    <w:rsid w:val="00B75803"/>
    <w:rsid w:val="00B7595B"/>
    <w:rsid w:val="00B75E50"/>
    <w:rsid w:val="00B75EDF"/>
    <w:rsid w:val="00B75FB6"/>
    <w:rsid w:val="00B76013"/>
    <w:rsid w:val="00B760BD"/>
    <w:rsid w:val="00B76135"/>
    <w:rsid w:val="00B765E2"/>
    <w:rsid w:val="00B76663"/>
    <w:rsid w:val="00B76A97"/>
    <w:rsid w:val="00B76C92"/>
    <w:rsid w:val="00B76CAF"/>
    <w:rsid w:val="00B76D33"/>
    <w:rsid w:val="00B76D6C"/>
    <w:rsid w:val="00B76EEC"/>
    <w:rsid w:val="00B772B8"/>
    <w:rsid w:val="00B7752C"/>
    <w:rsid w:val="00B77646"/>
    <w:rsid w:val="00B77993"/>
    <w:rsid w:val="00B77CDB"/>
    <w:rsid w:val="00B77D44"/>
    <w:rsid w:val="00B77DC5"/>
    <w:rsid w:val="00B801AC"/>
    <w:rsid w:val="00B801E0"/>
    <w:rsid w:val="00B80270"/>
    <w:rsid w:val="00B8036B"/>
    <w:rsid w:val="00B803B4"/>
    <w:rsid w:val="00B80462"/>
    <w:rsid w:val="00B8063F"/>
    <w:rsid w:val="00B806CF"/>
    <w:rsid w:val="00B80747"/>
    <w:rsid w:val="00B807ED"/>
    <w:rsid w:val="00B80828"/>
    <w:rsid w:val="00B80C51"/>
    <w:rsid w:val="00B80C96"/>
    <w:rsid w:val="00B80EFD"/>
    <w:rsid w:val="00B80FDE"/>
    <w:rsid w:val="00B81287"/>
    <w:rsid w:val="00B812C1"/>
    <w:rsid w:val="00B813D4"/>
    <w:rsid w:val="00B814A3"/>
    <w:rsid w:val="00B815AC"/>
    <w:rsid w:val="00B81654"/>
    <w:rsid w:val="00B8167B"/>
    <w:rsid w:val="00B81739"/>
    <w:rsid w:val="00B818A4"/>
    <w:rsid w:val="00B819A2"/>
    <w:rsid w:val="00B81BD3"/>
    <w:rsid w:val="00B81F81"/>
    <w:rsid w:val="00B82066"/>
    <w:rsid w:val="00B822FB"/>
    <w:rsid w:val="00B82796"/>
    <w:rsid w:val="00B8280D"/>
    <w:rsid w:val="00B8288C"/>
    <w:rsid w:val="00B82B1E"/>
    <w:rsid w:val="00B82B23"/>
    <w:rsid w:val="00B82CA2"/>
    <w:rsid w:val="00B82DC4"/>
    <w:rsid w:val="00B82F10"/>
    <w:rsid w:val="00B82F15"/>
    <w:rsid w:val="00B833D1"/>
    <w:rsid w:val="00B83558"/>
    <w:rsid w:val="00B83739"/>
    <w:rsid w:val="00B83797"/>
    <w:rsid w:val="00B838EE"/>
    <w:rsid w:val="00B83B78"/>
    <w:rsid w:val="00B83B8F"/>
    <w:rsid w:val="00B84049"/>
    <w:rsid w:val="00B840BA"/>
    <w:rsid w:val="00B84117"/>
    <w:rsid w:val="00B84124"/>
    <w:rsid w:val="00B8417F"/>
    <w:rsid w:val="00B846BE"/>
    <w:rsid w:val="00B84728"/>
    <w:rsid w:val="00B84999"/>
    <w:rsid w:val="00B849C8"/>
    <w:rsid w:val="00B84B3E"/>
    <w:rsid w:val="00B84CA0"/>
    <w:rsid w:val="00B84ED3"/>
    <w:rsid w:val="00B85019"/>
    <w:rsid w:val="00B851FC"/>
    <w:rsid w:val="00B85367"/>
    <w:rsid w:val="00B858F0"/>
    <w:rsid w:val="00B85AA2"/>
    <w:rsid w:val="00B85C52"/>
    <w:rsid w:val="00B85CC5"/>
    <w:rsid w:val="00B85D71"/>
    <w:rsid w:val="00B85D95"/>
    <w:rsid w:val="00B85FD9"/>
    <w:rsid w:val="00B8604C"/>
    <w:rsid w:val="00B861FE"/>
    <w:rsid w:val="00B8623F"/>
    <w:rsid w:val="00B8649C"/>
    <w:rsid w:val="00B8654B"/>
    <w:rsid w:val="00B86672"/>
    <w:rsid w:val="00B8668C"/>
    <w:rsid w:val="00B866B6"/>
    <w:rsid w:val="00B8670E"/>
    <w:rsid w:val="00B867E1"/>
    <w:rsid w:val="00B8682D"/>
    <w:rsid w:val="00B8682F"/>
    <w:rsid w:val="00B868DC"/>
    <w:rsid w:val="00B8695D"/>
    <w:rsid w:val="00B86C4D"/>
    <w:rsid w:val="00B86D60"/>
    <w:rsid w:val="00B86DBC"/>
    <w:rsid w:val="00B870E8"/>
    <w:rsid w:val="00B873EF"/>
    <w:rsid w:val="00B8741F"/>
    <w:rsid w:val="00B87433"/>
    <w:rsid w:val="00B87585"/>
    <w:rsid w:val="00B875B3"/>
    <w:rsid w:val="00B87ACE"/>
    <w:rsid w:val="00B87BF2"/>
    <w:rsid w:val="00B87E64"/>
    <w:rsid w:val="00B87EB1"/>
    <w:rsid w:val="00B87EC0"/>
    <w:rsid w:val="00B87F0A"/>
    <w:rsid w:val="00B9014C"/>
    <w:rsid w:val="00B901A5"/>
    <w:rsid w:val="00B90242"/>
    <w:rsid w:val="00B90328"/>
    <w:rsid w:val="00B90403"/>
    <w:rsid w:val="00B9070E"/>
    <w:rsid w:val="00B90A39"/>
    <w:rsid w:val="00B90B07"/>
    <w:rsid w:val="00B90E18"/>
    <w:rsid w:val="00B90FEE"/>
    <w:rsid w:val="00B910BF"/>
    <w:rsid w:val="00B910E6"/>
    <w:rsid w:val="00B91310"/>
    <w:rsid w:val="00B91369"/>
    <w:rsid w:val="00B914DA"/>
    <w:rsid w:val="00B91792"/>
    <w:rsid w:val="00B91805"/>
    <w:rsid w:val="00B9183E"/>
    <w:rsid w:val="00B918CE"/>
    <w:rsid w:val="00B91A53"/>
    <w:rsid w:val="00B91B7B"/>
    <w:rsid w:val="00B91BBE"/>
    <w:rsid w:val="00B91C85"/>
    <w:rsid w:val="00B91E0A"/>
    <w:rsid w:val="00B91ED9"/>
    <w:rsid w:val="00B9212C"/>
    <w:rsid w:val="00B92299"/>
    <w:rsid w:val="00B92393"/>
    <w:rsid w:val="00B924E6"/>
    <w:rsid w:val="00B92773"/>
    <w:rsid w:val="00B927F7"/>
    <w:rsid w:val="00B9286F"/>
    <w:rsid w:val="00B92982"/>
    <w:rsid w:val="00B929D8"/>
    <w:rsid w:val="00B92A34"/>
    <w:rsid w:val="00B92CDD"/>
    <w:rsid w:val="00B92D0B"/>
    <w:rsid w:val="00B92DB1"/>
    <w:rsid w:val="00B92EC1"/>
    <w:rsid w:val="00B9328F"/>
    <w:rsid w:val="00B9329F"/>
    <w:rsid w:val="00B93536"/>
    <w:rsid w:val="00B9363E"/>
    <w:rsid w:val="00B9376B"/>
    <w:rsid w:val="00B937F2"/>
    <w:rsid w:val="00B9382F"/>
    <w:rsid w:val="00B93A25"/>
    <w:rsid w:val="00B93C83"/>
    <w:rsid w:val="00B93F39"/>
    <w:rsid w:val="00B93FBD"/>
    <w:rsid w:val="00B941B0"/>
    <w:rsid w:val="00B9452C"/>
    <w:rsid w:val="00B9464C"/>
    <w:rsid w:val="00B94719"/>
    <w:rsid w:val="00B947E7"/>
    <w:rsid w:val="00B94945"/>
    <w:rsid w:val="00B949F6"/>
    <w:rsid w:val="00B94AAC"/>
    <w:rsid w:val="00B94B6F"/>
    <w:rsid w:val="00B94BF3"/>
    <w:rsid w:val="00B94DD6"/>
    <w:rsid w:val="00B94E28"/>
    <w:rsid w:val="00B9508A"/>
    <w:rsid w:val="00B95197"/>
    <w:rsid w:val="00B9528C"/>
    <w:rsid w:val="00B95319"/>
    <w:rsid w:val="00B95424"/>
    <w:rsid w:val="00B95612"/>
    <w:rsid w:val="00B95935"/>
    <w:rsid w:val="00B959CC"/>
    <w:rsid w:val="00B95BF6"/>
    <w:rsid w:val="00B95C9E"/>
    <w:rsid w:val="00B95D02"/>
    <w:rsid w:val="00B95D58"/>
    <w:rsid w:val="00B95DA1"/>
    <w:rsid w:val="00B96283"/>
    <w:rsid w:val="00B9676C"/>
    <w:rsid w:val="00B96884"/>
    <w:rsid w:val="00B96898"/>
    <w:rsid w:val="00B9693B"/>
    <w:rsid w:val="00B96990"/>
    <w:rsid w:val="00B96AA0"/>
    <w:rsid w:val="00B96B9D"/>
    <w:rsid w:val="00B96E08"/>
    <w:rsid w:val="00B96EDD"/>
    <w:rsid w:val="00B96F15"/>
    <w:rsid w:val="00B97041"/>
    <w:rsid w:val="00B97079"/>
    <w:rsid w:val="00B97139"/>
    <w:rsid w:val="00B9723E"/>
    <w:rsid w:val="00B9738C"/>
    <w:rsid w:val="00B97449"/>
    <w:rsid w:val="00B9748C"/>
    <w:rsid w:val="00B9762C"/>
    <w:rsid w:val="00B97896"/>
    <w:rsid w:val="00B979B2"/>
    <w:rsid w:val="00B97B6A"/>
    <w:rsid w:val="00B97CA3"/>
    <w:rsid w:val="00B97DEE"/>
    <w:rsid w:val="00BA0021"/>
    <w:rsid w:val="00BA0318"/>
    <w:rsid w:val="00BA0984"/>
    <w:rsid w:val="00BA0A59"/>
    <w:rsid w:val="00BA0F11"/>
    <w:rsid w:val="00BA0F2B"/>
    <w:rsid w:val="00BA10C7"/>
    <w:rsid w:val="00BA11D1"/>
    <w:rsid w:val="00BA16AC"/>
    <w:rsid w:val="00BA1A93"/>
    <w:rsid w:val="00BA1D00"/>
    <w:rsid w:val="00BA1D31"/>
    <w:rsid w:val="00BA1DD2"/>
    <w:rsid w:val="00BA1E72"/>
    <w:rsid w:val="00BA1F90"/>
    <w:rsid w:val="00BA1FB8"/>
    <w:rsid w:val="00BA2007"/>
    <w:rsid w:val="00BA2067"/>
    <w:rsid w:val="00BA21B2"/>
    <w:rsid w:val="00BA23DC"/>
    <w:rsid w:val="00BA2554"/>
    <w:rsid w:val="00BA259D"/>
    <w:rsid w:val="00BA263C"/>
    <w:rsid w:val="00BA269D"/>
    <w:rsid w:val="00BA27E7"/>
    <w:rsid w:val="00BA295C"/>
    <w:rsid w:val="00BA29D1"/>
    <w:rsid w:val="00BA2B7F"/>
    <w:rsid w:val="00BA2DDD"/>
    <w:rsid w:val="00BA2E46"/>
    <w:rsid w:val="00BA2E5C"/>
    <w:rsid w:val="00BA2E99"/>
    <w:rsid w:val="00BA2EF2"/>
    <w:rsid w:val="00BA2F11"/>
    <w:rsid w:val="00BA322D"/>
    <w:rsid w:val="00BA33EB"/>
    <w:rsid w:val="00BA346D"/>
    <w:rsid w:val="00BA34C6"/>
    <w:rsid w:val="00BA360D"/>
    <w:rsid w:val="00BA376D"/>
    <w:rsid w:val="00BA3794"/>
    <w:rsid w:val="00BA3A74"/>
    <w:rsid w:val="00BA3F2E"/>
    <w:rsid w:val="00BA4024"/>
    <w:rsid w:val="00BA40B3"/>
    <w:rsid w:val="00BA4134"/>
    <w:rsid w:val="00BA4273"/>
    <w:rsid w:val="00BA4335"/>
    <w:rsid w:val="00BA46EA"/>
    <w:rsid w:val="00BA474C"/>
    <w:rsid w:val="00BA4811"/>
    <w:rsid w:val="00BA4E41"/>
    <w:rsid w:val="00BA4EC9"/>
    <w:rsid w:val="00BA512C"/>
    <w:rsid w:val="00BA5162"/>
    <w:rsid w:val="00BA5229"/>
    <w:rsid w:val="00BA5496"/>
    <w:rsid w:val="00BA55CE"/>
    <w:rsid w:val="00BA56A0"/>
    <w:rsid w:val="00BA5712"/>
    <w:rsid w:val="00BA584B"/>
    <w:rsid w:val="00BA58E5"/>
    <w:rsid w:val="00BA58F1"/>
    <w:rsid w:val="00BA5A53"/>
    <w:rsid w:val="00BA5B76"/>
    <w:rsid w:val="00BA5C28"/>
    <w:rsid w:val="00BA5C45"/>
    <w:rsid w:val="00BA5DAD"/>
    <w:rsid w:val="00BA5E5F"/>
    <w:rsid w:val="00BA5F1C"/>
    <w:rsid w:val="00BA5F52"/>
    <w:rsid w:val="00BA5F9A"/>
    <w:rsid w:val="00BA61AC"/>
    <w:rsid w:val="00BA63FA"/>
    <w:rsid w:val="00BA64E9"/>
    <w:rsid w:val="00BA64F1"/>
    <w:rsid w:val="00BA6807"/>
    <w:rsid w:val="00BA6AC8"/>
    <w:rsid w:val="00BA6D3C"/>
    <w:rsid w:val="00BA6E45"/>
    <w:rsid w:val="00BA6FAB"/>
    <w:rsid w:val="00BA70D4"/>
    <w:rsid w:val="00BA70F1"/>
    <w:rsid w:val="00BA71C2"/>
    <w:rsid w:val="00BA7333"/>
    <w:rsid w:val="00BA73F2"/>
    <w:rsid w:val="00BA7423"/>
    <w:rsid w:val="00BA7675"/>
    <w:rsid w:val="00BA7737"/>
    <w:rsid w:val="00BA77CA"/>
    <w:rsid w:val="00BA787E"/>
    <w:rsid w:val="00BA78B0"/>
    <w:rsid w:val="00BA793F"/>
    <w:rsid w:val="00BA7A54"/>
    <w:rsid w:val="00BA7BD2"/>
    <w:rsid w:val="00BA7C07"/>
    <w:rsid w:val="00BA7D0D"/>
    <w:rsid w:val="00BA7E50"/>
    <w:rsid w:val="00BA7F07"/>
    <w:rsid w:val="00BB00B3"/>
    <w:rsid w:val="00BB011E"/>
    <w:rsid w:val="00BB01C3"/>
    <w:rsid w:val="00BB01F5"/>
    <w:rsid w:val="00BB01F6"/>
    <w:rsid w:val="00BB020D"/>
    <w:rsid w:val="00BB02BC"/>
    <w:rsid w:val="00BB02F6"/>
    <w:rsid w:val="00BB036E"/>
    <w:rsid w:val="00BB04F6"/>
    <w:rsid w:val="00BB082E"/>
    <w:rsid w:val="00BB0832"/>
    <w:rsid w:val="00BB08D0"/>
    <w:rsid w:val="00BB0903"/>
    <w:rsid w:val="00BB09CC"/>
    <w:rsid w:val="00BB0B9F"/>
    <w:rsid w:val="00BB0BDD"/>
    <w:rsid w:val="00BB0D74"/>
    <w:rsid w:val="00BB0D85"/>
    <w:rsid w:val="00BB129C"/>
    <w:rsid w:val="00BB13A4"/>
    <w:rsid w:val="00BB13E2"/>
    <w:rsid w:val="00BB142E"/>
    <w:rsid w:val="00BB1574"/>
    <w:rsid w:val="00BB16BC"/>
    <w:rsid w:val="00BB176C"/>
    <w:rsid w:val="00BB1AF4"/>
    <w:rsid w:val="00BB1B2E"/>
    <w:rsid w:val="00BB1D7C"/>
    <w:rsid w:val="00BB1E67"/>
    <w:rsid w:val="00BB1F71"/>
    <w:rsid w:val="00BB2138"/>
    <w:rsid w:val="00BB2141"/>
    <w:rsid w:val="00BB22E4"/>
    <w:rsid w:val="00BB2349"/>
    <w:rsid w:val="00BB23D2"/>
    <w:rsid w:val="00BB2407"/>
    <w:rsid w:val="00BB2707"/>
    <w:rsid w:val="00BB2A73"/>
    <w:rsid w:val="00BB2D3E"/>
    <w:rsid w:val="00BB2DE7"/>
    <w:rsid w:val="00BB2E04"/>
    <w:rsid w:val="00BB300C"/>
    <w:rsid w:val="00BB3125"/>
    <w:rsid w:val="00BB3334"/>
    <w:rsid w:val="00BB3489"/>
    <w:rsid w:val="00BB35A1"/>
    <w:rsid w:val="00BB35AC"/>
    <w:rsid w:val="00BB36E5"/>
    <w:rsid w:val="00BB3743"/>
    <w:rsid w:val="00BB3770"/>
    <w:rsid w:val="00BB3A45"/>
    <w:rsid w:val="00BB3B77"/>
    <w:rsid w:val="00BB3D05"/>
    <w:rsid w:val="00BB3FCE"/>
    <w:rsid w:val="00BB401F"/>
    <w:rsid w:val="00BB4063"/>
    <w:rsid w:val="00BB4362"/>
    <w:rsid w:val="00BB44F5"/>
    <w:rsid w:val="00BB45A7"/>
    <w:rsid w:val="00BB4751"/>
    <w:rsid w:val="00BB4849"/>
    <w:rsid w:val="00BB498D"/>
    <w:rsid w:val="00BB49BB"/>
    <w:rsid w:val="00BB4ACC"/>
    <w:rsid w:val="00BB4B3A"/>
    <w:rsid w:val="00BB4B49"/>
    <w:rsid w:val="00BB4BE1"/>
    <w:rsid w:val="00BB4E31"/>
    <w:rsid w:val="00BB4E8A"/>
    <w:rsid w:val="00BB4EDA"/>
    <w:rsid w:val="00BB5435"/>
    <w:rsid w:val="00BB5726"/>
    <w:rsid w:val="00BB5864"/>
    <w:rsid w:val="00BB588E"/>
    <w:rsid w:val="00BB593E"/>
    <w:rsid w:val="00BB595C"/>
    <w:rsid w:val="00BB599C"/>
    <w:rsid w:val="00BB5B24"/>
    <w:rsid w:val="00BB5D05"/>
    <w:rsid w:val="00BB5D0C"/>
    <w:rsid w:val="00BB5D3E"/>
    <w:rsid w:val="00BB5DD2"/>
    <w:rsid w:val="00BB5DF3"/>
    <w:rsid w:val="00BB5E1D"/>
    <w:rsid w:val="00BB5F80"/>
    <w:rsid w:val="00BB5FEE"/>
    <w:rsid w:val="00BB60D2"/>
    <w:rsid w:val="00BB617B"/>
    <w:rsid w:val="00BB6188"/>
    <w:rsid w:val="00BB6192"/>
    <w:rsid w:val="00BB61B6"/>
    <w:rsid w:val="00BB61C3"/>
    <w:rsid w:val="00BB61C7"/>
    <w:rsid w:val="00BB6474"/>
    <w:rsid w:val="00BB650E"/>
    <w:rsid w:val="00BB6585"/>
    <w:rsid w:val="00BB65B1"/>
    <w:rsid w:val="00BB66AF"/>
    <w:rsid w:val="00BB679D"/>
    <w:rsid w:val="00BB67A8"/>
    <w:rsid w:val="00BB6964"/>
    <w:rsid w:val="00BB6A47"/>
    <w:rsid w:val="00BB6DE5"/>
    <w:rsid w:val="00BB6EE5"/>
    <w:rsid w:val="00BB6F47"/>
    <w:rsid w:val="00BB6F85"/>
    <w:rsid w:val="00BB6FD1"/>
    <w:rsid w:val="00BB700E"/>
    <w:rsid w:val="00BB703E"/>
    <w:rsid w:val="00BB71E5"/>
    <w:rsid w:val="00BB732D"/>
    <w:rsid w:val="00BB7359"/>
    <w:rsid w:val="00BB73FA"/>
    <w:rsid w:val="00BB7405"/>
    <w:rsid w:val="00BB776C"/>
    <w:rsid w:val="00BB779F"/>
    <w:rsid w:val="00BB7810"/>
    <w:rsid w:val="00BB7875"/>
    <w:rsid w:val="00BB791A"/>
    <w:rsid w:val="00BB79E6"/>
    <w:rsid w:val="00BB7CF0"/>
    <w:rsid w:val="00BB7CFE"/>
    <w:rsid w:val="00BB7F22"/>
    <w:rsid w:val="00BC039F"/>
    <w:rsid w:val="00BC0411"/>
    <w:rsid w:val="00BC044F"/>
    <w:rsid w:val="00BC0482"/>
    <w:rsid w:val="00BC0490"/>
    <w:rsid w:val="00BC05EC"/>
    <w:rsid w:val="00BC05F3"/>
    <w:rsid w:val="00BC096C"/>
    <w:rsid w:val="00BC0B69"/>
    <w:rsid w:val="00BC0CF1"/>
    <w:rsid w:val="00BC0E56"/>
    <w:rsid w:val="00BC0F67"/>
    <w:rsid w:val="00BC0F9C"/>
    <w:rsid w:val="00BC1138"/>
    <w:rsid w:val="00BC118F"/>
    <w:rsid w:val="00BC13B3"/>
    <w:rsid w:val="00BC1454"/>
    <w:rsid w:val="00BC16AF"/>
    <w:rsid w:val="00BC197C"/>
    <w:rsid w:val="00BC1A90"/>
    <w:rsid w:val="00BC1C14"/>
    <w:rsid w:val="00BC1C31"/>
    <w:rsid w:val="00BC1C88"/>
    <w:rsid w:val="00BC1CA7"/>
    <w:rsid w:val="00BC1CBE"/>
    <w:rsid w:val="00BC1D70"/>
    <w:rsid w:val="00BC1DAA"/>
    <w:rsid w:val="00BC2172"/>
    <w:rsid w:val="00BC2294"/>
    <w:rsid w:val="00BC25BE"/>
    <w:rsid w:val="00BC2712"/>
    <w:rsid w:val="00BC2B68"/>
    <w:rsid w:val="00BC2D1A"/>
    <w:rsid w:val="00BC31B7"/>
    <w:rsid w:val="00BC3292"/>
    <w:rsid w:val="00BC3356"/>
    <w:rsid w:val="00BC339F"/>
    <w:rsid w:val="00BC3615"/>
    <w:rsid w:val="00BC3631"/>
    <w:rsid w:val="00BC382E"/>
    <w:rsid w:val="00BC392C"/>
    <w:rsid w:val="00BC3B40"/>
    <w:rsid w:val="00BC3B56"/>
    <w:rsid w:val="00BC3F09"/>
    <w:rsid w:val="00BC40D5"/>
    <w:rsid w:val="00BC4339"/>
    <w:rsid w:val="00BC43A1"/>
    <w:rsid w:val="00BC44CA"/>
    <w:rsid w:val="00BC4500"/>
    <w:rsid w:val="00BC4843"/>
    <w:rsid w:val="00BC4946"/>
    <w:rsid w:val="00BC49BD"/>
    <w:rsid w:val="00BC4A99"/>
    <w:rsid w:val="00BC5208"/>
    <w:rsid w:val="00BC533D"/>
    <w:rsid w:val="00BC54ED"/>
    <w:rsid w:val="00BC552F"/>
    <w:rsid w:val="00BC55ED"/>
    <w:rsid w:val="00BC5659"/>
    <w:rsid w:val="00BC587A"/>
    <w:rsid w:val="00BC5883"/>
    <w:rsid w:val="00BC5891"/>
    <w:rsid w:val="00BC591F"/>
    <w:rsid w:val="00BC5969"/>
    <w:rsid w:val="00BC5AA9"/>
    <w:rsid w:val="00BC5ABB"/>
    <w:rsid w:val="00BC5BFB"/>
    <w:rsid w:val="00BC5C04"/>
    <w:rsid w:val="00BC5FB6"/>
    <w:rsid w:val="00BC60B3"/>
    <w:rsid w:val="00BC6418"/>
    <w:rsid w:val="00BC6581"/>
    <w:rsid w:val="00BC65A7"/>
    <w:rsid w:val="00BC66F0"/>
    <w:rsid w:val="00BC673C"/>
    <w:rsid w:val="00BC6840"/>
    <w:rsid w:val="00BC68A8"/>
    <w:rsid w:val="00BC6A0D"/>
    <w:rsid w:val="00BC6A7C"/>
    <w:rsid w:val="00BC6B35"/>
    <w:rsid w:val="00BC6BBA"/>
    <w:rsid w:val="00BC6C1C"/>
    <w:rsid w:val="00BC6CB0"/>
    <w:rsid w:val="00BC6D8A"/>
    <w:rsid w:val="00BC6E5F"/>
    <w:rsid w:val="00BC75C3"/>
    <w:rsid w:val="00BC765C"/>
    <w:rsid w:val="00BC76B8"/>
    <w:rsid w:val="00BC772F"/>
    <w:rsid w:val="00BC7B9C"/>
    <w:rsid w:val="00BC7D6D"/>
    <w:rsid w:val="00BD0111"/>
    <w:rsid w:val="00BD0241"/>
    <w:rsid w:val="00BD03EE"/>
    <w:rsid w:val="00BD04D5"/>
    <w:rsid w:val="00BD057C"/>
    <w:rsid w:val="00BD05CA"/>
    <w:rsid w:val="00BD080E"/>
    <w:rsid w:val="00BD0897"/>
    <w:rsid w:val="00BD09C2"/>
    <w:rsid w:val="00BD0E6A"/>
    <w:rsid w:val="00BD1326"/>
    <w:rsid w:val="00BD13B2"/>
    <w:rsid w:val="00BD14CA"/>
    <w:rsid w:val="00BD1626"/>
    <w:rsid w:val="00BD1640"/>
    <w:rsid w:val="00BD1A6C"/>
    <w:rsid w:val="00BD1A8F"/>
    <w:rsid w:val="00BD1BEF"/>
    <w:rsid w:val="00BD1FB0"/>
    <w:rsid w:val="00BD1FDE"/>
    <w:rsid w:val="00BD20A4"/>
    <w:rsid w:val="00BD2108"/>
    <w:rsid w:val="00BD2126"/>
    <w:rsid w:val="00BD213C"/>
    <w:rsid w:val="00BD22D4"/>
    <w:rsid w:val="00BD25C4"/>
    <w:rsid w:val="00BD26C6"/>
    <w:rsid w:val="00BD292F"/>
    <w:rsid w:val="00BD299E"/>
    <w:rsid w:val="00BD2A7C"/>
    <w:rsid w:val="00BD2AFA"/>
    <w:rsid w:val="00BD2C8E"/>
    <w:rsid w:val="00BD2DF9"/>
    <w:rsid w:val="00BD2F74"/>
    <w:rsid w:val="00BD33E3"/>
    <w:rsid w:val="00BD3496"/>
    <w:rsid w:val="00BD359A"/>
    <w:rsid w:val="00BD3731"/>
    <w:rsid w:val="00BD38F0"/>
    <w:rsid w:val="00BD39FA"/>
    <w:rsid w:val="00BD3B87"/>
    <w:rsid w:val="00BD3D9F"/>
    <w:rsid w:val="00BD3F91"/>
    <w:rsid w:val="00BD4389"/>
    <w:rsid w:val="00BD449A"/>
    <w:rsid w:val="00BD462E"/>
    <w:rsid w:val="00BD4975"/>
    <w:rsid w:val="00BD49FA"/>
    <w:rsid w:val="00BD4AED"/>
    <w:rsid w:val="00BD4B45"/>
    <w:rsid w:val="00BD4B7A"/>
    <w:rsid w:val="00BD4C18"/>
    <w:rsid w:val="00BD4E77"/>
    <w:rsid w:val="00BD4FB6"/>
    <w:rsid w:val="00BD51B1"/>
    <w:rsid w:val="00BD5264"/>
    <w:rsid w:val="00BD53B8"/>
    <w:rsid w:val="00BD547D"/>
    <w:rsid w:val="00BD5652"/>
    <w:rsid w:val="00BD5734"/>
    <w:rsid w:val="00BD57EF"/>
    <w:rsid w:val="00BD5976"/>
    <w:rsid w:val="00BD5AC5"/>
    <w:rsid w:val="00BD5B24"/>
    <w:rsid w:val="00BD5F4F"/>
    <w:rsid w:val="00BD6160"/>
    <w:rsid w:val="00BD61F1"/>
    <w:rsid w:val="00BD64D4"/>
    <w:rsid w:val="00BD667F"/>
    <w:rsid w:val="00BD6711"/>
    <w:rsid w:val="00BD6738"/>
    <w:rsid w:val="00BD6784"/>
    <w:rsid w:val="00BD685F"/>
    <w:rsid w:val="00BD6875"/>
    <w:rsid w:val="00BD68A3"/>
    <w:rsid w:val="00BD6938"/>
    <w:rsid w:val="00BD6A52"/>
    <w:rsid w:val="00BD6CB8"/>
    <w:rsid w:val="00BD6CF3"/>
    <w:rsid w:val="00BD70DC"/>
    <w:rsid w:val="00BD72B8"/>
    <w:rsid w:val="00BD72D7"/>
    <w:rsid w:val="00BD7324"/>
    <w:rsid w:val="00BD73FB"/>
    <w:rsid w:val="00BD7460"/>
    <w:rsid w:val="00BD761B"/>
    <w:rsid w:val="00BD78D3"/>
    <w:rsid w:val="00BD79C4"/>
    <w:rsid w:val="00BD7AF3"/>
    <w:rsid w:val="00BD7B84"/>
    <w:rsid w:val="00BD7C7D"/>
    <w:rsid w:val="00BD7E3E"/>
    <w:rsid w:val="00BD7E5C"/>
    <w:rsid w:val="00BD7F72"/>
    <w:rsid w:val="00BE01F8"/>
    <w:rsid w:val="00BE02EF"/>
    <w:rsid w:val="00BE0345"/>
    <w:rsid w:val="00BE0848"/>
    <w:rsid w:val="00BE08EE"/>
    <w:rsid w:val="00BE0958"/>
    <w:rsid w:val="00BE0B09"/>
    <w:rsid w:val="00BE0BA3"/>
    <w:rsid w:val="00BE0BD9"/>
    <w:rsid w:val="00BE0BF7"/>
    <w:rsid w:val="00BE0C30"/>
    <w:rsid w:val="00BE0C4B"/>
    <w:rsid w:val="00BE0E17"/>
    <w:rsid w:val="00BE0ECA"/>
    <w:rsid w:val="00BE1287"/>
    <w:rsid w:val="00BE12DF"/>
    <w:rsid w:val="00BE13B8"/>
    <w:rsid w:val="00BE13C3"/>
    <w:rsid w:val="00BE1437"/>
    <w:rsid w:val="00BE14B5"/>
    <w:rsid w:val="00BE1665"/>
    <w:rsid w:val="00BE1736"/>
    <w:rsid w:val="00BE183C"/>
    <w:rsid w:val="00BE18DC"/>
    <w:rsid w:val="00BE1972"/>
    <w:rsid w:val="00BE1A79"/>
    <w:rsid w:val="00BE1CF2"/>
    <w:rsid w:val="00BE1CF4"/>
    <w:rsid w:val="00BE1EA4"/>
    <w:rsid w:val="00BE1EF4"/>
    <w:rsid w:val="00BE20C3"/>
    <w:rsid w:val="00BE2180"/>
    <w:rsid w:val="00BE21F2"/>
    <w:rsid w:val="00BE2240"/>
    <w:rsid w:val="00BE234E"/>
    <w:rsid w:val="00BE2512"/>
    <w:rsid w:val="00BE267E"/>
    <w:rsid w:val="00BE26CD"/>
    <w:rsid w:val="00BE2725"/>
    <w:rsid w:val="00BE2925"/>
    <w:rsid w:val="00BE2AF1"/>
    <w:rsid w:val="00BE2BEA"/>
    <w:rsid w:val="00BE2C28"/>
    <w:rsid w:val="00BE2CE0"/>
    <w:rsid w:val="00BE2E7C"/>
    <w:rsid w:val="00BE2F69"/>
    <w:rsid w:val="00BE3026"/>
    <w:rsid w:val="00BE3329"/>
    <w:rsid w:val="00BE3450"/>
    <w:rsid w:val="00BE347E"/>
    <w:rsid w:val="00BE362E"/>
    <w:rsid w:val="00BE3751"/>
    <w:rsid w:val="00BE3825"/>
    <w:rsid w:val="00BE3841"/>
    <w:rsid w:val="00BE399B"/>
    <w:rsid w:val="00BE3A1F"/>
    <w:rsid w:val="00BE3C82"/>
    <w:rsid w:val="00BE3CA0"/>
    <w:rsid w:val="00BE3F74"/>
    <w:rsid w:val="00BE423E"/>
    <w:rsid w:val="00BE4275"/>
    <w:rsid w:val="00BE449D"/>
    <w:rsid w:val="00BE44EC"/>
    <w:rsid w:val="00BE4521"/>
    <w:rsid w:val="00BE453E"/>
    <w:rsid w:val="00BE454A"/>
    <w:rsid w:val="00BE4988"/>
    <w:rsid w:val="00BE4A06"/>
    <w:rsid w:val="00BE4D51"/>
    <w:rsid w:val="00BE4EDE"/>
    <w:rsid w:val="00BE4F5E"/>
    <w:rsid w:val="00BE5167"/>
    <w:rsid w:val="00BE52A3"/>
    <w:rsid w:val="00BE5683"/>
    <w:rsid w:val="00BE57A1"/>
    <w:rsid w:val="00BE5BD7"/>
    <w:rsid w:val="00BE5BE0"/>
    <w:rsid w:val="00BE5C04"/>
    <w:rsid w:val="00BE5E8E"/>
    <w:rsid w:val="00BE5F67"/>
    <w:rsid w:val="00BE5FE4"/>
    <w:rsid w:val="00BE616D"/>
    <w:rsid w:val="00BE61E4"/>
    <w:rsid w:val="00BE63A9"/>
    <w:rsid w:val="00BE6749"/>
    <w:rsid w:val="00BE677F"/>
    <w:rsid w:val="00BE6BC1"/>
    <w:rsid w:val="00BE70F9"/>
    <w:rsid w:val="00BE7377"/>
    <w:rsid w:val="00BE76BA"/>
    <w:rsid w:val="00BE78F7"/>
    <w:rsid w:val="00BE79AD"/>
    <w:rsid w:val="00BE7AD9"/>
    <w:rsid w:val="00BE7AE9"/>
    <w:rsid w:val="00BF0108"/>
    <w:rsid w:val="00BF0209"/>
    <w:rsid w:val="00BF0267"/>
    <w:rsid w:val="00BF02FF"/>
    <w:rsid w:val="00BF05BB"/>
    <w:rsid w:val="00BF05CA"/>
    <w:rsid w:val="00BF0661"/>
    <w:rsid w:val="00BF06AE"/>
    <w:rsid w:val="00BF0965"/>
    <w:rsid w:val="00BF0B4E"/>
    <w:rsid w:val="00BF0BF7"/>
    <w:rsid w:val="00BF0F95"/>
    <w:rsid w:val="00BF0FD6"/>
    <w:rsid w:val="00BF1062"/>
    <w:rsid w:val="00BF10C4"/>
    <w:rsid w:val="00BF11DD"/>
    <w:rsid w:val="00BF12EE"/>
    <w:rsid w:val="00BF1316"/>
    <w:rsid w:val="00BF146B"/>
    <w:rsid w:val="00BF1498"/>
    <w:rsid w:val="00BF1568"/>
    <w:rsid w:val="00BF15D3"/>
    <w:rsid w:val="00BF174A"/>
    <w:rsid w:val="00BF18A8"/>
    <w:rsid w:val="00BF1AE2"/>
    <w:rsid w:val="00BF1C6D"/>
    <w:rsid w:val="00BF1C8C"/>
    <w:rsid w:val="00BF1DBC"/>
    <w:rsid w:val="00BF1E22"/>
    <w:rsid w:val="00BF1F70"/>
    <w:rsid w:val="00BF1FB3"/>
    <w:rsid w:val="00BF21A0"/>
    <w:rsid w:val="00BF2263"/>
    <w:rsid w:val="00BF2433"/>
    <w:rsid w:val="00BF247E"/>
    <w:rsid w:val="00BF2691"/>
    <w:rsid w:val="00BF278B"/>
    <w:rsid w:val="00BF2D03"/>
    <w:rsid w:val="00BF2D1E"/>
    <w:rsid w:val="00BF2E48"/>
    <w:rsid w:val="00BF2E6E"/>
    <w:rsid w:val="00BF2E79"/>
    <w:rsid w:val="00BF2F18"/>
    <w:rsid w:val="00BF2FCE"/>
    <w:rsid w:val="00BF31C4"/>
    <w:rsid w:val="00BF31E6"/>
    <w:rsid w:val="00BF3682"/>
    <w:rsid w:val="00BF36EA"/>
    <w:rsid w:val="00BF373A"/>
    <w:rsid w:val="00BF3752"/>
    <w:rsid w:val="00BF3F6F"/>
    <w:rsid w:val="00BF3F98"/>
    <w:rsid w:val="00BF4266"/>
    <w:rsid w:val="00BF428D"/>
    <w:rsid w:val="00BF44BC"/>
    <w:rsid w:val="00BF44FE"/>
    <w:rsid w:val="00BF45FB"/>
    <w:rsid w:val="00BF4757"/>
    <w:rsid w:val="00BF4804"/>
    <w:rsid w:val="00BF48A4"/>
    <w:rsid w:val="00BF493C"/>
    <w:rsid w:val="00BF4AAA"/>
    <w:rsid w:val="00BF4B30"/>
    <w:rsid w:val="00BF4B84"/>
    <w:rsid w:val="00BF4C0C"/>
    <w:rsid w:val="00BF4C8E"/>
    <w:rsid w:val="00BF4D23"/>
    <w:rsid w:val="00BF4E8F"/>
    <w:rsid w:val="00BF5228"/>
    <w:rsid w:val="00BF553D"/>
    <w:rsid w:val="00BF555A"/>
    <w:rsid w:val="00BF5597"/>
    <w:rsid w:val="00BF5930"/>
    <w:rsid w:val="00BF5BAF"/>
    <w:rsid w:val="00BF5C2C"/>
    <w:rsid w:val="00BF5C33"/>
    <w:rsid w:val="00BF5C8B"/>
    <w:rsid w:val="00BF5D66"/>
    <w:rsid w:val="00BF6155"/>
    <w:rsid w:val="00BF6186"/>
    <w:rsid w:val="00BF61C9"/>
    <w:rsid w:val="00BF62E6"/>
    <w:rsid w:val="00BF6306"/>
    <w:rsid w:val="00BF670D"/>
    <w:rsid w:val="00BF67D9"/>
    <w:rsid w:val="00BF6819"/>
    <w:rsid w:val="00BF6908"/>
    <w:rsid w:val="00BF6970"/>
    <w:rsid w:val="00BF6BF0"/>
    <w:rsid w:val="00BF6C94"/>
    <w:rsid w:val="00BF6CB7"/>
    <w:rsid w:val="00BF6D90"/>
    <w:rsid w:val="00BF708B"/>
    <w:rsid w:val="00BF70D7"/>
    <w:rsid w:val="00BF7103"/>
    <w:rsid w:val="00BF7376"/>
    <w:rsid w:val="00BF7644"/>
    <w:rsid w:val="00BF76FC"/>
    <w:rsid w:val="00BF77EF"/>
    <w:rsid w:val="00BF77FA"/>
    <w:rsid w:val="00BF78BC"/>
    <w:rsid w:val="00BF7951"/>
    <w:rsid w:val="00BF7BF0"/>
    <w:rsid w:val="00BF7D5A"/>
    <w:rsid w:val="00BF7E44"/>
    <w:rsid w:val="00C0031F"/>
    <w:rsid w:val="00C00424"/>
    <w:rsid w:val="00C00754"/>
    <w:rsid w:val="00C007ED"/>
    <w:rsid w:val="00C0082C"/>
    <w:rsid w:val="00C00879"/>
    <w:rsid w:val="00C00985"/>
    <w:rsid w:val="00C009B1"/>
    <w:rsid w:val="00C00BB0"/>
    <w:rsid w:val="00C010CF"/>
    <w:rsid w:val="00C0119D"/>
    <w:rsid w:val="00C0131D"/>
    <w:rsid w:val="00C01338"/>
    <w:rsid w:val="00C013FE"/>
    <w:rsid w:val="00C015DE"/>
    <w:rsid w:val="00C015E7"/>
    <w:rsid w:val="00C01942"/>
    <w:rsid w:val="00C01E5F"/>
    <w:rsid w:val="00C02315"/>
    <w:rsid w:val="00C025EA"/>
    <w:rsid w:val="00C02697"/>
    <w:rsid w:val="00C026EE"/>
    <w:rsid w:val="00C02767"/>
    <w:rsid w:val="00C02872"/>
    <w:rsid w:val="00C02A24"/>
    <w:rsid w:val="00C02A78"/>
    <w:rsid w:val="00C02B03"/>
    <w:rsid w:val="00C02B10"/>
    <w:rsid w:val="00C02C28"/>
    <w:rsid w:val="00C02F93"/>
    <w:rsid w:val="00C033E8"/>
    <w:rsid w:val="00C034DA"/>
    <w:rsid w:val="00C03555"/>
    <w:rsid w:val="00C037FB"/>
    <w:rsid w:val="00C03892"/>
    <w:rsid w:val="00C03AC6"/>
    <w:rsid w:val="00C03BEC"/>
    <w:rsid w:val="00C03E08"/>
    <w:rsid w:val="00C03E26"/>
    <w:rsid w:val="00C040AE"/>
    <w:rsid w:val="00C04260"/>
    <w:rsid w:val="00C043EE"/>
    <w:rsid w:val="00C044C2"/>
    <w:rsid w:val="00C04916"/>
    <w:rsid w:val="00C04A0A"/>
    <w:rsid w:val="00C04A46"/>
    <w:rsid w:val="00C04C4D"/>
    <w:rsid w:val="00C04D87"/>
    <w:rsid w:val="00C04F74"/>
    <w:rsid w:val="00C05232"/>
    <w:rsid w:val="00C05907"/>
    <w:rsid w:val="00C05A4A"/>
    <w:rsid w:val="00C05DCB"/>
    <w:rsid w:val="00C05ED0"/>
    <w:rsid w:val="00C06155"/>
    <w:rsid w:val="00C061C2"/>
    <w:rsid w:val="00C0639B"/>
    <w:rsid w:val="00C067F5"/>
    <w:rsid w:val="00C06B7D"/>
    <w:rsid w:val="00C06C2D"/>
    <w:rsid w:val="00C06D4D"/>
    <w:rsid w:val="00C06E51"/>
    <w:rsid w:val="00C06E63"/>
    <w:rsid w:val="00C06EFF"/>
    <w:rsid w:val="00C06F27"/>
    <w:rsid w:val="00C06F38"/>
    <w:rsid w:val="00C0709D"/>
    <w:rsid w:val="00C07167"/>
    <w:rsid w:val="00C071A1"/>
    <w:rsid w:val="00C0734C"/>
    <w:rsid w:val="00C073EC"/>
    <w:rsid w:val="00C074B6"/>
    <w:rsid w:val="00C07A48"/>
    <w:rsid w:val="00C07A7C"/>
    <w:rsid w:val="00C07CA6"/>
    <w:rsid w:val="00C07E60"/>
    <w:rsid w:val="00C07F48"/>
    <w:rsid w:val="00C10066"/>
    <w:rsid w:val="00C101B0"/>
    <w:rsid w:val="00C101F8"/>
    <w:rsid w:val="00C102BE"/>
    <w:rsid w:val="00C104A5"/>
    <w:rsid w:val="00C104CA"/>
    <w:rsid w:val="00C1059C"/>
    <w:rsid w:val="00C106E7"/>
    <w:rsid w:val="00C1075A"/>
    <w:rsid w:val="00C10963"/>
    <w:rsid w:val="00C10A17"/>
    <w:rsid w:val="00C10B3F"/>
    <w:rsid w:val="00C10B67"/>
    <w:rsid w:val="00C10C58"/>
    <w:rsid w:val="00C10C6F"/>
    <w:rsid w:val="00C10E4F"/>
    <w:rsid w:val="00C11252"/>
    <w:rsid w:val="00C112DD"/>
    <w:rsid w:val="00C1148B"/>
    <w:rsid w:val="00C115B0"/>
    <w:rsid w:val="00C11742"/>
    <w:rsid w:val="00C1179F"/>
    <w:rsid w:val="00C11A1D"/>
    <w:rsid w:val="00C11C39"/>
    <w:rsid w:val="00C11D48"/>
    <w:rsid w:val="00C11D80"/>
    <w:rsid w:val="00C11DF4"/>
    <w:rsid w:val="00C11ED5"/>
    <w:rsid w:val="00C11FA4"/>
    <w:rsid w:val="00C120F7"/>
    <w:rsid w:val="00C121B0"/>
    <w:rsid w:val="00C121E8"/>
    <w:rsid w:val="00C122EB"/>
    <w:rsid w:val="00C127B9"/>
    <w:rsid w:val="00C127C1"/>
    <w:rsid w:val="00C127D7"/>
    <w:rsid w:val="00C12854"/>
    <w:rsid w:val="00C128FA"/>
    <w:rsid w:val="00C129CD"/>
    <w:rsid w:val="00C12A7C"/>
    <w:rsid w:val="00C12B74"/>
    <w:rsid w:val="00C12C14"/>
    <w:rsid w:val="00C12C24"/>
    <w:rsid w:val="00C130BD"/>
    <w:rsid w:val="00C130F5"/>
    <w:rsid w:val="00C13128"/>
    <w:rsid w:val="00C135B7"/>
    <w:rsid w:val="00C13629"/>
    <w:rsid w:val="00C13670"/>
    <w:rsid w:val="00C138FE"/>
    <w:rsid w:val="00C13AD2"/>
    <w:rsid w:val="00C13AD5"/>
    <w:rsid w:val="00C13B80"/>
    <w:rsid w:val="00C13B9C"/>
    <w:rsid w:val="00C13BCB"/>
    <w:rsid w:val="00C13C25"/>
    <w:rsid w:val="00C13CF3"/>
    <w:rsid w:val="00C14185"/>
    <w:rsid w:val="00C14200"/>
    <w:rsid w:val="00C14323"/>
    <w:rsid w:val="00C14343"/>
    <w:rsid w:val="00C144BE"/>
    <w:rsid w:val="00C145BF"/>
    <w:rsid w:val="00C14725"/>
    <w:rsid w:val="00C14907"/>
    <w:rsid w:val="00C14A0D"/>
    <w:rsid w:val="00C14B84"/>
    <w:rsid w:val="00C14C0E"/>
    <w:rsid w:val="00C1504E"/>
    <w:rsid w:val="00C15177"/>
    <w:rsid w:val="00C1524F"/>
    <w:rsid w:val="00C1553E"/>
    <w:rsid w:val="00C1574E"/>
    <w:rsid w:val="00C15A69"/>
    <w:rsid w:val="00C15B70"/>
    <w:rsid w:val="00C15F04"/>
    <w:rsid w:val="00C16204"/>
    <w:rsid w:val="00C164FD"/>
    <w:rsid w:val="00C16548"/>
    <w:rsid w:val="00C16900"/>
    <w:rsid w:val="00C16B60"/>
    <w:rsid w:val="00C16CCE"/>
    <w:rsid w:val="00C16EE0"/>
    <w:rsid w:val="00C16F08"/>
    <w:rsid w:val="00C16F1E"/>
    <w:rsid w:val="00C170A8"/>
    <w:rsid w:val="00C172F8"/>
    <w:rsid w:val="00C17331"/>
    <w:rsid w:val="00C1735C"/>
    <w:rsid w:val="00C1736F"/>
    <w:rsid w:val="00C17434"/>
    <w:rsid w:val="00C17601"/>
    <w:rsid w:val="00C1767E"/>
    <w:rsid w:val="00C1774A"/>
    <w:rsid w:val="00C17751"/>
    <w:rsid w:val="00C1792E"/>
    <w:rsid w:val="00C17983"/>
    <w:rsid w:val="00C179B3"/>
    <w:rsid w:val="00C17A0C"/>
    <w:rsid w:val="00C17BA5"/>
    <w:rsid w:val="00C17E3F"/>
    <w:rsid w:val="00C17FBA"/>
    <w:rsid w:val="00C200AA"/>
    <w:rsid w:val="00C200B8"/>
    <w:rsid w:val="00C201B1"/>
    <w:rsid w:val="00C206C3"/>
    <w:rsid w:val="00C208EC"/>
    <w:rsid w:val="00C20BF7"/>
    <w:rsid w:val="00C20C7B"/>
    <w:rsid w:val="00C20E56"/>
    <w:rsid w:val="00C212E9"/>
    <w:rsid w:val="00C2144E"/>
    <w:rsid w:val="00C21555"/>
    <w:rsid w:val="00C2158B"/>
    <w:rsid w:val="00C216C3"/>
    <w:rsid w:val="00C21951"/>
    <w:rsid w:val="00C21A75"/>
    <w:rsid w:val="00C21C10"/>
    <w:rsid w:val="00C21EAA"/>
    <w:rsid w:val="00C21EFF"/>
    <w:rsid w:val="00C21F94"/>
    <w:rsid w:val="00C22276"/>
    <w:rsid w:val="00C2247D"/>
    <w:rsid w:val="00C2258B"/>
    <w:rsid w:val="00C22627"/>
    <w:rsid w:val="00C226BA"/>
    <w:rsid w:val="00C227D8"/>
    <w:rsid w:val="00C22953"/>
    <w:rsid w:val="00C22974"/>
    <w:rsid w:val="00C22A75"/>
    <w:rsid w:val="00C22B15"/>
    <w:rsid w:val="00C22C73"/>
    <w:rsid w:val="00C22CB1"/>
    <w:rsid w:val="00C22D21"/>
    <w:rsid w:val="00C22DF6"/>
    <w:rsid w:val="00C230D3"/>
    <w:rsid w:val="00C230E4"/>
    <w:rsid w:val="00C2322E"/>
    <w:rsid w:val="00C23316"/>
    <w:rsid w:val="00C23321"/>
    <w:rsid w:val="00C23345"/>
    <w:rsid w:val="00C234ED"/>
    <w:rsid w:val="00C236E5"/>
    <w:rsid w:val="00C2377A"/>
    <w:rsid w:val="00C237ED"/>
    <w:rsid w:val="00C238A4"/>
    <w:rsid w:val="00C23B79"/>
    <w:rsid w:val="00C23BA1"/>
    <w:rsid w:val="00C23D06"/>
    <w:rsid w:val="00C23FC6"/>
    <w:rsid w:val="00C24001"/>
    <w:rsid w:val="00C2427C"/>
    <w:rsid w:val="00C2429E"/>
    <w:rsid w:val="00C245BD"/>
    <w:rsid w:val="00C24632"/>
    <w:rsid w:val="00C2473F"/>
    <w:rsid w:val="00C2486D"/>
    <w:rsid w:val="00C2488B"/>
    <w:rsid w:val="00C24932"/>
    <w:rsid w:val="00C24987"/>
    <w:rsid w:val="00C249D3"/>
    <w:rsid w:val="00C24A50"/>
    <w:rsid w:val="00C24AC4"/>
    <w:rsid w:val="00C24B78"/>
    <w:rsid w:val="00C24C34"/>
    <w:rsid w:val="00C24DB9"/>
    <w:rsid w:val="00C24E50"/>
    <w:rsid w:val="00C24EEA"/>
    <w:rsid w:val="00C24FEA"/>
    <w:rsid w:val="00C250A3"/>
    <w:rsid w:val="00C25218"/>
    <w:rsid w:val="00C25418"/>
    <w:rsid w:val="00C254E9"/>
    <w:rsid w:val="00C2565B"/>
    <w:rsid w:val="00C256A9"/>
    <w:rsid w:val="00C259AB"/>
    <w:rsid w:val="00C25A6E"/>
    <w:rsid w:val="00C25A8A"/>
    <w:rsid w:val="00C25B3C"/>
    <w:rsid w:val="00C25BC8"/>
    <w:rsid w:val="00C25C1C"/>
    <w:rsid w:val="00C25C72"/>
    <w:rsid w:val="00C25D9C"/>
    <w:rsid w:val="00C25DF7"/>
    <w:rsid w:val="00C25E9A"/>
    <w:rsid w:val="00C25EC9"/>
    <w:rsid w:val="00C26143"/>
    <w:rsid w:val="00C26154"/>
    <w:rsid w:val="00C2617F"/>
    <w:rsid w:val="00C262F1"/>
    <w:rsid w:val="00C263FB"/>
    <w:rsid w:val="00C26442"/>
    <w:rsid w:val="00C26620"/>
    <w:rsid w:val="00C268B6"/>
    <w:rsid w:val="00C268FC"/>
    <w:rsid w:val="00C26CA7"/>
    <w:rsid w:val="00C26E78"/>
    <w:rsid w:val="00C26EEE"/>
    <w:rsid w:val="00C2703E"/>
    <w:rsid w:val="00C270BE"/>
    <w:rsid w:val="00C27120"/>
    <w:rsid w:val="00C2745C"/>
    <w:rsid w:val="00C27461"/>
    <w:rsid w:val="00C27578"/>
    <w:rsid w:val="00C2778B"/>
    <w:rsid w:val="00C27819"/>
    <w:rsid w:val="00C27B87"/>
    <w:rsid w:val="00C27C98"/>
    <w:rsid w:val="00C27D33"/>
    <w:rsid w:val="00C27E2B"/>
    <w:rsid w:val="00C27FA7"/>
    <w:rsid w:val="00C303B4"/>
    <w:rsid w:val="00C3052D"/>
    <w:rsid w:val="00C30763"/>
    <w:rsid w:val="00C30764"/>
    <w:rsid w:val="00C30803"/>
    <w:rsid w:val="00C30838"/>
    <w:rsid w:val="00C30C81"/>
    <w:rsid w:val="00C311BB"/>
    <w:rsid w:val="00C312A7"/>
    <w:rsid w:val="00C31356"/>
    <w:rsid w:val="00C31381"/>
    <w:rsid w:val="00C313CB"/>
    <w:rsid w:val="00C31474"/>
    <w:rsid w:val="00C315C8"/>
    <w:rsid w:val="00C315DF"/>
    <w:rsid w:val="00C31649"/>
    <w:rsid w:val="00C31784"/>
    <w:rsid w:val="00C317D4"/>
    <w:rsid w:val="00C318E7"/>
    <w:rsid w:val="00C3194F"/>
    <w:rsid w:val="00C31A77"/>
    <w:rsid w:val="00C31BE6"/>
    <w:rsid w:val="00C31E39"/>
    <w:rsid w:val="00C32182"/>
    <w:rsid w:val="00C322E3"/>
    <w:rsid w:val="00C3246A"/>
    <w:rsid w:val="00C328D3"/>
    <w:rsid w:val="00C329B9"/>
    <w:rsid w:val="00C32AC4"/>
    <w:rsid w:val="00C32B93"/>
    <w:rsid w:val="00C32C03"/>
    <w:rsid w:val="00C32ECA"/>
    <w:rsid w:val="00C32F2F"/>
    <w:rsid w:val="00C32F73"/>
    <w:rsid w:val="00C3319A"/>
    <w:rsid w:val="00C33614"/>
    <w:rsid w:val="00C33638"/>
    <w:rsid w:val="00C336D0"/>
    <w:rsid w:val="00C33743"/>
    <w:rsid w:val="00C33855"/>
    <w:rsid w:val="00C3387C"/>
    <w:rsid w:val="00C33A5F"/>
    <w:rsid w:val="00C33A67"/>
    <w:rsid w:val="00C33B27"/>
    <w:rsid w:val="00C33C03"/>
    <w:rsid w:val="00C33D08"/>
    <w:rsid w:val="00C33DDF"/>
    <w:rsid w:val="00C33DE0"/>
    <w:rsid w:val="00C33DF3"/>
    <w:rsid w:val="00C33E2D"/>
    <w:rsid w:val="00C33E6B"/>
    <w:rsid w:val="00C33EA4"/>
    <w:rsid w:val="00C33F45"/>
    <w:rsid w:val="00C340F0"/>
    <w:rsid w:val="00C342A1"/>
    <w:rsid w:val="00C342FE"/>
    <w:rsid w:val="00C3431D"/>
    <w:rsid w:val="00C3434C"/>
    <w:rsid w:val="00C343B7"/>
    <w:rsid w:val="00C34418"/>
    <w:rsid w:val="00C344EF"/>
    <w:rsid w:val="00C345B8"/>
    <w:rsid w:val="00C34784"/>
    <w:rsid w:val="00C348AE"/>
    <w:rsid w:val="00C34920"/>
    <w:rsid w:val="00C3498B"/>
    <w:rsid w:val="00C3499C"/>
    <w:rsid w:val="00C34AA5"/>
    <w:rsid w:val="00C34D0C"/>
    <w:rsid w:val="00C34D92"/>
    <w:rsid w:val="00C34F1E"/>
    <w:rsid w:val="00C350E1"/>
    <w:rsid w:val="00C35326"/>
    <w:rsid w:val="00C35385"/>
    <w:rsid w:val="00C354A5"/>
    <w:rsid w:val="00C35514"/>
    <w:rsid w:val="00C35571"/>
    <w:rsid w:val="00C35601"/>
    <w:rsid w:val="00C35630"/>
    <w:rsid w:val="00C35930"/>
    <w:rsid w:val="00C3593E"/>
    <w:rsid w:val="00C35A38"/>
    <w:rsid w:val="00C35CF8"/>
    <w:rsid w:val="00C35DAB"/>
    <w:rsid w:val="00C35E31"/>
    <w:rsid w:val="00C35FC4"/>
    <w:rsid w:val="00C36199"/>
    <w:rsid w:val="00C3630F"/>
    <w:rsid w:val="00C3649A"/>
    <w:rsid w:val="00C364FF"/>
    <w:rsid w:val="00C3656C"/>
    <w:rsid w:val="00C36818"/>
    <w:rsid w:val="00C36E52"/>
    <w:rsid w:val="00C36F05"/>
    <w:rsid w:val="00C374D2"/>
    <w:rsid w:val="00C3771A"/>
    <w:rsid w:val="00C377A6"/>
    <w:rsid w:val="00C37BDE"/>
    <w:rsid w:val="00C37CE3"/>
    <w:rsid w:val="00C37E6F"/>
    <w:rsid w:val="00C37E93"/>
    <w:rsid w:val="00C37F41"/>
    <w:rsid w:val="00C37F57"/>
    <w:rsid w:val="00C40315"/>
    <w:rsid w:val="00C40354"/>
    <w:rsid w:val="00C40385"/>
    <w:rsid w:val="00C40638"/>
    <w:rsid w:val="00C406C0"/>
    <w:rsid w:val="00C4073B"/>
    <w:rsid w:val="00C4080F"/>
    <w:rsid w:val="00C40935"/>
    <w:rsid w:val="00C40B5C"/>
    <w:rsid w:val="00C40B61"/>
    <w:rsid w:val="00C40CDF"/>
    <w:rsid w:val="00C40D0D"/>
    <w:rsid w:val="00C40D78"/>
    <w:rsid w:val="00C40EB0"/>
    <w:rsid w:val="00C40F4E"/>
    <w:rsid w:val="00C40F85"/>
    <w:rsid w:val="00C40F8F"/>
    <w:rsid w:val="00C40FCE"/>
    <w:rsid w:val="00C41127"/>
    <w:rsid w:val="00C41426"/>
    <w:rsid w:val="00C41543"/>
    <w:rsid w:val="00C4157E"/>
    <w:rsid w:val="00C4168C"/>
    <w:rsid w:val="00C416CC"/>
    <w:rsid w:val="00C41768"/>
    <w:rsid w:val="00C417BD"/>
    <w:rsid w:val="00C41A31"/>
    <w:rsid w:val="00C41B25"/>
    <w:rsid w:val="00C41B30"/>
    <w:rsid w:val="00C41BA8"/>
    <w:rsid w:val="00C41CE2"/>
    <w:rsid w:val="00C41CF6"/>
    <w:rsid w:val="00C41D12"/>
    <w:rsid w:val="00C41D2C"/>
    <w:rsid w:val="00C41D9F"/>
    <w:rsid w:val="00C41FC5"/>
    <w:rsid w:val="00C4213D"/>
    <w:rsid w:val="00C4216B"/>
    <w:rsid w:val="00C4218D"/>
    <w:rsid w:val="00C42331"/>
    <w:rsid w:val="00C42419"/>
    <w:rsid w:val="00C42467"/>
    <w:rsid w:val="00C42663"/>
    <w:rsid w:val="00C42669"/>
    <w:rsid w:val="00C42728"/>
    <w:rsid w:val="00C427CA"/>
    <w:rsid w:val="00C4297B"/>
    <w:rsid w:val="00C42CB0"/>
    <w:rsid w:val="00C42FE2"/>
    <w:rsid w:val="00C43010"/>
    <w:rsid w:val="00C430E1"/>
    <w:rsid w:val="00C4333F"/>
    <w:rsid w:val="00C433A2"/>
    <w:rsid w:val="00C436B3"/>
    <w:rsid w:val="00C436EE"/>
    <w:rsid w:val="00C43B6D"/>
    <w:rsid w:val="00C43BB4"/>
    <w:rsid w:val="00C43F8F"/>
    <w:rsid w:val="00C43F9B"/>
    <w:rsid w:val="00C441D4"/>
    <w:rsid w:val="00C446EE"/>
    <w:rsid w:val="00C4471C"/>
    <w:rsid w:val="00C447D4"/>
    <w:rsid w:val="00C448EC"/>
    <w:rsid w:val="00C44AE9"/>
    <w:rsid w:val="00C44BE1"/>
    <w:rsid w:val="00C44D84"/>
    <w:rsid w:val="00C44DA9"/>
    <w:rsid w:val="00C44F24"/>
    <w:rsid w:val="00C44F87"/>
    <w:rsid w:val="00C44FD1"/>
    <w:rsid w:val="00C453DA"/>
    <w:rsid w:val="00C45613"/>
    <w:rsid w:val="00C45663"/>
    <w:rsid w:val="00C45704"/>
    <w:rsid w:val="00C4573A"/>
    <w:rsid w:val="00C458B9"/>
    <w:rsid w:val="00C45BB5"/>
    <w:rsid w:val="00C45C65"/>
    <w:rsid w:val="00C45F16"/>
    <w:rsid w:val="00C461D6"/>
    <w:rsid w:val="00C464AB"/>
    <w:rsid w:val="00C464AC"/>
    <w:rsid w:val="00C464FC"/>
    <w:rsid w:val="00C46769"/>
    <w:rsid w:val="00C467FD"/>
    <w:rsid w:val="00C46807"/>
    <w:rsid w:val="00C468C9"/>
    <w:rsid w:val="00C468D0"/>
    <w:rsid w:val="00C4691B"/>
    <w:rsid w:val="00C46947"/>
    <w:rsid w:val="00C46964"/>
    <w:rsid w:val="00C46C45"/>
    <w:rsid w:val="00C46DEF"/>
    <w:rsid w:val="00C46F8B"/>
    <w:rsid w:val="00C472C6"/>
    <w:rsid w:val="00C47305"/>
    <w:rsid w:val="00C47338"/>
    <w:rsid w:val="00C475AA"/>
    <w:rsid w:val="00C47610"/>
    <w:rsid w:val="00C476F3"/>
    <w:rsid w:val="00C47984"/>
    <w:rsid w:val="00C47A0B"/>
    <w:rsid w:val="00C47AB4"/>
    <w:rsid w:val="00C47B33"/>
    <w:rsid w:val="00C47C79"/>
    <w:rsid w:val="00C47E41"/>
    <w:rsid w:val="00C47FC4"/>
    <w:rsid w:val="00C50000"/>
    <w:rsid w:val="00C5000D"/>
    <w:rsid w:val="00C500D6"/>
    <w:rsid w:val="00C500FB"/>
    <w:rsid w:val="00C500FC"/>
    <w:rsid w:val="00C5038B"/>
    <w:rsid w:val="00C50602"/>
    <w:rsid w:val="00C50606"/>
    <w:rsid w:val="00C50A96"/>
    <w:rsid w:val="00C50B12"/>
    <w:rsid w:val="00C50B98"/>
    <w:rsid w:val="00C50D08"/>
    <w:rsid w:val="00C511E2"/>
    <w:rsid w:val="00C511F0"/>
    <w:rsid w:val="00C512C6"/>
    <w:rsid w:val="00C516A2"/>
    <w:rsid w:val="00C516AF"/>
    <w:rsid w:val="00C51768"/>
    <w:rsid w:val="00C5193A"/>
    <w:rsid w:val="00C51A1A"/>
    <w:rsid w:val="00C51ACC"/>
    <w:rsid w:val="00C51B40"/>
    <w:rsid w:val="00C51B7B"/>
    <w:rsid w:val="00C51C9B"/>
    <w:rsid w:val="00C520C6"/>
    <w:rsid w:val="00C5210B"/>
    <w:rsid w:val="00C52124"/>
    <w:rsid w:val="00C52285"/>
    <w:rsid w:val="00C524A8"/>
    <w:rsid w:val="00C52617"/>
    <w:rsid w:val="00C52675"/>
    <w:rsid w:val="00C527C7"/>
    <w:rsid w:val="00C5286B"/>
    <w:rsid w:val="00C52895"/>
    <w:rsid w:val="00C529AF"/>
    <w:rsid w:val="00C52A81"/>
    <w:rsid w:val="00C52ADF"/>
    <w:rsid w:val="00C52BD1"/>
    <w:rsid w:val="00C52D2C"/>
    <w:rsid w:val="00C52E68"/>
    <w:rsid w:val="00C52F96"/>
    <w:rsid w:val="00C536A1"/>
    <w:rsid w:val="00C5374B"/>
    <w:rsid w:val="00C538B7"/>
    <w:rsid w:val="00C53933"/>
    <w:rsid w:val="00C53986"/>
    <w:rsid w:val="00C53A84"/>
    <w:rsid w:val="00C53ADB"/>
    <w:rsid w:val="00C53C98"/>
    <w:rsid w:val="00C53DF6"/>
    <w:rsid w:val="00C544E2"/>
    <w:rsid w:val="00C54553"/>
    <w:rsid w:val="00C54595"/>
    <w:rsid w:val="00C5463A"/>
    <w:rsid w:val="00C5465C"/>
    <w:rsid w:val="00C54872"/>
    <w:rsid w:val="00C5487A"/>
    <w:rsid w:val="00C549A6"/>
    <w:rsid w:val="00C54B93"/>
    <w:rsid w:val="00C54CB0"/>
    <w:rsid w:val="00C54F0B"/>
    <w:rsid w:val="00C54FF7"/>
    <w:rsid w:val="00C5502C"/>
    <w:rsid w:val="00C5547D"/>
    <w:rsid w:val="00C554D4"/>
    <w:rsid w:val="00C556D2"/>
    <w:rsid w:val="00C5588E"/>
    <w:rsid w:val="00C55A3E"/>
    <w:rsid w:val="00C55D63"/>
    <w:rsid w:val="00C55DFD"/>
    <w:rsid w:val="00C5615F"/>
    <w:rsid w:val="00C565D9"/>
    <w:rsid w:val="00C565FB"/>
    <w:rsid w:val="00C56674"/>
    <w:rsid w:val="00C5694F"/>
    <w:rsid w:val="00C56981"/>
    <w:rsid w:val="00C569E3"/>
    <w:rsid w:val="00C56ABC"/>
    <w:rsid w:val="00C56FCF"/>
    <w:rsid w:val="00C5700F"/>
    <w:rsid w:val="00C570B5"/>
    <w:rsid w:val="00C5716C"/>
    <w:rsid w:val="00C571DB"/>
    <w:rsid w:val="00C572F6"/>
    <w:rsid w:val="00C57634"/>
    <w:rsid w:val="00C576A1"/>
    <w:rsid w:val="00C57705"/>
    <w:rsid w:val="00C57769"/>
    <w:rsid w:val="00C577AC"/>
    <w:rsid w:val="00C577EB"/>
    <w:rsid w:val="00C57B6C"/>
    <w:rsid w:val="00C57BE9"/>
    <w:rsid w:val="00C57F57"/>
    <w:rsid w:val="00C57FAB"/>
    <w:rsid w:val="00C60020"/>
    <w:rsid w:val="00C602AC"/>
    <w:rsid w:val="00C6037F"/>
    <w:rsid w:val="00C6046D"/>
    <w:rsid w:val="00C6049F"/>
    <w:rsid w:val="00C6055D"/>
    <w:rsid w:val="00C60887"/>
    <w:rsid w:val="00C6088B"/>
    <w:rsid w:val="00C60A5F"/>
    <w:rsid w:val="00C60AAA"/>
    <w:rsid w:val="00C60D77"/>
    <w:rsid w:val="00C60DDB"/>
    <w:rsid w:val="00C60F0C"/>
    <w:rsid w:val="00C612A2"/>
    <w:rsid w:val="00C612E3"/>
    <w:rsid w:val="00C613BD"/>
    <w:rsid w:val="00C61753"/>
    <w:rsid w:val="00C61797"/>
    <w:rsid w:val="00C619E5"/>
    <w:rsid w:val="00C619FC"/>
    <w:rsid w:val="00C61A59"/>
    <w:rsid w:val="00C61A87"/>
    <w:rsid w:val="00C61AB2"/>
    <w:rsid w:val="00C61AD6"/>
    <w:rsid w:val="00C61D9C"/>
    <w:rsid w:val="00C61DD2"/>
    <w:rsid w:val="00C622AC"/>
    <w:rsid w:val="00C6246F"/>
    <w:rsid w:val="00C625EB"/>
    <w:rsid w:val="00C62708"/>
    <w:rsid w:val="00C62755"/>
    <w:rsid w:val="00C627F5"/>
    <w:rsid w:val="00C628A6"/>
    <w:rsid w:val="00C628D3"/>
    <w:rsid w:val="00C628F4"/>
    <w:rsid w:val="00C62982"/>
    <w:rsid w:val="00C62C84"/>
    <w:rsid w:val="00C62D6C"/>
    <w:rsid w:val="00C62E0D"/>
    <w:rsid w:val="00C62F51"/>
    <w:rsid w:val="00C62FB8"/>
    <w:rsid w:val="00C630E4"/>
    <w:rsid w:val="00C632EE"/>
    <w:rsid w:val="00C63808"/>
    <w:rsid w:val="00C638BB"/>
    <w:rsid w:val="00C63968"/>
    <w:rsid w:val="00C6396D"/>
    <w:rsid w:val="00C63A06"/>
    <w:rsid w:val="00C63A08"/>
    <w:rsid w:val="00C63A15"/>
    <w:rsid w:val="00C63A9F"/>
    <w:rsid w:val="00C63BAD"/>
    <w:rsid w:val="00C63DF1"/>
    <w:rsid w:val="00C63F43"/>
    <w:rsid w:val="00C63F6C"/>
    <w:rsid w:val="00C640B3"/>
    <w:rsid w:val="00C641AE"/>
    <w:rsid w:val="00C64285"/>
    <w:rsid w:val="00C64344"/>
    <w:rsid w:val="00C64379"/>
    <w:rsid w:val="00C6440E"/>
    <w:rsid w:val="00C64427"/>
    <w:rsid w:val="00C6453A"/>
    <w:rsid w:val="00C64995"/>
    <w:rsid w:val="00C64A32"/>
    <w:rsid w:val="00C64A98"/>
    <w:rsid w:val="00C64AF3"/>
    <w:rsid w:val="00C64B74"/>
    <w:rsid w:val="00C64B92"/>
    <w:rsid w:val="00C64C43"/>
    <w:rsid w:val="00C64FAB"/>
    <w:rsid w:val="00C65108"/>
    <w:rsid w:val="00C6528D"/>
    <w:rsid w:val="00C6546C"/>
    <w:rsid w:val="00C6551D"/>
    <w:rsid w:val="00C65576"/>
    <w:rsid w:val="00C656D9"/>
    <w:rsid w:val="00C657A1"/>
    <w:rsid w:val="00C65880"/>
    <w:rsid w:val="00C65985"/>
    <w:rsid w:val="00C65BA6"/>
    <w:rsid w:val="00C65C72"/>
    <w:rsid w:val="00C66165"/>
    <w:rsid w:val="00C662F4"/>
    <w:rsid w:val="00C667A7"/>
    <w:rsid w:val="00C66815"/>
    <w:rsid w:val="00C66A39"/>
    <w:rsid w:val="00C66C7F"/>
    <w:rsid w:val="00C66D2E"/>
    <w:rsid w:val="00C66DD0"/>
    <w:rsid w:val="00C66ED8"/>
    <w:rsid w:val="00C67092"/>
    <w:rsid w:val="00C6712A"/>
    <w:rsid w:val="00C6730B"/>
    <w:rsid w:val="00C6749E"/>
    <w:rsid w:val="00C67977"/>
    <w:rsid w:val="00C67A74"/>
    <w:rsid w:val="00C67C92"/>
    <w:rsid w:val="00C67CDE"/>
    <w:rsid w:val="00C67D6F"/>
    <w:rsid w:val="00C67DAA"/>
    <w:rsid w:val="00C67ECE"/>
    <w:rsid w:val="00C7018D"/>
    <w:rsid w:val="00C703F4"/>
    <w:rsid w:val="00C70592"/>
    <w:rsid w:val="00C7060A"/>
    <w:rsid w:val="00C707DE"/>
    <w:rsid w:val="00C708AB"/>
    <w:rsid w:val="00C7090C"/>
    <w:rsid w:val="00C709BB"/>
    <w:rsid w:val="00C70A19"/>
    <w:rsid w:val="00C70B85"/>
    <w:rsid w:val="00C70E19"/>
    <w:rsid w:val="00C70F65"/>
    <w:rsid w:val="00C7101C"/>
    <w:rsid w:val="00C710A7"/>
    <w:rsid w:val="00C712BB"/>
    <w:rsid w:val="00C71365"/>
    <w:rsid w:val="00C7151A"/>
    <w:rsid w:val="00C7155C"/>
    <w:rsid w:val="00C715F3"/>
    <w:rsid w:val="00C71756"/>
    <w:rsid w:val="00C71793"/>
    <w:rsid w:val="00C717E3"/>
    <w:rsid w:val="00C71B08"/>
    <w:rsid w:val="00C71C8A"/>
    <w:rsid w:val="00C71CC1"/>
    <w:rsid w:val="00C71F60"/>
    <w:rsid w:val="00C71FB2"/>
    <w:rsid w:val="00C72109"/>
    <w:rsid w:val="00C721DF"/>
    <w:rsid w:val="00C72241"/>
    <w:rsid w:val="00C7261A"/>
    <w:rsid w:val="00C72742"/>
    <w:rsid w:val="00C727D7"/>
    <w:rsid w:val="00C7285D"/>
    <w:rsid w:val="00C72944"/>
    <w:rsid w:val="00C72955"/>
    <w:rsid w:val="00C72A01"/>
    <w:rsid w:val="00C72BC4"/>
    <w:rsid w:val="00C72BE5"/>
    <w:rsid w:val="00C72E1C"/>
    <w:rsid w:val="00C73155"/>
    <w:rsid w:val="00C73196"/>
    <w:rsid w:val="00C73327"/>
    <w:rsid w:val="00C73375"/>
    <w:rsid w:val="00C734B8"/>
    <w:rsid w:val="00C73605"/>
    <w:rsid w:val="00C73D94"/>
    <w:rsid w:val="00C73E71"/>
    <w:rsid w:val="00C73F66"/>
    <w:rsid w:val="00C7401D"/>
    <w:rsid w:val="00C74574"/>
    <w:rsid w:val="00C745FD"/>
    <w:rsid w:val="00C74670"/>
    <w:rsid w:val="00C74700"/>
    <w:rsid w:val="00C74810"/>
    <w:rsid w:val="00C7486F"/>
    <w:rsid w:val="00C74CDD"/>
    <w:rsid w:val="00C750C8"/>
    <w:rsid w:val="00C753A4"/>
    <w:rsid w:val="00C75431"/>
    <w:rsid w:val="00C7560F"/>
    <w:rsid w:val="00C7580D"/>
    <w:rsid w:val="00C759EC"/>
    <w:rsid w:val="00C75A40"/>
    <w:rsid w:val="00C75A80"/>
    <w:rsid w:val="00C75C54"/>
    <w:rsid w:val="00C75CB8"/>
    <w:rsid w:val="00C75DF9"/>
    <w:rsid w:val="00C75E8D"/>
    <w:rsid w:val="00C76062"/>
    <w:rsid w:val="00C76208"/>
    <w:rsid w:val="00C764B9"/>
    <w:rsid w:val="00C76545"/>
    <w:rsid w:val="00C7695A"/>
    <w:rsid w:val="00C76962"/>
    <w:rsid w:val="00C76BA3"/>
    <w:rsid w:val="00C76D6D"/>
    <w:rsid w:val="00C76DC1"/>
    <w:rsid w:val="00C76E32"/>
    <w:rsid w:val="00C76F36"/>
    <w:rsid w:val="00C7735F"/>
    <w:rsid w:val="00C773D9"/>
    <w:rsid w:val="00C77426"/>
    <w:rsid w:val="00C775D6"/>
    <w:rsid w:val="00C776A8"/>
    <w:rsid w:val="00C777D2"/>
    <w:rsid w:val="00C778B7"/>
    <w:rsid w:val="00C778C6"/>
    <w:rsid w:val="00C77C60"/>
    <w:rsid w:val="00C77E30"/>
    <w:rsid w:val="00C77EF8"/>
    <w:rsid w:val="00C80077"/>
    <w:rsid w:val="00C803BF"/>
    <w:rsid w:val="00C805D0"/>
    <w:rsid w:val="00C807CD"/>
    <w:rsid w:val="00C8099C"/>
    <w:rsid w:val="00C80A0E"/>
    <w:rsid w:val="00C80B9F"/>
    <w:rsid w:val="00C80CB8"/>
    <w:rsid w:val="00C80EAD"/>
    <w:rsid w:val="00C80F29"/>
    <w:rsid w:val="00C81235"/>
    <w:rsid w:val="00C81359"/>
    <w:rsid w:val="00C81369"/>
    <w:rsid w:val="00C81620"/>
    <w:rsid w:val="00C81649"/>
    <w:rsid w:val="00C81844"/>
    <w:rsid w:val="00C8189B"/>
    <w:rsid w:val="00C81D0B"/>
    <w:rsid w:val="00C81E71"/>
    <w:rsid w:val="00C81FFE"/>
    <w:rsid w:val="00C8213F"/>
    <w:rsid w:val="00C82209"/>
    <w:rsid w:val="00C823FC"/>
    <w:rsid w:val="00C825E6"/>
    <w:rsid w:val="00C827B4"/>
    <w:rsid w:val="00C82E02"/>
    <w:rsid w:val="00C82F63"/>
    <w:rsid w:val="00C82FC6"/>
    <w:rsid w:val="00C83022"/>
    <w:rsid w:val="00C8303F"/>
    <w:rsid w:val="00C83086"/>
    <w:rsid w:val="00C83173"/>
    <w:rsid w:val="00C831E5"/>
    <w:rsid w:val="00C8325F"/>
    <w:rsid w:val="00C83671"/>
    <w:rsid w:val="00C836D0"/>
    <w:rsid w:val="00C83886"/>
    <w:rsid w:val="00C83A4E"/>
    <w:rsid w:val="00C83AC1"/>
    <w:rsid w:val="00C83B52"/>
    <w:rsid w:val="00C83C14"/>
    <w:rsid w:val="00C83CDC"/>
    <w:rsid w:val="00C83D4D"/>
    <w:rsid w:val="00C84124"/>
    <w:rsid w:val="00C84168"/>
    <w:rsid w:val="00C841E8"/>
    <w:rsid w:val="00C84334"/>
    <w:rsid w:val="00C84371"/>
    <w:rsid w:val="00C84480"/>
    <w:rsid w:val="00C844F3"/>
    <w:rsid w:val="00C8466E"/>
    <w:rsid w:val="00C84882"/>
    <w:rsid w:val="00C84AE7"/>
    <w:rsid w:val="00C84FF0"/>
    <w:rsid w:val="00C850FF"/>
    <w:rsid w:val="00C85154"/>
    <w:rsid w:val="00C8522B"/>
    <w:rsid w:val="00C85297"/>
    <w:rsid w:val="00C85395"/>
    <w:rsid w:val="00C8547F"/>
    <w:rsid w:val="00C85A43"/>
    <w:rsid w:val="00C85A70"/>
    <w:rsid w:val="00C85B4D"/>
    <w:rsid w:val="00C85C26"/>
    <w:rsid w:val="00C85F27"/>
    <w:rsid w:val="00C86006"/>
    <w:rsid w:val="00C86497"/>
    <w:rsid w:val="00C865E4"/>
    <w:rsid w:val="00C866DD"/>
    <w:rsid w:val="00C868C8"/>
    <w:rsid w:val="00C86906"/>
    <w:rsid w:val="00C8694A"/>
    <w:rsid w:val="00C86AD4"/>
    <w:rsid w:val="00C86B0B"/>
    <w:rsid w:val="00C86EAC"/>
    <w:rsid w:val="00C86FC9"/>
    <w:rsid w:val="00C86FF5"/>
    <w:rsid w:val="00C87072"/>
    <w:rsid w:val="00C8716F"/>
    <w:rsid w:val="00C87195"/>
    <w:rsid w:val="00C871DD"/>
    <w:rsid w:val="00C87337"/>
    <w:rsid w:val="00C87471"/>
    <w:rsid w:val="00C875B1"/>
    <w:rsid w:val="00C875C9"/>
    <w:rsid w:val="00C875E8"/>
    <w:rsid w:val="00C877D5"/>
    <w:rsid w:val="00C8794B"/>
    <w:rsid w:val="00C8797A"/>
    <w:rsid w:val="00C879D9"/>
    <w:rsid w:val="00C879E9"/>
    <w:rsid w:val="00C87A05"/>
    <w:rsid w:val="00C87AF7"/>
    <w:rsid w:val="00C87E7D"/>
    <w:rsid w:val="00C87F78"/>
    <w:rsid w:val="00C9004C"/>
    <w:rsid w:val="00C900B8"/>
    <w:rsid w:val="00C90197"/>
    <w:rsid w:val="00C901B0"/>
    <w:rsid w:val="00C9021F"/>
    <w:rsid w:val="00C9061B"/>
    <w:rsid w:val="00C90C41"/>
    <w:rsid w:val="00C90C71"/>
    <w:rsid w:val="00C90CCE"/>
    <w:rsid w:val="00C90D78"/>
    <w:rsid w:val="00C90E5E"/>
    <w:rsid w:val="00C90ECF"/>
    <w:rsid w:val="00C90F28"/>
    <w:rsid w:val="00C91030"/>
    <w:rsid w:val="00C91048"/>
    <w:rsid w:val="00C91080"/>
    <w:rsid w:val="00C9109B"/>
    <w:rsid w:val="00C9117F"/>
    <w:rsid w:val="00C91263"/>
    <w:rsid w:val="00C91267"/>
    <w:rsid w:val="00C91675"/>
    <w:rsid w:val="00C916BD"/>
    <w:rsid w:val="00C9198C"/>
    <w:rsid w:val="00C91AAA"/>
    <w:rsid w:val="00C91C2F"/>
    <w:rsid w:val="00C91D8C"/>
    <w:rsid w:val="00C91EB8"/>
    <w:rsid w:val="00C91F06"/>
    <w:rsid w:val="00C91FD1"/>
    <w:rsid w:val="00C92181"/>
    <w:rsid w:val="00C9218B"/>
    <w:rsid w:val="00C92223"/>
    <w:rsid w:val="00C92587"/>
    <w:rsid w:val="00C925F5"/>
    <w:rsid w:val="00C9262D"/>
    <w:rsid w:val="00C92721"/>
    <w:rsid w:val="00C929D3"/>
    <w:rsid w:val="00C92C03"/>
    <w:rsid w:val="00C92D73"/>
    <w:rsid w:val="00C92D7F"/>
    <w:rsid w:val="00C92DB9"/>
    <w:rsid w:val="00C92EBA"/>
    <w:rsid w:val="00C92F8C"/>
    <w:rsid w:val="00C92FCC"/>
    <w:rsid w:val="00C931CF"/>
    <w:rsid w:val="00C932A4"/>
    <w:rsid w:val="00C93494"/>
    <w:rsid w:val="00C934A8"/>
    <w:rsid w:val="00C93708"/>
    <w:rsid w:val="00C938B5"/>
    <w:rsid w:val="00C938CF"/>
    <w:rsid w:val="00C93A85"/>
    <w:rsid w:val="00C93E9C"/>
    <w:rsid w:val="00C93EB8"/>
    <w:rsid w:val="00C93F36"/>
    <w:rsid w:val="00C94053"/>
    <w:rsid w:val="00C940BA"/>
    <w:rsid w:val="00C94212"/>
    <w:rsid w:val="00C944FC"/>
    <w:rsid w:val="00C94785"/>
    <w:rsid w:val="00C9485D"/>
    <w:rsid w:val="00C94A70"/>
    <w:rsid w:val="00C94B3E"/>
    <w:rsid w:val="00C94F17"/>
    <w:rsid w:val="00C94F9C"/>
    <w:rsid w:val="00C9514D"/>
    <w:rsid w:val="00C951D1"/>
    <w:rsid w:val="00C95208"/>
    <w:rsid w:val="00C95677"/>
    <w:rsid w:val="00C956A6"/>
    <w:rsid w:val="00C958AF"/>
    <w:rsid w:val="00C958C1"/>
    <w:rsid w:val="00C95947"/>
    <w:rsid w:val="00C95B1A"/>
    <w:rsid w:val="00C95BA8"/>
    <w:rsid w:val="00C95C4F"/>
    <w:rsid w:val="00C95EED"/>
    <w:rsid w:val="00C95F4A"/>
    <w:rsid w:val="00C96031"/>
    <w:rsid w:val="00C96185"/>
    <w:rsid w:val="00C961A5"/>
    <w:rsid w:val="00C9624D"/>
    <w:rsid w:val="00C9639D"/>
    <w:rsid w:val="00C96448"/>
    <w:rsid w:val="00C968AD"/>
    <w:rsid w:val="00C968B1"/>
    <w:rsid w:val="00C969DA"/>
    <w:rsid w:val="00C96B2F"/>
    <w:rsid w:val="00C96B58"/>
    <w:rsid w:val="00C96C98"/>
    <w:rsid w:val="00C96E77"/>
    <w:rsid w:val="00C9705D"/>
    <w:rsid w:val="00C97328"/>
    <w:rsid w:val="00C973DC"/>
    <w:rsid w:val="00C976C4"/>
    <w:rsid w:val="00C976E4"/>
    <w:rsid w:val="00C97745"/>
    <w:rsid w:val="00C9781F"/>
    <w:rsid w:val="00C9789E"/>
    <w:rsid w:val="00C97BCD"/>
    <w:rsid w:val="00C97C06"/>
    <w:rsid w:val="00C97D7E"/>
    <w:rsid w:val="00C97E2F"/>
    <w:rsid w:val="00C97EBF"/>
    <w:rsid w:val="00C97EC8"/>
    <w:rsid w:val="00C97FBB"/>
    <w:rsid w:val="00CA01BF"/>
    <w:rsid w:val="00CA0284"/>
    <w:rsid w:val="00CA0306"/>
    <w:rsid w:val="00CA049D"/>
    <w:rsid w:val="00CA0961"/>
    <w:rsid w:val="00CA0AF7"/>
    <w:rsid w:val="00CA0B11"/>
    <w:rsid w:val="00CA0B52"/>
    <w:rsid w:val="00CA0BF5"/>
    <w:rsid w:val="00CA0E80"/>
    <w:rsid w:val="00CA0F6D"/>
    <w:rsid w:val="00CA1123"/>
    <w:rsid w:val="00CA12EF"/>
    <w:rsid w:val="00CA157B"/>
    <w:rsid w:val="00CA159C"/>
    <w:rsid w:val="00CA167C"/>
    <w:rsid w:val="00CA1742"/>
    <w:rsid w:val="00CA1847"/>
    <w:rsid w:val="00CA1AE0"/>
    <w:rsid w:val="00CA1AE6"/>
    <w:rsid w:val="00CA1BB4"/>
    <w:rsid w:val="00CA1C7A"/>
    <w:rsid w:val="00CA206F"/>
    <w:rsid w:val="00CA2326"/>
    <w:rsid w:val="00CA2859"/>
    <w:rsid w:val="00CA2986"/>
    <w:rsid w:val="00CA2A71"/>
    <w:rsid w:val="00CA2AD5"/>
    <w:rsid w:val="00CA2B0C"/>
    <w:rsid w:val="00CA2BB2"/>
    <w:rsid w:val="00CA2C77"/>
    <w:rsid w:val="00CA2C98"/>
    <w:rsid w:val="00CA2D19"/>
    <w:rsid w:val="00CA3123"/>
    <w:rsid w:val="00CA31CB"/>
    <w:rsid w:val="00CA3220"/>
    <w:rsid w:val="00CA33F6"/>
    <w:rsid w:val="00CA33FB"/>
    <w:rsid w:val="00CA351F"/>
    <w:rsid w:val="00CA3694"/>
    <w:rsid w:val="00CA3774"/>
    <w:rsid w:val="00CA37CB"/>
    <w:rsid w:val="00CA38FB"/>
    <w:rsid w:val="00CA3AEF"/>
    <w:rsid w:val="00CA3C89"/>
    <w:rsid w:val="00CA3D2D"/>
    <w:rsid w:val="00CA3E41"/>
    <w:rsid w:val="00CA3E5C"/>
    <w:rsid w:val="00CA3E6E"/>
    <w:rsid w:val="00CA3EE3"/>
    <w:rsid w:val="00CA3FB6"/>
    <w:rsid w:val="00CA4129"/>
    <w:rsid w:val="00CA41AD"/>
    <w:rsid w:val="00CA4221"/>
    <w:rsid w:val="00CA4296"/>
    <w:rsid w:val="00CA42A4"/>
    <w:rsid w:val="00CA433E"/>
    <w:rsid w:val="00CA435D"/>
    <w:rsid w:val="00CA444F"/>
    <w:rsid w:val="00CA44A8"/>
    <w:rsid w:val="00CA4509"/>
    <w:rsid w:val="00CA4529"/>
    <w:rsid w:val="00CA4574"/>
    <w:rsid w:val="00CA48D9"/>
    <w:rsid w:val="00CA48E4"/>
    <w:rsid w:val="00CA4FEF"/>
    <w:rsid w:val="00CA5245"/>
    <w:rsid w:val="00CA5421"/>
    <w:rsid w:val="00CA554D"/>
    <w:rsid w:val="00CA5571"/>
    <w:rsid w:val="00CA56E1"/>
    <w:rsid w:val="00CA5E3D"/>
    <w:rsid w:val="00CA5FAD"/>
    <w:rsid w:val="00CA63ED"/>
    <w:rsid w:val="00CA66A0"/>
    <w:rsid w:val="00CA671C"/>
    <w:rsid w:val="00CA6749"/>
    <w:rsid w:val="00CA67D6"/>
    <w:rsid w:val="00CA6850"/>
    <w:rsid w:val="00CA685E"/>
    <w:rsid w:val="00CA690F"/>
    <w:rsid w:val="00CA69A7"/>
    <w:rsid w:val="00CA6A73"/>
    <w:rsid w:val="00CA6A83"/>
    <w:rsid w:val="00CA6AE5"/>
    <w:rsid w:val="00CA6CC3"/>
    <w:rsid w:val="00CA6DE8"/>
    <w:rsid w:val="00CA6EC6"/>
    <w:rsid w:val="00CA70DC"/>
    <w:rsid w:val="00CA71F4"/>
    <w:rsid w:val="00CA7217"/>
    <w:rsid w:val="00CA726D"/>
    <w:rsid w:val="00CA730A"/>
    <w:rsid w:val="00CA738A"/>
    <w:rsid w:val="00CA7496"/>
    <w:rsid w:val="00CA7584"/>
    <w:rsid w:val="00CA75BB"/>
    <w:rsid w:val="00CA75FC"/>
    <w:rsid w:val="00CA7718"/>
    <w:rsid w:val="00CA7A54"/>
    <w:rsid w:val="00CA7B09"/>
    <w:rsid w:val="00CB061E"/>
    <w:rsid w:val="00CB0685"/>
    <w:rsid w:val="00CB0981"/>
    <w:rsid w:val="00CB0CFB"/>
    <w:rsid w:val="00CB0DD6"/>
    <w:rsid w:val="00CB12A5"/>
    <w:rsid w:val="00CB144D"/>
    <w:rsid w:val="00CB1732"/>
    <w:rsid w:val="00CB1767"/>
    <w:rsid w:val="00CB17F0"/>
    <w:rsid w:val="00CB1B83"/>
    <w:rsid w:val="00CB1BC1"/>
    <w:rsid w:val="00CB1C11"/>
    <w:rsid w:val="00CB1CAC"/>
    <w:rsid w:val="00CB1F2F"/>
    <w:rsid w:val="00CB1F70"/>
    <w:rsid w:val="00CB2142"/>
    <w:rsid w:val="00CB221A"/>
    <w:rsid w:val="00CB2230"/>
    <w:rsid w:val="00CB22C7"/>
    <w:rsid w:val="00CB23F2"/>
    <w:rsid w:val="00CB2441"/>
    <w:rsid w:val="00CB2468"/>
    <w:rsid w:val="00CB25B0"/>
    <w:rsid w:val="00CB283C"/>
    <w:rsid w:val="00CB28AC"/>
    <w:rsid w:val="00CB2ACD"/>
    <w:rsid w:val="00CB2C61"/>
    <w:rsid w:val="00CB2C78"/>
    <w:rsid w:val="00CB2C91"/>
    <w:rsid w:val="00CB2D3C"/>
    <w:rsid w:val="00CB2F2A"/>
    <w:rsid w:val="00CB3098"/>
    <w:rsid w:val="00CB3213"/>
    <w:rsid w:val="00CB35D9"/>
    <w:rsid w:val="00CB38EC"/>
    <w:rsid w:val="00CB3902"/>
    <w:rsid w:val="00CB39F4"/>
    <w:rsid w:val="00CB3CCF"/>
    <w:rsid w:val="00CB3D8F"/>
    <w:rsid w:val="00CB3E5F"/>
    <w:rsid w:val="00CB40CF"/>
    <w:rsid w:val="00CB43AD"/>
    <w:rsid w:val="00CB44BC"/>
    <w:rsid w:val="00CB4608"/>
    <w:rsid w:val="00CB461E"/>
    <w:rsid w:val="00CB46E0"/>
    <w:rsid w:val="00CB4882"/>
    <w:rsid w:val="00CB48C6"/>
    <w:rsid w:val="00CB4B32"/>
    <w:rsid w:val="00CB4C1A"/>
    <w:rsid w:val="00CB4DF4"/>
    <w:rsid w:val="00CB4E44"/>
    <w:rsid w:val="00CB4E65"/>
    <w:rsid w:val="00CB52B0"/>
    <w:rsid w:val="00CB540D"/>
    <w:rsid w:val="00CB551F"/>
    <w:rsid w:val="00CB565B"/>
    <w:rsid w:val="00CB56C3"/>
    <w:rsid w:val="00CB57F3"/>
    <w:rsid w:val="00CB5834"/>
    <w:rsid w:val="00CB5926"/>
    <w:rsid w:val="00CB5B1A"/>
    <w:rsid w:val="00CB5CC9"/>
    <w:rsid w:val="00CB5D5F"/>
    <w:rsid w:val="00CB5E0A"/>
    <w:rsid w:val="00CB5F34"/>
    <w:rsid w:val="00CB615D"/>
    <w:rsid w:val="00CB6194"/>
    <w:rsid w:val="00CB61AD"/>
    <w:rsid w:val="00CB63B5"/>
    <w:rsid w:val="00CB63DD"/>
    <w:rsid w:val="00CB683A"/>
    <w:rsid w:val="00CB6937"/>
    <w:rsid w:val="00CB6A0D"/>
    <w:rsid w:val="00CB6B22"/>
    <w:rsid w:val="00CB70A2"/>
    <w:rsid w:val="00CB7152"/>
    <w:rsid w:val="00CB719A"/>
    <w:rsid w:val="00CB720E"/>
    <w:rsid w:val="00CB723C"/>
    <w:rsid w:val="00CB7286"/>
    <w:rsid w:val="00CB7324"/>
    <w:rsid w:val="00CB7431"/>
    <w:rsid w:val="00CB74A8"/>
    <w:rsid w:val="00CB75D5"/>
    <w:rsid w:val="00CB767E"/>
    <w:rsid w:val="00CB77D8"/>
    <w:rsid w:val="00CB78E4"/>
    <w:rsid w:val="00CB7973"/>
    <w:rsid w:val="00CB79BF"/>
    <w:rsid w:val="00CB7A42"/>
    <w:rsid w:val="00CB7AEC"/>
    <w:rsid w:val="00CB7C1B"/>
    <w:rsid w:val="00CB7D3F"/>
    <w:rsid w:val="00CB7EEF"/>
    <w:rsid w:val="00CB7F19"/>
    <w:rsid w:val="00CB7F46"/>
    <w:rsid w:val="00CB7F5F"/>
    <w:rsid w:val="00CB7FA8"/>
    <w:rsid w:val="00CC0152"/>
    <w:rsid w:val="00CC02E3"/>
    <w:rsid w:val="00CC0428"/>
    <w:rsid w:val="00CC0447"/>
    <w:rsid w:val="00CC0592"/>
    <w:rsid w:val="00CC06E2"/>
    <w:rsid w:val="00CC073F"/>
    <w:rsid w:val="00CC08D3"/>
    <w:rsid w:val="00CC09E0"/>
    <w:rsid w:val="00CC0A2C"/>
    <w:rsid w:val="00CC0B67"/>
    <w:rsid w:val="00CC0BB4"/>
    <w:rsid w:val="00CC0CA4"/>
    <w:rsid w:val="00CC0D46"/>
    <w:rsid w:val="00CC0E82"/>
    <w:rsid w:val="00CC0EAE"/>
    <w:rsid w:val="00CC1050"/>
    <w:rsid w:val="00CC10CA"/>
    <w:rsid w:val="00CC1138"/>
    <w:rsid w:val="00CC116C"/>
    <w:rsid w:val="00CC11B9"/>
    <w:rsid w:val="00CC11D7"/>
    <w:rsid w:val="00CC1428"/>
    <w:rsid w:val="00CC144A"/>
    <w:rsid w:val="00CC1646"/>
    <w:rsid w:val="00CC1731"/>
    <w:rsid w:val="00CC1848"/>
    <w:rsid w:val="00CC184E"/>
    <w:rsid w:val="00CC18F7"/>
    <w:rsid w:val="00CC1927"/>
    <w:rsid w:val="00CC19F3"/>
    <w:rsid w:val="00CC1AC1"/>
    <w:rsid w:val="00CC1AC8"/>
    <w:rsid w:val="00CC1B39"/>
    <w:rsid w:val="00CC1BFA"/>
    <w:rsid w:val="00CC1DAB"/>
    <w:rsid w:val="00CC1EE5"/>
    <w:rsid w:val="00CC20C7"/>
    <w:rsid w:val="00CC2143"/>
    <w:rsid w:val="00CC221C"/>
    <w:rsid w:val="00CC22E5"/>
    <w:rsid w:val="00CC256B"/>
    <w:rsid w:val="00CC2601"/>
    <w:rsid w:val="00CC29AB"/>
    <w:rsid w:val="00CC2A9D"/>
    <w:rsid w:val="00CC2BA2"/>
    <w:rsid w:val="00CC2C0F"/>
    <w:rsid w:val="00CC2D1F"/>
    <w:rsid w:val="00CC2E9F"/>
    <w:rsid w:val="00CC3135"/>
    <w:rsid w:val="00CC32F4"/>
    <w:rsid w:val="00CC33A3"/>
    <w:rsid w:val="00CC34A3"/>
    <w:rsid w:val="00CC35EA"/>
    <w:rsid w:val="00CC370E"/>
    <w:rsid w:val="00CC37D2"/>
    <w:rsid w:val="00CC3848"/>
    <w:rsid w:val="00CC384D"/>
    <w:rsid w:val="00CC3A34"/>
    <w:rsid w:val="00CC3BD0"/>
    <w:rsid w:val="00CC3C5F"/>
    <w:rsid w:val="00CC3FBE"/>
    <w:rsid w:val="00CC4596"/>
    <w:rsid w:val="00CC46C3"/>
    <w:rsid w:val="00CC4714"/>
    <w:rsid w:val="00CC48EF"/>
    <w:rsid w:val="00CC4946"/>
    <w:rsid w:val="00CC4AA7"/>
    <w:rsid w:val="00CC4B73"/>
    <w:rsid w:val="00CC4E44"/>
    <w:rsid w:val="00CC4F45"/>
    <w:rsid w:val="00CC4FD7"/>
    <w:rsid w:val="00CC508C"/>
    <w:rsid w:val="00CC5090"/>
    <w:rsid w:val="00CC50B4"/>
    <w:rsid w:val="00CC50F6"/>
    <w:rsid w:val="00CC51EF"/>
    <w:rsid w:val="00CC549F"/>
    <w:rsid w:val="00CC565E"/>
    <w:rsid w:val="00CC5830"/>
    <w:rsid w:val="00CC593E"/>
    <w:rsid w:val="00CC5ACE"/>
    <w:rsid w:val="00CC5D82"/>
    <w:rsid w:val="00CC5DE3"/>
    <w:rsid w:val="00CC5DEA"/>
    <w:rsid w:val="00CC5ECE"/>
    <w:rsid w:val="00CC5F85"/>
    <w:rsid w:val="00CC5FBE"/>
    <w:rsid w:val="00CC6020"/>
    <w:rsid w:val="00CC612B"/>
    <w:rsid w:val="00CC617D"/>
    <w:rsid w:val="00CC624C"/>
    <w:rsid w:val="00CC6361"/>
    <w:rsid w:val="00CC6A69"/>
    <w:rsid w:val="00CC6B35"/>
    <w:rsid w:val="00CC6D50"/>
    <w:rsid w:val="00CC6D5E"/>
    <w:rsid w:val="00CC6DA9"/>
    <w:rsid w:val="00CC6E38"/>
    <w:rsid w:val="00CC6E98"/>
    <w:rsid w:val="00CC7293"/>
    <w:rsid w:val="00CC73A8"/>
    <w:rsid w:val="00CC75C2"/>
    <w:rsid w:val="00CC779A"/>
    <w:rsid w:val="00CC7940"/>
    <w:rsid w:val="00CC7D75"/>
    <w:rsid w:val="00CC7E5E"/>
    <w:rsid w:val="00CC7F59"/>
    <w:rsid w:val="00CD004E"/>
    <w:rsid w:val="00CD01FC"/>
    <w:rsid w:val="00CD0200"/>
    <w:rsid w:val="00CD02EB"/>
    <w:rsid w:val="00CD0564"/>
    <w:rsid w:val="00CD05B8"/>
    <w:rsid w:val="00CD06A2"/>
    <w:rsid w:val="00CD06DC"/>
    <w:rsid w:val="00CD0844"/>
    <w:rsid w:val="00CD0905"/>
    <w:rsid w:val="00CD09BB"/>
    <w:rsid w:val="00CD0A1A"/>
    <w:rsid w:val="00CD0A41"/>
    <w:rsid w:val="00CD0AFC"/>
    <w:rsid w:val="00CD0FD3"/>
    <w:rsid w:val="00CD116F"/>
    <w:rsid w:val="00CD1295"/>
    <w:rsid w:val="00CD1485"/>
    <w:rsid w:val="00CD14C0"/>
    <w:rsid w:val="00CD17A4"/>
    <w:rsid w:val="00CD1A3F"/>
    <w:rsid w:val="00CD1CD5"/>
    <w:rsid w:val="00CD1CE7"/>
    <w:rsid w:val="00CD1D26"/>
    <w:rsid w:val="00CD1F14"/>
    <w:rsid w:val="00CD24E5"/>
    <w:rsid w:val="00CD25AE"/>
    <w:rsid w:val="00CD25F2"/>
    <w:rsid w:val="00CD267A"/>
    <w:rsid w:val="00CD268F"/>
    <w:rsid w:val="00CD2926"/>
    <w:rsid w:val="00CD2969"/>
    <w:rsid w:val="00CD297F"/>
    <w:rsid w:val="00CD29BF"/>
    <w:rsid w:val="00CD2CA8"/>
    <w:rsid w:val="00CD3170"/>
    <w:rsid w:val="00CD325D"/>
    <w:rsid w:val="00CD3260"/>
    <w:rsid w:val="00CD33DE"/>
    <w:rsid w:val="00CD34B6"/>
    <w:rsid w:val="00CD350E"/>
    <w:rsid w:val="00CD354A"/>
    <w:rsid w:val="00CD36BF"/>
    <w:rsid w:val="00CD3856"/>
    <w:rsid w:val="00CD3ADF"/>
    <w:rsid w:val="00CD3B1D"/>
    <w:rsid w:val="00CD3BE5"/>
    <w:rsid w:val="00CD3C4A"/>
    <w:rsid w:val="00CD3F77"/>
    <w:rsid w:val="00CD3FE0"/>
    <w:rsid w:val="00CD4216"/>
    <w:rsid w:val="00CD4346"/>
    <w:rsid w:val="00CD449A"/>
    <w:rsid w:val="00CD456A"/>
    <w:rsid w:val="00CD4638"/>
    <w:rsid w:val="00CD480B"/>
    <w:rsid w:val="00CD482E"/>
    <w:rsid w:val="00CD48C3"/>
    <w:rsid w:val="00CD4BEF"/>
    <w:rsid w:val="00CD4EF0"/>
    <w:rsid w:val="00CD4F9E"/>
    <w:rsid w:val="00CD4FA1"/>
    <w:rsid w:val="00CD5121"/>
    <w:rsid w:val="00CD525A"/>
    <w:rsid w:val="00CD527D"/>
    <w:rsid w:val="00CD5287"/>
    <w:rsid w:val="00CD531E"/>
    <w:rsid w:val="00CD5570"/>
    <w:rsid w:val="00CD5699"/>
    <w:rsid w:val="00CD5872"/>
    <w:rsid w:val="00CD58BD"/>
    <w:rsid w:val="00CD598D"/>
    <w:rsid w:val="00CD5A75"/>
    <w:rsid w:val="00CD5AD9"/>
    <w:rsid w:val="00CD5DB4"/>
    <w:rsid w:val="00CD605D"/>
    <w:rsid w:val="00CD60F4"/>
    <w:rsid w:val="00CD615F"/>
    <w:rsid w:val="00CD62B5"/>
    <w:rsid w:val="00CD62FF"/>
    <w:rsid w:val="00CD63AC"/>
    <w:rsid w:val="00CD63E8"/>
    <w:rsid w:val="00CD64DF"/>
    <w:rsid w:val="00CD664F"/>
    <w:rsid w:val="00CD6652"/>
    <w:rsid w:val="00CD6713"/>
    <w:rsid w:val="00CD6789"/>
    <w:rsid w:val="00CD68BE"/>
    <w:rsid w:val="00CD68DA"/>
    <w:rsid w:val="00CD68E8"/>
    <w:rsid w:val="00CD6950"/>
    <w:rsid w:val="00CD6ADC"/>
    <w:rsid w:val="00CD6BA2"/>
    <w:rsid w:val="00CD6BE7"/>
    <w:rsid w:val="00CD6DFC"/>
    <w:rsid w:val="00CD6E80"/>
    <w:rsid w:val="00CD7007"/>
    <w:rsid w:val="00CD7193"/>
    <w:rsid w:val="00CD720D"/>
    <w:rsid w:val="00CD7342"/>
    <w:rsid w:val="00CD736A"/>
    <w:rsid w:val="00CD76D6"/>
    <w:rsid w:val="00CD77B7"/>
    <w:rsid w:val="00CD7C78"/>
    <w:rsid w:val="00CD7F32"/>
    <w:rsid w:val="00CD7F5B"/>
    <w:rsid w:val="00CE0081"/>
    <w:rsid w:val="00CE0106"/>
    <w:rsid w:val="00CE0232"/>
    <w:rsid w:val="00CE0660"/>
    <w:rsid w:val="00CE08CB"/>
    <w:rsid w:val="00CE0951"/>
    <w:rsid w:val="00CE0BFA"/>
    <w:rsid w:val="00CE0C3E"/>
    <w:rsid w:val="00CE0EE2"/>
    <w:rsid w:val="00CE12BA"/>
    <w:rsid w:val="00CE176D"/>
    <w:rsid w:val="00CE19D4"/>
    <w:rsid w:val="00CE19FE"/>
    <w:rsid w:val="00CE1A1C"/>
    <w:rsid w:val="00CE1EB1"/>
    <w:rsid w:val="00CE1EC5"/>
    <w:rsid w:val="00CE1F67"/>
    <w:rsid w:val="00CE1FD8"/>
    <w:rsid w:val="00CE202D"/>
    <w:rsid w:val="00CE2393"/>
    <w:rsid w:val="00CE25F2"/>
    <w:rsid w:val="00CE2A6B"/>
    <w:rsid w:val="00CE2DC2"/>
    <w:rsid w:val="00CE2E14"/>
    <w:rsid w:val="00CE33A4"/>
    <w:rsid w:val="00CE3590"/>
    <w:rsid w:val="00CE366D"/>
    <w:rsid w:val="00CE38C8"/>
    <w:rsid w:val="00CE3A43"/>
    <w:rsid w:val="00CE3ACB"/>
    <w:rsid w:val="00CE429D"/>
    <w:rsid w:val="00CE4669"/>
    <w:rsid w:val="00CE4705"/>
    <w:rsid w:val="00CE4797"/>
    <w:rsid w:val="00CE4B1D"/>
    <w:rsid w:val="00CE4F2F"/>
    <w:rsid w:val="00CE4F58"/>
    <w:rsid w:val="00CE50B3"/>
    <w:rsid w:val="00CE523F"/>
    <w:rsid w:val="00CE524F"/>
    <w:rsid w:val="00CE53F8"/>
    <w:rsid w:val="00CE564C"/>
    <w:rsid w:val="00CE56B5"/>
    <w:rsid w:val="00CE58CC"/>
    <w:rsid w:val="00CE5C55"/>
    <w:rsid w:val="00CE5E9B"/>
    <w:rsid w:val="00CE5EF9"/>
    <w:rsid w:val="00CE60EC"/>
    <w:rsid w:val="00CE61A4"/>
    <w:rsid w:val="00CE61CB"/>
    <w:rsid w:val="00CE6233"/>
    <w:rsid w:val="00CE6237"/>
    <w:rsid w:val="00CE6274"/>
    <w:rsid w:val="00CE640C"/>
    <w:rsid w:val="00CE6628"/>
    <w:rsid w:val="00CE671E"/>
    <w:rsid w:val="00CE673A"/>
    <w:rsid w:val="00CE692B"/>
    <w:rsid w:val="00CE6A8F"/>
    <w:rsid w:val="00CE6CB4"/>
    <w:rsid w:val="00CE6DAB"/>
    <w:rsid w:val="00CE6F0A"/>
    <w:rsid w:val="00CE6FC9"/>
    <w:rsid w:val="00CE6FDD"/>
    <w:rsid w:val="00CE7112"/>
    <w:rsid w:val="00CE720B"/>
    <w:rsid w:val="00CE7294"/>
    <w:rsid w:val="00CE7355"/>
    <w:rsid w:val="00CE771C"/>
    <w:rsid w:val="00CE77B6"/>
    <w:rsid w:val="00CE7AA4"/>
    <w:rsid w:val="00CE7C04"/>
    <w:rsid w:val="00CE7D62"/>
    <w:rsid w:val="00CE7DD9"/>
    <w:rsid w:val="00CE7DFD"/>
    <w:rsid w:val="00CF002F"/>
    <w:rsid w:val="00CF006F"/>
    <w:rsid w:val="00CF007A"/>
    <w:rsid w:val="00CF00DD"/>
    <w:rsid w:val="00CF0117"/>
    <w:rsid w:val="00CF013D"/>
    <w:rsid w:val="00CF049B"/>
    <w:rsid w:val="00CF05C4"/>
    <w:rsid w:val="00CF065B"/>
    <w:rsid w:val="00CF06A7"/>
    <w:rsid w:val="00CF0736"/>
    <w:rsid w:val="00CF08C6"/>
    <w:rsid w:val="00CF09AF"/>
    <w:rsid w:val="00CF09B2"/>
    <w:rsid w:val="00CF0A51"/>
    <w:rsid w:val="00CF0E6A"/>
    <w:rsid w:val="00CF0F64"/>
    <w:rsid w:val="00CF0FAB"/>
    <w:rsid w:val="00CF105F"/>
    <w:rsid w:val="00CF1194"/>
    <w:rsid w:val="00CF11A4"/>
    <w:rsid w:val="00CF123B"/>
    <w:rsid w:val="00CF127E"/>
    <w:rsid w:val="00CF1347"/>
    <w:rsid w:val="00CF1380"/>
    <w:rsid w:val="00CF157A"/>
    <w:rsid w:val="00CF18B4"/>
    <w:rsid w:val="00CF1AE1"/>
    <w:rsid w:val="00CF1B0A"/>
    <w:rsid w:val="00CF1B7B"/>
    <w:rsid w:val="00CF1BD2"/>
    <w:rsid w:val="00CF1D02"/>
    <w:rsid w:val="00CF1DD4"/>
    <w:rsid w:val="00CF1E46"/>
    <w:rsid w:val="00CF1FD1"/>
    <w:rsid w:val="00CF2002"/>
    <w:rsid w:val="00CF2351"/>
    <w:rsid w:val="00CF23AC"/>
    <w:rsid w:val="00CF252E"/>
    <w:rsid w:val="00CF2676"/>
    <w:rsid w:val="00CF2846"/>
    <w:rsid w:val="00CF286B"/>
    <w:rsid w:val="00CF28D9"/>
    <w:rsid w:val="00CF28F2"/>
    <w:rsid w:val="00CF2B8D"/>
    <w:rsid w:val="00CF2D94"/>
    <w:rsid w:val="00CF2DA1"/>
    <w:rsid w:val="00CF2E52"/>
    <w:rsid w:val="00CF3131"/>
    <w:rsid w:val="00CF326D"/>
    <w:rsid w:val="00CF3374"/>
    <w:rsid w:val="00CF36C0"/>
    <w:rsid w:val="00CF36F3"/>
    <w:rsid w:val="00CF3702"/>
    <w:rsid w:val="00CF37A6"/>
    <w:rsid w:val="00CF3A1B"/>
    <w:rsid w:val="00CF3BF1"/>
    <w:rsid w:val="00CF3DCC"/>
    <w:rsid w:val="00CF3E09"/>
    <w:rsid w:val="00CF3F62"/>
    <w:rsid w:val="00CF3F83"/>
    <w:rsid w:val="00CF405A"/>
    <w:rsid w:val="00CF405E"/>
    <w:rsid w:val="00CF456B"/>
    <w:rsid w:val="00CF467E"/>
    <w:rsid w:val="00CF49D5"/>
    <w:rsid w:val="00CF4B6D"/>
    <w:rsid w:val="00CF4B99"/>
    <w:rsid w:val="00CF4D2F"/>
    <w:rsid w:val="00CF4F2C"/>
    <w:rsid w:val="00CF5131"/>
    <w:rsid w:val="00CF51CD"/>
    <w:rsid w:val="00CF5245"/>
    <w:rsid w:val="00CF52E9"/>
    <w:rsid w:val="00CF53CC"/>
    <w:rsid w:val="00CF5584"/>
    <w:rsid w:val="00CF5592"/>
    <w:rsid w:val="00CF5790"/>
    <w:rsid w:val="00CF57F4"/>
    <w:rsid w:val="00CF5A22"/>
    <w:rsid w:val="00CF5AA3"/>
    <w:rsid w:val="00CF5C31"/>
    <w:rsid w:val="00CF5D54"/>
    <w:rsid w:val="00CF5ECE"/>
    <w:rsid w:val="00CF5FF7"/>
    <w:rsid w:val="00CF60B8"/>
    <w:rsid w:val="00CF6227"/>
    <w:rsid w:val="00CF62C2"/>
    <w:rsid w:val="00CF635E"/>
    <w:rsid w:val="00CF6431"/>
    <w:rsid w:val="00CF6439"/>
    <w:rsid w:val="00CF64F6"/>
    <w:rsid w:val="00CF6C05"/>
    <w:rsid w:val="00CF6C18"/>
    <w:rsid w:val="00CF6C20"/>
    <w:rsid w:val="00CF6CCD"/>
    <w:rsid w:val="00CF6D32"/>
    <w:rsid w:val="00CF6F27"/>
    <w:rsid w:val="00CF7005"/>
    <w:rsid w:val="00CF7199"/>
    <w:rsid w:val="00CF71AC"/>
    <w:rsid w:val="00CF7408"/>
    <w:rsid w:val="00CF75F2"/>
    <w:rsid w:val="00CF75F6"/>
    <w:rsid w:val="00CF76F8"/>
    <w:rsid w:val="00CF7712"/>
    <w:rsid w:val="00CF7749"/>
    <w:rsid w:val="00CF779D"/>
    <w:rsid w:val="00CF786C"/>
    <w:rsid w:val="00CF7892"/>
    <w:rsid w:val="00CF78B1"/>
    <w:rsid w:val="00CF7938"/>
    <w:rsid w:val="00CF7952"/>
    <w:rsid w:val="00CF79E7"/>
    <w:rsid w:val="00CF7B9E"/>
    <w:rsid w:val="00CF7E7C"/>
    <w:rsid w:val="00D00018"/>
    <w:rsid w:val="00D00073"/>
    <w:rsid w:val="00D001DA"/>
    <w:rsid w:val="00D0020B"/>
    <w:rsid w:val="00D00333"/>
    <w:rsid w:val="00D00341"/>
    <w:rsid w:val="00D003F9"/>
    <w:rsid w:val="00D0040E"/>
    <w:rsid w:val="00D0041E"/>
    <w:rsid w:val="00D0043B"/>
    <w:rsid w:val="00D00468"/>
    <w:rsid w:val="00D0046E"/>
    <w:rsid w:val="00D006D0"/>
    <w:rsid w:val="00D00719"/>
    <w:rsid w:val="00D00878"/>
    <w:rsid w:val="00D00A5E"/>
    <w:rsid w:val="00D00A64"/>
    <w:rsid w:val="00D00AC0"/>
    <w:rsid w:val="00D00B5D"/>
    <w:rsid w:val="00D00DE1"/>
    <w:rsid w:val="00D01011"/>
    <w:rsid w:val="00D01098"/>
    <w:rsid w:val="00D01115"/>
    <w:rsid w:val="00D011EC"/>
    <w:rsid w:val="00D012D1"/>
    <w:rsid w:val="00D01348"/>
    <w:rsid w:val="00D0157A"/>
    <w:rsid w:val="00D019BE"/>
    <w:rsid w:val="00D01B88"/>
    <w:rsid w:val="00D01DA0"/>
    <w:rsid w:val="00D01DF3"/>
    <w:rsid w:val="00D01E09"/>
    <w:rsid w:val="00D01F51"/>
    <w:rsid w:val="00D02158"/>
    <w:rsid w:val="00D0237C"/>
    <w:rsid w:val="00D024E5"/>
    <w:rsid w:val="00D0262E"/>
    <w:rsid w:val="00D0263A"/>
    <w:rsid w:val="00D028A9"/>
    <w:rsid w:val="00D02B92"/>
    <w:rsid w:val="00D02CB3"/>
    <w:rsid w:val="00D02CE7"/>
    <w:rsid w:val="00D02DA3"/>
    <w:rsid w:val="00D02FDC"/>
    <w:rsid w:val="00D031B1"/>
    <w:rsid w:val="00D03354"/>
    <w:rsid w:val="00D0351F"/>
    <w:rsid w:val="00D03573"/>
    <w:rsid w:val="00D03679"/>
    <w:rsid w:val="00D036F6"/>
    <w:rsid w:val="00D038A8"/>
    <w:rsid w:val="00D03B04"/>
    <w:rsid w:val="00D03D0B"/>
    <w:rsid w:val="00D04045"/>
    <w:rsid w:val="00D040D7"/>
    <w:rsid w:val="00D040EE"/>
    <w:rsid w:val="00D04450"/>
    <w:rsid w:val="00D0449A"/>
    <w:rsid w:val="00D044BC"/>
    <w:rsid w:val="00D04521"/>
    <w:rsid w:val="00D045DC"/>
    <w:rsid w:val="00D04678"/>
    <w:rsid w:val="00D04704"/>
    <w:rsid w:val="00D04848"/>
    <w:rsid w:val="00D049E1"/>
    <w:rsid w:val="00D04A78"/>
    <w:rsid w:val="00D04BB1"/>
    <w:rsid w:val="00D04CD0"/>
    <w:rsid w:val="00D04E72"/>
    <w:rsid w:val="00D05155"/>
    <w:rsid w:val="00D051F8"/>
    <w:rsid w:val="00D0535C"/>
    <w:rsid w:val="00D05502"/>
    <w:rsid w:val="00D056C9"/>
    <w:rsid w:val="00D05714"/>
    <w:rsid w:val="00D05716"/>
    <w:rsid w:val="00D059A3"/>
    <w:rsid w:val="00D05C42"/>
    <w:rsid w:val="00D05E3D"/>
    <w:rsid w:val="00D06139"/>
    <w:rsid w:val="00D0628A"/>
    <w:rsid w:val="00D0631D"/>
    <w:rsid w:val="00D06384"/>
    <w:rsid w:val="00D0644A"/>
    <w:rsid w:val="00D064C8"/>
    <w:rsid w:val="00D064E3"/>
    <w:rsid w:val="00D06700"/>
    <w:rsid w:val="00D0676D"/>
    <w:rsid w:val="00D06877"/>
    <w:rsid w:val="00D06930"/>
    <w:rsid w:val="00D06948"/>
    <w:rsid w:val="00D06AFD"/>
    <w:rsid w:val="00D06F27"/>
    <w:rsid w:val="00D06F93"/>
    <w:rsid w:val="00D070F1"/>
    <w:rsid w:val="00D075E2"/>
    <w:rsid w:val="00D07614"/>
    <w:rsid w:val="00D07748"/>
    <w:rsid w:val="00D07883"/>
    <w:rsid w:val="00D07BF9"/>
    <w:rsid w:val="00D07CE1"/>
    <w:rsid w:val="00D07E15"/>
    <w:rsid w:val="00D100D3"/>
    <w:rsid w:val="00D103AC"/>
    <w:rsid w:val="00D10567"/>
    <w:rsid w:val="00D1064B"/>
    <w:rsid w:val="00D107B4"/>
    <w:rsid w:val="00D107C7"/>
    <w:rsid w:val="00D108FF"/>
    <w:rsid w:val="00D1094D"/>
    <w:rsid w:val="00D10A7E"/>
    <w:rsid w:val="00D10ADE"/>
    <w:rsid w:val="00D10BC2"/>
    <w:rsid w:val="00D10BFA"/>
    <w:rsid w:val="00D10EA9"/>
    <w:rsid w:val="00D10F05"/>
    <w:rsid w:val="00D10F9C"/>
    <w:rsid w:val="00D110BD"/>
    <w:rsid w:val="00D112CD"/>
    <w:rsid w:val="00D112F9"/>
    <w:rsid w:val="00D11646"/>
    <w:rsid w:val="00D118FF"/>
    <w:rsid w:val="00D11964"/>
    <w:rsid w:val="00D11C43"/>
    <w:rsid w:val="00D11D21"/>
    <w:rsid w:val="00D11E7E"/>
    <w:rsid w:val="00D11FBC"/>
    <w:rsid w:val="00D12353"/>
    <w:rsid w:val="00D123FC"/>
    <w:rsid w:val="00D124AE"/>
    <w:rsid w:val="00D1259D"/>
    <w:rsid w:val="00D1289A"/>
    <w:rsid w:val="00D12C27"/>
    <w:rsid w:val="00D12D0D"/>
    <w:rsid w:val="00D13015"/>
    <w:rsid w:val="00D13105"/>
    <w:rsid w:val="00D13181"/>
    <w:rsid w:val="00D13290"/>
    <w:rsid w:val="00D13675"/>
    <w:rsid w:val="00D13795"/>
    <w:rsid w:val="00D13AB4"/>
    <w:rsid w:val="00D13AB5"/>
    <w:rsid w:val="00D13CE3"/>
    <w:rsid w:val="00D13D78"/>
    <w:rsid w:val="00D14048"/>
    <w:rsid w:val="00D140DC"/>
    <w:rsid w:val="00D141E1"/>
    <w:rsid w:val="00D14367"/>
    <w:rsid w:val="00D143E1"/>
    <w:rsid w:val="00D143E6"/>
    <w:rsid w:val="00D14473"/>
    <w:rsid w:val="00D14486"/>
    <w:rsid w:val="00D14521"/>
    <w:rsid w:val="00D145E5"/>
    <w:rsid w:val="00D146D9"/>
    <w:rsid w:val="00D147D4"/>
    <w:rsid w:val="00D1484F"/>
    <w:rsid w:val="00D14A8B"/>
    <w:rsid w:val="00D14D53"/>
    <w:rsid w:val="00D1501B"/>
    <w:rsid w:val="00D1502F"/>
    <w:rsid w:val="00D15122"/>
    <w:rsid w:val="00D15314"/>
    <w:rsid w:val="00D153C1"/>
    <w:rsid w:val="00D154FE"/>
    <w:rsid w:val="00D15884"/>
    <w:rsid w:val="00D158C7"/>
    <w:rsid w:val="00D1599B"/>
    <w:rsid w:val="00D15B41"/>
    <w:rsid w:val="00D15B48"/>
    <w:rsid w:val="00D15C12"/>
    <w:rsid w:val="00D15C69"/>
    <w:rsid w:val="00D15CED"/>
    <w:rsid w:val="00D15FB9"/>
    <w:rsid w:val="00D15FDC"/>
    <w:rsid w:val="00D16076"/>
    <w:rsid w:val="00D161B3"/>
    <w:rsid w:val="00D162DC"/>
    <w:rsid w:val="00D166F9"/>
    <w:rsid w:val="00D167DC"/>
    <w:rsid w:val="00D1696B"/>
    <w:rsid w:val="00D16989"/>
    <w:rsid w:val="00D16A18"/>
    <w:rsid w:val="00D16A9D"/>
    <w:rsid w:val="00D16D18"/>
    <w:rsid w:val="00D16E04"/>
    <w:rsid w:val="00D1703C"/>
    <w:rsid w:val="00D173D9"/>
    <w:rsid w:val="00D17450"/>
    <w:rsid w:val="00D1750B"/>
    <w:rsid w:val="00D176FB"/>
    <w:rsid w:val="00D17743"/>
    <w:rsid w:val="00D1791C"/>
    <w:rsid w:val="00D17B10"/>
    <w:rsid w:val="00D17C5A"/>
    <w:rsid w:val="00D17CD8"/>
    <w:rsid w:val="00D17D30"/>
    <w:rsid w:val="00D17D6C"/>
    <w:rsid w:val="00D17F5F"/>
    <w:rsid w:val="00D20011"/>
    <w:rsid w:val="00D200B4"/>
    <w:rsid w:val="00D200F5"/>
    <w:rsid w:val="00D20267"/>
    <w:rsid w:val="00D203C9"/>
    <w:rsid w:val="00D208BC"/>
    <w:rsid w:val="00D208DF"/>
    <w:rsid w:val="00D20935"/>
    <w:rsid w:val="00D209DD"/>
    <w:rsid w:val="00D20A8A"/>
    <w:rsid w:val="00D20AF0"/>
    <w:rsid w:val="00D20B21"/>
    <w:rsid w:val="00D20B29"/>
    <w:rsid w:val="00D20C1A"/>
    <w:rsid w:val="00D20CE8"/>
    <w:rsid w:val="00D20D5A"/>
    <w:rsid w:val="00D20D8A"/>
    <w:rsid w:val="00D20E8E"/>
    <w:rsid w:val="00D2100F"/>
    <w:rsid w:val="00D21334"/>
    <w:rsid w:val="00D2137F"/>
    <w:rsid w:val="00D213C4"/>
    <w:rsid w:val="00D21438"/>
    <w:rsid w:val="00D2155B"/>
    <w:rsid w:val="00D216C3"/>
    <w:rsid w:val="00D217B9"/>
    <w:rsid w:val="00D219FE"/>
    <w:rsid w:val="00D21A98"/>
    <w:rsid w:val="00D21C80"/>
    <w:rsid w:val="00D21EB5"/>
    <w:rsid w:val="00D220C6"/>
    <w:rsid w:val="00D2247C"/>
    <w:rsid w:val="00D226DF"/>
    <w:rsid w:val="00D2284C"/>
    <w:rsid w:val="00D228B1"/>
    <w:rsid w:val="00D2297D"/>
    <w:rsid w:val="00D229D2"/>
    <w:rsid w:val="00D229D7"/>
    <w:rsid w:val="00D22A01"/>
    <w:rsid w:val="00D22A1C"/>
    <w:rsid w:val="00D22DBC"/>
    <w:rsid w:val="00D22F2F"/>
    <w:rsid w:val="00D23047"/>
    <w:rsid w:val="00D230C6"/>
    <w:rsid w:val="00D23115"/>
    <w:rsid w:val="00D2316E"/>
    <w:rsid w:val="00D2325D"/>
    <w:rsid w:val="00D2338A"/>
    <w:rsid w:val="00D2348A"/>
    <w:rsid w:val="00D234CA"/>
    <w:rsid w:val="00D237A6"/>
    <w:rsid w:val="00D23A90"/>
    <w:rsid w:val="00D23AAC"/>
    <w:rsid w:val="00D23D11"/>
    <w:rsid w:val="00D23F0C"/>
    <w:rsid w:val="00D24135"/>
    <w:rsid w:val="00D24245"/>
    <w:rsid w:val="00D24471"/>
    <w:rsid w:val="00D244B6"/>
    <w:rsid w:val="00D244EB"/>
    <w:rsid w:val="00D24503"/>
    <w:rsid w:val="00D24727"/>
    <w:rsid w:val="00D249E1"/>
    <w:rsid w:val="00D249E3"/>
    <w:rsid w:val="00D24A36"/>
    <w:rsid w:val="00D24ABC"/>
    <w:rsid w:val="00D24B81"/>
    <w:rsid w:val="00D24B8C"/>
    <w:rsid w:val="00D24CCA"/>
    <w:rsid w:val="00D24E20"/>
    <w:rsid w:val="00D24ECF"/>
    <w:rsid w:val="00D24F56"/>
    <w:rsid w:val="00D24F91"/>
    <w:rsid w:val="00D25148"/>
    <w:rsid w:val="00D25462"/>
    <w:rsid w:val="00D2555B"/>
    <w:rsid w:val="00D25735"/>
    <w:rsid w:val="00D25799"/>
    <w:rsid w:val="00D25B0C"/>
    <w:rsid w:val="00D25C00"/>
    <w:rsid w:val="00D25D6C"/>
    <w:rsid w:val="00D26178"/>
    <w:rsid w:val="00D26275"/>
    <w:rsid w:val="00D26489"/>
    <w:rsid w:val="00D264A9"/>
    <w:rsid w:val="00D267A4"/>
    <w:rsid w:val="00D26874"/>
    <w:rsid w:val="00D269B6"/>
    <w:rsid w:val="00D269F4"/>
    <w:rsid w:val="00D26B4B"/>
    <w:rsid w:val="00D26BE4"/>
    <w:rsid w:val="00D26EA2"/>
    <w:rsid w:val="00D27166"/>
    <w:rsid w:val="00D27201"/>
    <w:rsid w:val="00D2723B"/>
    <w:rsid w:val="00D27375"/>
    <w:rsid w:val="00D27406"/>
    <w:rsid w:val="00D2753F"/>
    <w:rsid w:val="00D2754D"/>
    <w:rsid w:val="00D276EC"/>
    <w:rsid w:val="00D2772F"/>
    <w:rsid w:val="00D27759"/>
    <w:rsid w:val="00D278B0"/>
    <w:rsid w:val="00D27A98"/>
    <w:rsid w:val="00D27B27"/>
    <w:rsid w:val="00D27C99"/>
    <w:rsid w:val="00D27EB9"/>
    <w:rsid w:val="00D27F50"/>
    <w:rsid w:val="00D30046"/>
    <w:rsid w:val="00D300F2"/>
    <w:rsid w:val="00D3023E"/>
    <w:rsid w:val="00D3037D"/>
    <w:rsid w:val="00D30427"/>
    <w:rsid w:val="00D30465"/>
    <w:rsid w:val="00D3065A"/>
    <w:rsid w:val="00D30758"/>
    <w:rsid w:val="00D30934"/>
    <w:rsid w:val="00D30B0D"/>
    <w:rsid w:val="00D30D5B"/>
    <w:rsid w:val="00D30D7A"/>
    <w:rsid w:val="00D30E7C"/>
    <w:rsid w:val="00D30F7E"/>
    <w:rsid w:val="00D30FC4"/>
    <w:rsid w:val="00D31094"/>
    <w:rsid w:val="00D31290"/>
    <w:rsid w:val="00D31337"/>
    <w:rsid w:val="00D313AB"/>
    <w:rsid w:val="00D31520"/>
    <w:rsid w:val="00D3154B"/>
    <w:rsid w:val="00D31692"/>
    <w:rsid w:val="00D317A8"/>
    <w:rsid w:val="00D31B50"/>
    <w:rsid w:val="00D31D09"/>
    <w:rsid w:val="00D31D30"/>
    <w:rsid w:val="00D31F63"/>
    <w:rsid w:val="00D32042"/>
    <w:rsid w:val="00D32101"/>
    <w:rsid w:val="00D32260"/>
    <w:rsid w:val="00D3256A"/>
    <w:rsid w:val="00D3276B"/>
    <w:rsid w:val="00D328A9"/>
    <w:rsid w:val="00D32900"/>
    <w:rsid w:val="00D3294E"/>
    <w:rsid w:val="00D32ADA"/>
    <w:rsid w:val="00D32B1C"/>
    <w:rsid w:val="00D32B32"/>
    <w:rsid w:val="00D32E51"/>
    <w:rsid w:val="00D32ECC"/>
    <w:rsid w:val="00D330BA"/>
    <w:rsid w:val="00D330D0"/>
    <w:rsid w:val="00D332C1"/>
    <w:rsid w:val="00D3396B"/>
    <w:rsid w:val="00D33AC1"/>
    <w:rsid w:val="00D33B25"/>
    <w:rsid w:val="00D33BE9"/>
    <w:rsid w:val="00D33D01"/>
    <w:rsid w:val="00D33E6B"/>
    <w:rsid w:val="00D33E8F"/>
    <w:rsid w:val="00D33F93"/>
    <w:rsid w:val="00D3403B"/>
    <w:rsid w:val="00D3411A"/>
    <w:rsid w:val="00D3427E"/>
    <w:rsid w:val="00D342D2"/>
    <w:rsid w:val="00D34554"/>
    <w:rsid w:val="00D347A4"/>
    <w:rsid w:val="00D34A13"/>
    <w:rsid w:val="00D34A81"/>
    <w:rsid w:val="00D34AB4"/>
    <w:rsid w:val="00D34B75"/>
    <w:rsid w:val="00D34BED"/>
    <w:rsid w:val="00D34DAB"/>
    <w:rsid w:val="00D34E79"/>
    <w:rsid w:val="00D34FA0"/>
    <w:rsid w:val="00D35088"/>
    <w:rsid w:val="00D350F6"/>
    <w:rsid w:val="00D35148"/>
    <w:rsid w:val="00D35215"/>
    <w:rsid w:val="00D354BA"/>
    <w:rsid w:val="00D355FB"/>
    <w:rsid w:val="00D356A7"/>
    <w:rsid w:val="00D3571C"/>
    <w:rsid w:val="00D357E0"/>
    <w:rsid w:val="00D357FF"/>
    <w:rsid w:val="00D35875"/>
    <w:rsid w:val="00D35A78"/>
    <w:rsid w:val="00D35A83"/>
    <w:rsid w:val="00D35DDF"/>
    <w:rsid w:val="00D35E59"/>
    <w:rsid w:val="00D35F4D"/>
    <w:rsid w:val="00D36027"/>
    <w:rsid w:val="00D361C4"/>
    <w:rsid w:val="00D36273"/>
    <w:rsid w:val="00D36487"/>
    <w:rsid w:val="00D3687B"/>
    <w:rsid w:val="00D369FB"/>
    <w:rsid w:val="00D36A07"/>
    <w:rsid w:val="00D36A0F"/>
    <w:rsid w:val="00D36B6B"/>
    <w:rsid w:val="00D36B71"/>
    <w:rsid w:val="00D36C97"/>
    <w:rsid w:val="00D3729C"/>
    <w:rsid w:val="00D37358"/>
    <w:rsid w:val="00D374A4"/>
    <w:rsid w:val="00D37A9F"/>
    <w:rsid w:val="00D37BF0"/>
    <w:rsid w:val="00D37D0B"/>
    <w:rsid w:val="00D37D42"/>
    <w:rsid w:val="00D37E16"/>
    <w:rsid w:val="00D40347"/>
    <w:rsid w:val="00D4044A"/>
    <w:rsid w:val="00D4052D"/>
    <w:rsid w:val="00D40541"/>
    <w:rsid w:val="00D40643"/>
    <w:rsid w:val="00D40D87"/>
    <w:rsid w:val="00D40DBB"/>
    <w:rsid w:val="00D40EDF"/>
    <w:rsid w:val="00D40F70"/>
    <w:rsid w:val="00D41208"/>
    <w:rsid w:val="00D4128F"/>
    <w:rsid w:val="00D4141F"/>
    <w:rsid w:val="00D414EF"/>
    <w:rsid w:val="00D4154D"/>
    <w:rsid w:val="00D41940"/>
    <w:rsid w:val="00D41968"/>
    <w:rsid w:val="00D41A19"/>
    <w:rsid w:val="00D41B63"/>
    <w:rsid w:val="00D41BA6"/>
    <w:rsid w:val="00D41C15"/>
    <w:rsid w:val="00D41CC5"/>
    <w:rsid w:val="00D41DA8"/>
    <w:rsid w:val="00D41DBA"/>
    <w:rsid w:val="00D41DEF"/>
    <w:rsid w:val="00D41E2B"/>
    <w:rsid w:val="00D421D6"/>
    <w:rsid w:val="00D42246"/>
    <w:rsid w:val="00D423F0"/>
    <w:rsid w:val="00D424C7"/>
    <w:rsid w:val="00D42801"/>
    <w:rsid w:val="00D429B3"/>
    <w:rsid w:val="00D429BD"/>
    <w:rsid w:val="00D42A44"/>
    <w:rsid w:val="00D42E2A"/>
    <w:rsid w:val="00D42F2F"/>
    <w:rsid w:val="00D42FF8"/>
    <w:rsid w:val="00D4300D"/>
    <w:rsid w:val="00D430C8"/>
    <w:rsid w:val="00D43193"/>
    <w:rsid w:val="00D431F2"/>
    <w:rsid w:val="00D434B5"/>
    <w:rsid w:val="00D434BF"/>
    <w:rsid w:val="00D4354F"/>
    <w:rsid w:val="00D43794"/>
    <w:rsid w:val="00D43B2A"/>
    <w:rsid w:val="00D43B92"/>
    <w:rsid w:val="00D43C8E"/>
    <w:rsid w:val="00D43CF1"/>
    <w:rsid w:val="00D43D83"/>
    <w:rsid w:val="00D43E21"/>
    <w:rsid w:val="00D43F33"/>
    <w:rsid w:val="00D43F9F"/>
    <w:rsid w:val="00D43FB1"/>
    <w:rsid w:val="00D43FE3"/>
    <w:rsid w:val="00D44062"/>
    <w:rsid w:val="00D44101"/>
    <w:rsid w:val="00D4420C"/>
    <w:rsid w:val="00D4437B"/>
    <w:rsid w:val="00D449F6"/>
    <w:rsid w:val="00D44E3F"/>
    <w:rsid w:val="00D44E91"/>
    <w:rsid w:val="00D450B9"/>
    <w:rsid w:val="00D450EA"/>
    <w:rsid w:val="00D4552B"/>
    <w:rsid w:val="00D456F6"/>
    <w:rsid w:val="00D457C1"/>
    <w:rsid w:val="00D45811"/>
    <w:rsid w:val="00D45839"/>
    <w:rsid w:val="00D45856"/>
    <w:rsid w:val="00D45A35"/>
    <w:rsid w:val="00D45B36"/>
    <w:rsid w:val="00D45BED"/>
    <w:rsid w:val="00D45D22"/>
    <w:rsid w:val="00D4608A"/>
    <w:rsid w:val="00D466F5"/>
    <w:rsid w:val="00D46AEF"/>
    <w:rsid w:val="00D46C15"/>
    <w:rsid w:val="00D46D77"/>
    <w:rsid w:val="00D46D9F"/>
    <w:rsid w:val="00D46F3B"/>
    <w:rsid w:val="00D47097"/>
    <w:rsid w:val="00D470BB"/>
    <w:rsid w:val="00D47150"/>
    <w:rsid w:val="00D47173"/>
    <w:rsid w:val="00D4738B"/>
    <w:rsid w:val="00D47397"/>
    <w:rsid w:val="00D47516"/>
    <w:rsid w:val="00D47575"/>
    <w:rsid w:val="00D4791A"/>
    <w:rsid w:val="00D479E0"/>
    <w:rsid w:val="00D47B20"/>
    <w:rsid w:val="00D47B67"/>
    <w:rsid w:val="00D47FC5"/>
    <w:rsid w:val="00D50006"/>
    <w:rsid w:val="00D5025E"/>
    <w:rsid w:val="00D502BE"/>
    <w:rsid w:val="00D503F9"/>
    <w:rsid w:val="00D5094A"/>
    <w:rsid w:val="00D5094F"/>
    <w:rsid w:val="00D50B0A"/>
    <w:rsid w:val="00D50BF4"/>
    <w:rsid w:val="00D50C05"/>
    <w:rsid w:val="00D50D4A"/>
    <w:rsid w:val="00D50DA2"/>
    <w:rsid w:val="00D50DD0"/>
    <w:rsid w:val="00D5103D"/>
    <w:rsid w:val="00D5109D"/>
    <w:rsid w:val="00D5115F"/>
    <w:rsid w:val="00D51166"/>
    <w:rsid w:val="00D5125B"/>
    <w:rsid w:val="00D513A2"/>
    <w:rsid w:val="00D51518"/>
    <w:rsid w:val="00D5161B"/>
    <w:rsid w:val="00D51E28"/>
    <w:rsid w:val="00D51ECB"/>
    <w:rsid w:val="00D51F94"/>
    <w:rsid w:val="00D51FF2"/>
    <w:rsid w:val="00D520EA"/>
    <w:rsid w:val="00D52157"/>
    <w:rsid w:val="00D5243B"/>
    <w:rsid w:val="00D524A8"/>
    <w:rsid w:val="00D524B0"/>
    <w:rsid w:val="00D524B3"/>
    <w:rsid w:val="00D526ED"/>
    <w:rsid w:val="00D52796"/>
    <w:rsid w:val="00D529F6"/>
    <w:rsid w:val="00D52A1C"/>
    <w:rsid w:val="00D52B2A"/>
    <w:rsid w:val="00D52C26"/>
    <w:rsid w:val="00D52C53"/>
    <w:rsid w:val="00D52FEF"/>
    <w:rsid w:val="00D533C5"/>
    <w:rsid w:val="00D533EC"/>
    <w:rsid w:val="00D536C3"/>
    <w:rsid w:val="00D53820"/>
    <w:rsid w:val="00D538EE"/>
    <w:rsid w:val="00D53AB1"/>
    <w:rsid w:val="00D540CD"/>
    <w:rsid w:val="00D54232"/>
    <w:rsid w:val="00D5447D"/>
    <w:rsid w:val="00D544B7"/>
    <w:rsid w:val="00D54555"/>
    <w:rsid w:val="00D54581"/>
    <w:rsid w:val="00D5459A"/>
    <w:rsid w:val="00D545D2"/>
    <w:rsid w:val="00D546CA"/>
    <w:rsid w:val="00D54889"/>
    <w:rsid w:val="00D54E9D"/>
    <w:rsid w:val="00D54F03"/>
    <w:rsid w:val="00D55092"/>
    <w:rsid w:val="00D550A8"/>
    <w:rsid w:val="00D55284"/>
    <w:rsid w:val="00D5533A"/>
    <w:rsid w:val="00D553F0"/>
    <w:rsid w:val="00D55433"/>
    <w:rsid w:val="00D554A6"/>
    <w:rsid w:val="00D558F2"/>
    <w:rsid w:val="00D559A4"/>
    <w:rsid w:val="00D55B83"/>
    <w:rsid w:val="00D55F8B"/>
    <w:rsid w:val="00D56091"/>
    <w:rsid w:val="00D563B6"/>
    <w:rsid w:val="00D564FE"/>
    <w:rsid w:val="00D56764"/>
    <w:rsid w:val="00D5689A"/>
    <w:rsid w:val="00D568E6"/>
    <w:rsid w:val="00D5693B"/>
    <w:rsid w:val="00D56A95"/>
    <w:rsid w:val="00D56BE4"/>
    <w:rsid w:val="00D56C2F"/>
    <w:rsid w:val="00D56C81"/>
    <w:rsid w:val="00D56CAA"/>
    <w:rsid w:val="00D56CDF"/>
    <w:rsid w:val="00D56D04"/>
    <w:rsid w:val="00D56D44"/>
    <w:rsid w:val="00D56E52"/>
    <w:rsid w:val="00D56E93"/>
    <w:rsid w:val="00D5722B"/>
    <w:rsid w:val="00D572D7"/>
    <w:rsid w:val="00D572F6"/>
    <w:rsid w:val="00D575A8"/>
    <w:rsid w:val="00D57819"/>
    <w:rsid w:val="00D57827"/>
    <w:rsid w:val="00D578E9"/>
    <w:rsid w:val="00D57A8C"/>
    <w:rsid w:val="00D57B9B"/>
    <w:rsid w:val="00D57C37"/>
    <w:rsid w:val="00D57C63"/>
    <w:rsid w:val="00D57C7D"/>
    <w:rsid w:val="00D57D70"/>
    <w:rsid w:val="00D57FCD"/>
    <w:rsid w:val="00D603D7"/>
    <w:rsid w:val="00D605B0"/>
    <w:rsid w:val="00D60667"/>
    <w:rsid w:val="00D6072F"/>
    <w:rsid w:val="00D6076E"/>
    <w:rsid w:val="00D607E1"/>
    <w:rsid w:val="00D60902"/>
    <w:rsid w:val="00D6093C"/>
    <w:rsid w:val="00D60A78"/>
    <w:rsid w:val="00D60A8C"/>
    <w:rsid w:val="00D60C6C"/>
    <w:rsid w:val="00D60CD8"/>
    <w:rsid w:val="00D60D4F"/>
    <w:rsid w:val="00D60EDE"/>
    <w:rsid w:val="00D60F6B"/>
    <w:rsid w:val="00D61081"/>
    <w:rsid w:val="00D6110F"/>
    <w:rsid w:val="00D61166"/>
    <w:rsid w:val="00D61339"/>
    <w:rsid w:val="00D61373"/>
    <w:rsid w:val="00D613C8"/>
    <w:rsid w:val="00D614CC"/>
    <w:rsid w:val="00D6170A"/>
    <w:rsid w:val="00D6172B"/>
    <w:rsid w:val="00D617A3"/>
    <w:rsid w:val="00D617D7"/>
    <w:rsid w:val="00D618A1"/>
    <w:rsid w:val="00D61990"/>
    <w:rsid w:val="00D61A04"/>
    <w:rsid w:val="00D61ABD"/>
    <w:rsid w:val="00D61C73"/>
    <w:rsid w:val="00D61F0C"/>
    <w:rsid w:val="00D61F89"/>
    <w:rsid w:val="00D62366"/>
    <w:rsid w:val="00D6245B"/>
    <w:rsid w:val="00D624AF"/>
    <w:rsid w:val="00D625A1"/>
    <w:rsid w:val="00D62830"/>
    <w:rsid w:val="00D62940"/>
    <w:rsid w:val="00D6299F"/>
    <w:rsid w:val="00D629D5"/>
    <w:rsid w:val="00D629E1"/>
    <w:rsid w:val="00D62A6E"/>
    <w:rsid w:val="00D62EF9"/>
    <w:rsid w:val="00D6317C"/>
    <w:rsid w:val="00D631A1"/>
    <w:rsid w:val="00D63226"/>
    <w:rsid w:val="00D633C6"/>
    <w:rsid w:val="00D633F8"/>
    <w:rsid w:val="00D63570"/>
    <w:rsid w:val="00D6389B"/>
    <w:rsid w:val="00D63977"/>
    <w:rsid w:val="00D639E6"/>
    <w:rsid w:val="00D63A3C"/>
    <w:rsid w:val="00D63AA5"/>
    <w:rsid w:val="00D63B1D"/>
    <w:rsid w:val="00D63BC7"/>
    <w:rsid w:val="00D63DD5"/>
    <w:rsid w:val="00D63E13"/>
    <w:rsid w:val="00D6409E"/>
    <w:rsid w:val="00D64173"/>
    <w:rsid w:val="00D6417F"/>
    <w:rsid w:val="00D6450C"/>
    <w:rsid w:val="00D6481D"/>
    <w:rsid w:val="00D64828"/>
    <w:rsid w:val="00D6497E"/>
    <w:rsid w:val="00D649A3"/>
    <w:rsid w:val="00D64C52"/>
    <w:rsid w:val="00D64C53"/>
    <w:rsid w:val="00D64D1A"/>
    <w:rsid w:val="00D64FD9"/>
    <w:rsid w:val="00D65011"/>
    <w:rsid w:val="00D65250"/>
    <w:rsid w:val="00D653D5"/>
    <w:rsid w:val="00D655D1"/>
    <w:rsid w:val="00D65810"/>
    <w:rsid w:val="00D65BED"/>
    <w:rsid w:val="00D65D46"/>
    <w:rsid w:val="00D65E88"/>
    <w:rsid w:val="00D65ED4"/>
    <w:rsid w:val="00D66144"/>
    <w:rsid w:val="00D661D6"/>
    <w:rsid w:val="00D66551"/>
    <w:rsid w:val="00D6662B"/>
    <w:rsid w:val="00D6663E"/>
    <w:rsid w:val="00D666A3"/>
    <w:rsid w:val="00D6673F"/>
    <w:rsid w:val="00D668BE"/>
    <w:rsid w:val="00D66A80"/>
    <w:rsid w:val="00D66BCA"/>
    <w:rsid w:val="00D66CFE"/>
    <w:rsid w:val="00D66D46"/>
    <w:rsid w:val="00D66DF2"/>
    <w:rsid w:val="00D66FD4"/>
    <w:rsid w:val="00D66FD7"/>
    <w:rsid w:val="00D670D3"/>
    <w:rsid w:val="00D67142"/>
    <w:rsid w:val="00D671C4"/>
    <w:rsid w:val="00D672CE"/>
    <w:rsid w:val="00D674E2"/>
    <w:rsid w:val="00D67650"/>
    <w:rsid w:val="00D677A4"/>
    <w:rsid w:val="00D677CF"/>
    <w:rsid w:val="00D679E6"/>
    <w:rsid w:val="00D67A10"/>
    <w:rsid w:val="00D67A94"/>
    <w:rsid w:val="00D67CC1"/>
    <w:rsid w:val="00D67E24"/>
    <w:rsid w:val="00D67E2F"/>
    <w:rsid w:val="00D67E37"/>
    <w:rsid w:val="00D67F3E"/>
    <w:rsid w:val="00D67F43"/>
    <w:rsid w:val="00D67FDF"/>
    <w:rsid w:val="00D70160"/>
    <w:rsid w:val="00D701B1"/>
    <w:rsid w:val="00D705ED"/>
    <w:rsid w:val="00D707CB"/>
    <w:rsid w:val="00D70D9B"/>
    <w:rsid w:val="00D70E1C"/>
    <w:rsid w:val="00D70E3C"/>
    <w:rsid w:val="00D70F16"/>
    <w:rsid w:val="00D710DE"/>
    <w:rsid w:val="00D7130B"/>
    <w:rsid w:val="00D7151E"/>
    <w:rsid w:val="00D71674"/>
    <w:rsid w:val="00D7183D"/>
    <w:rsid w:val="00D719A6"/>
    <w:rsid w:val="00D71B1B"/>
    <w:rsid w:val="00D71B60"/>
    <w:rsid w:val="00D71D48"/>
    <w:rsid w:val="00D71FF7"/>
    <w:rsid w:val="00D72004"/>
    <w:rsid w:val="00D720AB"/>
    <w:rsid w:val="00D721CF"/>
    <w:rsid w:val="00D7227D"/>
    <w:rsid w:val="00D72309"/>
    <w:rsid w:val="00D72340"/>
    <w:rsid w:val="00D7240D"/>
    <w:rsid w:val="00D72617"/>
    <w:rsid w:val="00D72761"/>
    <w:rsid w:val="00D72A3E"/>
    <w:rsid w:val="00D72DF9"/>
    <w:rsid w:val="00D72EA1"/>
    <w:rsid w:val="00D72F57"/>
    <w:rsid w:val="00D73302"/>
    <w:rsid w:val="00D7356F"/>
    <w:rsid w:val="00D7375E"/>
    <w:rsid w:val="00D7376F"/>
    <w:rsid w:val="00D737B1"/>
    <w:rsid w:val="00D73964"/>
    <w:rsid w:val="00D73A70"/>
    <w:rsid w:val="00D73B9B"/>
    <w:rsid w:val="00D73C6F"/>
    <w:rsid w:val="00D73E09"/>
    <w:rsid w:val="00D73E26"/>
    <w:rsid w:val="00D73FB2"/>
    <w:rsid w:val="00D7401F"/>
    <w:rsid w:val="00D74047"/>
    <w:rsid w:val="00D7416E"/>
    <w:rsid w:val="00D7419A"/>
    <w:rsid w:val="00D7420D"/>
    <w:rsid w:val="00D742BF"/>
    <w:rsid w:val="00D743D8"/>
    <w:rsid w:val="00D744E0"/>
    <w:rsid w:val="00D7460C"/>
    <w:rsid w:val="00D746DB"/>
    <w:rsid w:val="00D74792"/>
    <w:rsid w:val="00D74803"/>
    <w:rsid w:val="00D74812"/>
    <w:rsid w:val="00D7485F"/>
    <w:rsid w:val="00D74B57"/>
    <w:rsid w:val="00D74BE5"/>
    <w:rsid w:val="00D74CD7"/>
    <w:rsid w:val="00D74FDB"/>
    <w:rsid w:val="00D752CA"/>
    <w:rsid w:val="00D7539E"/>
    <w:rsid w:val="00D7548A"/>
    <w:rsid w:val="00D756C4"/>
    <w:rsid w:val="00D75705"/>
    <w:rsid w:val="00D7574F"/>
    <w:rsid w:val="00D758D9"/>
    <w:rsid w:val="00D758FE"/>
    <w:rsid w:val="00D75988"/>
    <w:rsid w:val="00D75CE4"/>
    <w:rsid w:val="00D75D1E"/>
    <w:rsid w:val="00D75D8D"/>
    <w:rsid w:val="00D75F96"/>
    <w:rsid w:val="00D7609D"/>
    <w:rsid w:val="00D760AA"/>
    <w:rsid w:val="00D765EF"/>
    <w:rsid w:val="00D76623"/>
    <w:rsid w:val="00D76A1D"/>
    <w:rsid w:val="00D76A44"/>
    <w:rsid w:val="00D76B7A"/>
    <w:rsid w:val="00D76DAA"/>
    <w:rsid w:val="00D76E2A"/>
    <w:rsid w:val="00D76EE4"/>
    <w:rsid w:val="00D76EF0"/>
    <w:rsid w:val="00D76FD2"/>
    <w:rsid w:val="00D770CE"/>
    <w:rsid w:val="00D771D7"/>
    <w:rsid w:val="00D77234"/>
    <w:rsid w:val="00D77251"/>
    <w:rsid w:val="00D772B4"/>
    <w:rsid w:val="00D774F8"/>
    <w:rsid w:val="00D77581"/>
    <w:rsid w:val="00D7765C"/>
    <w:rsid w:val="00D77816"/>
    <w:rsid w:val="00D778EF"/>
    <w:rsid w:val="00D779B9"/>
    <w:rsid w:val="00D77A3B"/>
    <w:rsid w:val="00D77AC9"/>
    <w:rsid w:val="00D77B8C"/>
    <w:rsid w:val="00D77EFC"/>
    <w:rsid w:val="00D80043"/>
    <w:rsid w:val="00D8026C"/>
    <w:rsid w:val="00D802C4"/>
    <w:rsid w:val="00D8031F"/>
    <w:rsid w:val="00D80423"/>
    <w:rsid w:val="00D805B2"/>
    <w:rsid w:val="00D80661"/>
    <w:rsid w:val="00D80778"/>
    <w:rsid w:val="00D808E4"/>
    <w:rsid w:val="00D80C98"/>
    <w:rsid w:val="00D80E66"/>
    <w:rsid w:val="00D811CA"/>
    <w:rsid w:val="00D8136F"/>
    <w:rsid w:val="00D813E3"/>
    <w:rsid w:val="00D81576"/>
    <w:rsid w:val="00D815EF"/>
    <w:rsid w:val="00D81663"/>
    <w:rsid w:val="00D816F8"/>
    <w:rsid w:val="00D81862"/>
    <w:rsid w:val="00D818CE"/>
    <w:rsid w:val="00D818E3"/>
    <w:rsid w:val="00D81949"/>
    <w:rsid w:val="00D81A6A"/>
    <w:rsid w:val="00D81BB9"/>
    <w:rsid w:val="00D81CAE"/>
    <w:rsid w:val="00D81F26"/>
    <w:rsid w:val="00D81FE9"/>
    <w:rsid w:val="00D8219E"/>
    <w:rsid w:val="00D822B3"/>
    <w:rsid w:val="00D822E2"/>
    <w:rsid w:val="00D82506"/>
    <w:rsid w:val="00D826D2"/>
    <w:rsid w:val="00D827A6"/>
    <w:rsid w:val="00D82807"/>
    <w:rsid w:val="00D82862"/>
    <w:rsid w:val="00D82CBE"/>
    <w:rsid w:val="00D82E19"/>
    <w:rsid w:val="00D82EA9"/>
    <w:rsid w:val="00D82EF6"/>
    <w:rsid w:val="00D8332D"/>
    <w:rsid w:val="00D83724"/>
    <w:rsid w:val="00D838AA"/>
    <w:rsid w:val="00D838CD"/>
    <w:rsid w:val="00D83CD9"/>
    <w:rsid w:val="00D83FB9"/>
    <w:rsid w:val="00D8404E"/>
    <w:rsid w:val="00D8439E"/>
    <w:rsid w:val="00D843F2"/>
    <w:rsid w:val="00D844BB"/>
    <w:rsid w:val="00D844C5"/>
    <w:rsid w:val="00D84744"/>
    <w:rsid w:val="00D84815"/>
    <w:rsid w:val="00D8489E"/>
    <w:rsid w:val="00D84C4E"/>
    <w:rsid w:val="00D84D6F"/>
    <w:rsid w:val="00D84D7E"/>
    <w:rsid w:val="00D84E65"/>
    <w:rsid w:val="00D851AF"/>
    <w:rsid w:val="00D85311"/>
    <w:rsid w:val="00D854B2"/>
    <w:rsid w:val="00D859B1"/>
    <w:rsid w:val="00D859DF"/>
    <w:rsid w:val="00D85D0F"/>
    <w:rsid w:val="00D85E15"/>
    <w:rsid w:val="00D85EAF"/>
    <w:rsid w:val="00D85F11"/>
    <w:rsid w:val="00D85F62"/>
    <w:rsid w:val="00D8607E"/>
    <w:rsid w:val="00D86193"/>
    <w:rsid w:val="00D86231"/>
    <w:rsid w:val="00D86468"/>
    <w:rsid w:val="00D86484"/>
    <w:rsid w:val="00D866F9"/>
    <w:rsid w:val="00D867E6"/>
    <w:rsid w:val="00D868B9"/>
    <w:rsid w:val="00D868F0"/>
    <w:rsid w:val="00D868F7"/>
    <w:rsid w:val="00D86961"/>
    <w:rsid w:val="00D86A57"/>
    <w:rsid w:val="00D86C18"/>
    <w:rsid w:val="00D86CFB"/>
    <w:rsid w:val="00D8706D"/>
    <w:rsid w:val="00D872BF"/>
    <w:rsid w:val="00D873AF"/>
    <w:rsid w:val="00D8743F"/>
    <w:rsid w:val="00D87547"/>
    <w:rsid w:val="00D8758F"/>
    <w:rsid w:val="00D87842"/>
    <w:rsid w:val="00D87953"/>
    <w:rsid w:val="00D87AD0"/>
    <w:rsid w:val="00D87CE0"/>
    <w:rsid w:val="00D87DD9"/>
    <w:rsid w:val="00D9059B"/>
    <w:rsid w:val="00D9082E"/>
    <w:rsid w:val="00D90886"/>
    <w:rsid w:val="00D908E8"/>
    <w:rsid w:val="00D90D2F"/>
    <w:rsid w:val="00D90E87"/>
    <w:rsid w:val="00D9105F"/>
    <w:rsid w:val="00D910F1"/>
    <w:rsid w:val="00D912AB"/>
    <w:rsid w:val="00D912C1"/>
    <w:rsid w:val="00D9159D"/>
    <w:rsid w:val="00D915E1"/>
    <w:rsid w:val="00D917A7"/>
    <w:rsid w:val="00D917F9"/>
    <w:rsid w:val="00D9180B"/>
    <w:rsid w:val="00D91861"/>
    <w:rsid w:val="00D91923"/>
    <w:rsid w:val="00D919E5"/>
    <w:rsid w:val="00D91AAF"/>
    <w:rsid w:val="00D91CC7"/>
    <w:rsid w:val="00D91D2C"/>
    <w:rsid w:val="00D91EB0"/>
    <w:rsid w:val="00D9214A"/>
    <w:rsid w:val="00D923A4"/>
    <w:rsid w:val="00D924B1"/>
    <w:rsid w:val="00D925F4"/>
    <w:rsid w:val="00D926A2"/>
    <w:rsid w:val="00D92706"/>
    <w:rsid w:val="00D92811"/>
    <w:rsid w:val="00D92961"/>
    <w:rsid w:val="00D92C1A"/>
    <w:rsid w:val="00D92CCA"/>
    <w:rsid w:val="00D92D9D"/>
    <w:rsid w:val="00D92E07"/>
    <w:rsid w:val="00D93279"/>
    <w:rsid w:val="00D932DA"/>
    <w:rsid w:val="00D93753"/>
    <w:rsid w:val="00D93831"/>
    <w:rsid w:val="00D93B43"/>
    <w:rsid w:val="00D93DE7"/>
    <w:rsid w:val="00D940A8"/>
    <w:rsid w:val="00D941CA"/>
    <w:rsid w:val="00D942F2"/>
    <w:rsid w:val="00D94318"/>
    <w:rsid w:val="00D94831"/>
    <w:rsid w:val="00D94BBD"/>
    <w:rsid w:val="00D94FAB"/>
    <w:rsid w:val="00D95284"/>
    <w:rsid w:val="00D9570B"/>
    <w:rsid w:val="00D9576D"/>
    <w:rsid w:val="00D958A0"/>
    <w:rsid w:val="00D95995"/>
    <w:rsid w:val="00D959B6"/>
    <w:rsid w:val="00D95AF3"/>
    <w:rsid w:val="00D95BCC"/>
    <w:rsid w:val="00D95DF4"/>
    <w:rsid w:val="00D95E92"/>
    <w:rsid w:val="00D96077"/>
    <w:rsid w:val="00D96110"/>
    <w:rsid w:val="00D961ED"/>
    <w:rsid w:val="00D96411"/>
    <w:rsid w:val="00D9647B"/>
    <w:rsid w:val="00D96576"/>
    <w:rsid w:val="00D9664C"/>
    <w:rsid w:val="00D96919"/>
    <w:rsid w:val="00D9698B"/>
    <w:rsid w:val="00D96B83"/>
    <w:rsid w:val="00D96BBA"/>
    <w:rsid w:val="00D96C5F"/>
    <w:rsid w:val="00D96C71"/>
    <w:rsid w:val="00D97239"/>
    <w:rsid w:val="00D972F6"/>
    <w:rsid w:val="00D9744D"/>
    <w:rsid w:val="00D97508"/>
    <w:rsid w:val="00D976CC"/>
    <w:rsid w:val="00D97736"/>
    <w:rsid w:val="00D977C2"/>
    <w:rsid w:val="00D978DA"/>
    <w:rsid w:val="00D978DF"/>
    <w:rsid w:val="00D979E6"/>
    <w:rsid w:val="00D97D5E"/>
    <w:rsid w:val="00D97DA7"/>
    <w:rsid w:val="00D97E95"/>
    <w:rsid w:val="00D97EB7"/>
    <w:rsid w:val="00D97FF2"/>
    <w:rsid w:val="00DA00ED"/>
    <w:rsid w:val="00DA0472"/>
    <w:rsid w:val="00DA0858"/>
    <w:rsid w:val="00DA08C7"/>
    <w:rsid w:val="00DA0959"/>
    <w:rsid w:val="00DA097E"/>
    <w:rsid w:val="00DA0AE5"/>
    <w:rsid w:val="00DA0FA5"/>
    <w:rsid w:val="00DA1313"/>
    <w:rsid w:val="00DA13FE"/>
    <w:rsid w:val="00DA154E"/>
    <w:rsid w:val="00DA15B9"/>
    <w:rsid w:val="00DA1620"/>
    <w:rsid w:val="00DA1856"/>
    <w:rsid w:val="00DA1865"/>
    <w:rsid w:val="00DA18D5"/>
    <w:rsid w:val="00DA19E0"/>
    <w:rsid w:val="00DA1A53"/>
    <w:rsid w:val="00DA1D72"/>
    <w:rsid w:val="00DA1EEA"/>
    <w:rsid w:val="00DA21FD"/>
    <w:rsid w:val="00DA225F"/>
    <w:rsid w:val="00DA2382"/>
    <w:rsid w:val="00DA242A"/>
    <w:rsid w:val="00DA250A"/>
    <w:rsid w:val="00DA26B4"/>
    <w:rsid w:val="00DA2733"/>
    <w:rsid w:val="00DA2837"/>
    <w:rsid w:val="00DA2A38"/>
    <w:rsid w:val="00DA2BFA"/>
    <w:rsid w:val="00DA2C06"/>
    <w:rsid w:val="00DA2C67"/>
    <w:rsid w:val="00DA2CFC"/>
    <w:rsid w:val="00DA2D86"/>
    <w:rsid w:val="00DA2E9B"/>
    <w:rsid w:val="00DA30BA"/>
    <w:rsid w:val="00DA3138"/>
    <w:rsid w:val="00DA3167"/>
    <w:rsid w:val="00DA331B"/>
    <w:rsid w:val="00DA3352"/>
    <w:rsid w:val="00DA350C"/>
    <w:rsid w:val="00DA3551"/>
    <w:rsid w:val="00DA35DE"/>
    <w:rsid w:val="00DA365D"/>
    <w:rsid w:val="00DA36EA"/>
    <w:rsid w:val="00DA3A12"/>
    <w:rsid w:val="00DA3B78"/>
    <w:rsid w:val="00DA3C3F"/>
    <w:rsid w:val="00DA4102"/>
    <w:rsid w:val="00DA41BF"/>
    <w:rsid w:val="00DA41F1"/>
    <w:rsid w:val="00DA41F5"/>
    <w:rsid w:val="00DA48C5"/>
    <w:rsid w:val="00DA4901"/>
    <w:rsid w:val="00DA49C8"/>
    <w:rsid w:val="00DA4DC3"/>
    <w:rsid w:val="00DA5178"/>
    <w:rsid w:val="00DA51C0"/>
    <w:rsid w:val="00DA5306"/>
    <w:rsid w:val="00DA548E"/>
    <w:rsid w:val="00DA5522"/>
    <w:rsid w:val="00DA5649"/>
    <w:rsid w:val="00DA564E"/>
    <w:rsid w:val="00DA593F"/>
    <w:rsid w:val="00DA5A03"/>
    <w:rsid w:val="00DA5B43"/>
    <w:rsid w:val="00DA5C00"/>
    <w:rsid w:val="00DA5C0B"/>
    <w:rsid w:val="00DA5F2C"/>
    <w:rsid w:val="00DA6135"/>
    <w:rsid w:val="00DA6198"/>
    <w:rsid w:val="00DA620F"/>
    <w:rsid w:val="00DA62B5"/>
    <w:rsid w:val="00DA6334"/>
    <w:rsid w:val="00DA63D0"/>
    <w:rsid w:val="00DA6498"/>
    <w:rsid w:val="00DA6558"/>
    <w:rsid w:val="00DA65C1"/>
    <w:rsid w:val="00DA660E"/>
    <w:rsid w:val="00DA66A0"/>
    <w:rsid w:val="00DA6918"/>
    <w:rsid w:val="00DA6982"/>
    <w:rsid w:val="00DA6A6E"/>
    <w:rsid w:val="00DA6B14"/>
    <w:rsid w:val="00DA6D92"/>
    <w:rsid w:val="00DA7041"/>
    <w:rsid w:val="00DA7085"/>
    <w:rsid w:val="00DA7207"/>
    <w:rsid w:val="00DA74CE"/>
    <w:rsid w:val="00DA7712"/>
    <w:rsid w:val="00DA77A5"/>
    <w:rsid w:val="00DA78C3"/>
    <w:rsid w:val="00DA7DCA"/>
    <w:rsid w:val="00DA7DDF"/>
    <w:rsid w:val="00DB0021"/>
    <w:rsid w:val="00DB0304"/>
    <w:rsid w:val="00DB03D3"/>
    <w:rsid w:val="00DB06C8"/>
    <w:rsid w:val="00DB0846"/>
    <w:rsid w:val="00DB0903"/>
    <w:rsid w:val="00DB0919"/>
    <w:rsid w:val="00DB09F0"/>
    <w:rsid w:val="00DB0AD9"/>
    <w:rsid w:val="00DB0AE8"/>
    <w:rsid w:val="00DB0CBA"/>
    <w:rsid w:val="00DB0CC5"/>
    <w:rsid w:val="00DB0DD1"/>
    <w:rsid w:val="00DB0DFD"/>
    <w:rsid w:val="00DB0E23"/>
    <w:rsid w:val="00DB0E26"/>
    <w:rsid w:val="00DB0E36"/>
    <w:rsid w:val="00DB11FE"/>
    <w:rsid w:val="00DB12AD"/>
    <w:rsid w:val="00DB1331"/>
    <w:rsid w:val="00DB14A1"/>
    <w:rsid w:val="00DB14BB"/>
    <w:rsid w:val="00DB155A"/>
    <w:rsid w:val="00DB1639"/>
    <w:rsid w:val="00DB1689"/>
    <w:rsid w:val="00DB1869"/>
    <w:rsid w:val="00DB18D2"/>
    <w:rsid w:val="00DB199B"/>
    <w:rsid w:val="00DB1A44"/>
    <w:rsid w:val="00DB1E00"/>
    <w:rsid w:val="00DB1F06"/>
    <w:rsid w:val="00DB1F2A"/>
    <w:rsid w:val="00DB20E7"/>
    <w:rsid w:val="00DB2197"/>
    <w:rsid w:val="00DB224C"/>
    <w:rsid w:val="00DB228A"/>
    <w:rsid w:val="00DB22C4"/>
    <w:rsid w:val="00DB2332"/>
    <w:rsid w:val="00DB24B6"/>
    <w:rsid w:val="00DB2530"/>
    <w:rsid w:val="00DB25F3"/>
    <w:rsid w:val="00DB2723"/>
    <w:rsid w:val="00DB27EC"/>
    <w:rsid w:val="00DB2835"/>
    <w:rsid w:val="00DB288E"/>
    <w:rsid w:val="00DB2A88"/>
    <w:rsid w:val="00DB2ABB"/>
    <w:rsid w:val="00DB2AE7"/>
    <w:rsid w:val="00DB2B23"/>
    <w:rsid w:val="00DB2FE6"/>
    <w:rsid w:val="00DB301D"/>
    <w:rsid w:val="00DB318F"/>
    <w:rsid w:val="00DB3226"/>
    <w:rsid w:val="00DB324E"/>
    <w:rsid w:val="00DB32CD"/>
    <w:rsid w:val="00DB3334"/>
    <w:rsid w:val="00DB365F"/>
    <w:rsid w:val="00DB36A2"/>
    <w:rsid w:val="00DB3D7F"/>
    <w:rsid w:val="00DB3DBF"/>
    <w:rsid w:val="00DB3EA5"/>
    <w:rsid w:val="00DB3F35"/>
    <w:rsid w:val="00DB4161"/>
    <w:rsid w:val="00DB42F8"/>
    <w:rsid w:val="00DB4678"/>
    <w:rsid w:val="00DB479E"/>
    <w:rsid w:val="00DB4804"/>
    <w:rsid w:val="00DB484F"/>
    <w:rsid w:val="00DB49A2"/>
    <w:rsid w:val="00DB4E0F"/>
    <w:rsid w:val="00DB4F2F"/>
    <w:rsid w:val="00DB4F6C"/>
    <w:rsid w:val="00DB4FC7"/>
    <w:rsid w:val="00DB50BB"/>
    <w:rsid w:val="00DB50FC"/>
    <w:rsid w:val="00DB5197"/>
    <w:rsid w:val="00DB5209"/>
    <w:rsid w:val="00DB532A"/>
    <w:rsid w:val="00DB5361"/>
    <w:rsid w:val="00DB5694"/>
    <w:rsid w:val="00DB56FA"/>
    <w:rsid w:val="00DB5808"/>
    <w:rsid w:val="00DB5842"/>
    <w:rsid w:val="00DB5D3B"/>
    <w:rsid w:val="00DB5F7C"/>
    <w:rsid w:val="00DB5FD7"/>
    <w:rsid w:val="00DB5FFF"/>
    <w:rsid w:val="00DB6080"/>
    <w:rsid w:val="00DB6138"/>
    <w:rsid w:val="00DB6351"/>
    <w:rsid w:val="00DB63A3"/>
    <w:rsid w:val="00DB64B5"/>
    <w:rsid w:val="00DB6523"/>
    <w:rsid w:val="00DB655B"/>
    <w:rsid w:val="00DB671D"/>
    <w:rsid w:val="00DB6824"/>
    <w:rsid w:val="00DB6836"/>
    <w:rsid w:val="00DB683C"/>
    <w:rsid w:val="00DB693D"/>
    <w:rsid w:val="00DB6968"/>
    <w:rsid w:val="00DB69AD"/>
    <w:rsid w:val="00DB69D2"/>
    <w:rsid w:val="00DB6B3B"/>
    <w:rsid w:val="00DB6BD8"/>
    <w:rsid w:val="00DB6D6C"/>
    <w:rsid w:val="00DB6DCA"/>
    <w:rsid w:val="00DB6E38"/>
    <w:rsid w:val="00DB70AC"/>
    <w:rsid w:val="00DB7237"/>
    <w:rsid w:val="00DB732C"/>
    <w:rsid w:val="00DB7504"/>
    <w:rsid w:val="00DB7772"/>
    <w:rsid w:val="00DB77F0"/>
    <w:rsid w:val="00DB784B"/>
    <w:rsid w:val="00DB787B"/>
    <w:rsid w:val="00DB7919"/>
    <w:rsid w:val="00DB7AB9"/>
    <w:rsid w:val="00DB7B52"/>
    <w:rsid w:val="00DB7C67"/>
    <w:rsid w:val="00DB7D4F"/>
    <w:rsid w:val="00DB7DD8"/>
    <w:rsid w:val="00DB7EAD"/>
    <w:rsid w:val="00DC008D"/>
    <w:rsid w:val="00DC011A"/>
    <w:rsid w:val="00DC0128"/>
    <w:rsid w:val="00DC04F6"/>
    <w:rsid w:val="00DC051E"/>
    <w:rsid w:val="00DC052C"/>
    <w:rsid w:val="00DC0690"/>
    <w:rsid w:val="00DC0696"/>
    <w:rsid w:val="00DC0DA6"/>
    <w:rsid w:val="00DC0E2D"/>
    <w:rsid w:val="00DC0E9F"/>
    <w:rsid w:val="00DC0EB0"/>
    <w:rsid w:val="00DC0FA0"/>
    <w:rsid w:val="00DC1034"/>
    <w:rsid w:val="00DC109C"/>
    <w:rsid w:val="00DC1243"/>
    <w:rsid w:val="00DC1276"/>
    <w:rsid w:val="00DC13B6"/>
    <w:rsid w:val="00DC13F6"/>
    <w:rsid w:val="00DC146F"/>
    <w:rsid w:val="00DC14B3"/>
    <w:rsid w:val="00DC171C"/>
    <w:rsid w:val="00DC1738"/>
    <w:rsid w:val="00DC17CD"/>
    <w:rsid w:val="00DC1875"/>
    <w:rsid w:val="00DC18EE"/>
    <w:rsid w:val="00DC1C70"/>
    <w:rsid w:val="00DC1D3F"/>
    <w:rsid w:val="00DC1D65"/>
    <w:rsid w:val="00DC2117"/>
    <w:rsid w:val="00DC246F"/>
    <w:rsid w:val="00DC2577"/>
    <w:rsid w:val="00DC26C8"/>
    <w:rsid w:val="00DC27B4"/>
    <w:rsid w:val="00DC27CE"/>
    <w:rsid w:val="00DC27EF"/>
    <w:rsid w:val="00DC2847"/>
    <w:rsid w:val="00DC2932"/>
    <w:rsid w:val="00DC2B66"/>
    <w:rsid w:val="00DC2BFC"/>
    <w:rsid w:val="00DC2E3A"/>
    <w:rsid w:val="00DC3031"/>
    <w:rsid w:val="00DC30E8"/>
    <w:rsid w:val="00DC3258"/>
    <w:rsid w:val="00DC334D"/>
    <w:rsid w:val="00DC3389"/>
    <w:rsid w:val="00DC339B"/>
    <w:rsid w:val="00DC352C"/>
    <w:rsid w:val="00DC3553"/>
    <w:rsid w:val="00DC3555"/>
    <w:rsid w:val="00DC3562"/>
    <w:rsid w:val="00DC36C3"/>
    <w:rsid w:val="00DC371A"/>
    <w:rsid w:val="00DC3C57"/>
    <w:rsid w:val="00DC3E4E"/>
    <w:rsid w:val="00DC3F31"/>
    <w:rsid w:val="00DC3F6E"/>
    <w:rsid w:val="00DC3F82"/>
    <w:rsid w:val="00DC3FCD"/>
    <w:rsid w:val="00DC4025"/>
    <w:rsid w:val="00DC40F4"/>
    <w:rsid w:val="00DC41C7"/>
    <w:rsid w:val="00DC424E"/>
    <w:rsid w:val="00DC4478"/>
    <w:rsid w:val="00DC4491"/>
    <w:rsid w:val="00DC45CC"/>
    <w:rsid w:val="00DC4789"/>
    <w:rsid w:val="00DC4817"/>
    <w:rsid w:val="00DC4841"/>
    <w:rsid w:val="00DC4865"/>
    <w:rsid w:val="00DC491A"/>
    <w:rsid w:val="00DC49EB"/>
    <w:rsid w:val="00DC4A06"/>
    <w:rsid w:val="00DC4C97"/>
    <w:rsid w:val="00DC4D69"/>
    <w:rsid w:val="00DC50C7"/>
    <w:rsid w:val="00DC5126"/>
    <w:rsid w:val="00DC5229"/>
    <w:rsid w:val="00DC5447"/>
    <w:rsid w:val="00DC5501"/>
    <w:rsid w:val="00DC5C1A"/>
    <w:rsid w:val="00DC5D02"/>
    <w:rsid w:val="00DC5DBC"/>
    <w:rsid w:val="00DC5DE4"/>
    <w:rsid w:val="00DC60B6"/>
    <w:rsid w:val="00DC615E"/>
    <w:rsid w:val="00DC620B"/>
    <w:rsid w:val="00DC624F"/>
    <w:rsid w:val="00DC625E"/>
    <w:rsid w:val="00DC62B5"/>
    <w:rsid w:val="00DC6312"/>
    <w:rsid w:val="00DC651F"/>
    <w:rsid w:val="00DC6529"/>
    <w:rsid w:val="00DC6A42"/>
    <w:rsid w:val="00DC6B40"/>
    <w:rsid w:val="00DC6BF4"/>
    <w:rsid w:val="00DC6C2C"/>
    <w:rsid w:val="00DC6C48"/>
    <w:rsid w:val="00DC6DC2"/>
    <w:rsid w:val="00DC6E30"/>
    <w:rsid w:val="00DC6E9B"/>
    <w:rsid w:val="00DC70F4"/>
    <w:rsid w:val="00DC7154"/>
    <w:rsid w:val="00DC72CD"/>
    <w:rsid w:val="00DC7333"/>
    <w:rsid w:val="00DC733C"/>
    <w:rsid w:val="00DC73EC"/>
    <w:rsid w:val="00DC7786"/>
    <w:rsid w:val="00DC781E"/>
    <w:rsid w:val="00DC7934"/>
    <w:rsid w:val="00DC79CE"/>
    <w:rsid w:val="00DC7E34"/>
    <w:rsid w:val="00DC7E8A"/>
    <w:rsid w:val="00DC7F8A"/>
    <w:rsid w:val="00DC7FDE"/>
    <w:rsid w:val="00DD00A0"/>
    <w:rsid w:val="00DD02CD"/>
    <w:rsid w:val="00DD033F"/>
    <w:rsid w:val="00DD0552"/>
    <w:rsid w:val="00DD058E"/>
    <w:rsid w:val="00DD05B4"/>
    <w:rsid w:val="00DD0755"/>
    <w:rsid w:val="00DD081B"/>
    <w:rsid w:val="00DD0A18"/>
    <w:rsid w:val="00DD0DB3"/>
    <w:rsid w:val="00DD0F78"/>
    <w:rsid w:val="00DD1021"/>
    <w:rsid w:val="00DD10CB"/>
    <w:rsid w:val="00DD11EF"/>
    <w:rsid w:val="00DD127C"/>
    <w:rsid w:val="00DD137C"/>
    <w:rsid w:val="00DD14BD"/>
    <w:rsid w:val="00DD167D"/>
    <w:rsid w:val="00DD1686"/>
    <w:rsid w:val="00DD169F"/>
    <w:rsid w:val="00DD16E6"/>
    <w:rsid w:val="00DD1769"/>
    <w:rsid w:val="00DD18B6"/>
    <w:rsid w:val="00DD1A09"/>
    <w:rsid w:val="00DD21E9"/>
    <w:rsid w:val="00DD22D1"/>
    <w:rsid w:val="00DD2377"/>
    <w:rsid w:val="00DD25D4"/>
    <w:rsid w:val="00DD26FC"/>
    <w:rsid w:val="00DD273C"/>
    <w:rsid w:val="00DD2A53"/>
    <w:rsid w:val="00DD2B7E"/>
    <w:rsid w:val="00DD2BBB"/>
    <w:rsid w:val="00DD2D5B"/>
    <w:rsid w:val="00DD3020"/>
    <w:rsid w:val="00DD3027"/>
    <w:rsid w:val="00DD31B6"/>
    <w:rsid w:val="00DD35D0"/>
    <w:rsid w:val="00DD3A16"/>
    <w:rsid w:val="00DD3D55"/>
    <w:rsid w:val="00DD3D5A"/>
    <w:rsid w:val="00DD3F28"/>
    <w:rsid w:val="00DD3FEA"/>
    <w:rsid w:val="00DD41B6"/>
    <w:rsid w:val="00DD431F"/>
    <w:rsid w:val="00DD4330"/>
    <w:rsid w:val="00DD437C"/>
    <w:rsid w:val="00DD4446"/>
    <w:rsid w:val="00DD4483"/>
    <w:rsid w:val="00DD4537"/>
    <w:rsid w:val="00DD457D"/>
    <w:rsid w:val="00DD46BB"/>
    <w:rsid w:val="00DD485A"/>
    <w:rsid w:val="00DD4B4D"/>
    <w:rsid w:val="00DD4E15"/>
    <w:rsid w:val="00DD4E2D"/>
    <w:rsid w:val="00DD4E31"/>
    <w:rsid w:val="00DD521B"/>
    <w:rsid w:val="00DD54B2"/>
    <w:rsid w:val="00DD574B"/>
    <w:rsid w:val="00DD6052"/>
    <w:rsid w:val="00DD62A0"/>
    <w:rsid w:val="00DD62B6"/>
    <w:rsid w:val="00DD6306"/>
    <w:rsid w:val="00DD6338"/>
    <w:rsid w:val="00DD648A"/>
    <w:rsid w:val="00DD64CD"/>
    <w:rsid w:val="00DD6808"/>
    <w:rsid w:val="00DD68BB"/>
    <w:rsid w:val="00DD6A69"/>
    <w:rsid w:val="00DD6D45"/>
    <w:rsid w:val="00DD7022"/>
    <w:rsid w:val="00DD7066"/>
    <w:rsid w:val="00DD7084"/>
    <w:rsid w:val="00DD7561"/>
    <w:rsid w:val="00DD76B8"/>
    <w:rsid w:val="00DD77A6"/>
    <w:rsid w:val="00DD7986"/>
    <w:rsid w:val="00DD7ACC"/>
    <w:rsid w:val="00DD7D58"/>
    <w:rsid w:val="00DD7F4A"/>
    <w:rsid w:val="00DD7F4C"/>
    <w:rsid w:val="00DE0188"/>
    <w:rsid w:val="00DE036D"/>
    <w:rsid w:val="00DE0378"/>
    <w:rsid w:val="00DE0395"/>
    <w:rsid w:val="00DE06D3"/>
    <w:rsid w:val="00DE0802"/>
    <w:rsid w:val="00DE0DA4"/>
    <w:rsid w:val="00DE0E8B"/>
    <w:rsid w:val="00DE0F32"/>
    <w:rsid w:val="00DE10B1"/>
    <w:rsid w:val="00DE1162"/>
    <w:rsid w:val="00DE145D"/>
    <w:rsid w:val="00DE15D7"/>
    <w:rsid w:val="00DE19B7"/>
    <w:rsid w:val="00DE1AEE"/>
    <w:rsid w:val="00DE1C0D"/>
    <w:rsid w:val="00DE1D01"/>
    <w:rsid w:val="00DE1E6B"/>
    <w:rsid w:val="00DE1E9A"/>
    <w:rsid w:val="00DE21B7"/>
    <w:rsid w:val="00DE21C1"/>
    <w:rsid w:val="00DE2272"/>
    <w:rsid w:val="00DE2296"/>
    <w:rsid w:val="00DE22C3"/>
    <w:rsid w:val="00DE2304"/>
    <w:rsid w:val="00DE2390"/>
    <w:rsid w:val="00DE2394"/>
    <w:rsid w:val="00DE25B8"/>
    <w:rsid w:val="00DE2700"/>
    <w:rsid w:val="00DE2B86"/>
    <w:rsid w:val="00DE2CA2"/>
    <w:rsid w:val="00DE3138"/>
    <w:rsid w:val="00DE3179"/>
    <w:rsid w:val="00DE34CB"/>
    <w:rsid w:val="00DE3664"/>
    <w:rsid w:val="00DE37F8"/>
    <w:rsid w:val="00DE394B"/>
    <w:rsid w:val="00DE3AB1"/>
    <w:rsid w:val="00DE3AC5"/>
    <w:rsid w:val="00DE3AFB"/>
    <w:rsid w:val="00DE3E3C"/>
    <w:rsid w:val="00DE3EB5"/>
    <w:rsid w:val="00DE3F19"/>
    <w:rsid w:val="00DE407B"/>
    <w:rsid w:val="00DE4273"/>
    <w:rsid w:val="00DE42E1"/>
    <w:rsid w:val="00DE4367"/>
    <w:rsid w:val="00DE4382"/>
    <w:rsid w:val="00DE44C6"/>
    <w:rsid w:val="00DE476F"/>
    <w:rsid w:val="00DE4784"/>
    <w:rsid w:val="00DE495C"/>
    <w:rsid w:val="00DE49E4"/>
    <w:rsid w:val="00DE49F6"/>
    <w:rsid w:val="00DE4C3E"/>
    <w:rsid w:val="00DE4D1F"/>
    <w:rsid w:val="00DE4FCB"/>
    <w:rsid w:val="00DE505D"/>
    <w:rsid w:val="00DE5296"/>
    <w:rsid w:val="00DE5310"/>
    <w:rsid w:val="00DE5A54"/>
    <w:rsid w:val="00DE5D07"/>
    <w:rsid w:val="00DE5DBA"/>
    <w:rsid w:val="00DE5E3E"/>
    <w:rsid w:val="00DE5F7A"/>
    <w:rsid w:val="00DE6049"/>
    <w:rsid w:val="00DE6071"/>
    <w:rsid w:val="00DE6075"/>
    <w:rsid w:val="00DE60BA"/>
    <w:rsid w:val="00DE61C8"/>
    <w:rsid w:val="00DE62A9"/>
    <w:rsid w:val="00DE6374"/>
    <w:rsid w:val="00DE6453"/>
    <w:rsid w:val="00DE669E"/>
    <w:rsid w:val="00DE6761"/>
    <w:rsid w:val="00DE67C7"/>
    <w:rsid w:val="00DE6808"/>
    <w:rsid w:val="00DE68B9"/>
    <w:rsid w:val="00DE69ED"/>
    <w:rsid w:val="00DE6A3A"/>
    <w:rsid w:val="00DE6C94"/>
    <w:rsid w:val="00DE708F"/>
    <w:rsid w:val="00DE7194"/>
    <w:rsid w:val="00DE71EF"/>
    <w:rsid w:val="00DE72A7"/>
    <w:rsid w:val="00DE7444"/>
    <w:rsid w:val="00DE7467"/>
    <w:rsid w:val="00DE74E7"/>
    <w:rsid w:val="00DE74F4"/>
    <w:rsid w:val="00DE7729"/>
    <w:rsid w:val="00DE7832"/>
    <w:rsid w:val="00DE79B5"/>
    <w:rsid w:val="00DE7A3F"/>
    <w:rsid w:val="00DE7B28"/>
    <w:rsid w:val="00DE7B7B"/>
    <w:rsid w:val="00DE7D26"/>
    <w:rsid w:val="00DE7DF5"/>
    <w:rsid w:val="00DF007F"/>
    <w:rsid w:val="00DF0092"/>
    <w:rsid w:val="00DF00B4"/>
    <w:rsid w:val="00DF017A"/>
    <w:rsid w:val="00DF019A"/>
    <w:rsid w:val="00DF03AE"/>
    <w:rsid w:val="00DF0416"/>
    <w:rsid w:val="00DF05C8"/>
    <w:rsid w:val="00DF06CB"/>
    <w:rsid w:val="00DF080A"/>
    <w:rsid w:val="00DF0913"/>
    <w:rsid w:val="00DF0AAD"/>
    <w:rsid w:val="00DF0AFA"/>
    <w:rsid w:val="00DF0CE4"/>
    <w:rsid w:val="00DF0DA3"/>
    <w:rsid w:val="00DF0DD1"/>
    <w:rsid w:val="00DF0FB9"/>
    <w:rsid w:val="00DF103C"/>
    <w:rsid w:val="00DF1213"/>
    <w:rsid w:val="00DF12D1"/>
    <w:rsid w:val="00DF12FA"/>
    <w:rsid w:val="00DF1582"/>
    <w:rsid w:val="00DF1726"/>
    <w:rsid w:val="00DF1739"/>
    <w:rsid w:val="00DF18A1"/>
    <w:rsid w:val="00DF18FC"/>
    <w:rsid w:val="00DF1944"/>
    <w:rsid w:val="00DF19E8"/>
    <w:rsid w:val="00DF1B4C"/>
    <w:rsid w:val="00DF1BC5"/>
    <w:rsid w:val="00DF1CCA"/>
    <w:rsid w:val="00DF1F46"/>
    <w:rsid w:val="00DF1F63"/>
    <w:rsid w:val="00DF25BF"/>
    <w:rsid w:val="00DF25D7"/>
    <w:rsid w:val="00DF25E4"/>
    <w:rsid w:val="00DF25E6"/>
    <w:rsid w:val="00DF28DB"/>
    <w:rsid w:val="00DF296F"/>
    <w:rsid w:val="00DF2B20"/>
    <w:rsid w:val="00DF2D30"/>
    <w:rsid w:val="00DF2E08"/>
    <w:rsid w:val="00DF3242"/>
    <w:rsid w:val="00DF3254"/>
    <w:rsid w:val="00DF32DD"/>
    <w:rsid w:val="00DF3427"/>
    <w:rsid w:val="00DF3450"/>
    <w:rsid w:val="00DF3479"/>
    <w:rsid w:val="00DF372C"/>
    <w:rsid w:val="00DF3730"/>
    <w:rsid w:val="00DF3752"/>
    <w:rsid w:val="00DF384E"/>
    <w:rsid w:val="00DF3897"/>
    <w:rsid w:val="00DF3968"/>
    <w:rsid w:val="00DF3A89"/>
    <w:rsid w:val="00DF3AE7"/>
    <w:rsid w:val="00DF3E33"/>
    <w:rsid w:val="00DF3EFA"/>
    <w:rsid w:val="00DF41AE"/>
    <w:rsid w:val="00DF449E"/>
    <w:rsid w:val="00DF44B1"/>
    <w:rsid w:val="00DF4506"/>
    <w:rsid w:val="00DF4654"/>
    <w:rsid w:val="00DF469E"/>
    <w:rsid w:val="00DF4722"/>
    <w:rsid w:val="00DF4771"/>
    <w:rsid w:val="00DF49A7"/>
    <w:rsid w:val="00DF4CDF"/>
    <w:rsid w:val="00DF4CE3"/>
    <w:rsid w:val="00DF5161"/>
    <w:rsid w:val="00DF5345"/>
    <w:rsid w:val="00DF53A2"/>
    <w:rsid w:val="00DF5431"/>
    <w:rsid w:val="00DF55A0"/>
    <w:rsid w:val="00DF5728"/>
    <w:rsid w:val="00DF573F"/>
    <w:rsid w:val="00DF5791"/>
    <w:rsid w:val="00DF57FA"/>
    <w:rsid w:val="00DF581B"/>
    <w:rsid w:val="00DF5934"/>
    <w:rsid w:val="00DF5B7A"/>
    <w:rsid w:val="00DF5D2B"/>
    <w:rsid w:val="00DF5E5E"/>
    <w:rsid w:val="00DF5EB3"/>
    <w:rsid w:val="00DF5F79"/>
    <w:rsid w:val="00DF6014"/>
    <w:rsid w:val="00DF61EF"/>
    <w:rsid w:val="00DF623D"/>
    <w:rsid w:val="00DF6341"/>
    <w:rsid w:val="00DF6609"/>
    <w:rsid w:val="00DF6610"/>
    <w:rsid w:val="00DF6662"/>
    <w:rsid w:val="00DF6741"/>
    <w:rsid w:val="00DF68A7"/>
    <w:rsid w:val="00DF68BF"/>
    <w:rsid w:val="00DF6960"/>
    <w:rsid w:val="00DF6B86"/>
    <w:rsid w:val="00DF6DEA"/>
    <w:rsid w:val="00DF6F86"/>
    <w:rsid w:val="00DF726C"/>
    <w:rsid w:val="00DF72E4"/>
    <w:rsid w:val="00DF750C"/>
    <w:rsid w:val="00DF76E6"/>
    <w:rsid w:val="00DF7759"/>
    <w:rsid w:val="00DF7817"/>
    <w:rsid w:val="00DF79CB"/>
    <w:rsid w:val="00DF7B2D"/>
    <w:rsid w:val="00DF7BB0"/>
    <w:rsid w:val="00DF7DCE"/>
    <w:rsid w:val="00E00091"/>
    <w:rsid w:val="00E000E8"/>
    <w:rsid w:val="00E00174"/>
    <w:rsid w:val="00E001E8"/>
    <w:rsid w:val="00E00B0F"/>
    <w:rsid w:val="00E00B23"/>
    <w:rsid w:val="00E00C9B"/>
    <w:rsid w:val="00E00E8E"/>
    <w:rsid w:val="00E00FD1"/>
    <w:rsid w:val="00E01167"/>
    <w:rsid w:val="00E012C4"/>
    <w:rsid w:val="00E0156B"/>
    <w:rsid w:val="00E015C5"/>
    <w:rsid w:val="00E018C3"/>
    <w:rsid w:val="00E018E8"/>
    <w:rsid w:val="00E01B12"/>
    <w:rsid w:val="00E01B65"/>
    <w:rsid w:val="00E01C1C"/>
    <w:rsid w:val="00E01D46"/>
    <w:rsid w:val="00E01E40"/>
    <w:rsid w:val="00E01EA9"/>
    <w:rsid w:val="00E02004"/>
    <w:rsid w:val="00E02150"/>
    <w:rsid w:val="00E024D4"/>
    <w:rsid w:val="00E025B1"/>
    <w:rsid w:val="00E025D9"/>
    <w:rsid w:val="00E02691"/>
    <w:rsid w:val="00E02774"/>
    <w:rsid w:val="00E027B0"/>
    <w:rsid w:val="00E029AC"/>
    <w:rsid w:val="00E02A29"/>
    <w:rsid w:val="00E02B9C"/>
    <w:rsid w:val="00E02BE3"/>
    <w:rsid w:val="00E02D54"/>
    <w:rsid w:val="00E02FB1"/>
    <w:rsid w:val="00E03332"/>
    <w:rsid w:val="00E033C7"/>
    <w:rsid w:val="00E03594"/>
    <w:rsid w:val="00E036EB"/>
    <w:rsid w:val="00E03782"/>
    <w:rsid w:val="00E037B8"/>
    <w:rsid w:val="00E03853"/>
    <w:rsid w:val="00E0391E"/>
    <w:rsid w:val="00E03A32"/>
    <w:rsid w:val="00E03ADB"/>
    <w:rsid w:val="00E03BD4"/>
    <w:rsid w:val="00E03DA6"/>
    <w:rsid w:val="00E03DF0"/>
    <w:rsid w:val="00E03E0B"/>
    <w:rsid w:val="00E03E7A"/>
    <w:rsid w:val="00E041BB"/>
    <w:rsid w:val="00E041ED"/>
    <w:rsid w:val="00E04530"/>
    <w:rsid w:val="00E04667"/>
    <w:rsid w:val="00E04695"/>
    <w:rsid w:val="00E04805"/>
    <w:rsid w:val="00E048B0"/>
    <w:rsid w:val="00E04FAB"/>
    <w:rsid w:val="00E0521C"/>
    <w:rsid w:val="00E05264"/>
    <w:rsid w:val="00E05270"/>
    <w:rsid w:val="00E05630"/>
    <w:rsid w:val="00E05780"/>
    <w:rsid w:val="00E05881"/>
    <w:rsid w:val="00E05CA0"/>
    <w:rsid w:val="00E05ECF"/>
    <w:rsid w:val="00E05FA3"/>
    <w:rsid w:val="00E05FFF"/>
    <w:rsid w:val="00E0625A"/>
    <w:rsid w:val="00E06283"/>
    <w:rsid w:val="00E06351"/>
    <w:rsid w:val="00E06548"/>
    <w:rsid w:val="00E06CF8"/>
    <w:rsid w:val="00E06D8E"/>
    <w:rsid w:val="00E06DBB"/>
    <w:rsid w:val="00E06F23"/>
    <w:rsid w:val="00E072A4"/>
    <w:rsid w:val="00E0735A"/>
    <w:rsid w:val="00E0742A"/>
    <w:rsid w:val="00E07539"/>
    <w:rsid w:val="00E07865"/>
    <w:rsid w:val="00E078BF"/>
    <w:rsid w:val="00E0793E"/>
    <w:rsid w:val="00E07995"/>
    <w:rsid w:val="00E07A72"/>
    <w:rsid w:val="00E07AEC"/>
    <w:rsid w:val="00E07B48"/>
    <w:rsid w:val="00E07B52"/>
    <w:rsid w:val="00E07BAD"/>
    <w:rsid w:val="00E07BBD"/>
    <w:rsid w:val="00E07C4D"/>
    <w:rsid w:val="00E07C8E"/>
    <w:rsid w:val="00E07D33"/>
    <w:rsid w:val="00E07D3D"/>
    <w:rsid w:val="00E07DF3"/>
    <w:rsid w:val="00E07EE5"/>
    <w:rsid w:val="00E07F9D"/>
    <w:rsid w:val="00E1002E"/>
    <w:rsid w:val="00E10149"/>
    <w:rsid w:val="00E1026C"/>
    <w:rsid w:val="00E10271"/>
    <w:rsid w:val="00E1031C"/>
    <w:rsid w:val="00E10627"/>
    <w:rsid w:val="00E10855"/>
    <w:rsid w:val="00E10919"/>
    <w:rsid w:val="00E10A18"/>
    <w:rsid w:val="00E10A98"/>
    <w:rsid w:val="00E10D49"/>
    <w:rsid w:val="00E11238"/>
    <w:rsid w:val="00E1124B"/>
    <w:rsid w:val="00E11340"/>
    <w:rsid w:val="00E11606"/>
    <w:rsid w:val="00E1161F"/>
    <w:rsid w:val="00E11663"/>
    <w:rsid w:val="00E11737"/>
    <w:rsid w:val="00E11880"/>
    <w:rsid w:val="00E118ED"/>
    <w:rsid w:val="00E11CE0"/>
    <w:rsid w:val="00E11F1A"/>
    <w:rsid w:val="00E121D4"/>
    <w:rsid w:val="00E1224E"/>
    <w:rsid w:val="00E122A1"/>
    <w:rsid w:val="00E1232B"/>
    <w:rsid w:val="00E12361"/>
    <w:rsid w:val="00E1248C"/>
    <w:rsid w:val="00E126BF"/>
    <w:rsid w:val="00E126C0"/>
    <w:rsid w:val="00E12A68"/>
    <w:rsid w:val="00E12A71"/>
    <w:rsid w:val="00E12B4E"/>
    <w:rsid w:val="00E12C3B"/>
    <w:rsid w:val="00E12D25"/>
    <w:rsid w:val="00E12DD8"/>
    <w:rsid w:val="00E12E01"/>
    <w:rsid w:val="00E133C3"/>
    <w:rsid w:val="00E134A6"/>
    <w:rsid w:val="00E135E1"/>
    <w:rsid w:val="00E135EF"/>
    <w:rsid w:val="00E13824"/>
    <w:rsid w:val="00E1394A"/>
    <w:rsid w:val="00E13A5D"/>
    <w:rsid w:val="00E13B82"/>
    <w:rsid w:val="00E13BCE"/>
    <w:rsid w:val="00E13C8E"/>
    <w:rsid w:val="00E14019"/>
    <w:rsid w:val="00E145AF"/>
    <w:rsid w:val="00E14651"/>
    <w:rsid w:val="00E147AA"/>
    <w:rsid w:val="00E14824"/>
    <w:rsid w:val="00E14BDF"/>
    <w:rsid w:val="00E14C8F"/>
    <w:rsid w:val="00E14EA8"/>
    <w:rsid w:val="00E14F61"/>
    <w:rsid w:val="00E14FCB"/>
    <w:rsid w:val="00E1506A"/>
    <w:rsid w:val="00E1521F"/>
    <w:rsid w:val="00E154D3"/>
    <w:rsid w:val="00E15535"/>
    <w:rsid w:val="00E1554F"/>
    <w:rsid w:val="00E155C4"/>
    <w:rsid w:val="00E1562A"/>
    <w:rsid w:val="00E158DE"/>
    <w:rsid w:val="00E15C0D"/>
    <w:rsid w:val="00E15D07"/>
    <w:rsid w:val="00E16372"/>
    <w:rsid w:val="00E164EB"/>
    <w:rsid w:val="00E16792"/>
    <w:rsid w:val="00E169C8"/>
    <w:rsid w:val="00E169E4"/>
    <w:rsid w:val="00E16AD8"/>
    <w:rsid w:val="00E16EC9"/>
    <w:rsid w:val="00E16EFC"/>
    <w:rsid w:val="00E16F3E"/>
    <w:rsid w:val="00E1711B"/>
    <w:rsid w:val="00E171BD"/>
    <w:rsid w:val="00E17289"/>
    <w:rsid w:val="00E174B2"/>
    <w:rsid w:val="00E17567"/>
    <w:rsid w:val="00E176F0"/>
    <w:rsid w:val="00E177B5"/>
    <w:rsid w:val="00E1795D"/>
    <w:rsid w:val="00E17961"/>
    <w:rsid w:val="00E179B6"/>
    <w:rsid w:val="00E179C8"/>
    <w:rsid w:val="00E17E1A"/>
    <w:rsid w:val="00E17E4F"/>
    <w:rsid w:val="00E17E6E"/>
    <w:rsid w:val="00E17E90"/>
    <w:rsid w:val="00E17FFA"/>
    <w:rsid w:val="00E20032"/>
    <w:rsid w:val="00E20063"/>
    <w:rsid w:val="00E200A9"/>
    <w:rsid w:val="00E2020A"/>
    <w:rsid w:val="00E20276"/>
    <w:rsid w:val="00E202E6"/>
    <w:rsid w:val="00E20612"/>
    <w:rsid w:val="00E206DC"/>
    <w:rsid w:val="00E20B30"/>
    <w:rsid w:val="00E20BCE"/>
    <w:rsid w:val="00E20D74"/>
    <w:rsid w:val="00E20E4D"/>
    <w:rsid w:val="00E20ED6"/>
    <w:rsid w:val="00E210CA"/>
    <w:rsid w:val="00E21121"/>
    <w:rsid w:val="00E2121E"/>
    <w:rsid w:val="00E212DA"/>
    <w:rsid w:val="00E21358"/>
    <w:rsid w:val="00E214AA"/>
    <w:rsid w:val="00E214C6"/>
    <w:rsid w:val="00E21647"/>
    <w:rsid w:val="00E21871"/>
    <w:rsid w:val="00E21876"/>
    <w:rsid w:val="00E218D0"/>
    <w:rsid w:val="00E21967"/>
    <w:rsid w:val="00E21A44"/>
    <w:rsid w:val="00E21C69"/>
    <w:rsid w:val="00E21F1B"/>
    <w:rsid w:val="00E2210B"/>
    <w:rsid w:val="00E22256"/>
    <w:rsid w:val="00E22308"/>
    <w:rsid w:val="00E22326"/>
    <w:rsid w:val="00E2249B"/>
    <w:rsid w:val="00E224B3"/>
    <w:rsid w:val="00E22A0D"/>
    <w:rsid w:val="00E22AD1"/>
    <w:rsid w:val="00E22AE1"/>
    <w:rsid w:val="00E22AF0"/>
    <w:rsid w:val="00E22D46"/>
    <w:rsid w:val="00E23017"/>
    <w:rsid w:val="00E23197"/>
    <w:rsid w:val="00E232AD"/>
    <w:rsid w:val="00E23420"/>
    <w:rsid w:val="00E2343C"/>
    <w:rsid w:val="00E2365E"/>
    <w:rsid w:val="00E23945"/>
    <w:rsid w:val="00E23B30"/>
    <w:rsid w:val="00E23C2C"/>
    <w:rsid w:val="00E23C96"/>
    <w:rsid w:val="00E23CD4"/>
    <w:rsid w:val="00E23DD9"/>
    <w:rsid w:val="00E240BB"/>
    <w:rsid w:val="00E2411E"/>
    <w:rsid w:val="00E24191"/>
    <w:rsid w:val="00E24292"/>
    <w:rsid w:val="00E24323"/>
    <w:rsid w:val="00E2443E"/>
    <w:rsid w:val="00E244F6"/>
    <w:rsid w:val="00E247F6"/>
    <w:rsid w:val="00E24820"/>
    <w:rsid w:val="00E2487F"/>
    <w:rsid w:val="00E2497B"/>
    <w:rsid w:val="00E24C8B"/>
    <w:rsid w:val="00E24D3A"/>
    <w:rsid w:val="00E24DE7"/>
    <w:rsid w:val="00E24E0A"/>
    <w:rsid w:val="00E24F33"/>
    <w:rsid w:val="00E2506F"/>
    <w:rsid w:val="00E2519E"/>
    <w:rsid w:val="00E25441"/>
    <w:rsid w:val="00E254BF"/>
    <w:rsid w:val="00E25562"/>
    <w:rsid w:val="00E2575B"/>
    <w:rsid w:val="00E257F4"/>
    <w:rsid w:val="00E258DB"/>
    <w:rsid w:val="00E25ABF"/>
    <w:rsid w:val="00E25BDD"/>
    <w:rsid w:val="00E25F6B"/>
    <w:rsid w:val="00E26040"/>
    <w:rsid w:val="00E2607C"/>
    <w:rsid w:val="00E26130"/>
    <w:rsid w:val="00E261CF"/>
    <w:rsid w:val="00E262FE"/>
    <w:rsid w:val="00E2645D"/>
    <w:rsid w:val="00E26621"/>
    <w:rsid w:val="00E2666A"/>
    <w:rsid w:val="00E269BC"/>
    <w:rsid w:val="00E26CF4"/>
    <w:rsid w:val="00E26D80"/>
    <w:rsid w:val="00E26DEB"/>
    <w:rsid w:val="00E26DF6"/>
    <w:rsid w:val="00E26F82"/>
    <w:rsid w:val="00E271F3"/>
    <w:rsid w:val="00E271F8"/>
    <w:rsid w:val="00E272E5"/>
    <w:rsid w:val="00E273BF"/>
    <w:rsid w:val="00E2745F"/>
    <w:rsid w:val="00E27520"/>
    <w:rsid w:val="00E27702"/>
    <w:rsid w:val="00E2771E"/>
    <w:rsid w:val="00E2794D"/>
    <w:rsid w:val="00E27BE9"/>
    <w:rsid w:val="00E27C0C"/>
    <w:rsid w:val="00E301D3"/>
    <w:rsid w:val="00E30330"/>
    <w:rsid w:val="00E304AE"/>
    <w:rsid w:val="00E3055E"/>
    <w:rsid w:val="00E30573"/>
    <w:rsid w:val="00E307A5"/>
    <w:rsid w:val="00E30836"/>
    <w:rsid w:val="00E30C4B"/>
    <w:rsid w:val="00E31027"/>
    <w:rsid w:val="00E310F3"/>
    <w:rsid w:val="00E311EF"/>
    <w:rsid w:val="00E3152D"/>
    <w:rsid w:val="00E31595"/>
    <w:rsid w:val="00E315A3"/>
    <w:rsid w:val="00E31686"/>
    <w:rsid w:val="00E316D3"/>
    <w:rsid w:val="00E31753"/>
    <w:rsid w:val="00E3178D"/>
    <w:rsid w:val="00E3183E"/>
    <w:rsid w:val="00E31864"/>
    <w:rsid w:val="00E318C5"/>
    <w:rsid w:val="00E318E0"/>
    <w:rsid w:val="00E3192F"/>
    <w:rsid w:val="00E31934"/>
    <w:rsid w:val="00E3194B"/>
    <w:rsid w:val="00E32180"/>
    <w:rsid w:val="00E3219F"/>
    <w:rsid w:val="00E323DE"/>
    <w:rsid w:val="00E324D4"/>
    <w:rsid w:val="00E32510"/>
    <w:rsid w:val="00E3259D"/>
    <w:rsid w:val="00E32C5E"/>
    <w:rsid w:val="00E331E4"/>
    <w:rsid w:val="00E33209"/>
    <w:rsid w:val="00E3322D"/>
    <w:rsid w:val="00E332CA"/>
    <w:rsid w:val="00E3335A"/>
    <w:rsid w:val="00E334E7"/>
    <w:rsid w:val="00E337D3"/>
    <w:rsid w:val="00E339C6"/>
    <w:rsid w:val="00E33A24"/>
    <w:rsid w:val="00E33B16"/>
    <w:rsid w:val="00E33B4F"/>
    <w:rsid w:val="00E33B91"/>
    <w:rsid w:val="00E33B94"/>
    <w:rsid w:val="00E33CBE"/>
    <w:rsid w:val="00E33DA8"/>
    <w:rsid w:val="00E33DEB"/>
    <w:rsid w:val="00E33E1C"/>
    <w:rsid w:val="00E33E5B"/>
    <w:rsid w:val="00E33EC7"/>
    <w:rsid w:val="00E33EEE"/>
    <w:rsid w:val="00E340A4"/>
    <w:rsid w:val="00E34221"/>
    <w:rsid w:val="00E3428F"/>
    <w:rsid w:val="00E3433E"/>
    <w:rsid w:val="00E3472C"/>
    <w:rsid w:val="00E34883"/>
    <w:rsid w:val="00E34886"/>
    <w:rsid w:val="00E34948"/>
    <w:rsid w:val="00E3498D"/>
    <w:rsid w:val="00E34DEE"/>
    <w:rsid w:val="00E34ED3"/>
    <w:rsid w:val="00E34F86"/>
    <w:rsid w:val="00E34FCD"/>
    <w:rsid w:val="00E35040"/>
    <w:rsid w:val="00E350A1"/>
    <w:rsid w:val="00E351D5"/>
    <w:rsid w:val="00E35312"/>
    <w:rsid w:val="00E3538B"/>
    <w:rsid w:val="00E354AF"/>
    <w:rsid w:val="00E3576D"/>
    <w:rsid w:val="00E3577A"/>
    <w:rsid w:val="00E357B5"/>
    <w:rsid w:val="00E35811"/>
    <w:rsid w:val="00E35A6F"/>
    <w:rsid w:val="00E35D0A"/>
    <w:rsid w:val="00E35D34"/>
    <w:rsid w:val="00E35DB8"/>
    <w:rsid w:val="00E36127"/>
    <w:rsid w:val="00E361FA"/>
    <w:rsid w:val="00E36377"/>
    <w:rsid w:val="00E363BD"/>
    <w:rsid w:val="00E363D1"/>
    <w:rsid w:val="00E36481"/>
    <w:rsid w:val="00E365AD"/>
    <w:rsid w:val="00E366E2"/>
    <w:rsid w:val="00E36A5A"/>
    <w:rsid w:val="00E36A99"/>
    <w:rsid w:val="00E36AE9"/>
    <w:rsid w:val="00E36BDF"/>
    <w:rsid w:val="00E36BF8"/>
    <w:rsid w:val="00E36DF9"/>
    <w:rsid w:val="00E36E16"/>
    <w:rsid w:val="00E36E65"/>
    <w:rsid w:val="00E3705E"/>
    <w:rsid w:val="00E3734B"/>
    <w:rsid w:val="00E37569"/>
    <w:rsid w:val="00E376FB"/>
    <w:rsid w:val="00E37823"/>
    <w:rsid w:val="00E37846"/>
    <w:rsid w:val="00E3786B"/>
    <w:rsid w:val="00E37910"/>
    <w:rsid w:val="00E37C8D"/>
    <w:rsid w:val="00E37E87"/>
    <w:rsid w:val="00E37F6C"/>
    <w:rsid w:val="00E37FE9"/>
    <w:rsid w:val="00E401B2"/>
    <w:rsid w:val="00E40240"/>
    <w:rsid w:val="00E403CA"/>
    <w:rsid w:val="00E40573"/>
    <w:rsid w:val="00E405A9"/>
    <w:rsid w:val="00E40772"/>
    <w:rsid w:val="00E4077F"/>
    <w:rsid w:val="00E408F8"/>
    <w:rsid w:val="00E4090A"/>
    <w:rsid w:val="00E4098E"/>
    <w:rsid w:val="00E40CA3"/>
    <w:rsid w:val="00E40D92"/>
    <w:rsid w:val="00E40DB6"/>
    <w:rsid w:val="00E40DC9"/>
    <w:rsid w:val="00E40E10"/>
    <w:rsid w:val="00E40E29"/>
    <w:rsid w:val="00E4119A"/>
    <w:rsid w:val="00E4124B"/>
    <w:rsid w:val="00E415CD"/>
    <w:rsid w:val="00E41775"/>
    <w:rsid w:val="00E417C6"/>
    <w:rsid w:val="00E418A2"/>
    <w:rsid w:val="00E41A0E"/>
    <w:rsid w:val="00E41D7F"/>
    <w:rsid w:val="00E41E06"/>
    <w:rsid w:val="00E41E2F"/>
    <w:rsid w:val="00E41E30"/>
    <w:rsid w:val="00E4246B"/>
    <w:rsid w:val="00E42555"/>
    <w:rsid w:val="00E425F0"/>
    <w:rsid w:val="00E42674"/>
    <w:rsid w:val="00E426B9"/>
    <w:rsid w:val="00E42749"/>
    <w:rsid w:val="00E42829"/>
    <w:rsid w:val="00E428B6"/>
    <w:rsid w:val="00E42BE8"/>
    <w:rsid w:val="00E42C41"/>
    <w:rsid w:val="00E42D48"/>
    <w:rsid w:val="00E42DEF"/>
    <w:rsid w:val="00E42F37"/>
    <w:rsid w:val="00E42F73"/>
    <w:rsid w:val="00E42FAD"/>
    <w:rsid w:val="00E430AF"/>
    <w:rsid w:val="00E43112"/>
    <w:rsid w:val="00E431D8"/>
    <w:rsid w:val="00E4354F"/>
    <w:rsid w:val="00E435B4"/>
    <w:rsid w:val="00E435CE"/>
    <w:rsid w:val="00E436F5"/>
    <w:rsid w:val="00E43843"/>
    <w:rsid w:val="00E438F5"/>
    <w:rsid w:val="00E43B65"/>
    <w:rsid w:val="00E43CF4"/>
    <w:rsid w:val="00E43D70"/>
    <w:rsid w:val="00E43DF7"/>
    <w:rsid w:val="00E43E23"/>
    <w:rsid w:val="00E43E3A"/>
    <w:rsid w:val="00E43EC6"/>
    <w:rsid w:val="00E44411"/>
    <w:rsid w:val="00E44480"/>
    <w:rsid w:val="00E444F8"/>
    <w:rsid w:val="00E4472B"/>
    <w:rsid w:val="00E447AB"/>
    <w:rsid w:val="00E4491A"/>
    <w:rsid w:val="00E449D2"/>
    <w:rsid w:val="00E44B60"/>
    <w:rsid w:val="00E44DC6"/>
    <w:rsid w:val="00E44F1B"/>
    <w:rsid w:val="00E44F79"/>
    <w:rsid w:val="00E44F87"/>
    <w:rsid w:val="00E44FBD"/>
    <w:rsid w:val="00E45050"/>
    <w:rsid w:val="00E450DD"/>
    <w:rsid w:val="00E450F1"/>
    <w:rsid w:val="00E4531C"/>
    <w:rsid w:val="00E4541C"/>
    <w:rsid w:val="00E4551F"/>
    <w:rsid w:val="00E4574C"/>
    <w:rsid w:val="00E457B0"/>
    <w:rsid w:val="00E457E2"/>
    <w:rsid w:val="00E457E9"/>
    <w:rsid w:val="00E45942"/>
    <w:rsid w:val="00E45C04"/>
    <w:rsid w:val="00E45C86"/>
    <w:rsid w:val="00E45DA7"/>
    <w:rsid w:val="00E45DB2"/>
    <w:rsid w:val="00E45F6C"/>
    <w:rsid w:val="00E46008"/>
    <w:rsid w:val="00E46401"/>
    <w:rsid w:val="00E464EA"/>
    <w:rsid w:val="00E464F2"/>
    <w:rsid w:val="00E464F3"/>
    <w:rsid w:val="00E46512"/>
    <w:rsid w:val="00E466F3"/>
    <w:rsid w:val="00E46910"/>
    <w:rsid w:val="00E46A80"/>
    <w:rsid w:val="00E46AA9"/>
    <w:rsid w:val="00E46AE5"/>
    <w:rsid w:val="00E46C86"/>
    <w:rsid w:val="00E46E7D"/>
    <w:rsid w:val="00E46E8F"/>
    <w:rsid w:val="00E46F17"/>
    <w:rsid w:val="00E4704A"/>
    <w:rsid w:val="00E470FB"/>
    <w:rsid w:val="00E47224"/>
    <w:rsid w:val="00E472C2"/>
    <w:rsid w:val="00E47815"/>
    <w:rsid w:val="00E47B2C"/>
    <w:rsid w:val="00E47C4F"/>
    <w:rsid w:val="00E47D4C"/>
    <w:rsid w:val="00E47DED"/>
    <w:rsid w:val="00E47EF4"/>
    <w:rsid w:val="00E47F11"/>
    <w:rsid w:val="00E502D7"/>
    <w:rsid w:val="00E5033F"/>
    <w:rsid w:val="00E50465"/>
    <w:rsid w:val="00E5055B"/>
    <w:rsid w:val="00E50636"/>
    <w:rsid w:val="00E50789"/>
    <w:rsid w:val="00E507C1"/>
    <w:rsid w:val="00E507E2"/>
    <w:rsid w:val="00E507EB"/>
    <w:rsid w:val="00E50819"/>
    <w:rsid w:val="00E50837"/>
    <w:rsid w:val="00E50A0F"/>
    <w:rsid w:val="00E50CBD"/>
    <w:rsid w:val="00E50CDB"/>
    <w:rsid w:val="00E50E91"/>
    <w:rsid w:val="00E50EF7"/>
    <w:rsid w:val="00E510C5"/>
    <w:rsid w:val="00E510E2"/>
    <w:rsid w:val="00E511FD"/>
    <w:rsid w:val="00E5122F"/>
    <w:rsid w:val="00E51282"/>
    <w:rsid w:val="00E512C7"/>
    <w:rsid w:val="00E51560"/>
    <w:rsid w:val="00E5166E"/>
    <w:rsid w:val="00E51821"/>
    <w:rsid w:val="00E51C28"/>
    <w:rsid w:val="00E51CC8"/>
    <w:rsid w:val="00E51CE4"/>
    <w:rsid w:val="00E51E5D"/>
    <w:rsid w:val="00E51F0F"/>
    <w:rsid w:val="00E51F48"/>
    <w:rsid w:val="00E52188"/>
    <w:rsid w:val="00E523DD"/>
    <w:rsid w:val="00E525A9"/>
    <w:rsid w:val="00E52747"/>
    <w:rsid w:val="00E52791"/>
    <w:rsid w:val="00E52A6E"/>
    <w:rsid w:val="00E52BD8"/>
    <w:rsid w:val="00E52C0C"/>
    <w:rsid w:val="00E52CA3"/>
    <w:rsid w:val="00E52DDE"/>
    <w:rsid w:val="00E52FD0"/>
    <w:rsid w:val="00E530DC"/>
    <w:rsid w:val="00E531ED"/>
    <w:rsid w:val="00E533F4"/>
    <w:rsid w:val="00E5355E"/>
    <w:rsid w:val="00E535C1"/>
    <w:rsid w:val="00E53832"/>
    <w:rsid w:val="00E53902"/>
    <w:rsid w:val="00E53987"/>
    <w:rsid w:val="00E53AE7"/>
    <w:rsid w:val="00E53B42"/>
    <w:rsid w:val="00E53D94"/>
    <w:rsid w:val="00E53FC8"/>
    <w:rsid w:val="00E53FCE"/>
    <w:rsid w:val="00E540C2"/>
    <w:rsid w:val="00E541EF"/>
    <w:rsid w:val="00E5424A"/>
    <w:rsid w:val="00E54347"/>
    <w:rsid w:val="00E544ED"/>
    <w:rsid w:val="00E5451F"/>
    <w:rsid w:val="00E54701"/>
    <w:rsid w:val="00E54725"/>
    <w:rsid w:val="00E54978"/>
    <w:rsid w:val="00E54AFF"/>
    <w:rsid w:val="00E54E7F"/>
    <w:rsid w:val="00E54EAE"/>
    <w:rsid w:val="00E54F23"/>
    <w:rsid w:val="00E54F6A"/>
    <w:rsid w:val="00E5524E"/>
    <w:rsid w:val="00E55257"/>
    <w:rsid w:val="00E553C1"/>
    <w:rsid w:val="00E553CA"/>
    <w:rsid w:val="00E55424"/>
    <w:rsid w:val="00E55494"/>
    <w:rsid w:val="00E55512"/>
    <w:rsid w:val="00E55693"/>
    <w:rsid w:val="00E55915"/>
    <w:rsid w:val="00E55BAC"/>
    <w:rsid w:val="00E55BB5"/>
    <w:rsid w:val="00E55D96"/>
    <w:rsid w:val="00E55DF2"/>
    <w:rsid w:val="00E55F34"/>
    <w:rsid w:val="00E56111"/>
    <w:rsid w:val="00E5666F"/>
    <w:rsid w:val="00E56986"/>
    <w:rsid w:val="00E569EE"/>
    <w:rsid w:val="00E56A20"/>
    <w:rsid w:val="00E56A2E"/>
    <w:rsid w:val="00E56B05"/>
    <w:rsid w:val="00E56B25"/>
    <w:rsid w:val="00E56D42"/>
    <w:rsid w:val="00E56E3E"/>
    <w:rsid w:val="00E56F51"/>
    <w:rsid w:val="00E57246"/>
    <w:rsid w:val="00E57411"/>
    <w:rsid w:val="00E575E0"/>
    <w:rsid w:val="00E57880"/>
    <w:rsid w:val="00E57A75"/>
    <w:rsid w:val="00E57A88"/>
    <w:rsid w:val="00E57CDC"/>
    <w:rsid w:val="00E60047"/>
    <w:rsid w:val="00E6019C"/>
    <w:rsid w:val="00E605C2"/>
    <w:rsid w:val="00E60790"/>
    <w:rsid w:val="00E607A9"/>
    <w:rsid w:val="00E608C6"/>
    <w:rsid w:val="00E608FA"/>
    <w:rsid w:val="00E60C86"/>
    <w:rsid w:val="00E60CB1"/>
    <w:rsid w:val="00E60E67"/>
    <w:rsid w:val="00E61024"/>
    <w:rsid w:val="00E610E3"/>
    <w:rsid w:val="00E6111B"/>
    <w:rsid w:val="00E611DF"/>
    <w:rsid w:val="00E614B3"/>
    <w:rsid w:val="00E615C6"/>
    <w:rsid w:val="00E61865"/>
    <w:rsid w:val="00E61C51"/>
    <w:rsid w:val="00E61CA1"/>
    <w:rsid w:val="00E61FCB"/>
    <w:rsid w:val="00E62008"/>
    <w:rsid w:val="00E620EF"/>
    <w:rsid w:val="00E622B1"/>
    <w:rsid w:val="00E62372"/>
    <w:rsid w:val="00E6239B"/>
    <w:rsid w:val="00E628A8"/>
    <w:rsid w:val="00E628DA"/>
    <w:rsid w:val="00E6297A"/>
    <w:rsid w:val="00E62EB8"/>
    <w:rsid w:val="00E62F16"/>
    <w:rsid w:val="00E62F2B"/>
    <w:rsid w:val="00E63147"/>
    <w:rsid w:val="00E6319B"/>
    <w:rsid w:val="00E631F8"/>
    <w:rsid w:val="00E63708"/>
    <w:rsid w:val="00E63A01"/>
    <w:rsid w:val="00E63AAC"/>
    <w:rsid w:val="00E63B18"/>
    <w:rsid w:val="00E63B65"/>
    <w:rsid w:val="00E63E01"/>
    <w:rsid w:val="00E63F80"/>
    <w:rsid w:val="00E644CF"/>
    <w:rsid w:val="00E64578"/>
    <w:rsid w:val="00E64603"/>
    <w:rsid w:val="00E6472E"/>
    <w:rsid w:val="00E647D4"/>
    <w:rsid w:val="00E64A4C"/>
    <w:rsid w:val="00E64B53"/>
    <w:rsid w:val="00E64DD1"/>
    <w:rsid w:val="00E65384"/>
    <w:rsid w:val="00E653AB"/>
    <w:rsid w:val="00E653BA"/>
    <w:rsid w:val="00E65565"/>
    <w:rsid w:val="00E65568"/>
    <w:rsid w:val="00E6577F"/>
    <w:rsid w:val="00E657ED"/>
    <w:rsid w:val="00E65B50"/>
    <w:rsid w:val="00E65C0E"/>
    <w:rsid w:val="00E65D62"/>
    <w:rsid w:val="00E65DC8"/>
    <w:rsid w:val="00E65E75"/>
    <w:rsid w:val="00E65E79"/>
    <w:rsid w:val="00E65E91"/>
    <w:rsid w:val="00E66019"/>
    <w:rsid w:val="00E6639C"/>
    <w:rsid w:val="00E66502"/>
    <w:rsid w:val="00E6686F"/>
    <w:rsid w:val="00E668BD"/>
    <w:rsid w:val="00E66907"/>
    <w:rsid w:val="00E66B84"/>
    <w:rsid w:val="00E66BA2"/>
    <w:rsid w:val="00E67006"/>
    <w:rsid w:val="00E6732A"/>
    <w:rsid w:val="00E67416"/>
    <w:rsid w:val="00E675C5"/>
    <w:rsid w:val="00E67631"/>
    <w:rsid w:val="00E67730"/>
    <w:rsid w:val="00E67B30"/>
    <w:rsid w:val="00E67C9E"/>
    <w:rsid w:val="00E67DA7"/>
    <w:rsid w:val="00E67E10"/>
    <w:rsid w:val="00E67E7C"/>
    <w:rsid w:val="00E67F33"/>
    <w:rsid w:val="00E67FEA"/>
    <w:rsid w:val="00E700E9"/>
    <w:rsid w:val="00E700EB"/>
    <w:rsid w:val="00E701F5"/>
    <w:rsid w:val="00E70218"/>
    <w:rsid w:val="00E70323"/>
    <w:rsid w:val="00E70389"/>
    <w:rsid w:val="00E70396"/>
    <w:rsid w:val="00E704B0"/>
    <w:rsid w:val="00E7093F"/>
    <w:rsid w:val="00E709A8"/>
    <w:rsid w:val="00E70A71"/>
    <w:rsid w:val="00E70FB0"/>
    <w:rsid w:val="00E711CB"/>
    <w:rsid w:val="00E71220"/>
    <w:rsid w:val="00E71492"/>
    <w:rsid w:val="00E71660"/>
    <w:rsid w:val="00E71785"/>
    <w:rsid w:val="00E717A7"/>
    <w:rsid w:val="00E717C3"/>
    <w:rsid w:val="00E718B6"/>
    <w:rsid w:val="00E718BD"/>
    <w:rsid w:val="00E71981"/>
    <w:rsid w:val="00E7199A"/>
    <w:rsid w:val="00E71A95"/>
    <w:rsid w:val="00E71CC0"/>
    <w:rsid w:val="00E71DCE"/>
    <w:rsid w:val="00E71DD9"/>
    <w:rsid w:val="00E71EEF"/>
    <w:rsid w:val="00E72062"/>
    <w:rsid w:val="00E7219D"/>
    <w:rsid w:val="00E7221C"/>
    <w:rsid w:val="00E72303"/>
    <w:rsid w:val="00E723BA"/>
    <w:rsid w:val="00E72701"/>
    <w:rsid w:val="00E72779"/>
    <w:rsid w:val="00E72822"/>
    <w:rsid w:val="00E72900"/>
    <w:rsid w:val="00E72ADD"/>
    <w:rsid w:val="00E72BB5"/>
    <w:rsid w:val="00E72D0C"/>
    <w:rsid w:val="00E72E52"/>
    <w:rsid w:val="00E72E54"/>
    <w:rsid w:val="00E72EDB"/>
    <w:rsid w:val="00E73018"/>
    <w:rsid w:val="00E73022"/>
    <w:rsid w:val="00E7311F"/>
    <w:rsid w:val="00E733B8"/>
    <w:rsid w:val="00E7351D"/>
    <w:rsid w:val="00E73581"/>
    <w:rsid w:val="00E736AA"/>
    <w:rsid w:val="00E7383D"/>
    <w:rsid w:val="00E73921"/>
    <w:rsid w:val="00E73A3D"/>
    <w:rsid w:val="00E73AB2"/>
    <w:rsid w:val="00E73B47"/>
    <w:rsid w:val="00E73C2B"/>
    <w:rsid w:val="00E74171"/>
    <w:rsid w:val="00E743C1"/>
    <w:rsid w:val="00E743F5"/>
    <w:rsid w:val="00E74610"/>
    <w:rsid w:val="00E7468D"/>
    <w:rsid w:val="00E74748"/>
    <w:rsid w:val="00E74869"/>
    <w:rsid w:val="00E74AB6"/>
    <w:rsid w:val="00E74AFE"/>
    <w:rsid w:val="00E74B70"/>
    <w:rsid w:val="00E74BF0"/>
    <w:rsid w:val="00E74C9E"/>
    <w:rsid w:val="00E74D16"/>
    <w:rsid w:val="00E74DCE"/>
    <w:rsid w:val="00E75098"/>
    <w:rsid w:val="00E75142"/>
    <w:rsid w:val="00E7537B"/>
    <w:rsid w:val="00E7558C"/>
    <w:rsid w:val="00E756AD"/>
    <w:rsid w:val="00E756E9"/>
    <w:rsid w:val="00E75791"/>
    <w:rsid w:val="00E758EB"/>
    <w:rsid w:val="00E7595D"/>
    <w:rsid w:val="00E75A3B"/>
    <w:rsid w:val="00E75A5D"/>
    <w:rsid w:val="00E75A97"/>
    <w:rsid w:val="00E75B63"/>
    <w:rsid w:val="00E75BA0"/>
    <w:rsid w:val="00E75BED"/>
    <w:rsid w:val="00E75C68"/>
    <w:rsid w:val="00E75D06"/>
    <w:rsid w:val="00E75F32"/>
    <w:rsid w:val="00E75F3B"/>
    <w:rsid w:val="00E75F65"/>
    <w:rsid w:val="00E7652F"/>
    <w:rsid w:val="00E7677A"/>
    <w:rsid w:val="00E76914"/>
    <w:rsid w:val="00E76AAD"/>
    <w:rsid w:val="00E76ADE"/>
    <w:rsid w:val="00E76B90"/>
    <w:rsid w:val="00E76BFA"/>
    <w:rsid w:val="00E76E5C"/>
    <w:rsid w:val="00E77071"/>
    <w:rsid w:val="00E7707C"/>
    <w:rsid w:val="00E7719F"/>
    <w:rsid w:val="00E77249"/>
    <w:rsid w:val="00E7724A"/>
    <w:rsid w:val="00E772E9"/>
    <w:rsid w:val="00E77511"/>
    <w:rsid w:val="00E7754E"/>
    <w:rsid w:val="00E7760B"/>
    <w:rsid w:val="00E77997"/>
    <w:rsid w:val="00E779C0"/>
    <w:rsid w:val="00E77AA4"/>
    <w:rsid w:val="00E77AC9"/>
    <w:rsid w:val="00E77B0E"/>
    <w:rsid w:val="00E77C76"/>
    <w:rsid w:val="00E77CD1"/>
    <w:rsid w:val="00E77F51"/>
    <w:rsid w:val="00E80085"/>
    <w:rsid w:val="00E803A6"/>
    <w:rsid w:val="00E803BB"/>
    <w:rsid w:val="00E80437"/>
    <w:rsid w:val="00E80730"/>
    <w:rsid w:val="00E80773"/>
    <w:rsid w:val="00E809D9"/>
    <w:rsid w:val="00E80A14"/>
    <w:rsid w:val="00E80BB2"/>
    <w:rsid w:val="00E80BE1"/>
    <w:rsid w:val="00E80C21"/>
    <w:rsid w:val="00E80CD3"/>
    <w:rsid w:val="00E80E8A"/>
    <w:rsid w:val="00E81232"/>
    <w:rsid w:val="00E81372"/>
    <w:rsid w:val="00E81423"/>
    <w:rsid w:val="00E81810"/>
    <w:rsid w:val="00E81990"/>
    <w:rsid w:val="00E81AC5"/>
    <w:rsid w:val="00E81C00"/>
    <w:rsid w:val="00E81DBB"/>
    <w:rsid w:val="00E82202"/>
    <w:rsid w:val="00E822ED"/>
    <w:rsid w:val="00E823EF"/>
    <w:rsid w:val="00E824AA"/>
    <w:rsid w:val="00E82782"/>
    <w:rsid w:val="00E827DF"/>
    <w:rsid w:val="00E829A9"/>
    <w:rsid w:val="00E829EA"/>
    <w:rsid w:val="00E82C89"/>
    <w:rsid w:val="00E82CC7"/>
    <w:rsid w:val="00E82EFB"/>
    <w:rsid w:val="00E82F64"/>
    <w:rsid w:val="00E83082"/>
    <w:rsid w:val="00E833F7"/>
    <w:rsid w:val="00E8350E"/>
    <w:rsid w:val="00E8367F"/>
    <w:rsid w:val="00E83693"/>
    <w:rsid w:val="00E83829"/>
    <w:rsid w:val="00E8382B"/>
    <w:rsid w:val="00E8397B"/>
    <w:rsid w:val="00E839B2"/>
    <w:rsid w:val="00E83AE8"/>
    <w:rsid w:val="00E83BDF"/>
    <w:rsid w:val="00E83C44"/>
    <w:rsid w:val="00E83E1A"/>
    <w:rsid w:val="00E83E76"/>
    <w:rsid w:val="00E83F25"/>
    <w:rsid w:val="00E841B7"/>
    <w:rsid w:val="00E84296"/>
    <w:rsid w:val="00E8430E"/>
    <w:rsid w:val="00E843CC"/>
    <w:rsid w:val="00E84451"/>
    <w:rsid w:val="00E8477B"/>
    <w:rsid w:val="00E847C6"/>
    <w:rsid w:val="00E84AAF"/>
    <w:rsid w:val="00E84B2A"/>
    <w:rsid w:val="00E84B9A"/>
    <w:rsid w:val="00E84B9D"/>
    <w:rsid w:val="00E84BA2"/>
    <w:rsid w:val="00E84CAC"/>
    <w:rsid w:val="00E84D71"/>
    <w:rsid w:val="00E84DF2"/>
    <w:rsid w:val="00E84E87"/>
    <w:rsid w:val="00E84EC3"/>
    <w:rsid w:val="00E84F48"/>
    <w:rsid w:val="00E85025"/>
    <w:rsid w:val="00E85034"/>
    <w:rsid w:val="00E8528F"/>
    <w:rsid w:val="00E8534C"/>
    <w:rsid w:val="00E85528"/>
    <w:rsid w:val="00E8560A"/>
    <w:rsid w:val="00E8570C"/>
    <w:rsid w:val="00E85781"/>
    <w:rsid w:val="00E8580F"/>
    <w:rsid w:val="00E858D2"/>
    <w:rsid w:val="00E85E3D"/>
    <w:rsid w:val="00E85F51"/>
    <w:rsid w:val="00E86096"/>
    <w:rsid w:val="00E86186"/>
    <w:rsid w:val="00E861F7"/>
    <w:rsid w:val="00E862AD"/>
    <w:rsid w:val="00E86EAC"/>
    <w:rsid w:val="00E86EB7"/>
    <w:rsid w:val="00E86EF9"/>
    <w:rsid w:val="00E86FCC"/>
    <w:rsid w:val="00E87120"/>
    <w:rsid w:val="00E87235"/>
    <w:rsid w:val="00E872BC"/>
    <w:rsid w:val="00E87344"/>
    <w:rsid w:val="00E8737B"/>
    <w:rsid w:val="00E876C5"/>
    <w:rsid w:val="00E8795D"/>
    <w:rsid w:val="00E87980"/>
    <w:rsid w:val="00E879BD"/>
    <w:rsid w:val="00E87A1D"/>
    <w:rsid w:val="00E87BDF"/>
    <w:rsid w:val="00E87D4E"/>
    <w:rsid w:val="00E87F96"/>
    <w:rsid w:val="00E87F9A"/>
    <w:rsid w:val="00E90290"/>
    <w:rsid w:val="00E9038B"/>
    <w:rsid w:val="00E9060F"/>
    <w:rsid w:val="00E907A3"/>
    <w:rsid w:val="00E908B4"/>
    <w:rsid w:val="00E90900"/>
    <w:rsid w:val="00E9094A"/>
    <w:rsid w:val="00E90B8E"/>
    <w:rsid w:val="00E90C1A"/>
    <w:rsid w:val="00E90C62"/>
    <w:rsid w:val="00E90C69"/>
    <w:rsid w:val="00E90C74"/>
    <w:rsid w:val="00E90C89"/>
    <w:rsid w:val="00E90D0C"/>
    <w:rsid w:val="00E90E09"/>
    <w:rsid w:val="00E90E5B"/>
    <w:rsid w:val="00E91012"/>
    <w:rsid w:val="00E911A0"/>
    <w:rsid w:val="00E914C3"/>
    <w:rsid w:val="00E91668"/>
    <w:rsid w:val="00E91994"/>
    <w:rsid w:val="00E919CB"/>
    <w:rsid w:val="00E91B87"/>
    <w:rsid w:val="00E91CF0"/>
    <w:rsid w:val="00E91D35"/>
    <w:rsid w:val="00E91F48"/>
    <w:rsid w:val="00E91FC3"/>
    <w:rsid w:val="00E92035"/>
    <w:rsid w:val="00E92045"/>
    <w:rsid w:val="00E92195"/>
    <w:rsid w:val="00E922D7"/>
    <w:rsid w:val="00E9232A"/>
    <w:rsid w:val="00E92369"/>
    <w:rsid w:val="00E926A5"/>
    <w:rsid w:val="00E9279C"/>
    <w:rsid w:val="00E92A07"/>
    <w:rsid w:val="00E92BC0"/>
    <w:rsid w:val="00E92C44"/>
    <w:rsid w:val="00E92D2E"/>
    <w:rsid w:val="00E92D39"/>
    <w:rsid w:val="00E92D5E"/>
    <w:rsid w:val="00E92EC5"/>
    <w:rsid w:val="00E92F1B"/>
    <w:rsid w:val="00E92FD5"/>
    <w:rsid w:val="00E93204"/>
    <w:rsid w:val="00E93426"/>
    <w:rsid w:val="00E93448"/>
    <w:rsid w:val="00E936C0"/>
    <w:rsid w:val="00E938B3"/>
    <w:rsid w:val="00E93B6C"/>
    <w:rsid w:val="00E93B86"/>
    <w:rsid w:val="00E93C79"/>
    <w:rsid w:val="00E93D90"/>
    <w:rsid w:val="00E93EB6"/>
    <w:rsid w:val="00E9428C"/>
    <w:rsid w:val="00E94416"/>
    <w:rsid w:val="00E94453"/>
    <w:rsid w:val="00E94517"/>
    <w:rsid w:val="00E945B4"/>
    <w:rsid w:val="00E94962"/>
    <w:rsid w:val="00E949FA"/>
    <w:rsid w:val="00E94A78"/>
    <w:rsid w:val="00E94CD7"/>
    <w:rsid w:val="00E94D4C"/>
    <w:rsid w:val="00E94DE0"/>
    <w:rsid w:val="00E94E26"/>
    <w:rsid w:val="00E94EC6"/>
    <w:rsid w:val="00E9509F"/>
    <w:rsid w:val="00E95235"/>
    <w:rsid w:val="00E954CD"/>
    <w:rsid w:val="00E95594"/>
    <w:rsid w:val="00E95F0C"/>
    <w:rsid w:val="00E95F1A"/>
    <w:rsid w:val="00E962CC"/>
    <w:rsid w:val="00E96324"/>
    <w:rsid w:val="00E96439"/>
    <w:rsid w:val="00E96662"/>
    <w:rsid w:val="00E96667"/>
    <w:rsid w:val="00E96716"/>
    <w:rsid w:val="00E96763"/>
    <w:rsid w:val="00E9677C"/>
    <w:rsid w:val="00E96829"/>
    <w:rsid w:val="00E96908"/>
    <w:rsid w:val="00E96CCD"/>
    <w:rsid w:val="00E96E0F"/>
    <w:rsid w:val="00E96FCB"/>
    <w:rsid w:val="00E97217"/>
    <w:rsid w:val="00E972AD"/>
    <w:rsid w:val="00E97408"/>
    <w:rsid w:val="00E9741B"/>
    <w:rsid w:val="00E97554"/>
    <w:rsid w:val="00E9759E"/>
    <w:rsid w:val="00E9779E"/>
    <w:rsid w:val="00E97817"/>
    <w:rsid w:val="00E978BD"/>
    <w:rsid w:val="00E978F1"/>
    <w:rsid w:val="00E97994"/>
    <w:rsid w:val="00E979B3"/>
    <w:rsid w:val="00E979B7"/>
    <w:rsid w:val="00E97A03"/>
    <w:rsid w:val="00E97ADB"/>
    <w:rsid w:val="00E97DF6"/>
    <w:rsid w:val="00E97F27"/>
    <w:rsid w:val="00E97F50"/>
    <w:rsid w:val="00E97FD8"/>
    <w:rsid w:val="00EA0090"/>
    <w:rsid w:val="00EA021C"/>
    <w:rsid w:val="00EA0274"/>
    <w:rsid w:val="00EA029E"/>
    <w:rsid w:val="00EA02B9"/>
    <w:rsid w:val="00EA03B5"/>
    <w:rsid w:val="00EA0728"/>
    <w:rsid w:val="00EA0964"/>
    <w:rsid w:val="00EA0D39"/>
    <w:rsid w:val="00EA0DEF"/>
    <w:rsid w:val="00EA16A6"/>
    <w:rsid w:val="00EA16D2"/>
    <w:rsid w:val="00EA17C3"/>
    <w:rsid w:val="00EA1969"/>
    <w:rsid w:val="00EA1D39"/>
    <w:rsid w:val="00EA1F74"/>
    <w:rsid w:val="00EA202E"/>
    <w:rsid w:val="00EA2169"/>
    <w:rsid w:val="00EA2218"/>
    <w:rsid w:val="00EA24B9"/>
    <w:rsid w:val="00EA25DA"/>
    <w:rsid w:val="00EA270A"/>
    <w:rsid w:val="00EA2722"/>
    <w:rsid w:val="00EA27BB"/>
    <w:rsid w:val="00EA2B49"/>
    <w:rsid w:val="00EA2CAA"/>
    <w:rsid w:val="00EA2D23"/>
    <w:rsid w:val="00EA2F80"/>
    <w:rsid w:val="00EA3250"/>
    <w:rsid w:val="00EA3597"/>
    <w:rsid w:val="00EA3693"/>
    <w:rsid w:val="00EA3855"/>
    <w:rsid w:val="00EA3864"/>
    <w:rsid w:val="00EA3904"/>
    <w:rsid w:val="00EA3B27"/>
    <w:rsid w:val="00EA3B28"/>
    <w:rsid w:val="00EA3B4B"/>
    <w:rsid w:val="00EA3B52"/>
    <w:rsid w:val="00EA3BC3"/>
    <w:rsid w:val="00EA3C4B"/>
    <w:rsid w:val="00EA3EBA"/>
    <w:rsid w:val="00EA3F47"/>
    <w:rsid w:val="00EA3FD1"/>
    <w:rsid w:val="00EA427F"/>
    <w:rsid w:val="00EA4392"/>
    <w:rsid w:val="00EA457F"/>
    <w:rsid w:val="00EA46C5"/>
    <w:rsid w:val="00EA4865"/>
    <w:rsid w:val="00EA4AE6"/>
    <w:rsid w:val="00EA4B87"/>
    <w:rsid w:val="00EA4B8C"/>
    <w:rsid w:val="00EA4BB7"/>
    <w:rsid w:val="00EA4C2C"/>
    <w:rsid w:val="00EA4CC7"/>
    <w:rsid w:val="00EA4D15"/>
    <w:rsid w:val="00EA4E08"/>
    <w:rsid w:val="00EA4ED2"/>
    <w:rsid w:val="00EA4FA5"/>
    <w:rsid w:val="00EA5158"/>
    <w:rsid w:val="00EA5188"/>
    <w:rsid w:val="00EA53A2"/>
    <w:rsid w:val="00EA5405"/>
    <w:rsid w:val="00EA5456"/>
    <w:rsid w:val="00EA55E0"/>
    <w:rsid w:val="00EA5865"/>
    <w:rsid w:val="00EA5A16"/>
    <w:rsid w:val="00EA5AFB"/>
    <w:rsid w:val="00EA5BE2"/>
    <w:rsid w:val="00EA5BFF"/>
    <w:rsid w:val="00EA5DBE"/>
    <w:rsid w:val="00EA5F07"/>
    <w:rsid w:val="00EA5F4C"/>
    <w:rsid w:val="00EA5FF7"/>
    <w:rsid w:val="00EA60DE"/>
    <w:rsid w:val="00EA628F"/>
    <w:rsid w:val="00EA6426"/>
    <w:rsid w:val="00EA6568"/>
    <w:rsid w:val="00EA667A"/>
    <w:rsid w:val="00EA66B0"/>
    <w:rsid w:val="00EA66BB"/>
    <w:rsid w:val="00EA690F"/>
    <w:rsid w:val="00EA6A57"/>
    <w:rsid w:val="00EA6B25"/>
    <w:rsid w:val="00EA6B2C"/>
    <w:rsid w:val="00EA6CF6"/>
    <w:rsid w:val="00EA6DEE"/>
    <w:rsid w:val="00EA6E3F"/>
    <w:rsid w:val="00EA6E67"/>
    <w:rsid w:val="00EA6ED7"/>
    <w:rsid w:val="00EA7329"/>
    <w:rsid w:val="00EA73E5"/>
    <w:rsid w:val="00EA759E"/>
    <w:rsid w:val="00EA7616"/>
    <w:rsid w:val="00EA7683"/>
    <w:rsid w:val="00EA768A"/>
    <w:rsid w:val="00EA774F"/>
    <w:rsid w:val="00EA7762"/>
    <w:rsid w:val="00EA7847"/>
    <w:rsid w:val="00EA7943"/>
    <w:rsid w:val="00EA79BC"/>
    <w:rsid w:val="00EA7AD8"/>
    <w:rsid w:val="00EA7AE3"/>
    <w:rsid w:val="00EA7B53"/>
    <w:rsid w:val="00EA7B54"/>
    <w:rsid w:val="00EA7ECD"/>
    <w:rsid w:val="00EA7F1C"/>
    <w:rsid w:val="00EB003B"/>
    <w:rsid w:val="00EB02C9"/>
    <w:rsid w:val="00EB0485"/>
    <w:rsid w:val="00EB0520"/>
    <w:rsid w:val="00EB0689"/>
    <w:rsid w:val="00EB072C"/>
    <w:rsid w:val="00EB0A46"/>
    <w:rsid w:val="00EB0FB0"/>
    <w:rsid w:val="00EB1204"/>
    <w:rsid w:val="00EB1273"/>
    <w:rsid w:val="00EB12AF"/>
    <w:rsid w:val="00EB148B"/>
    <w:rsid w:val="00EB15B6"/>
    <w:rsid w:val="00EB16CC"/>
    <w:rsid w:val="00EB18D2"/>
    <w:rsid w:val="00EB1947"/>
    <w:rsid w:val="00EB1A4B"/>
    <w:rsid w:val="00EB1A61"/>
    <w:rsid w:val="00EB1AC8"/>
    <w:rsid w:val="00EB228A"/>
    <w:rsid w:val="00EB2291"/>
    <w:rsid w:val="00EB23A5"/>
    <w:rsid w:val="00EB2479"/>
    <w:rsid w:val="00EB257A"/>
    <w:rsid w:val="00EB25CF"/>
    <w:rsid w:val="00EB26D8"/>
    <w:rsid w:val="00EB2761"/>
    <w:rsid w:val="00EB288F"/>
    <w:rsid w:val="00EB2B0D"/>
    <w:rsid w:val="00EB2B0E"/>
    <w:rsid w:val="00EB2BE1"/>
    <w:rsid w:val="00EB2CB6"/>
    <w:rsid w:val="00EB2D24"/>
    <w:rsid w:val="00EB308B"/>
    <w:rsid w:val="00EB31F7"/>
    <w:rsid w:val="00EB329B"/>
    <w:rsid w:val="00EB3574"/>
    <w:rsid w:val="00EB373E"/>
    <w:rsid w:val="00EB39FE"/>
    <w:rsid w:val="00EB3ADA"/>
    <w:rsid w:val="00EB3BCB"/>
    <w:rsid w:val="00EB3C2F"/>
    <w:rsid w:val="00EB3D06"/>
    <w:rsid w:val="00EB3D99"/>
    <w:rsid w:val="00EB3DD0"/>
    <w:rsid w:val="00EB3E71"/>
    <w:rsid w:val="00EB40CC"/>
    <w:rsid w:val="00EB4164"/>
    <w:rsid w:val="00EB428C"/>
    <w:rsid w:val="00EB44E8"/>
    <w:rsid w:val="00EB4506"/>
    <w:rsid w:val="00EB4519"/>
    <w:rsid w:val="00EB462A"/>
    <w:rsid w:val="00EB4663"/>
    <w:rsid w:val="00EB4732"/>
    <w:rsid w:val="00EB4916"/>
    <w:rsid w:val="00EB4973"/>
    <w:rsid w:val="00EB49ED"/>
    <w:rsid w:val="00EB4AC4"/>
    <w:rsid w:val="00EB4B03"/>
    <w:rsid w:val="00EB4B08"/>
    <w:rsid w:val="00EB4B54"/>
    <w:rsid w:val="00EB4D71"/>
    <w:rsid w:val="00EB4D93"/>
    <w:rsid w:val="00EB5211"/>
    <w:rsid w:val="00EB52C0"/>
    <w:rsid w:val="00EB5334"/>
    <w:rsid w:val="00EB5339"/>
    <w:rsid w:val="00EB5342"/>
    <w:rsid w:val="00EB5572"/>
    <w:rsid w:val="00EB57D5"/>
    <w:rsid w:val="00EB5AA6"/>
    <w:rsid w:val="00EB5B06"/>
    <w:rsid w:val="00EB5C0E"/>
    <w:rsid w:val="00EB5C48"/>
    <w:rsid w:val="00EB5D00"/>
    <w:rsid w:val="00EB5DE9"/>
    <w:rsid w:val="00EB5DF3"/>
    <w:rsid w:val="00EB5F9D"/>
    <w:rsid w:val="00EB5FF3"/>
    <w:rsid w:val="00EB6024"/>
    <w:rsid w:val="00EB6068"/>
    <w:rsid w:val="00EB6153"/>
    <w:rsid w:val="00EB6516"/>
    <w:rsid w:val="00EB674D"/>
    <w:rsid w:val="00EB69F8"/>
    <w:rsid w:val="00EB6AEF"/>
    <w:rsid w:val="00EB6C02"/>
    <w:rsid w:val="00EB6C68"/>
    <w:rsid w:val="00EB6D15"/>
    <w:rsid w:val="00EB6D6A"/>
    <w:rsid w:val="00EB6F14"/>
    <w:rsid w:val="00EB6F56"/>
    <w:rsid w:val="00EB72B2"/>
    <w:rsid w:val="00EB731F"/>
    <w:rsid w:val="00EB7567"/>
    <w:rsid w:val="00EB7568"/>
    <w:rsid w:val="00EB764C"/>
    <w:rsid w:val="00EB76AD"/>
    <w:rsid w:val="00EB78CD"/>
    <w:rsid w:val="00EB79BC"/>
    <w:rsid w:val="00EB79FB"/>
    <w:rsid w:val="00EB7A5D"/>
    <w:rsid w:val="00EB7A74"/>
    <w:rsid w:val="00EB7B1E"/>
    <w:rsid w:val="00EB7BBE"/>
    <w:rsid w:val="00EB7E70"/>
    <w:rsid w:val="00EB7EED"/>
    <w:rsid w:val="00EC00C9"/>
    <w:rsid w:val="00EC045F"/>
    <w:rsid w:val="00EC062F"/>
    <w:rsid w:val="00EC068A"/>
    <w:rsid w:val="00EC08C7"/>
    <w:rsid w:val="00EC0A58"/>
    <w:rsid w:val="00EC0B64"/>
    <w:rsid w:val="00EC0C91"/>
    <w:rsid w:val="00EC0DD9"/>
    <w:rsid w:val="00EC0EF0"/>
    <w:rsid w:val="00EC0F30"/>
    <w:rsid w:val="00EC0FEF"/>
    <w:rsid w:val="00EC12C4"/>
    <w:rsid w:val="00EC1579"/>
    <w:rsid w:val="00EC160E"/>
    <w:rsid w:val="00EC17D5"/>
    <w:rsid w:val="00EC180A"/>
    <w:rsid w:val="00EC1890"/>
    <w:rsid w:val="00EC18EE"/>
    <w:rsid w:val="00EC1A78"/>
    <w:rsid w:val="00EC1AAD"/>
    <w:rsid w:val="00EC1C2F"/>
    <w:rsid w:val="00EC1C70"/>
    <w:rsid w:val="00EC1D5F"/>
    <w:rsid w:val="00EC1E22"/>
    <w:rsid w:val="00EC1F83"/>
    <w:rsid w:val="00EC2246"/>
    <w:rsid w:val="00EC242A"/>
    <w:rsid w:val="00EC24E4"/>
    <w:rsid w:val="00EC2649"/>
    <w:rsid w:val="00EC2793"/>
    <w:rsid w:val="00EC2904"/>
    <w:rsid w:val="00EC2C78"/>
    <w:rsid w:val="00EC2F4A"/>
    <w:rsid w:val="00EC31C3"/>
    <w:rsid w:val="00EC31ED"/>
    <w:rsid w:val="00EC3346"/>
    <w:rsid w:val="00EC35D2"/>
    <w:rsid w:val="00EC3602"/>
    <w:rsid w:val="00EC367E"/>
    <w:rsid w:val="00EC36B8"/>
    <w:rsid w:val="00EC3885"/>
    <w:rsid w:val="00EC3CD3"/>
    <w:rsid w:val="00EC3E33"/>
    <w:rsid w:val="00EC3EFF"/>
    <w:rsid w:val="00EC4077"/>
    <w:rsid w:val="00EC41DF"/>
    <w:rsid w:val="00EC429B"/>
    <w:rsid w:val="00EC43A6"/>
    <w:rsid w:val="00EC4407"/>
    <w:rsid w:val="00EC443D"/>
    <w:rsid w:val="00EC4661"/>
    <w:rsid w:val="00EC46E8"/>
    <w:rsid w:val="00EC4721"/>
    <w:rsid w:val="00EC48D5"/>
    <w:rsid w:val="00EC492C"/>
    <w:rsid w:val="00EC49C5"/>
    <w:rsid w:val="00EC4D59"/>
    <w:rsid w:val="00EC4E01"/>
    <w:rsid w:val="00EC4E19"/>
    <w:rsid w:val="00EC544E"/>
    <w:rsid w:val="00EC57F5"/>
    <w:rsid w:val="00EC5831"/>
    <w:rsid w:val="00EC5836"/>
    <w:rsid w:val="00EC58A7"/>
    <w:rsid w:val="00EC5C30"/>
    <w:rsid w:val="00EC5DC4"/>
    <w:rsid w:val="00EC5DD5"/>
    <w:rsid w:val="00EC5DEB"/>
    <w:rsid w:val="00EC6017"/>
    <w:rsid w:val="00EC60B6"/>
    <w:rsid w:val="00EC60CE"/>
    <w:rsid w:val="00EC618E"/>
    <w:rsid w:val="00EC6399"/>
    <w:rsid w:val="00EC645C"/>
    <w:rsid w:val="00EC64EB"/>
    <w:rsid w:val="00EC67AE"/>
    <w:rsid w:val="00EC688C"/>
    <w:rsid w:val="00EC68CB"/>
    <w:rsid w:val="00EC69C7"/>
    <w:rsid w:val="00EC69D8"/>
    <w:rsid w:val="00EC69EE"/>
    <w:rsid w:val="00EC6A62"/>
    <w:rsid w:val="00EC6C84"/>
    <w:rsid w:val="00EC6ED6"/>
    <w:rsid w:val="00EC7076"/>
    <w:rsid w:val="00EC7129"/>
    <w:rsid w:val="00EC7139"/>
    <w:rsid w:val="00EC73E7"/>
    <w:rsid w:val="00EC747A"/>
    <w:rsid w:val="00EC74DE"/>
    <w:rsid w:val="00EC74EE"/>
    <w:rsid w:val="00EC7524"/>
    <w:rsid w:val="00EC767B"/>
    <w:rsid w:val="00EC7918"/>
    <w:rsid w:val="00EC7B17"/>
    <w:rsid w:val="00EC7BAD"/>
    <w:rsid w:val="00EC7C83"/>
    <w:rsid w:val="00EC7C8B"/>
    <w:rsid w:val="00EC7D4E"/>
    <w:rsid w:val="00EC7DE6"/>
    <w:rsid w:val="00EC7FF1"/>
    <w:rsid w:val="00ED0085"/>
    <w:rsid w:val="00ED026E"/>
    <w:rsid w:val="00ED0312"/>
    <w:rsid w:val="00ED038A"/>
    <w:rsid w:val="00ED082E"/>
    <w:rsid w:val="00ED0880"/>
    <w:rsid w:val="00ED0890"/>
    <w:rsid w:val="00ED08C6"/>
    <w:rsid w:val="00ED093E"/>
    <w:rsid w:val="00ED0C26"/>
    <w:rsid w:val="00ED0CBB"/>
    <w:rsid w:val="00ED0D10"/>
    <w:rsid w:val="00ED0E23"/>
    <w:rsid w:val="00ED0E6C"/>
    <w:rsid w:val="00ED100D"/>
    <w:rsid w:val="00ED10F9"/>
    <w:rsid w:val="00ED1196"/>
    <w:rsid w:val="00ED1236"/>
    <w:rsid w:val="00ED12E3"/>
    <w:rsid w:val="00ED18DD"/>
    <w:rsid w:val="00ED197A"/>
    <w:rsid w:val="00ED1B7B"/>
    <w:rsid w:val="00ED1C6C"/>
    <w:rsid w:val="00ED1E6B"/>
    <w:rsid w:val="00ED1EE7"/>
    <w:rsid w:val="00ED1F51"/>
    <w:rsid w:val="00ED1FA4"/>
    <w:rsid w:val="00ED21F8"/>
    <w:rsid w:val="00ED22DE"/>
    <w:rsid w:val="00ED27C0"/>
    <w:rsid w:val="00ED27D0"/>
    <w:rsid w:val="00ED27E9"/>
    <w:rsid w:val="00ED29FB"/>
    <w:rsid w:val="00ED2BAD"/>
    <w:rsid w:val="00ED2CA7"/>
    <w:rsid w:val="00ED2DDC"/>
    <w:rsid w:val="00ED2F38"/>
    <w:rsid w:val="00ED3054"/>
    <w:rsid w:val="00ED30AB"/>
    <w:rsid w:val="00ED344B"/>
    <w:rsid w:val="00ED3684"/>
    <w:rsid w:val="00ED398F"/>
    <w:rsid w:val="00ED3A86"/>
    <w:rsid w:val="00ED3AD4"/>
    <w:rsid w:val="00ED3AE6"/>
    <w:rsid w:val="00ED3E17"/>
    <w:rsid w:val="00ED3EE3"/>
    <w:rsid w:val="00ED3F36"/>
    <w:rsid w:val="00ED40C4"/>
    <w:rsid w:val="00ED427B"/>
    <w:rsid w:val="00ED428D"/>
    <w:rsid w:val="00ED4421"/>
    <w:rsid w:val="00ED476C"/>
    <w:rsid w:val="00ED488E"/>
    <w:rsid w:val="00ED4AC6"/>
    <w:rsid w:val="00ED4B04"/>
    <w:rsid w:val="00ED4E38"/>
    <w:rsid w:val="00ED4E93"/>
    <w:rsid w:val="00ED50CF"/>
    <w:rsid w:val="00ED5156"/>
    <w:rsid w:val="00ED51BA"/>
    <w:rsid w:val="00ED531B"/>
    <w:rsid w:val="00ED5521"/>
    <w:rsid w:val="00ED55D3"/>
    <w:rsid w:val="00ED57A2"/>
    <w:rsid w:val="00ED57EA"/>
    <w:rsid w:val="00ED58CE"/>
    <w:rsid w:val="00ED5928"/>
    <w:rsid w:val="00ED59DB"/>
    <w:rsid w:val="00ED59F1"/>
    <w:rsid w:val="00ED5BD4"/>
    <w:rsid w:val="00ED5DD4"/>
    <w:rsid w:val="00ED6072"/>
    <w:rsid w:val="00ED6117"/>
    <w:rsid w:val="00ED61F6"/>
    <w:rsid w:val="00ED627B"/>
    <w:rsid w:val="00ED649D"/>
    <w:rsid w:val="00ED664F"/>
    <w:rsid w:val="00ED6726"/>
    <w:rsid w:val="00ED678D"/>
    <w:rsid w:val="00ED6834"/>
    <w:rsid w:val="00ED685F"/>
    <w:rsid w:val="00ED6883"/>
    <w:rsid w:val="00ED6BE4"/>
    <w:rsid w:val="00ED6E0E"/>
    <w:rsid w:val="00ED6E48"/>
    <w:rsid w:val="00ED6F93"/>
    <w:rsid w:val="00ED71A3"/>
    <w:rsid w:val="00ED7224"/>
    <w:rsid w:val="00ED7258"/>
    <w:rsid w:val="00ED7288"/>
    <w:rsid w:val="00ED72F1"/>
    <w:rsid w:val="00ED7508"/>
    <w:rsid w:val="00ED75C2"/>
    <w:rsid w:val="00ED7A4F"/>
    <w:rsid w:val="00ED7E8B"/>
    <w:rsid w:val="00ED7F5B"/>
    <w:rsid w:val="00EE006D"/>
    <w:rsid w:val="00EE00E3"/>
    <w:rsid w:val="00EE02BC"/>
    <w:rsid w:val="00EE0558"/>
    <w:rsid w:val="00EE07D3"/>
    <w:rsid w:val="00EE08F8"/>
    <w:rsid w:val="00EE09E9"/>
    <w:rsid w:val="00EE0F67"/>
    <w:rsid w:val="00EE0F78"/>
    <w:rsid w:val="00EE1132"/>
    <w:rsid w:val="00EE11DE"/>
    <w:rsid w:val="00EE13A3"/>
    <w:rsid w:val="00EE17C5"/>
    <w:rsid w:val="00EE1996"/>
    <w:rsid w:val="00EE19B9"/>
    <w:rsid w:val="00EE1BA7"/>
    <w:rsid w:val="00EE1C01"/>
    <w:rsid w:val="00EE1C6C"/>
    <w:rsid w:val="00EE1D1A"/>
    <w:rsid w:val="00EE1D48"/>
    <w:rsid w:val="00EE20EF"/>
    <w:rsid w:val="00EE22AF"/>
    <w:rsid w:val="00EE2422"/>
    <w:rsid w:val="00EE25F4"/>
    <w:rsid w:val="00EE26D4"/>
    <w:rsid w:val="00EE2ADB"/>
    <w:rsid w:val="00EE2B3E"/>
    <w:rsid w:val="00EE2B84"/>
    <w:rsid w:val="00EE2CB8"/>
    <w:rsid w:val="00EE2E3E"/>
    <w:rsid w:val="00EE2FBC"/>
    <w:rsid w:val="00EE3014"/>
    <w:rsid w:val="00EE33B0"/>
    <w:rsid w:val="00EE341E"/>
    <w:rsid w:val="00EE3444"/>
    <w:rsid w:val="00EE36CE"/>
    <w:rsid w:val="00EE37C7"/>
    <w:rsid w:val="00EE382F"/>
    <w:rsid w:val="00EE38CF"/>
    <w:rsid w:val="00EE38D8"/>
    <w:rsid w:val="00EE39F2"/>
    <w:rsid w:val="00EE3C40"/>
    <w:rsid w:val="00EE3D60"/>
    <w:rsid w:val="00EE3FA0"/>
    <w:rsid w:val="00EE4257"/>
    <w:rsid w:val="00EE42BA"/>
    <w:rsid w:val="00EE4424"/>
    <w:rsid w:val="00EE446C"/>
    <w:rsid w:val="00EE4605"/>
    <w:rsid w:val="00EE4632"/>
    <w:rsid w:val="00EE464D"/>
    <w:rsid w:val="00EE46FF"/>
    <w:rsid w:val="00EE47B0"/>
    <w:rsid w:val="00EE4852"/>
    <w:rsid w:val="00EE4889"/>
    <w:rsid w:val="00EE4998"/>
    <w:rsid w:val="00EE49A6"/>
    <w:rsid w:val="00EE4E24"/>
    <w:rsid w:val="00EE4E7E"/>
    <w:rsid w:val="00EE4FAE"/>
    <w:rsid w:val="00EE5112"/>
    <w:rsid w:val="00EE5226"/>
    <w:rsid w:val="00EE5297"/>
    <w:rsid w:val="00EE5299"/>
    <w:rsid w:val="00EE532A"/>
    <w:rsid w:val="00EE549A"/>
    <w:rsid w:val="00EE54CE"/>
    <w:rsid w:val="00EE559B"/>
    <w:rsid w:val="00EE55BA"/>
    <w:rsid w:val="00EE5612"/>
    <w:rsid w:val="00EE5679"/>
    <w:rsid w:val="00EE583C"/>
    <w:rsid w:val="00EE5AEB"/>
    <w:rsid w:val="00EE5D46"/>
    <w:rsid w:val="00EE6052"/>
    <w:rsid w:val="00EE688A"/>
    <w:rsid w:val="00EE6891"/>
    <w:rsid w:val="00EE6AFB"/>
    <w:rsid w:val="00EE6F53"/>
    <w:rsid w:val="00EE7361"/>
    <w:rsid w:val="00EE738E"/>
    <w:rsid w:val="00EE7434"/>
    <w:rsid w:val="00EE74BD"/>
    <w:rsid w:val="00EE74D3"/>
    <w:rsid w:val="00EE7584"/>
    <w:rsid w:val="00EE759A"/>
    <w:rsid w:val="00EE75B2"/>
    <w:rsid w:val="00EE75EA"/>
    <w:rsid w:val="00EE7AE2"/>
    <w:rsid w:val="00EE7B25"/>
    <w:rsid w:val="00EE7BCB"/>
    <w:rsid w:val="00EE7BD9"/>
    <w:rsid w:val="00EE7C05"/>
    <w:rsid w:val="00EE7C20"/>
    <w:rsid w:val="00EE7DB4"/>
    <w:rsid w:val="00EE7F05"/>
    <w:rsid w:val="00EE7FAE"/>
    <w:rsid w:val="00EF0063"/>
    <w:rsid w:val="00EF0171"/>
    <w:rsid w:val="00EF0294"/>
    <w:rsid w:val="00EF039C"/>
    <w:rsid w:val="00EF03E9"/>
    <w:rsid w:val="00EF04C3"/>
    <w:rsid w:val="00EF04DA"/>
    <w:rsid w:val="00EF09E1"/>
    <w:rsid w:val="00EF09F4"/>
    <w:rsid w:val="00EF0AB2"/>
    <w:rsid w:val="00EF0BAE"/>
    <w:rsid w:val="00EF0E10"/>
    <w:rsid w:val="00EF0E70"/>
    <w:rsid w:val="00EF0F46"/>
    <w:rsid w:val="00EF1052"/>
    <w:rsid w:val="00EF11A5"/>
    <w:rsid w:val="00EF135A"/>
    <w:rsid w:val="00EF1543"/>
    <w:rsid w:val="00EF1621"/>
    <w:rsid w:val="00EF1809"/>
    <w:rsid w:val="00EF1B25"/>
    <w:rsid w:val="00EF1CEA"/>
    <w:rsid w:val="00EF1D11"/>
    <w:rsid w:val="00EF1DA0"/>
    <w:rsid w:val="00EF250F"/>
    <w:rsid w:val="00EF253E"/>
    <w:rsid w:val="00EF2803"/>
    <w:rsid w:val="00EF28C3"/>
    <w:rsid w:val="00EF2930"/>
    <w:rsid w:val="00EF2A3E"/>
    <w:rsid w:val="00EF2BC9"/>
    <w:rsid w:val="00EF2D7B"/>
    <w:rsid w:val="00EF2EB0"/>
    <w:rsid w:val="00EF2EF7"/>
    <w:rsid w:val="00EF2F30"/>
    <w:rsid w:val="00EF2F52"/>
    <w:rsid w:val="00EF2F76"/>
    <w:rsid w:val="00EF2FA4"/>
    <w:rsid w:val="00EF30ED"/>
    <w:rsid w:val="00EF348F"/>
    <w:rsid w:val="00EF351A"/>
    <w:rsid w:val="00EF35D7"/>
    <w:rsid w:val="00EF3AA3"/>
    <w:rsid w:val="00EF3B29"/>
    <w:rsid w:val="00EF3CBA"/>
    <w:rsid w:val="00EF3F4C"/>
    <w:rsid w:val="00EF3FD5"/>
    <w:rsid w:val="00EF41ED"/>
    <w:rsid w:val="00EF446C"/>
    <w:rsid w:val="00EF4487"/>
    <w:rsid w:val="00EF4747"/>
    <w:rsid w:val="00EF482B"/>
    <w:rsid w:val="00EF48F6"/>
    <w:rsid w:val="00EF495C"/>
    <w:rsid w:val="00EF4BF8"/>
    <w:rsid w:val="00EF4E2D"/>
    <w:rsid w:val="00EF50ED"/>
    <w:rsid w:val="00EF5172"/>
    <w:rsid w:val="00EF5582"/>
    <w:rsid w:val="00EF5624"/>
    <w:rsid w:val="00EF573E"/>
    <w:rsid w:val="00EF59B3"/>
    <w:rsid w:val="00EF5A0E"/>
    <w:rsid w:val="00EF5D00"/>
    <w:rsid w:val="00EF5D88"/>
    <w:rsid w:val="00EF5F9E"/>
    <w:rsid w:val="00EF6198"/>
    <w:rsid w:val="00EF62A6"/>
    <w:rsid w:val="00EF643C"/>
    <w:rsid w:val="00EF645B"/>
    <w:rsid w:val="00EF66D8"/>
    <w:rsid w:val="00EF6DD3"/>
    <w:rsid w:val="00EF6EA2"/>
    <w:rsid w:val="00EF6EF3"/>
    <w:rsid w:val="00EF6F53"/>
    <w:rsid w:val="00EF700D"/>
    <w:rsid w:val="00EF73E7"/>
    <w:rsid w:val="00EF7431"/>
    <w:rsid w:val="00EF74F5"/>
    <w:rsid w:val="00EF7528"/>
    <w:rsid w:val="00EF753B"/>
    <w:rsid w:val="00EF76E9"/>
    <w:rsid w:val="00EF7752"/>
    <w:rsid w:val="00EF7C34"/>
    <w:rsid w:val="00EF7D13"/>
    <w:rsid w:val="00EF7E4E"/>
    <w:rsid w:val="00F00053"/>
    <w:rsid w:val="00F00068"/>
    <w:rsid w:val="00F0025C"/>
    <w:rsid w:val="00F003B3"/>
    <w:rsid w:val="00F003FB"/>
    <w:rsid w:val="00F004CE"/>
    <w:rsid w:val="00F0055C"/>
    <w:rsid w:val="00F005B7"/>
    <w:rsid w:val="00F0071C"/>
    <w:rsid w:val="00F00A2B"/>
    <w:rsid w:val="00F00BE4"/>
    <w:rsid w:val="00F00BF6"/>
    <w:rsid w:val="00F00C50"/>
    <w:rsid w:val="00F00D08"/>
    <w:rsid w:val="00F00D70"/>
    <w:rsid w:val="00F00D7B"/>
    <w:rsid w:val="00F00FF2"/>
    <w:rsid w:val="00F011E8"/>
    <w:rsid w:val="00F012AB"/>
    <w:rsid w:val="00F01392"/>
    <w:rsid w:val="00F0142E"/>
    <w:rsid w:val="00F0167D"/>
    <w:rsid w:val="00F018C0"/>
    <w:rsid w:val="00F0190A"/>
    <w:rsid w:val="00F01937"/>
    <w:rsid w:val="00F01C7C"/>
    <w:rsid w:val="00F01DB7"/>
    <w:rsid w:val="00F01DE3"/>
    <w:rsid w:val="00F01EAA"/>
    <w:rsid w:val="00F01F1B"/>
    <w:rsid w:val="00F020A3"/>
    <w:rsid w:val="00F020EB"/>
    <w:rsid w:val="00F02123"/>
    <w:rsid w:val="00F02157"/>
    <w:rsid w:val="00F02173"/>
    <w:rsid w:val="00F02253"/>
    <w:rsid w:val="00F02392"/>
    <w:rsid w:val="00F025FA"/>
    <w:rsid w:val="00F0262A"/>
    <w:rsid w:val="00F028F3"/>
    <w:rsid w:val="00F02B8B"/>
    <w:rsid w:val="00F02DEE"/>
    <w:rsid w:val="00F02E7C"/>
    <w:rsid w:val="00F02ECF"/>
    <w:rsid w:val="00F02F84"/>
    <w:rsid w:val="00F03014"/>
    <w:rsid w:val="00F03439"/>
    <w:rsid w:val="00F034F3"/>
    <w:rsid w:val="00F0366B"/>
    <w:rsid w:val="00F037A7"/>
    <w:rsid w:val="00F037F5"/>
    <w:rsid w:val="00F0393E"/>
    <w:rsid w:val="00F03AC5"/>
    <w:rsid w:val="00F03C2E"/>
    <w:rsid w:val="00F03D07"/>
    <w:rsid w:val="00F03D0A"/>
    <w:rsid w:val="00F03E27"/>
    <w:rsid w:val="00F042DE"/>
    <w:rsid w:val="00F04330"/>
    <w:rsid w:val="00F043A2"/>
    <w:rsid w:val="00F04435"/>
    <w:rsid w:val="00F04460"/>
    <w:rsid w:val="00F04518"/>
    <w:rsid w:val="00F04854"/>
    <w:rsid w:val="00F04A66"/>
    <w:rsid w:val="00F04A6D"/>
    <w:rsid w:val="00F04AD7"/>
    <w:rsid w:val="00F04B3D"/>
    <w:rsid w:val="00F04B4B"/>
    <w:rsid w:val="00F04C71"/>
    <w:rsid w:val="00F04F6B"/>
    <w:rsid w:val="00F04F82"/>
    <w:rsid w:val="00F0516C"/>
    <w:rsid w:val="00F051EC"/>
    <w:rsid w:val="00F0538E"/>
    <w:rsid w:val="00F055C4"/>
    <w:rsid w:val="00F0587A"/>
    <w:rsid w:val="00F05C75"/>
    <w:rsid w:val="00F05CFD"/>
    <w:rsid w:val="00F05DEF"/>
    <w:rsid w:val="00F05FCF"/>
    <w:rsid w:val="00F05FDC"/>
    <w:rsid w:val="00F06024"/>
    <w:rsid w:val="00F06098"/>
    <w:rsid w:val="00F0612A"/>
    <w:rsid w:val="00F0659D"/>
    <w:rsid w:val="00F066B4"/>
    <w:rsid w:val="00F067A2"/>
    <w:rsid w:val="00F06ACB"/>
    <w:rsid w:val="00F06D7A"/>
    <w:rsid w:val="00F06E3D"/>
    <w:rsid w:val="00F06F80"/>
    <w:rsid w:val="00F06FFC"/>
    <w:rsid w:val="00F07120"/>
    <w:rsid w:val="00F0741A"/>
    <w:rsid w:val="00F07501"/>
    <w:rsid w:val="00F079F5"/>
    <w:rsid w:val="00F07B25"/>
    <w:rsid w:val="00F07B9E"/>
    <w:rsid w:val="00F07C80"/>
    <w:rsid w:val="00F07CE1"/>
    <w:rsid w:val="00F07E4B"/>
    <w:rsid w:val="00F07F0F"/>
    <w:rsid w:val="00F07FDE"/>
    <w:rsid w:val="00F10248"/>
    <w:rsid w:val="00F10495"/>
    <w:rsid w:val="00F104BF"/>
    <w:rsid w:val="00F10542"/>
    <w:rsid w:val="00F1062E"/>
    <w:rsid w:val="00F108A7"/>
    <w:rsid w:val="00F10912"/>
    <w:rsid w:val="00F10914"/>
    <w:rsid w:val="00F10935"/>
    <w:rsid w:val="00F10A20"/>
    <w:rsid w:val="00F10A27"/>
    <w:rsid w:val="00F10B05"/>
    <w:rsid w:val="00F10B32"/>
    <w:rsid w:val="00F10B4B"/>
    <w:rsid w:val="00F10C2E"/>
    <w:rsid w:val="00F10D79"/>
    <w:rsid w:val="00F10DED"/>
    <w:rsid w:val="00F10E44"/>
    <w:rsid w:val="00F10EAA"/>
    <w:rsid w:val="00F10ED6"/>
    <w:rsid w:val="00F10EDC"/>
    <w:rsid w:val="00F1116F"/>
    <w:rsid w:val="00F11285"/>
    <w:rsid w:val="00F1131C"/>
    <w:rsid w:val="00F11559"/>
    <w:rsid w:val="00F11759"/>
    <w:rsid w:val="00F117D1"/>
    <w:rsid w:val="00F11819"/>
    <w:rsid w:val="00F11833"/>
    <w:rsid w:val="00F1197F"/>
    <w:rsid w:val="00F11A0C"/>
    <w:rsid w:val="00F11C33"/>
    <w:rsid w:val="00F11E53"/>
    <w:rsid w:val="00F12320"/>
    <w:rsid w:val="00F1245B"/>
    <w:rsid w:val="00F1263A"/>
    <w:rsid w:val="00F12FF7"/>
    <w:rsid w:val="00F1303E"/>
    <w:rsid w:val="00F130D5"/>
    <w:rsid w:val="00F13103"/>
    <w:rsid w:val="00F131D1"/>
    <w:rsid w:val="00F1324C"/>
    <w:rsid w:val="00F1325A"/>
    <w:rsid w:val="00F133E6"/>
    <w:rsid w:val="00F1357D"/>
    <w:rsid w:val="00F138CD"/>
    <w:rsid w:val="00F13908"/>
    <w:rsid w:val="00F139A1"/>
    <w:rsid w:val="00F139B7"/>
    <w:rsid w:val="00F139C5"/>
    <w:rsid w:val="00F13BCE"/>
    <w:rsid w:val="00F13DA7"/>
    <w:rsid w:val="00F13F90"/>
    <w:rsid w:val="00F13FE7"/>
    <w:rsid w:val="00F13FFB"/>
    <w:rsid w:val="00F1413C"/>
    <w:rsid w:val="00F14153"/>
    <w:rsid w:val="00F14186"/>
    <w:rsid w:val="00F141FD"/>
    <w:rsid w:val="00F14500"/>
    <w:rsid w:val="00F14577"/>
    <w:rsid w:val="00F14585"/>
    <w:rsid w:val="00F146DC"/>
    <w:rsid w:val="00F14763"/>
    <w:rsid w:val="00F14E77"/>
    <w:rsid w:val="00F14F85"/>
    <w:rsid w:val="00F14FD0"/>
    <w:rsid w:val="00F15006"/>
    <w:rsid w:val="00F150ED"/>
    <w:rsid w:val="00F1533C"/>
    <w:rsid w:val="00F15541"/>
    <w:rsid w:val="00F155D1"/>
    <w:rsid w:val="00F15923"/>
    <w:rsid w:val="00F1599D"/>
    <w:rsid w:val="00F15A33"/>
    <w:rsid w:val="00F15B77"/>
    <w:rsid w:val="00F15C30"/>
    <w:rsid w:val="00F15DE0"/>
    <w:rsid w:val="00F15E46"/>
    <w:rsid w:val="00F15F17"/>
    <w:rsid w:val="00F161E9"/>
    <w:rsid w:val="00F163BF"/>
    <w:rsid w:val="00F1648D"/>
    <w:rsid w:val="00F16617"/>
    <w:rsid w:val="00F1672C"/>
    <w:rsid w:val="00F169F3"/>
    <w:rsid w:val="00F169F7"/>
    <w:rsid w:val="00F16C43"/>
    <w:rsid w:val="00F16CDA"/>
    <w:rsid w:val="00F16DCA"/>
    <w:rsid w:val="00F16F0F"/>
    <w:rsid w:val="00F16FAF"/>
    <w:rsid w:val="00F170CA"/>
    <w:rsid w:val="00F173D2"/>
    <w:rsid w:val="00F1754D"/>
    <w:rsid w:val="00F1783F"/>
    <w:rsid w:val="00F179A9"/>
    <w:rsid w:val="00F17B4F"/>
    <w:rsid w:val="00F17E09"/>
    <w:rsid w:val="00F17EA9"/>
    <w:rsid w:val="00F2005E"/>
    <w:rsid w:val="00F2009D"/>
    <w:rsid w:val="00F200DC"/>
    <w:rsid w:val="00F201BD"/>
    <w:rsid w:val="00F2029B"/>
    <w:rsid w:val="00F202D9"/>
    <w:rsid w:val="00F20397"/>
    <w:rsid w:val="00F2080C"/>
    <w:rsid w:val="00F209D6"/>
    <w:rsid w:val="00F209F6"/>
    <w:rsid w:val="00F20AF9"/>
    <w:rsid w:val="00F20CDA"/>
    <w:rsid w:val="00F20D2B"/>
    <w:rsid w:val="00F20E18"/>
    <w:rsid w:val="00F20E36"/>
    <w:rsid w:val="00F21146"/>
    <w:rsid w:val="00F21236"/>
    <w:rsid w:val="00F21535"/>
    <w:rsid w:val="00F215BA"/>
    <w:rsid w:val="00F21913"/>
    <w:rsid w:val="00F2192C"/>
    <w:rsid w:val="00F219F1"/>
    <w:rsid w:val="00F21D28"/>
    <w:rsid w:val="00F21E65"/>
    <w:rsid w:val="00F21EA3"/>
    <w:rsid w:val="00F21F2A"/>
    <w:rsid w:val="00F22244"/>
    <w:rsid w:val="00F2225D"/>
    <w:rsid w:val="00F222CC"/>
    <w:rsid w:val="00F222E5"/>
    <w:rsid w:val="00F2238B"/>
    <w:rsid w:val="00F2280A"/>
    <w:rsid w:val="00F2284E"/>
    <w:rsid w:val="00F22CED"/>
    <w:rsid w:val="00F2302F"/>
    <w:rsid w:val="00F231CB"/>
    <w:rsid w:val="00F231EC"/>
    <w:rsid w:val="00F23323"/>
    <w:rsid w:val="00F23459"/>
    <w:rsid w:val="00F23461"/>
    <w:rsid w:val="00F234DE"/>
    <w:rsid w:val="00F234E2"/>
    <w:rsid w:val="00F235D1"/>
    <w:rsid w:val="00F23616"/>
    <w:rsid w:val="00F236F0"/>
    <w:rsid w:val="00F237EC"/>
    <w:rsid w:val="00F238F5"/>
    <w:rsid w:val="00F239DF"/>
    <w:rsid w:val="00F23A66"/>
    <w:rsid w:val="00F23B5A"/>
    <w:rsid w:val="00F23B77"/>
    <w:rsid w:val="00F23CB6"/>
    <w:rsid w:val="00F23D27"/>
    <w:rsid w:val="00F240DB"/>
    <w:rsid w:val="00F240EF"/>
    <w:rsid w:val="00F241FA"/>
    <w:rsid w:val="00F24262"/>
    <w:rsid w:val="00F242FB"/>
    <w:rsid w:val="00F2430B"/>
    <w:rsid w:val="00F24483"/>
    <w:rsid w:val="00F24489"/>
    <w:rsid w:val="00F2468E"/>
    <w:rsid w:val="00F2474B"/>
    <w:rsid w:val="00F24837"/>
    <w:rsid w:val="00F2484A"/>
    <w:rsid w:val="00F24B62"/>
    <w:rsid w:val="00F24C0D"/>
    <w:rsid w:val="00F24C8E"/>
    <w:rsid w:val="00F24CAD"/>
    <w:rsid w:val="00F24E18"/>
    <w:rsid w:val="00F24EDB"/>
    <w:rsid w:val="00F2525C"/>
    <w:rsid w:val="00F25271"/>
    <w:rsid w:val="00F253B9"/>
    <w:rsid w:val="00F253F0"/>
    <w:rsid w:val="00F254BF"/>
    <w:rsid w:val="00F256DC"/>
    <w:rsid w:val="00F2574D"/>
    <w:rsid w:val="00F2575F"/>
    <w:rsid w:val="00F2577E"/>
    <w:rsid w:val="00F25C0C"/>
    <w:rsid w:val="00F25DDF"/>
    <w:rsid w:val="00F25DE5"/>
    <w:rsid w:val="00F25F05"/>
    <w:rsid w:val="00F25F68"/>
    <w:rsid w:val="00F25FFB"/>
    <w:rsid w:val="00F261C8"/>
    <w:rsid w:val="00F261CF"/>
    <w:rsid w:val="00F261FC"/>
    <w:rsid w:val="00F263BD"/>
    <w:rsid w:val="00F26424"/>
    <w:rsid w:val="00F26466"/>
    <w:rsid w:val="00F2659D"/>
    <w:rsid w:val="00F26B71"/>
    <w:rsid w:val="00F270E4"/>
    <w:rsid w:val="00F27285"/>
    <w:rsid w:val="00F27394"/>
    <w:rsid w:val="00F27565"/>
    <w:rsid w:val="00F27606"/>
    <w:rsid w:val="00F278E8"/>
    <w:rsid w:val="00F27998"/>
    <w:rsid w:val="00F27A0D"/>
    <w:rsid w:val="00F27DBC"/>
    <w:rsid w:val="00F27E35"/>
    <w:rsid w:val="00F27F53"/>
    <w:rsid w:val="00F30008"/>
    <w:rsid w:val="00F3052E"/>
    <w:rsid w:val="00F30584"/>
    <w:rsid w:val="00F30672"/>
    <w:rsid w:val="00F3096D"/>
    <w:rsid w:val="00F30B46"/>
    <w:rsid w:val="00F30C18"/>
    <w:rsid w:val="00F30CA0"/>
    <w:rsid w:val="00F30DD9"/>
    <w:rsid w:val="00F30F70"/>
    <w:rsid w:val="00F310D4"/>
    <w:rsid w:val="00F311D1"/>
    <w:rsid w:val="00F311E7"/>
    <w:rsid w:val="00F3122E"/>
    <w:rsid w:val="00F31290"/>
    <w:rsid w:val="00F31427"/>
    <w:rsid w:val="00F3156D"/>
    <w:rsid w:val="00F316FA"/>
    <w:rsid w:val="00F317A4"/>
    <w:rsid w:val="00F31946"/>
    <w:rsid w:val="00F31981"/>
    <w:rsid w:val="00F31C4D"/>
    <w:rsid w:val="00F31D29"/>
    <w:rsid w:val="00F31D56"/>
    <w:rsid w:val="00F31D5A"/>
    <w:rsid w:val="00F31E67"/>
    <w:rsid w:val="00F31EAF"/>
    <w:rsid w:val="00F31F43"/>
    <w:rsid w:val="00F31F69"/>
    <w:rsid w:val="00F31FB0"/>
    <w:rsid w:val="00F3209F"/>
    <w:rsid w:val="00F320E9"/>
    <w:rsid w:val="00F32363"/>
    <w:rsid w:val="00F323CF"/>
    <w:rsid w:val="00F32525"/>
    <w:rsid w:val="00F3268A"/>
    <w:rsid w:val="00F326C4"/>
    <w:rsid w:val="00F3270B"/>
    <w:rsid w:val="00F32A53"/>
    <w:rsid w:val="00F32C83"/>
    <w:rsid w:val="00F32CF9"/>
    <w:rsid w:val="00F32D35"/>
    <w:rsid w:val="00F32DFB"/>
    <w:rsid w:val="00F32E03"/>
    <w:rsid w:val="00F33014"/>
    <w:rsid w:val="00F33138"/>
    <w:rsid w:val="00F331E0"/>
    <w:rsid w:val="00F33230"/>
    <w:rsid w:val="00F33318"/>
    <w:rsid w:val="00F336A7"/>
    <w:rsid w:val="00F337C2"/>
    <w:rsid w:val="00F33865"/>
    <w:rsid w:val="00F33927"/>
    <w:rsid w:val="00F33975"/>
    <w:rsid w:val="00F33AF1"/>
    <w:rsid w:val="00F33B38"/>
    <w:rsid w:val="00F33B86"/>
    <w:rsid w:val="00F33C1D"/>
    <w:rsid w:val="00F33DE9"/>
    <w:rsid w:val="00F33FE7"/>
    <w:rsid w:val="00F3411C"/>
    <w:rsid w:val="00F34180"/>
    <w:rsid w:val="00F342EA"/>
    <w:rsid w:val="00F34320"/>
    <w:rsid w:val="00F343DA"/>
    <w:rsid w:val="00F34404"/>
    <w:rsid w:val="00F344B7"/>
    <w:rsid w:val="00F346C0"/>
    <w:rsid w:val="00F3497E"/>
    <w:rsid w:val="00F34B8A"/>
    <w:rsid w:val="00F34D56"/>
    <w:rsid w:val="00F34F1A"/>
    <w:rsid w:val="00F354C7"/>
    <w:rsid w:val="00F35543"/>
    <w:rsid w:val="00F35645"/>
    <w:rsid w:val="00F356AA"/>
    <w:rsid w:val="00F356C1"/>
    <w:rsid w:val="00F35761"/>
    <w:rsid w:val="00F358CE"/>
    <w:rsid w:val="00F3592D"/>
    <w:rsid w:val="00F35A8C"/>
    <w:rsid w:val="00F35AB2"/>
    <w:rsid w:val="00F35AE7"/>
    <w:rsid w:val="00F35D04"/>
    <w:rsid w:val="00F35D81"/>
    <w:rsid w:val="00F35E6D"/>
    <w:rsid w:val="00F35EE2"/>
    <w:rsid w:val="00F360B3"/>
    <w:rsid w:val="00F3619A"/>
    <w:rsid w:val="00F362DB"/>
    <w:rsid w:val="00F362F2"/>
    <w:rsid w:val="00F36374"/>
    <w:rsid w:val="00F365BC"/>
    <w:rsid w:val="00F36ABA"/>
    <w:rsid w:val="00F36D20"/>
    <w:rsid w:val="00F36F4A"/>
    <w:rsid w:val="00F37066"/>
    <w:rsid w:val="00F3786C"/>
    <w:rsid w:val="00F37937"/>
    <w:rsid w:val="00F37956"/>
    <w:rsid w:val="00F37CA5"/>
    <w:rsid w:val="00F37D3B"/>
    <w:rsid w:val="00F40107"/>
    <w:rsid w:val="00F40116"/>
    <w:rsid w:val="00F4042D"/>
    <w:rsid w:val="00F404B4"/>
    <w:rsid w:val="00F406C7"/>
    <w:rsid w:val="00F40858"/>
    <w:rsid w:val="00F4085B"/>
    <w:rsid w:val="00F408C1"/>
    <w:rsid w:val="00F40A2D"/>
    <w:rsid w:val="00F40AAA"/>
    <w:rsid w:val="00F40BA7"/>
    <w:rsid w:val="00F40CBC"/>
    <w:rsid w:val="00F40D62"/>
    <w:rsid w:val="00F40D9A"/>
    <w:rsid w:val="00F40F9D"/>
    <w:rsid w:val="00F4102A"/>
    <w:rsid w:val="00F412CD"/>
    <w:rsid w:val="00F4131A"/>
    <w:rsid w:val="00F41762"/>
    <w:rsid w:val="00F41ACB"/>
    <w:rsid w:val="00F41ACD"/>
    <w:rsid w:val="00F41C17"/>
    <w:rsid w:val="00F41C30"/>
    <w:rsid w:val="00F41CA1"/>
    <w:rsid w:val="00F41D9B"/>
    <w:rsid w:val="00F41E63"/>
    <w:rsid w:val="00F41EA2"/>
    <w:rsid w:val="00F41EA4"/>
    <w:rsid w:val="00F420E4"/>
    <w:rsid w:val="00F4264A"/>
    <w:rsid w:val="00F42681"/>
    <w:rsid w:val="00F427F1"/>
    <w:rsid w:val="00F42836"/>
    <w:rsid w:val="00F428EB"/>
    <w:rsid w:val="00F42B5B"/>
    <w:rsid w:val="00F43066"/>
    <w:rsid w:val="00F433A4"/>
    <w:rsid w:val="00F435AB"/>
    <w:rsid w:val="00F436E3"/>
    <w:rsid w:val="00F4378A"/>
    <w:rsid w:val="00F438AB"/>
    <w:rsid w:val="00F43AA2"/>
    <w:rsid w:val="00F43DB8"/>
    <w:rsid w:val="00F43E6C"/>
    <w:rsid w:val="00F43F39"/>
    <w:rsid w:val="00F43F5A"/>
    <w:rsid w:val="00F43F69"/>
    <w:rsid w:val="00F44166"/>
    <w:rsid w:val="00F44305"/>
    <w:rsid w:val="00F443DF"/>
    <w:rsid w:val="00F445E9"/>
    <w:rsid w:val="00F44829"/>
    <w:rsid w:val="00F44A0A"/>
    <w:rsid w:val="00F44AC6"/>
    <w:rsid w:val="00F44B01"/>
    <w:rsid w:val="00F44B16"/>
    <w:rsid w:val="00F44BCB"/>
    <w:rsid w:val="00F44C69"/>
    <w:rsid w:val="00F44CBC"/>
    <w:rsid w:val="00F44DC9"/>
    <w:rsid w:val="00F44E4F"/>
    <w:rsid w:val="00F4501B"/>
    <w:rsid w:val="00F45086"/>
    <w:rsid w:val="00F4520E"/>
    <w:rsid w:val="00F4536D"/>
    <w:rsid w:val="00F4572A"/>
    <w:rsid w:val="00F458EC"/>
    <w:rsid w:val="00F4597B"/>
    <w:rsid w:val="00F45CA4"/>
    <w:rsid w:val="00F45CEE"/>
    <w:rsid w:val="00F45DB4"/>
    <w:rsid w:val="00F45DE2"/>
    <w:rsid w:val="00F45FD1"/>
    <w:rsid w:val="00F45FD4"/>
    <w:rsid w:val="00F4608A"/>
    <w:rsid w:val="00F461A9"/>
    <w:rsid w:val="00F46244"/>
    <w:rsid w:val="00F462B4"/>
    <w:rsid w:val="00F46330"/>
    <w:rsid w:val="00F464CC"/>
    <w:rsid w:val="00F46607"/>
    <w:rsid w:val="00F4660A"/>
    <w:rsid w:val="00F46678"/>
    <w:rsid w:val="00F469EA"/>
    <w:rsid w:val="00F46B0A"/>
    <w:rsid w:val="00F46C94"/>
    <w:rsid w:val="00F46CB6"/>
    <w:rsid w:val="00F46FC6"/>
    <w:rsid w:val="00F4712F"/>
    <w:rsid w:val="00F47155"/>
    <w:rsid w:val="00F471B4"/>
    <w:rsid w:val="00F4723F"/>
    <w:rsid w:val="00F4756D"/>
    <w:rsid w:val="00F4764B"/>
    <w:rsid w:val="00F478C3"/>
    <w:rsid w:val="00F47A6D"/>
    <w:rsid w:val="00F47DE8"/>
    <w:rsid w:val="00F50023"/>
    <w:rsid w:val="00F501CC"/>
    <w:rsid w:val="00F502E5"/>
    <w:rsid w:val="00F504DA"/>
    <w:rsid w:val="00F505EC"/>
    <w:rsid w:val="00F50792"/>
    <w:rsid w:val="00F507F4"/>
    <w:rsid w:val="00F509C6"/>
    <w:rsid w:val="00F50A59"/>
    <w:rsid w:val="00F50B0D"/>
    <w:rsid w:val="00F50B4C"/>
    <w:rsid w:val="00F50E08"/>
    <w:rsid w:val="00F50E74"/>
    <w:rsid w:val="00F5116E"/>
    <w:rsid w:val="00F5153C"/>
    <w:rsid w:val="00F51551"/>
    <w:rsid w:val="00F5167F"/>
    <w:rsid w:val="00F51893"/>
    <w:rsid w:val="00F51A10"/>
    <w:rsid w:val="00F5214F"/>
    <w:rsid w:val="00F52390"/>
    <w:rsid w:val="00F523C4"/>
    <w:rsid w:val="00F5240E"/>
    <w:rsid w:val="00F52646"/>
    <w:rsid w:val="00F52808"/>
    <w:rsid w:val="00F528C8"/>
    <w:rsid w:val="00F52AF3"/>
    <w:rsid w:val="00F52CA5"/>
    <w:rsid w:val="00F52CA7"/>
    <w:rsid w:val="00F52E2E"/>
    <w:rsid w:val="00F530E3"/>
    <w:rsid w:val="00F53279"/>
    <w:rsid w:val="00F53416"/>
    <w:rsid w:val="00F53421"/>
    <w:rsid w:val="00F53525"/>
    <w:rsid w:val="00F537F6"/>
    <w:rsid w:val="00F538BF"/>
    <w:rsid w:val="00F53B23"/>
    <w:rsid w:val="00F53B75"/>
    <w:rsid w:val="00F53BEA"/>
    <w:rsid w:val="00F53D58"/>
    <w:rsid w:val="00F53EE6"/>
    <w:rsid w:val="00F53FB4"/>
    <w:rsid w:val="00F541EC"/>
    <w:rsid w:val="00F542C1"/>
    <w:rsid w:val="00F542F4"/>
    <w:rsid w:val="00F5431C"/>
    <w:rsid w:val="00F54320"/>
    <w:rsid w:val="00F5433B"/>
    <w:rsid w:val="00F545A5"/>
    <w:rsid w:val="00F54683"/>
    <w:rsid w:val="00F546E5"/>
    <w:rsid w:val="00F54833"/>
    <w:rsid w:val="00F5484B"/>
    <w:rsid w:val="00F548A5"/>
    <w:rsid w:val="00F54A1A"/>
    <w:rsid w:val="00F54A2A"/>
    <w:rsid w:val="00F54E43"/>
    <w:rsid w:val="00F54EC9"/>
    <w:rsid w:val="00F54ED2"/>
    <w:rsid w:val="00F54EEF"/>
    <w:rsid w:val="00F550E3"/>
    <w:rsid w:val="00F5518C"/>
    <w:rsid w:val="00F551EB"/>
    <w:rsid w:val="00F553E4"/>
    <w:rsid w:val="00F55886"/>
    <w:rsid w:val="00F558C2"/>
    <w:rsid w:val="00F55926"/>
    <w:rsid w:val="00F55A7C"/>
    <w:rsid w:val="00F55BCA"/>
    <w:rsid w:val="00F55CE7"/>
    <w:rsid w:val="00F55DB1"/>
    <w:rsid w:val="00F55E73"/>
    <w:rsid w:val="00F55EDA"/>
    <w:rsid w:val="00F56216"/>
    <w:rsid w:val="00F56263"/>
    <w:rsid w:val="00F562D7"/>
    <w:rsid w:val="00F56379"/>
    <w:rsid w:val="00F563BD"/>
    <w:rsid w:val="00F56480"/>
    <w:rsid w:val="00F565EA"/>
    <w:rsid w:val="00F567DD"/>
    <w:rsid w:val="00F56931"/>
    <w:rsid w:val="00F56A65"/>
    <w:rsid w:val="00F56C67"/>
    <w:rsid w:val="00F56C80"/>
    <w:rsid w:val="00F56D0E"/>
    <w:rsid w:val="00F56FD2"/>
    <w:rsid w:val="00F5745D"/>
    <w:rsid w:val="00F5748B"/>
    <w:rsid w:val="00F574E7"/>
    <w:rsid w:val="00F574FD"/>
    <w:rsid w:val="00F57547"/>
    <w:rsid w:val="00F57640"/>
    <w:rsid w:val="00F57916"/>
    <w:rsid w:val="00F57C90"/>
    <w:rsid w:val="00F57CF9"/>
    <w:rsid w:val="00F57F42"/>
    <w:rsid w:val="00F57FF2"/>
    <w:rsid w:val="00F6003C"/>
    <w:rsid w:val="00F60092"/>
    <w:rsid w:val="00F60134"/>
    <w:rsid w:val="00F60172"/>
    <w:rsid w:val="00F60263"/>
    <w:rsid w:val="00F60508"/>
    <w:rsid w:val="00F60519"/>
    <w:rsid w:val="00F6057C"/>
    <w:rsid w:val="00F60599"/>
    <w:rsid w:val="00F605FC"/>
    <w:rsid w:val="00F60655"/>
    <w:rsid w:val="00F606B2"/>
    <w:rsid w:val="00F6070D"/>
    <w:rsid w:val="00F6077D"/>
    <w:rsid w:val="00F60A75"/>
    <w:rsid w:val="00F60E06"/>
    <w:rsid w:val="00F60EED"/>
    <w:rsid w:val="00F61196"/>
    <w:rsid w:val="00F613B4"/>
    <w:rsid w:val="00F614FD"/>
    <w:rsid w:val="00F61594"/>
    <w:rsid w:val="00F6162B"/>
    <w:rsid w:val="00F618B4"/>
    <w:rsid w:val="00F6196C"/>
    <w:rsid w:val="00F61B45"/>
    <w:rsid w:val="00F61BA0"/>
    <w:rsid w:val="00F61C18"/>
    <w:rsid w:val="00F61CCF"/>
    <w:rsid w:val="00F61D11"/>
    <w:rsid w:val="00F61ED8"/>
    <w:rsid w:val="00F61F8A"/>
    <w:rsid w:val="00F6202B"/>
    <w:rsid w:val="00F62067"/>
    <w:rsid w:val="00F623C6"/>
    <w:rsid w:val="00F6240F"/>
    <w:rsid w:val="00F624EC"/>
    <w:rsid w:val="00F625B0"/>
    <w:rsid w:val="00F625D5"/>
    <w:rsid w:val="00F62694"/>
    <w:rsid w:val="00F626B0"/>
    <w:rsid w:val="00F62931"/>
    <w:rsid w:val="00F62942"/>
    <w:rsid w:val="00F629D5"/>
    <w:rsid w:val="00F62BA4"/>
    <w:rsid w:val="00F62C83"/>
    <w:rsid w:val="00F62E43"/>
    <w:rsid w:val="00F62EAD"/>
    <w:rsid w:val="00F630CE"/>
    <w:rsid w:val="00F6336D"/>
    <w:rsid w:val="00F63384"/>
    <w:rsid w:val="00F633DC"/>
    <w:rsid w:val="00F634D4"/>
    <w:rsid w:val="00F63536"/>
    <w:rsid w:val="00F63576"/>
    <w:rsid w:val="00F6362B"/>
    <w:rsid w:val="00F6392C"/>
    <w:rsid w:val="00F63B9E"/>
    <w:rsid w:val="00F63C2B"/>
    <w:rsid w:val="00F63C43"/>
    <w:rsid w:val="00F63C73"/>
    <w:rsid w:val="00F641AD"/>
    <w:rsid w:val="00F64272"/>
    <w:rsid w:val="00F6451A"/>
    <w:rsid w:val="00F646B6"/>
    <w:rsid w:val="00F647EE"/>
    <w:rsid w:val="00F64968"/>
    <w:rsid w:val="00F64C09"/>
    <w:rsid w:val="00F64F0A"/>
    <w:rsid w:val="00F64F1E"/>
    <w:rsid w:val="00F6527F"/>
    <w:rsid w:val="00F652E1"/>
    <w:rsid w:val="00F652E3"/>
    <w:rsid w:val="00F6538B"/>
    <w:rsid w:val="00F654FF"/>
    <w:rsid w:val="00F65530"/>
    <w:rsid w:val="00F6555A"/>
    <w:rsid w:val="00F6558B"/>
    <w:rsid w:val="00F65614"/>
    <w:rsid w:val="00F65859"/>
    <w:rsid w:val="00F658B3"/>
    <w:rsid w:val="00F658FB"/>
    <w:rsid w:val="00F65CC0"/>
    <w:rsid w:val="00F65D8F"/>
    <w:rsid w:val="00F65E9D"/>
    <w:rsid w:val="00F65F3C"/>
    <w:rsid w:val="00F65F4B"/>
    <w:rsid w:val="00F661F9"/>
    <w:rsid w:val="00F662AA"/>
    <w:rsid w:val="00F66604"/>
    <w:rsid w:val="00F666EA"/>
    <w:rsid w:val="00F6677C"/>
    <w:rsid w:val="00F667E2"/>
    <w:rsid w:val="00F66871"/>
    <w:rsid w:val="00F6695D"/>
    <w:rsid w:val="00F6696D"/>
    <w:rsid w:val="00F66AF2"/>
    <w:rsid w:val="00F66B5F"/>
    <w:rsid w:val="00F66DD9"/>
    <w:rsid w:val="00F66ECD"/>
    <w:rsid w:val="00F67197"/>
    <w:rsid w:val="00F6727E"/>
    <w:rsid w:val="00F67314"/>
    <w:rsid w:val="00F67322"/>
    <w:rsid w:val="00F67387"/>
    <w:rsid w:val="00F674BE"/>
    <w:rsid w:val="00F674F1"/>
    <w:rsid w:val="00F6769F"/>
    <w:rsid w:val="00F679C6"/>
    <w:rsid w:val="00F67A2E"/>
    <w:rsid w:val="00F67A54"/>
    <w:rsid w:val="00F67A69"/>
    <w:rsid w:val="00F67C51"/>
    <w:rsid w:val="00F67CFD"/>
    <w:rsid w:val="00F67D41"/>
    <w:rsid w:val="00F67F54"/>
    <w:rsid w:val="00F67FD3"/>
    <w:rsid w:val="00F67FE2"/>
    <w:rsid w:val="00F67FE6"/>
    <w:rsid w:val="00F700CB"/>
    <w:rsid w:val="00F70316"/>
    <w:rsid w:val="00F70499"/>
    <w:rsid w:val="00F704AB"/>
    <w:rsid w:val="00F704FA"/>
    <w:rsid w:val="00F7070C"/>
    <w:rsid w:val="00F708E3"/>
    <w:rsid w:val="00F70926"/>
    <w:rsid w:val="00F70B91"/>
    <w:rsid w:val="00F70BFF"/>
    <w:rsid w:val="00F70C84"/>
    <w:rsid w:val="00F70C9D"/>
    <w:rsid w:val="00F70DFC"/>
    <w:rsid w:val="00F70E55"/>
    <w:rsid w:val="00F70F91"/>
    <w:rsid w:val="00F71010"/>
    <w:rsid w:val="00F7103C"/>
    <w:rsid w:val="00F711DE"/>
    <w:rsid w:val="00F711F6"/>
    <w:rsid w:val="00F713BC"/>
    <w:rsid w:val="00F71549"/>
    <w:rsid w:val="00F716C3"/>
    <w:rsid w:val="00F718E0"/>
    <w:rsid w:val="00F71AAC"/>
    <w:rsid w:val="00F71BEF"/>
    <w:rsid w:val="00F71BFB"/>
    <w:rsid w:val="00F71E36"/>
    <w:rsid w:val="00F71FB8"/>
    <w:rsid w:val="00F71FCD"/>
    <w:rsid w:val="00F71FE6"/>
    <w:rsid w:val="00F720F0"/>
    <w:rsid w:val="00F72124"/>
    <w:rsid w:val="00F721B6"/>
    <w:rsid w:val="00F72271"/>
    <w:rsid w:val="00F72465"/>
    <w:rsid w:val="00F72648"/>
    <w:rsid w:val="00F727A3"/>
    <w:rsid w:val="00F729A0"/>
    <w:rsid w:val="00F729D0"/>
    <w:rsid w:val="00F72A8A"/>
    <w:rsid w:val="00F72A8D"/>
    <w:rsid w:val="00F72BAA"/>
    <w:rsid w:val="00F72D41"/>
    <w:rsid w:val="00F72FDA"/>
    <w:rsid w:val="00F73578"/>
    <w:rsid w:val="00F735FE"/>
    <w:rsid w:val="00F7382B"/>
    <w:rsid w:val="00F7384C"/>
    <w:rsid w:val="00F739DB"/>
    <w:rsid w:val="00F73B02"/>
    <w:rsid w:val="00F73BA7"/>
    <w:rsid w:val="00F73BBC"/>
    <w:rsid w:val="00F73DC4"/>
    <w:rsid w:val="00F73DD5"/>
    <w:rsid w:val="00F73E08"/>
    <w:rsid w:val="00F73EB9"/>
    <w:rsid w:val="00F7405F"/>
    <w:rsid w:val="00F74283"/>
    <w:rsid w:val="00F743B8"/>
    <w:rsid w:val="00F744F5"/>
    <w:rsid w:val="00F74557"/>
    <w:rsid w:val="00F74606"/>
    <w:rsid w:val="00F74645"/>
    <w:rsid w:val="00F747C3"/>
    <w:rsid w:val="00F748AC"/>
    <w:rsid w:val="00F749E8"/>
    <w:rsid w:val="00F74AEA"/>
    <w:rsid w:val="00F74CD9"/>
    <w:rsid w:val="00F74D6E"/>
    <w:rsid w:val="00F74F2A"/>
    <w:rsid w:val="00F7501D"/>
    <w:rsid w:val="00F7522E"/>
    <w:rsid w:val="00F75243"/>
    <w:rsid w:val="00F7527B"/>
    <w:rsid w:val="00F7530A"/>
    <w:rsid w:val="00F75365"/>
    <w:rsid w:val="00F754D1"/>
    <w:rsid w:val="00F7550F"/>
    <w:rsid w:val="00F755EB"/>
    <w:rsid w:val="00F75708"/>
    <w:rsid w:val="00F7579E"/>
    <w:rsid w:val="00F75800"/>
    <w:rsid w:val="00F75999"/>
    <w:rsid w:val="00F75AF4"/>
    <w:rsid w:val="00F75C26"/>
    <w:rsid w:val="00F75CAA"/>
    <w:rsid w:val="00F75CF1"/>
    <w:rsid w:val="00F75DA3"/>
    <w:rsid w:val="00F75EED"/>
    <w:rsid w:val="00F76195"/>
    <w:rsid w:val="00F76462"/>
    <w:rsid w:val="00F7653D"/>
    <w:rsid w:val="00F766E2"/>
    <w:rsid w:val="00F768D8"/>
    <w:rsid w:val="00F769C6"/>
    <w:rsid w:val="00F76A39"/>
    <w:rsid w:val="00F76A50"/>
    <w:rsid w:val="00F76AA7"/>
    <w:rsid w:val="00F76AD3"/>
    <w:rsid w:val="00F76B12"/>
    <w:rsid w:val="00F76C8C"/>
    <w:rsid w:val="00F76C9A"/>
    <w:rsid w:val="00F76CC1"/>
    <w:rsid w:val="00F76F21"/>
    <w:rsid w:val="00F77296"/>
    <w:rsid w:val="00F77463"/>
    <w:rsid w:val="00F7775D"/>
    <w:rsid w:val="00F777C3"/>
    <w:rsid w:val="00F7780E"/>
    <w:rsid w:val="00F77877"/>
    <w:rsid w:val="00F7796A"/>
    <w:rsid w:val="00F779D4"/>
    <w:rsid w:val="00F779E3"/>
    <w:rsid w:val="00F77A2E"/>
    <w:rsid w:val="00F77B5D"/>
    <w:rsid w:val="00F8011F"/>
    <w:rsid w:val="00F8022C"/>
    <w:rsid w:val="00F8036B"/>
    <w:rsid w:val="00F8045E"/>
    <w:rsid w:val="00F80475"/>
    <w:rsid w:val="00F80486"/>
    <w:rsid w:val="00F806B9"/>
    <w:rsid w:val="00F8076C"/>
    <w:rsid w:val="00F808C1"/>
    <w:rsid w:val="00F80973"/>
    <w:rsid w:val="00F809DC"/>
    <w:rsid w:val="00F809DF"/>
    <w:rsid w:val="00F80A7B"/>
    <w:rsid w:val="00F80AA9"/>
    <w:rsid w:val="00F80B3A"/>
    <w:rsid w:val="00F80B79"/>
    <w:rsid w:val="00F80D49"/>
    <w:rsid w:val="00F80D60"/>
    <w:rsid w:val="00F80D9B"/>
    <w:rsid w:val="00F80E5D"/>
    <w:rsid w:val="00F80FE5"/>
    <w:rsid w:val="00F81164"/>
    <w:rsid w:val="00F811DB"/>
    <w:rsid w:val="00F812A7"/>
    <w:rsid w:val="00F812FF"/>
    <w:rsid w:val="00F81611"/>
    <w:rsid w:val="00F8163E"/>
    <w:rsid w:val="00F81705"/>
    <w:rsid w:val="00F81814"/>
    <w:rsid w:val="00F818C8"/>
    <w:rsid w:val="00F81A09"/>
    <w:rsid w:val="00F81B38"/>
    <w:rsid w:val="00F81B3C"/>
    <w:rsid w:val="00F81C43"/>
    <w:rsid w:val="00F81E78"/>
    <w:rsid w:val="00F81F93"/>
    <w:rsid w:val="00F82092"/>
    <w:rsid w:val="00F82154"/>
    <w:rsid w:val="00F82190"/>
    <w:rsid w:val="00F821A2"/>
    <w:rsid w:val="00F82528"/>
    <w:rsid w:val="00F82604"/>
    <w:rsid w:val="00F827F7"/>
    <w:rsid w:val="00F8286E"/>
    <w:rsid w:val="00F82917"/>
    <w:rsid w:val="00F82A19"/>
    <w:rsid w:val="00F82A40"/>
    <w:rsid w:val="00F82B71"/>
    <w:rsid w:val="00F82B8D"/>
    <w:rsid w:val="00F82D9B"/>
    <w:rsid w:val="00F82E3B"/>
    <w:rsid w:val="00F83049"/>
    <w:rsid w:val="00F833CD"/>
    <w:rsid w:val="00F83579"/>
    <w:rsid w:val="00F835A8"/>
    <w:rsid w:val="00F83916"/>
    <w:rsid w:val="00F8392B"/>
    <w:rsid w:val="00F83C6B"/>
    <w:rsid w:val="00F83D74"/>
    <w:rsid w:val="00F83EC0"/>
    <w:rsid w:val="00F83F0F"/>
    <w:rsid w:val="00F83F1E"/>
    <w:rsid w:val="00F83F4A"/>
    <w:rsid w:val="00F84113"/>
    <w:rsid w:val="00F841AC"/>
    <w:rsid w:val="00F84217"/>
    <w:rsid w:val="00F843BA"/>
    <w:rsid w:val="00F8486B"/>
    <w:rsid w:val="00F84924"/>
    <w:rsid w:val="00F84A3E"/>
    <w:rsid w:val="00F84DA4"/>
    <w:rsid w:val="00F84E0E"/>
    <w:rsid w:val="00F8509F"/>
    <w:rsid w:val="00F8511E"/>
    <w:rsid w:val="00F851CE"/>
    <w:rsid w:val="00F85203"/>
    <w:rsid w:val="00F85302"/>
    <w:rsid w:val="00F853AF"/>
    <w:rsid w:val="00F8540C"/>
    <w:rsid w:val="00F85570"/>
    <w:rsid w:val="00F85804"/>
    <w:rsid w:val="00F85A26"/>
    <w:rsid w:val="00F85B02"/>
    <w:rsid w:val="00F85B2C"/>
    <w:rsid w:val="00F85C8A"/>
    <w:rsid w:val="00F8616B"/>
    <w:rsid w:val="00F86279"/>
    <w:rsid w:val="00F8633E"/>
    <w:rsid w:val="00F8649A"/>
    <w:rsid w:val="00F86568"/>
    <w:rsid w:val="00F865AD"/>
    <w:rsid w:val="00F86645"/>
    <w:rsid w:val="00F8664F"/>
    <w:rsid w:val="00F86969"/>
    <w:rsid w:val="00F8698A"/>
    <w:rsid w:val="00F869F7"/>
    <w:rsid w:val="00F86A42"/>
    <w:rsid w:val="00F86C9A"/>
    <w:rsid w:val="00F86D62"/>
    <w:rsid w:val="00F86E95"/>
    <w:rsid w:val="00F86F49"/>
    <w:rsid w:val="00F871C6"/>
    <w:rsid w:val="00F873B5"/>
    <w:rsid w:val="00F87522"/>
    <w:rsid w:val="00F8756B"/>
    <w:rsid w:val="00F87625"/>
    <w:rsid w:val="00F876EC"/>
    <w:rsid w:val="00F8783E"/>
    <w:rsid w:val="00F87BB2"/>
    <w:rsid w:val="00F87C71"/>
    <w:rsid w:val="00F87EAB"/>
    <w:rsid w:val="00F87EE8"/>
    <w:rsid w:val="00F90073"/>
    <w:rsid w:val="00F901C7"/>
    <w:rsid w:val="00F90259"/>
    <w:rsid w:val="00F907C7"/>
    <w:rsid w:val="00F90855"/>
    <w:rsid w:val="00F90900"/>
    <w:rsid w:val="00F90912"/>
    <w:rsid w:val="00F9091F"/>
    <w:rsid w:val="00F90AB0"/>
    <w:rsid w:val="00F91046"/>
    <w:rsid w:val="00F91219"/>
    <w:rsid w:val="00F914CE"/>
    <w:rsid w:val="00F916FE"/>
    <w:rsid w:val="00F9183C"/>
    <w:rsid w:val="00F9196B"/>
    <w:rsid w:val="00F91AC7"/>
    <w:rsid w:val="00F91C7B"/>
    <w:rsid w:val="00F91DC7"/>
    <w:rsid w:val="00F91E31"/>
    <w:rsid w:val="00F91F6C"/>
    <w:rsid w:val="00F91F9A"/>
    <w:rsid w:val="00F91FF5"/>
    <w:rsid w:val="00F920CB"/>
    <w:rsid w:val="00F921FC"/>
    <w:rsid w:val="00F922B5"/>
    <w:rsid w:val="00F92340"/>
    <w:rsid w:val="00F92444"/>
    <w:rsid w:val="00F9269D"/>
    <w:rsid w:val="00F926A5"/>
    <w:rsid w:val="00F927DB"/>
    <w:rsid w:val="00F92AD1"/>
    <w:rsid w:val="00F92B87"/>
    <w:rsid w:val="00F92BEE"/>
    <w:rsid w:val="00F92CB6"/>
    <w:rsid w:val="00F92DFE"/>
    <w:rsid w:val="00F93031"/>
    <w:rsid w:val="00F9329D"/>
    <w:rsid w:val="00F932EC"/>
    <w:rsid w:val="00F9358D"/>
    <w:rsid w:val="00F936DB"/>
    <w:rsid w:val="00F9393E"/>
    <w:rsid w:val="00F9399D"/>
    <w:rsid w:val="00F93B08"/>
    <w:rsid w:val="00F93B6C"/>
    <w:rsid w:val="00F93BE6"/>
    <w:rsid w:val="00F93C6C"/>
    <w:rsid w:val="00F93ED4"/>
    <w:rsid w:val="00F93FE2"/>
    <w:rsid w:val="00F9410E"/>
    <w:rsid w:val="00F942E1"/>
    <w:rsid w:val="00F94363"/>
    <w:rsid w:val="00F9446E"/>
    <w:rsid w:val="00F944A1"/>
    <w:rsid w:val="00F944F5"/>
    <w:rsid w:val="00F94895"/>
    <w:rsid w:val="00F94A7B"/>
    <w:rsid w:val="00F94B67"/>
    <w:rsid w:val="00F94BBC"/>
    <w:rsid w:val="00F94F36"/>
    <w:rsid w:val="00F94FD6"/>
    <w:rsid w:val="00F95658"/>
    <w:rsid w:val="00F956DA"/>
    <w:rsid w:val="00F95799"/>
    <w:rsid w:val="00F95848"/>
    <w:rsid w:val="00F958E8"/>
    <w:rsid w:val="00F9590F"/>
    <w:rsid w:val="00F95B28"/>
    <w:rsid w:val="00F95BBD"/>
    <w:rsid w:val="00F95C66"/>
    <w:rsid w:val="00F95D91"/>
    <w:rsid w:val="00F95DA3"/>
    <w:rsid w:val="00F95DD8"/>
    <w:rsid w:val="00F95E29"/>
    <w:rsid w:val="00F95E48"/>
    <w:rsid w:val="00F95EF4"/>
    <w:rsid w:val="00F95FAA"/>
    <w:rsid w:val="00F963CC"/>
    <w:rsid w:val="00F9640B"/>
    <w:rsid w:val="00F9646A"/>
    <w:rsid w:val="00F9652B"/>
    <w:rsid w:val="00F96653"/>
    <w:rsid w:val="00F968D5"/>
    <w:rsid w:val="00F969DC"/>
    <w:rsid w:val="00F969E0"/>
    <w:rsid w:val="00F96D4D"/>
    <w:rsid w:val="00F96FD0"/>
    <w:rsid w:val="00F96FFD"/>
    <w:rsid w:val="00F97128"/>
    <w:rsid w:val="00F97340"/>
    <w:rsid w:val="00F973A5"/>
    <w:rsid w:val="00F97406"/>
    <w:rsid w:val="00F975DB"/>
    <w:rsid w:val="00F97624"/>
    <w:rsid w:val="00F97A78"/>
    <w:rsid w:val="00F97B5D"/>
    <w:rsid w:val="00F97ECC"/>
    <w:rsid w:val="00FA007C"/>
    <w:rsid w:val="00FA035A"/>
    <w:rsid w:val="00FA03F8"/>
    <w:rsid w:val="00FA069F"/>
    <w:rsid w:val="00FA074B"/>
    <w:rsid w:val="00FA0989"/>
    <w:rsid w:val="00FA0A29"/>
    <w:rsid w:val="00FA0A51"/>
    <w:rsid w:val="00FA0B20"/>
    <w:rsid w:val="00FA0BDA"/>
    <w:rsid w:val="00FA0E41"/>
    <w:rsid w:val="00FA1059"/>
    <w:rsid w:val="00FA1137"/>
    <w:rsid w:val="00FA11E8"/>
    <w:rsid w:val="00FA14C6"/>
    <w:rsid w:val="00FA18FF"/>
    <w:rsid w:val="00FA1AA0"/>
    <w:rsid w:val="00FA1BDC"/>
    <w:rsid w:val="00FA1CB3"/>
    <w:rsid w:val="00FA1EDC"/>
    <w:rsid w:val="00FA1FA1"/>
    <w:rsid w:val="00FA2214"/>
    <w:rsid w:val="00FA222F"/>
    <w:rsid w:val="00FA24E7"/>
    <w:rsid w:val="00FA26ED"/>
    <w:rsid w:val="00FA2753"/>
    <w:rsid w:val="00FA28B9"/>
    <w:rsid w:val="00FA2B57"/>
    <w:rsid w:val="00FA2D43"/>
    <w:rsid w:val="00FA2F62"/>
    <w:rsid w:val="00FA2F68"/>
    <w:rsid w:val="00FA2F8F"/>
    <w:rsid w:val="00FA3042"/>
    <w:rsid w:val="00FA3083"/>
    <w:rsid w:val="00FA317E"/>
    <w:rsid w:val="00FA36B7"/>
    <w:rsid w:val="00FA36E1"/>
    <w:rsid w:val="00FA37FD"/>
    <w:rsid w:val="00FA381B"/>
    <w:rsid w:val="00FA3913"/>
    <w:rsid w:val="00FA39A7"/>
    <w:rsid w:val="00FA3A14"/>
    <w:rsid w:val="00FA3B36"/>
    <w:rsid w:val="00FA3BA3"/>
    <w:rsid w:val="00FA3C98"/>
    <w:rsid w:val="00FA3E69"/>
    <w:rsid w:val="00FA3EB8"/>
    <w:rsid w:val="00FA4142"/>
    <w:rsid w:val="00FA41D4"/>
    <w:rsid w:val="00FA42BA"/>
    <w:rsid w:val="00FA4564"/>
    <w:rsid w:val="00FA47CC"/>
    <w:rsid w:val="00FA4824"/>
    <w:rsid w:val="00FA4892"/>
    <w:rsid w:val="00FA4974"/>
    <w:rsid w:val="00FA49AE"/>
    <w:rsid w:val="00FA4D73"/>
    <w:rsid w:val="00FA4D8A"/>
    <w:rsid w:val="00FA5444"/>
    <w:rsid w:val="00FA5540"/>
    <w:rsid w:val="00FA55A1"/>
    <w:rsid w:val="00FA59CB"/>
    <w:rsid w:val="00FA59EA"/>
    <w:rsid w:val="00FA5A1A"/>
    <w:rsid w:val="00FA5AC8"/>
    <w:rsid w:val="00FA5AFD"/>
    <w:rsid w:val="00FA5B7F"/>
    <w:rsid w:val="00FA5CA5"/>
    <w:rsid w:val="00FA5ECC"/>
    <w:rsid w:val="00FA5EE6"/>
    <w:rsid w:val="00FA5F14"/>
    <w:rsid w:val="00FA5F93"/>
    <w:rsid w:val="00FA602B"/>
    <w:rsid w:val="00FA615C"/>
    <w:rsid w:val="00FA64BB"/>
    <w:rsid w:val="00FA65A6"/>
    <w:rsid w:val="00FA6676"/>
    <w:rsid w:val="00FA6958"/>
    <w:rsid w:val="00FA6BBC"/>
    <w:rsid w:val="00FA6F14"/>
    <w:rsid w:val="00FA703B"/>
    <w:rsid w:val="00FA7065"/>
    <w:rsid w:val="00FA7146"/>
    <w:rsid w:val="00FA73A6"/>
    <w:rsid w:val="00FA75E2"/>
    <w:rsid w:val="00FA7652"/>
    <w:rsid w:val="00FA78D0"/>
    <w:rsid w:val="00FA791F"/>
    <w:rsid w:val="00FA7956"/>
    <w:rsid w:val="00FA7973"/>
    <w:rsid w:val="00FA7A39"/>
    <w:rsid w:val="00FA7EF7"/>
    <w:rsid w:val="00FA7F39"/>
    <w:rsid w:val="00FA7F99"/>
    <w:rsid w:val="00FB00F3"/>
    <w:rsid w:val="00FB01BA"/>
    <w:rsid w:val="00FB035F"/>
    <w:rsid w:val="00FB0399"/>
    <w:rsid w:val="00FB03D4"/>
    <w:rsid w:val="00FB055C"/>
    <w:rsid w:val="00FB0594"/>
    <w:rsid w:val="00FB075B"/>
    <w:rsid w:val="00FB0824"/>
    <w:rsid w:val="00FB08D2"/>
    <w:rsid w:val="00FB0909"/>
    <w:rsid w:val="00FB097C"/>
    <w:rsid w:val="00FB0BC0"/>
    <w:rsid w:val="00FB0E6C"/>
    <w:rsid w:val="00FB0F51"/>
    <w:rsid w:val="00FB0FC6"/>
    <w:rsid w:val="00FB0FEC"/>
    <w:rsid w:val="00FB129B"/>
    <w:rsid w:val="00FB14A5"/>
    <w:rsid w:val="00FB14AE"/>
    <w:rsid w:val="00FB163D"/>
    <w:rsid w:val="00FB1955"/>
    <w:rsid w:val="00FB1B3F"/>
    <w:rsid w:val="00FB1C29"/>
    <w:rsid w:val="00FB1D4A"/>
    <w:rsid w:val="00FB1D84"/>
    <w:rsid w:val="00FB1DCE"/>
    <w:rsid w:val="00FB2183"/>
    <w:rsid w:val="00FB21DA"/>
    <w:rsid w:val="00FB2483"/>
    <w:rsid w:val="00FB259B"/>
    <w:rsid w:val="00FB26D3"/>
    <w:rsid w:val="00FB271D"/>
    <w:rsid w:val="00FB2B90"/>
    <w:rsid w:val="00FB2C4E"/>
    <w:rsid w:val="00FB2EF6"/>
    <w:rsid w:val="00FB2FCB"/>
    <w:rsid w:val="00FB3482"/>
    <w:rsid w:val="00FB34E8"/>
    <w:rsid w:val="00FB35B3"/>
    <w:rsid w:val="00FB388F"/>
    <w:rsid w:val="00FB38AC"/>
    <w:rsid w:val="00FB391A"/>
    <w:rsid w:val="00FB3B21"/>
    <w:rsid w:val="00FB3B77"/>
    <w:rsid w:val="00FB3C62"/>
    <w:rsid w:val="00FB3C75"/>
    <w:rsid w:val="00FB3C7A"/>
    <w:rsid w:val="00FB3D67"/>
    <w:rsid w:val="00FB3D95"/>
    <w:rsid w:val="00FB3E3C"/>
    <w:rsid w:val="00FB4097"/>
    <w:rsid w:val="00FB4135"/>
    <w:rsid w:val="00FB4156"/>
    <w:rsid w:val="00FB415E"/>
    <w:rsid w:val="00FB4369"/>
    <w:rsid w:val="00FB4397"/>
    <w:rsid w:val="00FB43A2"/>
    <w:rsid w:val="00FB446A"/>
    <w:rsid w:val="00FB446E"/>
    <w:rsid w:val="00FB45CB"/>
    <w:rsid w:val="00FB46A3"/>
    <w:rsid w:val="00FB4845"/>
    <w:rsid w:val="00FB499C"/>
    <w:rsid w:val="00FB49EF"/>
    <w:rsid w:val="00FB4A26"/>
    <w:rsid w:val="00FB4B1F"/>
    <w:rsid w:val="00FB4C9C"/>
    <w:rsid w:val="00FB4D90"/>
    <w:rsid w:val="00FB4D94"/>
    <w:rsid w:val="00FB4E86"/>
    <w:rsid w:val="00FB4F4D"/>
    <w:rsid w:val="00FB4F81"/>
    <w:rsid w:val="00FB4FAC"/>
    <w:rsid w:val="00FB5404"/>
    <w:rsid w:val="00FB579D"/>
    <w:rsid w:val="00FB592B"/>
    <w:rsid w:val="00FB593E"/>
    <w:rsid w:val="00FB5994"/>
    <w:rsid w:val="00FB5E16"/>
    <w:rsid w:val="00FB5F50"/>
    <w:rsid w:val="00FB5FF1"/>
    <w:rsid w:val="00FB60A2"/>
    <w:rsid w:val="00FB6529"/>
    <w:rsid w:val="00FB678C"/>
    <w:rsid w:val="00FB6A09"/>
    <w:rsid w:val="00FB6A25"/>
    <w:rsid w:val="00FB6B80"/>
    <w:rsid w:val="00FB6BE6"/>
    <w:rsid w:val="00FB6C2C"/>
    <w:rsid w:val="00FB6CDD"/>
    <w:rsid w:val="00FB7006"/>
    <w:rsid w:val="00FB70EF"/>
    <w:rsid w:val="00FB71C8"/>
    <w:rsid w:val="00FB7236"/>
    <w:rsid w:val="00FB741F"/>
    <w:rsid w:val="00FB7453"/>
    <w:rsid w:val="00FB7665"/>
    <w:rsid w:val="00FB7955"/>
    <w:rsid w:val="00FB795C"/>
    <w:rsid w:val="00FB7A62"/>
    <w:rsid w:val="00FB7A84"/>
    <w:rsid w:val="00FB7C28"/>
    <w:rsid w:val="00FB7C55"/>
    <w:rsid w:val="00FB7F8C"/>
    <w:rsid w:val="00FC0072"/>
    <w:rsid w:val="00FC023A"/>
    <w:rsid w:val="00FC0465"/>
    <w:rsid w:val="00FC06B0"/>
    <w:rsid w:val="00FC0808"/>
    <w:rsid w:val="00FC08B7"/>
    <w:rsid w:val="00FC091D"/>
    <w:rsid w:val="00FC0A4F"/>
    <w:rsid w:val="00FC0AAE"/>
    <w:rsid w:val="00FC0AEE"/>
    <w:rsid w:val="00FC0B4C"/>
    <w:rsid w:val="00FC0CB6"/>
    <w:rsid w:val="00FC0D10"/>
    <w:rsid w:val="00FC0E0F"/>
    <w:rsid w:val="00FC1074"/>
    <w:rsid w:val="00FC1092"/>
    <w:rsid w:val="00FC1411"/>
    <w:rsid w:val="00FC1469"/>
    <w:rsid w:val="00FC15E2"/>
    <w:rsid w:val="00FC1626"/>
    <w:rsid w:val="00FC1884"/>
    <w:rsid w:val="00FC1B50"/>
    <w:rsid w:val="00FC1BBD"/>
    <w:rsid w:val="00FC1C9E"/>
    <w:rsid w:val="00FC1CD6"/>
    <w:rsid w:val="00FC1DB8"/>
    <w:rsid w:val="00FC1E55"/>
    <w:rsid w:val="00FC1E9B"/>
    <w:rsid w:val="00FC1FF6"/>
    <w:rsid w:val="00FC2091"/>
    <w:rsid w:val="00FC20B6"/>
    <w:rsid w:val="00FC23BC"/>
    <w:rsid w:val="00FC26AA"/>
    <w:rsid w:val="00FC2797"/>
    <w:rsid w:val="00FC2857"/>
    <w:rsid w:val="00FC2A58"/>
    <w:rsid w:val="00FC2C20"/>
    <w:rsid w:val="00FC2C3B"/>
    <w:rsid w:val="00FC2F0A"/>
    <w:rsid w:val="00FC3015"/>
    <w:rsid w:val="00FC3062"/>
    <w:rsid w:val="00FC3196"/>
    <w:rsid w:val="00FC31C4"/>
    <w:rsid w:val="00FC3210"/>
    <w:rsid w:val="00FC327A"/>
    <w:rsid w:val="00FC34BF"/>
    <w:rsid w:val="00FC34FA"/>
    <w:rsid w:val="00FC3683"/>
    <w:rsid w:val="00FC371D"/>
    <w:rsid w:val="00FC396A"/>
    <w:rsid w:val="00FC39A7"/>
    <w:rsid w:val="00FC3A6A"/>
    <w:rsid w:val="00FC3B33"/>
    <w:rsid w:val="00FC3E93"/>
    <w:rsid w:val="00FC419F"/>
    <w:rsid w:val="00FC45AA"/>
    <w:rsid w:val="00FC46FC"/>
    <w:rsid w:val="00FC470C"/>
    <w:rsid w:val="00FC47C2"/>
    <w:rsid w:val="00FC486E"/>
    <w:rsid w:val="00FC48B2"/>
    <w:rsid w:val="00FC4ADB"/>
    <w:rsid w:val="00FC4B78"/>
    <w:rsid w:val="00FC5035"/>
    <w:rsid w:val="00FC5154"/>
    <w:rsid w:val="00FC519F"/>
    <w:rsid w:val="00FC53F4"/>
    <w:rsid w:val="00FC5426"/>
    <w:rsid w:val="00FC54F7"/>
    <w:rsid w:val="00FC556C"/>
    <w:rsid w:val="00FC5728"/>
    <w:rsid w:val="00FC588E"/>
    <w:rsid w:val="00FC591A"/>
    <w:rsid w:val="00FC5949"/>
    <w:rsid w:val="00FC5D22"/>
    <w:rsid w:val="00FC5F0B"/>
    <w:rsid w:val="00FC5F39"/>
    <w:rsid w:val="00FC5FCF"/>
    <w:rsid w:val="00FC6151"/>
    <w:rsid w:val="00FC621D"/>
    <w:rsid w:val="00FC627D"/>
    <w:rsid w:val="00FC6538"/>
    <w:rsid w:val="00FC6705"/>
    <w:rsid w:val="00FC6807"/>
    <w:rsid w:val="00FC69D4"/>
    <w:rsid w:val="00FC6B3E"/>
    <w:rsid w:val="00FC6B53"/>
    <w:rsid w:val="00FC6BE2"/>
    <w:rsid w:val="00FC6F1F"/>
    <w:rsid w:val="00FC6FB4"/>
    <w:rsid w:val="00FC7087"/>
    <w:rsid w:val="00FC761E"/>
    <w:rsid w:val="00FC771A"/>
    <w:rsid w:val="00FC788C"/>
    <w:rsid w:val="00FC79B9"/>
    <w:rsid w:val="00FC79BA"/>
    <w:rsid w:val="00FC7D57"/>
    <w:rsid w:val="00FC7E1F"/>
    <w:rsid w:val="00FC7EC1"/>
    <w:rsid w:val="00FC7FED"/>
    <w:rsid w:val="00FD01A5"/>
    <w:rsid w:val="00FD03EC"/>
    <w:rsid w:val="00FD045D"/>
    <w:rsid w:val="00FD0560"/>
    <w:rsid w:val="00FD05EB"/>
    <w:rsid w:val="00FD06CA"/>
    <w:rsid w:val="00FD0843"/>
    <w:rsid w:val="00FD08A0"/>
    <w:rsid w:val="00FD0925"/>
    <w:rsid w:val="00FD09BF"/>
    <w:rsid w:val="00FD0D39"/>
    <w:rsid w:val="00FD0D3D"/>
    <w:rsid w:val="00FD0DAD"/>
    <w:rsid w:val="00FD0E74"/>
    <w:rsid w:val="00FD114B"/>
    <w:rsid w:val="00FD1536"/>
    <w:rsid w:val="00FD1581"/>
    <w:rsid w:val="00FD1688"/>
    <w:rsid w:val="00FD1712"/>
    <w:rsid w:val="00FD1747"/>
    <w:rsid w:val="00FD17B2"/>
    <w:rsid w:val="00FD1880"/>
    <w:rsid w:val="00FD1A35"/>
    <w:rsid w:val="00FD1BD5"/>
    <w:rsid w:val="00FD1CA5"/>
    <w:rsid w:val="00FD1E14"/>
    <w:rsid w:val="00FD2032"/>
    <w:rsid w:val="00FD2100"/>
    <w:rsid w:val="00FD2406"/>
    <w:rsid w:val="00FD2460"/>
    <w:rsid w:val="00FD24B1"/>
    <w:rsid w:val="00FD260F"/>
    <w:rsid w:val="00FD27A1"/>
    <w:rsid w:val="00FD283E"/>
    <w:rsid w:val="00FD294A"/>
    <w:rsid w:val="00FD2AA0"/>
    <w:rsid w:val="00FD2B32"/>
    <w:rsid w:val="00FD2B69"/>
    <w:rsid w:val="00FD2BCD"/>
    <w:rsid w:val="00FD2CF6"/>
    <w:rsid w:val="00FD2E05"/>
    <w:rsid w:val="00FD2F6E"/>
    <w:rsid w:val="00FD2FFF"/>
    <w:rsid w:val="00FD3042"/>
    <w:rsid w:val="00FD334A"/>
    <w:rsid w:val="00FD33B3"/>
    <w:rsid w:val="00FD34F5"/>
    <w:rsid w:val="00FD351A"/>
    <w:rsid w:val="00FD36C7"/>
    <w:rsid w:val="00FD36E5"/>
    <w:rsid w:val="00FD37D4"/>
    <w:rsid w:val="00FD38D7"/>
    <w:rsid w:val="00FD3B6D"/>
    <w:rsid w:val="00FD3B97"/>
    <w:rsid w:val="00FD3BDE"/>
    <w:rsid w:val="00FD3C90"/>
    <w:rsid w:val="00FD3D27"/>
    <w:rsid w:val="00FD3E1B"/>
    <w:rsid w:val="00FD413F"/>
    <w:rsid w:val="00FD4156"/>
    <w:rsid w:val="00FD436C"/>
    <w:rsid w:val="00FD43A2"/>
    <w:rsid w:val="00FD446D"/>
    <w:rsid w:val="00FD46A9"/>
    <w:rsid w:val="00FD48A8"/>
    <w:rsid w:val="00FD4A18"/>
    <w:rsid w:val="00FD4AF3"/>
    <w:rsid w:val="00FD4F2C"/>
    <w:rsid w:val="00FD5656"/>
    <w:rsid w:val="00FD56B5"/>
    <w:rsid w:val="00FD5AE3"/>
    <w:rsid w:val="00FD5B04"/>
    <w:rsid w:val="00FD5B48"/>
    <w:rsid w:val="00FD5BB5"/>
    <w:rsid w:val="00FD5BDF"/>
    <w:rsid w:val="00FD5BEF"/>
    <w:rsid w:val="00FD5DDA"/>
    <w:rsid w:val="00FD6086"/>
    <w:rsid w:val="00FD619B"/>
    <w:rsid w:val="00FD61F6"/>
    <w:rsid w:val="00FD624F"/>
    <w:rsid w:val="00FD6394"/>
    <w:rsid w:val="00FD6503"/>
    <w:rsid w:val="00FD65CD"/>
    <w:rsid w:val="00FD66A7"/>
    <w:rsid w:val="00FD67AF"/>
    <w:rsid w:val="00FD69E7"/>
    <w:rsid w:val="00FD6B8A"/>
    <w:rsid w:val="00FD6C33"/>
    <w:rsid w:val="00FD6CA4"/>
    <w:rsid w:val="00FD6CFA"/>
    <w:rsid w:val="00FD7311"/>
    <w:rsid w:val="00FD76DA"/>
    <w:rsid w:val="00FD777D"/>
    <w:rsid w:val="00FD7846"/>
    <w:rsid w:val="00FD790F"/>
    <w:rsid w:val="00FD7B8A"/>
    <w:rsid w:val="00FD7BE2"/>
    <w:rsid w:val="00FD7C71"/>
    <w:rsid w:val="00FD7EA3"/>
    <w:rsid w:val="00FE02C5"/>
    <w:rsid w:val="00FE0443"/>
    <w:rsid w:val="00FE04EA"/>
    <w:rsid w:val="00FE051F"/>
    <w:rsid w:val="00FE0520"/>
    <w:rsid w:val="00FE06F8"/>
    <w:rsid w:val="00FE0AD6"/>
    <w:rsid w:val="00FE0B9B"/>
    <w:rsid w:val="00FE0DD0"/>
    <w:rsid w:val="00FE0E6C"/>
    <w:rsid w:val="00FE1016"/>
    <w:rsid w:val="00FE1165"/>
    <w:rsid w:val="00FE119C"/>
    <w:rsid w:val="00FE1208"/>
    <w:rsid w:val="00FE129B"/>
    <w:rsid w:val="00FE12C2"/>
    <w:rsid w:val="00FE142B"/>
    <w:rsid w:val="00FE153F"/>
    <w:rsid w:val="00FE16F8"/>
    <w:rsid w:val="00FE1A3B"/>
    <w:rsid w:val="00FE1BBF"/>
    <w:rsid w:val="00FE1BC7"/>
    <w:rsid w:val="00FE1BCD"/>
    <w:rsid w:val="00FE1BE6"/>
    <w:rsid w:val="00FE1CDC"/>
    <w:rsid w:val="00FE1D7C"/>
    <w:rsid w:val="00FE1DC8"/>
    <w:rsid w:val="00FE1E45"/>
    <w:rsid w:val="00FE1EC0"/>
    <w:rsid w:val="00FE2029"/>
    <w:rsid w:val="00FE20DC"/>
    <w:rsid w:val="00FE234F"/>
    <w:rsid w:val="00FE24DE"/>
    <w:rsid w:val="00FE2515"/>
    <w:rsid w:val="00FE25AC"/>
    <w:rsid w:val="00FE27B4"/>
    <w:rsid w:val="00FE27E3"/>
    <w:rsid w:val="00FE2B52"/>
    <w:rsid w:val="00FE2D27"/>
    <w:rsid w:val="00FE2E35"/>
    <w:rsid w:val="00FE2F14"/>
    <w:rsid w:val="00FE2FD2"/>
    <w:rsid w:val="00FE3020"/>
    <w:rsid w:val="00FE3092"/>
    <w:rsid w:val="00FE322D"/>
    <w:rsid w:val="00FE3278"/>
    <w:rsid w:val="00FE3379"/>
    <w:rsid w:val="00FE338D"/>
    <w:rsid w:val="00FE3524"/>
    <w:rsid w:val="00FE3658"/>
    <w:rsid w:val="00FE3BF0"/>
    <w:rsid w:val="00FE3D17"/>
    <w:rsid w:val="00FE3DBE"/>
    <w:rsid w:val="00FE3DF3"/>
    <w:rsid w:val="00FE3E2C"/>
    <w:rsid w:val="00FE4002"/>
    <w:rsid w:val="00FE40A5"/>
    <w:rsid w:val="00FE44CA"/>
    <w:rsid w:val="00FE47B0"/>
    <w:rsid w:val="00FE47C2"/>
    <w:rsid w:val="00FE48A6"/>
    <w:rsid w:val="00FE4AC0"/>
    <w:rsid w:val="00FE4B0E"/>
    <w:rsid w:val="00FE4E0C"/>
    <w:rsid w:val="00FE4E24"/>
    <w:rsid w:val="00FE5225"/>
    <w:rsid w:val="00FE56B2"/>
    <w:rsid w:val="00FE579F"/>
    <w:rsid w:val="00FE5847"/>
    <w:rsid w:val="00FE5865"/>
    <w:rsid w:val="00FE5A7C"/>
    <w:rsid w:val="00FE5AF7"/>
    <w:rsid w:val="00FE5BB9"/>
    <w:rsid w:val="00FE5C64"/>
    <w:rsid w:val="00FE5E96"/>
    <w:rsid w:val="00FE5EA0"/>
    <w:rsid w:val="00FE5F5D"/>
    <w:rsid w:val="00FE60CA"/>
    <w:rsid w:val="00FE637F"/>
    <w:rsid w:val="00FE63D4"/>
    <w:rsid w:val="00FE640B"/>
    <w:rsid w:val="00FE6501"/>
    <w:rsid w:val="00FE6603"/>
    <w:rsid w:val="00FE6B0A"/>
    <w:rsid w:val="00FE6B2F"/>
    <w:rsid w:val="00FE6BDC"/>
    <w:rsid w:val="00FE6DAF"/>
    <w:rsid w:val="00FE6DB7"/>
    <w:rsid w:val="00FE6E44"/>
    <w:rsid w:val="00FE708E"/>
    <w:rsid w:val="00FE70C3"/>
    <w:rsid w:val="00FE71BD"/>
    <w:rsid w:val="00FE73F1"/>
    <w:rsid w:val="00FE74CD"/>
    <w:rsid w:val="00FE7AB4"/>
    <w:rsid w:val="00FE7ADF"/>
    <w:rsid w:val="00FE7DBD"/>
    <w:rsid w:val="00FE7DFF"/>
    <w:rsid w:val="00FE7E09"/>
    <w:rsid w:val="00FF0032"/>
    <w:rsid w:val="00FF0157"/>
    <w:rsid w:val="00FF01F2"/>
    <w:rsid w:val="00FF0284"/>
    <w:rsid w:val="00FF03A9"/>
    <w:rsid w:val="00FF0473"/>
    <w:rsid w:val="00FF07F1"/>
    <w:rsid w:val="00FF08D0"/>
    <w:rsid w:val="00FF08EE"/>
    <w:rsid w:val="00FF0930"/>
    <w:rsid w:val="00FF0BA0"/>
    <w:rsid w:val="00FF0C14"/>
    <w:rsid w:val="00FF0DCB"/>
    <w:rsid w:val="00FF1036"/>
    <w:rsid w:val="00FF12E5"/>
    <w:rsid w:val="00FF1401"/>
    <w:rsid w:val="00FF14B8"/>
    <w:rsid w:val="00FF14FC"/>
    <w:rsid w:val="00FF1600"/>
    <w:rsid w:val="00FF188F"/>
    <w:rsid w:val="00FF18C8"/>
    <w:rsid w:val="00FF18D4"/>
    <w:rsid w:val="00FF1910"/>
    <w:rsid w:val="00FF1A8B"/>
    <w:rsid w:val="00FF1B44"/>
    <w:rsid w:val="00FF1C16"/>
    <w:rsid w:val="00FF1C72"/>
    <w:rsid w:val="00FF1CA7"/>
    <w:rsid w:val="00FF1DD3"/>
    <w:rsid w:val="00FF210D"/>
    <w:rsid w:val="00FF2245"/>
    <w:rsid w:val="00FF2407"/>
    <w:rsid w:val="00FF2652"/>
    <w:rsid w:val="00FF2659"/>
    <w:rsid w:val="00FF295B"/>
    <w:rsid w:val="00FF2A3D"/>
    <w:rsid w:val="00FF2AD9"/>
    <w:rsid w:val="00FF2F58"/>
    <w:rsid w:val="00FF2FC7"/>
    <w:rsid w:val="00FF3023"/>
    <w:rsid w:val="00FF3028"/>
    <w:rsid w:val="00FF32D7"/>
    <w:rsid w:val="00FF340F"/>
    <w:rsid w:val="00FF352C"/>
    <w:rsid w:val="00FF359F"/>
    <w:rsid w:val="00FF3619"/>
    <w:rsid w:val="00FF37C0"/>
    <w:rsid w:val="00FF397B"/>
    <w:rsid w:val="00FF3BC7"/>
    <w:rsid w:val="00FF3C1B"/>
    <w:rsid w:val="00FF3DCF"/>
    <w:rsid w:val="00FF3F74"/>
    <w:rsid w:val="00FF421B"/>
    <w:rsid w:val="00FF43B1"/>
    <w:rsid w:val="00FF4425"/>
    <w:rsid w:val="00FF453B"/>
    <w:rsid w:val="00FF45DB"/>
    <w:rsid w:val="00FF492C"/>
    <w:rsid w:val="00FF4A21"/>
    <w:rsid w:val="00FF4DC2"/>
    <w:rsid w:val="00FF4E62"/>
    <w:rsid w:val="00FF5050"/>
    <w:rsid w:val="00FF51CB"/>
    <w:rsid w:val="00FF52EE"/>
    <w:rsid w:val="00FF5364"/>
    <w:rsid w:val="00FF541F"/>
    <w:rsid w:val="00FF544D"/>
    <w:rsid w:val="00FF569E"/>
    <w:rsid w:val="00FF56D5"/>
    <w:rsid w:val="00FF5911"/>
    <w:rsid w:val="00FF596C"/>
    <w:rsid w:val="00FF59DF"/>
    <w:rsid w:val="00FF5AA3"/>
    <w:rsid w:val="00FF5AD8"/>
    <w:rsid w:val="00FF5E23"/>
    <w:rsid w:val="00FF6052"/>
    <w:rsid w:val="00FF612B"/>
    <w:rsid w:val="00FF679A"/>
    <w:rsid w:val="00FF6877"/>
    <w:rsid w:val="00FF6982"/>
    <w:rsid w:val="00FF6A83"/>
    <w:rsid w:val="00FF6B2B"/>
    <w:rsid w:val="00FF6BAF"/>
    <w:rsid w:val="00FF6C6D"/>
    <w:rsid w:val="00FF6D1A"/>
    <w:rsid w:val="00FF6F2C"/>
    <w:rsid w:val="00FF729B"/>
    <w:rsid w:val="00FF72EC"/>
    <w:rsid w:val="00FF7421"/>
    <w:rsid w:val="00FF74CD"/>
    <w:rsid w:val="00FF74D8"/>
    <w:rsid w:val="00FF7527"/>
    <w:rsid w:val="00FF77C8"/>
    <w:rsid w:val="00FF77EF"/>
    <w:rsid w:val="00FF77F6"/>
    <w:rsid w:val="00FF785F"/>
    <w:rsid w:val="00FF7C23"/>
    <w:rsid w:val="00FF7C48"/>
    <w:rsid w:val="00FF7DFF"/>
    <w:rsid w:val="02A6AE96"/>
    <w:rsid w:val="041E97CB"/>
    <w:rsid w:val="06EF5C27"/>
    <w:rsid w:val="087BEA01"/>
    <w:rsid w:val="0BA9DC09"/>
    <w:rsid w:val="0BD923D0"/>
    <w:rsid w:val="0C37F700"/>
    <w:rsid w:val="0D453274"/>
    <w:rsid w:val="1040FD1D"/>
    <w:rsid w:val="110C19F7"/>
    <w:rsid w:val="11A8F61C"/>
    <w:rsid w:val="13907F48"/>
    <w:rsid w:val="15782390"/>
    <w:rsid w:val="15BFAA3D"/>
    <w:rsid w:val="160C2D0D"/>
    <w:rsid w:val="17900FDC"/>
    <w:rsid w:val="1794FB44"/>
    <w:rsid w:val="1D416E5A"/>
    <w:rsid w:val="1FEC60D0"/>
    <w:rsid w:val="22198150"/>
    <w:rsid w:val="2450CF33"/>
    <w:rsid w:val="246070E1"/>
    <w:rsid w:val="28C8E414"/>
    <w:rsid w:val="2C85EB1F"/>
    <w:rsid w:val="2D3A6A61"/>
    <w:rsid w:val="2FC7E8FA"/>
    <w:rsid w:val="32A4F79D"/>
    <w:rsid w:val="34D8346B"/>
    <w:rsid w:val="36148450"/>
    <w:rsid w:val="36290E8D"/>
    <w:rsid w:val="37494490"/>
    <w:rsid w:val="37D74F6E"/>
    <w:rsid w:val="382CCBE9"/>
    <w:rsid w:val="39545515"/>
    <w:rsid w:val="396396C0"/>
    <w:rsid w:val="3A4B6211"/>
    <w:rsid w:val="3A58ACDF"/>
    <w:rsid w:val="3B6C5578"/>
    <w:rsid w:val="3C6ABFAB"/>
    <w:rsid w:val="3C84C8C9"/>
    <w:rsid w:val="3CCB6A47"/>
    <w:rsid w:val="3DCDDA80"/>
    <w:rsid w:val="3E74B4FA"/>
    <w:rsid w:val="3F6F4DDD"/>
    <w:rsid w:val="3F8AD98C"/>
    <w:rsid w:val="406E17B0"/>
    <w:rsid w:val="40995E3C"/>
    <w:rsid w:val="42721454"/>
    <w:rsid w:val="42E9D060"/>
    <w:rsid w:val="4542B2C0"/>
    <w:rsid w:val="45F285FC"/>
    <w:rsid w:val="4671A15C"/>
    <w:rsid w:val="4680E62E"/>
    <w:rsid w:val="46B8F8FA"/>
    <w:rsid w:val="4790FE69"/>
    <w:rsid w:val="48B1340B"/>
    <w:rsid w:val="4C544CA8"/>
    <w:rsid w:val="4D2ECE16"/>
    <w:rsid w:val="4E46A1DA"/>
    <w:rsid w:val="4FAE1401"/>
    <w:rsid w:val="4FF47E49"/>
    <w:rsid w:val="50441B12"/>
    <w:rsid w:val="528468B5"/>
    <w:rsid w:val="52E8935D"/>
    <w:rsid w:val="5410C496"/>
    <w:rsid w:val="54DD2BF1"/>
    <w:rsid w:val="5518108E"/>
    <w:rsid w:val="55A4CCF8"/>
    <w:rsid w:val="55F4D20C"/>
    <w:rsid w:val="5A9356D3"/>
    <w:rsid w:val="5B1853A3"/>
    <w:rsid w:val="5B50B88E"/>
    <w:rsid w:val="5CEA1A13"/>
    <w:rsid w:val="5D027BA9"/>
    <w:rsid w:val="5D0D31D0"/>
    <w:rsid w:val="5E1EB2DC"/>
    <w:rsid w:val="5E52F8D9"/>
    <w:rsid w:val="60BA9595"/>
    <w:rsid w:val="6330C880"/>
    <w:rsid w:val="658BDFB2"/>
    <w:rsid w:val="66DDE8C2"/>
    <w:rsid w:val="67D68006"/>
    <w:rsid w:val="684D243C"/>
    <w:rsid w:val="6A04776F"/>
    <w:rsid w:val="6D6AEC61"/>
    <w:rsid w:val="6E13A658"/>
    <w:rsid w:val="6F04C117"/>
    <w:rsid w:val="6F43945D"/>
    <w:rsid w:val="72BEAA09"/>
    <w:rsid w:val="7552EAF2"/>
    <w:rsid w:val="75B3B382"/>
    <w:rsid w:val="78856A4B"/>
    <w:rsid w:val="7890B8CC"/>
    <w:rsid w:val="78990994"/>
    <w:rsid w:val="7A37F2A4"/>
    <w:rsid w:val="7A817AC6"/>
    <w:rsid w:val="7BDAB6FC"/>
    <w:rsid w:val="7C41971E"/>
    <w:rsid w:val="7C633FD7"/>
    <w:rsid w:val="7E22185E"/>
    <w:rsid w:val="7F28759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40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iPriority="7"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0643"/>
    <w:pPr>
      <w:jc w:val="both"/>
    </w:pPr>
    <w:rPr>
      <w:rFonts w:ascii="Calibri" w:hAnsi="Calibri" w:cs="Arial"/>
      <w:sz w:val="24"/>
      <w:szCs w:val="24"/>
    </w:rPr>
  </w:style>
  <w:style w:type="paragraph" w:styleId="Heading1">
    <w:name w:val="heading 1"/>
    <w:basedOn w:val="Normal"/>
    <w:next w:val="Normal"/>
    <w:link w:val="Heading1Char"/>
    <w:uiPriority w:val="1"/>
    <w:qFormat/>
    <w:rsid w:val="001B204E"/>
    <w:pPr>
      <w:ind w:left="720" w:hanging="720"/>
      <w:outlineLvl w:val="0"/>
    </w:pPr>
    <w:rPr>
      <w:b/>
      <w:caps/>
      <w:sz w:val="32"/>
    </w:rPr>
  </w:style>
  <w:style w:type="paragraph" w:styleId="Heading2">
    <w:name w:val="heading 2"/>
    <w:basedOn w:val="Normal"/>
    <w:next w:val="Normal"/>
    <w:link w:val="Heading2Char"/>
    <w:qFormat/>
    <w:rsid w:val="001B204E"/>
    <w:pPr>
      <w:outlineLvl w:val="1"/>
    </w:pPr>
    <w:rPr>
      <w:b/>
      <w:i/>
      <w:sz w:val="28"/>
    </w:rPr>
  </w:style>
  <w:style w:type="paragraph" w:styleId="Heading3">
    <w:name w:val="heading 3"/>
    <w:basedOn w:val="Normal"/>
    <w:next w:val="Normal"/>
    <w:link w:val="Heading3Char"/>
    <w:qFormat/>
    <w:rsid w:val="001F7361"/>
    <w:pPr>
      <w:outlineLvl w:val="2"/>
    </w:pPr>
    <w:rPr>
      <w:u w:val="single"/>
    </w:rPr>
  </w:style>
  <w:style w:type="paragraph" w:styleId="Heading4">
    <w:name w:val="heading 4"/>
    <w:basedOn w:val="Normal"/>
    <w:next w:val="Normal"/>
    <w:link w:val="Heading4Char"/>
    <w:qFormat/>
    <w:rsid w:val="00124A51"/>
    <w:pPr>
      <w:keepNext/>
      <w:spacing w:before="240" w:after="60"/>
      <w:outlineLvl w:val="3"/>
    </w:pPr>
    <w:rPr>
      <w:b/>
      <w:bCs/>
      <w:i/>
      <w:sz w:val="26"/>
      <w:szCs w:val="28"/>
    </w:rPr>
  </w:style>
  <w:style w:type="paragraph" w:styleId="Heading5">
    <w:name w:val="heading 5"/>
    <w:basedOn w:val="Normal"/>
    <w:next w:val="Normal"/>
    <w:link w:val="Heading5Char"/>
    <w:qFormat/>
    <w:rsid w:val="00124A51"/>
    <w:pPr>
      <w:spacing w:before="240" w:after="60"/>
      <w:outlineLvl w:val="4"/>
    </w:pPr>
    <w:rPr>
      <w:b/>
      <w:bCs/>
      <w:iCs/>
      <w:sz w:val="26"/>
      <w:szCs w:val="26"/>
    </w:rPr>
  </w:style>
  <w:style w:type="paragraph" w:styleId="Heading6">
    <w:name w:val="heading 6"/>
    <w:basedOn w:val="Normal"/>
    <w:next w:val="Normal"/>
    <w:link w:val="Heading6Char"/>
    <w:qFormat/>
    <w:rsid w:val="00124A51"/>
    <w:pPr>
      <w:spacing w:before="240" w:after="60"/>
      <w:outlineLvl w:val="5"/>
    </w:pPr>
    <w:rPr>
      <w:b/>
      <w:bCs/>
      <w:i/>
    </w:rPr>
  </w:style>
  <w:style w:type="paragraph" w:styleId="Heading7">
    <w:name w:val="heading 7"/>
    <w:basedOn w:val="Normal"/>
    <w:next w:val="Normal"/>
    <w:link w:val="Heading7Char"/>
    <w:qFormat/>
    <w:rsid w:val="00124A51"/>
    <w:pPr>
      <w:keepNext/>
      <w:jc w:val="center"/>
      <w:outlineLvl w:val="6"/>
    </w:pPr>
    <w:rPr>
      <w:b/>
      <w:sz w:val="20"/>
    </w:rPr>
  </w:style>
  <w:style w:type="paragraph" w:styleId="Heading8">
    <w:name w:val="heading 8"/>
    <w:basedOn w:val="Normal"/>
    <w:next w:val="Normal"/>
    <w:link w:val="Heading8Char"/>
    <w:uiPriority w:val="7"/>
    <w:qFormat/>
    <w:rsid w:val="00124A51"/>
    <w:pPr>
      <w:keepNext/>
      <w:jc w:val="right"/>
      <w:outlineLvl w:val="7"/>
    </w:pPr>
    <w:rPr>
      <w:b/>
    </w:rPr>
  </w:style>
  <w:style w:type="paragraph" w:styleId="Heading9">
    <w:name w:val="heading 9"/>
    <w:basedOn w:val="Normal"/>
    <w:next w:val="Normal"/>
    <w:link w:val="Heading9Char"/>
    <w:qFormat/>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qFormat/>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link w:val="TableHeaderChar"/>
    <w:uiPriority w:val="4"/>
    <w:qFormat/>
    <w:rsid w:val="000D1BFC"/>
    <w:rPr>
      <w:b/>
      <w:sz w:val="20"/>
    </w:rPr>
  </w:style>
  <w:style w:type="paragraph" w:styleId="Caption">
    <w:name w:val="caption"/>
    <w:aliases w:val="Table and Figure Name,MtA Caption,~Caption,Char,- H17,Caption 3,TableCaption,Table caption,Caption Char1,Caption Char Char,Char Char Char,Char1,c,appendix,CSR Caption,Ref,Caption Char2 Char,Caption Char2 Char Char,Caption Char2 Char Char Char,Ch"/>
    <w:basedOn w:val="Normal"/>
    <w:next w:val="Normal"/>
    <w:link w:val="CaptionChar"/>
    <w:unhideWhenUsed/>
    <w:qFormat/>
    <w:rsid w:val="00E16AD8"/>
    <w:pPr>
      <w:keepNext/>
      <w:keepLines/>
    </w:pPr>
    <w:rPr>
      <w:rFonts w:ascii="Arial Narrow" w:hAnsi="Arial Narrow"/>
      <w:b/>
      <w:bCs/>
      <w:sz w:val="20"/>
      <w:szCs w:val="18"/>
    </w:rPr>
  </w:style>
  <w:style w:type="character" w:customStyle="1" w:styleId="CaptionChar">
    <w:name w:val="Caption Char"/>
    <w:aliases w:val="Table and Figure Name Char,MtA Caption Char,~Caption Char,Char Char,- H17 Char,Caption 3 Char,TableCaption Char,Table caption Char,Caption Char1 Char,Caption Char Char Char,Char Char Char Char,Char1 Char,c Char,appendix Char,Ref Char"/>
    <w:link w:val="Caption"/>
    <w:qFormat/>
    <w:rsid w:val="00E16AD8"/>
    <w:rPr>
      <w:rFonts w:ascii="Arial Narrow" w:hAnsi="Arial Narrow" w:cs="Arial"/>
      <w:b/>
      <w:bCs/>
      <w:szCs w:val="18"/>
    </w:rPr>
  </w:style>
  <w:style w:type="paragraph" w:styleId="Title">
    <w:name w:val="Title"/>
    <w:basedOn w:val="Normal"/>
    <w:next w:val="Normal"/>
    <w:link w:val="TitleChar"/>
    <w:qFormat/>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Bullet List,Summary Bullets,Footer Setting,FooterText,numbered,Paragraphe de liste1,列出段落,列出段落1,リスト段落1"/>
    <w:link w:val="ListParagraphChar"/>
    <w:uiPriority w:val="34"/>
    <w:qFormat/>
    <w:rsid w:val="004C3B02"/>
    <w:pPr>
      <w:numPr>
        <w:numId w:val="5"/>
      </w:numPr>
      <w:spacing w:after="120"/>
    </w:pPr>
    <w:rPr>
      <w:rFonts w:asciiTheme="minorHAnsi" w:hAnsiTheme="minorHAnsi" w:cs="Arial"/>
      <w:snapToGrid w:val="0"/>
      <w:sz w:val="24"/>
      <w:szCs w:val="24"/>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Bullet List Char,Summary Bullets Char,numbered Char"/>
    <w:basedOn w:val="DefaultParagraphFont"/>
    <w:link w:val="ListParagraph"/>
    <w:uiPriority w:val="34"/>
    <w:qFormat/>
    <w:locked/>
    <w:rsid w:val="004C3B02"/>
    <w:rPr>
      <w:rFonts w:asciiTheme="minorHAnsi" w:hAnsiTheme="minorHAnsi" w:cs="Arial"/>
      <w:snapToGrid w:val="0"/>
      <w:sz w:val="24"/>
      <w:szCs w:val="24"/>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qFormat/>
    <w:rsid w:val="004C3B02"/>
    <w:pPr>
      <w:keepNext/>
      <w:tabs>
        <w:tab w:val="center" w:pos="4513"/>
        <w:tab w:val="right" w:pos="9026"/>
      </w:tabs>
      <w:jc w:val="center"/>
    </w:pPr>
    <w:rPr>
      <w:i/>
      <w:iCs/>
    </w:rPr>
  </w:style>
  <w:style w:type="character" w:customStyle="1" w:styleId="HeaderChar">
    <w:name w:val="Header Char"/>
    <w:aliases w:val="Page Header Char,Header title Char,he=header Char,cntr/bld Char"/>
    <w:basedOn w:val="DefaultParagraphFont"/>
    <w:link w:val="Header"/>
    <w:rsid w:val="004C3B02"/>
    <w:rPr>
      <w:rFonts w:ascii="Calibri" w:hAnsi="Calibri" w:cs="Arial"/>
      <w:i/>
      <w:iCs/>
      <w:sz w:val="24"/>
      <w:szCs w:val="24"/>
    </w:rPr>
  </w:style>
  <w:style w:type="paragraph" w:styleId="Footer">
    <w:name w:val="footer"/>
    <w:basedOn w:val="Normal"/>
    <w:link w:val="FooterChar"/>
    <w:uiPriority w:val="99"/>
    <w:qFormat/>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ASD Table,RTI AMCP Table,new style,MSD Table Grid,PBAC table,Conclusion box,Table Grid nm,Tabellengitternetz 9pt,HTAtableplain,Dossier table,Section 3- footnotes,Summary Table,Header Table"/>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H18,Table HEADER PBAC"/>
    <w:uiPriority w:val="99"/>
    <w:qFormat/>
    <w:rsid w:val="001E30D4"/>
    <w:rPr>
      <w:rFonts w:ascii="Arial Narrow" w:hAnsi="Arial Narrow"/>
      <w:b/>
      <w:sz w:val="20"/>
      <w:szCs w:val="16"/>
    </w:rPr>
  </w:style>
  <w:style w:type="paragraph" w:customStyle="1" w:styleId="Tabletext">
    <w:name w:val="Table text"/>
    <w:basedOn w:val="Normal"/>
    <w:link w:val="TabletextChar"/>
    <w:uiPriority w:val="2"/>
    <w:qFormat/>
    <w:rsid w:val="00A518F3"/>
    <w:pPr>
      <w:jc w:val="left"/>
    </w:pPr>
    <w:rPr>
      <w:rFonts w:ascii="Arial Narrow" w:hAnsi="Arial Narrow" w:cs="Times New Roman"/>
      <w:snapToGrid w:val="0"/>
      <w:sz w:val="20"/>
    </w:rPr>
  </w:style>
  <w:style w:type="character" w:customStyle="1" w:styleId="TabletextChar">
    <w:name w:val="Table text Char"/>
    <w:link w:val="Tabletext"/>
    <w:uiPriority w:val="2"/>
    <w:rsid w:val="00A518F3"/>
    <w:rPr>
      <w:rFonts w:ascii="Arial Narrow" w:hAnsi="Arial Narrow"/>
      <w:lang w:eastAsia="en-US"/>
    </w:rPr>
  </w:style>
  <w:style w:type="paragraph" w:customStyle="1" w:styleId="TableHeading">
    <w:name w:val="TableHeading"/>
    <w:basedOn w:val="Normal"/>
    <w:link w:val="TableHeadingChar"/>
    <w:qFormat/>
    <w:rsid w:val="00A56B6A"/>
    <w:pPr>
      <w:keepNext/>
      <w:spacing w:before="40" w:after="40"/>
      <w:jc w:val="left"/>
    </w:pPr>
    <w:rPr>
      <w:rFonts w:ascii="Arial Narrow" w:hAnsi="Arial Narrow" w:cs="Arial Narrow"/>
      <w:b/>
      <w:bCs/>
      <w:snapToGrid w:val="0"/>
      <w:sz w:val="20"/>
    </w:rPr>
  </w:style>
  <w:style w:type="paragraph" w:customStyle="1" w:styleId="Corpsdetextemarge">
    <w:name w:val="Corps de texte marge"/>
    <w:basedOn w:val="BodyText"/>
    <w:uiPriority w:val="99"/>
    <w:rsid w:val="008F48EB"/>
    <w:pPr>
      <w:jc w:val="both"/>
    </w:pPr>
    <w:rPr>
      <w:rFonts w:ascii="Times" w:hAnsi="Times" w:cs="Times New Roman"/>
      <w:snapToGrid w:val="0"/>
      <w:lang w:val="en-US"/>
    </w:rPr>
  </w:style>
  <w:style w:type="paragraph" w:styleId="NormalWeb">
    <w:name w:val="Normal (Web)"/>
    <w:basedOn w:val="Normal"/>
    <w:uiPriority w:val="99"/>
    <w:rsid w:val="008F48EB"/>
    <w:pPr>
      <w:spacing w:before="100" w:after="100"/>
      <w:jc w:val="left"/>
    </w:pPr>
    <w:rPr>
      <w:rFonts w:ascii="Times New Roman" w:hAnsi="Times New Roman" w:cs="Times New Roman"/>
      <w:snapToGrid w:val="0"/>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5618D4"/>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uiPriority w:val="39"/>
    <w:rsid w:val="00D0262E"/>
    <w:pPr>
      <w:ind w:left="660"/>
      <w:jc w:val="left"/>
    </w:pPr>
    <w:rPr>
      <w:rFonts w:asciiTheme="minorHAnsi" w:hAnsiTheme="minorHAnsi"/>
      <w:sz w:val="20"/>
    </w:rPr>
  </w:style>
  <w:style w:type="paragraph" w:styleId="TOC5">
    <w:name w:val="toc 5"/>
    <w:basedOn w:val="Normal"/>
    <w:next w:val="Normal"/>
    <w:autoRedefine/>
    <w:uiPriority w:val="39"/>
    <w:rsid w:val="00D0262E"/>
    <w:pPr>
      <w:ind w:left="880"/>
      <w:jc w:val="left"/>
    </w:pPr>
    <w:rPr>
      <w:rFonts w:asciiTheme="minorHAnsi" w:hAnsiTheme="minorHAnsi"/>
      <w:sz w:val="20"/>
    </w:rPr>
  </w:style>
  <w:style w:type="paragraph" w:styleId="TOC6">
    <w:name w:val="toc 6"/>
    <w:basedOn w:val="Normal"/>
    <w:next w:val="Normal"/>
    <w:autoRedefine/>
    <w:uiPriority w:val="39"/>
    <w:rsid w:val="00D0262E"/>
    <w:pPr>
      <w:ind w:left="1100"/>
      <w:jc w:val="left"/>
    </w:pPr>
    <w:rPr>
      <w:rFonts w:asciiTheme="minorHAnsi" w:hAnsiTheme="minorHAnsi"/>
      <w:sz w:val="20"/>
    </w:rPr>
  </w:style>
  <w:style w:type="paragraph" w:styleId="TOC7">
    <w:name w:val="toc 7"/>
    <w:basedOn w:val="Normal"/>
    <w:next w:val="Normal"/>
    <w:autoRedefine/>
    <w:uiPriority w:val="39"/>
    <w:rsid w:val="00D0262E"/>
    <w:pPr>
      <w:ind w:left="1320"/>
      <w:jc w:val="left"/>
    </w:pPr>
    <w:rPr>
      <w:rFonts w:asciiTheme="minorHAnsi" w:hAnsiTheme="minorHAnsi"/>
      <w:sz w:val="20"/>
    </w:rPr>
  </w:style>
  <w:style w:type="paragraph" w:styleId="TOC8">
    <w:name w:val="toc 8"/>
    <w:basedOn w:val="Normal"/>
    <w:next w:val="Normal"/>
    <w:autoRedefine/>
    <w:uiPriority w:val="39"/>
    <w:rsid w:val="00D0262E"/>
    <w:pPr>
      <w:ind w:left="1540"/>
      <w:jc w:val="left"/>
    </w:pPr>
    <w:rPr>
      <w:rFonts w:asciiTheme="minorHAnsi" w:hAnsiTheme="minorHAnsi"/>
      <w:sz w:val="20"/>
    </w:rPr>
  </w:style>
  <w:style w:type="paragraph" w:styleId="TOC9">
    <w:name w:val="toc 9"/>
    <w:basedOn w:val="Normal"/>
    <w:next w:val="Normal"/>
    <w:autoRedefine/>
    <w:uiPriority w:val="39"/>
    <w:rsid w:val="00D0262E"/>
    <w:pPr>
      <w:ind w:left="1760"/>
      <w:jc w:val="left"/>
    </w:pPr>
    <w:rPr>
      <w:rFonts w:asciiTheme="minorHAnsi" w:hAnsiTheme="minorHAnsi"/>
      <w:sz w:val="20"/>
    </w:rPr>
  </w:style>
  <w:style w:type="paragraph" w:styleId="CommentText">
    <w:name w:val="annotation text"/>
    <w:aliases w:val=" Char7,Char7,Car17 Car Car,Car17 Car,Car17,Char13,Char2,Comment Text Char1 Char,Comment Text Char Char Char,Annotationtext,Comment Text Char2 Char,Comment Text Char Char1 Char,Comment Text Char Char, Char1,- H19"/>
    <w:basedOn w:val="Normal"/>
    <w:link w:val="CommentTextChar"/>
    <w:qFormat/>
    <w:rsid w:val="00FD2100"/>
    <w:rPr>
      <w:rFonts w:ascii="Times New Roman" w:hAnsi="Times New Roman" w:cs="Times New Roman"/>
      <w:sz w:val="20"/>
    </w:rPr>
  </w:style>
  <w:style w:type="character" w:customStyle="1" w:styleId="CommentTextChar">
    <w:name w:val="Comment Text Char"/>
    <w:aliases w:val=" Char7 Char,Char7 Char,Car17 Car Car Char,Car17 Car Char,Car17 Char,Char13 Char,Char2 Char,Comment Text Char1 Char Char,Comment Text Char Char Char Char,Annotationtext Char,Comment Text Char2 Char Char,Comment Text Char Char1 Char Char"/>
    <w:basedOn w:val="DefaultParagraphFont"/>
    <w:link w:val="CommentText"/>
    <w:rsid w:val="00FD2100"/>
    <w:rPr>
      <w:snapToGrid w:val="0"/>
      <w:lang w:eastAsia="en-US"/>
    </w:rPr>
  </w:style>
  <w:style w:type="paragraph" w:customStyle="1" w:styleId="Bulletpoints">
    <w:name w:val="Bullet points"/>
    <w:basedOn w:val="ListParagraph"/>
    <w:rsid w:val="00B70E8E"/>
    <w:pPr>
      <w:numPr>
        <w:numId w:val="1"/>
      </w:numPr>
      <w:contextualSpacing/>
    </w:pPr>
  </w:style>
  <w:style w:type="paragraph" w:customStyle="1" w:styleId="TableName">
    <w:name w:val="TableName"/>
    <w:basedOn w:val="Normal"/>
    <w:rsid w:val="00CA7B09"/>
    <w:pPr>
      <w:keepNext/>
      <w:spacing w:before="120" w:after="120"/>
      <w:ind w:left="1800" w:hanging="1080"/>
      <w:jc w:val="left"/>
    </w:pPr>
    <w:rPr>
      <w:rFonts w:ascii="Arial Narrow" w:hAnsi="Arial Narrow" w:cs="Arial Narrow"/>
      <w:b/>
      <w:bCs/>
      <w:snapToGrid w:val="0"/>
    </w:rPr>
  </w:style>
  <w:style w:type="paragraph" w:customStyle="1" w:styleId="TableNotes18">
    <w:name w:val="TableNotes+18"/>
    <w:basedOn w:val="Normal"/>
    <w:rsid w:val="002C5099"/>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spacing w:after="160" w:line="240" w:lineRule="exact"/>
      <w:jc w:val="left"/>
    </w:pPr>
    <w:rPr>
      <w:rFonts w:ascii="Verdana" w:eastAsia="MS Mincho" w:hAnsi="Verdana" w:cs="Verdana"/>
      <w:snapToGrid w:val="0"/>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rPr>
      <w:rFonts w:ascii="Times New Roman" w:hAnsi="Times New Roman" w:cs="Times New Roman"/>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rsid w:val="003C5542"/>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rsid w:val="00B53654"/>
    <w:rPr>
      <w:i/>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0">
    <w:name w:val="Table Text"/>
    <w:link w:val="TableTextChar0"/>
    <w:qFormat/>
    <w:rsid w:val="00A54A8A"/>
    <w:pPr>
      <w:keepLines/>
      <w:jc w:val="center"/>
    </w:pPr>
    <w:rPr>
      <w:rFonts w:ascii="Arial Narrow" w:eastAsiaTheme="majorEastAsia" w:hAnsi="Arial Narrow" w:cstheme="majorBidi"/>
      <w:szCs w:val="24"/>
    </w:rPr>
  </w:style>
  <w:style w:type="paragraph" w:customStyle="1" w:styleId="V50Tablename">
    <w:name w:val="V5.0 Table name"/>
    <w:basedOn w:val="Normal"/>
    <w:link w:val="V50TablenameChar"/>
    <w:rsid w:val="001A178E"/>
    <w:pPr>
      <w:keepNext/>
      <w:jc w:val="lef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1A178E"/>
    <w:rPr>
      <w:rFonts w:asciiTheme="minorHAnsi" w:eastAsiaTheme="minorHAnsi" w:hAnsiTheme="minorHAnsi" w:cstheme="minorBidi"/>
      <w:b/>
      <w:szCs w:val="24"/>
      <w:lang w:val="en-US" w:eastAsia="en-US"/>
    </w:rPr>
  </w:style>
  <w:style w:type="paragraph" w:customStyle="1" w:styleId="GeneralHeading">
    <w:name w:val="General Heading"/>
    <w:qFormat/>
    <w:rsid w:val="004C3B02"/>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12051A"/>
    <w:pPr>
      <w:keepNext/>
      <w:keepLines/>
    </w:pPr>
    <w:rPr>
      <w:rFonts w:ascii="Arial Narrow" w:eastAsiaTheme="majorEastAsia" w:hAnsi="Arial Narrow"/>
      <w:b/>
    </w:rPr>
  </w:style>
  <w:style w:type="paragraph" w:customStyle="1" w:styleId="2-SectionHeading">
    <w:name w:val="2-Section Heading"/>
    <w:next w:val="3-BodyText"/>
    <w:qFormat/>
    <w:rsid w:val="004C3B02"/>
    <w:pPr>
      <w:keepNext/>
      <w:numPr>
        <w:numId w:val="6"/>
      </w:numPr>
      <w:spacing w:before="240" w:after="120"/>
      <w:outlineLvl w:val="0"/>
    </w:pPr>
    <w:rPr>
      <w:rFonts w:asciiTheme="minorHAnsi" w:hAnsiTheme="minorHAnsi" w:cs="Arial"/>
      <w:b/>
      <w:snapToGrid w:val="0"/>
      <w:sz w:val="32"/>
      <w:szCs w:val="32"/>
    </w:rPr>
  </w:style>
  <w:style w:type="paragraph" w:customStyle="1" w:styleId="1-MainHeading">
    <w:name w:val="1-Main Heading"/>
    <w:next w:val="2-SectionHeading"/>
    <w:link w:val="1-MainHeadingChar"/>
    <w:qFormat/>
    <w:rsid w:val="004C3B02"/>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4C3B02"/>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4C3B02"/>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4C3B02"/>
    <w:rPr>
      <w:rFonts w:ascii="Arial Narrow" w:eastAsiaTheme="majorEastAsia" w:hAnsi="Arial Narrow" w:cstheme="majorBidi"/>
      <w:b/>
      <w:bCs/>
      <w:szCs w:val="24"/>
    </w:rPr>
  </w:style>
  <w:style w:type="paragraph" w:customStyle="1" w:styleId="3-BodyText">
    <w:name w:val="3-Body Text"/>
    <w:link w:val="3-BodyTextChar"/>
    <w:qFormat/>
    <w:rsid w:val="00F749E8"/>
    <w:pPr>
      <w:numPr>
        <w:ilvl w:val="1"/>
        <w:numId w:val="18"/>
      </w:numPr>
      <w:spacing w:before="60" w:after="1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F749E8"/>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4C3B02"/>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4C3B02"/>
    <w:rPr>
      <w:rFonts w:ascii="Calibri" w:hAnsi="Calibri" w:cs="Arial"/>
      <w:b/>
      <w:sz w:val="24"/>
      <w:szCs w:val="24"/>
    </w:rPr>
  </w:style>
  <w:style w:type="paragraph" w:customStyle="1" w:styleId="FooterTableFigure">
    <w:name w:val="Footer Table/Figure"/>
    <w:basedOn w:val="Normal"/>
    <w:link w:val="FooterTableFigureChar"/>
    <w:qFormat/>
    <w:rsid w:val="00EC5836"/>
    <w:pPr>
      <w:spacing w:after="120"/>
      <w:contextualSpacing/>
    </w:pPr>
    <w:rPr>
      <w:rFonts w:ascii="Arial Narrow" w:hAnsi="Arial Narrow"/>
      <w:snapToGrid w:val="0"/>
      <w:sz w:val="18"/>
      <w:szCs w:val="22"/>
    </w:rPr>
  </w:style>
  <w:style w:type="character" w:customStyle="1" w:styleId="FooterTableFigureChar">
    <w:name w:val="Footer Table/Figure Char"/>
    <w:link w:val="FooterTableFigure"/>
    <w:rsid w:val="00EC5836"/>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autoRedefine/>
    <w:qFormat/>
    <w:rsid w:val="00401847"/>
    <w:pPr>
      <w:keepNext/>
      <w:spacing w:before="120" w:after="120"/>
    </w:pPr>
    <w:rPr>
      <w:rFonts w:asciiTheme="minorHAnsi" w:eastAsiaTheme="majorEastAsia" w:hAnsiTheme="minorHAnsi" w:cstheme="majorBidi"/>
      <w:color w:val="000000" w:themeColor="text1"/>
      <w:spacing w:val="5"/>
      <w:kern w:val="28"/>
      <w:szCs w:val="36"/>
      <w:lang w:eastAsia="en-US"/>
    </w:rPr>
  </w:style>
  <w:style w:type="character" w:customStyle="1" w:styleId="4-SubsectionHeadingChar">
    <w:name w:val="4-Subsection Heading Char"/>
    <w:basedOn w:val="Heading2Char"/>
    <w:link w:val="4-SubsectionHeading"/>
    <w:rsid w:val="00401847"/>
    <w:rPr>
      <w:rFonts w:asciiTheme="minorHAnsi" w:eastAsiaTheme="majorEastAsia" w:hAnsiTheme="minorHAnsi" w:cstheme="majorBidi"/>
      <w:b/>
      <w:i/>
      <w:snapToGrid/>
      <w:color w:val="000000" w:themeColor="text1"/>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4C3B02"/>
    <w:pPr>
      <w:keepNext/>
      <w:keepLines/>
      <w:spacing w:before="4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DefaultParagraphFont"/>
    <w:link w:val="5-SubsectionSubheading"/>
    <w:rsid w:val="004C3B02"/>
    <w:rPr>
      <w:rFonts w:asciiTheme="minorHAnsi" w:eastAsiaTheme="majorEastAsia" w:hAnsiTheme="minorHAnsi" w:cstheme="majorBidi"/>
      <w:b/>
      <w:color w:val="000000" w:themeColor="text1"/>
      <w:sz w:val="24"/>
      <w:szCs w:val="24"/>
    </w:rPr>
  </w:style>
  <w:style w:type="paragraph" w:styleId="ListBullet">
    <w:name w:val="List Bullet"/>
    <w:basedOn w:val="Normal"/>
    <w:unhideWhenUsed/>
    <w:rsid w:val="00EE1996"/>
    <w:pPr>
      <w:numPr>
        <w:numId w:val="2"/>
      </w:numPr>
      <w:contextualSpacing/>
    </w:pPr>
  </w:style>
  <w:style w:type="character" w:customStyle="1" w:styleId="TableTextChar0">
    <w:name w:val="Table Text Char"/>
    <w:basedOn w:val="DefaultParagraphFont"/>
    <w:link w:val="TableText0"/>
    <w:rsid w:val="00A54A8A"/>
    <w:rPr>
      <w:rFonts w:ascii="Arial Narrow" w:eastAsiaTheme="majorEastAsia" w:hAnsi="Arial Narrow" w:cstheme="majorBidi"/>
      <w:szCs w:val="24"/>
    </w:rPr>
  </w:style>
  <w:style w:type="paragraph" w:customStyle="1" w:styleId="ExecSumBodyText">
    <w:name w:val="Exec Sum Body Text"/>
    <w:basedOn w:val="Normal"/>
    <w:link w:val="ExecSumBodyTextChar"/>
    <w:uiPriority w:val="99"/>
    <w:rsid w:val="00D30D5B"/>
    <w:pPr>
      <w:spacing w:after="120"/>
      <w:ind w:left="720" w:hanging="720"/>
    </w:pPr>
    <w:rPr>
      <w:rFonts w:asciiTheme="minorHAnsi" w:hAnsiTheme="minorHAnsi"/>
      <w:snapToGrid w:val="0"/>
    </w:rPr>
  </w:style>
  <w:style w:type="character" w:customStyle="1" w:styleId="ExecSumBodyTextChar">
    <w:name w:val="Exec Sum Body Text Char"/>
    <w:basedOn w:val="DefaultParagraphFont"/>
    <w:link w:val="ExecSumBodyText"/>
    <w:uiPriority w:val="99"/>
    <w:rsid w:val="00D30D5B"/>
    <w:rPr>
      <w:rFonts w:asciiTheme="minorHAnsi" w:hAnsiTheme="minorHAnsi" w:cs="Arial"/>
      <w:snapToGrid w:val="0"/>
      <w:sz w:val="24"/>
      <w:szCs w:val="24"/>
    </w:rPr>
  </w:style>
  <w:style w:type="paragraph" w:customStyle="1" w:styleId="bullet">
    <w:name w:val="bullet"/>
    <w:basedOn w:val="ListParagraph"/>
    <w:link w:val="bulletChar"/>
    <w:rsid w:val="00D30D5B"/>
    <w:pPr>
      <w:numPr>
        <w:numId w:val="4"/>
      </w:numPr>
    </w:pPr>
    <w:rPr>
      <w:rFonts w:ascii="Calibri" w:hAnsi="Calibri" w:cstheme="minorBidi"/>
      <w:i/>
      <w:snapToGrid/>
      <w:sz w:val="22"/>
      <w:szCs w:val="22"/>
      <w:lang w:eastAsia="en-US"/>
    </w:rPr>
  </w:style>
  <w:style w:type="character" w:customStyle="1" w:styleId="bulletChar">
    <w:name w:val="bullet Char"/>
    <w:basedOn w:val="DefaultParagraphFont"/>
    <w:link w:val="bullet"/>
    <w:rsid w:val="00D30D5B"/>
    <w:rPr>
      <w:rFonts w:ascii="Calibri" w:hAnsi="Calibri" w:cstheme="minorBidi"/>
      <w:i/>
      <w:sz w:val="22"/>
      <w:szCs w:val="22"/>
      <w:lang w:eastAsia="en-US"/>
    </w:rPr>
  </w:style>
  <w:style w:type="paragraph" w:customStyle="1" w:styleId="Default">
    <w:name w:val="Default"/>
    <w:rsid w:val="00AB11AD"/>
    <w:pPr>
      <w:autoSpaceDE w:val="0"/>
      <w:autoSpaceDN w:val="0"/>
      <w:adjustRightInd w:val="0"/>
    </w:pPr>
    <w:rPr>
      <w:rFonts w:ascii="Calibri" w:hAnsi="Calibri" w:cs="Calibri"/>
      <w:color w:val="000000"/>
      <w:sz w:val="24"/>
      <w:szCs w:val="24"/>
    </w:rPr>
  </w:style>
  <w:style w:type="paragraph" w:customStyle="1" w:styleId="TableFigureFooter">
    <w:name w:val="Table/Figure Footer"/>
    <w:basedOn w:val="Normal"/>
    <w:next w:val="3-BodyText"/>
    <w:link w:val="TableFigureFooterChar"/>
    <w:qFormat/>
    <w:rsid w:val="00D40643"/>
    <w:pPr>
      <w:keepLines/>
      <w:spacing w:after="120"/>
      <w:contextualSpacing/>
    </w:pPr>
    <w:rPr>
      <w:rFonts w:ascii="Arial Narrow" w:hAnsi="Arial Narrow"/>
      <w:snapToGrid w:val="0"/>
      <w:sz w:val="18"/>
      <w:szCs w:val="22"/>
    </w:rPr>
  </w:style>
  <w:style w:type="character" w:customStyle="1" w:styleId="TableFigureFooterChar">
    <w:name w:val="Table/Figure Footer Char"/>
    <w:link w:val="TableFigureFooter"/>
    <w:rsid w:val="00D40643"/>
    <w:rPr>
      <w:rFonts w:ascii="Arial Narrow" w:hAnsi="Arial Narrow" w:cs="Arial"/>
      <w:snapToGrid w:val="0"/>
      <w:sz w:val="18"/>
      <w:szCs w:val="22"/>
    </w:rPr>
  </w:style>
  <w:style w:type="character" w:customStyle="1" w:styleId="Tabletext8ptChar">
    <w:name w:val="Table text 8pt Char"/>
    <w:basedOn w:val="DefaultParagraphFont"/>
    <w:link w:val="Tabletext8pt"/>
    <w:locked/>
    <w:rsid w:val="003F2CEB"/>
    <w:rPr>
      <w:rFonts w:eastAsia="Calibri" w:cs="Calibri"/>
      <w:sz w:val="16"/>
      <w:szCs w:val="16"/>
    </w:rPr>
  </w:style>
  <w:style w:type="paragraph" w:customStyle="1" w:styleId="Tabletext8pt">
    <w:name w:val="Table text 8pt"/>
    <w:basedOn w:val="Normal"/>
    <w:link w:val="Tabletext8ptChar"/>
    <w:qFormat/>
    <w:rsid w:val="003F2CEB"/>
    <w:pPr>
      <w:keepNext/>
      <w:keepLines/>
      <w:spacing w:before="20" w:after="20"/>
      <w:jc w:val="left"/>
    </w:pPr>
    <w:rPr>
      <w:rFonts w:ascii="Times New Roman" w:eastAsia="Calibri" w:hAnsi="Times New Roman" w:cs="Calibri"/>
      <w:sz w:val="16"/>
      <w:szCs w:val="16"/>
    </w:rPr>
  </w:style>
  <w:style w:type="character" w:customStyle="1" w:styleId="TableHeaderChar">
    <w:name w:val="Table Header Char"/>
    <w:basedOn w:val="DefaultParagraphFont"/>
    <w:link w:val="TableHeader"/>
    <w:uiPriority w:val="4"/>
    <w:rsid w:val="003F2CEB"/>
    <w:rPr>
      <w:rFonts w:ascii="Calibri" w:hAnsi="Calibri" w:cs="Arial"/>
      <w:b/>
      <w:szCs w:val="24"/>
    </w:rPr>
  </w:style>
  <w:style w:type="character" w:customStyle="1" w:styleId="TableFigNotesChar">
    <w:name w:val="TableFigNotes Char"/>
    <w:basedOn w:val="DefaultParagraphFont"/>
    <w:link w:val="TableFigNotes"/>
    <w:uiPriority w:val="4"/>
    <w:locked/>
    <w:rsid w:val="00C95677"/>
    <w:rPr>
      <w:rFonts w:cs="Calibri"/>
      <w:sz w:val="16"/>
    </w:rPr>
  </w:style>
  <w:style w:type="paragraph" w:customStyle="1" w:styleId="TableFigNotes">
    <w:name w:val="TableFigNotes"/>
    <w:basedOn w:val="Normal"/>
    <w:next w:val="BodyText"/>
    <w:link w:val="TableFigNotesChar"/>
    <w:uiPriority w:val="4"/>
    <w:qFormat/>
    <w:rsid w:val="00C95677"/>
    <w:pPr>
      <w:spacing w:before="60" w:after="360" w:line="276" w:lineRule="auto"/>
      <w:contextualSpacing/>
      <w:jc w:val="left"/>
    </w:pPr>
    <w:rPr>
      <w:rFonts w:ascii="Times New Roman" w:hAnsi="Times New Roman" w:cs="Calibri"/>
      <w:sz w:val="16"/>
      <w:szCs w:val="20"/>
    </w:rPr>
  </w:style>
  <w:style w:type="character" w:customStyle="1" w:styleId="CaptionFootnoteChar">
    <w:name w:val="Caption Footnote Char"/>
    <w:basedOn w:val="CaptionChar"/>
    <w:link w:val="CaptionFootnote"/>
    <w:rsid w:val="00192E11"/>
    <w:rPr>
      <w:rFonts w:ascii="Calibri" w:hAnsi="Calibri" w:cs="Calibri (Body)"/>
      <w:b w:val="0"/>
      <w:bCs/>
      <w:sz w:val="16"/>
      <w:szCs w:val="18"/>
    </w:rPr>
  </w:style>
  <w:style w:type="paragraph" w:customStyle="1" w:styleId="CaptionFootnote">
    <w:name w:val="Caption Footnote"/>
    <w:basedOn w:val="Caption"/>
    <w:link w:val="CaptionFootnoteChar"/>
    <w:qFormat/>
    <w:rsid w:val="00192E11"/>
    <w:pPr>
      <w:keepNext w:val="0"/>
      <w:keepLines w:val="0"/>
      <w:widowControl w:val="0"/>
      <w:jc w:val="left"/>
    </w:pPr>
    <w:rPr>
      <w:rFonts w:ascii="Calibri" w:hAnsi="Calibri" w:cs="Calibri (Body)"/>
      <w:b w:val="0"/>
      <w:sz w:val="16"/>
    </w:rPr>
  </w:style>
  <w:style w:type="paragraph" w:customStyle="1" w:styleId="TableNotes">
    <w:name w:val="Table Notes"/>
    <w:basedOn w:val="Normal"/>
    <w:link w:val="TableNotesChar"/>
    <w:uiPriority w:val="6"/>
    <w:qFormat/>
    <w:rsid w:val="00AA370F"/>
    <w:pPr>
      <w:spacing w:after="40"/>
    </w:pPr>
    <w:rPr>
      <w:rFonts w:ascii="Arial Narrow" w:eastAsiaTheme="majorEastAsia" w:hAnsi="Arial Narrow" w:cstheme="majorBidi"/>
      <w:sz w:val="18"/>
      <w:szCs w:val="22"/>
      <w:lang w:eastAsia="en-US"/>
    </w:rPr>
  </w:style>
  <w:style w:type="character" w:customStyle="1" w:styleId="TableNotesChar">
    <w:name w:val="Table Notes Char"/>
    <w:basedOn w:val="DefaultParagraphFont"/>
    <w:link w:val="TableNotes"/>
    <w:uiPriority w:val="6"/>
    <w:locked/>
    <w:rsid w:val="00AA370F"/>
    <w:rPr>
      <w:rFonts w:ascii="Arial Narrow" w:eastAsiaTheme="majorEastAsia" w:hAnsi="Arial Narrow" w:cstheme="majorBidi"/>
      <w:sz w:val="18"/>
      <w:szCs w:val="22"/>
      <w:lang w:eastAsia="en-US"/>
    </w:rPr>
  </w:style>
  <w:style w:type="paragraph" w:customStyle="1" w:styleId="PBACTabletext">
    <w:name w:val="PBAC Table text"/>
    <w:uiPriority w:val="99"/>
    <w:qFormat/>
    <w:rsid w:val="00AA370F"/>
    <w:pPr>
      <w:keepNext/>
      <w:keepLines/>
      <w:suppressLineNumbers/>
      <w:spacing w:after="20"/>
      <w:textboxTightWrap w:val="allLines"/>
    </w:pPr>
    <w:rPr>
      <w:rFonts w:ascii="Arial" w:hAnsi="Arial" w:cs="Arial"/>
      <w:szCs w:val="24"/>
      <w:lang w:eastAsia="en-GB"/>
    </w:rPr>
  </w:style>
  <w:style w:type="table" w:customStyle="1" w:styleId="ASDTable2">
    <w:name w:val="ASD Table2"/>
    <w:basedOn w:val="TableNormal"/>
    <w:next w:val="TableGrid"/>
    <w:uiPriority w:val="39"/>
    <w:rsid w:val="00AA370F"/>
    <w:rPr>
      <w:rFonts w:asciiTheme="minorHAnsi" w:eastAsia="PMingLiU"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C74574"/>
    <w:rPr>
      <w:sz w:val="20"/>
      <w:szCs w:val="20"/>
    </w:rPr>
  </w:style>
  <w:style w:type="character" w:customStyle="1" w:styleId="FootnoteTextChar">
    <w:name w:val="Footnote Text Char"/>
    <w:basedOn w:val="DefaultParagraphFont"/>
    <w:link w:val="FootnoteText"/>
    <w:uiPriority w:val="99"/>
    <w:semiHidden/>
    <w:rsid w:val="00C74574"/>
    <w:rPr>
      <w:rFonts w:ascii="Calibri" w:hAnsi="Calibri" w:cs="Arial"/>
    </w:rPr>
  </w:style>
  <w:style w:type="character" w:styleId="FootnoteReference">
    <w:name w:val="footnote reference"/>
    <w:basedOn w:val="DefaultParagraphFont"/>
    <w:uiPriority w:val="99"/>
    <w:unhideWhenUsed/>
    <w:rsid w:val="00C74574"/>
    <w:rPr>
      <w:vertAlign w:val="superscript"/>
    </w:rPr>
  </w:style>
  <w:style w:type="table" w:customStyle="1" w:styleId="TableGrid0">
    <w:name w:val="Table Grid0"/>
    <w:basedOn w:val="TableNormal"/>
    <w:uiPriority w:val="39"/>
    <w:rsid w:val="00317D93"/>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31946"/>
    <w:rPr>
      <w:color w:val="605E5C"/>
      <w:shd w:val="clear" w:color="auto" w:fill="E1DFDD"/>
    </w:rPr>
  </w:style>
  <w:style w:type="character" w:customStyle="1" w:styleId="normaltextrun">
    <w:name w:val="normaltextrun"/>
    <w:basedOn w:val="DefaultParagraphFont"/>
    <w:rsid w:val="00B95DA1"/>
  </w:style>
  <w:style w:type="paragraph" w:customStyle="1" w:styleId="paragraph">
    <w:name w:val="paragraph"/>
    <w:basedOn w:val="Normal"/>
    <w:rsid w:val="00B95DA1"/>
    <w:pPr>
      <w:spacing w:before="100" w:beforeAutospacing="1" w:after="100" w:afterAutospacing="1"/>
      <w:jc w:val="left"/>
    </w:pPr>
    <w:rPr>
      <w:rFonts w:ascii="Times New Roman" w:hAnsi="Times New Roman" w:cs="Times New Roman"/>
    </w:rPr>
  </w:style>
  <w:style w:type="paragraph" w:customStyle="1" w:styleId="Table">
    <w:name w:val="Table"/>
    <w:aliases w:val="10 pt  Bold,9 pt"/>
    <w:basedOn w:val="Normal"/>
    <w:link w:val="TableChar"/>
    <w:qFormat/>
    <w:rsid w:val="00C764B9"/>
    <w:pPr>
      <w:jc w:val="left"/>
    </w:pPr>
    <w:rPr>
      <w:rFonts w:eastAsiaTheme="majorEastAsia" w:cstheme="majorBidi"/>
      <w:sz w:val="20"/>
      <w:szCs w:val="22"/>
      <w:lang w:eastAsia="en-US" w:bidi="en-US"/>
    </w:rPr>
  </w:style>
  <w:style w:type="character" w:customStyle="1" w:styleId="TableChar">
    <w:name w:val="Table Char"/>
    <w:basedOn w:val="DefaultParagraphFont"/>
    <w:link w:val="Table"/>
    <w:locked/>
    <w:rsid w:val="00C764B9"/>
    <w:rPr>
      <w:rFonts w:ascii="Calibri" w:eastAsiaTheme="majorEastAsia" w:hAnsi="Calibri" w:cstheme="majorBidi"/>
      <w:szCs w:val="22"/>
      <w:lang w:eastAsia="en-US" w:bidi="en-US"/>
    </w:rPr>
  </w:style>
  <w:style w:type="character" w:styleId="PlaceholderText">
    <w:name w:val="Placeholder Text"/>
    <w:basedOn w:val="DefaultParagraphFont"/>
    <w:uiPriority w:val="99"/>
    <w:semiHidden/>
    <w:rsid w:val="003F6608"/>
    <w:rPr>
      <w:color w:val="666666"/>
    </w:rPr>
  </w:style>
  <w:style w:type="paragraph" w:customStyle="1" w:styleId="Tabletext8ptCentered">
    <w:name w:val="Table text 8pt + Centered"/>
    <w:basedOn w:val="Normal"/>
    <w:next w:val="Normal"/>
    <w:qFormat/>
    <w:rsid w:val="007D0F20"/>
    <w:pPr>
      <w:keepNext/>
      <w:keepLines/>
      <w:spacing w:before="20" w:after="20"/>
      <w:jc w:val="center"/>
    </w:pPr>
    <w:rPr>
      <w:rFonts w:eastAsia="Calibri" w:cs="Calibri"/>
      <w:bCs/>
      <w:sz w:val="16"/>
      <w:szCs w:val="16"/>
      <w:lang w:eastAsia="en-US"/>
    </w:rPr>
  </w:style>
  <w:style w:type="paragraph" w:customStyle="1" w:styleId="TableLeft">
    <w:name w:val="Table Left"/>
    <w:basedOn w:val="Normal"/>
    <w:link w:val="TableLeftChar"/>
    <w:uiPriority w:val="99"/>
    <w:qFormat/>
    <w:rsid w:val="000F420A"/>
    <w:pPr>
      <w:jc w:val="left"/>
    </w:pPr>
    <w:rPr>
      <w:rFonts w:cs="Times New Roman"/>
      <w:sz w:val="20"/>
      <w:szCs w:val="22"/>
      <w:lang w:eastAsia="en-US"/>
    </w:rPr>
  </w:style>
  <w:style w:type="character" w:customStyle="1" w:styleId="TableLeftChar">
    <w:name w:val="Table Left Char"/>
    <w:basedOn w:val="DefaultParagraphFont"/>
    <w:link w:val="TableLeft"/>
    <w:uiPriority w:val="99"/>
    <w:locked/>
    <w:rsid w:val="000F420A"/>
    <w:rPr>
      <w:rFonts w:ascii="Calibri" w:hAnsi="Calibri"/>
      <w:szCs w:val="22"/>
      <w:lang w:eastAsia="en-US"/>
    </w:rPr>
  </w:style>
  <w:style w:type="paragraph" w:customStyle="1" w:styleId="Tabletext9pt">
    <w:name w:val="Table text 9pt"/>
    <w:basedOn w:val="Normal"/>
    <w:qFormat/>
    <w:rsid w:val="00C5588E"/>
    <w:pPr>
      <w:keepNext/>
      <w:keepLines/>
      <w:spacing w:before="20" w:after="20"/>
      <w:jc w:val="left"/>
    </w:pPr>
    <w:rPr>
      <w:rFonts w:asciiTheme="minorHAnsi" w:eastAsiaTheme="minorHAnsi" w:hAnsiTheme="minorHAnsi" w:cs="Calibri"/>
      <w:kern w:val="2"/>
      <w:sz w:val="18"/>
      <w:szCs w:val="16"/>
      <w:lang w:eastAsia="en-US"/>
      <w14:ligatures w14:val="standardContextual"/>
    </w:rPr>
  </w:style>
  <w:style w:type="paragraph" w:customStyle="1" w:styleId="Pic">
    <w:name w:val="Pic"/>
    <w:next w:val="Normal"/>
    <w:uiPriority w:val="9"/>
    <w:qFormat/>
    <w:rsid w:val="00C5588E"/>
    <w:pPr>
      <w:keepNext/>
    </w:pPr>
    <w:rPr>
      <w:rFonts w:ascii="Calibri" w:eastAsia="Calibri" w:hAnsi="Calibri" w:cs="Calibri"/>
      <w:lang w:eastAsia="en-US"/>
    </w:rPr>
  </w:style>
  <w:style w:type="table" w:customStyle="1" w:styleId="TableGrid17">
    <w:name w:val="Table Grid17"/>
    <w:basedOn w:val="TableNormal"/>
    <w:next w:val="TableGrid"/>
    <w:uiPriority w:val="59"/>
    <w:rsid w:val="00C5588E"/>
    <w:rPr>
      <w:rFonts w:ascii="Calibri" w:eastAsia="Calibri" w:hAnsi="Calibri" w:cstheme="minorBidi"/>
      <w:sz w:val="22"/>
      <w:szCs w:val="22"/>
      <w:lang w:val="de-DE"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FigNotes18">
    <w:name w:val="TableFigNotes+18"/>
    <w:basedOn w:val="Normal"/>
    <w:next w:val="BodyText"/>
    <w:link w:val="TableFigNotes18Char"/>
    <w:uiPriority w:val="4"/>
    <w:qFormat/>
    <w:rsid w:val="00C5588E"/>
    <w:pPr>
      <w:spacing w:before="60" w:after="360" w:line="276" w:lineRule="auto"/>
      <w:contextualSpacing/>
      <w:jc w:val="left"/>
    </w:pPr>
    <w:rPr>
      <w:rFonts w:asciiTheme="minorHAnsi" w:eastAsiaTheme="minorHAnsi" w:hAnsiTheme="minorHAnsi" w:cstheme="minorBidi"/>
      <w:kern w:val="2"/>
      <w:sz w:val="14"/>
      <w:szCs w:val="22"/>
      <w:lang w:eastAsia="en-US"/>
      <w14:ligatures w14:val="standardContextual"/>
    </w:rPr>
  </w:style>
  <w:style w:type="character" w:customStyle="1" w:styleId="TableFigNotes18Char">
    <w:name w:val="TableFigNotes+18 Char"/>
    <w:basedOn w:val="DefaultParagraphFont"/>
    <w:link w:val="TableFigNotes18"/>
    <w:uiPriority w:val="4"/>
    <w:locked/>
    <w:rsid w:val="00C5588E"/>
    <w:rPr>
      <w:rFonts w:asciiTheme="minorHAnsi" w:eastAsiaTheme="minorHAnsi" w:hAnsiTheme="minorHAnsi" w:cstheme="minorBidi"/>
      <w:kern w:val="2"/>
      <w:sz w:val="14"/>
      <w:szCs w:val="22"/>
      <w:lang w:eastAsia="en-US"/>
      <w14:ligatures w14:val="standardContextual"/>
    </w:rPr>
  </w:style>
  <w:style w:type="paragraph" w:customStyle="1" w:styleId="TableHeaderCentered">
    <w:name w:val="Table Header + Centered"/>
    <w:basedOn w:val="Normal"/>
    <w:rsid w:val="00C5588E"/>
    <w:pPr>
      <w:keepNext/>
      <w:keepLines/>
      <w:spacing w:before="20" w:after="20"/>
      <w:contextualSpacing/>
      <w:jc w:val="center"/>
    </w:pPr>
    <w:rPr>
      <w:rFonts w:asciiTheme="minorHAnsi" w:eastAsia="Calibri" w:hAnsiTheme="minorHAnsi" w:cs="Calibri"/>
      <w:b/>
      <w:sz w:val="18"/>
      <w:szCs w:val="20"/>
      <w:lang w:eastAsia="en-US"/>
    </w:rPr>
  </w:style>
  <w:style w:type="paragraph" w:customStyle="1" w:styleId="Commentary">
    <w:name w:val="Commentary"/>
    <w:basedOn w:val="Normal"/>
    <w:link w:val="CommentaryChar"/>
    <w:qFormat/>
    <w:rsid w:val="00C5588E"/>
    <w:pPr>
      <w:spacing w:before="120" w:after="200" w:line="276" w:lineRule="auto"/>
      <w:jc w:val="left"/>
    </w:pPr>
    <w:rPr>
      <w:rFonts w:eastAsia="Calibri" w:cs="Times New Roman"/>
      <w:i/>
      <w:sz w:val="22"/>
      <w:szCs w:val="22"/>
      <w:lang w:eastAsia="en-US"/>
    </w:rPr>
  </w:style>
  <w:style w:type="character" w:customStyle="1" w:styleId="CommentaryChar">
    <w:name w:val="Commentary Char"/>
    <w:basedOn w:val="DefaultParagraphFont"/>
    <w:link w:val="Commentary"/>
    <w:rsid w:val="00C5588E"/>
    <w:rPr>
      <w:rFonts w:ascii="Calibri" w:eastAsia="Calibri" w:hAnsi="Calibri"/>
      <w:i/>
      <w:sz w:val="22"/>
      <w:szCs w:val="22"/>
      <w:lang w:eastAsia="en-US"/>
    </w:rPr>
  </w:style>
  <w:style w:type="table" w:customStyle="1" w:styleId="TableGrid1">
    <w:name w:val="Table Grid1"/>
    <w:basedOn w:val="TableNormal"/>
    <w:next w:val="TableGrid"/>
    <w:uiPriority w:val="39"/>
    <w:rsid w:val="00C5588E"/>
    <w:rPr>
      <w:rFonts w:ascii="Calibri" w:eastAsia="Calibri" w:hAnsi="Calibri" w:cs="Arial"/>
      <w:sz w:val="22"/>
      <w:szCs w:val="22"/>
      <w:lang w:val="de-DE"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C5588E"/>
    <w:rPr>
      <w:rFonts w:ascii="Calibri" w:eastAsia="Calibri" w:hAnsi="Calibri" w:cs="Arial"/>
      <w:sz w:val="22"/>
      <w:szCs w:val="22"/>
      <w:lang w:val="de-DE"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C5588E"/>
    <w:rPr>
      <w:rFonts w:ascii="Calibri" w:eastAsia="Calibri" w:hAnsi="Calibri" w:cs="Arial"/>
      <w:sz w:val="22"/>
      <w:szCs w:val="22"/>
      <w:lang w:val="de-DE"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C5588E"/>
    <w:rPr>
      <w:rFonts w:ascii="Calibri" w:eastAsia="Calibri" w:hAnsi="Calibri" w:cs="Arial"/>
      <w:sz w:val="22"/>
      <w:szCs w:val="22"/>
      <w:lang w:val="de-DE"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DefaultParagraphFont"/>
    <w:rsid w:val="00C5588E"/>
  </w:style>
  <w:style w:type="character" w:customStyle="1" w:styleId="TableHeadingChar">
    <w:name w:val="TableHeading Char"/>
    <w:link w:val="TableHeading"/>
    <w:locked/>
    <w:rsid w:val="00C5588E"/>
    <w:rPr>
      <w:rFonts w:ascii="Arial Narrow" w:hAnsi="Arial Narrow" w:cs="Arial Narrow"/>
      <w:b/>
      <w:bCs/>
      <w:snapToGrid w:val="0"/>
      <w:szCs w:val="24"/>
    </w:rPr>
  </w:style>
  <w:style w:type="table" w:customStyle="1" w:styleId="TableGrid12">
    <w:name w:val="Table Grid12"/>
    <w:basedOn w:val="TableNormal"/>
    <w:next w:val="TableGrid"/>
    <w:rsid w:val="00C5588E"/>
    <w:rPr>
      <w:rFonts w:ascii="Calibri" w:eastAsia="Calibri" w:hAnsi="Calibri" w:cstheme="minorBidi"/>
      <w:sz w:val="22"/>
      <w:szCs w:val="22"/>
      <w:lang w:val="de-DE"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1">
    <w:name w:val="TableText"/>
    <w:basedOn w:val="Normal"/>
    <w:link w:val="TableTextChar1"/>
    <w:uiPriority w:val="3"/>
    <w:qFormat/>
    <w:rsid w:val="00C5588E"/>
    <w:pPr>
      <w:spacing w:before="40" w:after="40"/>
      <w:jc w:val="left"/>
    </w:pPr>
    <w:rPr>
      <w:rFonts w:cs="Calibri"/>
      <w:bCs/>
      <w:sz w:val="20"/>
      <w:szCs w:val="20"/>
      <w:lang w:eastAsia="en-US"/>
    </w:rPr>
  </w:style>
  <w:style w:type="character" w:customStyle="1" w:styleId="TableTextChar1">
    <w:name w:val="TableText Char"/>
    <w:basedOn w:val="DefaultParagraphFont"/>
    <w:link w:val="TableText1"/>
    <w:uiPriority w:val="3"/>
    <w:rsid w:val="00C5588E"/>
    <w:rPr>
      <w:rFonts w:ascii="Calibri" w:hAnsi="Calibri" w:cs="Calibri"/>
      <w:bCs/>
      <w:lang w:eastAsia="en-US"/>
    </w:rPr>
  </w:style>
  <w:style w:type="paragraph" w:customStyle="1" w:styleId="TableHeadingRow">
    <w:name w:val="TableHeadingRow"/>
    <w:basedOn w:val="TableText1"/>
    <w:uiPriority w:val="3"/>
    <w:qFormat/>
    <w:rsid w:val="00C5588E"/>
    <w:pPr>
      <w:keepNext/>
    </w:pPr>
    <w:rPr>
      <w:b/>
      <w:bCs w:val="0"/>
    </w:rPr>
  </w:style>
  <w:style w:type="table" w:customStyle="1" w:styleId="TableGrid15">
    <w:name w:val="Table Grid15"/>
    <w:basedOn w:val="TableNormal"/>
    <w:next w:val="TableGrid"/>
    <w:uiPriority w:val="59"/>
    <w:rsid w:val="00C5588E"/>
    <w:rPr>
      <w:rFonts w:ascii="Calibri" w:eastAsia="Calibri" w:hAnsi="Calibri" w:cstheme="minorBidi"/>
      <w:sz w:val="22"/>
      <w:szCs w:val="22"/>
      <w:lang w:val="de-DE"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C5588E"/>
    <w:rPr>
      <w:rFonts w:ascii="Calibri" w:eastAsia="Calibri" w:hAnsi="Calibri" w:cs="Arial"/>
      <w:sz w:val="22"/>
      <w:szCs w:val="22"/>
      <w:lang w:val="de-DE"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3B6D31"/>
    <w:rPr>
      <w:color w:val="2B579A"/>
      <w:shd w:val="clear" w:color="auto" w:fill="E1DFDD"/>
    </w:rPr>
  </w:style>
  <w:style w:type="paragraph" w:customStyle="1" w:styleId="pf0">
    <w:name w:val="pf0"/>
    <w:basedOn w:val="Normal"/>
    <w:rsid w:val="005846F7"/>
    <w:pPr>
      <w:spacing w:before="100" w:beforeAutospacing="1" w:after="100" w:afterAutospacing="1"/>
      <w:jc w:val="left"/>
    </w:pPr>
    <w:rPr>
      <w:rFonts w:ascii="Times New Roman" w:hAnsi="Times New Roman" w:cs="Times New Roman"/>
    </w:rPr>
  </w:style>
  <w:style w:type="character" w:customStyle="1" w:styleId="cf01">
    <w:name w:val="cf01"/>
    <w:basedOn w:val="DefaultParagraphFont"/>
    <w:rsid w:val="005846F7"/>
    <w:rPr>
      <w:rFonts w:ascii="Segoe UI" w:hAnsi="Segoe UI" w:cs="Segoe UI" w:hint="default"/>
      <w:sz w:val="18"/>
      <w:szCs w:val="18"/>
      <w:shd w:val="clear" w:color="auto" w:fill="FFFF00"/>
    </w:rPr>
  </w:style>
  <w:style w:type="character" w:customStyle="1" w:styleId="Heading1Char">
    <w:name w:val="Heading 1 Char"/>
    <w:basedOn w:val="DefaultParagraphFont"/>
    <w:link w:val="Heading1"/>
    <w:uiPriority w:val="1"/>
    <w:rsid w:val="006A1AFC"/>
    <w:rPr>
      <w:rFonts w:ascii="Calibri" w:hAnsi="Calibri" w:cs="Arial"/>
      <w:b/>
      <w:caps/>
      <w:sz w:val="32"/>
      <w:szCs w:val="24"/>
    </w:rPr>
  </w:style>
  <w:style w:type="character" w:customStyle="1" w:styleId="Heading3Char">
    <w:name w:val="Heading 3 Char"/>
    <w:basedOn w:val="DefaultParagraphFont"/>
    <w:link w:val="Heading3"/>
    <w:rsid w:val="006A1AFC"/>
    <w:rPr>
      <w:rFonts w:ascii="Calibri" w:hAnsi="Calibri" w:cs="Arial"/>
      <w:sz w:val="24"/>
      <w:szCs w:val="24"/>
      <w:u w:val="single"/>
    </w:rPr>
  </w:style>
  <w:style w:type="character" w:customStyle="1" w:styleId="Heading4Char">
    <w:name w:val="Heading 4 Char"/>
    <w:basedOn w:val="DefaultParagraphFont"/>
    <w:link w:val="Heading4"/>
    <w:rsid w:val="006A1AFC"/>
    <w:rPr>
      <w:rFonts w:ascii="Calibri" w:hAnsi="Calibri" w:cs="Arial"/>
      <w:b/>
      <w:bCs/>
      <w:i/>
      <w:sz w:val="26"/>
      <w:szCs w:val="28"/>
    </w:rPr>
  </w:style>
  <w:style w:type="character" w:customStyle="1" w:styleId="Heading5Char">
    <w:name w:val="Heading 5 Char"/>
    <w:basedOn w:val="DefaultParagraphFont"/>
    <w:link w:val="Heading5"/>
    <w:rsid w:val="006A1AFC"/>
    <w:rPr>
      <w:rFonts w:ascii="Calibri" w:hAnsi="Calibri" w:cs="Arial"/>
      <w:b/>
      <w:bCs/>
      <w:iCs/>
      <w:sz w:val="26"/>
      <w:szCs w:val="26"/>
    </w:rPr>
  </w:style>
  <w:style w:type="character" w:customStyle="1" w:styleId="Heading6Char">
    <w:name w:val="Heading 6 Char"/>
    <w:basedOn w:val="DefaultParagraphFont"/>
    <w:link w:val="Heading6"/>
    <w:rsid w:val="006A1AFC"/>
    <w:rPr>
      <w:rFonts w:ascii="Calibri" w:hAnsi="Calibri" w:cs="Arial"/>
      <w:b/>
      <w:bCs/>
      <w:i/>
      <w:sz w:val="24"/>
      <w:szCs w:val="24"/>
    </w:rPr>
  </w:style>
  <w:style w:type="paragraph" w:styleId="Quote">
    <w:name w:val="Quote"/>
    <w:basedOn w:val="Normal"/>
    <w:next w:val="Normal"/>
    <w:link w:val="QuoteChar"/>
    <w:uiPriority w:val="29"/>
    <w:qFormat/>
    <w:rsid w:val="006A1AFC"/>
    <w:pPr>
      <w:spacing w:before="160" w:after="160" w:line="278" w:lineRule="auto"/>
      <w:jc w:val="center"/>
    </w:pPr>
    <w:rPr>
      <w:rFonts w:asciiTheme="minorHAnsi" w:eastAsiaTheme="minorEastAsia" w:hAnsiTheme="minorHAnsi" w:cstheme="minorBidi"/>
      <w:i/>
      <w:iCs/>
      <w:color w:val="404040" w:themeColor="text1" w:themeTint="BF"/>
      <w:kern w:val="2"/>
      <w:lang w:eastAsia="zh-CN"/>
      <w14:ligatures w14:val="standardContextual"/>
    </w:rPr>
  </w:style>
  <w:style w:type="character" w:customStyle="1" w:styleId="QuoteChar">
    <w:name w:val="Quote Char"/>
    <w:basedOn w:val="DefaultParagraphFont"/>
    <w:link w:val="Quote"/>
    <w:uiPriority w:val="29"/>
    <w:rsid w:val="006A1AFC"/>
    <w:rPr>
      <w:rFonts w:asciiTheme="minorHAnsi" w:eastAsiaTheme="minorEastAsia" w:hAnsiTheme="minorHAnsi" w:cstheme="minorBidi"/>
      <w:i/>
      <w:iCs/>
      <w:color w:val="404040" w:themeColor="text1" w:themeTint="BF"/>
      <w:kern w:val="2"/>
      <w:sz w:val="24"/>
      <w:szCs w:val="24"/>
      <w:lang w:eastAsia="zh-CN"/>
      <w14:ligatures w14:val="standardContextual"/>
    </w:rPr>
  </w:style>
  <w:style w:type="character" w:styleId="IntenseEmphasis">
    <w:name w:val="Intense Emphasis"/>
    <w:basedOn w:val="DefaultParagraphFont"/>
    <w:uiPriority w:val="21"/>
    <w:qFormat/>
    <w:rsid w:val="006A1AFC"/>
    <w:rPr>
      <w:i/>
      <w:iCs/>
      <w:color w:val="365F91" w:themeColor="accent1" w:themeShade="BF"/>
    </w:rPr>
  </w:style>
  <w:style w:type="paragraph" w:styleId="IntenseQuote">
    <w:name w:val="Intense Quote"/>
    <w:basedOn w:val="Normal"/>
    <w:next w:val="Normal"/>
    <w:link w:val="IntenseQuoteChar"/>
    <w:uiPriority w:val="30"/>
    <w:qFormat/>
    <w:rsid w:val="006A1AFC"/>
    <w:pPr>
      <w:pBdr>
        <w:top w:val="single" w:sz="4" w:space="10" w:color="365F91" w:themeColor="accent1" w:themeShade="BF"/>
        <w:bottom w:val="single" w:sz="4" w:space="10" w:color="365F91" w:themeColor="accent1" w:themeShade="BF"/>
      </w:pBdr>
      <w:spacing w:before="360" w:after="360" w:line="278" w:lineRule="auto"/>
      <w:ind w:left="864" w:right="864"/>
      <w:jc w:val="center"/>
    </w:pPr>
    <w:rPr>
      <w:rFonts w:asciiTheme="minorHAnsi" w:eastAsiaTheme="minorEastAsia" w:hAnsiTheme="minorHAnsi" w:cstheme="minorBidi"/>
      <w:i/>
      <w:iCs/>
      <w:color w:val="365F91" w:themeColor="accent1" w:themeShade="BF"/>
      <w:kern w:val="2"/>
      <w:lang w:eastAsia="zh-CN"/>
      <w14:ligatures w14:val="standardContextual"/>
    </w:rPr>
  </w:style>
  <w:style w:type="character" w:customStyle="1" w:styleId="IntenseQuoteChar">
    <w:name w:val="Intense Quote Char"/>
    <w:basedOn w:val="DefaultParagraphFont"/>
    <w:link w:val="IntenseQuote"/>
    <w:uiPriority w:val="30"/>
    <w:rsid w:val="006A1AFC"/>
    <w:rPr>
      <w:rFonts w:asciiTheme="minorHAnsi" w:eastAsiaTheme="minorEastAsia" w:hAnsiTheme="minorHAnsi" w:cstheme="minorBidi"/>
      <w:i/>
      <w:iCs/>
      <w:color w:val="365F91" w:themeColor="accent1" w:themeShade="BF"/>
      <w:kern w:val="2"/>
      <w:sz w:val="24"/>
      <w:szCs w:val="24"/>
      <w:lang w:eastAsia="zh-CN"/>
      <w14:ligatures w14:val="standardContextual"/>
    </w:rPr>
  </w:style>
  <w:style w:type="character" w:styleId="IntenseReference">
    <w:name w:val="Intense Reference"/>
    <w:basedOn w:val="DefaultParagraphFont"/>
    <w:uiPriority w:val="32"/>
    <w:qFormat/>
    <w:rsid w:val="006A1AFC"/>
    <w:rPr>
      <w:b/>
      <w:bCs/>
      <w:smallCaps/>
      <w:color w:val="365F91" w:themeColor="accent1" w:themeShade="BF"/>
      <w:spacing w:val="5"/>
    </w:rPr>
  </w:style>
  <w:style w:type="paragraph" w:styleId="PlainText">
    <w:name w:val="Plain Text"/>
    <w:basedOn w:val="Normal"/>
    <w:link w:val="PlainTextChar"/>
    <w:semiHidden/>
    <w:unhideWhenUsed/>
    <w:rsid w:val="00AE15DB"/>
    <w:rPr>
      <w:rFonts w:ascii="Consolas" w:hAnsi="Consolas"/>
      <w:sz w:val="21"/>
      <w:szCs w:val="21"/>
    </w:rPr>
  </w:style>
  <w:style w:type="character" w:customStyle="1" w:styleId="PlainTextChar">
    <w:name w:val="Plain Text Char"/>
    <w:basedOn w:val="DefaultParagraphFont"/>
    <w:link w:val="PlainText"/>
    <w:semiHidden/>
    <w:rsid w:val="00AE15DB"/>
    <w:rPr>
      <w:rFonts w:ascii="Consolas" w:hAnsi="Consolas" w:cs="Arial"/>
      <w:sz w:val="21"/>
      <w:szCs w:val="21"/>
    </w:rPr>
  </w:style>
  <w:style w:type="paragraph" w:customStyle="1" w:styleId="3-SubsectionHeading">
    <w:name w:val="3-Subsection Heading"/>
    <w:basedOn w:val="Heading2"/>
    <w:next w:val="Normal"/>
    <w:link w:val="3-SubsectionHeadingChar"/>
    <w:qFormat/>
    <w:rsid w:val="004416AF"/>
    <w:pPr>
      <w:keepNext/>
      <w:spacing w:before="120" w:after="120"/>
      <w:outlineLvl w:val="9"/>
    </w:pPr>
    <w:rPr>
      <w:rFonts w:asciiTheme="minorHAnsi" w:eastAsiaTheme="majorEastAsia" w:hAnsiTheme="minorHAnsi" w:cstheme="majorBidi"/>
      <w:spacing w:val="5"/>
      <w:kern w:val="28"/>
      <w:szCs w:val="36"/>
      <w:lang w:eastAsia="en-US"/>
    </w:rPr>
  </w:style>
  <w:style w:type="character" w:customStyle="1" w:styleId="3-SubsectionHeadingChar">
    <w:name w:val="3-Subsection Heading Char"/>
    <w:basedOn w:val="Heading2Char"/>
    <w:link w:val="3-SubsectionHeading"/>
    <w:rsid w:val="004416AF"/>
    <w:rPr>
      <w:rFonts w:asciiTheme="minorHAnsi" w:eastAsiaTheme="majorEastAsia" w:hAnsiTheme="minorHAnsi" w:cstheme="majorBidi"/>
      <w:b/>
      <w:i/>
      <w:snapToGrid/>
      <w:spacing w:val="5"/>
      <w:kern w:val="28"/>
      <w:sz w:val="28"/>
      <w:szCs w:val="36"/>
      <w:lang w:eastAsia="en-US"/>
    </w:rPr>
  </w:style>
  <w:style w:type="table" w:styleId="LightList-Accent2">
    <w:name w:val="Light List Accent 2"/>
    <w:basedOn w:val="TableNormal"/>
    <w:uiPriority w:val="61"/>
    <w:rsid w:val="00D32900"/>
    <w:rPr>
      <w:rFonts w:asciiTheme="minorHAnsi" w:eastAsiaTheme="minorEastAsia" w:hAnsiTheme="minorHAnsi" w:cstheme="minorBidi"/>
      <w:sz w:val="22"/>
      <w:szCs w:val="22"/>
      <w:lang w:val="en-US"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96147">
      <w:bodyDiv w:val="1"/>
      <w:marLeft w:val="0"/>
      <w:marRight w:val="0"/>
      <w:marTop w:val="0"/>
      <w:marBottom w:val="0"/>
      <w:divBdr>
        <w:top w:val="none" w:sz="0" w:space="0" w:color="auto"/>
        <w:left w:val="none" w:sz="0" w:space="0" w:color="auto"/>
        <w:bottom w:val="none" w:sz="0" w:space="0" w:color="auto"/>
        <w:right w:val="none" w:sz="0" w:space="0" w:color="auto"/>
      </w:divBdr>
      <w:divsChild>
        <w:div w:id="749350085">
          <w:marLeft w:val="1080"/>
          <w:marRight w:val="0"/>
          <w:marTop w:val="100"/>
          <w:marBottom w:val="0"/>
          <w:divBdr>
            <w:top w:val="none" w:sz="0" w:space="0" w:color="auto"/>
            <w:left w:val="none" w:sz="0" w:space="0" w:color="auto"/>
            <w:bottom w:val="none" w:sz="0" w:space="0" w:color="auto"/>
            <w:right w:val="none" w:sz="0" w:space="0" w:color="auto"/>
          </w:divBdr>
        </w:div>
        <w:div w:id="1550609966">
          <w:marLeft w:val="1080"/>
          <w:marRight w:val="0"/>
          <w:marTop w:val="100"/>
          <w:marBottom w:val="0"/>
          <w:divBdr>
            <w:top w:val="none" w:sz="0" w:space="0" w:color="auto"/>
            <w:left w:val="none" w:sz="0" w:space="0" w:color="auto"/>
            <w:bottom w:val="none" w:sz="0" w:space="0" w:color="auto"/>
            <w:right w:val="none" w:sz="0" w:space="0" w:color="auto"/>
          </w:divBdr>
        </w:div>
      </w:divsChild>
    </w:div>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11094126">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149251161">
      <w:bodyDiv w:val="1"/>
      <w:marLeft w:val="0"/>
      <w:marRight w:val="0"/>
      <w:marTop w:val="0"/>
      <w:marBottom w:val="0"/>
      <w:divBdr>
        <w:top w:val="none" w:sz="0" w:space="0" w:color="auto"/>
        <w:left w:val="none" w:sz="0" w:space="0" w:color="auto"/>
        <w:bottom w:val="none" w:sz="0" w:space="0" w:color="auto"/>
        <w:right w:val="none" w:sz="0" w:space="0" w:color="auto"/>
      </w:divBdr>
    </w:div>
    <w:div w:id="163134647">
      <w:bodyDiv w:val="1"/>
      <w:marLeft w:val="0"/>
      <w:marRight w:val="0"/>
      <w:marTop w:val="0"/>
      <w:marBottom w:val="0"/>
      <w:divBdr>
        <w:top w:val="none" w:sz="0" w:space="0" w:color="auto"/>
        <w:left w:val="none" w:sz="0" w:space="0" w:color="auto"/>
        <w:bottom w:val="none" w:sz="0" w:space="0" w:color="auto"/>
        <w:right w:val="none" w:sz="0" w:space="0" w:color="auto"/>
      </w:divBdr>
    </w:div>
    <w:div w:id="198013822">
      <w:bodyDiv w:val="1"/>
      <w:marLeft w:val="0"/>
      <w:marRight w:val="0"/>
      <w:marTop w:val="0"/>
      <w:marBottom w:val="0"/>
      <w:divBdr>
        <w:top w:val="none" w:sz="0" w:space="0" w:color="auto"/>
        <w:left w:val="none" w:sz="0" w:space="0" w:color="auto"/>
        <w:bottom w:val="none" w:sz="0" w:space="0" w:color="auto"/>
        <w:right w:val="none" w:sz="0" w:space="0" w:color="auto"/>
      </w:divBdr>
    </w:div>
    <w:div w:id="209000389">
      <w:bodyDiv w:val="1"/>
      <w:marLeft w:val="0"/>
      <w:marRight w:val="0"/>
      <w:marTop w:val="0"/>
      <w:marBottom w:val="0"/>
      <w:divBdr>
        <w:top w:val="none" w:sz="0" w:space="0" w:color="auto"/>
        <w:left w:val="none" w:sz="0" w:space="0" w:color="auto"/>
        <w:bottom w:val="none" w:sz="0" w:space="0" w:color="auto"/>
        <w:right w:val="none" w:sz="0" w:space="0" w:color="auto"/>
      </w:divBdr>
    </w:div>
    <w:div w:id="238949499">
      <w:bodyDiv w:val="1"/>
      <w:marLeft w:val="0"/>
      <w:marRight w:val="0"/>
      <w:marTop w:val="0"/>
      <w:marBottom w:val="0"/>
      <w:divBdr>
        <w:top w:val="none" w:sz="0" w:space="0" w:color="auto"/>
        <w:left w:val="none" w:sz="0" w:space="0" w:color="auto"/>
        <w:bottom w:val="none" w:sz="0" w:space="0" w:color="auto"/>
        <w:right w:val="none" w:sz="0" w:space="0" w:color="auto"/>
      </w:divBdr>
    </w:div>
    <w:div w:id="292369644">
      <w:bodyDiv w:val="1"/>
      <w:marLeft w:val="0"/>
      <w:marRight w:val="0"/>
      <w:marTop w:val="0"/>
      <w:marBottom w:val="0"/>
      <w:divBdr>
        <w:top w:val="none" w:sz="0" w:space="0" w:color="auto"/>
        <w:left w:val="none" w:sz="0" w:space="0" w:color="auto"/>
        <w:bottom w:val="none" w:sz="0" w:space="0" w:color="auto"/>
        <w:right w:val="none" w:sz="0" w:space="0" w:color="auto"/>
      </w:divBdr>
    </w:div>
    <w:div w:id="301084172">
      <w:bodyDiv w:val="1"/>
      <w:marLeft w:val="0"/>
      <w:marRight w:val="0"/>
      <w:marTop w:val="0"/>
      <w:marBottom w:val="0"/>
      <w:divBdr>
        <w:top w:val="none" w:sz="0" w:space="0" w:color="auto"/>
        <w:left w:val="none" w:sz="0" w:space="0" w:color="auto"/>
        <w:bottom w:val="none" w:sz="0" w:space="0" w:color="auto"/>
        <w:right w:val="none" w:sz="0" w:space="0" w:color="auto"/>
      </w:divBdr>
    </w:div>
    <w:div w:id="310914650">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374352714">
      <w:bodyDiv w:val="1"/>
      <w:marLeft w:val="0"/>
      <w:marRight w:val="0"/>
      <w:marTop w:val="0"/>
      <w:marBottom w:val="0"/>
      <w:divBdr>
        <w:top w:val="none" w:sz="0" w:space="0" w:color="auto"/>
        <w:left w:val="none" w:sz="0" w:space="0" w:color="auto"/>
        <w:bottom w:val="none" w:sz="0" w:space="0" w:color="auto"/>
        <w:right w:val="none" w:sz="0" w:space="0" w:color="auto"/>
      </w:divBdr>
    </w:div>
    <w:div w:id="398358567">
      <w:bodyDiv w:val="1"/>
      <w:marLeft w:val="0"/>
      <w:marRight w:val="0"/>
      <w:marTop w:val="0"/>
      <w:marBottom w:val="0"/>
      <w:divBdr>
        <w:top w:val="none" w:sz="0" w:space="0" w:color="auto"/>
        <w:left w:val="none" w:sz="0" w:space="0" w:color="auto"/>
        <w:bottom w:val="none" w:sz="0" w:space="0" w:color="auto"/>
        <w:right w:val="none" w:sz="0" w:space="0" w:color="auto"/>
      </w:divBdr>
    </w:div>
    <w:div w:id="411003919">
      <w:bodyDiv w:val="1"/>
      <w:marLeft w:val="0"/>
      <w:marRight w:val="0"/>
      <w:marTop w:val="0"/>
      <w:marBottom w:val="0"/>
      <w:divBdr>
        <w:top w:val="none" w:sz="0" w:space="0" w:color="auto"/>
        <w:left w:val="none" w:sz="0" w:space="0" w:color="auto"/>
        <w:bottom w:val="none" w:sz="0" w:space="0" w:color="auto"/>
        <w:right w:val="none" w:sz="0" w:space="0" w:color="auto"/>
      </w:divBdr>
    </w:div>
    <w:div w:id="446244520">
      <w:bodyDiv w:val="1"/>
      <w:marLeft w:val="0"/>
      <w:marRight w:val="0"/>
      <w:marTop w:val="0"/>
      <w:marBottom w:val="0"/>
      <w:divBdr>
        <w:top w:val="none" w:sz="0" w:space="0" w:color="auto"/>
        <w:left w:val="none" w:sz="0" w:space="0" w:color="auto"/>
        <w:bottom w:val="none" w:sz="0" w:space="0" w:color="auto"/>
        <w:right w:val="none" w:sz="0" w:space="0" w:color="auto"/>
      </w:divBdr>
    </w:div>
    <w:div w:id="464397423">
      <w:bodyDiv w:val="1"/>
      <w:marLeft w:val="0"/>
      <w:marRight w:val="0"/>
      <w:marTop w:val="0"/>
      <w:marBottom w:val="0"/>
      <w:divBdr>
        <w:top w:val="none" w:sz="0" w:space="0" w:color="auto"/>
        <w:left w:val="none" w:sz="0" w:space="0" w:color="auto"/>
        <w:bottom w:val="none" w:sz="0" w:space="0" w:color="auto"/>
        <w:right w:val="none" w:sz="0" w:space="0" w:color="auto"/>
      </w:divBdr>
    </w:div>
    <w:div w:id="487942514">
      <w:bodyDiv w:val="1"/>
      <w:marLeft w:val="0"/>
      <w:marRight w:val="0"/>
      <w:marTop w:val="0"/>
      <w:marBottom w:val="0"/>
      <w:divBdr>
        <w:top w:val="none" w:sz="0" w:space="0" w:color="auto"/>
        <w:left w:val="none" w:sz="0" w:space="0" w:color="auto"/>
        <w:bottom w:val="none" w:sz="0" w:space="0" w:color="auto"/>
        <w:right w:val="none" w:sz="0" w:space="0" w:color="auto"/>
      </w:divBdr>
      <w:divsChild>
        <w:div w:id="76365490">
          <w:marLeft w:val="0"/>
          <w:marRight w:val="0"/>
          <w:marTop w:val="0"/>
          <w:marBottom w:val="0"/>
          <w:divBdr>
            <w:top w:val="none" w:sz="0" w:space="0" w:color="auto"/>
            <w:left w:val="none" w:sz="0" w:space="0" w:color="auto"/>
            <w:bottom w:val="none" w:sz="0" w:space="0" w:color="auto"/>
            <w:right w:val="none" w:sz="0" w:space="0" w:color="auto"/>
          </w:divBdr>
          <w:divsChild>
            <w:div w:id="1881702175">
              <w:marLeft w:val="0"/>
              <w:marRight w:val="0"/>
              <w:marTop w:val="0"/>
              <w:marBottom w:val="0"/>
              <w:divBdr>
                <w:top w:val="none" w:sz="0" w:space="0" w:color="auto"/>
                <w:left w:val="none" w:sz="0" w:space="0" w:color="auto"/>
                <w:bottom w:val="none" w:sz="0" w:space="0" w:color="auto"/>
                <w:right w:val="none" w:sz="0" w:space="0" w:color="auto"/>
              </w:divBdr>
            </w:div>
          </w:divsChild>
        </w:div>
        <w:div w:id="105005789">
          <w:marLeft w:val="0"/>
          <w:marRight w:val="0"/>
          <w:marTop w:val="0"/>
          <w:marBottom w:val="0"/>
          <w:divBdr>
            <w:top w:val="none" w:sz="0" w:space="0" w:color="auto"/>
            <w:left w:val="none" w:sz="0" w:space="0" w:color="auto"/>
            <w:bottom w:val="none" w:sz="0" w:space="0" w:color="auto"/>
            <w:right w:val="none" w:sz="0" w:space="0" w:color="auto"/>
          </w:divBdr>
          <w:divsChild>
            <w:div w:id="1573617076">
              <w:marLeft w:val="0"/>
              <w:marRight w:val="0"/>
              <w:marTop w:val="0"/>
              <w:marBottom w:val="0"/>
              <w:divBdr>
                <w:top w:val="none" w:sz="0" w:space="0" w:color="auto"/>
                <w:left w:val="none" w:sz="0" w:space="0" w:color="auto"/>
                <w:bottom w:val="none" w:sz="0" w:space="0" w:color="auto"/>
                <w:right w:val="none" w:sz="0" w:space="0" w:color="auto"/>
              </w:divBdr>
            </w:div>
          </w:divsChild>
        </w:div>
        <w:div w:id="121922056">
          <w:marLeft w:val="0"/>
          <w:marRight w:val="0"/>
          <w:marTop w:val="0"/>
          <w:marBottom w:val="0"/>
          <w:divBdr>
            <w:top w:val="none" w:sz="0" w:space="0" w:color="auto"/>
            <w:left w:val="none" w:sz="0" w:space="0" w:color="auto"/>
            <w:bottom w:val="none" w:sz="0" w:space="0" w:color="auto"/>
            <w:right w:val="none" w:sz="0" w:space="0" w:color="auto"/>
          </w:divBdr>
          <w:divsChild>
            <w:div w:id="1174346991">
              <w:marLeft w:val="0"/>
              <w:marRight w:val="0"/>
              <w:marTop w:val="0"/>
              <w:marBottom w:val="0"/>
              <w:divBdr>
                <w:top w:val="none" w:sz="0" w:space="0" w:color="auto"/>
                <w:left w:val="none" w:sz="0" w:space="0" w:color="auto"/>
                <w:bottom w:val="none" w:sz="0" w:space="0" w:color="auto"/>
                <w:right w:val="none" w:sz="0" w:space="0" w:color="auto"/>
              </w:divBdr>
            </w:div>
          </w:divsChild>
        </w:div>
        <w:div w:id="124203872">
          <w:marLeft w:val="0"/>
          <w:marRight w:val="0"/>
          <w:marTop w:val="0"/>
          <w:marBottom w:val="0"/>
          <w:divBdr>
            <w:top w:val="none" w:sz="0" w:space="0" w:color="auto"/>
            <w:left w:val="none" w:sz="0" w:space="0" w:color="auto"/>
            <w:bottom w:val="none" w:sz="0" w:space="0" w:color="auto"/>
            <w:right w:val="none" w:sz="0" w:space="0" w:color="auto"/>
          </w:divBdr>
          <w:divsChild>
            <w:div w:id="985862789">
              <w:marLeft w:val="0"/>
              <w:marRight w:val="0"/>
              <w:marTop w:val="0"/>
              <w:marBottom w:val="0"/>
              <w:divBdr>
                <w:top w:val="none" w:sz="0" w:space="0" w:color="auto"/>
                <w:left w:val="none" w:sz="0" w:space="0" w:color="auto"/>
                <w:bottom w:val="none" w:sz="0" w:space="0" w:color="auto"/>
                <w:right w:val="none" w:sz="0" w:space="0" w:color="auto"/>
              </w:divBdr>
            </w:div>
          </w:divsChild>
        </w:div>
        <w:div w:id="124854390">
          <w:marLeft w:val="0"/>
          <w:marRight w:val="0"/>
          <w:marTop w:val="0"/>
          <w:marBottom w:val="0"/>
          <w:divBdr>
            <w:top w:val="none" w:sz="0" w:space="0" w:color="auto"/>
            <w:left w:val="none" w:sz="0" w:space="0" w:color="auto"/>
            <w:bottom w:val="none" w:sz="0" w:space="0" w:color="auto"/>
            <w:right w:val="none" w:sz="0" w:space="0" w:color="auto"/>
          </w:divBdr>
          <w:divsChild>
            <w:div w:id="1123697742">
              <w:marLeft w:val="0"/>
              <w:marRight w:val="0"/>
              <w:marTop w:val="0"/>
              <w:marBottom w:val="0"/>
              <w:divBdr>
                <w:top w:val="none" w:sz="0" w:space="0" w:color="auto"/>
                <w:left w:val="none" w:sz="0" w:space="0" w:color="auto"/>
                <w:bottom w:val="none" w:sz="0" w:space="0" w:color="auto"/>
                <w:right w:val="none" w:sz="0" w:space="0" w:color="auto"/>
              </w:divBdr>
            </w:div>
          </w:divsChild>
        </w:div>
        <w:div w:id="160512614">
          <w:marLeft w:val="0"/>
          <w:marRight w:val="0"/>
          <w:marTop w:val="0"/>
          <w:marBottom w:val="0"/>
          <w:divBdr>
            <w:top w:val="none" w:sz="0" w:space="0" w:color="auto"/>
            <w:left w:val="none" w:sz="0" w:space="0" w:color="auto"/>
            <w:bottom w:val="none" w:sz="0" w:space="0" w:color="auto"/>
            <w:right w:val="none" w:sz="0" w:space="0" w:color="auto"/>
          </w:divBdr>
          <w:divsChild>
            <w:div w:id="2028671531">
              <w:marLeft w:val="0"/>
              <w:marRight w:val="0"/>
              <w:marTop w:val="0"/>
              <w:marBottom w:val="0"/>
              <w:divBdr>
                <w:top w:val="none" w:sz="0" w:space="0" w:color="auto"/>
                <w:left w:val="none" w:sz="0" w:space="0" w:color="auto"/>
                <w:bottom w:val="none" w:sz="0" w:space="0" w:color="auto"/>
                <w:right w:val="none" w:sz="0" w:space="0" w:color="auto"/>
              </w:divBdr>
            </w:div>
          </w:divsChild>
        </w:div>
        <w:div w:id="162428524">
          <w:marLeft w:val="0"/>
          <w:marRight w:val="0"/>
          <w:marTop w:val="0"/>
          <w:marBottom w:val="0"/>
          <w:divBdr>
            <w:top w:val="none" w:sz="0" w:space="0" w:color="auto"/>
            <w:left w:val="none" w:sz="0" w:space="0" w:color="auto"/>
            <w:bottom w:val="none" w:sz="0" w:space="0" w:color="auto"/>
            <w:right w:val="none" w:sz="0" w:space="0" w:color="auto"/>
          </w:divBdr>
          <w:divsChild>
            <w:div w:id="1687125408">
              <w:marLeft w:val="0"/>
              <w:marRight w:val="0"/>
              <w:marTop w:val="0"/>
              <w:marBottom w:val="0"/>
              <w:divBdr>
                <w:top w:val="none" w:sz="0" w:space="0" w:color="auto"/>
                <w:left w:val="none" w:sz="0" w:space="0" w:color="auto"/>
                <w:bottom w:val="none" w:sz="0" w:space="0" w:color="auto"/>
                <w:right w:val="none" w:sz="0" w:space="0" w:color="auto"/>
              </w:divBdr>
            </w:div>
          </w:divsChild>
        </w:div>
        <w:div w:id="172190898">
          <w:marLeft w:val="0"/>
          <w:marRight w:val="0"/>
          <w:marTop w:val="0"/>
          <w:marBottom w:val="0"/>
          <w:divBdr>
            <w:top w:val="none" w:sz="0" w:space="0" w:color="auto"/>
            <w:left w:val="none" w:sz="0" w:space="0" w:color="auto"/>
            <w:bottom w:val="none" w:sz="0" w:space="0" w:color="auto"/>
            <w:right w:val="none" w:sz="0" w:space="0" w:color="auto"/>
          </w:divBdr>
          <w:divsChild>
            <w:div w:id="1949924184">
              <w:marLeft w:val="0"/>
              <w:marRight w:val="0"/>
              <w:marTop w:val="0"/>
              <w:marBottom w:val="0"/>
              <w:divBdr>
                <w:top w:val="none" w:sz="0" w:space="0" w:color="auto"/>
                <w:left w:val="none" w:sz="0" w:space="0" w:color="auto"/>
                <w:bottom w:val="none" w:sz="0" w:space="0" w:color="auto"/>
                <w:right w:val="none" w:sz="0" w:space="0" w:color="auto"/>
              </w:divBdr>
            </w:div>
          </w:divsChild>
        </w:div>
        <w:div w:id="204410442">
          <w:marLeft w:val="0"/>
          <w:marRight w:val="0"/>
          <w:marTop w:val="0"/>
          <w:marBottom w:val="0"/>
          <w:divBdr>
            <w:top w:val="none" w:sz="0" w:space="0" w:color="auto"/>
            <w:left w:val="none" w:sz="0" w:space="0" w:color="auto"/>
            <w:bottom w:val="none" w:sz="0" w:space="0" w:color="auto"/>
            <w:right w:val="none" w:sz="0" w:space="0" w:color="auto"/>
          </w:divBdr>
          <w:divsChild>
            <w:div w:id="635138193">
              <w:marLeft w:val="0"/>
              <w:marRight w:val="0"/>
              <w:marTop w:val="0"/>
              <w:marBottom w:val="0"/>
              <w:divBdr>
                <w:top w:val="none" w:sz="0" w:space="0" w:color="auto"/>
                <w:left w:val="none" w:sz="0" w:space="0" w:color="auto"/>
                <w:bottom w:val="none" w:sz="0" w:space="0" w:color="auto"/>
                <w:right w:val="none" w:sz="0" w:space="0" w:color="auto"/>
              </w:divBdr>
            </w:div>
          </w:divsChild>
        </w:div>
        <w:div w:id="233393070">
          <w:marLeft w:val="0"/>
          <w:marRight w:val="0"/>
          <w:marTop w:val="0"/>
          <w:marBottom w:val="0"/>
          <w:divBdr>
            <w:top w:val="none" w:sz="0" w:space="0" w:color="auto"/>
            <w:left w:val="none" w:sz="0" w:space="0" w:color="auto"/>
            <w:bottom w:val="none" w:sz="0" w:space="0" w:color="auto"/>
            <w:right w:val="none" w:sz="0" w:space="0" w:color="auto"/>
          </w:divBdr>
          <w:divsChild>
            <w:div w:id="561213021">
              <w:marLeft w:val="0"/>
              <w:marRight w:val="0"/>
              <w:marTop w:val="0"/>
              <w:marBottom w:val="0"/>
              <w:divBdr>
                <w:top w:val="none" w:sz="0" w:space="0" w:color="auto"/>
                <w:left w:val="none" w:sz="0" w:space="0" w:color="auto"/>
                <w:bottom w:val="none" w:sz="0" w:space="0" w:color="auto"/>
                <w:right w:val="none" w:sz="0" w:space="0" w:color="auto"/>
              </w:divBdr>
            </w:div>
          </w:divsChild>
        </w:div>
        <w:div w:id="239826205">
          <w:marLeft w:val="0"/>
          <w:marRight w:val="0"/>
          <w:marTop w:val="0"/>
          <w:marBottom w:val="0"/>
          <w:divBdr>
            <w:top w:val="none" w:sz="0" w:space="0" w:color="auto"/>
            <w:left w:val="none" w:sz="0" w:space="0" w:color="auto"/>
            <w:bottom w:val="none" w:sz="0" w:space="0" w:color="auto"/>
            <w:right w:val="none" w:sz="0" w:space="0" w:color="auto"/>
          </w:divBdr>
          <w:divsChild>
            <w:div w:id="1784108725">
              <w:marLeft w:val="0"/>
              <w:marRight w:val="0"/>
              <w:marTop w:val="0"/>
              <w:marBottom w:val="0"/>
              <w:divBdr>
                <w:top w:val="none" w:sz="0" w:space="0" w:color="auto"/>
                <w:left w:val="none" w:sz="0" w:space="0" w:color="auto"/>
                <w:bottom w:val="none" w:sz="0" w:space="0" w:color="auto"/>
                <w:right w:val="none" w:sz="0" w:space="0" w:color="auto"/>
              </w:divBdr>
            </w:div>
          </w:divsChild>
        </w:div>
        <w:div w:id="262733865">
          <w:marLeft w:val="0"/>
          <w:marRight w:val="0"/>
          <w:marTop w:val="0"/>
          <w:marBottom w:val="0"/>
          <w:divBdr>
            <w:top w:val="none" w:sz="0" w:space="0" w:color="auto"/>
            <w:left w:val="none" w:sz="0" w:space="0" w:color="auto"/>
            <w:bottom w:val="none" w:sz="0" w:space="0" w:color="auto"/>
            <w:right w:val="none" w:sz="0" w:space="0" w:color="auto"/>
          </w:divBdr>
          <w:divsChild>
            <w:div w:id="1331132335">
              <w:marLeft w:val="0"/>
              <w:marRight w:val="0"/>
              <w:marTop w:val="0"/>
              <w:marBottom w:val="0"/>
              <w:divBdr>
                <w:top w:val="none" w:sz="0" w:space="0" w:color="auto"/>
                <w:left w:val="none" w:sz="0" w:space="0" w:color="auto"/>
                <w:bottom w:val="none" w:sz="0" w:space="0" w:color="auto"/>
                <w:right w:val="none" w:sz="0" w:space="0" w:color="auto"/>
              </w:divBdr>
            </w:div>
          </w:divsChild>
        </w:div>
        <w:div w:id="266427867">
          <w:marLeft w:val="0"/>
          <w:marRight w:val="0"/>
          <w:marTop w:val="0"/>
          <w:marBottom w:val="0"/>
          <w:divBdr>
            <w:top w:val="none" w:sz="0" w:space="0" w:color="auto"/>
            <w:left w:val="none" w:sz="0" w:space="0" w:color="auto"/>
            <w:bottom w:val="none" w:sz="0" w:space="0" w:color="auto"/>
            <w:right w:val="none" w:sz="0" w:space="0" w:color="auto"/>
          </w:divBdr>
          <w:divsChild>
            <w:div w:id="1773938564">
              <w:marLeft w:val="0"/>
              <w:marRight w:val="0"/>
              <w:marTop w:val="0"/>
              <w:marBottom w:val="0"/>
              <w:divBdr>
                <w:top w:val="none" w:sz="0" w:space="0" w:color="auto"/>
                <w:left w:val="none" w:sz="0" w:space="0" w:color="auto"/>
                <w:bottom w:val="none" w:sz="0" w:space="0" w:color="auto"/>
                <w:right w:val="none" w:sz="0" w:space="0" w:color="auto"/>
              </w:divBdr>
            </w:div>
          </w:divsChild>
        </w:div>
        <w:div w:id="335420765">
          <w:marLeft w:val="0"/>
          <w:marRight w:val="0"/>
          <w:marTop w:val="0"/>
          <w:marBottom w:val="0"/>
          <w:divBdr>
            <w:top w:val="none" w:sz="0" w:space="0" w:color="auto"/>
            <w:left w:val="none" w:sz="0" w:space="0" w:color="auto"/>
            <w:bottom w:val="none" w:sz="0" w:space="0" w:color="auto"/>
            <w:right w:val="none" w:sz="0" w:space="0" w:color="auto"/>
          </w:divBdr>
          <w:divsChild>
            <w:div w:id="1875728224">
              <w:marLeft w:val="0"/>
              <w:marRight w:val="0"/>
              <w:marTop w:val="0"/>
              <w:marBottom w:val="0"/>
              <w:divBdr>
                <w:top w:val="none" w:sz="0" w:space="0" w:color="auto"/>
                <w:left w:val="none" w:sz="0" w:space="0" w:color="auto"/>
                <w:bottom w:val="none" w:sz="0" w:space="0" w:color="auto"/>
                <w:right w:val="none" w:sz="0" w:space="0" w:color="auto"/>
              </w:divBdr>
            </w:div>
          </w:divsChild>
        </w:div>
        <w:div w:id="370498112">
          <w:marLeft w:val="0"/>
          <w:marRight w:val="0"/>
          <w:marTop w:val="0"/>
          <w:marBottom w:val="0"/>
          <w:divBdr>
            <w:top w:val="none" w:sz="0" w:space="0" w:color="auto"/>
            <w:left w:val="none" w:sz="0" w:space="0" w:color="auto"/>
            <w:bottom w:val="none" w:sz="0" w:space="0" w:color="auto"/>
            <w:right w:val="none" w:sz="0" w:space="0" w:color="auto"/>
          </w:divBdr>
          <w:divsChild>
            <w:div w:id="205914503">
              <w:marLeft w:val="0"/>
              <w:marRight w:val="0"/>
              <w:marTop w:val="0"/>
              <w:marBottom w:val="0"/>
              <w:divBdr>
                <w:top w:val="none" w:sz="0" w:space="0" w:color="auto"/>
                <w:left w:val="none" w:sz="0" w:space="0" w:color="auto"/>
                <w:bottom w:val="none" w:sz="0" w:space="0" w:color="auto"/>
                <w:right w:val="none" w:sz="0" w:space="0" w:color="auto"/>
              </w:divBdr>
            </w:div>
          </w:divsChild>
        </w:div>
        <w:div w:id="455174965">
          <w:marLeft w:val="0"/>
          <w:marRight w:val="0"/>
          <w:marTop w:val="0"/>
          <w:marBottom w:val="0"/>
          <w:divBdr>
            <w:top w:val="none" w:sz="0" w:space="0" w:color="auto"/>
            <w:left w:val="none" w:sz="0" w:space="0" w:color="auto"/>
            <w:bottom w:val="none" w:sz="0" w:space="0" w:color="auto"/>
            <w:right w:val="none" w:sz="0" w:space="0" w:color="auto"/>
          </w:divBdr>
          <w:divsChild>
            <w:div w:id="2001618743">
              <w:marLeft w:val="0"/>
              <w:marRight w:val="0"/>
              <w:marTop w:val="0"/>
              <w:marBottom w:val="0"/>
              <w:divBdr>
                <w:top w:val="none" w:sz="0" w:space="0" w:color="auto"/>
                <w:left w:val="none" w:sz="0" w:space="0" w:color="auto"/>
                <w:bottom w:val="none" w:sz="0" w:space="0" w:color="auto"/>
                <w:right w:val="none" w:sz="0" w:space="0" w:color="auto"/>
              </w:divBdr>
            </w:div>
          </w:divsChild>
        </w:div>
        <w:div w:id="482308854">
          <w:marLeft w:val="0"/>
          <w:marRight w:val="0"/>
          <w:marTop w:val="0"/>
          <w:marBottom w:val="0"/>
          <w:divBdr>
            <w:top w:val="none" w:sz="0" w:space="0" w:color="auto"/>
            <w:left w:val="none" w:sz="0" w:space="0" w:color="auto"/>
            <w:bottom w:val="none" w:sz="0" w:space="0" w:color="auto"/>
            <w:right w:val="none" w:sz="0" w:space="0" w:color="auto"/>
          </w:divBdr>
          <w:divsChild>
            <w:div w:id="1125662275">
              <w:marLeft w:val="0"/>
              <w:marRight w:val="0"/>
              <w:marTop w:val="0"/>
              <w:marBottom w:val="0"/>
              <w:divBdr>
                <w:top w:val="none" w:sz="0" w:space="0" w:color="auto"/>
                <w:left w:val="none" w:sz="0" w:space="0" w:color="auto"/>
                <w:bottom w:val="none" w:sz="0" w:space="0" w:color="auto"/>
                <w:right w:val="none" w:sz="0" w:space="0" w:color="auto"/>
              </w:divBdr>
            </w:div>
          </w:divsChild>
        </w:div>
        <w:div w:id="508133177">
          <w:marLeft w:val="0"/>
          <w:marRight w:val="0"/>
          <w:marTop w:val="0"/>
          <w:marBottom w:val="0"/>
          <w:divBdr>
            <w:top w:val="none" w:sz="0" w:space="0" w:color="auto"/>
            <w:left w:val="none" w:sz="0" w:space="0" w:color="auto"/>
            <w:bottom w:val="none" w:sz="0" w:space="0" w:color="auto"/>
            <w:right w:val="none" w:sz="0" w:space="0" w:color="auto"/>
          </w:divBdr>
          <w:divsChild>
            <w:div w:id="1337536753">
              <w:marLeft w:val="0"/>
              <w:marRight w:val="0"/>
              <w:marTop w:val="0"/>
              <w:marBottom w:val="0"/>
              <w:divBdr>
                <w:top w:val="none" w:sz="0" w:space="0" w:color="auto"/>
                <w:left w:val="none" w:sz="0" w:space="0" w:color="auto"/>
                <w:bottom w:val="none" w:sz="0" w:space="0" w:color="auto"/>
                <w:right w:val="none" w:sz="0" w:space="0" w:color="auto"/>
              </w:divBdr>
            </w:div>
          </w:divsChild>
        </w:div>
        <w:div w:id="536964653">
          <w:marLeft w:val="0"/>
          <w:marRight w:val="0"/>
          <w:marTop w:val="0"/>
          <w:marBottom w:val="0"/>
          <w:divBdr>
            <w:top w:val="none" w:sz="0" w:space="0" w:color="auto"/>
            <w:left w:val="none" w:sz="0" w:space="0" w:color="auto"/>
            <w:bottom w:val="none" w:sz="0" w:space="0" w:color="auto"/>
            <w:right w:val="none" w:sz="0" w:space="0" w:color="auto"/>
          </w:divBdr>
          <w:divsChild>
            <w:div w:id="1066608343">
              <w:marLeft w:val="0"/>
              <w:marRight w:val="0"/>
              <w:marTop w:val="0"/>
              <w:marBottom w:val="0"/>
              <w:divBdr>
                <w:top w:val="none" w:sz="0" w:space="0" w:color="auto"/>
                <w:left w:val="none" w:sz="0" w:space="0" w:color="auto"/>
                <w:bottom w:val="none" w:sz="0" w:space="0" w:color="auto"/>
                <w:right w:val="none" w:sz="0" w:space="0" w:color="auto"/>
              </w:divBdr>
            </w:div>
          </w:divsChild>
        </w:div>
        <w:div w:id="582374536">
          <w:marLeft w:val="0"/>
          <w:marRight w:val="0"/>
          <w:marTop w:val="0"/>
          <w:marBottom w:val="0"/>
          <w:divBdr>
            <w:top w:val="none" w:sz="0" w:space="0" w:color="auto"/>
            <w:left w:val="none" w:sz="0" w:space="0" w:color="auto"/>
            <w:bottom w:val="none" w:sz="0" w:space="0" w:color="auto"/>
            <w:right w:val="none" w:sz="0" w:space="0" w:color="auto"/>
          </w:divBdr>
          <w:divsChild>
            <w:div w:id="220793227">
              <w:marLeft w:val="0"/>
              <w:marRight w:val="0"/>
              <w:marTop w:val="0"/>
              <w:marBottom w:val="0"/>
              <w:divBdr>
                <w:top w:val="none" w:sz="0" w:space="0" w:color="auto"/>
                <w:left w:val="none" w:sz="0" w:space="0" w:color="auto"/>
                <w:bottom w:val="none" w:sz="0" w:space="0" w:color="auto"/>
                <w:right w:val="none" w:sz="0" w:space="0" w:color="auto"/>
              </w:divBdr>
            </w:div>
          </w:divsChild>
        </w:div>
        <w:div w:id="646976553">
          <w:marLeft w:val="0"/>
          <w:marRight w:val="0"/>
          <w:marTop w:val="0"/>
          <w:marBottom w:val="0"/>
          <w:divBdr>
            <w:top w:val="none" w:sz="0" w:space="0" w:color="auto"/>
            <w:left w:val="none" w:sz="0" w:space="0" w:color="auto"/>
            <w:bottom w:val="none" w:sz="0" w:space="0" w:color="auto"/>
            <w:right w:val="none" w:sz="0" w:space="0" w:color="auto"/>
          </w:divBdr>
          <w:divsChild>
            <w:div w:id="309939743">
              <w:marLeft w:val="0"/>
              <w:marRight w:val="0"/>
              <w:marTop w:val="0"/>
              <w:marBottom w:val="0"/>
              <w:divBdr>
                <w:top w:val="none" w:sz="0" w:space="0" w:color="auto"/>
                <w:left w:val="none" w:sz="0" w:space="0" w:color="auto"/>
                <w:bottom w:val="none" w:sz="0" w:space="0" w:color="auto"/>
                <w:right w:val="none" w:sz="0" w:space="0" w:color="auto"/>
              </w:divBdr>
            </w:div>
          </w:divsChild>
        </w:div>
        <w:div w:id="649868051">
          <w:marLeft w:val="0"/>
          <w:marRight w:val="0"/>
          <w:marTop w:val="0"/>
          <w:marBottom w:val="0"/>
          <w:divBdr>
            <w:top w:val="none" w:sz="0" w:space="0" w:color="auto"/>
            <w:left w:val="none" w:sz="0" w:space="0" w:color="auto"/>
            <w:bottom w:val="none" w:sz="0" w:space="0" w:color="auto"/>
            <w:right w:val="none" w:sz="0" w:space="0" w:color="auto"/>
          </w:divBdr>
          <w:divsChild>
            <w:div w:id="1879269971">
              <w:marLeft w:val="0"/>
              <w:marRight w:val="0"/>
              <w:marTop w:val="0"/>
              <w:marBottom w:val="0"/>
              <w:divBdr>
                <w:top w:val="none" w:sz="0" w:space="0" w:color="auto"/>
                <w:left w:val="none" w:sz="0" w:space="0" w:color="auto"/>
                <w:bottom w:val="none" w:sz="0" w:space="0" w:color="auto"/>
                <w:right w:val="none" w:sz="0" w:space="0" w:color="auto"/>
              </w:divBdr>
            </w:div>
          </w:divsChild>
        </w:div>
        <w:div w:id="655303061">
          <w:marLeft w:val="0"/>
          <w:marRight w:val="0"/>
          <w:marTop w:val="0"/>
          <w:marBottom w:val="0"/>
          <w:divBdr>
            <w:top w:val="none" w:sz="0" w:space="0" w:color="auto"/>
            <w:left w:val="none" w:sz="0" w:space="0" w:color="auto"/>
            <w:bottom w:val="none" w:sz="0" w:space="0" w:color="auto"/>
            <w:right w:val="none" w:sz="0" w:space="0" w:color="auto"/>
          </w:divBdr>
          <w:divsChild>
            <w:div w:id="711617871">
              <w:marLeft w:val="0"/>
              <w:marRight w:val="0"/>
              <w:marTop w:val="0"/>
              <w:marBottom w:val="0"/>
              <w:divBdr>
                <w:top w:val="none" w:sz="0" w:space="0" w:color="auto"/>
                <w:left w:val="none" w:sz="0" w:space="0" w:color="auto"/>
                <w:bottom w:val="none" w:sz="0" w:space="0" w:color="auto"/>
                <w:right w:val="none" w:sz="0" w:space="0" w:color="auto"/>
              </w:divBdr>
            </w:div>
          </w:divsChild>
        </w:div>
        <w:div w:id="706217784">
          <w:marLeft w:val="0"/>
          <w:marRight w:val="0"/>
          <w:marTop w:val="0"/>
          <w:marBottom w:val="0"/>
          <w:divBdr>
            <w:top w:val="none" w:sz="0" w:space="0" w:color="auto"/>
            <w:left w:val="none" w:sz="0" w:space="0" w:color="auto"/>
            <w:bottom w:val="none" w:sz="0" w:space="0" w:color="auto"/>
            <w:right w:val="none" w:sz="0" w:space="0" w:color="auto"/>
          </w:divBdr>
          <w:divsChild>
            <w:div w:id="525293045">
              <w:marLeft w:val="0"/>
              <w:marRight w:val="0"/>
              <w:marTop w:val="0"/>
              <w:marBottom w:val="0"/>
              <w:divBdr>
                <w:top w:val="none" w:sz="0" w:space="0" w:color="auto"/>
                <w:left w:val="none" w:sz="0" w:space="0" w:color="auto"/>
                <w:bottom w:val="none" w:sz="0" w:space="0" w:color="auto"/>
                <w:right w:val="none" w:sz="0" w:space="0" w:color="auto"/>
              </w:divBdr>
            </w:div>
            <w:div w:id="1279682848">
              <w:marLeft w:val="0"/>
              <w:marRight w:val="0"/>
              <w:marTop w:val="0"/>
              <w:marBottom w:val="0"/>
              <w:divBdr>
                <w:top w:val="none" w:sz="0" w:space="0" w:color="auto"/>
                <w:left w:val="none" w:sz="0" w:space="0" w:color="auto"/>
                <w:bottom w:val="none" w:sz="0" w:space="0" w:color="auto"/>
                <w:right w:val="none" w:sz="0" w:space="0" w:color="auto"/>
              </w:divBdr>
            </w:div>
          </w:divsChild>
        </w:div>
        <w:div w:id="730465703">
          <w:marLeft w:val="0"/>
          <w:marRight w:val="0"/>
          <w:marTop w:val="0"/>
          <w:marBottom w:val="0"/>
          <w:divBdr>
            <w:top w:val="none" w:sz="0" w:space="0" w:color="auto"/>
            <w:left w:val="none" w:sz="0" w:space="0" w:color="auto"/>
            <w:bottom w:val="none" w:sz="0" w:space="0" w:color="auto"/>
            <w:right w:val="none" w:sz="0" w:space="0" w:color="auto"/>
          </w:divBdr>
          <w:divsChild>
            <w:div w:id="1960910344">
              <w:marLeft w:val="0"/>
              <w:marRight w:val="0"/>
              <w:marTop w:val="0"/>
              <w:marBottom w:val="0"/>
              <w:divBdr>
                <w:top w:val="none" w:sz="0" w:space="0" w:color="auto"/>
                <w:left w:val="none" w:sz="0" w:space="0" w:color="auto"/>
                <w:bottom w:val="none" w:sz="0" w:space="0" w:color="auto"/>
                <w:right w:val="none" w:sz="0" w:space="0" w:color="auto"/>
              </w:divBdr>
            </w:div>
          </w:divsChild>
        </w:div>
        <w:div w:id="747967034">
          <w:marLeft w:val="0"/>
          <w:marRight w:val="0"/>
          <w:marTop w:val="0"/>
          <w:marBottom w:val="0"/>
          <w:divBdr>
            <w:top w:val="none" w:sz="0" w:space="0" w:color="auto"/>
            <w:left w:val="none" w:sz="0" w:space="0" w:color="auto"/>
            <w:bottom w:val="none" w:sz="0" w:space="0" w:color="auto"/>
            <w:right w:val="none" w:sz="0" w:space="0" w:color="auto"/>
          </w:divBdr>
          <w:divsChild>
            <w:div w:id="92825421">
              <w:marLeft w:val="0"/>
              <w:marRight w:val="0"/>
              <w:marTop w:val="0"/>
              <w:marBottom w:val="0"/>
              <w:divBdr>
                <w:top w:val="none" w:sz="0" w:space="0" w:color="auto"/>
                <w:left w:val="none" w:sz="0" w:space="0" w:color="auto"/>
                <w:bottom w:val="none" w:sz="0" w:space="0" w:color="auto"/>
                <w:right w:val="none" w:sz="0" w:space="0" w:color="auto"/>
              </w:divBdr>
            </w:div>
          </w:divsChild>
        </w:div>
        <w:div w:id="757095906">
          <w:marLeft w:val="0"/>
          <w:marRight w:val="0"/>
          <w:marTop w:val="0"/>
          <w:marBottom w:val="0"/>
          <w:divBdr>
            <w:top w:val="none" w:sz="0" w:space="0" w:color="auto"/>
            <w:left w:val="none" w:sz="0" w:space="0" w:color="auto"/>
            <w:bottom w:val="none" w:sz="0" w:space="0" w:color="auto"/>
            <w:right w:val="none" w:sz="0" w:space="0" w:color="auto"/>
          </w:divBdr>
          <w:divsChild>
            <w:div w:id="878052016">
              <w:marLeft w:val="0"/>
              <w:marRight w:val="0"/>
              <w:marTop w:val="0"/>
              <w:marBottom w:val="0"/>
              <w:divBdr>
                <w:top w:val="none" w:sz="0" w:space="0" w:color="auto"/>
                <w:left w:val="none" w:sz="0" w:space="0" w:color="auto"/>
                <w:bottom w:val="none" w:sz="0" w:space="0" w:color="auto"/>
                <w:right w:val="none" w:sz="0" w:space="0" w:color="auto"/>
              </w:divBdr>
            </w:div>
          </w:divsChild>
        </w:div>
        <w:div w:id="762259751">
          <w:marLeft w:val="0"/>
          <w:marRight w:val="0"/>
          <w:marTop w:val="0"/>
          <w:marBottom w:val="0"/>
          <w:divBdr>
            <w:top w:val="none" w:sz="0" w:space="0" w:color="auto"/>
            <w:left w:val="none" w:sz="0" w:space="0" w:color="auto"/>
            <w:bottom w:val="none" w:sz="0" w:space="0" w:color="auto"/>
            <w:right w:val="none" w:sz="0" w:space="0" w:color="auto"/>
          </w:divBdr>
          <w:divsChild>
            <w:div w:id="2100562906">
              <w:marLeft w:val="0"/>
              <w:marRight w:val="0"/>
              <w:marTop w:val="0"/>
              <w:marBottom w:val="0"/>
              <w:divBdr>
                <w:top w:val="none" w:sz="0" w:space="0" w:color="auto"/>
                <w:left w:val="none" w:sz="0" w:space="0" w:color="auto"/>
                <w:bottom w:val="none" w:sz="0" w:space="0" w:color="auto"/>
                <w:right w:val="none" w:sz="0" w:space="0" w:color="auto"/>
              </w:divBdr>
            </w:div>
          </w:divsChild>
        </w:div>
        <w:div w:id="773669742">
          <w:marLeft w:val="0"/>
          <w:marRight w:val="0"/>
          <w:marTop w:val="0"/>
          <w:marBottom w:val="0"/>
          <w:divBdr>
            <w:top w:val="none" w:sz="0" w:space="0" w:color="auto"/>
            <w:left w:val="none" w:sz="0" w:space="0" w:color="auto"/>
            <w:bottom w:val="none" w:sz="0" w:space="0" w:color="auto"/>
            <w:right w:val="none" w:sz="0" w:space="0" w:color="auto"/>
          </w:divBdr>
          <w:divsChild>
            <w:div w:id="717097098">
              <w:marLeft w:val="0"/>
              <w:marRight w:val="0"/>
              <w:marTop w:val="0"/>
              <w:marBottom w:val="0"/>
              <w:divBdr>
                <w:top w:val="none" w:sz="0" w:space="0" w:color="auto"/>
                <w:left w:val="none" w:sz="0" w:space="0" w:color="auto"/>
                <w:bottom w:val="none" w:sz="0" w:space="0" w:color="auto"/>
                <w:right w:val="none" w:sz="0" w:space="0" w:color="auto"/>
              </w:divBdr>
            </w:div>
          </w:divsChild>
        </w:div>
        <w:div w:id="815145950">
          <w:marLeft w:val="0"/>
          <w:marRight w:val="0"/>
          <w:marTop w:val="0"/>
          <w:marBottom w:val="0"/>
          <w:divBdr>
            <w:top w:val="none" w:sz="0" w:space="0" w:color="auto"/>
            <w:left w:val="none" w:sz="0" w:space="0" w:color="auto"/>
            <w:bottom w:val="none" w:sz="0" w:space="0" w:color="auto"/>
            <w:right w:val="none" w:sz="0" w:space="0" w:color="auto"/>
          </w:divBdr>
          <w:divsChild>
            <w:div w:id="1245148606">
              <w:marLeft w:val="0"/>
              <w:marRight w:val="0"/>
              <w:marTop w:val="0"/>
              <w:marBottom w:val="0"/>
              <w:divBdr>
                <w:top w:val="none" w:sz="0" w:space="0" w:color="auto"/>
                <w:left w:val="none" w:sz="0" w:space="0" w:color="auto"/>
                <w:bottom w:val="none" w:sz="0" w:space="0" w:color="auto"/>
                <w:right w:val="none" w:sz="0" w:space="0" w:color="auto"/>
              </w:divBdr>
            </w:div>
          </w:divsChild>
        </w:div>
        <w:div w:id="827021071">
          <w:marLeft w:val="0"/>
          <w:marRight w:val="0"/>
          <w:marTop w:val="0"/>
          <w:marBottom w:val="0"/>
          <w:divBdr>
            <w:top w:val="none" w:sz="0" w:space="0" w:color="auto"/>
            <w:left w:val="none" w:sz="0" w:space="0" w:color="auto"/>
            <w:bottom w:val="none" w:sz="0" w:space="0" w:color="auto"/>
            <w:right w:val="none" w:sz="0" w:space="0" w:color="auto"/>
          </w:divBdr>
          <w:divsChild>
            <w:div w:id="1921403617">
              <w:marLeft w:val="0"/>
              <w:marRight w:val="0"/>
              <w:marTop w:val="0"/>
              <w:marBottom w:val="0"/>
              <w:divBdr>
                <w:top w:val="none" w:sz="0" w:space="0" w:color="auto"/>
                <w:left w:val="none" w:sz="0" w:space="0" w:color="auto"/>
                <w:bottom w:val="none" w:sz="0" w:space="0" w:color="auto"/>
                <w:right w:val="none" w:sz="0" w:space="0" w:color="auto"/>
              </w:divBdr>
            </w:div>
          </w:divsChild>
        </w:div>
        <w:div w:id="877862074">
          <w:marLeft w:val="0"/>
          <w:marRight w:val="0"/>
          <w:marTop w:val="0"/>
          <w:marBottom w:val="0"/>
          <w:divBdr>
            <w:top w:val="none" w:sz="0" w:space="0" w:color="auto"/>
            <w:left w:val="none" w:sz="0" w:space="0" w:color="auto"/>
            <w:bottom w:val="none" w:sz="0" w:space="0" w:color="auto"/>
            <w:right w:val="none" w:sz="0" w:space="0" w:color="auto"/>
          </w:divBdr>
          <w:divsChild>
            <w:div w:id="1769109634">
              <w:marLeft w:val="0"/>
              <w:marRight w:val="0"/>
              <w:marTop w:val="0"/>
              <w:marBottom w:val="0"/>
              <w:divBdr>
                <w:top w:val="none" w:sz="0" w:space="0" w:color="auto"/>
                <w:left w:val="none" w:sz="0" w:space="0" w:color="auto"/>
                <w:bottom w:val="none" w:sz="0" w:space="0" w:color="auto"/>
                <w:right w:val="none" w:sz="0" w:space="0" w:color="auto"/>
              </w:divBdr>
            </w:div>
          </w:divsChild>
        </w:div>
        <w:div w:id="880097517">
          <w:marLeft w:val="0"/>
          <w:marRight w:val="0"/>
          <w:marTop w:val="0"/>
          <w:marBottom w:val="0"/>
          <w:divBdr>
            <w:top w:val="none" w:sz="0" w:space="0" w:color="auto"/>
            <w:left w:val="none" w:sz="0" w:space="0" w:color="auto"/>
            <w:bottom w:val="none" w:sz="0" w:space="0" w:color="auto"/>
            <w:right w:val="none" w:sz="0" w:space="0" w:color="auto"/>
          </w:divBdr>
          <w:divsChild>
            <w:div w:id="1363825888">
              <w:marLeft w:val="0"/>
              <w:marRight w:val="0"/>
              <w:marTop w:val="0"/>
              <w:marBottom w:val="0"/>
              <w:divBdr>
                <w:top w:val="none" w:sz="0" w:space="0" w:color="auto"/>
                <w:left w:val="none" w:sz="0" w:space="0" w:color="auto"/>
                <w:bottom w:val="none" w:sz="0" w:space="0" w:color="auto"/>
                <w:right w:val="none" w:sz="0" w:space="0" w:color="auto"/>
              </w:divBdr>
            </w:div>
          </w:divsChild>
        </w:div>
        <w:div w:id="1017005475">
          <w:marLeft w:val="0"/>
          <w:marRight w:val="0"/>
          <w:marTop w:val="0"/>
          <w:marBottom w:val="0"/>
          <w:divBdr>
            <w:top w:val="none" w:sz="0" w:space="0" w:color="auto"/>
            <w:left w:val="none" w:sz="0" w:space="0" w:color="auto"/>
            <w:bottom w:val="none" w:sz="0" w:space="0" w:color="auto"/>
            <w:right w:val="none" w:sz="0" w:space="0" w:color="auto"/>
          </w:divBdr>
          <w:divsChild>
            <w:div w:id="550919876">
              <w:marLeft w:val="0"/>
              <w:marRight w:val="0"/>
              <w:marTop w:val="0"/>
              <w:marBottom w:val="0"/>
              <w:divBdr>
                <w:top w:val="none" w:sz="0" w:space="0" w:color="auto"/>
                <w:left w:val="none" w:sz="0" w:space="0" w:color="auto"/>
                <w:bottom w:val="none" w:sz="0" w:space="0" w:color="auto"/>
                <w:right w:val="none" w:sz="0" w:space="0" w:color="auto"/>
              </w:divBdr>
            </w:div>
          </w:divsChild>
        </w:div>
        <w:div w:id="1063522470">
          <w:marLeft w:val="0"/>
          <w:marRight w:val="0"/>
          <w:marTop w:val="0"/>
          <w:marBottom w:val="0"/>
          <w:divBdr>
            <w:top w:val="none" w:sz="0" w:space="0" w:color="auto"/>
            <w:left w:val="none" w:sz="0" w:space="0" w:color="auto"/>
            <w:bottom w:val="none" w:sz="0" w:space="0" w:color="auto"/>
            <w:right w:val="none" w:sz="0" w:space="0" w:color="auto"/>
          </w:divBdr>
          <w:divsChild>
            <w:div w:id="1640113853">
              <w:marLeft w:val="0"/>
              <w:marRight w:val="0"/>
              <w:marTop w:val="0"/>
              <w:marBottom w:val="0"/>
              <w:divBdr>
                <w:top w:val="none" w:sz="0" w:space="0" w:color="auto"/>
                <w:left w:val="none" w:sz="0" w:space="0" w:color="auto"/>
                <w:bottom w:val="none" w:sz="0" w:space="0" w:color="auto"/>
                <w:right w:val="none" w:sz="0" w:space="0" w:color="auto"/>
              </w:divBdr>
            </w:div>
          </w:divsChild>
        </w:div>
        <w:div w:id="1066493014">
          <w:marLeft w:val="0"/>
          <w:marRight w:val="0"/>
          <w:marTop w:val="0"/>
          <w:marBottom w:val="0"/>
          <w:divBdr>
            <w:top w:val="none" w:sz="0" w:space="0" w:color="auto"/>
            <w:left w:val="none" w:sz="0" w:space="0" w:color="auto"/>
            <w:bottom w:val="none" w:sz="0" w:space="0" w:color="auto"/>
            <w:right w:val="none" w:sz="0" w:space="0" w:color="auto"/>
          </w:divBdr>
          <w:divsChild>
            <w:div w:id="1670866506">
              <w:marLeft w:val="0"/>
              <w:marRight w:val="0"/>
              <w:marTop w:val="0"/>
              <w:marBottom w:val="0"/>
              <w:divBdr>
                <w:top w:val="none" w:sz="0" w:space="0" w:color="auto"/>
                <w:left w:val="none" w:sz="0" w:space="0" w:color="auto"/>
                <w:bottom w:val="none" w:sz="0" w:space="0" w:color="auto"/>
                <w:right w:val="none" w:sz="0" w:space="0" w:color="auto"/>
              </w:divBdr>
            </w:div>
          </w:divsChild>
        </w:div>
        <w:div w:id="1234852589">
          <w:marLeft w:val="0"/>
          <w:marRight w:val="0"/>
          <w:marTop w:val="0"/>
          <w:marBottom w:val="0"/>
          <w:divBdr>
            <w:top w:val="none" w:sz="0" w:space="0" w:color="auto"/>
            <w:left w:val="none" w:sz="0" w:space="0" w:color="auto"/>
            <w:bottom w:val="none" w:sz="0" w:space="0" w:color="auto"/>
            <w:right w:val="none" w:sz="0" w:space="0" w:color="auto"/>
          </w:divBdr>
          <w:divsChild>
            <w:div w:id="1657345184">
              <w:marLeft w:val="0"/>
              <w:marRight w:val="0"/>
              <w:marTop w:val="0"/>
              <w:marBottom w:val="0"/>
              <w:divBdr>
                <w:top w:val="none" w:sz="0" w:space="0" w:color="auto"/>
                <w:left w:val="none" w:sz="0" w:space="0" w:color="auto"/>
                <w:bottom w:val="none" w:sz="0" w:space="0" w:color="auto"/>
                <w:right w:val="none" w:sz="0" w:space="0" w:color="auto"/>
              </w:divBdr>
            </w:div>
          </w:divsChild>
        </w:div>
        <w:div w:id="1239557824">
          <w:marLeft w:val="0"/>
          <w:marRight w:val="0"/>
          <w:marTop w:val="0"/>
          <w:marBottom w:val="0"/>
          <w:divBdr>
            <w:top w:val="none" w:sz="0" w:space="0" w:color="auto"/>
            <w:left w:val="none" w:sz="0" w:space="0" w:color="auto"/>
            <w:bottom w:val="none" w:sz="0" w:space="0" w:color="auto"/>
            <w:right w:val="none" w:sz="0" w:space="0" w:color="auto"/>
          </w:divBdr>
          <w:divsChild>
            <w:div w:id="1702247256">
              <w:marLeft w:val="0"/>
              <w:marRight w:val="0"/>
              <w:marTop w:val="0"/>
              <w:marBottom w:val="0"/>
              <w:divBdr>
                <w:top w:val="none" w:sz="0" w:space="0" w:color="auto"/>
                <w:left w:val="none" w:sz="0" w:space="0" w:color="auto"/>
                <w:bottom w:val="none" w:sz="0" w:space="0" w:color="auto"/>
                <w:right w:val="none" w:sz="0" w:space="0" w:color="auto"/>
              </w:divBdr>
            </w:div>
          </w:divsChild>
        </w:div>
        <w:div w:id="1252200910">
          <w:marLeft w:val="0"/>
          <w:marRight w:val="0"/>
          <w:marTop w:val="0"/>
          <w:marBottom w:val="0"/>
          <w:divBdr>
            <w:top w:val="none" w:sz="0" w:space="0" w:color="auto"/>
            <w:left w:val="none" w:sz="0" w:space="0" w:color="auto"/>
            <w:bottom w:val="none" w:sz="0" w:space="0" w:color="auto"/>
            <w:right w:val="none" w:sz="0" w:space="0" w:color="auto"/>
          </w:divBdr>
          <w:divsChild>
            <w:div w:id="1740404613">
              <w:marLeft w:val="0"/>
              <w:marRight w:val="0"/>
              <w:marTop w:val="0"/>
              <w:marBottom w:val="0"/>
              <w:divBdr>
                <w:top w:val="none" w:sz="0" w:space="0" w:color="auto"/>
                <w:left w:val="none" w:sz="0" w:space="0" w:color="auto"/>
                <w:bottom w:val="none" w:sz="0" w:space="0" w:color="auto"/>
                <w:right w:val="none" w:sz="0" w:space="0" w:color="auto"/>
              </w:divBdr>
            </w:div>
          </w:divsChild>
        </w:div>
        <w:div w:id="1307510470">
          <w:marLeft w:val="0"/>
          <w:marRight w:val="0"/>
          <w:marTop w:val="0"/>
          <w:marBottom w:val="0"/>
          <w:divBdr>
            <w:top w:val="none" w:sz="0" w:space="0" w:color="auto"/>
            <w:left w:val="none" w:sz="0" w:space="0" w:color="auto"/>
            <w:bottom w:val="none" w:sz="0" w:space="0" w:color="auto"/>
            <w:right w:val="none" w:sz="0" w:space="0" w:color="auto"/>
          </w:divBdr>
          <w:divsChild>
            <w:div w:id="1765689378">
              <w:marLeft w:val="0"/>
              <w:marRight w:val="0"/>
              <w:marTop w:val="0"/>
              <w:marBottom w:val="0"/>
              <w:divBdr>
                <w:top w:val="none" w:sz="0" w:space="0" w:color="auto"/>
                <w:left w:val="none" w:sz="0" w:space="0" w:color="auto"/>
                <w:bottom w:val="none" w:sz="0" w:space="0" w:color="auto"/>
                <w:right w:val="none" w:sz="0" w:space="0" w:color="auto"/>
              </w:divBdr>
            </w:div>
          </w:divsChild>
        </w:div>
        <w:div w:id="1321350517">
          <w:marLeft w:val="0"/>
          <w:marRight w:val="0"/>
          <w:marTop w:val="0"/>
          <w:marBottom w:val="0"/>
          <w:divBdr>
            <w:top w:val="none" w:sz="0" w:space="0" w:color="auto"/>
            <w:left w:val="none" w:sz="0" w:space="0" w:color="auto"/>
            <w:bottom w:val="none" w:sz="0" w:space="0" w:color="auto"/>
            <w:right w:val="none" w:sz="0" w:space="0" w:color="auto"/>
          </w:divBdr>
          <w:divsChild>
            <w:div w:id="2143308393">
              <w:marLeft w:val="0"/>
              <w:marRight w:val="0"/>
              <w:marTop w:val="0"/>
              <w:marBottom w:val="0"/>
              <w:divBdr>
                <w:top w:val="none" w:sz="0" w:space="0" w:color="auto"/>
                <w:left w:val="none" w:sz="0" w:space="0" w:color="auto"/>
                <w:bottom w:val="none" w:sz="0" w:space="0" w:color="auto"/>
                <w:right w:val="none" w:sz="0" w:space="0" w:color="auto"/>
              </w:divBdr>
            </w:div>
          </w:divsChild>
        </w:div>
        <w:div w:id="1345473960">
          <w:marLeft w:val="0"/>
          <w:marRight w:val="0"/>
          <w:marTop w:val="0"/>
          <w:marBottom w:val="0"/>
          <w:divBdr>
            <w:top w:val="none" w:sz="0" w:space="0" w:color="auto"/>
            <w:left w:val="none" w:sz="0" w:space="0" w:color="auto"/>
            <w:bottom w:val="none" w:sz="0" w:space="0" w:color="auto"/>
            <w:right w:val="none" w:sz="0" w:space="0" w:color="auto"/>
          </w:divBdr>
          <w:divsChild>
            <w:div w:id="2005237611">
              <w:marLeft w:val="0"/>
              <w:marRight w:val="0"/>
              <w:marTop w:val="0"/>
              <w:marBottom w:val="0"/>
              <w:divBdr>
                <w:top w:val="none" w:sz="0" w:space="0" w:color="auto"/>
                <w:left w:val="none" w:sz="0" w:space="0" w:color="auto"/>
                <w:bottom w:val="none" w:sz="0" w:space="0" w:color="auto"/>
                <w:right w:val="none" w:sz="0" w:space="0" w:color="auto"/>
              </w:divBdr>
            </w:div>
          </w:divsChild>
        </w:div>
        <w:div w:id="1346400301">
          <w:marLeft w:val="0"/>
          <w:marRight w:val="0"/>
          <w:marTop w:val="0"/>
          <w:marBottom w:val="0"/>
          <w:divBdr>
            <w:top w:val="none" w:sz="0" w:space="0" w:color="auto"/>
            <w:left w:val="none" w:sz="0" w:space="0" w:color="auto"/>
            <w:bottom w:val="none" w:sz="0" w:space="0" w:color="auto"/>
            <w:right w:val="none" w:sz="0" w:space="0" w:color="auto"/>
          </w:divBdr>
          <w:divsChild>
            <w:div w:id="118189890">
              <w:marLeft w:val="0"/>
              <w:marRight w:val="0"/>
              <w:marTop w:val="0"/>
              <w:marBottom w:val="0"/>
              <w:divBdr>
                <w:top w:val="none" w:sz="0" w:space="0" w:color="auto"/>
                <w:left w:val="none" w:sz="0" w:space="0" w:color="auto"/>
                <w:bottom w:val="none" w:sz="0" w:space="0" w:color="auto"/>
                <w:right w:val="none" w:sz="0" w:space="0" w:color="auto"/>
              </w:divBdr>
            </w:div>
          </w:divsChild>
        </w:div>
        <w:div w:id="1350064496">
          <w:marLeft w:val="0"/>
          <w:marRight w:val="0"/>
          <w:marTop w:val="0"/>
          <w:marBottom w:val="0"/>
          <w:divBdr>
            <w:top w:val="none" w:sz="0" w:space="0" w:color="auto"/>
            <w:left w:val="none" w:sz="0" w:space="0" w:color="auto"/>
            <w:bottom w:val="none" w:sz="0" w:space="0" w:color="auto"/>
            <w:right w:val="none" w:sz="0" w:space="0" w:color="auto"/>
          </w:divBdr>
          <w:divsChild>
            <w:div w:id="2104565094">
              <w:marLeft w:val="0"/>
              <w:marRight w:val="0"/>
              <w:marTop w:val="0"/>
              <w:marBottom w:val="0"/>
              <w:divBdr>
                <w:top w:val="none" w:sz="0" w:space="0" w:color="auto"/>
                <w:left w:val="none" w:sz="0" w:space="0" w:color="auto"/>
                <w:bottom w:val="none" w:sz="0" w:space="0" w:color="auto"/>
                <w:right w:val="none" w:sz="0" w:space="0" w:color="auto"/>
              </w:divBdr>
            </w:div>
          </w:divsChild>
        </w:div>
        <w:div w:id="1352878992">
          <w:marLeft w:val="0"/>
          <w:marRight w:val="0"/>
          <w:marTop w:val="0"/>
          <w:marBottom w:val="0"/>
          <w:divBdr>
            <w:top w:val="none" w:sz="0" w:space="0" w:color="auto"/>
            <w:left w:val="none" w:sz="0" w:space="0" w:color="auto"/>
            <w:bottom w:val="none" w:sz="0" w:space="0" w:color="auto"/>
            <w:right w:val="none" w:sz="0" w:space="0" w:color="auto"/>
          </w:divBdr>
          <w:divsChild>
            <w:div w:id="1023365505">
              <w:marLeft w:val="0"/>
              <w:marRight w:val="0"/>
              <w:marTop w:val="0"/>
              <w:marBottom w:val="0"/>
              <w:divBdr>
                <w:top w:val="none" w:sz="0" w:space="0" w:color="auto"/>
                <w:left w:val="none" w:sz="0" w:space="0" w:color="auto"/>
                <w:bottom w:val="none" w:sz="0" w:space="0" w:color="auto"/>
                <w:right w:val="none" w:sz="0" w:space="0" w:color="auto"/>
              </w:divBdr>
            </w:div>
          </w:divsChild>
        </w:div>
        <w:div w:id="1392577296">
          <w:marLeft w:val="0"/>
          <w:marRight w:val="0"/>
          <w:marTop w:val="0"/>
          <w:marBottom w:val="0"/>
          <w:divBdr>
            <w:top w:val="none" w:sz="0" w:space="0" w:color="auto"/>
            <w:left w:val="none" w:sz="0" w:space="0" w:color="auto"/>
            <w:bottom w:val="none" w:sz="0" w:space="0" w:color="auto"/>
            <w:right w:val="none" w:sz="0" w:space="0" w:color="auto"/>
          </w:divBdr>
          <w:divsChild>
            <w:div w:id="1677069869">
              <w:marLeft w:val="0"/>
              <w:marRight w:val="0"/>
              <w:marTop w:val="0"/>
              <w:marBottom w:val="0"/>
              <w:divBdr>
                <w:top w:val="none" w:sz="0" w:space="0" w:color="auto"/>
                <w:left w:val="none" w:sz="0" w:space="0" w:color="auto"/>
                <w:bottom w:val="none" w:sz="0" w:space="0" w:color="auto"/>
                <w:right w:val="none" w:sz="0" w:space="0" w:color="auto"/>
              </w:divBdr>
            </w:div>
          </w:divsChild>
        </w:div>
        <w:div w:id="1451822415">
          <w:marLeft w:val="0"/>
          <w:marRight w:val="0"/>
          <w:marTop w:val="0"/>
          <w:marBottom w:val="0"/>
          <w:divBdr>
            <w:top w:val="none" w:sz="0" w:space="0" w:color="auto"/>
            <w:left w:val="none" w:sz="0" w:space="0" w:color="auto"/>
            <w:bottom w:val="none" w:sz="0" w:space="0" w:color="auto"/>
            <w:right w:val="none" w:sz="0" w:space="0" w:color="auto"/>
          </w:divBdr>
          <w:divsChild>
            <w:div w:id="879048803">
              <w:marLeft w:val="0"/>
              <w:marRight w:val="0"/>
              <w:marTop w:val="0"/>
              <w:marBottom w:val="0"/>
              <w:divBdr>
                <w:top w:val="none" w:sz="0" w:space="0" w:color="auto"/>
                <w:left w:val="none" w:sz="0" w:space="0" w:color="auto"/>
                <w:bottom w:val="none" w:sz="0" w:space="0" w:color="auto"/>
                <w:right w:val="none" w:sz="0" w:space="0" w:color="auto"/>
              </w:divBdr>
            </w:div>
          </w:divsChild>
        </w:div>
        <w:div w:id="1458064231">
          <w:marLeft w:val="0"/>
          <w:marRight w:val="0"/>
          <w:marTop w:val="0"/>
          <w:marBottom w:val="0"/>
          <w:divBdr>
            <w:top w:val="none" w:sz="0" w:space="0" w:color="auto"/>
            <w:left w:val="none" w:sz="0" w:space="0" w:color="auto"/>
            <w:bottom w:val="none" w:sz="0" w:space="0" w:color="auto"/>
            <w:right w:val="none" w:sz="0" w:space="0" w:color="auto"/>
          </w:divBdr>
          <w:divsChild>
            <w:div w:id="925308028">
              <w:marLeft w:val="0"/>
              <w:marRight w:val="0"/>
              <w:marTop w:val="0"/>
              <w:marBottom w:val="0"/>
              <w:divBdr>
                <w:top w:val="none" w:sz="0" w:space="0" w:color="auto"/>
                <w:left w:val="none" w:sz="0" w:space="0" w:color="auto"/>
                <w:bottom w:val="none" w:sz="0" w:space="0" w:color="auto"/>
                <w:right w:val="none" w:sz="0" w:space="0" w:color="auto"/>
              </w:divBdr>
            </w:div>
          </w:divsChild>
        </w:div>
        <w:div w:id="1496072905">
          <w:marLeft w:val="0"/>
          <w:marRight w:val="0"/>
          <w:marTop w:val="0"/>
          <w:marBottom w:val="0"/>
          <w:divBdr>
            <w:top w:val="none" w:sz="0" w:space="0" w:color="auto"/>
            <w:left w:val="none" w:sz="0" w:space="0" w:color="auto"/>
            <w:bottom w:val="none" w:sz="0" w:space="0" w:color="auto"/>
            <w:right w:val="none" w:sz="0" w:space="0" w:color="auto"/>
          </w:divBdr>
          <w:divsChild>
            <w:div w:id="237716313">
              <w:marLeft w:val="0"/>
              <w:marRight w:val="0"/>
              <w:marTop w:val="0"/>
              <w:marBottom w:val="0"/>
              <w:divBdr>
                <w:top w:val="none" w:sz="0" w:space="0" w:color="auto"/>
                <w:left w:val="none" w:sz="0" w:space="0" w:color="auto"/>
                <w:bottom w:val="none" w:sz="0" w:space="0" w:color="auto"/>
                <w:right w:val="none" w:sz="0" w:space="0" w:color="auto"/>
              </w:divBdr>
            </w:div>
          </w:divsChild>
        </w:div>
        <w:div w:id="1509639457">
          <w:marLeft w:val="0"/>
          <w:marRight w:val="0"/>
          <w:marTop w:val="0"/>
          <w:marBottom w:val="0"/>
          <w:divBdr>
            <w:top w:val="none" w:sz="0" w:space="0" w:color="auto"/>
            <w:left w:val="none" w:sz="0" w:space="0" w:color="auto"/>
            <w:bottom w:val="none" w:sz="0" w:space="0" w:color="auto"/>
            <w:right w:val="none" w:sz="0" w:space="0" w:color="auto"/>
          </w:divBdr>
          <w:divsChild>
            <w:div w:id="1337415325">
              <w:marLeft w:val="0"/>
              <w:marRight w:val="0"/>
              <w:marTop w:val="0"/>
              <w:marBottom w:val="0"/>
              <w:divBdr>
                <w:top w:val="none" w:sz="0" w:space="0" w:color="auto"/>
                <w:left w:val="none" w:sz="0" w:space="0" w:color="auto"/>
                <w:bottom w:val="none" w:sz="0" w:space="0" w:color="auto"/>
                <w:right w:val="none" w:sz="0" w:space="0" w:color="auto"/>
              </w:divBdr>
            </w:div>
          </w:divsChild>
        </w:div>
        <w:div w:id="1546673765">
          <w:marLeft w:val="0"/>
          <w:marRight w:val="0"/>
          <w:marTop w:val="0"/>
          <w:marBottom w:val="0"/>
          <w:divBdr>
            <w:top w:val="none" w:sz="0" w:space="0" w:color="auto"/>
            <w:left w:val="none" w:sz="0" w:space="0" w:color="auto"/>
            <w:bottom w:val="none" w:sz="0" w:space="0" w:color="auto"/>
            <w:right w:val="none" w:sz="0" w:space="0" w:color="auto"/>
          </w:divBdr>
          <w:divsChild>
            <w:div w:id="1642610361">
              <w:marLeft w:val="0"/>
              <w:marRight w:val="0"/>
              <w:marTop w:val="0"/>
              <w:marBottom w:val="0"/>
              <w:divBdr>
                <w:top w:val="none" w:sz="0" w:space="0" w:color="auto"/>
                <w:left w:val="none" w:sz="0" w:space="0" w:color="auto"/>
                <w:bottom w:val="none" w:sz="0" w:space="0" w:color="auto"/>
                <w:right w:val="none" w:sz="0" w:space="0" w:color="auto"/>
              </w:divBdr>
            </w:div>
          </w:divsChild>
        </w:div>
        <w:div w:id="1573542234">
          <w:marLeft w:val="0"/>
          <w:marRight w:val="0"/>
          <w:marTop w:val="0"/>
          <w:marBottom w:val="0"/>
          <w:divBdr>
            <w:top w:val="none" w:sz="0" w:space="0" w:color="auto"/>
            <w:left w:val="none" w:sz="0" w:space="0" w:color="auto"/>
            <w:bottom w:val="none" w:sz="0" w:space="0" w:color="auto"/>
            <w:right w:val="none" w:sz="0" w:space="0" w:color="auto"/>
          </w:divBdr>
          <w:divsChild>
            <w:div w:id="1687822918">
              <w:marLeft w:val="0"/>
              <w:marRight w:val="0"/>
              <w:marTop w:val="0"/>
              <w:marBottom w:val="0"/>
              <w:divBdr>
                <w:top w:val="none" w:sz="0" w:space="0" w:color="auto"/>
                <w:left w:val="none" w:sz="0" w:space="0" w:color="auto"/>
                <w:bottom w:val="none" w:sz="0" w:space="0" w:color="auto"/>
                <w:right w:val="none" w:sz="0" w:space="0" w:color="auto"/>
              </w:divBdr>
            </w:div>
          </w:divsChild>
        </w:div>
        <w:div w:id="1578124607">
          <w:marLeft w:val="0"/>
          <w:marRight w:val="0"/>
          <w:marTop w:val="0"/>
          <w:marBottom w:val="0"/>
          <w:divBdr>
            <w:top w:val="none" w:sz="0" w:space="0" w:color="auto"/>
            <w:left w:val="none" w:sz="0" w:space="0" w:color="auto"/>
            <w:bottom w:val="none" w:sz="0" w:space="0" w:color="auto"/>
            <w:right w:val="none" w:sz="0" w:space="0" w:color="auto"/>
          </w:divBdr>
          <w:divsChild>
            <w:div w:id="1783307565">
              <w:marLeft w:val="0"/>
              <w:marRight w:val="0"/>
              <w:marTop w:val="0"/>
              <w:marBottom w:val="0"/>
              <w:divBdr>
                <w:top w:val="none" w:sz="0" w:space="0" w:color="auto"/>
                <w:left w:val="none" w:sz="0" w:space="0" w:color="auto"/>
                <w:bottom w:val="none" w:sz="0" w:space="0" w:color="auto"/>
                <w:right w:val="none" w:sz="0" w:space="0" w:color="auto"/>
              </w:divBdr>
            </w:div>
          </w:divsChild>
        </w:div>
        <w:div w:id="1580292175">
          <w:marLeft w:val="0"/>
          <w:marRight w:val="0"/>
          <w:marTop w:val="0"/>
          <w:marBottom w:val="0"/>
          <w:divBdr>
            <w:top w:val="none" w:sz="0" w:space="0" w:color="auto"/>
            <w:left w:val="none" w:sz="0" w:space="0" w:color="auto"/>
            <w:bottom w:val="none" w:sz="0" w:space="0" w:color="auto"/>
            <w:right w:val="none" w:sz="0" w:space="0" w:color="auto"/>
          </w:divBdr>
          <w:divsChild>
            <w:div w:id="1511987458">
              <w:marLeft w:val="0"/>
              <w:marRight w:val="0"/>
              <w:marTop w:val="0"/>
              <w:marBottom w:val="0"/>
              <w:divBdr>
                <w:top w:val="none" w:sz="0" w:space="0" w:color="auto"/>
                <w:left w:val="none" w:sz="0" w:space="0" w:color="auto"/>
                <w:bottom w:val="none" w:sz="0" w:space="0" w:color="auto"/>
                <w:right w:val="none" w:sz="0" w:space="0" w:color="auto"/>
              </w:divBdr>
            </w:div>
          </w:divsChild>
        </w:div>
        <w:div w:id="1580944872">
          <w:marLeft w:val="0"/>
          <w:marRight w:val="0"/>
          <w:marTop w:val="0"/>
          <w:marBottom w:val="0"/>
          <w:divBdr>
            <w:top w:val="none" w:sz="0" w:space="0" w:color="auto"/>
            <w:left w:val="none" w:sz="0" w:space="0" w:color="auto"/>
            <w:bottom w:val="none" w:sz="0" w:space="0" w:color="auto"/>
            <w:right w:val="none" w:sz="0" w:space="0" w:color="auto"/>
          </w:divBdr>
          <w:divsChild>
            <w:div w:id="2086684940">
              <w:marLeft w:val="0"/>
              <w:marRight w:val="0"/>
              <w:marTop w:val="0"/>
              <w:marBottom w:val="0"/>
              <w:divBdr>
                <w:top w:val="none" w:sz="0" w:space="0" w:color="auto"/>
                <w:left w:val="none" w:sz="0" w:space="0" w:color="auto"/>
                <w:bottom w:val="none" w:sz="0" w:space="0" w:color="auto"/>
                <w:right w:val="none" w:sz="0" w:space="0" w:color="auto"/>
              </w:divBdr>
            </w:div>
          </w:divsChild>
        </w:div>
        <w:div w:id="1603997482">
          <w:marLeft w:val="0"/>
          <w:marRight w:val="0"/>
          <w:marTop w:val="0"/>
          <w:marBottom w:val="0"/>
          <w:divBdr>
            <w:top w:val="none" w:sz="0" w:space="0" w:color="auto"/>
            <w:left w:val="none" w:sz="0" w:space="0" w:color="auto"/>
            <w:bottom w:val="none" w:sz="0" w:space="0" w:color="auto"/>
            <w:right w:val="none" w:sz="0" w:space="0" w:color="auto"/>
          </w:divBdr>
          <w:divsChild>
            <w:div w:id="1123382723">
              <w:marLeft w:val="0"/>
              <w:marRight w:val="0"/>
              <w:marTop w:val="0"/>
              <w:marBottom w:val="0"/>
              <w:divBdr>
                <w:top w:val="none" w:sz="0" w:space="0" w:color="auto"/>
                <w:left w:val="none" w:sz="0" w:space="0" w:color="auto"/>
                <w:bottom w:val="none" w:sz="0" w:space="0" w:color="auto"/>
                <w:right w:val="none" w:sz="0" w:space="0" w:color="auto"/>
              </w:divBdr>
            </w:div>
          </w:divsChild>
        </w:div>
        <w:div w:id="1618104524">
          <w:marLeft w:val="0"/>
          <w:marRight w:val="0"/>
          <w:marTop w:val="0"/>
          <w:marBottom w:val="0"/>
          <w:divBdr>
            <w:top w:val="none" w:sz="0" w:space="0" w:color="auto"/>
            <w:left w:val="none" w:sz="0" w:space="0" w:color="auto"/>
            <w:bottom w:val="none" w:sz="0" w:space="0" w:color="auto"/>
            <w:right w:val="none" w:sz="0" w:space="0" w:color="auto"/>
          </w:divBdr>
          <w:divsChild>
            <w:div w:id="2007201162">
              <w:marLeft w:val="0"/>
              <w:marRight w:val="0"/>
              <w:marTop w:val="0"/>
              <w:marBottom w:val="0"/>
              <w:divBdr>
                <w:top w:val="none" w:sz="0" w:space="0" w:color="auto"/>
                <w:left w:val="none" w:sz="0" w:space="0" w:color="auto"/>
                <w:bottom w:val="none" w:sz="0" w:space="0" w:color="auto"/>
                <w:right w:val="none" w:sz="0" w:space="0" w:color="auto"/>
              </w:divBdr>
            </w:div>
          </w:divsChild>
        </w:div>
        <w:div w:id="1679118031">
          <w:marLeft w:val="0"/>
          <w:marRight w:val="0"/>
          <w:marTop w:val="0"/>
          <w:marBottom w:val="0"/>
          <w:divBdr>
            <w:top w:val="none" w:sz="0" w:space="0" w:color="auto"/>
            <w:left w:val="none" w:sz="0" w:space="0" w:color="auto"/>
            <w:bottom w:val="none" w:sz="0" w:space="0" w:color="auto"/>
            <w:right w:val="none" w:sz="0" w:space="0" w:color="auto"/>
          </w:divBdr>
          <w:divsChild>
            <w:div w:id="1850218040">
              <w:marLeft w:val="0"/>
              <w:marRight w:val="0"/>
              <w:marTop w:val="0"/>
              <w:marBottom w:val="0"/>
              <w:divBdr>
                <w:top w:val="none" w:sz="0" w:space="0" w:color="auto"/>
                <w:left w:val="none" w:sz="0" w:space="0" w:color="auto"/>
                <w:bottom w:val="none" w:sz="0" w:space="0" w:color="auto"/>
                <w:right w:val="none" w:sz="0" w:space="0" w:color="auto"/>
              </w:divBdr>
            </w:div>
          </w:divsChild>
        </w:div>
        <w:div w:id="1717586946">
          <w:marLeft w:val="0"/>
          <w:marRight w:val="0"/>
          <w:marTop w:val="0"/>
          <w:marBottom w:val="0"/>
          <w:divBdr>
            <w:top w:val="none" w:sz="0" w:space="0" w:color="auto"/>
            <w:left w:val="none" w:sz="0" w:space="0" w:color="auto"/>
            <w:bottom w:val="none" w:sz="0" w:space="0" w:color="auto"/>
            <w:right w:val="none" w:sz="0" w:space="0" w:color="auto"/>
          </w:divBdr>
          <w:divsChild>
            <w:div w:id="1860267388">
              <w:marLeft w:val="0"/>
              <w:marRight w:val="0"/>
              <w:marTop w:val="0"/>
              <w:marBottom w:val="0"/>
              <w:divBdr>
                <w:top w:val="none" w:sz="0" w:space="0" w:color="auto"/>
                <w:left w:val="none" w:sz="0" w:space="0" w:color="auto"/>
                <w:bottom w:val="none" w:sz="0" w:space="0" w:color="auto"/>
                <w:right w:val="none" w:sz="0" w:space="0" w:color="auto"/>
              </w:divBdr>
            </w:div>
          </w:divsChild>
        </w:div>
        <w:div w:id="1731423691">
          <w:marLeft w:val="0"/>
          <w:marRight w:val="0"/>
          <w:marTop w:val="0"/>
          <w:marBottom w:val="0"/>
          <w:divBdr>
            <w:top w:val="none" w:sz="0" w:space="0" w:color="auto"/>
            <w:left w:val="none" w:sz="0" w:space="0" w:color="auto"/>
            <w:bottom w:val="none" w:sz="0" w:space="0" w:color="auto"/>
            <w:right w:val="none" w:sz="0" w:space="0" w:color="auto"/>
          </w:divBdr>
          <w:divsChild>
            <w:div w:id="1646201776">
              <w:marLeft w:val="0"/>
              <w:marRight w:val="0"/>
              <w:marTop w:val="0"/>
              <w:marBottom w:val="0"/>
              <w:divBdr>
                <w:top w:val="none" w:sz="0" w:space="0" w:color="auto"/>
                <w:left w:val="none" w:sz="0" w:space="0" w:color="auto"/>
                <w:bottom w:val="none" w:sz="0" w:space="0" w:color="auto"/>
                <w:right w:val="none" w:sz="0" w:space="0" w:color="auto"/>
              </w:divBdr>
            </w:div>
          </w:divsChild>
        </w:div>
        <w:div w:id="1827554909">
          <w:marLeft w:val="0"/>
          <w:marRight w:val="0"/>
          <w:marTop w:val="0"/>
          <w:marBottom w:val="0"/>
          <w:divBdr>
            <w:top w:val="none" w:sz="0" w:space="0" w:color="auto"/>
            <w:left w:val="none" w:sz="0" w:space="0" w:color="auto"/>
            <w:bottom w:val="none" w:sz="0" w:space="0" w:color="auto"/>
            <w:right w:val="none" w:sz="0" w:space="0" w:color="auto"/>
          </w:divBdr>
          <w:divsChild>
            <w:div w:id="235625965">
              <w:marLeft w:val="0"/>
              <w:marRight w:val="0"/>
              <w:marTop w:val="0"/>
              <w:marBottom w:val="0"/>
              <w:divBdr>
                <w:top w:val="none" w:sz="0" w:space="0" w:color="auto"/>
                <w:left w:val="none" w:sz="0" w:space="0" w:color="auto"/>
                <w:bottom w:val="none" w:sz="0" w:space="0" w:color="auto"/>
                <w:right w:val="none" w:sz="0" w:space="0" w:color="auto"/>
              </w:divBdr>
            </w:div>
          </w:divsChild>
        </w:div>
        <w:div w:id="1853451437">
          <w:marLeft w:val="0"/>
          <w:marRight w:val="0"/>
          <w:marTop w:val="0"/>
          <w:marBottom w:val="0"/>
          <w:divBdr>
            <w:top w:val="none" w:sz="0" w:space="0" w:color="auto"/>
            <w:left w:val="none" w:sz="0" w:space="0" w:color="auto"/>
            <w:bottom w:val="none" w:sz="0" w:space="0" w:color="auto"/>
            <w:right w:val="none" w:sz="0" w:space="0" w:color="auto"/>
          </w:divBdr>
          <w:divsChild>
            <w:div w:id="818837946">
              <w:marLeft w:val="0"/>
              <w:marRight w:val="0"/>
              <w:marTop w:val="0"/>
              <w:marBottom w:val="0"/>
              <w:divBdr>
                <w:top w:val="none" w:sz="0" w:space="0" w:color="auto"/>
                <w:left w:val="none" w:sz="0" w:space="0" w:color="auto"/>
                <w:bottom w:val="none" w:sz="0" w:space="0" w:color="auto"/>
                <w:right w:val="none" w:sz="0" w:space="0" w:color="auto"/>
              </w:divBdr>
            </w:div>
          </w:divsChild>
        </w:div>
        <w:div w:id="1878615143">
          <w:marLeft w:val="0"/>
          <w:marRight w:val="0"/>
          <w:marTop w:val="0"/>
          <w:marBottom w:val="0"/>
          <w:divBdr>
            <w:top w:val="none" w:sz="0" w:space="0" w:color="auto"/>
            <w:left w:val="none" w:sz="0" w:space="0" w:color="auto"/>
            <w:bottom w:val="none" w:sz="0" w:space="0" w:color="auto"/>
            <w:right w:val="none" w:sz="0" w:space="0" w:color="auto"/>
          </w:divBdr>
          <w:divsChild>
            <w:div w:id="277377075">
              <w:marLeft w:val="0"/>
              <w:marRight w:val="0"/>
              <w:marTop w:val="0"/>
              <w:marBottom w:val="0"/>
              <w:divBdr>
                <w:top w:val="none" w:sz="0" w:space="0" w:color="auto"/>
                <w:left w:val="none" w:sz="0" w:space="0" w:color="auto"/>
                <w:bottom w:val="none" w:sz="0" w:space="0" w:color="auto"/>
                <w:right w:val="none" w:sz="0" w:space="0" w:color="auto"/>
              </w:divBdr>
            </w:div>
          </w:divsChild>
        </w:div>
        <w:div w:id="1899436925">
          <w:marLeft w:val="0"/>
          <w:marRight w:val="0"/>
          <w:marTop w:val="0"/>
          <w:marBottom w:val="0"/>
          <w:divBdr>
            <w:top w:val="none" w:sz="0" w:space="0" w:color="auto"/>
            <w:left w:val="none" w:sz="0" w:space="0" w:color="auto"/>
            <w:bottom w:val="none" w:sz="0" w:space="0" w:color="auto"/>
            <w:right w:val="none" w:sz="0" w:space="0" w:color="auto"/>
          </w:divBdr>
          <w:divsChild>
            <w:div w:id="1706754851">
              <w:marLeft w:val="0"/>
              <w:marRight w:val="0"/>
              <w:marTop w:val="0"/>
              <w:marBottom w:val="0"/>
              <w:divBdr>
                <w:top w:val="none" w:sz="0" w:space="0" w:color="auto"/>
                <w:left w:val="none" w:sz="0" w:space="0" w:color="auto"/>
                <w:bottom w:val="none" w:sz="0" w:space="0" w:color="auto"/>
                <w:right w:val="none" w:sz="0" w:space="0" w:color="auto"/>
              </w:divBdr>
            </w:div>
          </w:divsChild>
        </w:div>
        <w:div w:id="1954172939">
          <w:marLeft w:val="0"/>
          <w:marRight w:val="0"/>
          <w:marTop w:val="0"/>
          <w:marBottom w:val="0"/>
          <w:divBdr>
            <w:top w:val="none" w:sz="0" w:space="0" w:color="auto"/>
            <w:left w:val="none" w:sz="0" w:space="0" w:color="auto"/>
            <w:bottom w:val="none" w:sz="0" w:space="0" w:color="auto"/>
            <w:right w:val="none" w:sz="0" w:space="0" w:color="auto"/>
          </w:divBdr>
          <w:divsChild>
            <w:div w:id="1800343686">
              <w:marLeft w:val="0"/>
              <w:marRight w:val="0"/>
              <w:marTop w:val="0"/>
              <w:marBottom w:val="0"/>
              <w:divBdr>
                <w:top w:val="none" w:sz="0" w:space="0" w:color="auto"/>
                <w:left w:val="none" w:sz="0" w:space="0" w:color="auto"/>
                <w:bottom w:val="none" w:sz="0" w:space="0" w:color="auto"/>
                <w:right w:val="none" w:sz="0" w:space="0" w:color="auto"/>
              </w:divBdr>
            </w:div>
          </w:divsChild>
        </w:div>
        <w:div w:id="2000695438">
          <w:marLeft w:val="0"/>
          <w:marRight w:val="0"/>
          <w:marTop w:val="0"/>
          <w:marBottom w:val="0"/>
          <w:divBdr>
            <w:top w:val="none" w:sz="0" w:space="0" w:color="auto"/>
            <w:left w:val="none" w:sz="0" w:space="0" w:color="auto"/>
            <w:bottom w:val="none" w:sz="0" w:space="0" w:color="auto"/>
            <w:right w:val="none" w:sz="0" w:space="0" w:color="auto"/>
          </w:divBdr>
          <w:divsChild>
            <w:div w:id="791628882">
              <w:marLeft w:val="0"/>
              <w:marRight w:val="0"/>
              <w:marTop w:val="0"/>
              <w:marBottom w:val="0"/>
              <w:divBdr>
                <w:top w:val="none" w:sz="0" w:space="0" w:color="auto"/>
                <w:left w:val="none" w:sz="0" w:space="0" w:color="auto"/>
                <w:bottom w:val="none" w:sz="0" w:space="0" w:color="auto"/>
                <w:right w:val="none" w:sz="0" w:space="0" w:color="auto"/>
              </w:divBdr>
            </w:div>
          </w:divsChild>
        </w:div>
        <w:div w:id="2004775813">
          <w:marLeft w:val="0"/>
          <w:marRight w:val="0"/>
          <w:marTop w:val="0"/>
          <w:marBottom w:val="0"/>
          <w:divBdr>
            <w:top w:val="none" w:sz="0" w:space="0" w:color="auto"/>
            <w:left w:val="none" w:sz="0" w:space="0" w:color="auto"/>
            <w:bottom w:val="none" w:sz="0" w:space="0" w:color="auto"/>
            <w:right w:val="none" w:sz="0" w:space="0" w:color="auto"/>
          </w:divBdr>
          <w:divsChild>
            <w:div w:id="241719218">
              <w:marLeft w:val="0"/>
              <w:marRight w:val="0"/>
              <w:marTop w:val="0"/>
              <w:marBottom w:val="0"/>
              <w:divBdr>
                <w:top w:val="none" w:sz="0" w:space="0" w:color="auto"/>
                <w:left w:val="none" w:sz="0" w:space="0" w:color="auto"/>
                <w:bottom w:val="none" w:sz="0" w:space="0" w:color="auto"/>
                <w:right w:val="none" w:sz="0" w:space="0" w:color="auto"/>
              </w:divBdr>
            </w:div>
          </w:divsChild>
        </w:div>
        <w:div w:id="2030598587">
          <w:marLeft w:val="0"/>
          <w:marRight w:val="0"/>
          <w:marTop w:val="0"/>
          <w:marBottom w:val="0"/>
          <w:divBdr>
            <w:top w:val="none" w:sz="0" w:space="0" w:color="auto"/>
            <w:left w:val="none" w:sz="0" w:space="0" w:color="auto"/>
            <w:bottom w:val="none" w:sz="0" w:space="0" w:color="auto"/>
            <w:right w:val="none" w:sz="0" w:space="0" w:color="auto"/>
          </w:divBdr>
          <w:divsChild>
            <w:div w:id="2128250">
              <w:marLeft w:val="0"/>
              <w:marRight w:val="0"/>
              <w:marTop w:val="0"/>
              <w:marBottom w:val="0"/>
              <w:divBdr>
                <w:top w:val="none" w:sz="0" w:space="0" w:color="auto"/>
                <w:left w:val="none" w:sz="0" w:space="0" w:color="auto"/>
                <w:bottom w:val="none" w:sz="0" w:space="0" w:color="auto"/>
                <w:right w:val="none" w:sz="0" w:space="0" w:color="auto"/>
              </w:divBdr>
            </w:div>
          </w:divsChild>
        </w:div>
        <w:div w:id="2048021989">
          <w:marLeft w:val="0"/>
          <w:marRight w:val="0"/>
          <w:marTop w:val="0"/>
          <w:marBottom w:val="0"/>
          <w:divBdr>
            <w:top w:val="none" w:sz="0" w:space="0" w:color="auto"/>
            <w:left w:val="none" w:sz="0" w:space="0" w:color="auto"/>
            <w:bottom w:val="none" w:sz="0" w:space="0" w:color="auto"/>
            <w:right w:val="none" w:sz="0" w:space="0" w:color="auto"/>
          </w:divBdr>
          <w:divsChild>
            <w:div w:id="936447140">
              <w:marLeft w:val="0"/>
              <w:marRight w:val="0"/>
              <w:marTop w:val="0"/>
              <w:marBottom w:val="0"/>
              <w:divBdr>
                <w:top w:val="none" w:sz="0" w:space="0" w:color="auto"/>
                <w:left w:val="none" w:sz="0" w:space="0" w:color="auto"/>
                <w:bottom w:val="none" w:sz="0" w:space="0" w:color="auto"/>
                <w:right w:val="none" w:sz="0" w:space="0" w:color="auto"/>
              </w:divBdr>
            </w:div>
          </w:divsChild>
        </w:div>
        <w:div w:id="2063167709">
          <w:marLeft w:val="0"/>
          <w:marRight w:val="0"/>
          <w:marTop w:val="0"/>
          <w:marBottom w:val="0"/>
          <w:divBdr>
            <w:top w:val="none" w:sz="0" w:space="0" w:color="auto"/>
            <w:left w:val="none" w:sz="0" w:space="0" w:color="auto"/>
            <w:bottom w:val="none" w:sz="0" w:space="0" w:color="auto"/>
            <w:right w:val="none" w:sz="0" w:space="0" w:color="auto"/>
          </w:divBdr>
          <w:divsChild>
            <w:div w:id="159943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067309">
      <w:bodyDiv w:val="1"/>
      <w:marLeft w:val="0"/>
      <w:marRight w:val="0"/>
      <w:marTop w:val="0"/>
      <w:marBottom w:val="0"/>
      <w:divBdr>
        <w:top w:val="none" w:sz="0" w:space="0" w:color="auto"/>
        <w:left w:val="none" w:sz="0" w:space="0" w:color="auto"/>
        <w:bottom w:val="none" w:sz="0" w:space="0" w:color="auto"/>
        <w:right w:val="none" w:sz="0" w:space="0" w:color="auto"/>
      </w:divBdr>
    </w:div>
    <w:div w:id="658660346">
      <w:bodyDiv w:val="1"/>
      <w:marLeft w:val="0"/>
      <w:marRight w:val="0"/>
      <w:marTop w:val="0"/>
      <w:marBottom w:val="0"/>
      <w:divBdr>
        <w:top w:val="none" w:sz="0" w:space="0" w:color="auto"/>
        <w:left w:val="none" w:sz="0" w:space="0" w:color="auto"/>
        <w:bottom w:val="none" w:sz="0" w:space="0" w:color="auto"/>
        <w:right w:val="none" w:sz="0" w:space="0" w:color="auto"/>
      </w:divBdr>
    </w:div>
    <w:div w:id="662926677">
      <w:bodyDiv w:val="1"/>
      <w:marLeft w:val="0"/>
      <w:marRight w:val="0"/>
      <w:marTop w:val="0"/>
      <w:marBottom w:val="0"/>
      <w:divBdr>
        <w:top w:val="none" w:sz="0" w:space="0" w:color="auto"/>
        <w:left w:val="none" w:sz="0" w:space="0" w:color="auto"/>
        <w:bottom w:val="none" w:sz="0" w:space="0" w:color="auto"/>
        <w:right w:val="none" w:sz="0" w:space="0" w:color="auto"/>
      </w:divBdr>
    </w:div>
    <w:div w:id="675036581">
      <w:bodyDiv w:val="1"/>
      <w:marLeft w:val="0"/>
      <w:marRight w:val="0"/>
      <w:marTop w:val="0"/>
      <w:marBottom w:val="0"/>
      <w:divBdr>
        <w:top w:val="none" w:sz="0" w:space="0" w:color="auto"/>
        <w:left w:val="none" w:sz="0" w:space="0" w:color="auto"/>
        <w:bottom w:val="none" w:sz="0" w:space="0" w:color="auto"/>
        <w:right w:val="none" w:sz="0" w:space="0" w:color="auto"/>
      </w:divBdr>
    </w:div>
    <w:div w:id="700202373">
      <w:bodyDiv w:val="1"/>
      <w:marLeft w:val="0"/>
      <w:marRight w:val="0"/>
      <w:marTop w:val="0"/>
      <w:marBottom w:val="0"/>
      <w:divBdr>
        <w:top w:val="none" w:sz="0" w:space="0" w:color="auto"/>
        <w:left w:val="none" w:sz="0" w:space="0" w:color="auto"/>
        <w:bottom w:val="none" w:sz="0" w:space="0" w:color="auto"/>
        <w:right w:val="none" w:sz="0" w:space="0" w:color="auto"/>
      </w:divBdr>
    </w:div>
    <w:div w:id="722631271">
      <w:bodyDiv w:val="1"/>
      <w:marLeft w:val="0"/>
      <w:marRight w:val="0"/>
      <w:marTop w:val="0"/>
      <w:marBottom w:val="0"/>
      <w:divBdr>
        <w:top w:val="none" w:sz="0" w:space="0" w:color="auto"/>
        <w:left w:val="none" w:sz="0" w:space="0" w:color="auto"/>
        <w:bottom w:val="none" w:sz="0" w:space="0" w:color="auto"/>
        <w:right w:val="none" w:sz="0" w:space="0" w:color="auto"/>
      </w:divBdr>
    </w:div>
    <w:div w:id="736981068">
      <w:bodyDiv w:val="1"/>
      <w:marLeft w:val="0"/>
      <w:marRight w:val="0"/>
      <w:marTop w:val="0"/>
      <w:marBottom w:val="0"/>
      <w:divBdr>
        <w:top w:val="none" w:sz="0" w:space="0" w:color="auto"/>
        <w:left w:val="none" w:sz="0" w:space="0" w:color="auto"/>
        <w:bottom w:val="none" w:sz="0" w:space="0" w:color="auto"/>
        <w:right w:val="none" w:sz="0" w:space="0" w:color="auto"/>
      </w:divBdr>
    </w:div>
    <w:div w:id="780610900">
      <w:bodyDiv w:val="1"/>
      <w:marLeft w:val="0"/>
      <w:marRight w:val="0"/>
      <w:marTop w:val="0"/>
      <w:marBottom w:val="0"/>
      <w:divBdr>
        <w:top w:val="none" w:sz="0" w:space="0" w:color="auto"/>
        <w:left w:val="none" w:sz="0" w:space="0" w:color="auto"/>
        <w:bottom w:val="none" w:sz="0" w:space="0" w:color="auto"/>
        <w:right w:val="none" w:sz="0" w:space="0" w:color="auto"/>
      </w:divBdr>
    </w:div>
    <w:div w:id="818156140">
      <w:bodyDiv w:val="1"/>
      <w:marLeft w:val="0"/>
      <w:marRight w:val="0"/>
      <w:marTop w:val="0"/>
      <w:marBottom w:val="0"/>
      <w:divBdr>
        <w:top w:val="none" w:sz="0" w:space="0" w:color="auto"/>
        <w:left w:val="none" w:sz="0" w:space="0" w:color="auto"/>
        <w:bottom w:val="none" w:sz="0" w:space="0" w:color="auto"/>
        <w:right w:val="none" w:sz="0" w:space="0" w:color="auto"/>
      </w:divBdr>
      <w:divsChild>
        <w:div w:id="76099038">
          <w:marLeft w:val="0"/>
          <w:marRight w:val="0"/>
          <w:marTop w:val="0"/>
          <w:marBottom w:val="0"/>
          <w:divBdr>
            <w:top w:val="none" w:sz="0" w:space="0" w:color="auto"/>
            <w:left w:val="none" w:sz="0" w:space="0" w:color="auto"/>
            <w:bottom w:val="none" w:sz="0" w:space="0" w:color="auto"/>
            <w:right w:val="none" w:sz="0" w:space="0" w:color="auto"/>
          </w:divBdr>
          <w:divsChild>
            <w:div w:id="1132670155">
              <w:marLeft w:val="0"/>
              <w:marRight w:val="0"/>
              <w:marTop w:val="0"/>
              <w:marBottom w:val="0"/>
              <w:divBdr>
                <w:top w:val="none" w:sz="0" w:space="0" w:color="auto"/>
                <w:left w:val="none" w:sz="0" w:space="0" w:color="auto"/>
                <w:bottom w:val="none" w:sz="0" w:space="0" w:color="auto"/>
                <w:right w:val="none" w:sz="0" w:space="0" w:color="auto"/>
              </w:divBdr>
            </w:div>
          </w:divsChild>
        </w:div>
        <w:div w:id="134612662">
          <w:marLeft w:val="0"/>
          <w:marRight w:val="0"/>
          <w:marTop w:val="0"/>
          <w:marBottom w:val="0"/>
          <w:divBdr>
            <w:top w:val="none" w:sz="0" w:space="0" w:color="auto"/>
            <w:left w:val="none" w:sz="0" w:space="0" w:color="auto"/>
            <w:bottom w:val="none" w:sz="0" w:space="0" w:color="auto"/>
            <w:right w:val="none" w:sz="0" w:space="0" w:color="auto"/>
          </w:divBdr>
          <w:divsChild>
            <w:div w:id="1757745931">
              <w:marLeft w:val="0"/>
              <w:marRight w:val="0"/>
              <w:marTop w:val="0"/>
              <w:marBottom w:val="0"/>
              <w:divBdr>
                <w:top w:val="none" w:sz="0" w:space="0" w:color="auto"/>
                <w:left w:val="none" w:sz="0" w:space="0" w:color="auto"/>
                <w:bottom w:val="none" w:sz="0" w:space="0" w:color="auto"/>
                <w:right w:val="none" w:sz="0" w:space="0" w:color="auto"/>
              </w:divBdr>
            </w:div>
          </w:divsChild>
        </w:div>
        <w:div w:id="150483264">
          <w:marLeft w:val="0"/>
          <w:marRight w:val="0"/>
          <w:marTop w:val="0"/>
          <w:marBottom w:val="0"/>
          <w:divBdr>
            <w:top w:val="none" w:sz="0" w:space="0" w:color="auto"/>
            <w:left w:val="none" w:sz="0" w:space="0" w:color="auto"/>
            <w:bottom w:val="none" w:sz="0" w:space="0" w:color="auto"/>
            <w:right w:val="none" w:sz="0" w:space="0" w:color="auto"/>
          </w:divBdr>
          <w:divsChild>
            <w:div w:id="649948258">
              <w:marLeft w:val="0"/>
              <w:marRight w:val="0"/>
              <w:marTop w:val="0"/>
              <w:marBottom w:val="0"/>
              <w:divBdr>
                <w:top w:val="none" w:sz="0" w:space="0" w:color="auto"/>
                <w:left w:val="none" w:sz="0" w:space="0" w:color="auto"/>
                <w:bottom w:val="none" w:sz="0" w:space="0" w:color="auto"/>
                <w:right w:val="none" w:sz="0" w:space="0" w:color="auto"/>
              </w:divBdr>
            </w:div>
          </w:divsChild>
        </w:div>
        <w:div w:id="163060219">
          <w:marLeft w:val="0"/>
          <w:marRight w:val="0"/>
          <w:marTop w:val="0"/>
          <w:marBottom w:val="0"/>
          <w:divBdr>
            <w:top w:val="none" w:sz="0" w:space="0" w:color="auto"/>
            <w:left w:val="none" w:sz="0" w:space="0" w:color="auto"/>
            <w:bottom w:val="none" w:sz="0" w:space="0" w:color="auto"/>
            <w:right w:val="none" w:sz="0" w:space="0" w:color="auto"/>
          </w:divBdr>
          <w:divsChild>
            <w:div w:id="875969233">
              <w:marLeft w:val="0"/>
              <w:marRight w:val="0"/>
              <w:marTop w:val="0"/>
              <w:marBottom w:val="0"/>
              <w:divBdr>
                <w:top w:val="none" w:sz="0" w:space="0" w:color="auto"/>
                <w:left w:val="none" w:sz="0" w:space="0" w:color="auto"/>
                <w:bottom w:val="none" w:sz="0" w:space="0" w:color="auto"/>
                <w:right w:val="none" w:sz="0" w:space="0" w:color="auto"/>
              </w:divBdr>
            </w:div>
          </w:divsChild>
        </w:div>
        <w:div w:id="183061190">
          <w:marLeft w:val="0"/>
          <w:marRight w:val="0"/>
          <w:marTop w:val="0"/>
          <w:marBottom w:val="0"/>
          <w:divBdr>
            <w:top w:val="none" w:sz="0" w:space="0" w:color="auto"/>
            <w:left w:val="none" w:sz="0" w:space="0" w:color="auto"/>
            <w:bottom w:val="none" w:sz="0" w:space="0" w:color="auto"/>
            <w:right w:val="none" w:sz="0" w:space="0" w:color="auto"/>
          </w:divBdr>
          <w:divsChild>
            <w:div w:id="245961469">
              <w:marLeft w:val="0"/>
              <w:marRight w:val="0"/>
              <w:marTop w:val="0"/>
              <w:marBottom w:val="0"/>
              <w:divBdr>
                <w:top w:val="none" w:sz="0" w:space="0" w:color="auto"/>
                <w:left w:val="none" w:sz="0" w:space="0" w:color="auto"/>
                <w:bottom w:val="none" w:sz="0" w:space="0" w:color="auto"/>
                <w:right w:val="none" w:sz="0" w:space="0" w:color="auto"/>
              </w:divBdr>
            </w:div>
          </w:divsChild>
        </w:div>
        <w:div w:id="213858655">
          <w:marLeft w:val="0"/>
          <w:marRight w:val="0"/>
          <w:marTop w:val="0"/>
          <w:marBottom w:val="0"/>
          <w:divBdr>
            <w:top w:val="none" w:sz="0" w:space="0" w:color="auto"/>
            <w:left w:val="none" w:sz="0" w:space="0" w:color="auto"/>
            <w:bottom w:val="none" w:sz="0" w:space="0" w:color="auto"/>
            <w:right w:val="none" w:sz="0" w:space="0" w:color="auto"/>
          </w:divBdr>
          <w:divsChild>
            <w:div w:id="63727974">
              <w:marLeft w:val="0"/>
              <w:marRight w:val="0"/>
              <w:marTop w:val="0"/>
              <w:marBottom w:val="0"/>
              <w:divBdr>
                <w:top w:val="none" w:sz="0" w:space="0" w:color="auto"/>
                <w:left w:val="none" w:sz="0" w:space="0" w:color="auto"/>
                <w:bottom w:val="none" w:sz="0" w:space="0" w:color="auto"/>
                <w:right w:val="none" w:sz="0" w:space="0" w:color="auto"/>
              </w:divBdr>
            </w:div>
          </w:divsChild>
        </w:div>
        <w:div w:id="243492319">
          <w:marLeft w:val="0"/>
          <w:marRight w:val="0"/>
          <w:marTop w:val="0"/>
          <w:marBottom w:val="0"/>
          <w:divBdr>
            <w:top w:val="none" w:sz="0" w:space="0" w:color="auto"/>
            <w:left w:val="none" w:sz="0" w:space="0" w:color="auto"/>
            <w:bottom w:val="none" w:sz="0" w:space="0" w:color="auto"/>
            <w:right w:val="none" w:sz="0" w:space="0" w:color="auto"/>
          </w:divBdr>
          <w:divsChild>
            <w:div w:id="227617985">
              <w:marLeft w:val="0"/>
              <w:marRight w:val="0"/>
              <w:marTop w:val="0"/>
              <w:marBottom w:val="0"/>
              <w:divBdr>
                <w:top w:val="none" w:sz="0" w:space="0" w:color="auto"/>
                <w:left w:val="none" w:sz="0" w:space="0" w:color="auto"/>
                <w:bottom w:val="none" w:sz="0" w:space="0" w:color="auto"/>
                <w:right w:val="none" w:sz="0" w:space="0" w:color="auto"/>
              </w:divBdr>
            </w:div>
          </w:divsChild>
        </w:div>
        <w:div w:id="287391794">
          <w:marLeft w:val="0"/>
          <w:marRight w:val="0"/>
          <w:marTop w:val="0"/>
          <w:marBottom w:val="0"/>
          <w:divBdr>
            <w:top w:val="none" w:sz="0" w:space="0" w:color="auto"/>
            <w:left w:val="none" w:sz="0" w:space="0" w:color="auto"/>
            <w:bottom w:val="none" w:sz="0" w:space="0" w:color="auto"/>
            <w:right w:val="none" w:sz="0" w:space="0" w:color="auto"/>
          </w:divBdr>
          <w:divsChild>
            <w:div w:id="455418302">
              <w:marLeft w:val="0"/>
              <w:marRight w:val="0"/>
              <w:marTop w:val="0"/>
              <w:marBottom w:val="0"/>
              <w:divBdr>
                <w:top w:val="none" w:sz="0" w:space="0" w:color="auto"/>
                <w:left w:val="none" w:sz="0" w:space="0" w:color="auto"/>
                <w:bottom w:val="none" w:sz="0" w:space="0" w:color="auto"/>
                <w:right w:val="none" w:sz="0" w:space="0" w:color="auto"/>
              </w:divBdr>
            </w:div>
          </w:divsChild>
        </w:div>
        <w:div w:id="347633807">
          <w:marLeft w:val="0"/>
          <w:marRight w:val="0"/>
          <w:marTop w:val="0"/>
          <w:marBottom w:val="0"/>
          <w:divBdr>
            <w:top w:val="none" w:sz="0" w:space="0" w:color="auto"/>
            <w:left w:val="none" w:sz="0" w:space="0" w:color="auto"/>
            <w:bottom w:val="none" w:sz="0" w:space="0" w:color="auto"/>
            <w:right w:val="none" w:sz="0" w:space="0" w:color="auto"/>
          </w:divBdr>
          <w:divsChild>
            <w:div w:id="1094474715">
              <w:marLeft w:val="0"/>
              <w:marRight w:val="0"/>
              <w:marTop w:val="0"/>
              <w:marBottom w:val="0"/>
              <w:divBdr>
                <w:top w:val="none" w:sz="0" w:space="0" w:color="auto"/>
                <w:left w:val="none" w:sz="0" w:space="0" w:color="auto"/>
                <w:bottom w:val="none" w:sz="0" w:space="0" w:color="auto"/>
                <w:right w:val="none" w:sz="0" w:space="0" w:color="auto"/>
              </w:divBdr>
            </w:div>
          </w:divsChild>
        </w:div>
        <w:div w:id="363211356">
          <w:marLeft w:val="0"/>
          <w:marRight w:val="0"/>
          <w:marTop w:val="0"/>
          <w:marBottom w:val="0"/>
          <w:divBdr>
            <w:top w:val="none" w:sz="0" w:space="0" w:color="auto"/>
            <w:left w:val="none" w:sz="0" w:space="0" w:color="auto"/>
            <w:bottom w:val="none" w:sz="0" w:space="0" w:color="auto"/>
            <w:right w:val="none" w:sz="0" w:space="0" w:color="auto"/>
          </w:divBdr>
          <w:divsChild>
            <w:div w:id="1388263729">
              <w:marLeft w:val="0"/>
              <w:marRight w:val="0"/>
              <w:marTop w:val="0"/>
              <w:marBottom w:val="0"/>
              <w:divBdr>
                <w:top w:val="none" w:sz="0" w:space="0" w:color="auto"/>
                <w:left w:val="none" w:sz="0" w:space="0" w:color="auto"/>
                <w:bottom w:val="none" w:sz="0" w:space="0" w:color="auto"/>
                <w:right w:val="none" w:sz="0" w:space="0" w:color="auto"/>
              </w:divBdr>
            </w:div>
          </w:divsChild>
        </w:div>
        <w:div w:id="421223672">
          <w:marLeft w:val="0"/>
          <w:marRight w:val="0"/>
          <w:marTop w:val="0"/>
          <w:marBottom w:val="0"/>
          <w:divBdr>
            <w:top w:val="none" w:sz="0" w:space="0" w:color="auto"/>
            <w:left w:val="none" w:sz="0" w:space="0" w:color="auto"/>
            <w:bottom w:val="none" w:sz="0" w:space="0" w:color="auto"/>
            <w:right w:val="none" w:sz="0" w:space="0" w:color="auto"/>
          </w:divBdr>
          <w:divsChild>
            <w:div w:id="213663002">
              <w:marLeft w:val="0"/>
              <w:marRight w:val="0"/>
              <w:marTop w:val="0"/>
              <w:marBottom w:val="0"/>
              <w:divBdr>
                <w:top w:val="none" w:sz="0" w:space="0" w:color="auto"/>
                <w:left w:val="none" w:sz="0" w:space="0" w:color="auto"/>
                <w:bottom w:val="none" w:sz="0" w:space="0" w:color="auto"/>
                <w:right w:val="none" w:sz="0" w:space="0" w:color="auto"/>
              </w:divBdr>
            </w:div>
          </w:divsChild>
        </w:div>
        <w:div w:id="424035246">
          <w:marLeft w:val="0"/>
          <w:marRight w:val="0"/>
          <w:marTop w:val="0"/>
          <w:marBottom w:val="0"/>
          <w:divBdr>
            <w:top w:val="none" w:sz="0" w:space="0" w:color="auto"/>
            <w:left w:val="none" w:sz="0" w:space="0" w:color="auto"/>
            <w:bottom w:val="none" w:sz="0" w:space="0" w:color="auto"/>
            <w:right w:val="none" w:sz="0" w:space="0" w:color="auto"/>
          </w:divBdr>
          <w:divsChild>
            <w:div w:id="627055221">
              <w:marLeft w:val="0"/>
              <w:marRight w:val="0"/>
              <w:marTop w:val="0"/>
              <w:marBottom w:val="0"/>
              <w:divBdr>
                <w:top w:val="none" w:sz="0" w:space="0" w:color="auto"/>
                <w:left w:val="none" w:sz="0" w:space="0" w:color="auto"/>
                <w:bottom w:val="none" w:sz="0" w:space="0" w:color="auto"/>
                <w:right w:val="none" w:sz="0" w:space="0" w:color="auto"/>
              </w:divBdr>
            </w:div>
          </w:divsChild>
        </w:div>
        <w:div w:id="490829000">
          <w:marLeft w:val="0"/>
          <w:marRight w:val="0"/>
          <w:marTop w:val="0"/>
          <w:marBottom w:val="0"/>
          <w:divBdr>
            <w:top w:val="none" w:sz="0" w:space="0" w:color="auto"/>
            <w:left w:val="none" w:sz="0" w:space="0" w:color="auto"/>
            <w:bottom w:val="none" w:sz="0" w:space="0" w:color="auto"/>
            <w:right w:val="none" w:sz="0" w:space="0" w:color="auto"/>
          </w:divBdr>
          <w:divsChild>
            <w:div w:id="1414739939">
              <w:marLeft w:val="0"/>
              <w:marRight w:val="0"/>
              <w:marTop w:val="0"/>
              <w:marBottom w:val="0"/>
              <w:divBdr>
                <w:top w:val="none" w:sz="0" w:space="0" w:color="auto"/>
                <w:left w:val="none" w:sz="0" w:space="0" w:color="auto"/>
                <w:bottom w:val="none" w:sz="0" w:space="0" w:color="auto"/>
                <w:right w:val="none" w:sz="0" w:space="0" w:color="auto"/>
              </w:divBdr>
            </w:div>
          </w:divsChild>
        </w:div>
        <w:div w:id="523790268">
          <w:marLeft w:val="0"/>
          <w:marRight w:val="0"/>
          <w:marTop w:val="0"/>
          <w:marBottom w:val="0"/>
          <w:divBdr>
            <w:top w:val="none" w:sz="0" w:space="0" w:color="auto"/>
            <w:left w:val="none" w:sz="0" w:space="0" w:color="auto"/>
            <w:bottom w:val="none" w:sz="0" w:space="0" w:color="auto"/>
            <w:right w:val="none" w:sz="0" w:space="0" w:color="auto"/>
          </w:divBdr>
          <w:divsChild>
            <w:div w:id="2042247239">
              <w:marLeft w:val="0"/>
              <w:marRight w:val="0"/>
              <w:marTop w:val="0"/>
              <w:marBottom w:val="0"/>
              <w:divBdr>
                <w:top w:val="none" w:sz="0" w:space="0" w:color="auto"/>
                <w:left w:val="none" w:sz="0" w:space="0" w:color="auto"/>
                <w:bottom w:val="none" w:sz="0" w:space="0" w:color="auto"/>
                <w:right w:val="none" w:sz="0" w:space="0" w:color="auto"/>
              </w:divBdr>
            </w:div>
          </w:divsChild>
        </w:div>
        <w:div w:id="546260807">
          <w:marLeft w:val="0"/>
          <w:marRight w:val="0"/>
          <w:marTop w:val="0"/>
          <w:marBottom w:val="0"/>
          <w:divBdr>
            <w:top w:val="none" w:sz="0" w:space="0" w:color="auto"/>
            <w:left w:val="none" w:sz="0" w:space="0" w:color="auto"/>
            <w:bottom w:val="none" w:sz="0" w:space="0" w:color="auto"/>
            <w:right w:val="none" w:sz="0" w:space="0" w:color="auto"/>
          </w:divBdr>
          <w:divsChild>
            <w:div w:id="1949199148">
              <w:marLeft w:val="0"/>
              <w:marRight w:val="0"/>
              <w:marTop w:val="0"/>
              <w:marBottom w:val="0"/>
              <w:divBdr>
                <w:top w:val="none" w:sz="0" w:space="0" w:color="auto"/>
                <w:left w:val="none" w:sz="0" w:space="0" w:color="auto"/>
                <w:bottom w:val="none" w:sz="0" w:space="0" w:color="auto"/>
                <w:right w:val="none" w:sz="0" w:space="0" w:color="auto"/>
              </w:divBdr>
            </w:div>
          </w:divsChild>
        </w:div>
        <w:div w:id="556208039">
          <w:marLeft w:val="0"/>
          <w:marRight w:val="0"/>
          <w:marTop w:val="0"/>
          <w:marBottom w:val="0"/>
          <w:divBdr>
            <w:top w:val="none" w:sz="0" w:space="0" w:color="auto"/>
            <w:left w:val="none" w:sz="0" w:space="0" w:color="auto"/>
            <w:bottom w:val="none" w:sz="0" w:space="0" w:color="auto"/>
            <w:right w:val="none" w:sz="0" w:space="0" w:color="auto"/>
          </w:divBdr>
          <w:divsChild>
            <w:div w:id="1034305735">
              <w:marLeft w:val="0"/>
              <w:marRight w:val="0"/>
              <w:marTop w:val="0"/>
              <w:marBottom w:val="0"/>
              <w:divBdr>
                <w:top w:val="none" w:sz="0" w:space="0" w:color="auto"/>
                <w:left w:val="none" w:sz="0" w:space="0" w:color="auto"/>
                <w:bottom w:val="none" w:sz="0" w:space="0" w:color="auto"/>
                <w:right w:val="none" w:sz="0" w:space="0" w:color="auto"/>
              </w:divBdr>
            </w:div>
          </w:divsChild>
        </w:div>
        <w:div w:id="594898599">
          <w:marLeft w:val="0"/>
          <w:marRight w:val="0"/>
          <w:marTop w:val="0"/>
          <w:marBottom w:val="0"/>
          <w:divBdr>
            <w:top w:val="none" w:sz="0" w:space="0" w:color="auto"/>
            <w:left w:val="none" w:sz="0" w:space="0" w:color="auto"/>
            <w:bottom w:val="none" w:sz="0" w:space="0" w:color="auto"/>
            <w:right w:val="none" w:sz="0" w:space="0" w:color="auto"/>
          </w:divBdr>
          <w:divsChild>
            <w:div w:id="1978990653">
              <w:marLeft w:val="0"/>
              <w:marRight w:val="0"/>
              <w:marTop w:val="0"/>
              <w:marBottom w:val="0"/>
              <w:divBdr>
                <w:top w:val="none" w:sz="0" w:space="0" w:color="auto"/>
                <w:left w:val="none" w:sz="0" w:space="0" w:color="auto"/>
                <w:bottom w:val="none" w:sz="0" w:space="0" w:color="auto"/>
                <w:right w:val="none" w:sz="0" w:space="0" w:color="auto"/>
              </w:divBdr>
            </w:div>
          </w:divsChild>
        </w:div>
        <w:div w:id="615910215">
          <w:marLeft w:val="0"/>
          <w:marRight w:val="0"/>
          <w:marTop w:val="0"/>
          <w:marBottom w:val="0"/>
          <w:divBdr>
            <w:top w:val="none" w:sz="0" w:space="0" w:color="auto"/>
            <w:left w:val="none" w:sz="0" w:space="0" w:color="auto"/>
            <w:bottom w:val="none" w:sz="0" w:space="0" w:color="auto"/>
            <w:right w:val="none" w:sz="0" w:space="0" w:color="auto"/>
          </w:divBdr>
          <w:divsChild>
            <w:div w:id="1316715506">
              <w:marLeft w:val="0"/>
              <w:marRight w:val="0"/>
              <w:marTop w:val="0"/>
              <w:marBottom w:val="0"/>
              <w:divBdr>
                <w:top w:val="none" w:sz="0" w:space="0" w:color="auto"/>
                <w:left w:val="none" w:sz="0" w:space="0" w:color="auto"/>
                <w:bottom w:val="none" w:sz="0" w:space="0" w:color="auto"/>
                <w:right w:val="none" w:sz="0" w:space="0" w:color="auto"/>
              </w:divBdr>
            </w:div>
          </w:divsChild>
        </w:div>
        <w:div w:id="634138193">
          <w:marLeft w:val="0"/>
          <w:marRight w:val="0"/>
          <w:marTop w:val="0"/>
          <w:marBottom w:val="0"/>
          <w:divBdr>
            <w:top w:val="none" w:sz="0" w:space="0" w:color="auto"/>
            <w:left w:val="none" w:sz="0" w:space="0" w:color="auto"/>
            <w:bottom w:val="none" w:sz="0" w:space="0" w:color="auto"/>
            <w:right w:val="none" w:sz="0" w:space="0" w:color="auto"/>
          </w:divBdr>
          <w:divsChild>
            <w:div w:id="368189680">
              <w:marLeft w:val="0"/>
              <w:marRight w:val="0"/>
              <w:marTop w:val="0"/>
              <w:marBottom w:val="0"/>
              <w:divBdr>
                <w:top w:val="none" w:sz="0" w:space="0" w:color="auto"/>
                <w:left w:val="none" w:sz="0" w:space="0" w:color="auto"/>
                <w:bottom w:val="none" w:sz="0" w:space="0" w:color="auto"/>
                <w:right w:val="none" w:sz="0" w:space="0" w:color="auto"/>
              </w:divBdr>
            </w:div>
          </w:divsChild>
        </w:div>
        <w:div w:id="640503920">
          <w:marLeft w:val="0"/>
          <w:marRight w:val="0"/>
          <w:marTop w:val="0"/>
          <w:marBottom w:val="0"/>
          <w:divBdr>
            <w:top w:val="none" w:sz="0" w:space="0" w:color="auto"/>
            <w:left w:val="none" w:sz="0" w:space="0" w:color="auto"/>
            <w:bottom w:val="none" w:sz="0" w:space="0" w:color="auto"/>
            <w:right w:val="none" w:sz="0" w:space="0" w:color="auto"/>
          </w:divBdr>
          <w:divsChild>
            <w:div w:id="41713290">
              <w:marLeft w:val="0"/>
              <w:marRight w:val="0"/>
              <w:marTop w:val="0"/>
              <w:marBottom w:val="0"/>
              <w:divBdr>
                <w:top w:val="none" w:sz="0" w:space="0" w:color="auto"/>
                <w:left w:val="none" w:sz="0" w:space="0" w:color="auto"/>
                <w:bottom w:val="none" w:sz="0" w:space="0" w:color="auto"/>
                <w:right w:val="none" w:sz="0" w:space="0" w:color="auto"/>
              </w:divBdr>
            </w:div>
          </w:divsChild>
        </w:div>
        <w:div w:id="648440135">
          <w:marLeft w:val="0"/>
          <w:marRight w:val="0"/>
          <w:marTop w:val="0"/>
          <w:marBottom w:val="0"/>
          <w:divBdr>
            <w:top w:val="none" w:sz="0" w:space="0" w:color="auto"/>
            <w:left w:val="none" w:sz="0" w:space="0" w:color="auto"/>
            <w:bottom w:val="none" w:sz="0" w:space="0" w:color="auto"/>
            <w:right w:val="none" w:sz="0" w:space="0" w:color="auto"/>
          </w:divBdr>
          <w:divsChild>
            <w:div w:id="1879469852">
              <w:marLeft w:val="0"/>
              <w:marRight w:val="0"/>
              <w:marTop w:val="0"/>
              <w:marBottom w:val="0"/>
              <w:divBdr>
                <w:top w:val="none" w:sz="0" w:space="0" w:color="auto"/>
                <w:left w:val="none" w:sz="0" w:space="0" w:color="auto"/>
                <w:bottom w:val="none" w:sz="0" w:space="0" w:color="auto"/>
                <w:right w:val="none" w:sz="0" w:space="0" w:color="auto"/>
              </w:divBdr>
            </w:div>
          </w:divsChild>
        </w:div>
        <w:div w:id="720901160">
          <w:marLeft w:val="0"/>
          <w:marRight w:val="0"/>
          <w:marTop w:val="0"/>
          <w:marBottom w:val="0"/>
          <w:divBdr>
            <w:top w:val="none" w:sz="0" w:space="0" w:color="auto"/>
            <w:left w:val="none" w:sz="0" w:space="0" w:color="auto"/>
            <w:bottom w:val="none" w:sz="0" w:space="0" w:color="auto"/>
            <w:right w:val="none" w:sz="0" w:space="0" w:color="auto"/>
          </w:divBdr>
          <w:divsChild>
            <w:div w:id="248856962">
              <w:marLeft w:val="0"/>
              <w:marRight w:val="0"/>
              <w:marTop w:val="0"/>
              <w:marBottom w:val="0"/>
              <w:divBdr>
                <w:top w:val="none" w:sz="0" w:space="0" w:color="auto"/>
                <w:left w:val="none" w:sz="0" w:space="0" w:color="auto"/>
                <w:bottom w:val="none" w:sz="0" w:space="0" w:color="auto"/>
                <w:right w:val="none" w:sz="0" w:space="0" w:color="auto"/>
              </w:divBdr>
            </w:div>
          </w:divsChild>
        </w:div>
        <w:div w:id="725295900">
          <w:marLeft w:val="0"/>
          <w:marRight w:val="0"/>
          <w:marTop w:val="0"/>
          <w:marBottom w:val="0"/>
          <w:divBdr>
            <w:top w:val="none" w:sz="0" w:space="0" w:color="auto"/>
            <w:left w:val="none" w:sz="0" w:space="0" w:color="auto"/>
            <w:bottom w:val="none" w:sz="0" w:space="0" w:color="auto"/>
            <w:right w:val="none" w:sz="0" w:space="0" w:color="auto"/>
          </w:divBdr>
          <w:divsChild>
            <w:div w:id="788624250">
              <w:marLeft w:val="0"/>
              <w:marRight w:val="0"/>
              <w:marTop w:val="0"/>
              <w:marBottom w:val="0"/>
              <w:divBdr>
                <w:top w:val="none" w:sz="0" w:space="0" w:color="auto"/>
                <w:left w:val="none" w:sz="0" w:space="0" w:color="auto"/>
                <w:bottom w:val="none" w:sz="0" w:space="0" w:color="auto"/>
                <w:right w:val="none" w:sz="0" w:space="0" w:color="auto"/>
              </w:divBdr>
            </w:div>
          </w:divsChild>
        </w:div>
        <w:div w:id="771826733">
          <w:marLeft w:val="0"/>
          <w:marRight w:val="0"/>
          <w:marTop w:val="0"/>
          <w:marBottom w:val="0"/>
          <w:divBdr>
            <w:top w:val="none" w:sz="0" w:space="0" w:color="auto"/>
            <w:left w:val="none" w:sz="0" w:space="0" w:color="auto"/>
            <w:bottom w:val="none" w:sz="0" w:space="0" w:color="auto"/>
            <w:right w:val="none" w:sz="0" w:space="0" w:color="auto"/>
          </w:divBdr>
          <w:divsChild>
            <w:div w:id="544408954">
              <w:marLeft w:val="0"/>
              <w:marRight w:val="0"/>
              <w:marTop w:val="0"/>
              <w:marBottom w:val="0"/>
              <w:divBdr>
                <w:top w:val="none" w:sz="0" w:space="0" w:color="auto"/>
                <w:left w:val="none" w:sz="0" w:space="0" w:color="auto"/>
                <w:bottom w:val="none" w:sz="0" w:space="0" w:color="auto"/>
                <w:right w:val="none" w:sz="0" w:space="0" w:color="auto"/>
              </w:divBdr>
            </w:div>
            <w:div w:id="1070152882">
              <w:marLeft w:val="0"/>
              <w:marRight w:val="0"/>
              <w:marTop w:val="0"/>
              <w:marBottom w:val="0"/>
              <w:divBdr>
                <w:top w:val="none" w:sz="0" w:space="0" w:color="auto"/>
                <w:left w:val="none" w:sz="0" w:space="0" w:color="auto"/>
                <w:bottom w:val="none" w:sz="0" w:space="0" w:color="auto"/>
                <w:right w:val="none" w:sz="0" w:space="0" w:color="auto"/>
              </w:divBdr>
            </w:div>
          </w:divsChild>
        </w:div>
        <w:div w:id="804935521">
          <w:marLeft w:val="0"/>
          <w:marRight w:val="0"/>
          <w:marTop w:val="0"/>
          <w:marBottom w:val="0"/>
          <w:divBdr>
            <w:top w:val="none" w:sz="0" w:space="0" w:color="auto"/>
            <w:left w:val="none" w:sz="0" w:space="0" w:color="auto"/>
            <w:bottom w:val="none" w:sz="0" w:space="0" w:color="auto"/>
            <w:right w:val="none" w:sz="0" w:space="0" w:color="auto"/>
          </w:divBdr>
          <w:divsChild>
            <w:div w:id="940529311">
              <w:marLeft w:val="0"/>
              <w:marRight w:val="0"/>
              <w:marTop w:val="0"/>
              <w:marBottom w:val="0"/>
              <w:divBdr>
                <w:top w:val="none" w:sz="0" w:space="0" w:color="auto"/>
                <w:left w:val="none" w:sz="0" w:space="0" w:color="auto"/>
                <w:bottom w:val="none" w:sz="0" w:space="0" w:color="auto"/>
                <w:right w:val="none" w:sz="0" w:space="0" w:color="auto"/>
              </w:divBdr>
            </w:div>
          </w:divsChild>
        </w:div>
        <w:div w:id="917906288">
          <w:marLeft w:val="0"/>
          <w:marRight w:val="0"/>
          <w:marTop w:val="0"/>
          <w:marBottom w:val="0"/>
          <w:divBdr>
            <w:top w:val="none" w:sz="0" w:space="0" w:color="auto"/>
            <w:left w:val="none" w:sz="0" w:space="0" w:color="auto"/>
            <w:bottom w:val="none" w:sz="0" w:space="0" w:color="auto"/>
            <w:right w:val="none" w:sz="0" w:space="0" w:color="auto"/>
          </w:divBdr>
          <w:divsChild>
            <w:div w:id="808129569">
              <w:marLeft w:val="0"/>
              <w:marRight w:val="0"/>
              <w:marTop w:val="0"/>
              <w:marBottom w:val="0"/>
              <w:divBdr>
                <w:top w:val="none" w:sz="0" w:space="0" w:color="auto"/>
                <w:left w:val="none" w:sz="0" w:space="0" w:color="auto"/>
                <w:bottom w:val="none" w:sz="0" w:space="0" w:color="auto"/>
                <w:right w:val="none" w:sz="0" w:space="0" w:color="auto"/>
              </w:divBdr>
            </w:div>
          </w:divsChild>
        </w:div>
        <w:div w:id="945575237">
          <w:marLeft w:val="0"/>
          <w:marRight w:val="0"/>
          <w:marTop w:val="0"/>
          <w:marBottom w:val="0"/>
          <w:divBdr>
            <w:top w:val="none" w:sz="0" w:space="0" w:color="auto"/>
            <w:left w:val="none" w:sz="0" w:space="0" w:color="auto"/>
            <w:bottom w:val="none" w:sz="0" w:space="0" w:color="auto"/>
            <w:right w:val="none" w:sz="0" w:space="0" w:color="auto"/>
          </w:divBdr>
          <w:divsChild>
            <w:div w:id="1997219504">
              <w:marLeft w:val="0"/>
              <w:marRight w:val="0"/>
              <w:marTop w:val="0"/>
              <w:marBottom w:val="0"/>
              <w:divBdr>
                <w:top w:val="none" w:sz="0" w:space="0" w:color="auto"/>
                <w:left w:val="none" w:sz="0" w:space="0" w:color="auto"/>
                <w:bottom w:val="none" w:sz="0" w:space="0" w:color="auto"/>
                <w:right w:val="none" w:sz="0" w:space="0" w:color="auto"/>
              </w:divBdr>
            </w:div>
          </w:divsChild>
        </w:div>
        <w:div w:id="1015545862">
          <w:marLeft w:val="0"/>
          <w:marRight w:val="0"/>
          <w:marTop w:val="0"/>
          <w:marBottom w:val="0"/>
          <w:divBdr>
            <w:top w:val="none" w:sz="0" w:space="0" w:color="auto"/>
            <w:left w:val="none" w:sz="0" w:space="0" w:color="auto"/>
            <w:bottom w:val="none" w:sz="0" w:space="0" w:color="auto"/>
            <w:right w:val="none" w:sz="0" w:space="0" w:color="auto"/>
          </w:divBdr>
          <w:divsChild>
            <w:div w:id="911768089">
              <w:marLeft w:val="0"/>
              <w:marRight w:val="0"/>
              <w:marTop w:val="0"/>
              <w:marBottom w:val="0"/>
              <w:divBdr>
                <w:top w:val="none" w:sz="0" w:space="0" w:color="auto"/>
                <w:left w:val="none" w:sz="0" w:space="0" w:color="auto"/>
                <w:bottom w:val="none" w:sz="0" w:space="0" w:color="auto"/>
                <w:right w:val="none" w:sz="0" w:space="0" w:color="auto"/>
              </w:divBdr>
            </w:div>
          </w:divsChild>
        </w:div>
        <w:div w:id="1074471066">
          <w:marLeft w:val="0"/>
          <w:marRight w:val="0"/>
          <w:marTop w:val="0"/>
          <w:marBottom w:val="0"/>
          <w:divBdr>
            <w:top w:val="none" w:sz="0" w:space="0" w:color="auto"/>
            <w:left w:val="none" w:sz="0" w:space="0" w:color="auto"/>
            <w:bottom w:val="none" w:sz="0" w:space="0" w:color="auto"/>
            <w:right w:val="none" w:sz="0" w:space="0" w:color="auto"/>
          </w:divBdr>
          <w:divsChild>
            <w:div w:id="155147485">
              <w:marLeft w:val="0"/>
              <w:marRight w:val="0"/>
              <w:marTop w:val="0"/>
              <w:marBottom w:val="0"/>
              <w:divBdr>
                <w:top w:val="none" w:sz="0" w:space="0" w:color="auto"/>
                <w:left w:val="none" w:sz="0" w:space="0" w:color="auto"/>
                <w:bottom w:val="none" w:sz="0" w:space="0" w:color="auto"/>
                <w:right w:val="none" w:sz="0" w:space="0" w:color="auto"/>
              </w:divBdr>
            </w:div>
          </w:divsChild>
        </w:div>
        <w:div w:id="1077941240">
          <w:marLeft w:val="0"/>
          <w:marRight w:val="0"/>
          <w:marTop w:val="0"/>
          <w:marBottom w:val="0"/>
          <w:divBdr>
            <w:top w:val="none" w:sz="0" w:space="0" w:color="auto"/>
            <w:left w:val="none" w:sz="0" w:space="0" w:color="auto"/>
            <w:bottom w:val="none" w:sz="0" w:space="0" w:color="auto"/>
            <w:right w:val="none" w:sz="0" w:space="0" w:color="auto"/>
          </w:divBdr>
          <w:divsChild>
            <w:div w:id="905185159">
              <w:marLeft w:val="0"/>
              <w:marRight w:val="0"/>
              <w:marTop w:val="0"/>
              <w:marBottom w:val="0"/>
              <w:divBdr>
                <w:top w:val="none" w:sz="0" w:space="0" w:color="auto"/>
                <w:left w:val="none" w:sz="0" w:space="0" w:color="auto"/>
                <w:bottom w:val="none" w:sz="0" w:space="0" w:color="auto"/>
                <w:right w:val="none" w:sz="0" w:space="0" w:color="auto"/>
              </w:divBdr>
            </w:div>
          </w:divsChild>
        </w:div>
        <w:div w:id="1078820265">
          <w:marLeft w:val="0"/>
          <w:marRight w:val="0"/>
          <w:marTop w:val="0"/>
          <w:marBottom w:val="0"/>
          <w:divBdr>
            <w:top w:val="none" w:sz="0" w:space="0" w:color="auto"/>
            <w:left w:val="none" w:sz="0" w:space="0" w:color="auto"/>
            <w:bottom w:val="none" w:sz="0" w:space="0" w:color="auto"/>
            <w:right w:val="none" w:sz="0" w:space="0" w:color="auto"/>
          </w:divBdr>
          <w:divsChild>
            <w:div w:id="50350544">
              <w:marLeft w:val="0"/>
              <w:marRight w:val="0"/>
              <w:marTop w:val="0"/>
              <w:marBottom w:val="0"/>
              <w:divBdr>
                <w:top w:val="none" w:sz="0" w:space="0" w:color="auto"/>
                <w:left w:val="none" w:sz="0" w:space="0" w:color="auto"/>
                <w:bottom w:val="none" w:sz="0" w:space="0" w:color="auto"/>
                <w:right w:val="none" w:sz="0" w:space="0" w:color="auto"/>
              </w:divBdr>
            </w:div>
          </w:divsChild>
        </w:div>
        <w:div w:id="1089694056">
          <w:marLeft w:val="0"/>
          <w:marRight w:val="0"/>
          <w:marTop w:val="0"/>
          <w:marBottom w:val="0"/>
          <w:divBdr>
            <w:top w:val="none" w:sz="0" w:space="0" w:color="auto"/>
            <w:left w:val="none" w:sz="0" w:space="0" w:color="auto"/>
            <w:bottom w:val="none" w:sz="0" w:space="0" w:color="auto"/>
            <w:right w:val="none" w:sz="0" w:space="0" w:color="auto"/>
          </w:divBdr>
          <w:divsChild>
            <w:div w:id="168302141">
              <w:marLeft w:val="0"/>
              <w:marRight w:val="0"/>
              <w:marTop w:val="0"/>
              <w:marBottom w:val="0"/>
              <w:divBdr>
                <w:top w:val="none" w:sz="0" w:space="0" w:color="auto"/>
                <w:left w:val="none" w:sz="0" w:space="0" w:color="auto"/>
                <w:bottom w:val="none" w:sz="0" w:space="0" w:color="auto"/>
                <w:right w:val="none" w:sz="0" w:space="0" w:color="auto"/>
              </w:divBdr>
            </w:div>
          </w:divsChild>
        </w:div>
        <w:div w:id="1123843505">
          <w:marLeft w:val="0"/>
          <w:marRight w:val="0"/>
          <w:marTop w:val="0"/>
          <w:marBottom w:val="0"/>
          <w:divBdr>
            <w:top w:val="none" w:sz="0" w:space="0" w:color="auto"/>
            <w:left w:val="none" w:sz="0" w:space="0" w:color="auto"/>
            <w:bottom w:val="none" w:sz="0" w:space="0" w:color="auto"/>
            <w:right w:val="none" w:sz="0" w:space="0" w:color="auto"/>
          </w:divBdr>
          <w:divsChild>
            <w:div w:id="887914166">
              <w:marLeft w:val="0"/>
              <w:marRight w:val="0"/>
              <w:marTop w:val="0"/>
              <w:marBottom w:val="0"/>
              <w:divBdr>
                <w:top w:val="none" w:sz="0" w:space="0" w:color="auto"/>
                <w:left w:val="none" w:sz="0" w:space="0" w:color="auto"/>
                <w:bottom w:val="none" w:sz="0" w:space="0" w:color="auto"/>
                <w:right w:val="none" w:sz="0" w:space="0" w:color="auto"/>
              </w:divBdr>
            </w:div>
          </w:divsChild>
        </w:div>
        <w:div w:id="1149249874">
          <w:marLeft w:val="0"/>
          <w:marRight w:val="0"/>
          <w:marTop w:val="0"/>
          <w:marBottom w:val="0"/>
          <w:divBdr>
            <w:top w:val="none" w:sz="0" w:space="0" w:color="auto"/>
            <w:left w:val="none" w:sz="0" w:space="0" w:color="auto"/>
            <w:bottom w:val="none" w:sz="0" w:space="0" w:color="auto"/>
            <w:right w:val="none" w:sz="0" w:space="0" w:color="auto"/>
          </w:divBdr>
          <w:divsChild>
            <w:div w:id="678237561">
              <w:marLeft w:val="0"/>
              <w:marRight w:val="0"/>
              <w:marTop w:val="0"/>
              <w:marBottom w:val="0"/>
              <w:divBdr>
                <w:top w:val="none" w:sz="0" w:space="0" w:color="auto"/>
                <w:left w:val="none" w:sz="0" w:space="0" w:color="auto"/>
                <w:bottom w:val="none" w:sz="0" w:space="0" w:color="auto"/>
                <w:right w:val="none" w:sz="0" w:space="0" w:color="auto"/>
              </w:divBdr>
            </w:div>
          </w:divsChild>
        </w:div>
        <w:div w:id="1172335547">
          <w:marLeft w:val="0"/>
          <w:marRight w:val="0"/>
          <w:marTop w:val="0"/>
          <w:marBottom w:val="0"/>
          <w:divBdr>
            <w:top w:val="none" w:sz="0" w:space="0" w:color="auto"/>
            <w:left w:val="none" w:sz="0" w:space="0" w:color="auto"/>
            <w:bottom w:val="none" w:sz="0" w:space="0" w:color="auto"/>
            <w:right w:val="none" w:sz="0" w:space="0" w:color="auto"/>
          </w:divBdr>
          <w:divsChild>
            <w:div w:id="2070154573">
              <w:marLeft w:val="0"/>
              <w:marRight w:val="0"/>
              <w:marTop w:val="0"/>
              <w:marBottom w:val="0"/>
              <w:divBdr>
                <w:top w:val="none" w:sz="0" w:space="0" w:color="auto"/>
                <w:left w:val="none" w:sz="0" w:space="0" w:color="auto"/>
                <w:bottom w:val="none" w:sz="0" w:space="0" w:color="auto"/>
                <w:right w:val="none" w:sz="0" w:space="0" w:color="auto"/>
              </w:divBdr>
            </w:div>
          </w:divsChild>
        </w:div>
        <w:div w:id="1225917443">
          <w:marLeft w:val="0"/>
          <w:marRight w:val="0"/>
          <w:marTop w:val="0"/>
          <w:marBottom w:val="0"/>
          <w:divBdr>
            <w:top w:val="none" w:sz="0" w:space="0" w:color="auto"/>
            <w:left w:val="none" w:sz="0" w:space="0" w:color="auto"/>
            <w:bottom w:val="none" w:sz="0" w:space="0" w:color="auto"/>
            <w:right w:val="none" w:sz="0" w:space="0" w:color="auto"/>
          </w:divBdr>
          <w:divsChild>
            <w:div w:id="1611352625">
              <w:marLeft w:val="0"/>
              <w:marRight w:val="0"/>
              <w:marTop w:val="0"/>
              <w:marBottom w:val="0"/>
              <w:divBdr>
                <w:top w:val="none" w:sz="0" w:space="0" w:color="auto"/>
                <w:left w:val="none" w:sz="0" w:space="0" w:color="auto"/>
                <w:bottom w:val="none" w:sz="0" w:space="0" w:color="auto"/>
                <w:right w:val="none" w:sz="0" w:space="0" w:color="auto"/>
              </w:divBdr>
            </w:div>
          </w:divsChild>
        </w:div>
        <w:div w:id="1231578024">
          <w:marLeft w:val="0"/>
          <w:marRight w:val="0"/>
          <w:marTop w:val="0"/>
          <w:marBottom w:val="0"/>
          <w:divBdr>
            <w:top w:val="none" w:sz="0" w:space="0" w:color="auto"/>
            <w:left w:val="none" w:sz="0" w:space="0" w:color="auto"/>
            <w:bottom w:val="none" w:sz="0" w:space="0" w:color="auto"/>
            <w:right w:val="none" w:sz="0" w:space="0" w:color="auto"/>
          </w:divBdr>
          <w:divsChild>
            <w:div w:id="1186794388">
              <w:marLeft w:val="0"/>
              <w:marRight w:val="0"/>
              <w:marTop w:val="0"/>
              <w:marBottom w:val="0"/>
              <w:divBdr>
                <w:top w:val="none" w:sz="0" w:space="0" w:color="auto"/>
                <w:left w:val="none" w:sz="0" w:space="0" w:color="auto"/>
                <w:bottom w:val="none" w:sz="0" w:space="0" w:color="auto"/>
                <w:right w:val="none" w:sz="0" w:space="0" w:color="auto"/>
              </w:divBdr>
            </w:div>
          </w:divsChild>
        </w:div>
        <w:div w:id="1256793146">
          <w:marLeft w:val="0"/>
          <w:marRight w:val="0"/>
          <w:marTop w:val="0"/>
          <w:marBottom w:val="0"/>
          <w:divBdr>
            <w:top w:val="none" w:sz="0" w:space="0" w:color="auto"/>
            <w:left w:val="none" w:sz="0" w:space="0" w:color="auto"/>
            <w:bottom w:val="none" w:sz="0" w:space="0" w:color="auto"/>
            <w:right w:val="none" w:sz="0" w:space="0" w:color="auto"/>
          </w:divBdr>
          <w:divsChild>
            <w:div w:id="819689012">
              <w:marLeft w:val="0"/>
              <w:marRight w:val="0"/>
              <w:marTop w:val="0"/>
              <w:marBottom w:val="0"/>
              <w:divBdr>
                <w:top w:val="none" w:sz="0" w:space="0" w:color="auto"/>
                <w:left w:val="none" w:sz="0" w:space="0" w:color="auto"/>
                <w:bottom w:val="none" w:sz="0" w:space="0" w:color="auto"/>
                <w:right w:val="none" w:sz="0" w:space="0" w:color="auto"/>
              </w:divBdr>
            </w:div>
          </w:divsChild>
        </w:div>
        <w:div w:id="1288706698">
          <w:marLeft w:val="0"/>
          <w:marRight w:val="0"/>
          <w:marTop w:val="0"/>
          <w:marBottom w:val="0"/>
          <w:divBdr>
            <w:top w:val="none" w:sz="0" w:space="0" w:color="auto"/>
            <w:left w:val="none" w:sz="0" w:space="0" w:color="auto"/>
            <w:bottom w:val="none" w:sz="0" w:space="0" w:color="auto"/>
            <w:right w:val="none" w:sz="0" w:space="0" w:color="auto"/>
          </w:divBdr>
          <w:divsChild>
            <w:div w:id="396515736">
              <w:marLeft w:val="0"/>
              <w:marRight w:val="0"/>
              <w:marTop w:val="0"/>
              <w:marBottom w:val="0"/>
              <w:divBdr>
                <w:top w:val="none" w:sz="0" w:space="0" w:color="auto"/>
                <w:left w:val="none" w:sz="0" w:space="0" w:color="auto"/>
                <w:bottom w:val="none" w:sz="0" w:space="0" w:color="auto"/>
                <w:right w:val="none" w:sz="0" w:space="0" w:color="auto"/>
              </w:divBdr>
            </w:div>
          </w:divsChild>
        </w:div>
        <w:div w:id="1302807665">
          <w:marLeft w:val="0"/>
          <w:marRight w:val="0"/>
          <w:marTop w:val="0"/>
          <w:marBottom w:val="0"/>
          <w:divBdr>
            <w:top w:val="none" w:sz="0" w:space="0" w:color="auto"/>
            <w:left w:val="none" w:sz="0" w:space="0" w:color="auto"/>
            <w:bottom w:val="none" w:sz="0" w:space="0" w:color="auto"/>
            <w:right w:val="none" w:sz="0" w:space="0" w:color="auto"/>
          </w:divBdr>
          <w:divsChild>
            <w:div w:id="1446535677">
              <w:marLeft w:val="0"/>
              <w:marRight w:val="0"/>
              <w:marTop w:val="0"/>
              <w:marBottom w:val="0"/>
              <w:divBdr>
                <w:top w:val="none" w:sz="0" w:space="0" w:color="auto"/>
                <w:left w:val="none" w:sz="0" w:space="0" w:color="auto"/>
                <w:bottom w:val="none" w:sz="0" w:space="0" w:color="auto"/>
                <w:right w:val="none" w:sz="0" w:space="0" w:color="auto"/>
              </w:divBdr>
            </w:div>
          </w:divsChild>
        </w:div>
        <w:div w:id="1330449003">
          <w:marLeft w:val="0"/>
          <w:marRight w:val="0"/>
          <w:marTop w:val="0"/>
          <w:marBottom w:val="0"/>
          <w:divBdr>
            <w:top w:val="none" w:sz="0" w:space="0" w:color="auto"/>
            <w:left w:val="none" w:sz="0" w:space="0" w:color="auto"/>
            <w:bottom w:val="none" w:sz="0" w:space="0" w:color="auto"/>
            <w:right w:val="none" w:sz="0" w:space="0" w:color="auto"/>
          </w:divBdr>
          <w:divsChild>
            <w:div w:id="1044216569">
              <w:marLeft w:val="0"/>
              <w:marRight w:val="0"/>
              <w:marTop w:val="0"/>
              <w:marBottom w:val="0"/>
              <w:divBdr>
                <w:top w:val="none" w:sz="0" w:space="0" w:color="auto"/>
                <w:left w:val="none" w:sz="0" w:space="0" w:color="auto"/>
                <w:bottom w:val="none" w:sz="0" w:space="0" w:color="auto"/>
                <w:right w:val="none" w:sz="0" w:space="0" w:color="auto"/>
              </w:divBdr>
            </w:div>
          </w:divsChild>
        </w:div>
        <w:div w:id="1339190518">
          <w:marLeft w:val="0"/>
          <w:marRight w:val="0"/>
          <w:marTop w:val="0"/>
          <w:marBottom w:val="0"/>
          <w:divBdr>
            <w:top w:val="none" w:sz="0" w:space="0" w:color="auto"/>
            <w:left w:val="none" w:sz="0" w:space="0" w:color="auto"/>
            <w:bottom w:val="none" w:sz="0" w:space="0" w:color="auto"/>
            <w:right w:val="none" w:sz="0" w:space="0" w:color="auto"/>
          </w:divBdr>
          <w:divsChild>
            <w:div w:id="1405570005">
              <w:marLeft w:val="0"/>
              <w:marRight w:val="0"/>
              <w:marTop w:val="0"/>
              <w:marBottom w:val="0"/>
              <w:divBdr>
                <w:top w:val="none" w:sz="0" w:space="0" w:color="auto"/>
                <w:left w:val="none" w:sz="0" w:space="0" w:color="auto"/>
                <w:bottom w:val="none" w:sz="0" w:space="0" w:color="auto"/>
                <w:right w:val="none" w:sz="0" w:space="0" w:color="auto"/>
              </w:divBdr>
            </w:div>
          </w:divsChild>
        </w:div>
        <w:div w:id="1357345932">
          <w:marLeft w:val="0"/>
          <w:marRight w:val="0"/>
          <w:marTop w:val="0"/>
          <w:marBottom w:val="0"/>
          <w:divBdr>
            <w:top w:val="none" w:sz="0" w:space="0" w:color="auto"/>
            <w:left w:val="none" w:sz="0" w:space="0" w:color="auto"/>
            <w:bottom w:val="none" w:sz="0" w:space="0" w:color="auto"/>
            <w:right w:val="none" w:sz="0" w:space="0" w:color="auto"/>
          </w:divBdr>
          <w:divsChild>
            <w:div w:id="590507621">
              <w:marLeft w:val="0"/>
              <w:marRight w:val="0"/>
              <w:marTop w:val="0"/>
              <w:marBottom w:val="0"/>
              <w:divBdr>
                <w:top w:val="none" w:sz="0" w:space="0" w:color="auto"/>
                <w:left w:val="none" w:sz="0" w:space="0" w:color="auto"/>
                <w:bottom w:val="none" w:sz="0" w:space="0" w:color="auto"/>
                <w:right w:val="none" w:sz="0" w:space="0" w:color="auto"/>
              </w:divBdr>
            </w:div>
          </w:divsChild>
        </w:div>
        <w:div w:id="1368602256">
          <w:marLeft w:val="0"/>
          <w:marRight w:val="0"/>
          <w:marTop w:val="0"/>
          <w:marBottom w:val="0"/>
          <w:divBdr>
            <w:top w:val="none" w:sz="0" w:space="0" w:color="auto"/>
            <w:left w:val="none" w:sz="0" w:space="0" w:color="auto"/>
            <w:bottom w:val="none" w:sz="0" w:space="0" w:color="auto"/>
            <w:right w:val="none" w:sz="0" w:space="0" w:color="auto"/>
          </w:divBdr>
          <w:divsChild>
            <w:div w:id="1020086055">
              <w:marLeft w:val="0"/>
              <w:marRight w:val="0"/>
              <w:marTop w:val="0"/>
              <w:marBottom w:val="0"/>
              <w:divBdr>
                <w:top w:val="none" w:sz="0" w:space="0" w:color="auto"/>
                <w:left w:val="none" w:sz="0" w:space="0" w:color="auto"/>
                <w:bottom w:val="none" w:sz="0" w:space="0" w:color="auto"/>
                <w:right w:val="none" w:sz="0" w:space="0" w:color="auto"/>
              </w:divBdr>
            </w:div>
          </w:divsChild>
        </w:div>
        <w:div w:id="1374378732">
          <w:marLeft w:val="0"/>
          <w:marRight w:val="0"/>
          <w:marTop w:val="0"/>
          <w:marBottom w:val="0"/>
          <w:divBdr>
            <w:top w:val="none" w:sz="0" w:space="0" w:color="auto"/>
            <w:left w:val="none" w:sz="0" w:space="0" w:color="auto"/>
            <w:bottom w:val="none" w:sz="0" w:space="0" w:color="auto"/>
            <w:right w:val="none" w:sz="0" w:space="0" w:color="auto"/>
          </w:divBdr>
          <w:divsChild>
            <w:div w:id="121196171">
              <w:marLeft w:val="0"/>
              <w:marRight w:val="0"/>
              <w:marTop w:val="0"/>
              <w:marBottom w:val="0"/>
              <w:divBdr>
                <w:top w:val="none" w:sz="0" w:space="0" w:color="auto"/>
                <w:left w:val="none" w:sz="0" w:space="0" w:color="auto"/>
                <w:bottom w:val="none" w:sz="0" w:space="0" w:color="auto"/>
                <w:right w:val="none" w:sz="0" w:space="0" w:color="auto"/>
              </w:divBdr>
            </w:div>
          </w:divsChild>
        </w:div>
        <w:div w:id="1383167681">
          <w:marLeft w:val="0"/>
          <w:marRight w:val="0"/>
          <w:marTop w:val="0"/>
          <w:marBottom w:val="0"/>
          <w:divBdr>
            <w:top w:val="none" w:sz="0" w:space="0" w:color="auto"/>
            <w:left w:val="none" w:sz="0" w:space="0" w:color="auto"/>
            <w:bottom w:val="none" w:sz="0" w:space="0" w:color="auto"/>
            <w:right w:val="none" w:sz="0" w:space="0" w:color="auto"/>
          </w:divBdr>
          <w:divsChild>
            <w:div w:id="2005547564">
              <w:marLeft w:val="0"/>
              <w:marRight w:val="0"/>
              <w:marTop w:val="0"/>
              <w:marBottom w:val="0"/>
              <w:divBdr>
                <w:top w:val="none" w:sz="0" w:space="0" w:color="auto"/>
                <w:left w:val="none" w:sz="0" w:space="0" w:color="auto"/>
                <w:bottom w:val="none" w:sz="0" w:space="0" w:color="auto"/>
                <w:right w:val="none" w:sz="0" w:space="0" w:color="auto"/>
              </w:divBdr>
            </w:div>
          </w:divsChild>
        </w:div>
        <w:div w:id="1417287759">
          <w:marLeft w:val="0"/>
          <w:marRight w:val="0"/>
          <w:marTop w:val="0"/>
          <w:marBottom w:val="0"/>
          <w:divBdr>
            <w:top w:val="none" w:sz="0" w:space="0" w:color="auto"/>
            <w:left w:val="none" w:sz="0" w:space="0" w:color="auto"/>
            <w:bottom w:val="none" w:sz="0" w:space="0" w:color="auto"/>
            <w:right w:val="none" w:sz="0" w:space="0" w:color="auto"/>
          </w:divBdr>
          <w:divsChild>
            <w:div w:id="1900170104">
              <w:marLeft w:val="0"/>
              <w:marRight w:val="0"/>
              <w:marTop w:val="0"/>
              <w:marBottom w:val="0"/>
              <w:divBdr>
                <w:top w:val="none" w:sz="0" w:space="0" w:color="auto"/>
                <w:left w:val="none" w:sz="0" w:space="0" w:color="auto"/>
                <w:bottom w:val="none" w:sz="0" w:space="0" w:color="auto"/>
                <w:right w:val="none" w:sz="0" w:space="0" w:color="auto"/>
              </w:divBdr>
            </w:div>
          </w:divsChild>
        </w:div>
        <w:div w:id="1432094056">
          <w:marLeft w:val="0"/>
          <w:marRight w:val="0"/>
          <w:marTop w:val="0"/>
          <w:marBottom w:val="0"/>
          <w:divBdr>
            <w:top w:val="none" w:sz="0" w:space="0" w:color="auto"/>
            <w:left w:val="none" w:sz="0" w:space="0" w:color="auto"/>
            <w:bottom w:val="none" w:sz="0" w:space="0" w:color="auto"/>
            <w:right w:val="none" w:sz="0" w:space="0" w:color="auto"/>
          </w:divBdr>
          <w:divsChild>
            <w:div w:id="1187524830">
              <w:marLeft w:val="0"/>
              <w:marRight w:val="0"/>
              <w:marTop w:val="0"/>
              <w:marBottom w:val="0"/>
              <w:divBdr>
                <w:top w:val="none" w:sz="0" w:space="0" w:color="auto"/>
                <w:left w:val="none" w:sz="0" w:space="0" w:color="auto"/>
                <w:bottom w:val="none" w:sz="0" w:space="0" w:color="auto"/>
                <w:right w:val="none" w:sz="0" w:space="0" w:color="auto"/>
              </w:divBdr>
            </w:div>
          </w:divsChild>
        </w:div>
        <w:div w:id="1446922773">
          <w:marLeft w:val="0"/>
          <w:marRight w:val="0"/>
          <w:marTop w:val="0"/>
          <w:marBottom w:val="0"/>
          <w:divBdr>
            <w:top w:val="none" w:sz="0" w:space="0" w:color="auto"/>
            <w:left w:val="none" w:sz="0" w:space="0" w:color="auto"/>
            <w:bottom w:val="none" w:sz="0" w:space="0" w:color="auto"/>
            <w:right w:val="none" w:sz="0" w:space="0" w:color="auto"/>
          </w:divBdr>
          <w:divsChild>
            <w:div w:id="1496069353">
              <w:marLeft w:val="0"/>
              <w:marRight w:val="0"/>
              <w:marTop w:val="0"/>
              <w:marBottom w:val="0"/>
              <w:divBdr>
                <w:top w:val="none" w:sz="0" w:space="0" w:color="auto"/>
                <w:left w:val="none" w:sz="0" w:space="0" w:color="auto"/>
                <w:bottom w:val="none" w:sz="0" w:space="0" w:color="auto"/>
                <w:right w:val="none" w:sz="0" w:space="0" w:color="auto"/>
              </w:divBdr>
            </w:div>
          </w:divsChild>
        </w:div>
        <w:div w:id="1525317439">
          <w:marLeft w:val="0"/>
          <w:marRight w:val="0"/>
          <w:marTop w:val="0"/>
          <w:marBottom w:val="0"/>
          <w:divBdr>
            <w:top w:val="none" w:sz="0" w:space="0" w:color="auto"/>
            <w:left w:val="none" w:sz="0" w:space="0" w:color="auto"/>
            <w:bottom w:val="none" w:sz="0" w:space="0" w:color="auto"/>
            <w:right w:val="none" w:sz="0" w:space="0" w:color="auto"/>
          </w:divBdr>
          <w:divsChild>
            <w:div w:id="721178111">
              <w:marLeft w:val="0"/>
              <w:marRight w:val="0"/>
              <w:marTop w:val="0"/>
              <w:marBottom w:val="0"/>
              <w:divBdr>
                <w:top w:val="none" w:sz="0" w:space="0" w:color="auto"/>
                <w:left w:val="none" w:sz="0" w:space="0" w:color="auto"/>
                <w:bottom w:val="none" w:sz="0" w:space="0" w:color="auto"/>
                <w:right w:val="none" w:sz="0" w:space="0" w:color="auto"/>
              </w:divBdr>
            </w:div>
          </w:divsChild>
        </w:div>
        <w:div w:id="1583176586">
          <w:marLeft w:val="0"/>
          <w:marRight w:val="0"/>
          <w:marTop w:val="0"/>
          <w:marBottom w:val="0"/>
          <w:divBdr>
            <w:top w:val="none" w:sz="0" w:space="0" w:color="auto"/>
            <w:left w:val="none" w:sz="0" w:space="0" w:color="auto"/>
            <w:bottom w:val="none" w:sz="0" w:space="0" w:color="auto"/>
            <w:right w:val="none" w:sz="0" w:space="0" w:color="auto"/>
          </w:divBdr>
          <w:divsChild>
            <w:div w:id="1148203708">
              <w:marLeft w:val="0"/>
              <w:marRight w:val="0"/>
              <w:marTop w:val="0"/>
              <w:marBottom w:val="0"/>
              <w:divBdr>
                <w:top w:val="none" w:sz="0" w:space="0" w:color="auto"/>
                <w:left w:val="none" w:sz="0" w:space="0" w:color="auto"/>
                <w:bottom w:val="none" w:sz="0" w:space="0" w:color="auto"/>
                <w:right w:val="none" w:sz="0" w:space="0" w:color="auto"/>
              </w:divBdr>
            </w:div>
          </w:divsChild>
        </w:div>
        <w:div w:id="1585063371">
          <w:marLeft w:val="0"/>
          <w:marRight w:val="0"/>
          <w:marTop w:val="0"/>
          <w:marBottom w:val="0"/>
          <w:divBdr>
            <w:top w:val="none" w:sz="0" w:space="0" w:color="auto"/>
            <w:left w:val="none" w:sz="0" w:space="0" w:color="auto"/>
            <w:bottom w:val="none" w:sz="0" w:space="0" w:color="auto"/>
            <w:right w:val="none" w:sz="0" w:space="0" w:color="auto"/>
          </w:divBdr>
          <w:divsChild>
            <w:div w:id="1961766124">
              <w:marLeft w:val="0"/>
              <w:marRight w:val="0"/>
              <w:marTop w:val="0"/>
              <w:marBottom w:val="0"/>
              <w:divBdr>
                <w:top w:val="none" w:sz="0" w:space="0" w:color="auto"/>
                <w:left w:val="none" w:sz="0" w:space="0" w:color="auto"/>
                <w:bottom w:val="none" w:sz="0" w:space="0" w:color="auto"/>
                <w:right w:val="none" w:sz="0" w:space="0" w:color="auto"/>
              </w:divBdr>
            </w:div>
          </w:divsChild>
        </w:div>
        <w:div w:id="1621184430">
          <w:marLeft w:val="0"/>
          <w:marRight w:val="0"/>
          <w:marTop w:val="0"/>
          <w:marBottom w:val="0"/>
          <w:divBdr>
            <w:top w:val="none" w:sz="0" w:space="0" w:color="auto"/>
            <w:left w:val="none" w:sz="0" w:space="0" w:color="auto"/>
            <w:bottom w:val="none" w:sz="0" w:space="0" w:color="auto"/>
            <w:right w:val="none" w:sz="0" w:space="0" w:color="auto"/>
          </w:divBdr>
          <w:divsChild>
            <w:div w:id="125590687">
              <w:marLeft w:val="0"/>
              <w:marRight w:val="0"/>
              <w:marTop w:val="0"/>
              <w:marBottom w:val="0"/>
              <w:divBdr>
                <w:top w:val="none" w:sz="0" w:space="0" w:color="auto"/>
                <w:left w:val="none" w:sz="0" w:space="0" w:color="auto"/>
                <w:bottom w:val="none" w:sz="0" w:space="0" w:color="auto"/>
                <w:right w:val="none" w:sz="0" w:space="0" w:color="auto"/>
              </w:divBdr>
            </w:div>
          </w:divsChild>
        </w:div>
        <w:div w:id="1636790277">
          <w:marLeft w:val="0"/>
          <w:marRight w:val="0"/>
          <w:marTop w:val="0"/>
          <w:marBottom w:val="0"/>
          <w:divBdr>
            <w:top w:val="none" w:sz="0" w:space="0" w:color="auto"/>
            <w:left w:val="none" w:sz="0" w:space="0" w:color="auto"/>
            <w:bottom w:val="none" w:sz="0" w:space="0" w:color="auto"/>
            <w:right w:val="none" w:sz="0" w:space="0" w:color="auto"/>
          </w:divBdr>
          <w:divsChild>
            <w:div w:id="1506245706">
              <w:marLeft w:val="0"/>
              <w:marRight w:val="0"/>
              <w:marTop w:val="0"/>
              <w:marBottom w:val="0"/>
              <w:divBdr>
                <w:top w:val="none" w:sz="0" w:space="0" w:color="auto"/>
                <w:left w:val="none" w:sz="0" w:space="0" w:color="auto"/>
                <w:bottom w:val="none" w:sz="0" w:space="0" w:color="auto"/>
                <w:right w:val="none" w:sz="0" w:space="0" w:color="auto"/>
              </w:divBdr>
            </w:div>
          </w:divsChild>
        </w:div>
        <w:div w:id="1639412648">
          <w:marLeft w:val="0"/>
          <w:marRight w:val="0"/>
          <w:marTop w:val="0"/>
          <w:marBottom w:val="0"/>
          <w:divBdr>
            <w:top w:val="none" w:sz="0" w:space="0" w:color="auto"/>
            <w:left w:val="none" w:sz="0" w:space="0" w:color="auto"/>
            <w:bottom w:val="none" w:sz="0" w:space="0" w:color="auto"/>
            <w:right w:val="none" w:sz="0" w:space="0" w:color="auto"/>
          </w:divBdr>
          <w:divsChild>
            <w:div w:id="928658925">
              <w:marLeft w:val="0"/>
              <w:marRight w:val="0"/>
              <w:marTop w:val="0"/>
              <w:marBottom w:val="0"/>
              <w:divBdr>
                <w:top w:val="none" w:sz="0" w:space="0" w:color="auto"/>
                <w:left w:val="none" w:sz="0" w:space="0" w:color="auto"/>
                <w:bottom w:val="none" w:sz="0" w:space="0" w:color="auto"/>
                <w:right w:val="none" w:sz="0" w:space="0" w:color="auto"/>
              </w:divBdr>
            </w:div>
          </w:divsChild>
        </w:div>
        <w:div w:id="1693415352">
          <w:marLeft w:val="0"/>
          <w:marRight w:val="0"/>
          <w:marTop w:val="0"/>
          <w:marBottom w:val="0"/>
          <w:divBdr>
            <w:top w:val="none" w:sz="0" w:space="0" w:color="auto"/>
            <w:left w:val="none" w:sz="0" w:space="0" w:color="auto"/>
            <w:bottom w:val="none" w:sz="0" w:space="0" w:color="auto"/>
            <w:right w:val="none" w:sz="0" w:space="0" w:color="auto"/>
          </w:divBdr>
          <w:divsChild>
            <w:div w:id="1062101572">
              <w:marLeft w:val="0"/>
              <w:marRight w:val="0"/>
              <w:marTop w:val="0"/>
              <w:marBottom w:val="0"/>
              <w:divBdr>
                <w:top w:val="none" w:sz="0" w:space="0" w:color="auto"/>
                <w:left w:val="none" w:sz="0" w:space="0" w:color="auto"/>
                <w:bottom w:val="none" w:sz="0" w:space="0" w:color="auto"/>
                <w:right w:val="none" w:sz="0" w:space="0" w:color="auto"/>
              </w:divBdr>
            </w:div>
          </w:divsChild>
        </w:div>
        <w:div w:id="1702390432">
          <w:marLeft w:val="0"/>
          <w:marRight w:val="0"/>
          <w:marTop w:val="0"/>
          <w:marBottom w:val="0"/>
          <w:divBdr>
            <w:top w:val="none" w:sz="0" w:space="0" w:color="auto"/>
            <w:left w:val="none" w:sz="0" w:space="0" w:color="auto"/>
            <w:bottom w:val="none" w:sz="0" w:space="0" w:color="auto"/>
            <w:right w:val="none" w:sz="0" w:space="0" w:color="auto"/>
          </w:divBdr>
          <w:divsChild>
            <w:div w:id="803737323">
              <w:marLeft w:val="0"/>
              <w:marRight w:val="0"/>
              <w:marTop w:val="0"/>
              <w:marBottom w:val="0"/>
              <w:divBdr>
                <w:top w:val="none" w:sz="0" w:space="0" w:color="auto"/>
                <w:left w:val="none" w:sz="0" w:space="0" w:color="auto"/>
                <w:bottom w:val="none" w:sz="0" w:space="0" w:color="auto"/>
                <w:right w:val="none" w:sz="0" w:space="0" w:color="auto"/>
              </w:divBdr>
            </w:div>
          </w:divsChild>
        </w:div>
        <w:div w:id="1704208864">
          <w:marLeft w:val="0"/>
          <w:marRight w:val="0"/>
          <w:marTop w:val="0"/>
          <w:marBottom w:val="0"/>
          <w:divBdr>
            <w:top w:val="none" w:sz="0" w:space="0" w:color="auto"/>
            <w:left w:val="none" w:sz="0" w:space="0" w:color="auto"/>
            <w:bottom w:val="none" w:sz="0" w:space="0" w:color="auto"/>
            <w:right w:val="none" w:sz="0" w:space="0" w:color="auto"/>
          </w:divBdr>
          <w:divsChild>
            <w:div w:id="1855920019">
              <w:marLeft w:val="0"/>
              <w:marRight w:val="0"/>
              <w:marTop w:val="0"/>
              <w:marBottom w:val="0"/>
              <w:divBdr>
                <w:top w:val="none" w:sz="0" w:space="0" w:color="auto"/>
                <w:left w:val="none" w:sz="0" w:space="0" w:color="auto"/>
                <w:bottom w:val="none" w:sz="0" w:space="0" w:color="auto"/>
                <w:right w:val="none" w:sz="0" w:space="0" w:color="auto"/>
              </w:divBdr>
            </w:div>
          </w:divsChild>
        </w:div>
        <w:div w:id="1768573426">
          <w:marLeft w:val="0"/>
          <w:marRight w:val="0"/>
          <w:marTop w:val="0"/>
          <w:marBottom w:val="0"/>
          <w:divBdr>
            <w:top w:val="none" w:sz="0" w:space="0" w:color="auto"/>
            <w:left w:val="none" w:sz="0" w:space="0" w:color="auto"/>
            <w:bottom w:val="none" w:sz="0" w:space="0" w:color="auto"/>
            <w:right w:val="none" w:sz="0" w:space="0" w:color="auto"/>
          </w:divBdr>
          <w:divsChild>
            <w:div w:id="1135097485">
              <w:marLeft w:val="0"/>
              <w:marRight w:val="0"/>
              <w:marTop w:val="0"/>
              <w:marBottom w:val="0"/>
              <w:divBdr>
                <w:top w:val="none" w:sz="0" w:space="0" w:color="auto"/>
                <w:left w:val="none" w:sz="0" w:space="0" w:color="auto"/>
                <w:bottom w:val="none" w:sz="0" w:space="0" w:color="auto"/>
                <w:right w:val="none" w:sz="0" w:space="0" w:color="auto"/>
              </w:divBdr>
            </w:div>
          </w:divsChild>
        </w:div>
        <w:div w:id="1828672122">
          <w:marLeft w:val="0"/>
          <w:marRight w:val="0"/>
          <w:marTop w:val="0"/>
          <w:marBottom w:val="0"/>
          <w:divBdr>
            <w:top w:val="none" w:sz="0" w:space="0" w:color="auto"/>
            <w:left w:val="none" w:sz="0" w:space="0" w:color="auto"/>
            <w:bottom w:val="none" w:sz="0" w:space="0" w:color="auto"/>
            <w:right w:val="none" w:sz="0" w:space="0" w:color="auto"/>
          </w:divBdr>
          <w:divsChild>
            <w:div w:id="840314656">
              <w:marLeft w:val="0"/>
              <w:marRight w:val="0"/>
              <w:marTop w:val="0"/>
              <w:marBottom w:val="0"/>
              <w:divBdr>
                <w:top w:val="none" w:sz="0" w:space="0" w:color="auto"/>
                <w:left w:val="none" w:sz="0" w:space="0" w:color="auto"/>
                <w:bottom w:val="none" w:sz="0" w:space="0" w:color="auto"/>
                <w:right w:val="none" w:sz="0" w:space="0" w:color="auto"/>
              </w:divBdr>
            </w:div>
          </w:divsChild>
        </w:div>
        <w:div w:id="1843011894">
          <w:marLeft w:val="0"/>
          <w:marRight w:val="0"/>
          <w:marTop w:val="0"/>
          <w:marBottom w:val="0"/>
          <w:divBdr>
            <w:top w:val="none" w:sz="0" w:space="0" w:color="auto"/>
            <w:left w:val="none" w:sz="0" w:space="0" w:color="auto"/>
            <w:bottom w:val="none" w:sz="0" w:space="0" w:color="auto"/>
            <w:right w:val="none" w:sz="0" w:space="0" w:color="auto"/>
          </w:divBdr>
          <w:divsChild>
            <w:div w:id="258373403">
              <w:marLeft w:val="0"/>
              <w:marRight w:val="0"/>
              <w:marTop w:val="0"/>
              <w:marBottom w:val="0"/>
              <w:divBdr>
                <w:top w:val="none" w:sz="0" w:space="0" w:color="auto"/>
                <w:left w:val="none" w:sz="0" w:space="0" w:color="auto"/>
                <w:bottom w:val="none" w:sz="0" w:space="0" w:color="auto"/>
                <w:right w:val="none" w:sz="0" w:space="0" w:color="auto"/>
              </w:divBdr>
            </w:div>
          </w:divsChild>
        </w:div>
        <w:div w:id="1900021264">
          <w:marLeft w:val="0"/>
          <w:marRight w:val="0"/>
          <w:marTop w:val="0"/>
          <w:marBottom w:val="0"/>
          <w:divBdr>
            <w:top w:val="none" w:sz="0" w:space="0" w:color="auto"/>
            <w:left w:val="none" w:sz="0" w:space="0" w:color="auto"/>
            <w:bottom w:val="none" w:sz="0" w:space="0" w:color="auto"/>
            <w:right w:val="none" w:sz="0" w:space="0" w:color="auto"/>
          </w:divBdr>
          <w:divsChild>
            <w:div w:id="1083604066">
              <w:marLeft w:val="0"/>
              <w:marRight w:val="0"/>
              <w:marTop w:val="0"/>
              <w:marBottom w:val="0"/>
              <w:divBdr>
                <w:top w:val="none" w:sz="0" w:space="0" w:color="auto"/>
                <w:left w:val="none" w:sz="0" w:space="0" w:color="auto"/>
                <w:bottom w:val="none" w:sz="0" w:space="0" w:color="auto"/>
                <w:right w:val="none" w:sz="0" w:space="0" w:color="auto"/>
              </w:divBdr>
            </w:div>
          </w:divsChild>
        </w:div>
        <w:div w:id="1909337303">
          <w:marLeft w:val="0"/>
          <w:marRight w:val="0"/>
          <w:marTop w:val="0"/>
          <w:marBottom w:val="0"/>
          <w:divBdr>
            <w:top w:val="none" w:sz="0" w:space="0" w:color="auto"/>
            <w:left w:val="none" w:sz="0" w:space="0" w:color="auto"/>
            <w:bottom w:val="none" w:sz="0" w:space="0" w:color="auto"/>
            <w:right w:val="none" w:sz="0" w:space="0" w:color="auto"/>
          </w:divBdr>
          <w:divsChild>
            <w:div w:id="1601793832">
              <w:marLeft w:val="0"/>
              <w:marRight w:val="0"/>
              <w:marTop w:val="0"/>
              <w:marBottom w:val="0"/>
              <w:divBdr>
                <w:top w:val="none" w:sz="0" w:space="0" w:color="auto"/>
                <w:left w:val="none" w:sz="0" w:space="0" w:color="auto"/>
                <w:bottom w:val="none" w:sz="0" w:space="0" w:color="auto"/>
                <w:right w:val="none" w:sz="0" w:space="0" w:color="auto"/>
              </w:divBdr>
            </w:div>
          </w:divsChild>
        </w:div>
        <w:div w:id="1910073330">
          <w:marLeft w:val="0"/>
          <w:marRight w:val="0"/>
          <w:marTop w:val="0"/>
          <w:marBottom w:val="0"/>
          <w:divBdr>
            <w:top w:val="none" w:sz="0" w:space="0" w:color="auto"/>
            <w:left w:val="none" w:sz="0" w:space="0" w:color="auto"/>
            <w:bottom w:val="none" w:sz="0" w:space="0" w:color="auto"/>
            <w:right w:val="none" w:sz="0" w:space="0" w:color="auto"/>
          </w:divBdr>
          <w:divsChild>
            <w:div w:id="989865115">
              <w:marLeft w:val="0"/>
              <w:marRight w:val="0"/>
              <w:marTop w:val="0"/>
              <w:marBottom w:val="0"/>
              <w:divBdr>
                <w:top w:val="none" w:sz="0" w:space="0" w:color="auto"/>
                <w:left w:val="none" w:sz="0" w:space="0" w:color="auto"/>
                <w:bottom w:val="none" w:sz="0" w:space="0" w:color="auto"/>
                <w:right w:val="none" w:sz="0" w:space="0" w:color="auto"/>
              </w:divBdr>
            </w:div>
          </w:divsChild>
        </w:div>
        <w:div w:id="1969433016">
          <w:marLeft w:val="0"/>
          <w:marRight w:val="0"/>
          <w:marTop w:val="0"/>
          <w:marBottom w:val="0"/>
          <w:divBdr>
            <w:top w:val="none" w:sz="0" w:space="0" w:color="auto"/>
            <w:left w:val="none" w:sz="0" w:space="0" w:color="auto"/>
            <w:bottom w:val="none" w:sz="0" w:space="0" w:color="auto"/>
            <w:right w:val="none" w:sz="0" w:space="0" w:color="auto"/>
          </w:divBdr>
          <w:divsChild>
            <w:div w:id="1167018723">
              <w:marLeft w:val="0"/>
              <w:marRight w:val="0"/>
              <w:marTop w:val="0"/>
              <w:marBottom w:val="0"/>
              <w:divBdr>
                <w:top w:val="none" w:sz="0" w:space="0" w:color="auto"/>
                <w:left w:val="none" w:sz="0" w:space="0" w:color="auto"/>
                <w:bottom w:val="none" w:sz="0" w:space="0" w:color="auto"/>
                <w:right w:val="none" w:sz="0" w:space="0" w:color="auto"/>
              </w:divBdr>
            </w:div>
          </w:divsChild>
        </w:div>
        <w:div w:id="2069962290">
          <w:marLeft w:val="0"/>
          <w:marRight w:val="0"/>
          <w:marTop w:val="0"/>
          <w:marBottom w:val="0"/>
          <w:divBdr>
            <w:top w:val="none" w:sz="0" w:space="0" w:color="auto"/>
            <w:left w:val="none" w:sz="0" w:space="0" w:color="auto"/>
            <w:bottom w:val="none" w:sz="0" w:space="0" w:color="auto"/>
            <w:right w:val="none" w:sz="0" w:space="0" w:color="auto"/>
          </w:divBdr>
          <w:divsChild>
            <w:div w:id="326251493">
              <w:marLeft w:val="0"/>
              <w:marRight w:val="0"/>
              <w:marTop w:val="0"/>
              <w:marBottom w:val="0"/>
              <w:divBdr>
                <w:top w:val="none" w:sz="0" w:space="0" w:color="auto"/>
                <w:left w:val="none" w:sz="0" w:space="0" w:color="auto"/>
                <w:bottom w:val="none" w:sz="0" w:space="0" w:color="auto"/>
                <w:right w:val="none" w:sz="0" w:space="0" w:color="auto"/>
              </w:divBdr>
            </w:div>
          </w:divsChild>
        </w:div>
        <w:div w:id="2072656414">
          <w:marLeft w:val="0"/>
          <w:marRight w:val="0"/>
          <w:marTop w:val="0"/>
          <w:marBottom w:val="0"/>
          <w:divBdr>
            <w:top w:val="none" w:sz="0" w:space="0" w:color="auto"/>
            <w:left w:val="none" w:sz="0" w:space="0" w:color="auto"/>
            <w:bottom w:val="none" w:sz="0" w:space="0" w:color="auto"/>
            <w:right w:val="none" w:sz="0" w:space="0" w:color="auto"/>
          </w:divBdr>
          <w:divsChild>
            <w:div w:id="1086533945">
              <w:marLeft w:val="0"/>
              <w:marRight w:val="0"/>
              <w:marTop w:val="0"/>
              <w:marBottom w:val="0"/>
              <w:divBdr>
                <w:top w:val="none" w:sz="0" w:space="0" w:color="auto"/>
                <w:left w:val="none" w:sz="0" w:space="0" w:color="auto"/>
                <w:bottom w:val="none" w:sz="0" w:space="0" w:color="auto"/>
                <w:right w:val="none" w:sz="0" w:space="0" w:color="auto"/>
              </w:divBdr>
            </w:div>
          </w:divsChild>
        </w:div>
        <w:div w:id="2087457288">
          <w:marLeft w:val="0"/>
          <w:marRight w:val="0"/>
          <w:marTop w:val="0"/>
          <w:marBottom w:val="0"/>
          <w:divBdr>
            <w:top w:val="none" w:sz="0" w:space="0" w:color="auto"/>
            <w:left w:val="none" w:sz="0" w:space="0" w:color="auto"/>
            <w:bottom w:val="none" w:sz="0" w:space="0" w:color="auto"/>
            <w:right w:val="none" w:sz="0" w:space="0" w:color="auto"/>
          </w:divBdr>
          <w:divsChild>
            <w:div w:id="1941908029">
              <w:marLeft w:val="0"/>
              <w:marRight w:val="0"/>
              <w:marTop w:val="0"/>
              <w:marBottom w:val="0"/>
              <w:divBdr>
                <w:top w:val="none" w:sz="0" w:space="0" w:color="auto"/>
                <w:left w:val="none" w:sz="0" w:space="0" w:color="auto"/>
                <w:bottom w:val="none" w:sz="0" w:space="0" w:color="auto"/>
                <w:right w:val="none" w:sz="0" w:space="0" w:color="auto"/>
              </w:divBdr>
            </w:div>
          </w:divsChild>
        </w:div>
        <w:div w:id="2089418762">
          <w:marLeft w:val="0"/>
          <w:marRight w:val="0"/>
          <w:marTop w:val="0"/>
          <w:marBottom w:val="0"/>
          <w:divBdr>
            <w:top w:val="none" w:sz="0" w:space="0" w:color="auto"/>
            <w:left w:val="none" w:sz="0" w:space="0" w:color="auto"/>
            <w:bottom w:val="none" w:sz="0" w:space="0" w:color="auto"/>
            <w:right w:val="none" w:sz="0" w:space="0" w:color="auto"/>
          </w:divBdr>
          <w:divsChild>
            <w:div w:id="13042047">
              <w:marLeft w:val="0"/>
              <w:marRight w:val="0"/>
              <w:marTop w:val="0"/>
              <w:marBottom w:val="0"/>
              <w:divBdr>
                <w:top w:val="none" w:sz="0" w:space="0" w:color="auto"/>
                <w:left w:val="none" w:sz="0" w:space="0" w:color="auto"/>
                <w:bottom w:val="none" w:sz="0" w:space="0" w:color="auto"/>
                <w:right w:val="none" w:sz="0" w:space="0" w:color="auto"/>
              </w:divBdr>
            </w:div>
          </w:divsChild>
        </w:div>
        <w:div w:id="2129157683">
          <w:marLeft w:val="0"/>
          <w:marRight w:val="0"/>
          <w:marTop w:val="0"/>
          <w:marBottom w:val="0"/>
          <w:divBdr>
            <w:top w:val="none" w:sz="0" w:space="0" w:color="auto"/>
            <w:left w:val="none" w:sz="0" w:space="0" w:color="auto"/>
            <w:bottom w:val="none" w:sz="0" w:space="0" w:color="auto"/>
            <w:right w:val="none" w:sz="0" w:space="0" w:color="auto"/>
          </w:divBdr>
          <w:divsChild>
            <w:div w:id="127173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333547">
      <w:bodyDiv w:val="1"/>
      <w:marLeft w:val="0"/>
      <w:marRight w:val="0"/>
      <w:marTop w:val="0"/>
      <w:marBottom w:val="0"/>
      <w:divBdr>
        <w:top w:val="none" w:sz="0" w:space="0" w:color="auto"/>
        <w:left w:val="none" w:sz="0" w:space="0" w:color="auto"/>
        <w:bottom w:val="none" w:sz="0" w:space="0" w:color="auto"/>
        <w:right w:val="none" w:sz="0" w:space="0" w:color="auto"/>
      </w:divBdr>
    </w:div>
    <w:div w:id="839124234">
      <w:bodyDiv w:val="1"/>
      <w:marLeft w:val="0"/>
      <w:marRight w:val="0"/>
      <w:marTop w:val="0"/>
      <w:marBottom w:val="0"/>
      <w:divBdr>
        <w:top w:val="none" w:sz="0" w:space="0" w:color="auto"/>
        <w:left w:val="none" w:sz="0" w:space="0" w:color="auto"/>
        <w:bottom w:val="none" w:sz="0" w:space="0" w:color="auto"/>
        <w:right w:val="none" w:sz="0" w:space="0" w:color="auto"/>
      </w:divBdr>
    </w:div>
    <w:div w:id="847409930">
      <w:bodyDiv w:val="1"/>
      <w:marLeft w:val="0"/>
      <w:marRight w:val="0"/>
      <w:marTop w:val="0"/>
      <w:marBottom w:val="0"/>
      <w:divBdr>
        <w:top w:val="none" w:sz="0" w:space="0" w:color="auto"/>
        <w:left w:val="none" w:sz="0" w:space="0" w:color="auto"/>
        <w:bottom w:val="none" w:sz="0" w:space="0" w:color="auto"/>
        <w:right w:val="none" w:sz="0" w:space="0" w:color="auto"/>
      </w:divBdr>
    </w:div>
    <w:div w:id="1012100525">
      <w:bodyDiv w:val="1"/>
      <w:marLeft w:val="0"/>
      <w:marRight w:val="0"/>
      <w:marTop w:val="0"/>
      <w:marBottom w:val="0"/>
      <w:divBdr>
        <w:top w:val="none" w:sz="0" w:space="0" w:color="auto"/>
        <w:left w:val="none" w:sz="0" w:space="0" w:color="auto"/>
        <w:bottom w:val="none" w:sz="0" w:space="0" w:color="auto"/>
        <w:right w:val="none" w:sz="0" w:space="0" w:color="auto"/>
      </w:divBdr>
    </w:div>
    <w:div w:id="1042633054">
      <w:bodyDiv w:val="1"/>
      <w:marLeft w:val="0"/>
      <w:marRight w:val="0"/>
      <w:marTop w:val="0"/>
      <w:marBottom w:val="0"/>
      <w:divBdr>
        <w:top w:val="none" w:sz="0" w:space="0" w:color="auto"/>
        <w:left w:val="none" w:sz="0" w:space="0" w:color="auto"/>
        <w:bottom w:val="none" w:sz="0" w:space="0" w:color="auto"/>
        <w:right w:val="none" w:sz="0" w:space="0" w:color="auto"/>
      </w:divBdr>
    </w:div>
    <w:div w:id="1081485827">
      <w:bodyDiv w:val="1"/>
      <w:marLeft w:val="0"/>
      <w:marRight w:val="0"/>
      <w:marTop w:val="0"/>
      <w:marBottom w:val="0"/>
      <w:divBdr>
        <w:top w:val="none" w:sz="0" w:space="0" w:color="auto"/>
        <w:left w:val="none" w:sz="0" w:space="0" w:color="auto"/>
        <w:bottom w:val="none" w:sz="0" w:space="0" w:color="auto"/>
        <w:right w:val="none" w:sz="0" w:space="0" w:color="auto"/>
      </w:divBdr>
    </w:div>
    <w:div w:id="1122728767">
      <w:bodyDiv w:val="1"/>
      <w:marLeft w:val="0"/>
      <w:marRight w:val="0"/>
      <w:marTop w:val="0"/>
      <w:marBottom w:val="0"/>
      <w:divBdr>
        <w:top w:val="none" w:sz="0" w:space="0" w:color="auto"/>
        <w:left w:val="none" w:sz="0" w:space="0" w:color="auto"/>
        <w:bottom w:val="none" w:sz="0" w:space="0" w:color="auto"/>
        <w:right w:val="none" w:sz="0" w:space="0" w:color="auto"/>
      </w:divBdr>
    </w:div>
    <w:div w:id="1147554364">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093063">
      <w:bodyDiv w:val="1"/>
      <w:marLeft w:val="0"/>
      <w:marRight w:val="0"/>
      <w:marTop w:val="0"/>
      <w:marBottom w:val="0"/>
      <w:divBdr>
        <w:top w:val="none" w:sz="0" w:space="0" w:color="auto"/>
        <w:left w:val="none" w:sz="0" w:space="0" w:color="auto"/>
        <w:bottom w:val="none" w:sz="0" w:space="0" w:color="auto"/>
        <w:right w:val="none" w:sz="0" w:space="0" w:color="auto"/>
      </w:divBdr>
    </w:div>
    <w:div w:id="1201164406">
      <w:bodyDiv w:val="1"/>
      <w:marLeft w:val="0"/>
      <w:marRight w:val="0"/>
      <w:marTop w:val="0"/>
      <w:marBottom w:val="0"/>
      <w:divBdr>
        <w:top w:val="none" w:sz="0" w:space="0" w:color="auto"/>
        <w:left w:val="none" w:sz="0" w:space="0" w:color="auto"/>
        <w:bottom w:val="none" w:sz="0" w:space="0" w:color="auto"/>
        <w:right w:val="none" w:sz="0" w:space="0" w:color="auto"/>
      </w:divBdr>
    </w:div>
    <w:div w:id="1227960595">
      <w:bodyDiv w:val="1"/>
      <w:marLeft w:val="0"/>
      <w:marRight w:val="0"/>
      <w:marTop w:val="0"/>
      <w:marBottom w:val="0"/>
      <w:divBdr>
        <w:top w:val="none" w:sz="0" w:space="0" w:color="auto"/>
        <w:left w:val="none" w:sz="0" w:space="0" w:color="auto"/>
        <w:bottom w:val="none" w:sz="0" w:space="0" w:color="auto"/>
        <w:right w:val="none" w:sz="0" w:space="0" w:color="auto"/>
      </w:divBdr>
    </w:div>
    <w:div w:id="1282687764">
      <w:bodyDiv w:val="1"/>
      <w:marLeft w:val="0"/>
      <w:marRight w:val="0"/>
      <w:marTop w:val="0"/>
      <w:marBottom w:val="0"/>
      <w:divBdr>
        <w:top w:val="none" w:sz="0" w:space="0" w:color="auto"/>
        <w:left w:val="none" w:sz="0" w:space="0" w:color="auto"/>
        <w:bottom w:val="none" w:sz="0" w:space="0" w:color="auto"/>
        <w:right w:val="none" w:sz="0" w:space="0" w:color="auto"/>
      </w:divBdr>
    </w:div>
    <w:div w:id="1372151449">
      <w:bodyDiv w:val="1"/>
      <w:marLeft w:val="0"/>
      <w:marRight w:val="0"/>
      <w:marTop w:val="0"/>
      <w:marBottom w:val="0"/>
      <w:divBdr>
        <w:top w:val="none" w:sz="0" w:space="0" w:color="auto"/>
        <w:left w:val="none" w:sz="0" w:space="0" w:color="auto"/>
        <w:bottom w:val="none" w:sz="0" w:space="0" w:color="auto"/>
        <w:right w:val="none" w:sz="0" w:space="0" w:color="auto"/>
      </w:divBdr>
    </w:div>
    <w:div w:id="1385371085">
      <w:bodyDiv w:val="1"/>
      <w:marLeft w:val="0"/>
      <w:marRight w:val="0"/>
      <w:marTop w:val="0"/>
      <w:marBottom w:val="0"/>
      <w:divBdr>
        <w:top w:val="none" w:sz="0" w:space="0" w:color="auto"/>
        <w:left w:val="none" w:sz="0" w:space="0" w:color="auto"/>
        <w:bottom w:val="none" w:sz="0" w:space="0" w:color="auto"/>
        <w:right w:val="none" w:sz="0" w:space="0" w:color="auto"/>
      </w:divBdr>
    </w:div>
    <w:div w:id="1451166863">
      <w:bodyDiv w:val="1"/>
      <w:marLeft w:val="0"/>
      <w:marRight w:val="0"/>
      <w:marTop w:val="0"/>
      <w:marBottom w:val="0"/>
      <w:divBdr>
        <w:top w:val="none" w:sz="0" w:space="0" w:color="auto"/>
        <w:left w:val="none" w:sz="0" w:space="0" w:color="auto"/>
        <w:bottom w:val="none" w:sz="0" w:space="0" w:color="auto"/>
        <w:right w:val="none" w:sz="0" w:space="0" w:color="auto"/>
      </w:divBdr>
    </w:div>
    <w:div w:id="1506822230">
      <w:bodyDiv w:val="1"/>
      <w:marLeft w:val="0"/>
      <w:marRight w:val="0"/>
      <w:marTop w:val="0"/>
      <w:marBottom w:val="0"/>
      <w:divBdr>
        <w:top w:val="none" w:sz="0" w:space="0" w:color="auto"/>
        <w:left w:val="none" w:sz="0" w:space="0" w:color="auto"/>
        <w:bottom w:val="none" w:sz="0" w:space="0" w:color="auto"/>
        <w:right w:val="none" w:sz="0" w:space="0" w:color="auto"/>
      </w:divBdr>
    </w:div>
    <w:div w:id="1517112927">
      <w:bodyDiv w:val="1"/>
      <w:marLeft w:val="0"/>
      <w:marRight w:val="0"/>
      <w:marTop w:val="0"/>
      <w:marBottom w:val="0"/>
      <w:divBdr>
        <w:top w:val="none" w:sz="0" w:space="0" w:color="auto"/>
        <w:left w:val="none" w:sz="0" w:space="0" w:color="auto"/>
        <w:bottom w:val="none" w:sz="0" w:space="0" w:color="auto"/>
        <w:right w:val="none" w:sz="0" w:space="0" w:color="auto"/>
      </w:divBdr>
      <w:divsChild>
        <w:div w:id="29695378">
          <w:marLeft w:val="0"/>
          <w:marRight w:val="0"/>
          <w:marTop w:val="0"/>
          <w:marBottom w:val="0"/>
          <w:divBdr>
            <w:top w:val="none" w:sz="0" w:space="0" w:color="auto"/>
            <w:left w:val="none" w:sz="0" w:space="0" w:color="auto"/>
            <w:bottom w:val="none" w:sz="0" w:space="0" w:color="auto"/>
            <w:right w:val="none" w:sz="0" w:space="0" w:color="auto"/>
          </w:divBdr>
          <w:divsChild>
            <w:div w:id="1416977381">
              <w:marLeft w:val="0"/>
              <w:marRight w:val="0"/>
              <w:marTop w:val="0"/>
              <w:marBottom w:val="0"/>
              <w:divBdr>
                <w:top w:val="none" w:sz="0" w:space="0" w:color="auto"/>
                <w:left w:val="none" w:sz="0" w:space="0" w:color="auto"/>
                <w:bottom w:val="none" w:sz="0" w:space="0" w:color="auto"/>
                <w:right w:val="none" w:sz="0" w:space="0" w:color="auto"/>
              </w:divBdr>
            </w:div>
          </w:divsChild>
        </w:div>
        <w:div w:id="90442304">
          <w:marLeft w:val="0"/>
          <w:marRight w:val="0"/>
          <w:marTop w:val="0"/>
          <w:marBottom w:val="0"/>
          <w:divBdr>
            <w:top w:val="none" w:sz="0" w:space="0" w:color="auto"/>
            <w:left w:val="none" w:sz="0" w:space="0" w:color="auto"/>
            <w:bottom w:val="none" w:sz="0" w:space="0" w:color="auto"/>
            <w:right w:val="none" w:sz="0" w:space="0" w:color="auto"/>
          </w:divBdr>
          <w:divsChild>
            <w:div w:id="480273588">
              <w:marLeft w:val="0"/>
              <w:marRight w:val="0"/>
              <w:marTop w:val="0"/>
              <w:marBottom w:val="0"/>
              <w:divBdr>
                <w:top w:val="none" w:sz="0" w:space="0" w:color="auto"/>
                <w:left w:val="none" w:sz="0" w:space="0" w:color="auto"/>
                <w:bottom w:val="none" w:sz="0" w:space="0" w:color="auto"/>
                <w:right w:val="none" w:sz="0" w:space="0" w:color="auto"/>
              </w:divBdr>
            </w:div>
          </w:divsChild>
        </w:div>
        <w:div w:id="150875688">
          <w:marLeft w:val="0"/>
          <w:marRight w:val="0"/>
          <w:marTop w:val="0"/>
          <w:marBottom w:val="0"/>
          <w:divBdr>
            <w:top w:val="none" w:sz="0" w:space="0" w:color="auto"/>
            <w:left w:val="none" w:sz="0" w:space="0" w:color="auto"/>
            <w:bottom w:val="none" w:sz="0" w:space="0" w:color="auto"/>
            <w:right w:val="none" w:sz="0" w:space="0" w:color="auto"/>
          </w:divBdr>
          <w:divsChild>
            <w:div w:id="442118318">
              <w:marLeft w:val="0"/>
              <w:marRight w:val="0"/>
              <w:marTop w:val="0"/>
              <w:marBottom w:val="0"/>
              <w:divBdr>
                <w:top w:val="none" w:sz="0" w:space="0" w:color="auto"/>
                <w:left w:val="none" w:sz="0" w:space="0" w:color="auto"/>
                <w:bottom w:val="none" w:sz="0" w:space="0" w:color="auto"/>
                <w:right w:val="none" w:sz="0" w:space="0" w:color="auto"/>
              </w:divBdr>
            </w:div>
          </w:divsChild>
        </w:div>
        <w:div w:id="166947679">
          <w:marLeft w:val="0"/>
          <w:marRight w:val="0"/>
          <w:marTop w:val="0"/>
          <w:marBottom w:val="0"/>
          <w:divBdr>
            <w:top w:val="none" w:sz="0" w:space="0" w:color="auto"/>
            <w:left w:val="none" w:sz="0" w:space="0" w:color="auto"/>
            <w:bottom w:val="none" w:sz="0" w:space="0" w:color="auto"/>
            <w:right w:val="none" w:sz="0" w:space="0" w:color="auto"/>
          </w:divBdr>
          <w:divsChild>
            <w:div w:id="542599763">
              <w:marLeft w:val="0"/>
              <w:marRight w:val="0"/>
              <w:marTop w:val="0"/>
              <w:marBottom w:val="0"/>
              <w:divBdr>
                <w:top w:val="none" w:sz="0" w:space="0" w:color="auto"/>
                <w:left w:val="none" w:sz="0" w:space="0" w:color="auto"/>
                <w:bottom w:val="none" w:sz="0" w:space="0" w:color="auto"/>
                <w:right w:val="none" w:sz="0" w:space="0" w:color="auto"/>
              </w:divBdr>
            </w:div>
          </w:divsChild>
        </w:div>
        <w:div w:id="185602087">
          <w:marLeft w:val="0"/>
          <w:marRight w:val="0"/>
          <w:marTop w:val="0"/>
          <w:marBottom w:val="0"/>
          <w:divBdr>
            <w:top w:val="none" w:sz="0" w:space="0" w:color="auto"/>
            <w:left w:val="none" w:sz="0" w:space="0" w:color="auto"/>
            <w:bottom w:val="none" w:sz="0" w:space="0" w:color="auto"/>
            <w:right w:val="none" w:sz="0" w:space="0" w:color="auto"/>
          </w:divBdr>
          <w:divsChild>
            <w:div w:id="2105803152">
              <w:marLeft w:val="0"/>
              <w:marRight w:val="0"/>
              <w:marTop w:val="0"/>
              <w:marBottom w:val="0"/>
              <w:divBdr>
                <w:top w:val="none" w:sz="0" w:space="0" w:color="auto"/>
                <w:left w:val="none" w:sz="0" w:space="0" w:color="auto"/>
                <w:bottom w:val="none" w:sz="0" w:space="0" w:color="auto"/>
                <w:right w:val="none" w:sz="0" w:space="0" w:color="auto"/>
              </w:divBdr>
            </w:div>
          </w:divsChild>
        </w:div>
        <w:div w:id="189497093">
          <w:marLeft w:val="0"/>
          <w:marRight w:val="0"/>
          <w:marTop w:val="0"/>
          <w:marBottom w:val="0"/>
          <w:divBdr>
            <w:top w:val="none" w:sz="0" w:space="0" w:color="auto"/>
            <w:left w:val="none" w:sz="0" w:space="0" w:color="auto"/>
            <w:bottom w:val="none" w:sz="0" w:space="0" w:color="auto"/>
            <w:right w:val="none" w:sz="0" w:space="0" w:color="auto"/>
          </w:divBdr>
          <w:divsChild>
            <w:div w:id="784933293">
              <w:marLeft w:val="0"/>
              <w:marRight w:val="0"/>
              <w:marTop w:val="0"/>
              <w:marBottom w:val="0"/>
              <w:divBdr>
                <w:top w:val="none" w:sz="0" w:space="0" w:color="auto"/>
                <w:left w:val="none" w:sz="0" w:space="0" w:color="auto"/>
                <w:bottom w:val="none" w:sz="0" w:space="0" w:color="auto"/>
                <w:right w:val="none" w:sz="0" w:space="0" w:color="auto"/>
              </w:divBdr>
            </w:div>
          </w:divsChild>
        </w:div>
        <w:div w:id="209155643">
          <w:marLeft w:val="0"/>
          <w:marRight w:val="0"/>
          <w:marTop w:val="0"/>
          <w:marBottom w:val="0"/>
          <w:divBdr>
            <w:top w:val="none" w:sz="0" w:space="0" w:color="auto"/>
            <w:left w:val="none" w:sz="0" w:space="0" w:color="auto"/>
            <w:bottom w:val="none" w:sz="0" w:space="0" w:color="auto"/>
            <w:right w:val="none" w:sz="0" w:space="0" w:color="auto"/>
          </w:divBdr>
          <w:divsChild>
            <w:div w:id="2002855882">
              <w:marLeft w:val="0"/>
              <w:marRight w:val="0"/>
              <w:marTop w:val="0"/>
              <w:marBottom w:val="0"/>
              <w:divBdr>
                <w:top w:val="none" w:sz="0" w:space="0" w:color="auto"/>
                <w:left w:val="none" w:sz="0" w:space="0" w:color="auto"/>
                <w:bottom w:val="none" w:sz="0" w:space="0" w:color="auto"/>
                <w:right w:val="none" w:sz="0" w:space="0" w:color="auto"/>
              </w:divBdr>
            </w:div>
          </w:divsChild>
        </w:div>
        <w:div w:id="213540527">
          <w:marLeft w:val="0"/>
          <w:marRight w:val="0"/>
          <w:marTop w:val="0"/>
          <w:marBottom w:val="0"/>
          <w:divBdr>
            <w:top w:val="none" w:sz="0" w:space="0" w:color="auto"/>
            <w:left w:val="none" w:sz="0" w:space="0" w:color="auto"/>
            <w:bottom w:val="none" w:sz="0" w:space="0" w:color="auto"/>
            <w:right w:val="none" w:sz="0" w:space="0" w:color="auto"/>
          </w:divBdr>
          <w:divsChild>
            <w:div w:id="2073501415">
              <w:marLeft w:val="0"/>
              <w:marRight w:val="0"/>
              <w:marTop w:val="0"/>
              <w:marBottom w:val="0"/>
              <w:divBdr>
                <w:top w:val="none" w:sz="0" w:space="0" w:color="auto"/>
                <w:left w:val="none" w:sz="0" w:space="0" w:color="auto"/>
                <w:bottom w:val="none" w:sz="0" w:space="0" w:color="auto"/>
                <w:right w:val="none" w:sz="0" w:space="0" w:color="auto"/>
              </w:divBdr>
            </w:div>
          </w:divsChild>
        </w:div>
        <w:div w:id="260769129">
          <w:marLeft w:val="0"/>
          <w:marRight w:val="0"/>
          <w:marTop w:val="0"/>
          <w:marBottom w:val="0"/>
          <w:divBdr>
            <w:top w:val="none" w:sz="0" w:space="0" w:color="auto"/>
            <w:left w:val="none" w:sz="0" w:space="0" w:color="auto"/>
            <w:bottom w:val="none" w:sz="0" w:space="0" w:color="auto"/>
            <w:right w:val="none" w:sz="0" w:space="0" w:color="auto"/>
          </w:divBdr>
          <w:divsChild>
            <w:div w:id="879709153">
              <w:marLeft w:val="0"/>
              <w:marRight w:val="0"/>
              <w:marTop w:val="0"/>
              <w:marBottom w:val="0"/>
              <w:divBdr>
                <w:top w:val="none" w:sz="0" w:space="0" w:color="auto"/>
                <w:left w:val="none" w:sz="0" w:space="0" w:color="auto"/>
                <w:bottom w:val="none" w:sz="0" w:space="0" w:color="auto"/>
                <w:right w:val="none" w:sz="0" w:space="0" w:color="auto"/>
              </w:divBdr>
            </w:div>
          </w:divsChild>
        </w:div>
        <w:div w:id="286669069">
          <w:marLeft w:val="0"/>
          <w:marRight w:val="0"/>
          <w:marTop w:val="0"/>
          <w:marBottom w:val="0"/>
          <w:divBdr>
            <w:top w:val="none" w:sz="0" w:space="0" w:color="auto"/>
            <w:left w:val="none" w:sz="0" w:space="0" w:color="auto"/>
            <w:bottom w:val="none" w:sz="0" w:space="0" w:color="auto"/>
            <w:right w:val="none" w:sz="0" w:space="0" w:color="auto"/>
          </w:divBdr>
          <w:divsChild>
            <w:div w:id="364063894">
              <w:marLeft w:val="0"/>
              <w:marRight w:val="0"/>
              <w:marTop w:val="0"/>
              <w:marBottom w:val="0"/>
              <w:divBdr>
                <w:top w:val="none" w:sz="0" w:space="0" w:color="auto"/>
                <w:left w:val="none" w:sz="0" w:space="0" w:color="auto"/>
                <w:bottom w:val="none" w:sz="0" w:space="0" w:color="auto"/>
                <w:right w:val="none" w:sz="0" w:space="0" w:color="auto"/>
              </w:divBdr>
            </w:div>
          </w:divsChild>
        </w:div>
        <w:div w:id="303050788">
          <w:marLeft w:val="0"/>
          <w:marRight w:val="0"/>
          <w:marTop w:val="0"/>
          <w:marBottom w:val="0"/>
          <w:divBdr>
            <w:top w:val="none" w:sz="0" w:space="0" w:color="auto"/>
            <w:left w:val="none" w:sz="0" w:space="0" w:color="auto"/>
            <w:bottom w:val="none" w:sz="0" w:space="0" w:color="auto"/>
            <w:right w:val="none" w:sz="0" w:space="0" w:color="auto"/>
          </w:divBdr>
          <w:divsChild>
            <w:div w:id="1630628482">
              <w:marLeft w:val="0"/>
              <w:marRight w:val="0"/>
              <w:marTop w:val="0"/>
              <w:marBottom w:val="0"/>
              <w:divBdr>
                <w:top w:val="none" w:sz="0" w:space="0" w:color="auto"/>
                <w:left w:val="none" w:sz="0" w:space="0" w:color="auto"/>
                <w:bottom w:val="none" w:sz="0" w:space="0" w:color="auto"/>
                <w:right w:val="none" w:sz="0" w:space="0" w:color="auto"/>
              </w:divBdr>
            </w:div>
          </w:divsChild>
        </w:div>
        <w:div w:id="332804260">
          <w:marLeft w:val="0"/>
          <w:marRight w:val="0"/>
          <w:marTop w:val="0"/>
          <w:marBottom w:val="0"/>
          <w:divBdr>
            <w:top w:val="none" w:sz="0" w:space="0" w:color="auto"/>
            <w:left w:val="none" w:sz="0" w:space="0" w:color="auto"/>
            <w:bottom w:val="none" w:sz="0" w:space="0" w:color="auto"/>
            <w:right w:val="none" w:sz="0" w:space="0" w:color="auto"/>
          </w:divBdr>
          <w:divsChild>
            <w:div w:id="1998992178">
              <w:marLeft w:val="0"/>
              <w:marRight w:val="0"/>
              <w:marTop w:val="0"/>
              <w:marBottom w:val="0"/>
              <w:divBdr>
                <w:top w:val="none" w:sz="0" w:space="0" w:color="auto"/>
                <w:left w:val="none" w:sz="0" w:space="0" w:color="auto"/>
                <w:bottom w:val="none" w:sz="0" w:space="0" w:color="auto"/>
                <w:right w:val="none" w:sz="0" w:space="0" w:color="auto"/>
              </w:divBdr>
            </w:div>
          </w:divsChild>
        </w:div>
        <w:div w:id="352539720">
          <w:marLeft w:val="0"/>
          <w:marRight w:val="0"/>
          <w:marTop w:val="0"/>
          <w:marBottom w:val="0"/>
          <w:divBdr>
            <w:top w:val="none" w:sz="0" w:space="0" w:color="auto"/>
            <w:left w:val="none" w:sz="0" w:space="0" w:color="auto"/>
            <w:bottom w:val="none" w:sz="0" w:space="0" w:color="auto"/>
            <w:right w:val="none" w:sz="0" w:space="0" w:color="auto"/>
          </w:divBdr>
          <w:divsChild>
            <w:div w:id="369770174">
              <w:marLeft w:val="0"/>
              <w:marRight w:val="0"/>
              <w:marTop w:val="0"/>
              <w:marBottom w:val="0"/>
              <w:divBdr>
                <w:top w:val="none" w:sz="0" w:space="0" w:color="auto"/>
                <w:left w:val="none" w:sz="0" w:space="0" w:color="auto"/>
                <w:bottom w:val="none" w:sz="0" w:space="0" w:color="auto"/>
                <w:right w:val="none" w:sz="0" w:space="0" w:color="auto"/>
              </w:divBdr>
            </w:div>
          </w:divsChild>
        </w:div>
        <w:div w:id="357388481">
          <w:marLeft w:val="0"/>
          <w:marRight w:val="0"/>
          <w:marTop w:val="0"/>
          <w:marBottom w:val="0"/>
          <w:divBdr>
            <w:top w:val="none" w:sz="0" w:space="0" w:color="auto"/>
            <w:left w:val="none" w:sz="0" w:space="0" w:color="auto"/>
            <w:bottom w:val="none" w:sz="0" w:space="0" w:color="auto"/>
            <w:right w:val="none" w:sz="0" w:space="0" w:color="auto"/>
          </w:divBdr>
          <w:divsChild>
            <w:div w:id="1043140599">
              <w:marLeft w:val="0"/>
              <w:marRight w:val="0"/>
              <w:marTop w:val="0"/>
              <w:marBottom w:val="0"/>
              <w:divBdr>
                <w:top w:val="none" w:sz="0" w:space="0" w:color="auto"/>
                <w:left w:val="none" w:sz="0" w:space="0" w:color="auto"/>
                <w:bottom w:val="none" w:sz="0" w:space="0" w:color="auto"/>
                <w:right w:val="none" w:sz="0" w:space="0" w:color="auto"/>
              </w:divBdr>
            </w:div>
            <w:div w:id="1226525379">
              <w:marLeft w:val="0"/>
              <w:marRight w:val="0"/>
              <w:marTop w:val="0"/>
              <w:marBottom w:val="0"/>
              <w:divBdr>
                <w:top w:val="none" w:sz="0" w:space="0" w:color="auto"/>
                <w:left w:val="none" w:sz="0" w:space="0" w:color="auto"/>
                <w:bottom w:val="none" w:sz="0" w:space="0" w:color="auto"/>
                <w:right w:val="none" w:sz="0" w:space="0" w:color="auto"/>
              </w:divBdr>
            </w:div>
          </w:divsChild>
        </w:div>
        <w:div w:id="427846528">
          <w:marLeft w:val="0"/>
          <w:marRight w:val="0"/>
          <w:marTop w:val="0"/>
          <w:marBottom w:val="0"/>
          <w:divBdr>
            <w:top w:val="none" w:sz="0" w:space="0" w:color="auto"/>
            <w:left w:val="none" w:sz="0" w:space="0" w:color="auto"/>
            <w:bottom w:val="none" w:sz="0" w:space="0" w:color="auto"/>
            <w:right w:val="none" w:sz="0" w:space="0" w:color="auto"/>
          </w:divBdr>
          <w:divsChild>
            <w:div w:id="859974189">
              <w:marLeft w:val="0"/>
              <w:marRight w:val="0"/>
              <w:marTop w:val="0"/>
              <w:marBottom w:val="0"/>
              <w:divBdr>
                <w:top w:val="none" w:sz="0" w:space="0" w:color="auto"/>
                <w:left w:val="none" w:sz="0" w:space="0" w:color="auto"/>
                <w:bottom w:val="none" w:sz="0" w:space="0" w:color="auto"/>
                <w:right w:val="none" w:sz="0" w:space="0" w:color="auto"/>
              </w:divBdr>
            </w:div>
          </w:divsChild>
        </w:div>
        <w:div w:id="431364044">
          <w:marLeft w:val="0"/>
          <w:marRight w:val="0"/>
          <w:marTop w:val="0"/>
          <w:marBottom w:val="0"/>
          <w:divBdr>
            <w:top w:val="none" w:sz="0" w:space="0" w:color="auto"/>
            <w:left w:val="none" w:sz="0" w:space="0" w:color="auto"/>
            <w:bottom w:val="none" w:sz="0" w:space="0" w:color="auto"/>
            <w:right w:val="none" w:sz="0" w:space="0" w:color="auto"/>
          </w:divBdr>
          <w:divsChild>
            <w:div w:id="1308241917">
              <w:marLeft w:val="0"/>
              <w:marRight w:val="0"/>
              <w:marTop w:val="0"/>
              <w:marBottom w:val="0"/>
              <w:divBdr>
                <w:top w:val="none" w:sz="0" w:space="0" w:color="auto"/>
                <w:left w:val="none" w:sz="0" w:space="0" w:color="auto"/>
                <w:bottom w:val="none" w:sz="0" w:space="0" w:color="auto"/>
                <w:right w:val="none" w:sz="0" w:space="0" w:color="auto"/>
              </w:divBdr>
            </w:div>
          </w:divsChild>
        </w:div>
        <w:div w:id="437800743">
          <w:marLeft w:val="0"/>
          <w:marRight w:val="0"/>
          <w:marTop w:val="0"/>
          <w:marBottom w:val="0"/>
          <w:divBdr>
            <w:top w:val="none" w:sz="0" w:space="0" w:color="auto"/>
            <w:left w:val="none" w:sz="0" w:space="0" w:color="auto"/>
            <w:bottom w:val="none" w:sz="0" w:space="0" w:color="auto"/>
            <w:right w:val="none" w:sz="0" w:space="0" w:color="auto"/>
          </w:divBdr>
          <w:divsChild>
            <w:div w:id="109207599">
              <w:marLeft w:val="0"/>
              <w:marRight w:val="0"/>
              <w:marTop w:val="0"/>
              <w:marBottom w:val="0"/>
              <w:divBdr>
                <w:top w:val="none" w:sz="0" w:space="0" w:color="auto"/>
                <w:left w:val="none" w:sz="0" w:space="0" w:color="auto"/>
                <w:bottom w:val="none" w:sz="0" w:space="0" w:color="auto"/>
                <w:right w:val="none" w:sz="0" w:space="0" w:color="auto"/>
              </w:divBdr>
            </w:div>
          </w:divsChild>
        </w:div>
        <w:div w:id="470173375">
          <w:marLeft w:val="0"/>
          <w:marRight w:val="0"/>
          <w:marTop w:val="0"/>
          <w:marBottom w:val="0"/>
          <w:divBdr>
            <w:top w:val="none" w:sz="0" w:space="0" w:color="auto"/>
            <w:left w:val="none" w:sz="0" w:space="0" w:color="auto"/>
            <w:bottom w:val="none" w:sz="0" w:space="0" w:color="auto"/>
            <w:right w:val="none" w:sz="0" w:space="0" w:color="auto"/>
          </w:divBdr>
          <w:divsChild>
            <w:div w:id="638270535">
              <w:marLeft w:val="0"/>
              <w:marRight w:val="0"/>
              <w:marTop w:val="0"/>
              <w:marBottom w:val="0"/>
              <w:divBdr>
                <w:top w:val="none" w:sz="0" w:space="0" w:color="auto"/>
                <w:left w:val="none" w:sz="0" w:space="0" w:color="auto"/>
                <w:bottom w:val="none" w:sz="0" w:space="0" w:color="auto"/>
                <w:right w:val="none" w:sz="0" w:space="0" w:color="auto"/>
              </w:divBdr>
            </w:div>
          </w:divsChild>
        </w:div>
        <w:div w:id="518857126">
          <w:marLeft w:val="0"/>
          <w:marRight w:val="0"/>
          <w:marTop w:val="0"/>
          <w:marBottom w:val="0"/>
          <w:divBdr>
            <w:top w:val="none" w:sz="0" w:space="0" w:color="auto"/>
            <w:left w:val="none" w:sz="0" w:space="0" w:color="auto"/>
            <w:bottom w:val="none" w:sz="0" w:space="0" w:color="auto"/>
            <w:right w:val="none" w:sz="0" w:space="0" w:color="auto"/>
          </w:divBdr>
          <w:divsChild>
            <w:div w:id="1129470192">
              <w:marLeft w:val="0"/>
              <w:marRight w:val="0"/>
              <w:marTop w:val="0"/>
              <w:marBottom w:val="0"/>
              <w:divBdr>
                <w:top w:val="none" w:sz="0" w:space="0" w:color="auto"/>
                <w:left w:val="none" w:sz="0" w:space="0" w:color="auto"/>
                <w:bottom w:val="none" w:sz="0" w:space="0" w:color="auto"/>
                <w:right w:val="none" w:sz="0" w:space="0" w:color="auto"/>
              </w:divBdr>
            </w:div>
          </w:divsChild>
        </w:div>
        <w:div w:id="524368540">
          <w:marLeft w:val="0"/>
          <w:marRight w:val="0"/>
          <w:marTop w:val="0"/>
          <w:marBottom w:val="0"/>
          <w:divBdr>
            <w:top w:val="none" w:sz="0" w:space="0" w:color="auto"/>
            <w:left w:val="none" w:sz="0" w:space="0" w:color="auto"/>
            <w:bottom w:val="none" w:sz="0" w:space="0" w:color="auto"/>
            <w:right w:val="none" w:sz="0" w:space="0" w:color="auto"/>
          </w:divBdr>
          <w:divsChild>
            <w:div w:id="1486555050">
              <w:marLeft w:val="0"/>
              <w:marRight w:val="0"/>
              <w:marTop w:val="0"/>
              <w:marBottom w:val="0"/>
              <w:divBdr>
                <w:top w:val="none" w:sz="0" w:space="0" w:color="auto"/>
                <w:left w:val="none" w:sz="0" w:space="0" w:color="auto"/>
                <w:bottom w:val="none" w:sz="0" w:space="0" w:color="auto"/>
                <w:right w:val="none" w:sz="0" w:space="0" w:color="auto"/>
              </w:divBdr>
            </w:div>
          </w:divsChild>
        </w:div>
        <w:div w:id="567420733">
          <w:marLeft w:val="0"/>
          <w:marRight w:val="0"/>
          <w:marTop w:val="0"/>
          <w:marBottom w:val="0"/>
          <w:divBdr>
            <w:top w:val="none" w:sz="0" w:space="0" w:color="auto"/>
            <w:left w:val="none" w:sz="0" w:space="0" w:color="auto"/>
            <w:bottom w:val="none" w:sz="0" w:space="0" w:color="auto"/>
            <w:right w:val="none" w:sz="0" w:space="0" w:color="auto"/>
          </w:divBdr>
          <w:divsChild>
            <w:div w:id="1142579891">
              <w:marLeft w:val="0"/>
              <w:marRight w:val="0"/>
              <w:marTop w:val="0"/>
              <w:marBottom w:val="0"/>
              <w:divBdr>
                <w:top w:val="none" w:sz="0" w:space="0" w:color="auto"/>
                <w:left w:val="none" w:sz="0" w:space="0" w:color="auto"/>
                <w:bottom w:val="none" w:sz="0" w:space="0" w:color="auto"/>
                <w:right w:val="none" w:sz="0" w:space="0" w:color="auto"/>
              </w:divBdr>
            </w:div>
          </w:divsChild>
        </w:div>
        <w:div w:id="666052768">
          <w:marLeft w:val="0"/>
          <w:marRight w:val="0"/>
          <w:marTop w:val="0"/>
          <w:marBottom w:val="0"/>
          <w:divBdr>
            <w:top w:val="none" w:sz="0" w:space="0" w:color="auto"/>
            <w:left w:val="none" w:sz="0" w:space="0" w:color="auto"/>
            <w:bottom w:val="none" w:sz="0" w:space="0" w:color="auto"/>
            <w:right w:val="none" w:sz="0" w:space="0" w:color="auto"/>
          </w:divBdr>
          <w:divsChild>
            <w:div w:id="691996780">
              <w:marLeft w:val="0"/>
              <w:marRight w:val="0"/>
              <w:marTop w:val="0"/>
              <w:marBottom w:val="0"/>
              <w:divBdr>
                <w:top w:val="none" w:sz="0" w:space="0" w:color="auto"/>
                <w:left w:val="none" w:sz="0" w:space="0" w:color="auto"/>
                <w:bottom w:val="none" w:sz="0" w:space="0" w:color="auto"/>
                <w:right w:val="none" w:sz="0" w:space="0" w:color="auto"/>
              </w:divBdr>
            </w:div>
          </w:divsChild>
        </w:div>
        <w:div w:id="688219485">
          <w:marLeft w:val="0"/>
          <w:marRight w:val="0"/>
          <w:marTop w:val="0"/>
          <w:marBottom w:val="0"/>
          <w:divBdr>
            <w:top w:val="none" w:sz="0" w:space="0" w:color="auto"/>
            <w:left w:val="none" w:sz="0" w:space="0" w:color="auto"/>
            <w:bottom w:val="none" w:sz="0" w:space="0" w:color="auto"/>
            <w:right w:val="none" w:sz="0" w:space="0" w:color="auto"/>
          </w:divBdr>
          <w:divsChild>
            <w:div w:id="181214938">
              <w:marLeft w:val="0"/>
              <w:marRight w:val="0"/>
              <w:marTop w:val="0"/>
              <w:marBottom w:val="0"/>
              <w:divBdr>
                <w:top w:val="none" w:sz="0" w:space="0" w:color="auto"/>
                <w:left w:val="none" w:sz="0" w:space="0" w:color="auto"/>
                <w:bottom w:val="none" w:sz="0" w:space="0" w:color="auto"/>
                <w:right w:val="none" w:sz="0" w:space="0" w:color="auto"/>
              </w:divBdr>
            </w:div>
          </w:divsChild>
        </w:div>
        <w:div w:id="713651568">
          <w:marLeft w:val="0"/>
          <w:marRight w:val="0"/>
          <w:marTop w:val="0"/>
          <w:marBottom w:val="0"/>
          <w:divBdr>
            <w:top w:val="none" w:sz="0" w:space="0" w:color="auto"/>
            <w:left w:val="none" w:sz="0" w:space="0" w:color="auto"/>
            <w:bottom w:val="none" w:sz="0" w:space="0" w:color="auto"/>
            <w:right w:val="none" w:sz="0" w:space="0" w:color="auto"/>
          </w:divBdr>
          <w:divsChild>
            <w:div w:id="538015473">
              <w:marLeft w:val="0"/>
              <w:marRight w:val="0"/>
              <w:marTop w:val="0"/>
              <w:marBottom w:val="0"/>
              <w:divBdr>
                <w:top w:val="none" w:sz="0" w:space="0" w:color="auto"/>
                <w:left w:val="none" w:sz="0" w:space="0" w:color="auto"/>
                <w:bottom w:val="none" w:sz="0" w:space="0" w:color="auto"/>
                <w:right w:val="none" w:sz="0" w:space="0" w:color="auto"/>
              </w:divBdr>
            </w:div>
          </w:divsChild>
        </w:div>
        <w:div w:id="813179076">
          <w:marLeft w:val="0"/>
          <w:marRight w:val="0"/>
          <w:marTop w:val="0"/>
          <w:marBottom w:val="0"/>
          <w:divBdr>
            <w:top w:val="none" w:sz="0" w:space="0" w:color="auto"/>
            <w:left w:val="none" w:sz="0" w:space="0" w:color="auto"/>
            <w:bottom w:val="none" w:sz="0" w:space="0" w:color="auto"/>
            <w:right w:val="none" w:sz="0" w:space="0" w:color="auto"/>
          </w:divBdr>
          <w:divsChild>
            <w:div w:id="1712416566">
              <w:marLeft w:val="0"/>
              <w:marRight w:val="0"/>
              <w:marTop w:val="0"/>
              <w:marBottom w:val="0"/>
              <w:divBdr>
                <w:top w:val="none" w:sz="0" w:space="0" w:color="auto"/>
                <w:left w:val="none" w:sz="0" w:space="0" w:color="auto"/>
                <w:bottom w:val="none" w:sz="0" w:space="0" w:color="auto"/>
                <w:right w:val="none" w:sz="0" w:space="0" w:color="auto"/>
              </w:divBdr>
            </w:div>
          </w:divsChild>
        </w:div>
        <w:div w:id="896433595">
          <w:marLeft w:val="0"/>
          <w:marRight w:val="0"/>
          <w:marTop w:val="0"/>
          <w:marBottom w:val="0"/>
          <w:divBdr>
            <w:top w:val="none" w:sz="0" w:space="0" w:color="auto"/>
            <w:left w:val="none" w:sz="0" w:space="0" w:color="auto"/>
            <w:bottom w:val="none" w:sz="0" w:space="0" w:color="auto"/>
            <w:right w:val="none" w:sz="0" w:space="0" w:color="auto"/>
          </w:divBdr>
          <w:divsChild>
            <w:div w:id="1052462901">
              <w:marLeft w:val="0"/>
              <w:marRight w:val="0"/>
              <w:marTop w:val="0"/>
              <w:marBottom w:val="0"/>
              <w:divBdr>
                <w:top w:val="none" w:sz="0" w:space="0" w:color="auto"/>
                <w:left w:val="none" w:sz="0" w:space="0" w:color="auto"/>
                <w:bottom w:val="none" w:sz="0" w:space="0" w:color="auto"/>
                <w:right w:val="none" w:sz="0" w:space="0" w:color="auto"/>
              </w:divBdr>
            </w:div>
          </w:divsChild>
        </w:div>
        <w:div w:id="904802395">
          <w:marLeft w:val="0"/>
          <w:marRight w:val="0"/>
          <w:marTop w:val="0"/>
          <w:marBottom w:val="0"/>
          <w:divBdr>
            <w:top w:val="none" w:sz="0" w:space="0" w:color="auto"/>
            <w:left w:val="none" w:sz="0" w:space="0" w:color="auto"/>
            <w:bottom w:val="none" w:sz="0" w:space="0" w:color="auto"/>
            <w:right w:val="none" w:sz="0" w:space="0" w:color="auto"/>
          </w:divBdr>
          <w:divsChild>
            <w:div w:id="1053507383">
              <w:marLeft w:val="0"/>
              <w:marRight w:val="0"/>
              <w:marTop w:val="0"/>
              <w:marBottom w:val="0"/>
              <w:divBdr>
                <w:top w:val="none" w:sz="0" w:space="0" w:color="auto"/>
                <w:left w:val="none" w:sz="0" w:space="0" w:color="auto"/>
                <w:bottom w:val="none" w:sz="0" w:space="0" w:color="auto"/>
                <w:right w:val="none" w:sz="0" w:space="0" w:color="auto"/>
              </w:divBdr>
            </w:div>
          </w:divsChild>
        </w:div>
        <w:div w:id="945188137">
          <w:marLeft w:val="0"/>
          <w:marRight w:val="0"/>
          <w:marTop w:val="0"/>
          <w:marBottom w:val="0"/>
          <w:divBdr>
            <w:top w:val="none" w:sz="0" w:space="0" w:color="auto"/>
            <w:left w:val="none" w:sz="0" w:space="0" w:color="auto"/>
            <w:bottom w:val="none" w:sz="0" w:space="0" w:color="auto"/>
            <w:right w:val="none" w:sz="0" w:space="0" w:color="auto"/>
          </w:divBdr>
          <w:divsChild>
            <w:div w:id="1737240050">
              <w:marLeft w:val="0"/>
              <w:marRight w:val="0"/>
              <w:marTop w:val="0"/>
              <w:marBottom w:val="0"/>
              <w:divBdr>
                <w:top w:val="none" w:sz="0" w:space="0" w:color="auto"/>
                <w:left w:val="none" w:sz="0" w:space="0" w:color="auto"/>
                <w:bottom w:val="none" w:sz="0" w:space="0" w:color="auto"/>
                <w:right w:val="none" w:sz="0" w:space="0" w:color="auto"/>
              </w:divBdr>
            </w:div>
          </w:divsChild>
        </w:div>
        <w:div w:id="969171976">
          <w:marLeft w:val="0"/>
          <w:marRight w:val="0"/>
          <w:marTop w:val="0"/>
          <w:marBottom w:val="0"/>
          <w:divBdr>
            <w:top w:val="none" w:sz="0" w:space="0" w:color="auto"/>
            <w:left w:val="none" w:sz="0" w:space="0" w:color="auto"/>
            <w:bottom w:val="none" w:sz="0" w:space="0" w:color="auto"/>
            <w:right w:val="none" w:sz="0" w:space="0" w:color="auto"/>
          </w:divBdr>
          <w:divsChild>
            <w:div w:id="1646349405">
              <w:marLeft w:val="0"/>
              <w:marRight w:val="0"/>
              <w:marTop w:val="0"/>
              <w:marBottom w:val="0"/>
              <w:divBdr>
                <w:top w:val="none" w:sz="0" w:space="0" w:color="auto"/>
                <w:left w:val="none" w:sz="0" w:space="0" w:color="auto"/>
                <w:bottom w:val="none" w:sz="0" w:space="0" w:color="auto"/>
                <w:right w:val="none" w:sz="0" w:space="0" w:color="auto"/>
              </w:divBdr>
            </w:div>
          </w:divsChild>
        </w:div>
        <w:div w:id="1050421033">
          <w:marLeft w:val="0"/>
          <w:marRight w:val="0"/>
          <w:marTop w:val="0"/>
          <w:marBottom w:val="0"/>
          <w:divBdr>
            <w:top w:val="none" w:sz="0" w:space="0" w:color="auto"/>
            <w:left w:val="none" w:sz="0" w:space="0" w:color="auto"/>
            <w:bottom w:val="none" w:sz="0" w:space="0" w:color="auto"/>
            <w:right w:val="none" w:sz="0" w:space="0" w:color="auto"/>
          </w:divBdr>
          <w:divsChild>
            <w:div w:id="1403288576">
              <w:marLeft w:val="0"/>
              <w:marRight w:val="0"/>
              <w:marTop w:val="0"/>
              <w:marBottom w:val="0"/>
              <w:divBdr>
                <w:top w:val="none" w:sz="0" w:space="0" w:color="auto"/>
                <w:left w:val="none" w:sz="0" w:space="0" w:color="auto"/>
                <w:bottom w:val="none" w:sz="0" w:space="0" w:color="auto"/>
                <w:right w:val="none" w:sz="0" w:space="0" w:color="auto"/>
              </w:divBdr>
            </w:div>
          </w:divsChild>
        </w:div>
        <w:div w:id="1058935285">
          <w:marLeft w:val="0"/>
          <w:marRight w:val="0"/>
          <w:marTop w:val="0"/>
          <w:marBottom w:val="0"/>
          <w:divBdr>
            <w:top w:val="none" w:sz="0" w:space="0" w:color="auto"/>
            <w:left w:val="none" w:sz="0" w:space="0" w:color="auto"/>
            <w:bottom w:val="none" w:sz="0" w:space="0" w:color="auto"/>
            <w:right w:val="none" w:sz="0" w:space="0" w:color="auto"/>
          </w:divBdr>
          <w:divsChild>
            <w:div w:id="588542295">
              <w:marLeft w:val="0"/>
              <w:marRight w:val="0"/>
              <w:marTop w:val="0"/>
              <w:marBottom w:val="0"/>
              <w:divBdr>
                <w:top w:val="none" w:sz="0" w:space="0" w:color="auto"/>
                <w:left w:val="none" w:sz="0" w:space="0" w:color="auto"/>
                <w:bottom w:val="none" w:sz="0" w:space="0" w:color="auto"/>
                <w:right w:val="none" w:sz="0" w:space="0" w:color="auto"/>
              </w:divBdr>
            </w:div>
          </w:divsChild>
        </w:div>
        <w:div w:id="1091512370">
          <w:marLeft w:val="0"/>
          <w:marRight w:val="0"/>
          <w:marTop w:val="0"/>
          <w:marBottom w:val="0"/>
          <w:divBdr>
            <w:top w:val="none" w:sz="0" w:space="0" w:color="auto"/>
            <w:left w:val="none" w:sz="0" w:space="0" w:color="auto"/>
            <w:bottom w:val="none" w:sz="0" w:space="0" w:color="auto"/>
            <w:right w:val="none" w:sz="0" w:space="0" w:color="auto"/>
          </w:divBdr>
          <w:divsChild>
            <w:div w:id="1440951174">
              <w:marLeft w:val="0"/>
              <w:marRight w:val="0"/>
              <w:marTop w:val="0"/>
              <w:marBottom w:val="0"/>
              <w:divBdr>
                <w:top w:val="none" w:sz="0" w:space="0" w:color="auto"/>
                <w:left w:val="none" w:sz="0" w:space="0" w:color="auto"/>
                <w:bottom w:val="none" w:sz="0" w:space="0" w:color="auto"/>
                <w:right w:val="none" w:sz="0" w:space="0" w:color="auto"/>
              </w:divBdr>
            </w:div>
          </w:divsChild>
        </w:div>
        <w:div w:id="1109348934">
          <w:marLeft w:val="0"/>
          <w:marRight w:val="0"/>
          <w:marTop w:val="0"/>
          <w:marBottom w:val="0"/>
          <w:divBdr>
            <w:top w:val="none" w:sz="0" w:space="0" w:color="auto"/>
            <w:left w:val="none" w:sz="0" w:space="0" w:color="auto"/>
            <w:bottom w:val="none" w:sz="0" w:space="0" w:color="auto"/>
            <w:right w:val="none" w:sz="0" w:space="0" w:color="auto"/>
          </w:divBdr>
          <w:divsChild>
            <w:div w:id="510070300">
              <w:marLeft w:val="0"/>
              <w:marRight w:val="0"/>
              <w:marTop w:val="0"/>
              <w:marBottom w:val="0"/>
              <w:divBdr>
                <w:top w:val="none" w:sz="0" w:space="0" w:color="auto"/>
                <w:left w:val="none" w:sz="0" w:space="0" w:color="auto"/>
                <w:bottom w:val="none" w:sz="0" w:space="0" w:color="auto"/>
                <w:right w:val="none" w:sz="0" w:space="0" w:color="auto"/>
              </w:divBdr>
            </w:div>
          </w:divsChild>
        </w:div>
        <w:div w:id="1139036809">
          <w:marLeft w:val="0"/>
          <w:marRight w:val="0"/>
          <w:marTop w:val="0"/>
          <w:marBottom w:val="0"/>
          <w:divBdr>
            <w:top w:val="none" w:sz="0" w:space="0" w:color="auto"/>
            <w:left w:val="none" w:sz="0" w:space="0" w:color="auto"/>
            <w:bottom w:val="none" w:sz="0" w:space="0" w:color="auto"/>
            <w:right w:val="none" w:sz="0" w:space="0" w:color="auto"/>
          </w:divBdr>
          <w:divsChild>
            <w:div w:id="277832893">
              <w:marLeft w:val="0"/>
              <w:marRight w:val="0"/>
              <w:marTop w:val="0"/>
              <w:marBottom w:val="0"/>
              <w:divBdr>
                <w:top w:val="none" w:sz="0" w:space="0" w:color="auto"/>
                <w:left w:val="none" w:sz="0" w:space="0" w:color="auto"/>
                <w:bottom w:val="none" w:sz="0" w:space="0" w:color="auto"/>
                <w:right w:val="none" w:sz="0" w:space="0" w:color="auto"/>
              </w:divBdr>
            </w:div>
          </w:divsChild>
        </w:div>
        <w:div w:id="1174684897">
          <w:marLeft w:val="0"/>
          <w:marRight w:val="0"/>
          <w:marTop w:val="0"/>
          <w:marBottom w:val="0"/>
          <w:divBdr>
            <w:top w:val="none" w:sz="0" w:space="0" w:color="auto"/>
            <w:left w:val="none" w:sz="0" w:space="0" w:color="auto"/>
            <w:bottom w:val="none" w:sz="0" w:space="0" w:color="auto"/>
            <w:right w:val="none" w:sz="0" w:space="0" w:color="auto"/>
          </w:divBdr>
          <w:divsChild>
            <w:div w:id="939071041">
              <w:marLeft w:val="0"/>
              <w:marRight w:val="0"/>
              <w:marTop w:val="0"/>
              <w:marBottom w:val="0"/>
              <w:divBdr>
                <w:top w:val="none" w:sz="0" w:space="0" w:color="auto"/>
                <w:left w:val="none" w:sz="0" w:space="0" w:color="auto"/>
                <w:bottom w:val="none" w:sz="0" w:space="0" w:color="auto"/>
                <w:right w:val="none" w:sz="0" w:space="0" w:color="auto"/>
              </w:divBdr>
            </w:div>
          </w:divsChild>
        </w:div>
        <w:div w:id="1182473001">
          <w:marLeft w:val="0"/>
          <w:marRight w:val="0"/>
          <w:marTop w:val="0"/>
          <w:marBottom w:val="0"/>
          <w:divBdr>
            <w:top w:val="none" w:sz="0" w:space="0" w:color="auto"/>
            <w:left w:val="none" w:sz="0" w:space="0" w:color="auto"/>
            <w:bottom w:val="none" w:sz="0" w:space="0" w:color="auto"/>
            <w:right w:val="none" w:sz="0" w:space="0" w:color="auto"/>
          </w:divBdr>
          <w:divsChild>
            <w:div w:id="1716616359">
              <w:marLeft w:val="0"/>
              <w:marRight w:val="0"/>
              <w:marTop w:val="0"/>
              <w:marBottom w:val="0"/>
              <w:divBdr>
                <w:top w:val="none" w:sz="0" w:space="0" w:color="auto"/>
                <w:left w:val="none" w:sz="0" w:space="0" w:color="auto"/>
                <w:bottom w:val="none" w:sz="0" w:space="0" w:color="auto"/>
                <w:right w:val="none" w:sz="0" w:space="0" w:color="auto"/>
              </w:divBdr>
            </w:div>
          </w:divsChild>
        </w:div>
        <w:div w:id="1189444403">
          <w:marLeft w:val="0"/>
          <w:marRight w:val="0"/>
          <w:marTop w:val="0"/>
          <w:marBottom w:val="0"/>
          <w:divBdr>
            <w:top w:val="none" w:sz="0" w:space="0" w:color="auto"/>
            <w:left w:val="none" w:sz="0" w:space="0" w:color="auto"/>
            <w:bottom w:val="none" w:sz="0" w:space="0" w:color="auto"/>
            <w:right w:val="none" w:sz="0" w:space="0" w:color="auto"/>
          </w:divBdr>
          <w:divsChild>
            <w:div w:id="737825352">
              <w:marLeft w:val="0"/>
              <w:marRight w:val="0"/>
              <w:marTop w:val="0"/>
              <w:marBottom w:val="0"/>
              <w:divBdr>
                <w:top w:val="none" w:sz="0" w:space="0" w:color="auto"/>
                <w:left w:val="none" w:sz="0" w:space="0" w:color="auto"/>
                <w:bottom w:val="none" w:sz="0" w:space="0" w:color="auto"/>
                <w:right w:val="none" w:sz="0" w:space="0" w:color="auto"/>
              </w:divBdr>
            </w:div>
          </w:divsChild>
        </w:div>
        <w:div w:id="1200969789">
          <w:marLeft w:val="0"/>
          <w:marRight w:val="0"/>
          <w:marTop w:val="0"/>
          <w:marBottom w:val="0"/>
          <w:divBdr>
            <w:top w:val="none" w:sz="0" w:space="0" w:color="auto"/>
            <w:left w:val="none" w:sz="0" w:space="0" w:color="auto"/>
            <w:bottom w:val="none" w:sz="0" w:space="0" w:color="auto"/>
            <w:right w:val="none" w:sz="0" w:space="0" w:color="auto"/>
          </w:divBdr>
          <w:divsChild>
            <w:div w:id="361518908">
              <w:marLeft w:val="0"/>
              <w:marRight w:val="0"/>
              <w:marTop w:val="0"/>
              <w:marBottom w:val="0"/>
              <w:divBdr>
                <w:top w:val="none" w:sz="0" w:space="0" w:color="auto"/>
                <w:left w:val="none" w:sz="0" w:space="0" w:color="auto"/>
                <w:bottom w:val="none" w:sz="0" w:space="0" w:color="auto"/>
                <w:right w:val="none" w:sz="0" w:space="0" w:color="auto"/>
              </w:divBdr>
            </w:div>
          </w:divsChild>
        </w:div>
        <w:div w:id="1225988386">
          <w:marLeft w:val="0"/>
          <w:marRight w:val="0"/>
          <w:marTop w:val="0"/>
          <w:marBottom w:val="0"/>
          <w:divBdr>
            <w:top w:val="none" w:sz="0" w:space="0" w:color="auto"/>
            <w:left w:val="none" w:sz="0" w:space="0" w:color="auto"/>
            <w:bottom w:val="none" w:sz="0" w:space="0" w:color="auto"/>
            <w:right w:val="none" w:sz="0" w:space="0" w:color="auto"/>
          </w:divBdr>
          <w:divsChild>
            <w:div w:id="1978952400">
              <w:marLeft w:val="0"/>
              <w:marRight w:val="0"/>
              <w:marTop w:val="0"/>
              <w:marBottom w:val="0"/>
              <w:divBdr>
                <w:top w:val="none" w:sz="0" w:space="0" w:color="auto"/>
                <w:left w:val="none" w:sz="0" w:space="0" w:color="auto"/>
                <w:bottom w:val="none" w:sz="0" w:space="0" w:color="auto"/>
                <w:right w:val="none" w:sz="0" w:space="0" w:color="auto"/>
              </w:divBdr>
            </w:div>
          </w:divsChild>
        </w:div>
        <w:div w:id="1280146159">
          <w:marLeft w:val="0"/>
          <w:marRight w:val="0"/>
          <w:marTop w:val="0"/>
          <w:marBottom w:val="0"/>
          <w:divBdr>
            <w:top w:val="none" w:sz="0" w:space="0" w:color="auto"/>
            <w:left w:val="none" w:sz="0" w:space="0" w:color="auto"/>
            <w:bottom w:val="none" w:sz="0" w:space="0" w:color="auto"/>
            <w:right w:val="none" w:sz="0" w:space="0" w:color="auto"/>
          </w:divBdr>
          <w:divsChild>
            <w:div w:id="1965890797">
              <w:marLeft w:val="0"/>
              <w:marRight w:val="0"/>
              <w:marTop w:val="0"/>
              <w:marBottom w:val="0"/>
              <w:divBdr>
                <w:top w:val="none" w:sz="0" w:space="0" w:color="auto"/>
                <w:left w:val="none" w:sz="0" w:space="0" w:color="auto"/>
                <w:bottom w:val="none" w:sz="0" w:space="0" w:color="auto"/>
                <w:right w:val="none" w:sz="0" w:space="0" w:color="auto"/>
              </w:divBdr>
            </w:div>
          </w:divsChild>
        </w:div>
        <w:div w:id="1337421529">
          <w:marLeft w:val="0"/>
          <w:marRight w:val="0"/>
          <w:marTop w:val="0"/>
          <w:marBottom w:val="0"/>
          <w:divBdr>
            <w:top w:val="none" w:sz="0" w:space="0" w:color="auto"/>
            <w:left w:val="none" w:sz="0" w:space="0" w:color="auto"/>
            <w:bottom w:val="none" w:sz="0" w:space="0" w:color="auto"/>
            <w:right w:val="none" w:sz="0" w:space="0" w:color="auto"/>
          </w:divBdr>
          <w:divsChild>
            <w:div w:id="1966229708">
              <w:marLeft w:val="0"/>
              <w:marRight w:val="0"/>
              <w:marTop w:val="0"/>
              <w:marBottom w:val="0"/>
              <w:divBdr>
                <w:top w:val="none" w:sz="0" w:space="0" w:color="auto"/>
                <w:left w:val="none" w:sz="0" w:space="0" w:color="auto"/>
                <w:bottom w:val="none" w:sz="0" w:space="0" w:color="auto"/>
                <w:right w:val="none" w:sz="0" w:space="0" w:color="auto"/>
              </w:divBdr>
            </w:div>
          </w:divsChild>
        </w:div>
        <w:div w:id="1365402442">
          <w:marLeft w:val="0"/>
          <w:marRight w:val="0"/>
          <w:marTop w:val="0"/>
          <w:marBottom w:val="0"/>
          <w:divBdr>
            <w:top w:val="none" w:sz="0" w:space="0" w:color="auto"/>
            <w:left w:val="none" w:sz="0" w:space="0" w:color="auto"/>
            <w:bottom w:val="none" w:sz="0" w:space="0" w:color="auto"/>
            <w:right w:val="none" w:sz="0" w:space="0" w:color="auto"/>
          </w:divBdr>
          <w:divsChild>
            <w:div w:id="554854069">
              <w:marLeft w:val="0"/>
              <w:marRight w:val="0"/>
              <w:marTop w:val="0"/>
              <w:marBottom w:val="0"/>
              <w:divBdr>
                <w:top w:val="none" w:sz="0" w:space="0" w:color="auto"/>
                <w:left w:val="none" w:sz="0" w:space="0" w:color="auto"/>
                <w:bottom w:val="none" w:sz="0" w:space="0" w:color="auto"/>
                <w:right w:val="none" w:sz="0" w:space="0" w:color="auto"/>
              </w:divBdr>
            </w:div>
          </w:divsChild>
        </w:div>
        <w:div w:id="1396128986">
          <w:marLeft w:val="0"/>
          <w:marRight w:val="0"/>
          <w:marTop w:val="0"/>
          <w:marBottom w:val="0"/>
          <w:divBdr>
            <w:top w:val="none" w:sz="0" w:space="0" w:color="auto"/>
            <w:left w:val="none" w:sz="0" w:space="0" w:color="auto"/>
            <w:bottom w:val="none" w:sz="0" w:space="0" w:color="auto"/>
            <w:right w:val="none" w:sz="0" w:space="0" w:color="auto"/>
          </w:divBdr>
          <w:divsChild>
            <w:div w:id="838353433">
              <w:marLeft w:val="0"/>
              <w:marRight w:val="0"/>
              <w:marTop w:val="0"/>
              <w:marBottom w:val="0"/>
              <w:divBdr>
                <w:top w:val="none" w:sz="0" w:space="0" w:color="auto"/>
                <w:left w:val="none" w:sz="0" w:space="0" w:color="auto"/>
                <w:bottom w:val="none" w:sz="0" w:space="0" w:color="auto"/>
                <w:right w:val="none" w:sz="0" w:space="0" w:color="auto"/>
              </w:divBdr>
            </w:div>
          </w:divsChild>
        </w:div>
        <w:div w:id="1408188528">
          <w:marLeft w:val="0"/>
          <w:marRight w:val="0"/>
          <w:marTop w:val="0"/>
          <w:marBottom w:val="0"/>
          <w:divBdr>
            <w:top w:val="none" w:sz="0" w:space="0" w:color="auto"/>
            <w:left w:val="none" w:sz="0" w:space="0" w:color="auto"/>
            <w:bottom w:val="none" w:sz="0" w:space="0" w:color="auto"/>
            <w:right w:val="none" w:sz="0" w:space="0" w:color="auto"/>
          </w:divBdr>
          <w:divsChild>
            <w:div w:id="397216421">
              <w:marLeft w:val="0"/>
              <w:marRight w:val="0"/>
              <w:marTop w:val="0"/>
              <w:marBottom w:val="0"/>
              <w:divBdr>
                <w:top w:val="none" w:sz="0" w:space="0" w:color="auto"/>
                <w:left w:val="none" w:sz="0" w:space="0" w:color="auto"/>
                <w:bottom w:val="none" w:sz="0" w:space="0" w:color="auto"/>
                <w:right w:val="none" w:sz="0" w:space="0" w:color="auto"/>
              </w:divBdr>
            </w:div>
          </w:divsChild>
        </w:div>
        <w:div w:id="1436367672">
          <w:marLeft w:val="0"/>
          <w:marRight w:val="0"/>
          <w:marTop w:val="0"/>
          <w:marBottom w:val="0"/>
          <w:divBdr>
            <w:top w:val="none" w:sz="0" w:space="0" w:color="auto"/>
            <w:left w:val="none" w:sz="0" w:space="0" w:color="auto"/>
            <w:bottom w:val="none" w:sz="0" w:space="0" w:color="auto"/>
            <w:right w:val="none" w:sz="0" w:space="0" w:color="auto"/>
          </w:divBdr>
          <w:divsChild>
            <w:div w:id="241448909">
              <w:marLeft w:val="0"/>
              <w:marRight w:val="0"/>
              <w:marTop w:val="0"/>
              <w:marBottom w:val="0"/>
              <w:divBdr>
                <w:top w:val="none" w:sz="0" w:space="0" w:color="auto"/>
                <w:left w:val="none" w:sz="0" w:space="0" w:color="auto"/>
                <w:bottom w:val="none" w:sz="0" w:space="0" w:color="auto"/>
                <w:right w:val="none" w:sz="0" w:space="0" w:color="auto"/>
              </w:divBdr>
            </w:div>
          </w:divsChild>
        </w:div>
        <w:div w:id="1462920749">
          <w:marLeft w:val="0"/>
          <w:marRight w:val="0"/>
          <w:marTop w:val="0"/>
          <w:marBottom w:val="0"/>
          <w:divBdr>
            <w:top w:val="none" w:sz="0" w:space="0" w:color="auto"/>
            <w:left w:val="none" w:sz="0" w:space="0" w:color="auto"/>
            <w:bottom w:val="none" w:sz="0" w:space="0" w:color="auto"/>
            <w:right w:val="none" w:sz="0" w:space="0" w:color="auto"/>
          </w:divBdr>
          <w:divsChild>
            <w:div w:id="1325934363">
              <w:marLeft w:val="0"/>
              <w:marRight w:val="0"/>
              <w:marTop w:val="0"/>
              <w:marBottom w:val="0"/>
              <w:divBdr>
                <w:top w:val="none" w:sz="0" w:space="0" w:color="auto"/>
                <w:left w:val="none" w:sz="0" w:space="0" w:color="auto"/>
                <w:bottom w:val="none" w:sz="0" w:space="0" w:color="auto"/>
                <w:right w:val="none" w:sz="0" w:space="0" w:color="auto"/>
              </w:divBdr>
            </w:div>
          </w:divsChild>
        </w:div>
        <w:div w:id="1470829103">
          <w:marLeft w:val="0"/>
          <w:marRight w:val="0"/>
          <w:marTop w:val="0"/>
          <w:marBottom w:val="0"/>
          <w:divBdr>
            <w:top w:val="none" w:sz="0" w:space="0" w:color="auto"/>
            <w:left w:val="none" w:sz="0" w:space="0" w:color="auto"/>
            <w:bottom w:val="none" w:sz="0" w:space="0" w:color="auto"/>
            <w:right w:val="none" w:sz="0" w:space="0" w:color="auto"/>
          </w:divBdr>
          <w:divsChild>
            <w:div w:id="1330670021">
              <w:marLeft w:val="0"/>
              <w:marRight w:val="0"/>
              <w:marTop w:val="0"/>
              <w:marBottom w:val="0"/>
              <w:divBdr>
                <w:top w:val="none" w:sz="0" w:space="0" w:color="auto"/>
                <w:left w:val="none" w:sz="0" w:space="0" w:color="auto"/>
                <w:bottom w:val="none" w:sz="0" w:space="0" w:color="auto"/>
                <w:right w:val="none" w:sz="0" w:space="0" w:color="auto"/>
              </w:divBdr>
            </w:div>
          </w:divsChild>
        </w:div>
        <w:div w:id="1497842865">
          <w:marLeft w:val="0"/>
          <w:marRight w:val="0"/>
          <w:marTop w:val="0"/>
          <w:marBottom w:val="0"/>
          <w:divBdr>
            <w:top w:val="none" w:sz="0" w:space="0" w:color="auto"/>
            <w:left w:val="none" w:sz="0" w:space="0" w:color="auto"/>
            <w:bottom w:val="none" w:sz="0" w:space="0" w:color="auto"/>
            <w:right w:val="none" w:sz="0" w:space="0" w:color="auto"/>
          </w:divBdr>
          <w:divsChild>
            <w:div w:id="1915163361">
              <w:marLeft w:val="0"/>
              <w:marRight w:val="0"/>
              <w:marTop w:val="0"/>
              <w:marBottom w:val="0"/>
              <w:divBdr>
                <w:top w:val="none" w:sz="0" w:space="0" w:color="auto"/>
                <w:left w:val="none" w:sz="0" w:space="0" w:color="auto"/>
                <w:bottom w:val="none" w:sz="0" w:space="0" w:color="auto"/>
                <w:right w:val="none" w:sz="0" w:space="0" w:color="auto"/>
              </w:divBdr>
            </w:div>
          </w:divsChild>
        </w:div>
        <w:div w:id="1502306321">
          <w:marLeft w:val="0"/>
          <w:marRight w:val="0"/>
          <w:marTop w:val="0"/>
          <w:marBottom w:val="0"/>
          <w:divBdr>
            <w:top w:val="none" w:sz="0" w:space="0" w:color="auto"/>
            <w:left w:val="none" w:sz="0" w:space="0" w:color="auto"/>
            <w:bottom w:val="none" w:sz="0" w:space="0" w:color="auto"/>
            <w:right w:val="none" w:sz="0" w:space="0" w:color="auto"/>
          </w:divBdr>
          <w:divsChild>
            <w:div w:id="712080515">
              <w:marLeft w:val="0"/>
              <w:marRight w:val="0"/>
              <w:marTop w:val="0"/>
              <w:marBottom w:val="0"/>
              <w:divBdr>
                <w:top w:val="none" w:sz="0" w:space="0" w:color="auto"/>
                <w:left w:val="none" w:sz="0" w:space="0" w:color="auto"/>
                <w:bottom w:val="none" w:sz="0" w:space="0" w:color="auto"/>
                <w:right w:val="none" w:sz="0" w:space="0" w:color="auto"/>
              </w:divBdr>
            </w:div>
          </w:divsChild>
        </w:div>
        <w:div w:id="1531140380">
          <w:marLeft w:val="0"/>
          <w:marRight w:val="0"/>
          <w:marTop w:val="0"/>
          <w:marBottom w:val="0"/>
          <w:divBdr>
            <w:top w:val="none" w:sz="0" w:space="0" w:color="auto"/>
            <w:left w:val="none" w:sz="0" w:space="0" w:color="auto"/>
            <w:bottom w:val="none" w:sz="0" w:space="0" w:color="auto"/>
            <w:right w:val="none" w:sz="0" w:space="0" w:color="auto"/>
          </w:divBdr>
          <w:divsChild>
            <w:div w:id="58864149">
              <w:marLeft w:val="0"/>
              <w:marRight w:val="0"/>
              <w:marTop w:val="0"/>
              <w:marBottom w:val="0"/>
              <w:divBdr>
                <w:top w:val="none" w:sz="0" w:space="0" w:color="auto"/>
                <w:left w:val="none" w:sz="0" w:space="0" w:color="auto"/>
                <w:bottom w:val="none" w:sz="0" w:space="0" w:color="auto"/>
                <w:right w:val="none" w:sz="0" w:space="0" w:color="auto"/>
              </w:divBdr>
            </w:div>
          </w:divsChild>
        </w:div>
        <w:div w:id="1532261856">
          <w:marLeft w:val="0"/>
          <w:marRight w:val="0"/>
          <w:marTop w:val="0"/>
          <w:marBottom w:val="0"/>
          <w:divBdr>
            <w:top w:val="none" w:sz="0" w:space="0" w:color="auto"/>
            <w:left w:val="none" w:sz="0" w:space="0" w:color="auto"/>
            <w:bottom w:val="none" w:sz="0" w:space="0" w:color="auto"/>
            <w:right w:val="none" w:sz="0" w:space="0" w:color="auto"/>
          </w:divBdr>
          <w:divsChild>
            <w:div w:id="596980738">
              <w:marLeft w:val="0"/>
              <w:marRight w:val="0"/>
              <w:marTop w:val="0"/>
              <w:marBottom w:val="0"/>
              <w:divBdr>
                <w:top w:val="none" w:sz="0" w:space="0" w:color="auto"/>
                <w:left w:val="none" w:sz="0" w:space="0" w:color="auto"/>
                <w:bottom w:val="none" w:sz="0" w:space="0" w:color="auto"/>
                <w:right w:val="none" w:sz="0" w:space="0" w:color="auto"/>
              </w:divBdr>
            </w:div>
          </w:divsChild>
        </w:div>
        <w:div w:id="1564098916">
          <w:marLeft w:val="0"/>
          <w:marRight w:val="0"/>
          <w:marTop w:val="0"/>
          <w:marBottom w:val="0"/>
          <w:divBdr>
            <w:top w:val="none" w:sz="0" w:space="0" w:color="auto"/>
            <w:left w:val="none" w:sz="0" w:space="0" w:color="auto"/>
            <w:bottom w:val="none" w:sz="0" w:space="0" w:color="auto"/>
            <w:right w:val="none" w:sz="0" w:space="0" w:color="auto"/>
          </w:divBdr>
          <w:divsChild>
            <w:div w:id="1877428295">
              <w:marLeft w:val="0"/>
              <w:marRight w:val="0"/>
              <w:marTop w:val="0"/>
              <w:marBottom w:val="0"/>
              <w:divBdr>
                <w:top w:val="none" w:sz="0" w:space="0" w:color="auto"/>
                <w:left w:val="none" w:sz="0" w:space="0" w:color="auto"/>
                <w:bottom w:val="none" w:sz="0" w:space="0" w:color="auto"/>
                <w:right w:val="none" w:sz="0" w:space="0" w:color="auto"/>
              </w:divBdr>
            </w:div>
          </w:divsChild>
        </w:div>
        <w:div w:id="1581062889">
          <w:marLeft w:val="0"/>
          <w:marRight w:val="0"/>
          <w:marTop w:val="0"/>
          <w:marBottom w:val="0"/>
          <w:divBdr>
            <w:top w:val="none" w:sz="0" w:space="0" w:color="auto"/>
            <w:left w:val="none" w:sz="0" w:space="0" w:color="auto"/>
            <w:bottom w:val="none" w:sz="0" w:space="0" w:color="auto"/>
            <w:right w:val="none" w:sz="0" w:space="0" w:color="auto"/>
          </w:divBdr>
          <w:divsChild>
            <w:div w:id="977302739">
              <w:marLeft w:val="0"/>
              <w:marRight w:val="0"/>
              <w:marTop w:val="0"/>
              <w:marBottom w:val="0"/>
              <w:divBdr>
                <w:top w:val="none" w:sz="0" w:space="0" w:color="auto"/>
                <w:left w:val="none" w:sz="0" w:space="0" w:color="auto"/>
                <w:bottom w:val="none" w:sz="0" w:space="0" w:color="auto"/>
                <w:right w:val="none" w:sz="0" w:space="0" w:color="auto"/>
              </w:divBdr>
            </w:div>
          </w:divsChild>
        </w:div>
        <w:div w:id="1638073029">
          <w:marLeft w:val="0"/>
          <w:marRight w:val="0"/>
          <w:marTop w:val="0"/>
          <w:marBottom w:val="0"/>
          <w:divBdr>
            <w:top w:val="none" w:sz="0" w:space="0" w:color="auto"/>
            <w:left w:val="none" w:sz="0" w:space="0" w:color="auto"/>
            <w:bottom w:val="none" w:sz="0" w:space="0" w:color="auto"/>
            <w:right w:val="none" w:sz="0" w:space="0" w:color="auto"/>
          </w:divBdr>
          <w:divsChild>
            <w:div w:id="541672609">
              <w:marLeft w:val="0"/>
              <w:marRight w:val="0"/>
              <w:marTop w:val="0"/>
              <w:marBottom w:val="0"/>
              <w:divBdr>
                <w:top w:val="none" w:sz="0" w:space="0" w:color="auto"/>
                <w:left w:val="none" w:sz="0" w:space="0" w:color="auto"/>
                <w:bottom w:val="none" w:sz="0" w:space="0" w:color="auto"/>
                <w:right w:val="none" w:sz="0" w:space="0" w:color="auto"/>
              </w:divBdr>
            </w:div>
          </w:divsChild>
        </w:div>
        <w:div w:id="1720786481">
          <w:marLeft w:val="0"/>
          <w:marRight w:val="0"/>
          <w:marTop w:val="0"/>
          <w:marBottom w:val="0"/>
          <w:divBdr>
            <w:top w:val="none" w:sz="0" w:space="0" w:color="auto"/>
            <w:left w:val="none" w:sz="0" w:space="0" w:color="auto"/>
            <w:bottom w:val="none" w:sz="0" w:space="0" w:color="auto"/>
            <w:right w:val="none" w:sz="0" w:space="0" w:color="auto"/>
          </w:divBdr>
          <w:divsChild>
            <w:div w:id="326981367">
              <w:marLeft w:val="0"/>
              <w:marRight w:val="0"/>
              <w:marTop w:val="0"/>
              <w:marBottom w:val="0"/>
              <w:divBdr>
                <w:top w:val="none" w:sz="0" w:space="0" w:color="auto"/>
                <w:left w:val="none" w:sz="0" w:space="0" w:color="auto"/>
                <w:bottom w:val="none" w:sz="0" w:space="0" w:color="auto"/>
                <w:right w:val="none" w:sz="0" w:space="0" w:color="auto"/>
              </w:divBdr>
            </w:div>
          </w:divsChild>
        </w:div>
        <w:div w:id="1741054442">
          <w:marLeft w:val="0"/>
          <w:marRight w:val="0"/>
          <w:marTop w:val="0"/>
          <w:marBottom w:val="0"/>
          <w:divBdr>
            <w:top w:val="none" w:sz="0" w:space="0" w:color="auto"/>
            <w:left w:val="none" w:sz="0" w:space="0" w:color="auto"/>
            <w:bottom w:val="none" w:sz="0" w:space="0" w:color="auto"/>
            <w:right w:val="none" w:sz="0" w:space="0" w:color="auto"/>
          </w:divBdr>
          <w:divsChild>
            <w:div w:id="1899827234">
              <w:marLeft w:val="0"/>
              <w:marRight w:val="0"/>
              <w:marTop w:val="0"/>
              <w:marBottom w:val="0"/>
              <w:divBdr>
                <w:top w:val="none" w:sz="0" w:space="0" w:color="auto"/>
                <w:left w:val="none" w:sz="0" w:space="0" w:color="auto"/>
                <w:bottom w:val="none" w:sz="0" w:space="0" w:color="auto"/>
                <w:right w:val="none" w:sz="0" w:space="0" w:color="auto"/>
              </w:divBdr>
            </w:div>
          </w:divsChild>
        </w:div>
        <w:div w:id="1819305516">
          <w:marLeft w:val="0"/>
          <w:marRight w:val="0"/>
          <w:marTop w:val="0"/>
          <w:marBottom w:val="0"/>
          <w:divBdr>
            <w:top w:val="none" w:sz="0" w:space="0" w:color="auto"/>
            <w:left w:val="none" w:sz="0" w:space="0" w:color="auto"/>
            <w:bottom w:val="none" w:sz="0" w:space="0" w:color="auto"/>
            <w:right w:val="none" w:sz="0" w:space="0" w:color="auto"/>
          </w:divBdr>
          <w:divsChild>
            <w:div w:id="1142192686">
              <w:marLeft w:val="0"/>
              <w:marRight w:val="0"/>
              <w:marTop w:val="0"/>
              <w:marBottom w:val="0"/>
              <w:divBdr>
                <w:top w:val="none" w:sz="0" w:space="0" w:color="auto"/>
                <w:left w:val="none" w:sz="0" w:space="0" w:color="auto"/>
                <w:bottom w:val="none" w:sz="0" w:space="0" w:color="auto"/>
                <w:right w:val="none" w:sz="0" w:space="0" w:color="auto"/>
              </w:divBdr>
            </w:div>
          </w:divsChild>
        </w:div>
        <w:div w:id="1830250022">
          <w:marLeft w:val="0"/>
          <w:marRight w:val="0"/>
          <w:marTop w:val="0"/>
          <w:marBottom w:val="0"/>
          <w:divBdr>
            <w:top w:val="none" w:sz="0" w:space="0" w:color="auto"/>
            <w:left w:val="none" w:sz="0" w:space="0" w:color="auto"/>
            <w:bottom w:val="none" w:sz="0" w:space="0" w:color="auto"/>
            <w:right w:val="none" w:sz="0" w:space="0" w:color="auto"/>
          </w:divBdr>
          <w:divsChild>
            <w:div w:id="994990793">
              <w:marLeft w:val="0"/>
              <w:marRight w:val="0"/>
              <w:marTop w:val="0"/>
              <w:marBottom w:val="0"/>
              <w:divBdr>
                <w:top w:val="none" w:sz="0" w:space="0" w:color="auto"/>
                <w:left w:val="none" w:sz="0" w:space="0" w:color="auto"/>
                <w:bottom w:val="none" w:sz="0" w:space="0" w:color="auto"/>
                <w:right w:val="none" w:sz="0" w:space="0" w:color="auto"/>
              </w:divBdr>
            </w:div>
          </w:divsChild>
        </w:div>
        <w:div w:id="1840656182">
          <w:marLeft w:val="0"/>
          <w:marRight w:val="0"/>
          <w:marTop w:val="0"/>
          <w:marBottom w:val="0"/>
          <w:divBdr>
            <w:top w:val="none" w:sz="0" w:space="0" w:color="auto"/>
            <w:left w:val="none" w:sz="0" w:space="0" w:color="auto"/>
            <w:bottom w:val="none" w:sz="0" w:space="0" w:color="auto"/>
            <w:right w:val="none" w:sz="0" w:space="0" w:color="auto"/>
          </w:divBdr>
          <w:divsChild>
            <w:div w:id="320667671">
              <w:marLeft w:val="0"/>
              <w:marRight w:val="0"/>
              <w:marTop w:val="0"/>
              <w:marBottom w:val="0"/>
              <w:divBdr>
                <w:top w:val="none" w:sz="0" w:space="0" w:color="auto"/>
                <w:left w:val="none" w:sz="0" w:space="0" w:color="auto"/>
                <w:bottom w:val="none" w:sz="0" w:space="0" w:color="auto"/>
                <w:right w:val="none" w:sz="0" w:space="0" w:color="auto"/>
              </w:divBdr>
            </w:div>
          </w:divsChild>
        </w:div>
        <w:div w:id="1841848709">
          <w:marLeft w:val="0"/>
          <w:marRight w:val="0"/>
          <w:marTop w:val="0"/>
          <w:marBottom w:val="0"/>
          <w:divBdr>
            <w:top w:val="none" w:sz="0" w:space="0" w:color="auto"/>
            <w:left w:val="none" w:sz="0" w:space="0" w:color="auto"/>
            <w:bottom w:val="none" w:sz="0" w:space="0" w:color="auto"/>
            <w:right w:val="none" w:sz="0" w:space="0" w:color="auto"/>
          </w:divBdr>
          <w:divsChild>
            <w:div w:id="1711802735">
              <w:marLeft w:val="0"/>
              <w:marRight w:val="0"/>
              <w:marTop w:val="0"/>
              <w:marBottom w:val="0"/>
              <w:divBdr>
                <w:top w:val="none" w:sz="0" w:space="0" w:color="auto"/>
                <w:left w:val="none" w:sz="0" w:space="0" w:color="auto"/>
                <w:bottom w:val="none" w:sz="0" w:space="0" w:color="auto"/>
                <w:right w:val="none" w:sz="0" w:space="0" w:color="auto"/>
              </w:divBdr>
            </w:div>
          </w:divsChild>
        </w:div>
        <w:div w:id="1939488115">
          <w:marLeft w:val="0"/>
          <w:marRight w:val="0"/>
          <w:marTop w:val="0"/>
          <w:marBottom w:val="0"/>
          <w:divBdr>
            <w:top w:val="none" w:sz="0" w:space="0" w:color="auto"/>
            <w:left w:val="none" w:sz="0" w:space="0" w:color="auto"/>
            <w:bottom w:val="none" w:sz="0" w:space="0" w:color="auto"/>
            <w:right w:val="none" w:sz="0" w:space="0" w:color="auto"/>
          </w:divBdr>
          <w:divsChild>
            <w:div w:id="1256092293">
              <w:marLeft w:val="0"/>
              <w:marRight w:val="0"/>
              <w:marTop w:val="0"/>
              <w:marBottom w:val="0"/>
              <w:divBdr>
                <w:top w:val="none" w:sz="0" w:space="0" w:color="auto"/>
                <w:left w:val="none" w:sz="0" w:space="0" w:color="auto"/>
                <w:bottom w:val="none" w:sz="0" w:space="0" w:color="auto"/>
                <w:right w:val="none" w:sz="0" w:space="0" w:color="auto"/>
              </w:divBdr>
            </w:div>
          </w:divsChild>
        </w:div>
        <w:div w:id="1986003351">
          <w:marLeft w:val="0"/>
          <w:marRight w:val="0"/>
          <w:marTop w:val="0"/>
          <w:marBottom w:val="0"/>
          <w:divBdr>
            <w:top w:val="none" w:sz="0" w:space="0" w:color="auto"/>
            <w:left w:val="none" w:sz="0" w:space="0" w:color="auto"/>
            <w:bottom w:val="none" w:sz="0" w:space="0" w:color="auto"/>
            <w:right w:val="none" w:sz="0" w:space="0" w:color="auto"/>
          </w:divBdr>
          <w:divsChild>
            <w:div w:id="1772164738">
              <w:marLeft w:val="0"/>
              <w:marRight w:val="0"/>
              <w:marTop w:val="0"/>
              <w:marBottom w:val="0"/>
              <w:divBdr>
                <w:top w:val="none" w:sz="0" w:space="0" w:color="auto"/>
                <w:left w:val="none" w:sz="0" w:space="0" w:color="auto"/>
                <w:bottom w:val="none" w:sz="0" w:space="0" w:color="auto"/>
                <w:right w:val="none" w:sz="0" w:space="0" w:color="auto"/>
              </w:divBdr>
            </w:div>
          </w:divsChild>
        </w:div>
        <w:div w:id="1996763810">
          <w:marLeft w:val="0"/>
          <w:marRight w:val="0"/>
          <w:marTop w:val="0"/>
          <w:marBottom w:val="0"/>
          <w:divBdr>
            <w:top w:val="none" w:sz="0" w:space="0" w:color="auto"/>
            <w:left w:val="none" w:sz="0" w:space="0" w:color="auto"/>
            <w:bottom w:val="none" w:sz="0" w:space="0" w:color="auto"/>
            <w:right w:val="none" w:sz="0" w:space="0" w:color="auto"/>
          </w:divBdr>
          <w:divsChild>
            <w:div w:id="1019745791">
              <w:marLeft w:val="0"/>
              <w:marRight w:val="0"/>
              <w:marTop w:val="0"/>
              <w:marBottom w:val="0"/>
              <w:divBdr>
                <w:top w:val="none" w:sz="0" w:space="0" w:color="auto"/>
                <w:left w:val="none" w:sz="0" w:space="0" w:color="auto"/>
                <w:bottom w:val="none" w:sz="0" w:space="0" w:color="auto"/>
                <w:right w:val="none" w:sz="0" w:space="0" w:color="auto"/>
              </w:divBdr>
            </w:div>
          </w:divsChild>
        </w:div>
        <w:div w:id="2006975106">
          <w:marLeft w:val="0"/>
          <w:marRight w:val="0"/>
          <w:marTop w:val="0"/>
          <w:marBottom w:val="0"/>
          <w:divBdr>
            <w:top w:val="none" w:sz="0" w:space="0" w:color="auto"/>
            <w:left w:val="none" w:sz="0" w:space="0" w:color="auto"/>
            <w:bottom w:val="none" w:sz="0" w:space="0" w:color="auto"/>
            <w:right w:val="none" w:sz="0" w:space="0" w:color="auto"/>
          </w:divBdr>
          <w:divsChild>
            <w:div w:id="134420048">
              <w:marLeft w:val="0"/>
              <w:marRight w:val="0"/>
              <w:marTop w:val="0"/>
              <w:marBottom w:val="0"/>
              <w:divBdr>
                <w:top w:val="none" w:sz="0" w:space="0" w:color="auto"/>
                <w:left w:val="none" w:sz="0" w:space="0" w:color="auto"/>
                <w:bottom w:val="none" w:sz="0" w:space="0" w:color="auto"/>
                <w:right w:val="none" w:sz="0" w:space="0" w:color="auto"/>
              </w:divBdr>
            </w:div>
          </w:divsChild>
        </w:div>
        <w:div w:id="2045133371">
          <w:marLeft w:val="0"/>
          <w:marRight w:val="0"/>
          <w:marTop w:val="0"/>
          <w:marBottom w:val="0"/>
          <w:divBdr>
            <w:top w:val="none" w:sz="0" w:space="0" w:color="auto"/>
            <w:left w:val="none" w:sz="0" w:space="0" w:color="auto"/>
            <w:bottom w:val="none" w:sz="0" w:space="0" w:color="auto"/>
            <w:right w:val="none" w:sz="0" w:space="0" w:color="auto"/>
          </w:divBdr>
          <w:divsChild>
            <w:div w:id="1309047503">
              <w:marLeft w:val="0"/>
              <w:marRight w:val="0"/>
              <w:marTop w:val="0"/>
              <w:marBottom w:val="0"/>
              <w:divBdr>
                <w:top w:val="none" w:sz="0" w:space="0" w:color="auto"/>
                <w:left w:val="none" w:sz="0" w:space="0" w:color="auto"/>
                <w:bottom w:val="none" w:sz="0" w:space="0" w:color="auto"/>
                <w:right w:val="none" w:sz="0" w:space="0" w:color="auto"/>
              </w:divBdr>
            </w:div>
          </w:divsChild>
        </w:div>
        <w:div w:id="2046178225">
          <w:marLeft w:val="0"/>
          <w:marRight w:val="0"/>
          <w:marTop w:val="0"/>
          <w:marBottom w:val="0"/>
          <w:divBdr>
            <w:top w:val="none" w:sz="0" w:space="0" w:color="auto"/>
            <w:left w:val="none" w:sz="0" w:space="0" w:color="auto"/>
            <w:bottom w:val="none" w:sz="0" w:space="0" w:color="auto"/>
            <w:right w:val="none" w:sz="0" w:space="0" w:color="auto"/>
          </w:divBdr>
          <w:divsChild>
            <w:div w:id="1728840550">
              <w:marLeft w:val="0"/>
              <w:marRight w:val="0"/>
              <w:marTop w:val="0"/>
              <w:marBottom w:val="0"/>
              <w:divBdr>
                <w:top w:val="none" w:sz="0" w:space="0" w:color="auto"/>
                <w:left w:val="none" w:sz="0" w:space="0" w:color="auto"/>
                <w:bottom w:val="none" w:sz="0" w:space="0" w:color="auto"/>
                <w:right w:val="none" w:sz="0" w:space="0" w:color="auto"/>
              </w:divBdr>
            </w:div>
          </w:divsChild>
        </w:div>
        <w:div w:id="2072074547">
          <w:marLeft w:val="0"/>
          <w:marRight w:val="0"/>
          <w:marTop w:val="0"/>
          <w:marBottom w:val="0"/>
          <w:divBdr>
            <w:top w:val="none" w:sz="0" w:space="0" w:color="auto"/>
            <w:left w:val="none" w:sz="0" w:space="0" w:color="auto"/>
            <w:bottom w:val="none" w:sz="0" w:space="0" w:color="auto"/>
            <w:right w:val="none" w:sz="0" w:space="0" w:color="auto"/>
          </w:divBdr>
          <w:divsChild>
            <w:div w:id="760027338">
              <w:marLeft w:val="0"/>
              <w:marRight w:val="0"/>
              <w:marTop w:val="0"/>
              <w:marBottom w:val="0"/>
              <w:divBdr>
                <w:top w:val="none" w:sz="0" w:space="0" w:color="auto"/>
                <w:left w:val="none" w:sz="0" w:space="0" w:color="auto"/>
                <w:bottom w:val="none" w:sz="0" w:space="0" w:color="auto"/>
                <w:right w:val="none" w:sz="0" w:space="0" w:color="auto"/>
              </w:divBdr>
            </w:div>
          </w:divsChild>
        </w:div>
        <w:div w:id="2079400102">
          <w:marLeft w:val="0"/>
          <w:marRight w:val="0"/>
          <w:marTop w:val="0"/>
          <w:marBottom w:val="0"/>
          <w:divBdr>
            <w:top w:val="none" w:sz="0" w:space="0" w:color="auto"/>
            <w:left w:val="none" w:sz="0" w:space="0" w:color="auto"/>
            <w:bottom w:val="none" w:sz="0" w:space="0" w:color="auto"/>
            <w:right w:val="none" w:sz="0" w:space="0" w:color="auto"/>
          </w:divBdr>
          <w:divsChild>
            <w:div w:id="1620724844">
              <w:marLeft w:val="0"/>
              <w:marRight w:val="0"/>
              <w:marTop w:val="0"/>
              <w:marBottom w:val="0"/>
              <w:divBdr>
                <w:top w:val="none" w:sz="0" w:space="0" w:color="auto"/>
                <w:left w:val="none" w:sz="0" w:space="0" w:color="auto"/>
                <w:bottom w:val="none" w:sz="0" w:space="0" w:color="auto"/>
                <w:right w:val="none" w:sz="0" w:space="0" w:color="auto"/>
              </w:divBdr>
            </w:div>
          </w:divsChild>
        </w:div>
        <w:div w:id="2112775323">
          <w:marLeft w:val="0"/>
          <w:marRight w:val="0"/>
          <w:marTop w:val="0"/>
          <w:marBottom w:val="0"/>
          <w:divBdr>
            <w:top w:val="none" w:sz="0" w:space="0" w:color="auto"/>
            <w:left w:val="none" w:sz="0" w:space="0" w:color="auto"/>
            <w:bottom w:val="none" w:sz="0" w:space="0" w:color="auto"/>
            <w:right w:val="none" w:sz="0" w:space="0" w:color="auto"/>
          </w:divBdr>
          <w:divsChild>
            <w:div w:id="893807880">
              <w:marLeft w:val="0"/>
              <w:marRight w:val="0"/>
              <w:marTop w:val="0"/>
              <w:marBottom w:val="0"/>
              <w:divBdr>
                <w:top w:val="none" w:sz="0" w:space="0" w:color="auto"/>
                <w:left w:val="none" w:sz="0" w:space="0" w:color="auto"/>
                <w:bottom w:val="none" w:sz="0" w:space="0" w:color="auto"/>
                <w:right w:val="none" w:sz="0" w:space="0" w:color="auto"/>
              </w:divBdr>
            </w:div>
          </w:divsChild>
        </w:div>
        <w:div w:id="2127118489">
          <w:marLeft w:val="0"/>
          <w:marRight w:val="0"/>
          <w:marTop w:val="0"/>
          <w:marBottom w:val="0"/>
          <w:divBdr>
            <w:top w:val="none" w:sz="0" w:space="0" w:color="auto"/>
            <w:left w:val="none" w:sz="0" w:space="0" w:color="auto"/>
            <w:bottom w:val="none" w:sz="0" w:space="0" w:color="auto"/>
            <w:right w:val="none" w:sz="0" w:space="0" w:color="auto"/>
          </w:divBdr>
          <w:divsChild>
            <w:div w:id="178815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827981">
      <w:bodyDiv w:val="1"/>
      <w:marLeft w:val="0"/>
      <w:marRight w:val="0"/>
      <w:marTop w:val="0"/>
      <w:marBottom w:val="0"/>
      <w:divBdr>
        <w:top w:val="none" w:sz="0" w:space="0" w:color="auto"/>
        <w:left w:val="none" w:sz="0" w:space="0" w:color="auto"/>
        <w:bottom w:val="none" w:sz="0" w:space="0" w:color="auto"/>
        <w:right w:val="none" w:sz="0" w:space="0" w:color="auto"/>
      </w:divBdr>
    </w:div>
    <w:div w:id="1585649333">
      <w:bodyDiv w:val="1"/>
      <w:marLeft w:val="0"/>
      <w:marRight w:val="0"/>
      <w:marTop w:val="0"/>
      <w:marBottom w:val="0"/>
      <w:divBdr>
        <w:top w:val="none" w:sz="0" w:space="0" w:color="auto"/>
        <w:left w:val="none" w:sz="0" w:space="0" w:color="auto"/>
        <w:bottom w:val="none" w:sz="0" w:space="0" w:color="auto"/>
        <w:right w:val="none" w:sz="0" w:space="0" w:color="auto"/>
      </w:divBdr>
    </w:div>
    <w:div w:id="1587809634">
      <w:bodyDiv w:val="1"/>
      <w:marLeft w:val="0"/>
      <w:marRight w:val="0"/>
      <w:marTop w:val="0"/>
      <w:marBottom w:val="0"/>
      <w:divBdr>
        <w:top w:val="none" w:sz="0" w:space="0" w:color="auto"/>
        <w:left w:val="none" w:sz="0" w:space="0" w:color="auto"/>
        <w:bottom w:val="none" w:sz="0" w:space="0" w:color="auto"/>
        <w:right w:val="none" w:sz="0" w:space="0" w:color="auto"/>
      </w:divBdr>
    </w:div>
    <w:div w:id="1597518344">
      <w:bodyDiv w:val="1"/>
      <w:marLeft w:val="0"/>
      <w:marRight w:val="0"/>
      <w:marTop w:val="0"/>
      <w:marBottom w:val="0"/>
      <w:divBdr>
        <w:top w:val="none" w:sz="0" w:space="0" w:color="auto"/>
        <w:left w:val="none" w:sz="0" w:space="0" w:color="auto"/>
        <w:bottom w:val="none" w:sz="0" w:space="0" w:color="auto"/>
        <w:right w:val="none" w:sz="0" w:space="0" w:color="auto"/>
      </w:divBdr>
    </w:div>
    <w:div w:id="1614097405">
      <w:bodyDiv w:val="1"/>
      <w:marLeft w:val="0"/>
      <w:marRight w:val="0"/>
      <w:marTop w:val="0"/>
      <w:marBottom w:val="0"/>
      <w:divBdr>
        <w:top w:val="none" w:sz="0" w:space="0" w:color="auto"/>
        <w:left w:val="none" w:sz="0" w:space="0" w:color="auto"/>
        <w:bottom w:val="none" w:sz="0" w:space="0" w:color="auto"/>
        <w:right w:val="none" w:sz="0" w:space="0" w:color="auto"/>
      </w:divBdr>
    </w:div>
    <w:div w:id="1625387929">
      <w:bodyDiv w:val="1"/>
      <w:marLeft w:val="0"/>
      <w:marRight w:val="0"/>
      <w:marTop w:val="0"/>
      <w:marBottom w:val="0"/>
      <w:divBdr>
        <w:top w:val="none" w:sz="0" w:space="0" w:color="auto"/>
        <w:left w:val="none" w:sz="0" w:space="0" w:color="auto"/>
        <w:bottom w:val="none" w:sz="0" w:space="0" w:color="auto"/>
        <w:right w:val="none" w:sz="0" w:space="0" w:color="auto"/>
      </w:divBdr>
    </w:div>
    <w:div w:id="1634486080">
      <w:bodyDiv w:val="1"/>
      <w:marLeft w:val="0"/>
      <w:marRight w:val="0"/>
      <w:marTop w:val="0"/>
      <w:marBottom w:val="0"/>
      <w:divBdr>
        <w:top w:val="none" w:sz="0" w:space="0" w:color="auto"/>
        <w:left w:val="none" w:sz="0" w:space="0" w:color="auto"/>
        <w:bottom w:val="none" w:sz="0" w:space="0" w:color="auto"/>
        <w:right w:val="none" w:sz="0" w:space="0" w:color="auto"/>
      </w:divBdr>
    </w:div>
    <w:div w:id="1689527262">
      <w:bodyDiv w:val="1"/>
      <w:marLeft w:val="0"/>
      <w:marRight w:val="0"/>
      <w:marTop w:val="0"/>
      <w:marBottom w:val="0"/>
      <w:divBdr>
        <w:top w:val="none" w:sz="0" w:space="0" w:color="auto"/>
        <w:left w:val="none" w:sz="0" w:space="0" w:color="auto"/>
        <w:bottom w:val="none" w:sz="0" w:space="0" w:color="auto"/>
        <w:right w:val="none" w:sz="0" w:space="0" w:color="auto"/>
      </w:divBdr>
    </w:div>
    <w:div w:id="1733387266">
      <w:bodyDiv w:val="1"/>
      <w:marLeft w:val="0"/>
      <w:marRight w:val="0"/>
      <w:marTop w:val="0"/>
      <w:marBottom w:val="0"/>
      <w:divBdr>
        <w:top w:val="none" w:sz="0" w:space="0" w:color="auto"/>
        <w:left w:val="none" w:sz="0" w:space="0" w:color="auto"/>
        <w:bottom w:val="none" w:sz="0" w:space="0" w:color="auto"/>
        <w:right w:val="none" w:sz="0" w:space="0" w:color="auto"/>
      </w:divBdr>
    </w:div>
    <w:div w:id="1759516182">
      <w:bodyDiv w:val="1"/>
      <w:marLeft w:val="0"/>
      <w:marRight w:val="0"/>
      <w:marTop w:val="0"/>
      <w:marBottom w:val="0"/>
      <w:divBdr>
        <w:top w:val="none" w:sz="0" w:space="0" w:color="auto"/>
        <w:left w:val="none" w:sz="0" w:space="0" w:color="auto"/>
        <w:bottom w:val="none" w:sz="0" w:space="0" w:color="auto"/>
        <w:right w:val="none" w:sz="0" w:space="0" w:color="auto"/>
      </w:divBdr>
    </w:div>
    <w:div w:id="1762606419">
      <w:bodyDiv w:val="1"/>
      <w:marLeft w:val="0"/>
      <w:marRight w:val="0"/>
      <w:marTop w:val="0"/>
      <w:marBottom w:val="0"/>
      <w:divBdr>
        <w:top w:val="none" w:sz="0" w:space="0" w:color="auto"/>
        <w:left w:val="none" w:sz="0" w:space="0" w:color="auto"/>
        <w:bottom w:val="none" w:sz="0" w:space="0" w:color="auto"/>
        <w:right w:val="none" w:sz="0" w:space="0" w:color="auto"/>
      </w:divBdr>
    </w:div>
    <w:div w:id="1766534522">
      <w:bodyDiv w:val="1"/>
      <w:marLeft w:val="0"/>
      <w:marRight w:val="0"/>
      <w:marTop w:val="0"/>
      <w:marBottom w:val="0"/>
      <w:divBdr>
        <w:top w:val="none" w:sz="0" w:space="0" w:color="auto"/>
        <w:left w:val="none" w:sz="0" w:space="0" w:color="auto"/>
        <w:bottom w:val="none" w:sz="0" w:space="0" w:color="auto"/>
        <w:right w:val="none" w:sz="0" w:space="0" w:color="auto"/>
      </w:divBdr>
      <w:divsChild>
        <w:div w:id="129328927">
          <w:marLeft w:val="0"/>
          <w:marRight w:val="0"/>
          <w:marTop w:val="0"/>
          <w:marBottom w:val="0"/>
          <w:divBdr>
            <w:top w:val="none" w:sz="0" w:space="0" w:color="auto"/>
            <w:left w:val="none" w:sz="0" w:space="0" w:color="auto"/>
            <w:bottom w:val="none" w:sz="0" w:space="0" w:color="auto"/>
            <w:right w:val="none" w:sz="0" w:space="0" w:color="auto"/>
          </w:divBdr>
          <w:divsChild>
            <w:div w:id="1914582777">
              <w:marLeft w:val="0"/>
              <w:marRight w:val="0"/>
              <w:marTop w:val="0"/>
              <w:marBottom w:val="0"/>
              <w:divBdr>
                <w:top w:val="none" w:sz="0" w:space="0" w:color="auto"/>
                <w:left w:val="none" w:sz="0" w:space="0" w:color="auto"/>
                <w:bottom w:val="none" w:sz="0" w:space="0" w:color="auto"/>
                <w:right w:val="none" w:sz="0" w:space="0" w:color="auto"/>
              </w:divBdr>
            </w:div>
          </w:divsChild>
        </w:div>
        <w:div w:id="179514268">
          <w:marLeft w:val="0"/>
          <w:marRight w:val="0"/>
          <w:marTop w:val="0"/>
          <w:marBottom w:val="0"/>
          <w:divBdr>
            <w:top w:val="none" w:sz="0" w:space="0" w:color="auto"/>
            <w:left w:val="none" w:sz="0" w:space="0" w:color="auto"/>
            <w:bottom w:val="none" w:sz="0" w:space="0" w:color="auto"/>
            <w:right w:val="none" w:sz="0" w:space="0" w:color="auto"/>
          </w:divBdr>
          <w:divsChild>
            <w:div w:id="501897733">
              <w:marLeft w:val="0"/>
              <w:marRight w:val="0"/>
              <w:marTop w:val="0"/>
              <w:marBottom w:val="0"/>
              <w:divBdr>
                <w:top w:val="none" w:sz="0" w:space="0" w:color="auto"/>
                <w:left w:val="none" w:sz="0" w:space="0" w:color="auto"/>
                <w:bottom w:val="none" w:sz="0" w:space="0" w:color="auto"/>
                <w:right w:val="none" w:sz="0" w:space="0" w:color="auto"/>
              </w:divBdr>
            </w:div>
          </w:divsChild>
        </w:div>
        <w:div w:id="189799142">
          <w:marLeft w:val="0"/>
          <w:marRight w:val="0"/>
          <w:marTop w:val="0"/>
          <w:marBottom w:val="0"/>
          <w:divBdr>
            <w:top w:val="none" w:sz="0" w:space="0" w:color="auto"/>
            <w:left w:val="none" w:sz="0" w:space="0" w:color="auto"/>
            <w:bottom w:val="none" w:sz="0" w:space="0" w:color="auto"/>
            <w:right w:val="none" w:sz="0" w:space="0" w:color="auto"/>
          </w:divBdr>
          <w:divsChild>
            <w:div w:id="57680161">
              <w:marLeft w:val="0"/>
              <w:marRight w:val="0"/>
              <w:marTop w:val="0"/>
              <w:marBottom w:val="0"/>
              <w:divBdr>
                <w:top w:val="none" w:sz="0" w:space="0" w:color="auto"/>
                <w:left w:val="none" w:sz="0" w:space="0" w:color="auto"/>
                <w:bottom w:val="none" w:sz="0" w:space="0" w:color="auto"/>
                <w:right w:val="none" w:sz="0" w:space="0" w:color="auto"/>
              </w:divBdr>
            </w:div>
          </w:divsChild>
        </w:div>
        <w:div w:id="204680604">
          <w:marLeft w:val="0"/>
          <w:marRight w:val="0"/>
          <w:marTop w:val="0"/>
          <w:marBottom w:val="0"/>
          <w:divBdr>
            <w:top w:val="none" w:sz="0" w:space="0" w:color="auto"/>
            <w:left w:val="none" w:sz="0" w:space="0" w:color="auto"/>
            <w:bottom w:val="none" w:sz="0" w:space="0" w:color="auto"/>
            <w:right w:val="none" w:sz="0" w:space="0" w:color="auto"/>
          </w:divBdr>
          <w:divsChild>
            <w:div w:id="106118205">
              <w:marLeft w:val="0"/>
              <w:marRight w:val="0"/>
              <w:marTop w:val="0"/>
              <w:marBottom w:val="0"/>
              <w:divBdr>
                <w:top w:val="none" w:sz="0" w:space="0" w:color="auto"/>
                <w:left w:val="none" w:sz="0" w:space="0" w:color="auto"/>
                <w:bottom w:val="none" w:sz="0" w:space="0" w:color="auto"/>
                <w:right w:val="none" w:sz="0" w:space="0" w:color="auto"/>
              </w:divBdr>
            </w:div>
          </w:divsChild>
        </w:div>
        <w:div w:id="238634982">
          <w:marLeft w:val="0"/>
          <w:marRight w:val="0"/>
          <w:marTop w:val="0"/>
          <w:marBottom w:val="0"/>
          <w:divBdr>
            <w:top w:val="none" w:sz="0" w:space="0" w:color="auto"/>
            <w:left w:val="none" w:sz="0" w:space="0" w:color="auto"/>
            <w:bottom w:val="none" w:sz="0" w:space="0" w:color="auto"/>
            <w:right w:val="none" w:sz="0" w:space="0" w:color="auto"/>
          </w:divBdr>
          <w:divsChild>
            <w:div w:id="90123384">
              <w:marLeft w:val="0"/>
              <w:marRight w:val="0"/>
              <w:marTop w:val="0"/>
              <w:marBottom w:val="0"/>
              <w:divBdr>
                <w:top w:val="none" w:sz="0" w:space="0" w:color="auto"/>
                <w:left w:val="none" w:sz="0" w:space="0" w:color="auto"/>
                <w:bottom w:val="none" w:sz="0" w:space="0" w:color="auto"/>
                <w:right w:val="none" w:sz="0" w:space="0" w:color="auto"/>
              </w:divBdr>
            </w:div>
          </w:divsChild>
        </w:div>
        <w:div w:id="245194498">
          <w:marLeft w:val="0"/>
          <w:marRight w:val="0"/>
          <w:marTop w:val="0"/>
          <w:marBottom w:val="0"/>
          <w:divBdr>
            <w:top w:val="none" w:sz="0" w:space="0" w:color="auto"/>
            <w:left w:val="none" w:sz="0" w:space="0" w:color="auto"/>
            <w:bottom w:val="none" w:sz="0" w:space="0" w:color="auto"/>
            <w:right w:val="none" w:sz="0" w:space="0" w:color="auto"/>
          </w:divBdr>
          <w:divsChild>
            <w:div w:id="1972587032">
              <w:marLeft w:val="0"/>
              <w:marRight w:val="0"/>
              <w:marTop w:val="0"/>
              <w:marBottom w:val="0"/>
              <w:divBdr>
                <w:top w:val="none" w:sz="0" w:space="0" w:color="auto"/>
                <w:left w:val="none" w:sz="0" w:space="0" w:color="auto"/>
                <w:bottom w:val="none" w:sz="0" w:space="0" w:color="auto"/>
                <w:right w:val="none" w:sz="0" w:space="0" w:color="auto"/>
              </w:divBdr>
            </w:div>
          </w:divsChild>
        </w:div>
        <w:div w:id="273948286">
          <w:marLeft w:val="0"/>
          <w:marRight w:val="0"/>
          <w:marTop w:val="0"/>
          <w:marBottom w:val="0"/>
          <w:divBdr>
            <w:top w:val="none" w:sz="0" w:space="0" w:color="auto"/>
            <w:left w:val="none" w:sz="0" w:space="0" w:color="auto"/>
            <w:bottom w:val="none" w:sz="0" w:space="0" w:color="auto"/>
            <w:right w:val="none" w:sz="0" w:space="0" w:color="auto"/>
          </w:divBdr>
          <w:divsChild>
            <w:div w:id="738673879">
              <w:marLeft w:val="0"/>
              <w:marRight w:val="0"/>
              <w:marTop w:val="0"/>
              <w:marBottom w:val="0"/>
              <w:divBdr>
                <w:top w:val="none" w:sz="0" w:space="0" w:color="auto"/>
                <w:left w:val="none" w:sz="0" w:space="0" w:color="auto"/>
                <w:bottom w:val="none" w:sz="0" w:space="0" w:color="auto"/>
                <w:right w:val="none" w:sz="0" w:space="0" w:color="auto"/>
              </w:divBdr>
            </w:div>
          </w:divsChild>
        </w:div>
        <w:div w:id="296840594">
          <w:marLeft w:val="0"/>
          <w:marRight w:val="0"/>
          <w:marTop w:val="0"/>
          <w:marBottom w:val="0"/>
          <w:divBdr>
            <w:top w:val="none" w:sz="0" w:space="0" w:color="auto"/>
            <w:left w:val="none" w:sz="0" w:space="0" w:color="auto"/>
            <w:bottom w:val="none" w:sz="0" w:space="0" w:color="auto"/>
            <w:right w:val="none" w:sz="0" w:space="0" w:color="auto"/>
          </w:divBdr>
          <w:divsChild>
            <w:div w:id="284969336">
              <w:marLeft w:val="0"/>
              <w:marRight w:val="0"/>
              <w:marTop w:val="0"/>
              <w:marBottom w:val="0"/>
              <w:divBdr>
                <w:top w:val="none" w:sz="0" w:space="0" w:color="auto"/>
                <w:left w:val="none" w:sz="0" w:space="0" w:color="auto"/>
                <w:bottom w:val="none" w:sz="0" w:space="0" w:color="auto"/>
                <w:right w:val="none" w:sz="0" w:space="0" w:color="auto"/>
              </w:divBdr>
            </w:div>
          </w:divsChild>
        </w:div>
        <w:div w:id="305429500">
          <w:marLeft w:val="0"/>
          <w:marRight w:val="0"/>
          <w:marTop w:val="0"/>
          <w:marBottom w:val="0"/>
          <w:divBdr>
            <w:top w:val="none" w:sz="0" w:space="0" w:color="auto"/>
            <w:left w:val="none" w:sz="0" w:space="0" w:color="auto"/>
            <w:bottom w:val="none" w:sz="0" w:space="0" w:color="auto"/>
            <w:right w:val="none" w:sz="0" w:space="0" w:color="auto"/>
          </w:divBdr>
          <w:divsChild>
            <w:div w:id="759256537">
              <w:marLeft w:val="0"/>
              <w:marRight w:val="0"/>
              <w:marTop w:val="0"/>
              <w:marBottom w:val="0"/>
              <w:divBdr>
                <w:top w:val="none" w:sz="0" w:space="0" w:color="auto"/>
                <w:left w:val="none" w:sz="0" w:space="0" w:color="auto"/>
                <w:bottom w:val="none" w:sz="0" w:space="0" w:color="auto"/>
                <w:right w:val="none" w:sz="0" w:space="0" w:color="auto"/>
              </w:divBdr>
            </w:div>
          </w:divsChild>
        </w:div>
        <w:div w:id="321085837">
          <w:marLeft w:val="0"/>
          <w:marRight w:val="0"/>
          <w:marTop w:val="0"/>
          <w:marBottom w:val="0"/>
          <w:divBdr>
            <w:top w:val="none" w:sz="0" w:space="0" w:color="auto"/>
            <w:left w:val="none" w:sz="0" w:space="0" w:color="auto"/>
            <w:bottom w:val="none" w:sz="0" w:space="0" w:color="auto"/>
            <w:right w:val="none" w:sz="0" w:space="0" w:color="auto"/>
          </w:divBdr>
          <w:divsChild>
            <w:div w:id="1160466615">
              <w:marLeft w:val="0"/>
              <w:marRight w:val="0"/>
              <w:marTop w:val="0"/>
              <w:marBottom w:val="0"/>
              <w:divBdr>
                <w:top w:val="none" w:sz="0" w:space="0" w:color="auto"/>
                <w:left w:val="none" w:sz="0" w:space="0" w:color="auto"/>
                <w:bottom w:val="none" w:sz="0" w:space="0" w:color="auto"/>
                <w:right w:val="none" w:sz="0" w:space="0" w:color="auto"/>
              </w:divBdr>
            </w:div>
          </w:divsChild>
        </w:div>
        <w:div w:id="340208814">
          <w:marLeft w:val="0"/>
          <w:marRight w:val="0"/>
          <w:marTop w:val="0"/>
          <w:marBottom w:val="0"/>
          <w:divBdr>
            <w:top w:val="none" w:sz="0" w:space="0" w:color="auto"/>
            <w:left w:val="none" w:sz="0" w:space="0" w:color="auto"/>
            <w:bottom w:val="none" w:sz="0" w:space="0" w:color="auto"/>
            <w:right w:val="none" w:sz="0" w:space="0" w:color="auto"/>
          </w:divBdr>
          <w:divsChild>
            <w:div w:id="747770638">
              <w:marLeft w:val="0"/>
              <w:marRight w:val="0"/>
              <w:marTop w:val="0"/>
              <w:marBottom w:val="0"/>
              <w:divBdr>
                <w:top w:val="none" w:sz="0" w:space="0" w:color="auto"/>
                <w:left w:val="none" w:sz="0" w:space="0" w:color="auto"/>
                <w:bottom w:val="none" w:sz="0" w:space="0" w:color="auto"/>
                <w:right w:val="none" w:sz="0" w:space="0" w:color="auto"/>
              </w:divBdr>
            </w:div>
          </w:divsChild>
        </w:div>
        <w:div w:id="346907799">
          <w:marLeft w:val="0"/>
          <w:marRight w:val="0"/>
          <w:marTop w:val="0"/>
          <w:marBottom w:val="0"/>
          <w:divBdr>
            <w:top w:val="none" w:sz="0" w:space="0" w:color="auto"/>
            <w:left w:val="none" w:sz="0" w:space="0" w:color="auto"/>
            <w:bottom w:val="none" w:sz="0" w:space="0" w:color="auto"/>
            <w:right w:val="none" w:sz="0" w:space="0" w:color="auto"/>
          </w:divBdr>
          <w:divsChild>
            <w:div w:id="745155177">
              <w:marLeft w:val="0"/>
              <w:marRight w:val="0"/>
              <w:marTop w:val="0"/>
              <w:marBottom w:val="0"/>
              <w:divBdr>
                <w:top w:val="none" w:sz="0" w:space="0" w:color="auto"/>
                <w:left w:val="none" w:sz="0" w:space="0" w:color="auto"/>
                <w:bottom w:val="none" w:sz="0" w:space="0" w:color="auto"/>
                <w:right w:val="none" w:sz="0" w:space="0" w:color="auto"/>
              </w:divBdr>
            </w:div>
          </w:divsChild>
        </w:div>
        <w:div w:id="362676305">
          <w:marLeft w:val="0"/>
          <w:marRight w:val="0"/>
          <w:marTop w:val="0"/>
          <w:marBottom w:val="0"/>
          <w:divBdr>
            <w:top w:val="none" w:sz="0" w:space="0" w:color="auto"/>
            <w:left w:val="none" w:sz="0" w:space="0" w:color="auto"/>
            <w:bottom w:val="none" w:sz="0" w:space="0" w:color="auto"/>
            <w:right w:val="none" w:sz="0" w:space="0" w:color="auto"/>
          </w:divBdr>
          <w:divsChild>
            <w:div w:id="1568762271">
              <w:marLeft w:val="0"/>
              <w:marRight w:val="0"/>
              <w:marTop w:val="0"/>
              <w:marBottom w:val="0"/>
              <w:divBdr>
                <w:top w:val="none" w:sz="0" w:space="0" w:color="auto"/>
                <w:left w:val="none" w:sz="0" w:space="0" w:color="auto"/>
                <w:bottom w:val="none" w:sz="0" w:space="0" w:color="auto"/>
                <w:right w:val="none" w:sz="0" w:space="0" w:color="auto"/>
              </w:divBdr>
            </w:div>
          </w:divsChild>
        </w:div>
        <w:div w:id="400519967">
          <w:marLeft w:val="0"/>
          <w:marRight w:val="0"/>
          <w:marTop w:val="0"/>
          <w:marBottom w:val="0"/>
          <w:divBdr>
            <w:top w:val="none" w:sz="0" w:space="0" w:color="auto"/>
            <w:left w:val="none" w:sz="0" w:space="0" w:color="auto"/>
            <w:bottom w:val="none" w:sz="0" w:space="0" w:color="auto"/>
            <w:right w:val="none" w:sz="0" w:space="0" w:color="auto"/>
          </w:divBdr>
          <w:divsChild>
            <w:div w:id="408190652">
              <w:marLeft w:val="0"/>
              <w:marRight w:val="0"/>
              <w:marTop w:val="0"/>
              <w:marBottom w:val="0"/>
              <w:divBdr>
                <w:top w:val="none" w:sz="0" w:space="0" w:color="auto"/>
                <w:left w:val="none" w:sz="0" w:space="0" w:color="auto"/>
                <w:bottom w:val="none" w:sz="0" w:space="0" w:color="auto"/>
                <w:right w:val="none" w:sz="0" w:space="0" w:color="auto"/>
              </w:divBdr>
            </w:div>
          </w:divsChild>
        </w:div>
        <w:div w:id="414984814">
          <w:marLeft w:val="0"/>
          <w:marRight w:val="0"/>
          <w:marTop w:val="0"/>
          <w:marBottom w:val="0"/>
          <w:divBdr>
            <w:top w:val="none" w:sz="0" w:space="0" w:color="auto"/>
            <w:left w:val="none" w:sz="0" w:space="0" w:color="auto"/>
            <w:bottom w:val="none" w:sz="0" w:space="0" w:color="auto"/>
            <w:right w:val="none" w:sz="0" w:space="0" w:color="auto"/>
          </w:divBdr>
          <w:divsChild>
            <w:div w:id="1240017713">
              <w:marLeft w:val="0"/>
              <w:marRight w:val="0"/>
              <w:marTop w:val="0"/>
              <w:marBottom w:val="0"/>
              <w:divBdr>
                <w:top w:val="none" w:sz="0" w:space="0" w:color="auto"/>
                <w:left w:val="none" w:sz="0" w:space="0" w:color="auto"/>
                <w:bottom w:val="none" w:sz="0" w:space="0" w:color="auto"/>
                <w:right w:val="none" w:sz="0" w:space="0" w:color="auto"/>
              </w:divBdr>
            </w:div>
          </w:divsChild>
        </w:div>
        <w:div w:id="440075883">
          <w:marLeft w:val="0"/>
          <w:marRight w:val="0"/>
          <w:marTop w:val="0"/>
          <w:marBottom w:val="0"/>
          <w:divBdr>
            <w:top w:val="none" w:sz="0" w:space="0" w:color="auto"/>
            <w:left w:val="none" w:sz="0" w:space="0" w:color="auto"/>
            <w:bottom w:val="none" w:sz="0" w:space="0" w:color="auto"/>
            <w:right w:val="none" w:sz="0" w:space="0" w:color="auto"/>
          </w:divBdr>
          <w:divsChild>
            <w:div w:id="320693442">
              <w:marLeft w:val="0"/>
              <w:marRight w:val="0"/>
              <w:marTop w:val="0"/>
              <w:marBottom w:val="0"/>
              <w:divBdr>
                <w:top w:val="none" w:sz="0" w:space="0" w:color="auto"/>
                <w:left w:val="none" w:sz="0" w:space="0" w:color="auto"/>
                <w:bottom w:val="none" w:sz="0" w:space="0" w:color="auto"/>
                <w:right w:val="none" w:sz="0" w:space="0" w:color="auto"/>
              </w:divBdr>
            </w:div>
          </w:divsChild>
        </w:div>
        <w:div w:id="451479805">
          <w:marLeft w:val="0"/>
          <w:marRight w:val="0"/>
          <w:marTop w:val="0"/>
          <w:marBottom w:val="0"/>
          <w:divBdr>
            <w:top w:val="none" w:sz="0" w:space="0" w:color="auto"/>
            <w:left w:val="none" w:sz="0" w:space="0" w:color="auto"/>
            <w:bottom w:val="none" w:sz="0" w:space="0" w:color="auto"/>
            <w:right w:val="none" w:sz="0" w:space="0" w:color="auto"/>
          </w:divBdr>
          <w:divsChild>
            <w:div w:id="1109158436">
              <w:marLeft w:val="0"/>
              <w:marRight w:val="0"/>
              <w:marTop w:val="0"/>
              <w:marBottom w:val="0"/>
              <w:divBdr>
                <w:top w:val="none" w:sz="0" w:space="0" w:color="auto"/>
                <w:left w:val="none" w:sz="0" w:space="0" w:color="auto"/>
                <w:bottom w:val="none" w:sz="0" w:space="0" w:color="auto"/>
                <w:right w:val="none" w:sz="0" w:space="0" w:color="auto"/>
              </w:divBdr>
            </w:div>
          </w:divsChild>
        </w:div>
        <w:div w:id="525873936">
          <w:marLeft w:val="0"/>
          <w:marRight w:val="0"/>
          <w:marTop w:val="0"/>
          <w:marBottom w:val="0"/>
          <w:divBdr>
            <w:top w:val="none" w:sz="0" w:space="0" w:color="auto"/>
            <w:left w:val="none" w:sz="0" w:space="0" w:color="auto"/>
            <w:bottom w:val="none" w:sz="0" w:space="0" w:color="auto"/>
            <w:right w:val="none" w:sz="0" w:space="0" w:color="auto"/>
          </w:divBdr>
          <w:divsChild>
            <w:div w:id="651983524">
              <w:marLeft w:val="0"/>
              <w:marRight w:val="0"/>
              <w:marTop w:val="0"/>
              <w:marBottom w:val="0"/>
              <w:divBdr>
                <w:top w:val="none" w:sz="0" w:space="0" w:color="auto"/>
                <w:left w:val="none" w:sz="0" w:space="0" w:color="auto"/>
                <w:bottom w:val="none" w:sz="0" w:space="0" w:color="auto"/>
                <w:right w:val="none" w:sz="0" w:space="0" w:color="auto"/>
              </w:divBdr>
            </w:div>
          </w:divsChild>
        </w:div>
        <w:div w:id="585765917">
          <w:marLeft w:val="0"/>
          <w:marRight w:val="0"/>
          <w:marTop w:val="0"/>
          <w:marBottom w:val="0"/>
          <w:divBdr>
            <w:top w:val="none" w:sz="0" w:space="0" w:color="auto"/>
            <w:left w:val="none" w:sz="0" w:space="0" w:color="auto"/>
            <w:bottom w:val="none" w:sz="0" w:space="0" w:color="auto"/>
            <w:right w:val="none" w:sz="0" w:space="0" w:color="auto"/>
          </w:divBdr>
          <w:divsChild>
            <w:div w:id="986472973">
              <w:marLeft w:val="0"/>
              <w:marRight w:val="0"/>
              <w:marTop w:val="0"/>
              <w:marBottom w:val="0"/>
              <w:divBdr>
                <w:top w:val="none" w:sz="0" w:space="0" w:color="auto"/>
                <w:left w:val="none" w:sz="0" w:space="0" w:color="auto"/>
                <w:bottom w:val="none" w:sz="0" w:space="0" w:color="auto"/>
                <w:right w:val="none" w:sz="0" w:space="0" w:color="auto"/>
              </w:divBdr>
            </w:div>
          </w:divsChild>
        </w:div>
        <w:div w:id="594288300">
          <w:marLeft w:val="0"/>
          <w:marRight w:val="0"/>
          <w:marTop w:val="0"/>
          <w:marBottom w:val="0"/>
          <w:divBdr>
            <w:top w:val="none" w:sz="0" w:space="0" w:color="auto"/>
            <w:left w:val="none" w:sz="0" w:space="0" w:color="auto"/>
            <w:bottom w:val="none" w:sz="0" w:space="0" w:color="auto"/>
            <w:right w:val="none" w:sz="0" w:space="0" w:color="auto"/>
          </w:divBdr>
          <w:divsChild>
            <w:div w:id="294217603">
              <w:marLeft w:val="0"/>
              <w:marRight w:val="0"/>
              <w:marTop w:val="0"/>
              <w:marBottom w:val="0"/>
              <w:divBdr>
                <w:top w:val="none" w:sz="0" w:space="0" w:color="auto"/>
                <w:left w:val="none" w:sz="0" w:space="0" w:color="auto"/>
                <w:bottom w:val="none" w:sz="0" w:space="0" w:color="auto"/>
                <w:right w:val="none" w:sz="0" w:space="0" w:color="auto"/>
              </w:divBdr>
            </w:div>
          </w:divsChild>
        </w:div>
        <w:div w:id="628363489">
          <w:marLeft w:val="0"/>
          <w:marRight w:val="0"/>
          <w:marTop w:val="0"/>
          <w:marBottom w:val="0"/>
          <w:divBdr>
            <w:top w:val="none" w:sz="0" w:space="0" w:color="auto"/>
            <w:left w:val="none" w:sz="0" w:space="0" w:color="auto"/>
            <w:bottom w:val="none" w:sz="0" w:space="0" w:color="auto"/>
            <w:right w:val="none" w:sz="0" w:space="0" w:color="auto"/>
          </w:divBdr>
          <w:divsChild>
            <w:div w:id="1600795639">
              <w:marLeft w:val="0"/>
              <w:marRight w:val="0"/>
              <w:marTop w:val="0"/>
              <w:marBottom w:val="0"/>
              <w:divBdr>
                <w:top w:val="none" w:sz="0" w:space="0" w:color="auto"/>
                <w:left w:val="none" w:sz="0" w:space="0" w:color="auto"/>
                <w:bottom w:val="none" w:sz="0" w:space="0" w:color="auto"/>
                <w:right w:val="none" w:sz="0" w:space="0" w:color="auto"/>
              </w:divBdr>
            </w:div>
            <w:div w:id="1707751340">
              <w:marLeft w:val="0"/>
              <w:marRight w:val="0"/>
              <w:marTop w:val="0"/>
              <w:marBottom w:val="0"/>
              <w:divBdr>
                <w:top w:val="none" w:sz="0" w:space="0" w:color="auto"/>
                <w:left w:val="none" w:sz="0" w:space="0" w:color="auto"/>
                <w:bottom w:val="none" w:sz="0" w:space="0" w:color="auto"/>
                <w:right w:val="none" w:sz="0" w:space="0" w:color="auto"/>
              </w:divBdr>
            </w:div>
          </w:divsChild>
        </w:div>
        <w:div w:id="673842344">
          <w:marLeft w:val="0"/>
          <w:marRight w:val="0"/>
          <w:marTop w:val="0"/>
          <w:marBottom w:val="0"/>
          <w:divBdr>
            <w:top w:val="none" w:sz="0" w:space="0" w:color="auto"/>
            <w:left w:val="none" w:sz="0" w:space="0" w:color="auto"/>
            <w:bottom w:val="none" w:sz="0" w:space="0" w:color="auto"/>
            <w:right w:val="none" w:sz="0" w:space="0" w:color="auto"/>
          </w:divBdr>
          <w:divsChild>
            <w:div w:id="1496799086">
              <w:marLeft w:val="0"/>
              <w:marRight w:val="0"/>
              <w:marTop w:val="0"/>
              <w:marBottom w:val="0"/>
              <w:divBdr>
                <w:top w:val="none" w:sz="0" w:space="0" w:color="auto"/>
                <w:left w:val="none" w:sz="0" w:space="0" w:color="auto"/>
                <w:bottom w:val="none" w:sz="0" w:space="0" w:color="auto"/>
                <w:right w:val="none" w:sz="0" w:space="0" w:color="auto"/>
              </w:divBdr>
            </w:div>
          </w:divsChild>
        </w:div>
        <w:div w:id="677120190">
          <w:marLeft w:val="0"/>
          <w:marRight w:val="0"/>
          <w:marTop w:val="0"/>
          <w:marBottom w:val="0"/>
          <w:divBdr>
            <w:top w:val="none" w:sz="0" w:space="0" w:color="auto"/>
            <w:left w:val="none" w:sz="0" w:space="0" w:color="auto"/>
            <w:bottom w:val="none" w:sz="0" w:space="0" w:color="auto"/>
            <w:right w:val="none" w:sz="0" w:space="0" w:color="auto"/>
          </w:divBdr>
          <w:divsChild>
            <w:div w:id="1999723934">
              <w:marLeft w:val="0"/>
              <w:marRight w:val="0"/>
              <w:marTop w:val="0"/>
              <w:marBottom w:val="0"/>
              <w:divBdr>
                <w:top w:val="none" w:sz="0" w:space="0" w:color="auto"/>
                <w:left w:val="none" w:sz="0" w:space="0" w:color="auto"/>
                <w:bottom w:val="none" w:sz="0" w:space="0" w:color="auto"/>
                <w:right w:val="none" w:sz="0" w:space="0" w:color="auto"/>
              </w:divBdr>
            </w:div>
          </w:divsChild>
        </w:div>
        <w:div w:id="686980628">
          <w:marLeft w:val="0"/>
          <w:marRight w:val="0"/>
          <w:marTop w:val="0"/>
          <w:marBottom w:val="0"/>
          <w:divBdr>
            <w:top w:val="none" w:sz="0" w:space="0" w:color="auto"/>
            <w:left w:val="none" w:sz="0" w:space="0" w:color="auto"/>
            <w:bottom w:val="none" w:sz="0" w:space="0" w:color="auto"/>
            <w:right w:val="none" w:sz="0" w:space="0" w:color="auto"/>
          </w:divBdr>
          <w:divsChild>
            <w:div w:id="1008287733">
              <w:marLeft w:val="0"/>
              <w:marRight w:val="0"/>
              <w:marTop w:val="0"/>
              <w:marBottom w:val="0"/>
              <w:divBdr>
                <w:top w:val="none" w:sz="0" w:space="0" w:color="auto"/>
                <w:left w:val="none" w:sz="0" w:space="0" w:color="auto"/>
                <w:bottom w:val="none" w:sz="0" w:space="0" w:color="auto"/>
                <w:right w:val="none" w:sz="0" w:space="0" w:color="auto"/>
              </w:divBdr>
            </w:div>
          </w:divsChild>
        </w:div>
        <w:div w:id="747773065">
          <w:marLeft w:val="0"/>
          <w:marRight w:val="0"/>
          <w:marTop w:val="0"/>
          <w:marBottom w:val="0"/>
          <w:divBdr>
            <w:top w:val="none" w:sz="0" w:space="0" w:color="auto"/>
            <w:left w:val="none" w:sz="0" w:space="0" w:color="auto"/>
            <w:bottom w:val="none" w:sz="0" w:space="0" w:color="auto"/>
            <w:right w:val="none" w:sz="0" w:space="0" w:color="auto"/>
          </w:divBdr>
          <w:divsChild>
            <w:div w:id="522326025">
              <w:marLeft w:val="0"/>
              <w:marRight w:val="0"/>
              <w:marTop w:val="0"/>
              <w:marBottom w:val="0"/>
              <w:divBdr>
                <w:top w:val="none" w:sz="0" w:space="0" w:color="auto"/>
                <w:left w:val="none" w:sz="0" w:space="0" w:color="auto"/>
                <w:bottom w:val="none" w:sz="0" w:space="0" w:color="auto"/>
                <w:right w:val="none" w:sz="0" w:space="0" w:color="auto"/>
              </w:divBdr>
            </w:div>
          </w:divsChild>
        </w:div>
        <w:div w:id="784883578">
          <w:marLeft w:val="0"/>
          <w:marRight w:val="0"/>
          <w:marTop w:val="0"/>
          <w:marBottom w:val="0"/>
          <w:divBdr>
            <w:top w:val="none" w:sz="0" w:space="0" w:color="auto"/>
            <w:left w:val="none" w:sz="0" w:space="0" w:color="auto"/>
            <w:bottom w:val="none" w:sz="0" w:space="0" w:color="auto"/>
            <w:right w:val="none" w:sz="0" w:space="0" w:color="auto"/>
          </w:divBdr>
          <w:divsChild>
            <w:div w:id="704258225">
              <w:marLeft w:val="0"/>
              <w:marRight w:val="0"/>
              <w:marTop w:val="0"/>
              <w:marBottom w:val="0"/>
              <w:divBdr>
                <w:top w:val="none" w:sz="0" w:space="0" w:color="auto"/>
                <w:left w:val="none" w:sz="0" w:space="0" w:color="auto"/>
                <w:bottom w:val="none" w:sz="0" w:space="0" w:color="auto"/>
                <w:right w:val="none" w:sz="0" w:space="0" w:color="auto"/>
              </w:divBdr>
            </w:div>
          </w:divsChild>
        </w:div>
        <w:div w:id="808977786">
          <w:marLeft w:val="0"/>
          <w:marRight w:val="0"/>
          <w:marTop w:val="0"/>
          <w:marBottom w:val="0"/>
          <w:divBdr>
            <w:top w:val="none" w:sz="0" w:space="0" w:color="auto"/>
            <w:left w:val="none" w:sz="0" w:space="0" w:color="auto"/>
            <w:bottom w:val="none" w:sz="0" w:space="0" w:color="auto"/>
            <w:right w:val="none" w:sz="0" w:space="0" w:color="auto"/>
          </w:divBdr>
          <w:divsChild>
            <w:div w:id="386340920">
              <w:marLeft w:val="0"/>
              <w:marRight w:val="0"/>
              <w:marTop w:val="0"/>
              <w:marBottom w:val="0"/>
              <w:divBdr>
                <w:top w:val="none" w:sz="0" w:space="0" w:color="auto"/>
                <w:left w:val="none" w:sz="0" w:space="0" w:color="auto"/>
                <w:bottom w:val="none" w:sz="0" w:space="0" w:color="auto"/>
                <w:right w:val="none" w:sz="0" w:space="0" w:color="auto"/>
              </w:divBdr>
            </w:div>
          </w:divsChild>
        </w:div>
        <w:div w:id="810555773">
          <w:marLeft w:val="0"/>
          <w:marRight w:val="0"/>
          <w:marTop w:val="0"/>
          <w:marBottom w:val="0"/>
          <w:divBdr>
            <w:top w:val="none" w:sz="0" w:space="0" w:color="auto"/>
            <w:left w:val="none" w:sz="0" w:space="0" w:color="auto"/>
            <w:bottom w:val="none" w:sz="0" w:space="0" w:color="auto"/>
            <w:right w:val="none" w:sz="0" w:space="0" w:color="auto"/>
          </w:divBdr>
          <w:divsChild>
            <w:div w:id="2088569234">
              <w:marLeft w:val="0"/>
              <w:marRight w:val="0"/>
              <w:marTop w:val="0"/>
              <w:marBottom w:val="0"/>
              <w:divBdr>
                <w:top w:val="none" w:sz="0" w:space="0" w:color="auto"/>
                <w:left w:val="none" w:sz="0" w:space="0" w:color="auto"/>
                <w:bottom w:val="none" w:sz="0" w:space="0" w:color="auto"/>
                <w:right w:val="none" w:sz="0" w:space="0" w:color="auto"/>
              </w:divBdr>
            </w:div>
          </w:divsChild>
        </w:div>
        <w:div w:id="837815186">
          <w:marLeft w:val="0"/>
          <w:marRight w:val="0"/>
          <w:marTop w:val="0"/>
          <w:marBottom w:val="0"/>
          <w:divBdr>
            <w:top w:val="none" w:sz="0" w:space="0" w:color="auto"/>
            <w:left w:val="none" w:sz="0" w:space="0" w:color="auto"/>
            <w:bottom w:val="none" w:sz="0" w:space="0" w:color="auto"/>
            <w:right w:val="none" w:sz="0" w:space="0" w:color="auto"/>
          </w:divBdr>
          <w:divsChild>
            <w:div w:id="526330797">
              <w:marLeft w:val="0"/>
              <w:marRight w:val="0"/>
              <w:marTop w:val="0"/>
              <w:marBottom w:val="0"/>
              <w:divBdr>
                <w:top w:val="none" w:sz="0" w:space="0" w:color="auto"/>
                <w:left w:val="none" w:sz="0" w:space="0" w:color="auto"/>
                <w:bottom w:val="none" w:sz="0" w:space="0" w:color="auto"/>
                <w:right w:val="none" w:sz="0" w:space="0" w:color="auto"/>
              </w:divBdr>
            </w:div>
          </w:divsChild>
        </w:div>
        <w:div w:id="914586046">
          <w:marLeft w:val="0"/>
          <w:marRight w:val="0"/>
          <w:marTop w:val="0"/>
          <w:marBottom w:val="0"/>
          <w:divBdr>
            <w:top w:val="none" w:sz="0" w:space="0" w:color="auto"/>
            <w:left w:val="none" w:sz="0" w:space="0" w:color="auto"/>
            <w:bottom w:val="none" w:sz="0" w:space="0" w:color="auto"/>
            <w:right w:val="none" w:sz="0" w:space="0" w:color="auto"/>
          </w:divBdr>
          <w:divsChild>
            <w:div w:id="1860925827">
              <w:marLeft w:val="0"/>
              <w:marRight w:val="0"/>
              <w:marTop w:val="0"/>
              <w:marBottom w:val="0"/>
              <w:divBdr>
                <w:top w:val="none" w:sz="0" w:space="0" w:color="auto"/>
                <w:left w:val="none" w:sz="0" w:space="0" w:color="auto"/>
                <w:bottom w:val="none" w:sz="0" w:space="0" w:color="auto"/>
                <w:right w:val="none" w:sz="0" w:space="0" w:color="auto"/>
              </w:divBdr>
            </w:div>
          </w:divsChild>
        </w:div>
        <w:div w:id="917639191">
          <w:marLeft w:val="0"/>
          <w:marRight w:val="0"/>
          <w:marTop w:val="0"/>
          <w:marBottom w:val="0"/>
          <w:divBdr>
            <w:top w:val="none" w:sz="0" w:space="0" w:color="auto"/>
            <w:left w:val="none" w:sz="0" w:space="0" w:color="auto"/>
            <w:bottom w:val="none" w:sz="0" w:space="0" w:color="auto"/>
            <w:right w:val="none" w:sz="0" w:space="0" w:color="auto"/>
          </w:divBdr>
          <w:divsChild>
            <w:div w:id="1566335998">
              <w:marLeft w:val="0"/>
              <w:marRight w:val="0"/>
              <w:marTop w:val="0"/>
              <w:marBottom w:val="0"/>
              <w:divBdr>
                <w:top w:val="none" w:sz="0" w:space="0" w:color="auto"/>
                <w:left w:val="none" w:sz="0" w:space="0" w:color="auto"/>
                <w:bottom w:val="none" w:sz="0" w:space="0" w:color="auto"/>
                <w:right w:val="none" w:sz="0" w:space="0" w:color="auto"/>
              </w:divBdr>
            </w:div>
          </w:divsChild>
        </w:div>
        <w:div w:id="952439215">
          <w:marLeft w:val="0"/>
          <w:marRight w:val="0"/>
          <w:marTop w:val="0"/>
          <w:marBottom w:val="0"/>
          <w:divBdr>
            <w:top w:val="none" w:sz="0" w:space="0" w:color="auto"/>
            <w:left w:val="none" w:sz="0" w:space="0" w:color="auto"/>
            <w:bottom w:val="none" w:sz="0" w:space="0" w:color="auto"/>
            <w:right w:val="none" w:sz="0" w:space="0" w:color="auto"/>
          </w:divBdr>
          <w:divsChild>
            <w:div w:id="1744717186">
              <w:marLeft w:val="0"/>
              <w:marRight w:val="0"/>
              <w:marTop w:val="0"/>
              <w:marBottom w:val="0"/>
              <w:divBdr>
                <w:top w:val="none" w:sz="0" w:space="0" w:color="auto"/>
                <w:left w:val="none" w:sz="0" w:space="0" w:color="auto"/>
                <w:bottom w:val="none" w:sz="0" w:space="0" w:color="auto"/>
                <w:right w:val="none" w:sz="0" w:space="0" w:color="auto"/>
              </w:divBdr>
            </w:div>
          </w:divsChild>
        </w:div>
        <w:div w:id="975835618">
          <w:marLeft w:val="0"/>
          <w:marRight w:val="0"/>
          <w:marTop w:val="0"/>
          <w:marBottom w:val="0"/>
          <w:divBdr>
            <w:top w:val="none" w:sz="0" w:space="0" w:color="auto"/>
            <w:left w:val="none" w:sz="0" w:space="0" w:color="auto"/>
            <w:bottom w:val="none" w:sz="0" w:space="0" w:color="auto"/>
            <w:right w:val="none" w:sz="0" w:space="0" w:color="auto"/>
          </w:divBdr>
          <w:divsChild>
            <w:div w:id="1156192903">
              <w:marLeft w:val="0"/>
              <w:marRight w:val="0"/>
              <w:marTop w:val="0"/>
              <w:marBottom w:val="0"/>
              <w:divBdr>
                <w:top w:val="none" w:sz="0" w:space="0" w:color="auto"/>
                <w:left w:val="none" w:sz="0" w:space="0" w:color="auto"/>
                <w:bottom w:val="none" w:sz="0" w:space="0" w:color="auto"/>
                <w:right w:val="none" w:sz="0" w:space="0" w:color="auto"/>
              </w:divBdr>
            </w:div>
          </w:divsChild>
        </w:div>
        <w:div w:id="995571439">
          <w:marLeft w:val="0"/>
          <w:marRight w:val="0"/>
          <w:marTop w:val="0"/>
          <w:marBottom w:val="0"/>
          <w:divBdr>
            <w:top w:val="none" w:sz="0" w:space="0" w:color="auto"/>
            <w:left w:val="none" w:sz="0" w:space="0" w:color="auto"/>
            <w:bottom w:val="none" w:sz="0" w:space="0" w:color="auto"/>
            <w:right w:val="none" w:sz="0" w:space="0" w:color="auto"/>
          </w:divBdr>
          <w:divsChild>
            <w:div w:id="675573609">
              <w:marLeft w:val="0"/>
              <w:marRight w:val="0"/>
              <w:marTop w:val="0"/>
              <w:marBottom w:val="0"/>
              <w:divBdr>
                <w:top w:val="none" w:sz="0" w:space="0" w:color="auto"/>
                <w:left w:val="none" w:sz="0" w:space="0" w:color="auto"/>
                <w:bottom w:val="none" w:sz="0" w:space="0" w:color="auto"/>
                <w:right w:val="none" w:sz="0" w:space="0" w:color="auto"/>
              </w:divBdr>
            </w:div>
          </w:divsChild>
        </w:div>
        <w:div w:id="1035231103">
          <w:marLeft w:val="0"/>
          <w:marRight w:val="0"/>
          <w:marTop w:val="0"/>
          <w:marBottom w:val="0"/>
          <w:divBdr>
            <w:top w:val="none" w:sz="0" w:space="0" w:color="auto"/>
            <w:left w:val="none" w:sz="0" w:space="0" w:color="auto"/>
            <w:bottom w:val="none" w:sz="0" w:space="0" w:color="auto"/>
            <w:right w:val="none" w:sz="0" w:space="0" w:color="auto"/>
          </w:divBdr>
          <w:divsChild>
            <w:div w:id="707609273">
              <w:marLeft w:val="0"/>
              <w:marRight w:val="0"/>
              <w:marTop w:val="0"/>
              <w:marBottom w:val="0"/>
              <w:divBdr>
                <w:top w:val="none" w:sz="0" w:space="0" w:color="auto"/>
                <w:left w:val="none" w:sz="0" w:space="0" w:color="auto"/>
                <w:bottom w:val="none" w:sz="0" w:space="0" w:color="auto"/>
                <w:right w:val="none" w:sz="0" w:space="0" w:color="auto"/>
              </w:divBdr>
            </w:div>
          </w:divsChild>
        </w:div>
        <w:div w:id="1101611601">
          <w:marLeft w:val="0"/>
          <w:marRight w:val="0"/>
          <w:marTop w:val="0"/>
          <w:marBottom w:val="0"/>
          <w:divBdr>
            <w:top w:val="none" w:sz="0" w:space="0" w:color="auto"/>
            <w:left w:val="none" w:sz="0" w:space="0" w:color="auto"/>
            <w:bottom w:val="none" w:sz="0" w:space="0" w:color="auto"/>
            <w:right w:val="none" w:sz="0" w:space="0" w:color="auto"/>
          </w:divBdr>
          <w:divsChild>
            <w:div w:id="1139495380">
              <w:marLeft w:val="0"/>
              <w:marRight w:val="0"/>
              <w:marTop w:val="0"/>
              <w:marBottom w:val="0"/>
              <w:divBdr>
                <w:top w:val="none" w:sz="0" w:space="0" w:color="auto"/>
                <w:left w:val="none" w:sz="0" w:space="0" w:color="auto"/>
                <w:bottom w:val="none" w:sz="0" w:space="0" w:color="auto"/>
                <w:right w:val="none" w:sz="0" w:space="0" w:color="auto"/>
              </w:divBdr>
            </w:div>
          </w:divsChild>
        </w:div>
        <w:div w:id="1165903566">
          <w:marLeft w:val="0"/>
          <w:marRight w:val="0"/>
          <w:marTop w:val="0"/>
          <w:marBottom w:val="0"/>
          <w:divBdr>
            <w:top w:val="none" w:sz="0" w:space="0" w:color="auto"/>
            <w:left w:val="none" w:sz="0" w:space="0" w:color="auto"/>
            <w:bottom w:val="none" w:sz="0" w:space="0" w:color="auto"/>
            <w:right w:val="none" w:sz="0" w:space="0" w:color="auto"/>
          </w:divBdr>
          <w:divsChild>
            <w:div w:id="1474592518">
              <w:marLeft w:val="0"/>
              <w:marRight w:val="0"/>
              <w:marTop w:val="0"/>
              <w:marBottom w:val="0"/>
              <w:divBdr>
                <w:top w:val="none" w:sz="0" w:space="0" w:color="auto"/>
                <w:left w:val="none" w:sz="0" w:space="0" w:color="auto"/>
                <w:bottom w:val="none" w:sz="0" w:space="0" w:color="auto"/>
                <w:right w:val="none" w:sz="0" w:space="0" w:color="auto"/>
              </w:divBdr>
            </w:div>
          </w:divsChild>
        </w:div>
        <w:div w:id="1183477143">
          <w:marLeft w:val="0"/>
          <w:marRight w:val="0"/>
          <w:marTop w:val="0"/>
          <w:marBottom w:val="0"/>
          <w:divBdr>
            <w:top w:val="none" w:sz="0" w:space="0" w:color="auto"/>
            <w:left w:val="none" w:sz="0" w:space="0" w:color="auto"/>
            <w:bottom w:val="none" w:sz="0" w:space="0" w:color="auto"/>
            <w:right w:val="none" w:sz="0" w:space="0" w:color="auto"/>
          </w:divBdr>
          <w:divsChild>
            <w:div w:id="771779553">
              <w:marLeft w:val="0"/>
              <w:marRight w:val="0"/>
              <w:marTop w:val="0"/>
              <w:marBottom w:val="0"/>
              <w:divBdr>
                <w:top w:val="none" w:sz="0" w:space="0" w:color="auto"/>
                <w:left w:val="none" w:sz="0" w:space="0" w:color="auto"/>
                <w:bottom w:val="none" w:sz="0" w:space="0" w:color="auto"/>
                <w:right w:val="none" w:sz="0" w:space="0" w:color="auto"/>
              </w:divBdr>
            </w:div>
          </w:divsChild>
        </w:div>
        <w:div w:id="1287471655">
          <w:marLeft w:val="0"/>
          <w:marRight w:val="0"/>
          <w:marTop w:val="0"/>
          <w:marBottom w:val="0"/>
          <w:divBdr>
            <w:top w:val="none" w:sz="0" w:space="0" w:color="auto"/>
            <w:left w:val="none" w:sz="0" w:space="0" w:color="auto"/>
            <w:bottom w:val="none" w:sz="0" w:space="0" w:color="auto"/>
            <w:right w:val="none" w:sz="0" w:space="0" w:color="auto"/>
          </w:divBdr>
          <w:divsChild>
            <w:div w:id="553079329">
              <w:marLeft w:val="0"/>
              <w:marRight w:val="0"/>
              <w:marTop w:val="0"/>
              <w:marBottom w:val="0"/>
              <w:divBdr>
                <w:top w:val="none" w:sz="0" w:space="0" w:color="auto"/>
                <w:left w:val="none" w:sz="0" w:space="0" w:color="auto"/>
                <w:bottom w:val="none" w:sz="0" w:space="0" w:color="auto"/>
                <w:right w:val="none" w:sz="0" w:space="0" w:color="auto"/>
              </w:divBdr>
            </w:div>
          </w:divsChild>
        </w:div>
        <w:div w:id="1439326727">
          <w:marLeft w:val="0"/>
          <w:marRight w:val="0"/>
          <w:marTop w:val="0"/>
          <w:marBottom w:val="0"/>
          <w:divBdr>
            <w:top w:val="none" w:sz="0" w:space="0" w:color="auto"/>
            <w:left w:val="none" w:sz="0" w:space="0" w:color="auto"/>
            <w:bottom w:val="none" w:sz="0" w:space="0" w:color="auto"/>
            <w:right w:val="none" w:sz="0" w:space="0" w:color="auto"/>
          </w:divBdr>
          <w:divsChild>
            <w:div w:id="1260403892">
              <w:marLeft w:val="0"/>
              <w:marRight w:val="0"/>
              <w:marTop w:val="0"/>
              <w:marBottom w:val="0"/>
              <w:divBdr>
                <w:top w:val="none" w:sz="0" w:space="0" w:color="auto"/>
                <w:left w:val="none" w:sz="0" w:space="0" w:color="auto"/>
                <w:bottom w:val="none" w:sz="0" w:space="0" w:color="auto"/>
                <w:right w:val="none" w:sz="0" w:space="0" w:color="auto"/>
              </w:divBdr>
            </w:div>
          </w:divsChild>
        </w:div>
        <w:div w:id="1439911305">
          <w:marLeft w:val="0"/>
          <w:marRight w:val="0"/>
          <w:marTop w:val="0"/>
          <w:marBottom w:val="0"/>
          <w:divBdr>
            <w:top w:val="none" w:sz="0" w:space="0" w:color="auto"/>
            <w:left w:val="none" w:sz="0" w:space="0" w:color="auto"/>
            <w:bottom w:val="none" w:sz="0" w:space="0" w:color="auto"/>
            <w:right w:val="none" w:sz="0" w:space="0" w:color="auto"/>
          </w:divBdr>
          <w:divsChild>
            <w:div w:id="554895529">
              <w:marLeft w:val="0"/>
              <w:marRight w:val="0"/>
              <w:marTop w:val="0"/>
              <w:marBottom w:val="0"/>
              <w:divBdr>
                <w:top w:val="none" w:sz="0" w:space="0" w:color="auto"/>
                <w:left w:val="none" w:sz="0" w:space="0" w:color="auto"/>
                <w:bottom w:val="none" w:sz="0" w:space="0" w:color="auto"/>
                <w:right w:val="none" w:sz="0" w:space="0" w:color="auto"/>
              </w:divBdr>
            </w:div>
          </w:divsChild>
        </w:div>
        <w:div w:id="1473062949">
          <w:marLeft w:val="0"/>
          <w:marRight w:val="0"/>
          <w:marTop w:val="0"/>
          <w:marBottom w:val="0"/>
          <w:divBdr>
            <w:top w:val="none" w:sz="0" w:space="0" w:color="auto"/>
            <w:left w:val="none" w:sz="0" w:space="0" w:color="auto"/>
            <w:bottom w:val="none" w:sz="0" w:space="0" w:color="auto"/>
            <w:right w:val="none" w:sz="0" w:space="0" w:color="auto"/>
          </w:divBdr>
          <w:divsChild>
            <w:div w:id="1307979348">
              <w:marLeft w:val="0"/>
              <w:marRight w:val="0"/>
              <w:marTop w:val="0"/>
              <w:marBottom w:val="0"/>
              <w:divBdr>
                <w:top w:val="none" w:sz="0" w:space="0" w:color="auto"/>
                <w:left w:val="none" w:sz="0" w:space="0" w:color="auto"/>
                <w:bottom w:val="none" w:sz="0" w:space="0" w:color="auto"/>
                <w:right w:val="none" w:sz="0" w:space="0" w:color="auto"/>
              </w:divBdr>
            </w:div>
          </w:divsChild>
        </w:div>
        <w:div w:id="1534074668">
          <w:marLeft w:val="0"/>
          <w:marRight w:val="0"/>
          <w:marTop w:val="0"/>
          <w:marBottom w:val="0"/>
          <w:divBdr>
            <w:top w:val="none" w:sz="0" w:space="0" w:color="auto"/>
            <w:left w:val="none" w:sz="0" w:space="0" w:color="auto"/>
            <w:bottom w:val="none" w:sz="0" w:space="0" w:color="auto"/>
            <w:right w:val="none" w:sz="0" w:space="0" w:color="auto"/>
          </w:divBdr>
          <w:divsChild>
            <w:div w:id="1528908441">
              <w:marLeft w:val="0"/>
              <w:marRight w:val="0"/>
              <w:marTop w:val="0"/>
              <w:marBottom w:val="0"/>
              <w:divBdr>
                <w:top w:val="none" w:sz="0" w:space="0" w:color="auto"/>
                <w:left w:val="none" w:sz="0" w:space="0" w:color="auto"/>
                <w:bottom w:val="none" w:sz="0" w:space="0" w:color="auto"/>
                <w:right w:val="none" w:sz="0" w:space="0" w:color="auto"/>
              </w:divBdr>
            </w:div>
          </w:divsChild>
        </w:div>
        <w:div w:id="1538856711">
          <w:marLeft w:val="0"/>
          <w:marRight w:val="0"/>
          <w:marTop w:val="0"/>
          <w:marBottom w:val="0"/>
          <w:divBdr>
            <w:top w:val="none" w:sz="0" w:space="0" w:color="auto"/>
            <w:left w:val="none" w:sz="0" w:space="0" w:color="auto"/>
            <w:bottom w:val="none" w:sz="0" w:space="0" w:color="auto"/>
            <w:right w:val="none" w:sz="0" w:space="0" w:color="auto"/>
          </w:divBdr>
          <w:divsChild>
            <w:div w:id="183591231">
              <w:marLeft w:val="0"/>
              <w:marRight w:val="0"/>
              <w:marTop w:val="0"/>
              <w:marBottom w:val="0"/>
              <w:divBdr>
                <w:top w:val="none" w:sz="0" w:space="0" w:color="auto"/>
                <w:left w:val="none" w:sz="0" w:space="0" w:color="auto"/>
                <w:bottom w:val="none" w:sz="0" w:space="0" w:color="auto"/>
                <w:right w:val="none" w:sz="0" w:space="0" w:color="auto"/>
              </w:divBdr>
            </w:div>
          </w:divsChild>
        </w:div>
        <w:div w:id="1539393175">
          <w:marLeft w:val="0"/>
          <w:marRight w:val="0"/>
          <w:marTop w:val="0"/>
          <w:marBottom w:val="0"/>
          <w:divBdr>
            <w:top w:val="none" w:sz="0" w:space="0" w:color="auto"/>
            <w:left w:val="none" w:sz="0" w:space="0" w:color="auto"/>
            <w:bottom w:val="none" w:sz="0" w:space="0" w:color="auto"/>
            <w:right w:val="none" w:sz="0" w:space="0" w:color="auto"/>
          </w:divBdr>
          <w:divsChild>
            <w:div w:id="1029916936">
              <w:marLeft w:val="0"/>
              <w:marRight w:val="0"/>
              <w:marTop w:val="0"/>
              <w:marBottom w:val="0"/>
              <w:divBdr>
                <w:top w:val="none" w:sz="0" w:space="0" w:color="auto"/>
                <w:left w:val="none" w:sz="0" w:space="0" w:color="auto"/>
                <w:bottom w:val="none" w:sz="0" w:space="0" w:color="auto"/>
                <w:right w:val="none" w:sz="0" w:space="0" w:color="auto"/>
              </w:divBdr>
            </w:div>
          </w:divsChild>
        </w:div>
        <w:div w:id="1543666138">
          <w:marLeft w:val="0"/>
          <w:marRight w:val="0"/>
          <w:marTop w:val="0"/>
          <w:marBottom w:val="0"/>
          <w:divBdr>
            <w:top w:val="none" w:sz="0" w:space="0" w:color="auto"/>
            <w:left w:val="none" w:sz="0" w:space="0" w:color="auto"/>
            <w:bottom w:val="none" w:sz="0" w:space="0" w:color="auto"/>
            <w:right w:val="none" w:sz="0" w:space="0" w:color="auto"/>
          </w:divBdr>
          <w:divsChild>
            <w:div w:id="537473480">
              <w:marLeft w:val="0"/>
              <w:marRight w:val="0"/>
              <w:marTop w:val="0"/>
              <w:marBottom w:val="0"/>
              <w:divBdr>
                <w:top w:val="none" w:sz="0" w:space="0" w:color="auto"/>
                <w:left w:val="none" w:sz="0" w:space="0" w:color="auto"/>
                <w:bottom w:val="none" w:sz="0" w:space="0" w:color="auto"/>
                <w:right w:val="none" w:sz="0" w:space="0" w:color="auto"/>
              </w:divBdr>
            </w:div>
          </w:divsChild>
        </w:div>
        <w:div w:id="1543907534">
          <w:marLeft w:val="0"/>
          <w:marRight w:val="0"/>
          <w:marTop w:val="0"/>
          <w:marBottom w:val="0"/>
          <w:divBdr>
            <w:top w:val="none" w:sz="0" w:space="0" w:color="auto"/>
            <w:left w:val="none" w:sz="0" w:space="0" w:color="auto"/>
            <w:bottom w:val="none" w:sz="0" w:space="0" w:color="auto"/>
            <w:right w:val="none" w:sz="0" w:space="0" w:color="auto"/>
          </w:divBdr>
          <w:divsChild>
            <w:div w:id="2003318136">
              <w:marLeft w:val="0"/>
              <w:marRight w:val="0"/>
              <w:marTop w:val="0"/>
              <w:marBottom w:val="0"/>
              <w:divBdr>
                <w:top w:val="none" w:sz="0" w:space="0" w:color="auto"/>
                <w:left w:val="none" w:sz="0" w:space="0" w:color="auto"/>
                <w:bottom w:val="none" w:sz="0" w:space="0" w:color="auto"/>
                <w:right w:val="none" w:sz="0" w:space="0" w:color="auto"/>
              </w:divBdr>
            </w:div>
          </w:divsChild>
        </w:div>
        <w:div w:id="1666468704">
          <w:marLeft w:val="0"/>
          <w:marRight w:val="0"/>
          <w:marTop w:val="0"/>
          <w:marBottom w:val="0"/>
          <w:divBdr>
            <w:top w:val="none" w:sz="0" w:space="0" w:color="auto"/>
            <w:left w:val="none" w:sz="0" w:space="0" w:color="auto"/>
            <w:bottom w:val="none" w:sz="0" w:space="0" w:color="auto"/>
            <w:right w:val="none" w:sz="0" w:space="0" w:color="auto"/>
          </w:divBdr>
          <w:divsChild>
            <w:div w:id="745226100">
              <w:marLeft w:val="0"/>
              <w:marRight w:val="0"/>
              <w:marTop w:val="0"/>
              <w:marBottom w:val="0"/>
              <w:divBdr>
                <w:top w:val="none" w:sz="0" w:space="0" w:color="auto"/>
                <w:left w:val="none" w:sz="0" w:space="0" w:color="auto"/>
                <w:bottom w:val="none" w:sz="0" w:space="0" w:color="auto"/>
                <w:right w:val="none" w:sz="0" w:space="0" w:color="auto"/>
              </w:divBdr>
            </w:div>
          </w:divsChild>
        </w:div>
        <w:div w:id="1692562140">
          <w:marLeft w:val="0"/>
          <w:marRight w:val="0"/>
          <w:marTop w:val="0"/>
          <w:marBottom w:val="0"/>
          <w:divBdr>
            <w:top w:val="none" w:sz="0" w:space="0" w:color="auto"/>
            <w:left w:val="none" w:sz="0" w:space="0" w:color="auto"/>
            <w:bottom w:val="none" w:sz="0" w:space="0" w:color="auto"/>
            <w:right w:val="none" w:sz="0" w:space="0" w:color="auto"/>
          </w:divBdr>
          <w:divsChild>
            <w:div w:id="1199396763">
              <w:marLeft w:val="0"/>
              <w:marRight w:val="0"/>
              <w:marTop w:val="0"/>
              <w:marBottom w:val="0"/>
              <w:divBdr>
                <w:top w:val="none" w:sz="0" w:space="0" w:color="auto"/>
                <w:left w:val="none" w:sz="0" w:space="0" w:color="auto"/>
                <w:bottom w:val="none" w:sz="0" w:space="0" w:color="auto"/>
                <w:right w:val="none" w:sz="0" w:space="0" w:color="auto"/>
              </w:divBdr>
            </w:div>
          </w:divsChild>
        </w:div>
        <w:div w:id="1708489342">
          <w:marLeft w:val="0"/>
          <w:marRight w:val="0"/>
          <w:marTop w:val="0"/>
          <w:marBottom w:val="0"/>
          <w:divBdr>
            <w:top w:val="none" w:sz="0" w:space="0" w:color="auto"/>
            <w:left w:val="none" w:sz="0" w:space="0" w:color="auto"/>
            <w:bottom w:val="none" w:sz="0" w:space="0" w:color="auto"/>
            <w:right w:val="none" w:sz="0" w:space="0" w:color="auto"/>
          </w:divBdr>
          <w:divsChild>
            <w:div w:id="516695612">
              <w:marLeft w:val="0"/>
              <w:marRight w:val="0"/>
              <w:marTop w:val="0"/>
              <w:marBottom w:val="0"/>
              <w:divBdr>
                <w:top w:val="none" w:sz="0" w:space="0" w:color="auto"/>
                <w:left w:val="none" w:sz="0" w:space="0" w:color="auto"/>
                <w:bottom w:val="none" w:sz="0" w:space="0" w:color="auto"/>
                <w:right w:val="none" w:sz="0" w:space="0" w:color="auto"/>
              </w:divBdr>
            </w:div>
          </w:divsChild>
        </w:div>
        <w:div w:id="1746537298">
          <w:marLeft w:val="0"/>
          <w:marRight w:val="0"/>
          <w:marTop w:val="0"/>
          <w:marBottom w:val="0"/>
          <w:divBdr>
            <w:top w:val="none" w:sz="0" w:space="0" w:color="auto"/>
            <w:left w:val="none" w:sz="0" w:space="0" w:color="auto"/>
            <w:bottom w:val="none" w:sz="0" w:space="0" w:color="auto"/>
            <w:right w:val="none" w:sz="0" w:space="0" w:color="auto"/>
          </w:divBdr>
          <w:divsChild>
            <w:div w:id="1304769689">
              <w:marLeft w:val="0"/>
              <w:marRight w:val="0"/>
              <w:marTop w:val="0"/>
              <w:marBottom w:val="0"/>
              <w:divBdr>
                <w:top w:val="none" w:sz="0" w:space="0" w:color="auto"/>
                <w:left w:val="none" w:sz="0" w:space="0" w:color="auto"/>
                <w:bottom w:val="none" w:sz="0" w:space="0" w:color="auto"/>
                <w:right w:val="none" w:sz="0" w:space="0" w:color="auto"/>
              </w:divBdr>
            </w:div>
          </w:divsChild>
        </w:div>
        <w:div w:id="1758748558">
          <w:marLeft w:val="0"/>
          <w:marRight w:val="0"/>
          <w:marTop w:val="0"/>
          <w:marBottom w:val="0"/>
          <w:divBdr>
            <w:top w:val="none" w:sz="0" w:space="0" w:color="auto"/>
            <w:left w:val="none" w:sz="0" w:space="0" w:color="auto"/>
            <w:bottom w:val="none" w:sz="0" w:space="0" w:color="auto"/>
            <w:right w:val="none" w:sz="0" w:space="0" w:color="auto"/>
          </w:divBdr>
          <w:divsChild>
            <w:div w:id="792334530">
              <w:marLeft w:val="0"/>
              <w:marRight w:val="0"/>
              <w:marTop w:val="0"/>
              <w:marBottom w:val="0"/>
              <w:divBdr>
                <w:top w:val="none" w:sz="0" w:space="0" w:color="auto"/>
                <w:left w:val="none" w:sz="0" w:space="0" w:color="auto"/>
                <w:bottom w:val="none" w:sz="0" w:space="0" w:color="auto"/>
                <w:right w:val="none" w:sz="0" w:space="0" w:color="auto"/>
              </w:divBdr>
            </w:div>
          </w:divsChild>
        </w:div>
        <w:div w:id="1794130950">
          <w:marLeft w:val="0"/>
          <w:marRight w:val="0"/>
          <w:marTop w:val="0"/>
          <w:marBottom w:val="0"/>
          <w:divBdr>
            <w:top w:val="none" w:sz="0" w:space="0" w:color="auto"/>
            <w:left w:val="none" w:sz="0" w:space="0" w:color="auto"/>
            <w:bottom w:val="none" w:sz="0" w:space="0" w:color="auto"/>
            <w:right w:val="none" w:sz="0" w:space="0" w:color="auto"/>
          </w:divBdr>
          <w:divsChild>
            <w:div w:id="449207752">
              <w:marLeft w:val="0"/>
              <w:marRight w:val="0"/>
              <w:marTop w:val="0"/>
              <w:marBottom w:val="0"/>
              <w:divBdr>
                <w:top w:val="none" w:sz="0" w:space="0" w:color="auto"/>
                <w:left w:val="none" w:sz="0" w:space="0" w:color="auto"/>
                <w:bottom w:val="none" w:sz="0" w:space="0" w:color="auto"/>
                <w:right w:val="none" w:sz="0" w:space="0" w:color="auto"/>
              </w:divBdr>
            </w:div>
          </w:divsChild>
        </w:div>
        <w:div w:id="1804691437">
          <w:marLeft w:val="0"/>
          <w:marRight w:val="0"/>
          <w:marTop w:val="0"/>
          <w:marBottom w:val="0"/>
          <w:divBdr>
            <w:top w:val="none" w:sz="0" w:space="0" w:color="auto"/>
            <w:left w:val="none" w:sz="0" w:space="0" w:color="auto"/>
            <w:bottom w:val="none" w:sz="0" w:space="0" w:color="auto"/>
            <w:right w:val="none" w:sz="0" w:space="0" w:color="auto"/>
          </w:divBdr>
          <w:divsChild>
            <w:div w:id="2120024724">
              <w:marLeft w:val="0"/>
              <w:marRight w:val="0"/>
              <w:marTop w:val="0"/>
              <w:marBottom w:val="0"/>
              <w:divBdr>
                <w:top w:val="none" w:sz="0" w:space="0" w:color="auto"/>
                <w:left w:val="none" w:sz="0" w:space="0" w:color="auto"/>
                <w:bottom w:val="none" w:sz="0" w:space="0" w:color="auto"/>
                <w:right w:val="none" w:sz="0" w:space="0" w:color="auto"/>
              </w:divBdr>
            </w:div>
          </w:divsChild>
        </w:div>
        <w:div w:id="1821311100">
          <w:marLeft w:val="0"/>
          <w:marRight w:val="0"/>
          <w:marTop w:val="0"/>
          <w:marBottom w:val="0"/>
          <w:divBdr>
            <w:top w:val="none" w:sz="0" w:space="0" w:color="auto"/>
            <w:left w:val="none" w:sz="0" w:space="0" w:color="auto"/>
            <w:bottom w:val="none" w:sz="0" w:space="0" w:color="auto"/>
            <w:right w:val="none" w:sz="0" w:space="0" w:color="auto"/>
          </w:divBdr>
          <w:divsChild>
            <w:div w:id="337925445">
              <w:marLeft w:val="0"/>
              <w:marRight w:val="0"/>
              <w:marTop w:val="0"/>
              <w:marBottom w:val="0"/>
              <w:divBdr>
                <w:top w:val="none" w:sz="0" w:space="0" w:color="auto"/>
                <w:left w:val="none" w:sz="0" w:space="0" w:color="auto"/>
                <w:bottom w:val="none" w:sz="0" w:space="0" w:color="auto"/>
                <w:right w:val="none" w:sz="0" w:space="0" w:color="auto"/>
              </w:divBdr>
            </w:div>
          </w:divsChild>
        </w:div>
        <w:div w:id="1833062392">
          <w:marLeft w:val="0"/>
          <w:marRight w:val="0"/>
          <w:marTop w:val="0"/>
          <w:marBottom w:val="0"/>
          <w:divBdr>
            <w:top w:val="none" w:sz="0" w:space="0" w:color="auto"/>
            <w:left w:val="none" w:sz="0" w:space="0" w:color="auto"/>
            <w:bottom w:val="none" w:sz="0" w:space="0" w:color="auto"/>
            <w:right w:val="none" w:sz="0" w:space="0" w:color="auto"/>
          </w:divBdr>
          <w:divsChild>
            <w:div w:id="1483160403">
              <w:marLeft w:val="0"/>
              <w:marRight w:val="0"/>
              <w:marTop w:val="0"/>
              <w:marBottom w:val="0"/>
              <w:divBdr>
                <w:top w:val="none" w:sz="0" w:space="0" w:color="auto"/>
                <w:left w:val="none" w:sz="0" w:space="0" w:color="auto"/>
                <w:bottom w:val="none" w:sz="0" w:space="0" w:color="auto"/>
                <w:right w:val="none" w:sz="0" w:space="0" w:color="auto"/>
              </w:divBdr>
            </w:div>
          </w:divsChild>
        </w:div>
        <w:div w:id="1898514707">
          <w:marLeft w:val="0"/>
          <w:marRight w:val="0"/>
          <w:marTop w:val="0"/>
          <w:marBottom w:val="0"/>
          <w:divBdr>
            <w:top w:val="none" w:sz="0" w:space="0" w:color="auto"/>
            <w:left w:val="none" w:sz="0" w:space="0" w:color="auto"/>
            <w:bottom w:val="none" w:sz="0" w:space="0" w:color="auto"/>
            <w:right w:val="none" w:sz="0" w:space="0" w:color="auto"/>
          </w:divBdr>
          <w:divsChild>
            <w:div w:id="2039233303">
              <w:marLeft w:val="0"/>
              <w:marRight w:val="0"/>
              <w:marTop w:val="0"/>
              <w:marBottom w:val="0"/>
              <w:divBdr>
                <w:top w:val="none" w:sz="0" w:space="0" w:color="auto"/>
                <w:left w:val="none" w:sz="0" w:space="0" w:color="auto"/>
                <w:bottom w:val="none" w:sz="0" w:space="0" w:color="auto"/>
                <w:right w:val="none" w:sz="0" w:space="0" w:color="auto"/>
              </w:divBdr>
            </w:div>
          </w:divsChild>
        </w:div>
        <w:div w:id="1914386263">
          <w:marLeft w:val="0"/>
          <w:marRight w:val="0"/>
          <w:marTop w:val="0"/>
          <w:marBottom w:val="0"/>
          <w:divBdr>
            <w:top w:val="none" w:sz="0" w:space="0" w:color="auto"/>
            <w:left w:val="none" w:sz="0" w:space="0" w:color="auto"/>
            <w:bottom w:val="none" w:sz="0" w:space="0" w:color="auto"/>
            <w:right w:val="none" w:sz="0" w:space="0" w:color="auto"/>
          </w:divBdr>
          <w:divsChild>
            <w:div w:id="1855925194">
              <w:marLeft w:val="0"/>
              <w:marRight w:val="0"/>
              <w:marTop w:val="0"/>
              <w:marBottom w:val="0"/>
              <w:divBdr>
                <w:top w:val="none" w:sz="0" w:space="0" w:color="auto"/>
                <w:left w:val="none" w:sz="0" w:space="0" w:color="auto"/>
                <w:bottom w:val="none" w:sz="0" w:space="0" w:color="auto"/>
                <w:right w:val="none" w:sz="0" w:space="0" w:color="auto"/>
              </w:divBdr>
            </w:div>
          </w:divsChild>
        </w:div>
        <w:div w:id="1941136570">
          <w:marLeft w:val="0"/>
          <w:marRight w:val="0"/>
          <w:marTop w:val="0"/>
          <w:marBottom w:val="0"/>
          <w:divBdr>
            <w:top w:val="none" w:sz="0" w:space="0" w:color="auto"/>
            <w:left w:val="none" w:sz="0" w:space="0" w:color="auto"/>
            <w:bottom w:val="none" w:sz="0" w:space="0" w:color="auto"/>
            <w:right w:val="none" w:sz="0" w:space="0" w:color="auto"/>
          </w:divBdr>
          <w:divsChild>
            <w:div w:id="679043856">
              <w:marLeft w:val="0"/>
              <w:marRight w:val="0"/>
              <w:marTop w:val="0"/>
              <w:marBottom w:val="0"/>
              <w:divBdr>
                <w:top w:val="none" w:sz="0" w:space="0" w:color="auto"/>
                <w:left w:val="none" w:sz="0" w:space="0" w:color="auto"/>
                <w:bottom w:val="none" w:sz="0" w:space="0" w:color="auto"/>
                <w:right w:val="none" w:sz="0" w:space="0" w:color="auto"/>
              </w:divBdr>
            </w:div>
          </w:divsChild>
        </w:div>
        <w:div w:id="1943803817">
          <w:marLeft w:val="0"/>
          <w:marRight w:val="0"/>
          <w:marTop w:val="0"/>
          <w:marBottom w:val="0"/>
          <w:divBdr>
            <w:top w:val="none" w:sz="0" w:space="0" w:color="auto"/>
            <w:left w:val="none" w:sz="0" w:space="0" w:color="auto"/>
            <w:bottom w:val="none" w:sz="0" w:space="0" w:color="auto"/>
            <w:right w:val="none" w:sz="0" w:space="0" w:color="auto"/>
          </w:divBdr>
          <w:divsChild>
            <w:div w:id="1875576545">
              <w:marLeft w:val="0"/>
              <w:marRight w:val="0"/>
              <w:marTop w:val="0"/>
              <w:marBottom w:val="0"/>
              <w:divBdr>
                <w:top w:val="none" w:sz="0" w:space="0" w:color="auto"/>
                <w:left w:val="none" w:sz="0" w:space="0" w:color="auto"/>
                <w:bottom w:val="none" w:sz="0" w:space="0" w:color="auto"/>
                <w:right w:val="none" w:sz="0" w:space="0" w:color="auto"/>
              </w:divBdr>
            </w:div>
          </w:divsChild>
        </w:div>
        <w:div w:id="1963730907">
          <w:marLeft w:val="0"/>
          <w:marRight w:val="0"/>
          <w:marTop w:val="0"/>
          <w:marBottom w:val="0"/>
          <w:divBdr>
            <w:top w:val="none" w:sz="0" w:space="0" w:color="auto"/>
            <w:left w:val="none" w:sz="0" w:space="0" w:color="auto"/>
            <w:bottom w:val="none" w:sz="0" w:space="0" w:color="auto"/>
            <w:right w:val="none" w:sz="0" w:space="0" w:color="auto"/>
          </w:divBdr>
          <w:divsChild>
            <w:div w:id="735669622">
              <w:marLeft w:val="0"/>
              <w:marRight w:val="0"/>
              <w:marTop w:val="0"/>
              <w:marBottom w:val="0"/>
              <w:divBdr>
                <w:top w:val="none" w:sz="0" w:space="0" w:color="auto"/>
                <w:left w:val="none" w:sz="0" w:space="0" w:color="auto"/>
                <w:bottom w:val="none" w:sz="0" w:space="0" w:color="auto"/>
                <w:right w:val="none" w:sz="0" w:space="0" w:color="auto"/>
              </w:divBdr>
            </w:div>
          </w:divsChild>
        </w:div>
        <w:div w:id="1982998412">
          <w:marLeft w:val="0"/>
          <w:marRight w:val="0"/>
          <w:marTop w:val="0"/>
          <w:marBottom w:val="0"/>
          <w:divBdr>
            <w:top w:val="none" w:sz="0" w:space="0" w:color="auto"/>
            <w:left w:val="none" w:sz="0" w:space="0" w:color="auto"/>
            <w:bottom w:val="none" w:sz="0" w:space="0" w:color="auto"/>
            <w:right w:val="none" w:sz="0" w:space="0" w:color="auto"/>
          </w:divBdr>
          <w:divsChild>
            <w:div w:id="1957062196">
              <w:marLeft w:val="0"/>
              <w:marRight w:val="0"/>
              <w:marTop w:val="0"/>
              <w:marBottom w:val="0"/>
              <w:divBdr>
                <w:top w:val="none" w:sz="0" w:space="0" w:color="auto"/>
                <w:left w:val="none" w:sz="0" w:space="0" w:color="auto"/>
                <w:bottom w:val="none" w:sz="0" w:space="0" w:color="auto"/>
                <w:right w:val="none" w:sz="0" w:space="0" w:color="auto"/>
              </w:divBdr>
            </w:div>
          </w:divsChild>
        </w:div>
        <w:div w:id="2014214089">
          <w:marLeft w:val="0"/>
          <w:marRight w:val="0"/>
          <w:marTop w:val="0"/>
          <w:marBottom w:val="0"/>
          <w:divBdr>
            <w:top w:val="none" w:sz="0" w:space="0" w:color="auto"/>
            <w:left w:val="none" w:sz="0" w:space="0" w:color="auto"/>
            <w:bottom w:val="none" w:sz="0" w:space="0" w:color="auto"/>
            <w:right w:val="none" w:sz="0" w:space="0" w:color="auto"/>
          </w:divBdr>
          <w:divsChild>
            <w:div w:id="597181261">
              <w:marLeft w:val="0"/>
              <w:marRight w:val="0"/>
              <w:marTop w:val="0"/>
              <w:marBottom w:val="0"/>
              <w:divBdr>
                <w:top w:val="none" w:sz="0" w:space="0" w:color="auto"/>
                <w:left w:val="none" w:sz="0" w:space="0" w:color="auto"/>
                <w:bottom w:val="none" w:sz="0" w:space="0" w:color="auto"/>
                <w:right w:val="none" w:sz="0" w:space="0" w:color="auto"/>
              </w:divBdr>
            </w:div>
          </w:divsChild>
        </w:div>
        <w:div w:id="2039815288">
          <w:marLeft w:val="0"/>
          <w:marRight w:val="0"/>
          <w:marTop w:val="0"/>
          <w:marBottom w:val="0"/>
          <w:divBdr>
            <w:top w:val="none" w:sz="0" w:space="0" w:color="auto"/>
            <w:left w:val="none" w:sz="0" w:space="0" w:color="auto"/>
            <w:bottom w:val="none" w:sz="0" w:space="0" w:color="auto"/>
            <w:right w:val="none" w:sz="0" w:space="0" w:color="auto"/>
          </w:divBdr>
          <w:divsChild>
            <w:div w:id="1582180491">
              <w:marLeft w:val="0"/>
              <w:marRight w:val="0"/>
              <w:marTop w:val="0"/>
              <w:marBottom w:val="0"/>
              <w:divBdr>
                <w:top w:val="none" w:sz="0" w:space="0" w:color="auto"/>
                <w:left w:val="none" w:sz="0" w:space="0" w:color="auto"/>
                <w:bottom w:val="none" w:sz="0" w:space="0" w:color="auto"/>
                <w:right w:val="none" w:sz="0" w:space="0" w:color="auto"/>
              </w:divBdr>
            </w:div>
          </w:divsChild>
        </w:div>
        <w:div w:id="2065905546">
          <w:marLeft w:val="0"/>
          <w:marRight w:val="0"/>
          <w:marTop w:val="0"/>
          <w:marBottom w:val="0"/>
          <w:divBdr>
            <w:top w:val="none" w:sz="0" w:space="0" w:color="auto"/>
            <w:left w:val="none" w:sz="0" w:space="0" w:color="auto"/>
            <w:bottom w:val="none" w:sz="0" w:space="0" w:color="auto"/>
            <w:right w:val="none" w:sz="0" w:space="0" w:color="auto"/>
          </w:divBdr>
          <w:divsChild>
            <w:div w:id="390084155">
              <w:marLeft w:val="0"/>
              <w:marRight w:val="0"/>
              <w:marTop w:val="0"/>
              <w:marBottom w:val="0"/>
              <w:divBdr>
                <w:top w:val="none" w:sz="0" w:space="0" w:color="auto"/>
                <w:left w:val="none" w:sz="0" w:space="0" w:color="auto"/>
                <w:bottom w:val="none" w:sz="0" w:space="0" w:color="auto"/>
                <w:right w:val="none" w:sz="0" w:space="0" w:color="auto"/>
              </w:divBdr>
            </w:div>
          </w:divsChild>
        </w:div>
        <w:div w:id="2071729215">
          <w:marLeft w:val="0"/>
          <w:marRight w:val="0"/>
          <w:marTop w:val="0"/>
          <w:marBottom w:val="0"/>
          <w:divBdr>
            <w:top w:val="none" w:sz="0" w:space="0" w:color="auto"/>
            <w:left w:val="none" w:sz="0" w:space="0" w:color="auto"/>
            <w:bottom w:val="none" w:sz="0" w:space="0" w:color="auto"/>
            <w:right w:val="none" w:sz="0" w:space="0" w:color="auto"/>
          </w:divBdr>
          <w:divsChild>
            <w:div w:id="90711376">
              <w:marLeft w:val="0"/>
              <w:marRight w:val="0"/>
              <w:marTop w:val="0"/>
              <w:marBottom w:val="0"/>
              <w:divBdr>
                <w:top w:val="none" w:sz="0" w:space="0" w:color="auto"/>
                <w:left w:val="none" w:sz="0" w:space="0" w:color="auto"/>
                <w:bottom w:val="none" w:sz="0" w:space="0" w:color="auto"/>
                <w:right w:val="none" w:sz="0" w:space="0" w:color="auto"/>
              </w:divBdr>
            </w:div>
          </w:divsChild>
        </w:div>
        <w:div w:id="2097751831">
          <w:marLeft w:val="0"/>
          <w:marRight w:val="0"/>
          <w:marTop w:val="0"/>
          <w:marBottom w:val="0"/>
          <w:divBdr>
            <w:top w:val="none" w:sz="0" w:space="0" w:color="auto"/>
            <w:left w:val="none" w:sz="0" w:space="0" w:color="auto"/>
            <w:bottom w:val="none" w:sz="0" w:space="0" w:color="auto"/>
            <w:right w:val="none" w:sz="0" w:space="0" w:color="auto"/>
          </w:divBdr>
          <w:divsChild>
            <w:div w:id="952856967">
              <w:marLeft w:val="0"/>
              <w:marRight w:val="0"/>
              <w:marTop w:val="0"/>
              <w:marBottom w:val="0"/>
              <w:divBdr>
                <w:top w:val="none" w:sz="0" w:space="0" w:color="auto"/>
                <w:left w:val="none" w:sz="0" w:space="0" w:color="auto"/>
                <w:bottom w:val="none" w:sz="0" w:space="0" w:color="auto"/>
                <w:right w:val="none" w:sz="0" w:space="0" w:color="auto"/>
              </w:divBdr>
            </w:div>
          </w:divsChild>
        </w:div>
        <w:div w:id="2103330016">
          <w:marLeft w:val="0"/>
          <w:marRight w:val="0"/>
          <w:marTop w:val="0"/>
          <w:marBottom w:val="0"/>
          <w:divBdr>
            <w:top w:val="none" w:sz="0" w:space="0" w:color="auto"/>
            <w:left w:val="none" w:sz="0" w:space="0" w:color="auto"/>
            <w:bottom w:val="none" w:sz="0" w:space="0" w:color="auto"/>
            <w:right w:val="none" w:sz="0" w:space="0" w:color="auto"/>
          </w:divBdr>
          <w:divsChild>
            <w:div w:id="1871187895">
              <w:marLeft w:val="0"/>
              <w:marRight w:val="0"/>
              <w:marTop w:val="0"/>
              <w:marBottom w:val="0"/>
              <w:divBdr>
                <w:top w:val="none" w:sz="0" w:space="0" w:color="auto"/>
                <w:left w:val="none" w:sz="0" w:space="0" w:color="auto"/>
                <w:bottom w:val="none" w:sz="0" w:space="0" w:color="auto"/>
                <w:right w:val="none" w:sz="0" w:space="0" w:color="auto"/>
              </w:divBdr>
            </w:div>
          </w:divsChild>
        </w:div>
        <w:div w:id="2116243501">
          <w:marLeft w:val="0"/>
          <w:marRight w:val="0"/>
          <w:marTop w:val="0"/>
          <w:marBottom w:val="0"/>
          <w:divBdr>
            <w:top w:val="none" w:sz="0" w:space="0" w:color="auto"/>
            <w:left w:val="none" w:sz="0" w:space="0" w:color="auto"/>
            <w:bottom w:val="none" w:sz="0" w:space="0" w:color="auto"/>
            <w:right w:val="none" w:sz="0" w:space="0" w:color="auto"/>
          </w:divBdr>
          <w:divsChild>
            <w:div w:id="382338318">
              <w:marLeft w:val="0"/>
              <w:marRight w:val="0"/>
              <w:marTop w:val="0"/>
              <w:marBottom w:val="0"/>
              <w:divBdr>
                <w:top w:val="none" w:sz="0" w:space="0" w:color="auto"/>
                <w:left w:val="none" w:sz="0" w:space="0" w:color="auto"/>
                <w:bottom w:val="none" w:sz="0" w:space="0" w:color="auto"/>
                <w:right w:val="none" w:sz="0" w:space="0" w:color="auto"/>
              </w:divBdr>
            </w:div>
          </w:divsChild>
        </w:div>
        <w:div w:id="2125267609">
          <w:marLeft w:val="0"/>
          <w:marRight w:val="0"/>
          <w:marTop w:val="0"/>
          <w:marBottom w:val="0"/>
          <w:divBdr>
            <w:top w:val="none" w:sz="0" w:space="0" w:color="auto"/>
            <w:left w:val="none" w:sz="0" w:space="0" w:color="auto"/>
            <w:bottom w:val="none" w:sz="0" w:space="0" w:color="auto"/>
            <w:right w:val="none" w:sz="0" w:space="0" w:color="auto"/>
          </w:divBdr>
          <w:divsChild>
            <w:div w:id="1257789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037864">
      <w:bodyDiv w:val="1"/>
      <w:marLeft w:val="0"/>
      <w:marRight w:val="0"/>
      <w:marTop w:val="0"/>
      <w:marBottom w:val="0"/>
      <w:divBdr>
        <w:top w:val="none" w:sz="0" w:space="0" w:color="auto"/>
        <w:left w:val="none" w:sz="0" w:space="0" w:color="auto"/>
        <w:bottom w:val="none" w:sz="0" w:space="0" w:color="auto"/>
        <w:right w:val="none" w:sz="0" w:space="0" w:color="auto"/>
      </w:divBdr>
    </w:div>
    <w:div w:id="1855339033">
      <w:bodyDiv w:val="1"/>
      <w:marLeft w:val="0"/>
      <w:marRight w:val="0"/>
      <w:marTop w:val="0"/>
      <w:marBottom w:val="0"/>
      <w:divBdr>
        <w:top w:val="none" w:sz="0" w:space="0" w:color="auto"/>
        <w:left w:val="none" w:sz="0" w:space="0" w:color="auto"/>
        <w:bottom w:val="none" w:sz="0" w:space="0" w:color="auto"/>
        <w:right w:val="none" w:sz="0" w:space="0" w:color="auto"/>
      </w:divBdr>
    </w:div>
    <w:div w:id="1903371686">
      <w:bodyDiv w:val="1"/>
      <w:marLeft w:val="0"/>
      <w:marRight w:val="0"/>
      <w:marTop w:val="0"/>
      <w:marBottom w:val="0"/>
      <w:divBdr>
        <w:top w:val="none" w:sz="0" w:space="0" w:color="auto"/>
        <w:left w:val="none" w:sz="0" w:space="0" w:color="auto"/>
        <w:bottom w:val="none" w:sz="0" w:space="0" w:color="auto"/>
        <w:right w:val="none" w:sz="0" w:space="0" w:color="auto"/>
      </w:divBdr>
    </w:div>
    <w:div w:id="1903710544">
      <w:bodyDiv w:val="1"/>
      <w:marLeft w:val="0"/>
      <w:marRight w:val="0"/>
      <w:marTop w:val="0"/>
      <w:marBottom w:val="0"/>
      <w:divBdr>
        <w:top w:val="none" w:sz="0" w:space="0" w:color="auto"/>
        <w:left w:val="none" w:sz="0" w:space="0" w:color="auto"/>
        <w:bottom w:val="none" w:sz="0" w:space="0" w:color="auto"/>
        <w:right w:val="none" w:sz="0" w:space="0" w:color="auto"/>
      </w:divBdr>
    </w:div>
    <w:div w:id="1905096358">
      <w:bodyDiv w:val="1"/>
      <w:marLeft w:val="0"/>
      <w:marRight w:val="0"/>
      <w:marTop w:val="0"/>
      <w:marBottom w:val="0"/>
      <w:divBdr>
        <w:top w:val="none" w:sz="0" w:space="0" w:color="auto"/>
        <w:left w:val="none" w:sz="0" w:space="0" w:color="auto"/>
        <w:bottom w:val="none" w:sz="0" w:space="0" w:color="auto"/>
        <w:right w:val="none" w:sz="0" w:space="0" w:color="auto"/>
      </w:divBdr>
    </w:div>
    <w:div w:id="1918854438">
      <w:bodyDiv w:val="1"/>
      <w:marLeft w:val="0"/>
      <w:marRight w:val="0"/>
      <w:marTop w:val="0"/>
      <w:marBottom w:val="0"/>
      <w:divBdr>
        <w:top w:val="none" w:sz="0" w:space="0" w:color="auto"/>
        <w:left w:val="none" w:sz="0" w:space="0" w:color="auto"/>
        <w:bottom w:val="none" w:sz="0" w:space="0" w:color="auto"/>
        <w:right w:val="none" w:sz="0" w:space="0" w:color="auto"/>
      </w:divBdr>
    </w:div>
    <w:div w:id="1936740125">
      <w:bodyDiv w:val="1"/>
      <w:marLeft w:val="0"/>
      <w:marRight w:val="0"/>
      <w:marTop w:val="0"/>
      <w:marBottom w:val="0"/>
      <w:divBdr>
        <w:top w:val="none" w:sz="0" w:space="0" w:color="auto"/>
        <w:left w:val="none" w:sz="0" w:space="0" w:color="auto"/>
        <w:bottom w:val="none" w:sz="0" w:space="0" w:color="auto"/>
        <w:right w:val="none" w:sz="0" w:space="0" w:color="auto"/>
      </w:divBdr>
    </w:div>
    <w:div w:id="1952321977">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 w:id="2067873662">
      <w:bodyDiv w:val="1"/>
      <w:marLeft w:val="0"/>
      <w:marRight w:val="0"/>
      <w:marTop w:val="0"/>
      <w:marBottom w:val="0"/>
      <w:divBdr>
        <w:top w:val="none" w:sz="0" w:space="0" w:color="auto"/>
        <w:left w:val="none" w:sz="0" w:space="0" w:color="auto"/>
        <w:bottom w:val="none" w:sz="0" w:space="0" w:color="auto"/>
        <w:right w:val="none" w:sz="0" w:space="0" w:color="auto"/>
      </w:divBdr>
    </w:div>
    <w:div w:id="2123450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f856f8d-13b3-495a-9a4b-41f8182eda4c">
      <Terms xmlns="http://schemas.microsoft.com/office/infopath/2007/PartnerControls"/>
    </lcf76f155ced4ddcb4097134ff3c332f>
    <TaxCatchAll xmlns="72f95629-adac-4ec1-8738-e1cec852b92b" xsi:nil="true"/>
    <Datecreated xmlns="7f856f8d-13b3-495a-9a4b-41f8182eda4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7FED174C5281F747A8037A05221D6DBD" ma:contentTypeVersion="15" ma:contentTypeDescription="Create a new document." ma:contentTypeScope="" ma:versionID="800ebfdfa1bbf1ff6c9cf58b3ab635a0">
  <xsd:schema xmlns:xsd="http://www.w3.org/2001/XMLSchema" xmlns:xs="http://www.w3.org/2001/XMLSchema" xmlns:p="http://schemas.microsoft.com/office/2006/metadata/properties" xmlns:ns2="7f856f8d-13b3-495a-9a4b-41f8182eda4c" xmlns:ns3="72f95629-adac-4ec1-8738-e1cec852b92b" targetNamespace="http://schemas.microsoft.com/office/2006/metadata/properties" ma:root="true" ma:fieldsID="cd488804b94607c00d160a5d5b6e66e9" ns2:_="" ns3:_="">
    <xsd:import namespace="7f856f8d-13b3-495a-9a4b-41f8182eda4c"/>
    <xsd:import namespace="72f95629-adac-4ec1-8738-e1cec852b9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element ref="ns2:Datecre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56f8d-13b3-495a-9a4b-41f8182eda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Datecreated" ma:index="22" nillable="true" ma:displayName="Date created" ma:description="date created" ma:format="DateOnly" ma:internalName="Datecreat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2f95629-adac-4ec1-8738-e1cec852b92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9ae0e28-eb5b-45a0-b45a-3f44301ba7c5}" ma:internalName="TaxCatchAll" ma:showField="CatchAllData" ma:web="72f95629-adac-4ec1-8738-e1cec852b9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94D53F-FD7F-45E0-AA16-58FE29A5E427}">
  <ds:schemaRefs>
    <ds:schemaRef ds:uri="http://schemas.microsoft.com/office/2006/metadata/properties"/>
    <ds:schemaRef ds:uri="http://schemas.microsoft.com/office/infopath/2007/PartnerControls"/>
    <ds:schemaRef ds:uri="7f856f8d-13b3-495a-9a4b-41f8182eda4c"/>
    <ds:schemaRef ds:uri="72f95629-adac-4ec1-8738-e1cec852b92b"/>
  </ds:schemaRefs>
</ds:datastoreItem>
</file>

<file path=customXml/itemProps2.xml><?xml version="1.0" encoding="utf-8"?>
<ds:datastoreItem xmlns:ds="http://schemas.openxmlformats.org/officeDocument/2006/customXml" ds:itemID="{437A5D90-BA3C-4369-ACD8-355990E153C3}">
  <ds:schemaRefs>
    <ds:schemaRef ds:uri="http://schemas.microsoft.com/sharepoint/v3/contenttype/forms"/>
  </ds:schemaRefs>
</ds:datastoreItem>
</file>

<file path=customXml/itemProps3.xml><?xml version="1.0" encoding="utf-8"?>
<ds:datastoreItem xmlns:ds="http://schemas.openxmlformats.org/officeDocument/2006/customXml" ds:itemID="{42E83014-4E88-420D-9D25-5F827ED8DAFF}">
  <ds:schemaRefs>
    <ds:schemaRef ds:uri="http://schemas.openxmlformats.org/officeDocument/2006/bibliography"/>
  </ds:schemaRefs>
</ds:datastoreItem>
</file>

<file path=customXml/itemProps4.xml><?xml version="1.0" encoding="utf-8"?>
<ds:datastoreItem xmlns:ds="http://schemas.openxmlformats.org/officeDocument/2006/customXml" ds:itemID="{9967A528-42EF-4B2E-8388-5E615711DE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856f8d-13b3-495a-9a4b-41f8182eda4c"/>
    <ds:schemaRef ds:uri="72f95629-adac-4ec1-8738-e1cec852b9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2b3e37e-8171-485d-b10b-38dae7ed14a8}" enabled="0" method="" siteId="{82b3e37e-8171-485d-b10b-38dae7ed14a8}"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60</Pages>
  <Words>23851</Words>
  <Characters>135955</Characters>
  <Application>Microsoft Office Word</Application>
  <DocSecurity>0</DocSecurity>
  <Lines>1132</Lines>
  <Paragraphs>318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2025-12-14T23:04:00Z</dcterms:created>
  <dcterms:modified xsi:type="dcterms:W3CDTF">2026-03-19T23:24:00Z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4601119b,5529cb84,43b71206</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67441e89,6aabfe70,1079d098</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2025-12-14T23:05:12Z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e9ad9d91-0344-42e2-8d38-cbe89065b45e</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y fmtid="{D5CDD505-2E9C-101B-9397-08002B2CF9AE}" pid="16" name="MSIP_Label_7454fd80-e2ff-40dc-a7ce-a8751429c4f7_SiteId">
    <vt:lpwstr>e8911c26-cf9f-4a9c-878e-527807be8791</vt:lpwstr>
  </property>
  <property fmtid="{D5CDD505-2E9C-101B-9397-08002B2CF9AE}" pid="17" name="MSIP_Label_7cd3e8b9-ffed-43a8-b7f4-cc2fa0382d36_Removed">
    <vt:lpwstr>False</vt:lpwstr>
  </property>
  <property fmtid="{D5CDD505-2E9C-101B-9397-08002B2CF9AE}" pid="18" name="MSIP_Label_7454fd80-e2ff-40dc-a7ce-a8751429c4f7_Method">
    <vt:lpwstr>Privileged</vt:lpwstr>
  </property>
  <property fmtid="{D5CDD505-2E9C-101B-9397-08002B2CF9AE}" pid="19" name="MSIP_Label_7454fd80-e2ff-40dc-a7ce-a8751429c4f7_ContentBits">
    <vt:lpwstr>0</vt:lpwstr>
  </property>
  <property fmtid="{D5CDD505-2E9C-101B-9397-08002B2CF9AE}" pid="20" name="MSIP_Label_7454fd80-e2ff-40dc-a7ce-a8751429c4f7_ActionId">
    <vt:lpwstr>1a64dbe4-348a-4faf-bd04-1ccbfa0ca545</vt:lpwstr>
  </property>
  <property fmtid="{D5CDD505-2E9C-101B-9397-08002B2CF9AE}" pid="21" name="MediaServiceImageTags">
    <vt:lpwstr/>
  </property>
  <property fmtid="{D5CDD505-2E9C-101B-9397-08002B2CF9AE}" pid="22" name="ContentTypeId">
    <vt:lpwstr>0x0101007FED174C5281F747A8037A05221D6DBD</vt:lpwstr>
  </property>
  <property fmtid="{D5CDD505-2E9C-101B-9397-08002B2CF9AE}" pid="23" name="docLang">
    <vt:lpwstr>en</vt:lpwstr>
  </property>
  <property fmtid="{D5CDD505-2E9C-101B-9397-08002B2CF9AE}" pid="24" name="MSIP_Label_7cd3e8b9-ffed-43a8-b7f4-cc2fa0382d36_Extended_MSFT_Method">
    <vt:lpwstr>Standard</vt:lpwstr>
  </property>
  <property fmtid="{D5CDD505-2E9C-101B-9397-08002B2CF9AE}" pid="25" name="MSIP_Label_7454fd80-e2ff-40dc-a7ce-a8751429c4f7_Name">
    <vt:lpwstr>UTS-Confidential</vt:lpwstr>
  </property>
  <property fmtid="{D5CDD505-2E9C-101B-9397-08002B2CF9AE}" pid="26" name="MSIP_Label_7454fd80-e2ff-40dc-a7ce-a8751429c4f7_Enabled">
    <vt:lpwstr>true</vt:lpwstr>
  </property>
  <property fmtid="{D5CDD505-2E9C-101B-9397-08002B2CF9AE}" pid="27" name="MSIP_Label_7454fd80-e2ff-40dc-a7ce-a8751429c4f7_Tag">
    <vt:lpwstr>10, 2, 1, 1</vt:lpwstr>
  </property>
  <property fmtid="{D5CDD505-2E9C-101B-9397-08002B2CF9AE}" pid="28" name="MSIP_Label_7454fd80-e2ff-40dc-a7ce-a8751429c4f7_SetDate">
    <vt:lpwstr>2025-09-05T02:50:53Z</vt:lpwstr>
  </property>
</Properties>
</file>