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B189" w14:textId="2010B650" w:rsidR="00A8098B" w:rsidRPr="00A608AD" w:rsidRDefault="00A608AD" w:rsidP="00A608AD">
      <w:pPr>
        <w:pStyle w:val="1-MainHeading"/>
        <w:spacing w:before="0"/>
      </w:pPr>
      <w:bookmarkStart w:id="0" w:name="_Toc202884164"/>
      <w:bookmarkStart w:id="1" w:name="_Toc209004894"/>
      <w:bookmarkStart w:id="2" w:name="_Toc22897637"/>
      <w:r w:rsidRPr="009F57D8">
        <w:t>5.01</w:t>
      </w:r>
      <w:r w:rsidRPr="009F57D8">
        <w:tab/>
        <w:t xml:space="preserve">21-VALENT PNEUMOCOCCAL CONJUGATE VACCINE </w:t>
      </w:r>
      <w:r w:rsidRPr="009F57D8">
        <w:br/>
        <w:t xml:space="preserve">Injection, 0.5 mL </w:t>
      </w:r>
      <w:r w:rsidRPr="009F57D8">
        <w:br/>
        <w:t xml:space="preserve">Capvaxive® </w:t>
      </w:r>
      <w:r w:rsidRPr="009F57D8">
        <w:br/>
        <w:t>MERCK SHARP &amp; DOHME (AUSTRALIA) PTY LTD.</w:t>
      </w:r>
    </w:p>
    <w:p w14:paraId="5D3B5CF9" w14:textId="77777777" w:rsidR="00B84A8C" w:rsidRPr="009F57D8" w:rsidRDefault="00B84A8C" w:rsidP="00B84A8C">
      <w:pPr>
        <w:pStyle w:val="2-SectionHeading"/>
        <w:numPr>
          <w:ilvl w:val="0"/>
          <w:numId w:val="1"/>
        </w:numPr>
      </w:pPr>
      <w:bookmarkStart w:id="3" w:name="_Toc202884166"/>
      <w:bookmarkStart w:id="4" w:name="_Toc209004896"/>
      <w:bookmarkStart w:id="5" w:name="_Toc22897645"/>
      <w:bookmarkEnd w:id="0"/>
      <w:bookmarkEnd w:id="1"/>
      <w:bookmarkEnd w:id="2"/>
      <w:r w:rsidRPr="009F57D8">
        <w:t>Purpose of submission</w:t>
      </w:r>
      <w:bookmarkEnd w:id="3"/>
      <w:bookmarkEnd w:id="4"/>
    </w:p>
    <w:p w14:paraId="496AB458" w14:textId="4DB4F73E" w:rsidR="00B84A8C" w:rsidRPr="009F57D8" w:rsidRDefault="00B84A8C" w:rsidP="00B84A8C">
      <w:pPr>
        <w:pStyle w:val="3-BodyText"/>
        <w:numPr>
          <w:ilvl w:val="1"/>
          <w:numId w:val="1"/>
        </w:numPr>
      </w:pPr>
      <w:r w:rsidRPr="009F57D8">
        <w:t>The Category 2 submission requested a National Immunisation Program (NIP) listing for 21-valent pneumococcal conjugate vaccine (</w:t>
      </w:r>
      <w:r w:rsidR="006F4CC4" w:rsidRPr="009F57D8">
        <w:t>21vPCV</w:t>
      </w:r>
      <w:r w:rsidRPr="009F57D8">
        <w:t xml:space="preserve">) for the prevention of pneumococcal disease in the current NIP adult populations: non-Indigenous adults aged ≥ 70 years, adults with medically at-risk conditions (MaR) ≥ 18 years, and </w:t>
      </w:r>
      <w:r w:rsidR="00D04DE7" w:rsidRPr="009F57D8">
        <w:t>Aboriginal and Torres Strait Islander adults</w:t>
      </w:r>
      <w:r w:rsidRPr="009F57D8">
        <w:t xml:space="preserve"> aged ≥ 50 years. Additionally, the submission requested listing in </w:t>
      </w:r>
      <w:r w:rsidR="00D04DE7" w:rsidRPr="009F57D8">
        <w:t>Aboriginal and Torres Strait Islander adults</w:t>
      </w:r>
      <w:r w:rsidRPr="009F57D8">
        <w:t xml:space="preserve"> 25 to 49 years of age </w:t>
      </w:r>
      <w:r w:rsidRPr="009F57D8">
        <w:rPr>
          <w:rFonts w:cstheme="minorHAnsi"/>
        </w:rPr>
        <w:t xml:space="preserve">(regardless of risk conditions).  </w:t>
      </w:r>
    </w:p>
    <w:p w14:paraId="1D955F6D" w14:textId="55ADB4AF" w:rsidR="00B84A8C" w:rsidRPr="009F57D8" w:rsidRDefault="00B84A8C" w:rsidP="00B84A8C">
      <w:pPr>
        <w:pStyle w:val="3-BodyText"/>
        <w:numPr>
          <w:ilvl w:val="1"/>
          <w:numId w:val="1"/>
        </w:numPr>
      </w:pPr>
      <w:r w:rsidRPr="009F57D8">
        <w:rPr>
          <w:rFonts w:cstheme="minorHAnsi"/>
        </w:rPr>
        <w:t xml:space="preserve">The submission requested a catch-up program for individuals within the requested populations that were vaccinated prior to implementation of </w:t>
      </w:r>
      <w:r w:rsidR="006F4CC4" w:rsidRPr="009F57D8">
        <w:rPr>
          <w:rFonts w:cstheme="minorHAnsi"/>
        </w:rPr>
        <w:t>21vPCV</w:t>
      </w:r>
      <w:r w:rsidRPr="009F57D8">
        <w:rPr>
          <w:rFonts w:cstheme="minorHAnsi"/>
        </w:rPr>
        <w:t xml:space="preserve"> on the NIP (see paragraph</w:t>
      </w:r>
      <w:r w:rsidR="00A1311A" w:rsidRPr="009F57D8">
        <w:rPr>
          <w:rFonts w:cstheme="minorHAnsi"/>
        </w:rPr>
        <w:t xml:space="preserve"> </w:t>
      </w:r>
      <w:r w:rsidR="00A1311A" w:rsidRPr="009F57D8">
        <w:rPr>
          <w:rFonts w:cstheme="minorHAnsi"/>
        </w:rPr>
        <w:fldChar w:fldCharType="begin"/>
      </w:r>
      <w:r w:rsidR="00A1311A" w:rsidRPr="009F57D8">
        <w:rPr>
          <w:rFonts w:cstheme="minorHAnsi"/>
        </w:rPr>
        <w:instrText xml:space="preserve"> REF _Ref214893195 \r \h </w:instrText>
      </w:r>
      <w:r w:rsidR="00A1311A" w:rsidRPr="009F57D8">
        <w:rPr>
          <w:rFonts w:cstheme="minorHAnsi"/>
        </w:rPr>
      </w:r>
      <w:r w:rsidR="00A1311A" w:rsidRPr="009F57D8">
        <w:rPr>
          <w:rFonts w:cstheme="minorHAnsi"/>
        </w:rPr>
        <w:fldChar w:fldCharType="separate"/>
      </w:r>
      <w:r w:rsidR="00581386">
        <w:rPr>
          <w:rFonts w:cstheme="minorHAnsi"/>
        </w:rPr>
        <w:t>3.8</w:t>
      </w:r>
      <w:r w:rsidR="00A1311A" w:rsidRPr="009F57D8">
        <w:rPr>
          <w:rFonts w:cstheme="minorHAnsi"/>
        </w:rPr>
        <w:fldChar w:fldCharType="end"/>
      </w:r>
      <w:r w:rsidRPr="009F57D8">
        <w:rPr>
          <w:rFonts w:cstheme="minorHAnsi"/>
        </w:rPr>
        <w:t xml:space="preserve">). </w:t>
      </w:r>
      <w:r w:rsidR="007404D7" w:rsidRPr="009F57D8">
        <w:rPr>
          <w:rFonts w:cstheme="minorHAnsi"/>
        </w:rPr>
        <w:t xml:space="preserve"> The submission requested that the catch-up program run for three years.</w:t>
      </w:r>
    </w:p>
    <w:p w14:paraId="067A88B5" w14:textId="144FF038" w:rsidR="00B84A8C" w:rsidRPr="009F57D8" w:rsidRDefault="00B84A8C" w:rsidP="00B84A8C">
      <w:pPr>
        <w:pStyle w:val="3-BodyText"/>
        <w:numPr>
          <w:ilvl w:val="1"/>
          <w:numId w:val="1"/>
        </w:numPr>
      </w:pPr>
      <w:r w:rsidRPr="009F57D8">
        <w:rPr>
          <w:rFonts w:cstheme="minorHAnsi"/>
        </w:rPr>
        <w:t xml:space="preserve">The submission </w:t>
      </w:r>
      <w:r w:rsidRPr="009F57D8">
        <w:t xml:space="preserve">noted that the </w:t>
      </w:r>
      <w:r w:rsidR="00512A58" w:rsidRPr="009F57D8">
        <w:t>Australian Technical Advisory Group on Immunisation (</w:t>
      </w:r>
      <w:r w:rsidRPr="009F57D8">
        <w:t>ATAGI</w:t>
      </w:r>
      <w:r w:rsidR="00512A58" w:rsidRPr="009F57D8">
        <w:t>)</w:t>
      </w:r>
      <w:r w:rsidRPr="009F57D8">
        <w:t xml:space="preserve"> recently recommended </w:t>
      </w:r>
      <w:r w:rsidRPr="009F57D8">
        <w:rPr>
          <w:rFonts w:cstheme="minorHAnsi"/>
        </w:rPr>
        <w:t xml:space="preserve">lowering the age threshold to 65 years for </w:t>
      </w:r>
      <w:r w:rsidRPr="009F57D8">
        <w:t xml:space="preserve">non-Indigenous adults (see paragraph </w:t>
      </w:r>
      <w:r w:rsidRPr="009F57D8">
        <w:fldChar w:fldCharType="begin"/>
      </w:r>
      <w:r w:rsidRPr="009F57D8">
        <w:instrText xml:space="preserve"> REF _Ref208497616 \r \h </w:instrText>
      </w:r>
      <w:r w:rsidRPr="009F57D8">
        <w:fldChar w:fldCharType="separate"/>
      </w:r>
      <w:r w:rsidR="00581386">
        <w:t>3.3</w:t>
      </w:r>
      <w:r w:rsidRPr="009F57D8">
        <w:fldChar w:fldCharType="end"/>
      </w:r>
      <w:r w:rsidRPr="009F57D8">
        <w:t>)</w:t>
      </w:r>
      <w:r w:rsidRPr="009F57D8">
        <w:rPr>
          <w:rFonts w:cstheme="minorHAnsi"/>
        </w:rPr>
        <w:t xml:space="preserve"> and presented sensitivity analyses in the economic evaluation and financial estimates to reflect this population</w:t>
      </w:r>
      <w:r w:rsidR="0014545C" w:rsidRPr="009F57D8">
        <w:rPr>
          <w:rFonts w:cstheme="minorHAnsi"/>
        </w:rPr>
        <w:t>.</w:t>
      </w:r>
    </w:p>
    <w:p w14:paraId="25DB2C65" w14:textId="3DA6FB23" w:rsidR="00B84A8C" w:rsidRPr="009F57D8" w:rsidRDefault="00B84A8C" w:rsidP="008B013E">
      <w:pPr>
        <w:pStyle w:val="3-BodyText"/>
        <w:numPr>
          <w:ilvl w:val="1"/>
          <w:numId w:val="1"/>
        </w:numPr>
      </w:pPr>
      <w:r w:rsidRPr="009F57D8">
        <w:t>Listing was requested on the basis of a cost-utility analysis (CUA) versus the currently listed 13-valent pneumococcal conjugate vaccine (13vPCV) and the near market 20</w:t>
      </w:r>
      <w:r w:rsidRPr="009F57D8">
        <w:noBreakHyphen/>
        <w:t xml:space="preserve">valent pneumococcal conjugate vaccine (20vPCV). For </w:t>
      </w:r>
      <w:r w:rsidR="00D04DE7" w:rsidRPr="009F57D8">
        <w:t>Aboriginal and Torres Strait Islander adults</w:t>
      </w:r>
      <w:r w:rsidRPr="009F57D8">
        <w:t xml:space="preserve"> aged 25 to 49 years, a cost-minimisation approach (CMA) was presented versus 20vPCV on the basis that 20vPCV was recommended for listing by the P</w:t>
      </w:r>
      <w:r w:rsidR="0065534A" w:rsidRPr="009F57D8">
        <w:t xml:space="preserve">harmaceutical </w:t>
      </w:r>
      <w:r w:rsidRPr="009F57D8">
        <w:t>B</w:t>
      </w:r>
      <w:r w:rsidR="0065534A" w:rsidRPr="009F57D8">
        <w:t xml:space="preserve">enefits </w:t>
      </w:r>
      <w:r w:rsidRPr="009F57D8">
        <w:t>A</w:t>
      </w:r>
      <w:r w:rsidR="0065534A" w:rsidRPr="009F57D8">
        <w:t xml:space="preserve">dvisory </w:t>
      </w:r>
      <w:r w:rsidRPr="009F57D8">
        <w:t>C</w:t>
      </w:r>
      <w:r w:rsidR="0065534A" w:rsidRPr="009F57D8">
        <w:t>ommittee (PBAC)</w:t>
      </w:r>
      <w:r w:rsidRPr="009F57D8">
        <w:t xml:space="preserve"> in this population in November 2022</w:t>
      </w:r>
      <w:r w:rsidR="006F4CC4" w:rsidRPr="009F57D8">
        <w:t>, although</w:t>
      </w:r>
      <w:r w:rsidRPr="009F57D8">
        <w:t xml:space="preserve"> 20vPCV is not yet listed in the NIP</w:t>
      </w:r>
      <w:r w:rsidR="006F4CC4" w:rsidRPr="009F57D8">
        <w:t xml:space="preserve"> schedule for adults</w:t>
      </w:r>
      <w:r w:rsidR="00504C0A" w:rsidRPr="009F57D8">
        <w:t xml:space="preserve">.  In July 2025, </w:t>
      </w:r>
      <w:r w:rsidR="00E0730E" w:rsidRPr="009F57D8">
        <w:t xml:space="preserve">the </w:t>
      </w:r>
      <w:r w:rsidRPr="009F57D8">
        <w:t xml:space="preserve">ATAGI recommended removal of 23vPPV from the adult schedule when the use of 13vPCV is replaced by 21vPCV (or 20vPCV). The key components of the listing are summarised in </w:t>
      </w:r>
      <w:r w:rsidRPr="009F57D8">
        <w:fldChar w:fldCharType="begin"/>
      </w:r>
      <w:r w:rsidRPr="009F57D8">
        <w:instrText xml:space="preserve"> REF _Ref174185465 \h  \* MERGEFORMAT </w:instrText>
      </w:r>
      <w:r w:rsidRPr="009F57D8">
        <w:fldChar w:fldCharType="separate"/>
      </w:r>
      <w:r w:rsidR="00581386" w:rsidRPr="009F57D8">
        <w:t xml:space="preserve">Table </w:t>
      </w:r>
      <w:r w:rsidR="00581386">
        <w:t>1</w:t>
      </w:r>
      <w:r w:rsidRPr="009F57D8">
        <w:fldChar w:fldCharType="end"/>
      </w:r>
      <w:r w:rsidRPr="009F57D8">
        <w:t>.</w:t>
      </w:r>
    </w:p>
    <w:p w14:paraId="773FB6D8" w14:textId="77777777" w:rsidR="00B84A8C" w:rsidRPr="009F57D8" w:rsidRDefault="00B84A8C" w:rsidP="00B84A8C">
      <w:pPr>
        <w:pStyle w:val="3-BodyText"/>
        <w:numPr>
          <w:ilvl w:val="0"/>
          <w:numId w:val="0"/>
        </w:numPr>
      </w:pPr>
    </w:p>
    <w:p w14:paraId="6256739A" w14:textId="0FDB42E4" w:rsidR="00B84A8C" w:rsidRPr="009F57D8" w:rsidRDefault="00B84A8C" w:rsidP="00B84A8C">
      <w:pPr>
        <w:pStyle w:val="TableHeading0"/>
      </w:pPr>
      <w:bookmarkStart w:id="6" w:name="_Ref174185465"/>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w:t>
      </w:r>
      <w:r w:rsidR="00FA4640" w:rsidRPr="009F57D8">
        <w:fldChar w:fldCharType="end"/>
      </w:r>
      <w:bookmarkEnd w:id="6"/>
      <w:r w:rsidRPr="009F57D8">
        <w:t>: Key components of the clinical issue addressed by the submission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155"/>
        <w:gridCol w:w="3815"/>
        <w:gridCol w:w="4047"/>
      </w:tblGrid>
      <w:tr w:rsidR="00B84A8C" w:rsidRPr="006A290E" w14:paraId="7282F634" w14:textId="77777777" w:rsidTr="00016295">
        <w:trPr>
          <w:trHeight w:val="20"/>
          <w:tblHeader/>
        </w:trPr>
        <w:tc>
          <w:tcPr>
            <w:tcW w:w="640" w:type="pct"/>
          </w:tcPr>
          <w:p w14:paraId="299DD3F5" w14:textId="77777777" w:rsidR="00B84A8C" w:rsidRPr="006A290E" w:rsidRDefault="00B84A8C">
            <w:pPr>
              <w:pStyle w:val="TableHeading0"/>
              <w:keepNext w:val="0"/>
              <w:widowControl w:val="0"/>
              <w:rPr>
                <w:szCs w:val="20"/>
              </w:rPr>
            </w:pPr>
            <w:r w:rsidRPr="006A290E">
              <w:rPr>
                <w:szCs w:val="20"/>
              </w:rPr>
              <w:t xml:space="preserve">Component </w:t>
            </w:r>
          </w:p>
        </w:tc>
        <w:tc>
          <w:tcPr>
            <w:tcW w:w="4360" w:type="pct"/>
            <w:gridSpan w:val="2"/>
          </w:tcPr>
          <w:p w14:paraId="26D91EE5" w14:textId="77777777" w:rsidR="00B84A8C" w:rsidRPr="006A290E" w:rsidRDefault="00B84A8C">
            <w:pPr>
              <w:pStyle w:val="TableHeading0"/>
              <w:keepNext w:val="0"/>
              <w:widowControl w:val="0"/>
              <w:rPr>
                <w:szCs w:val="20"/>
              </w:rPr>
            </w:pPr>
            <w:r w:rsidRPr="006A290E">
              <w:rPr>
                <w:szCs w:val="20"/>
              </w:rPr>
              <w:t xml:space="preserve">Description </w:t>
            </w:r>
          </w:p>
        </w:tc>
      </w:tr>
      <w:tr w:rsidR="00B84A8C" w:rsidRPr="006A290E" w14:paraId="7C7BBD25" w14:textId="77777777" w:rsidTr="00016295">
        <w:trPr>
          <w:cantSplit/>
          <w:trHeight w:val="20"/>
        </w:trPr>
        <w:tc>
          <w:tcPr>
            <w:tcW w:w="640" w:type="pct"/>
          </w:tcPr>
          <w:p w14:paraId="252C1FE1" w14:textId="77777777" w:rsidR="00B84A8C" w:rsidRPr="006A290E" w:rsidRDefault="00B84A8C">
            <w:pPr>
              <w:pStyle w:val="TableText0"/>
              <w:keepLines w:val="0"/>
              <w:widowControl w:val="0"/>
              <w:rPr>
                <w:b/>
                <w:bCs w:val="0"/>
                <w:szCs w:val="20"/>
              </w:rPr>
            </w:pPr>
            <w:r w:rsidRPr="006A290E">
              <w:rPr>
                <w:b/>
                <w:bCs w:val="0"/>
                <w:szCs w:val="20"/>
              </w:rPr>
              <w:t xml:space="preserve">Population </w:t>
            </w:r>
          </w:p>
        </w:tc>
        <w:tc>
          <w:tcPr>
            <w:tcW w:w="4360" w:type="pct"/>
            <w:gridSpan w:val="2"/>
          </w:tcPr>
          <w:p w14:paraId="28CFBF4D" w14:textId="77777777" w:rsidR="00B84A8C" w:rsidRPr="006A290E" w:rsidRDefault="00B84A8C">
            <w:pPr>
              <w:pStyle w:val="TableText0"/>
              <w:keepLines w:val="0"/>
              <w:widowControl w:val="0"/>
              <w:rPr>
                <w:szCs w:val="20"/>
              </w:rPr>
            </w:pPr>
            <w:r w:rsidRPr="006A290E">
              <w:rPr>
                <w:szCs w:val="20"/>
              </w:rPr>
              <w:t>Prevention of pneumococcal disease in:</w:t>
            </w:r>
          </w:p>
          <w:p w14:paraId="44EAA82B" w14:textId="77777777" w:rsidR="00B84A8C" w:rsidRPr="006A290E" w:rsidRDefault="00B84A8C">
            <w:pPr>
              <w:pStyle w:val="TableText0"/>
              <w:keepLines w:val="0"/>
              <w:widowControl w:val="0"/>
              <w:rPr>
                <w:szCs w:val="20"/>
              </w:rPr>
            </w:pPr>
            <w:r w:rsidRPr="006A290E">
              <w:rPr>
                <w:szCs w:val="20"/>
              </w:rPr>
              <w:t>Current NIP populations</w:t>
            </w:r>
          </w:p>
          <w:p w14:paraId="79424020" w14:textId="77777777" w:rsidR="00B84A8C" w:rsidRPr="006A290E" w:rsidRDefault="00B84A8C"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Non-Indigenous adults aged ≥ 70 years (regardless of risk conditions)</w:t>
            </w:r>
          </w:p>
          <w:p w14:paraId="7DA308E7" w14:textId="77777777" w:rsidR="00B84A8C" w:rsidRPr="006A290E" w:rsidRDefault="00B84A8C"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Adults (≥18 years) with NIP-funded risk conditions</w:t>
            </w:r>
            <w:r w:rsidRPr="006A290E">
              <w:rPr>
                <w:rFonts w:eastAsiaTheme="majorEastAsia" w:cstheme="majorBidi"/>
                <w:szCs w:val="20"/>
                <w:vertAlign w:val="superscript"/>
              </w:rPr>
              <w:t>a</w:t>
            </w:r>
            <w:r w:rsidRPr="006A290E">
              <w:rPr>
                <w:rFonts w:eastAsiaTheme="majorEastAsia" w:cstheme="majorBidi"/>
                <w:szCs w:val="20"/>
              </w:rPr>
              <w:t xml:space="preserve"> for pneumococcal disease </w:t>
            </w:r>
          </w:p>
          <w:p w14:paraId="72997ABA" w14:textId="686E5C07" w:rsidR="00B84A8C" w:rsidRPr="006A290E" w:rsidRDefault="00D04DE7" w:rsidP="00572866">
            <w:pPr>
              <w:pStyle w:val="Tabletext"/>
              <w:widowControl w:val="0"/>
              <w:numPr>
                <w:ilvl w:val="0"/>
                <w:numId w:val="17"/>
              </w:numPr>
              <w:ind w:left="316" w:hanging="283"/>
              <w:rPr>
                <w:szCs w:val="20"/>
              </w:rPr>
            </w:pPr>
            <w:r w:rsidRPr="006A290E">
              <w:rPr>
                <w:rFonts w:eastAsiaTheme="majorEastAsia" w:cstheme="majorBidi"/>
                <w:szCs w:val="20"/>
              </w:rPr>
              <w:t>Aboriginal and Torres Strait Islander adults</w:t>
            </w:r>
            <w:r w:rsidR="00B84A8C" w:rsidRPr="006A290E">
              <w:rPr>
                <w:szCs w:val="20"/>
              </w:rPr>
              <w:t xml:space="preserve"> aged ≥ 50 years (regardless of risk conditions)</w:t>
            </w:r>
          </w:p>
          <w:p w14:paraId="050638AC" w14:textId="77777777" w:rsidR="00B84A8C" w:rsidRPr="006A290E" w:rsidRDefault="00B84A8C">
            <w:pPr>
              <w:pStyle w:val="TableNoteBullet"/>
              <w:widowControl w:val="0"/>
              <w:numPr>
                <w:ilvl w:val="0"/>
                <w:numId w:val="0"/>
              </w:numPr>
              <w:spacing w:after="0"/>
              <w:rPr>
                <w:bCs/>
                <w:szCs w:val="20"/>
              </w:rPr>
            </w:pPr>
            <w:r w:rsidRPr="006A290E">
              <w:rPr>
                <w:bCs/>
                <w:szCs w:val="20"/>
              </w:rPr>
              <w:t>Proposed expanded NIP population (PBAC approved population)</w:t>
            </w:r>
          </w:p>
          <w:p w14:paraId="5AB8BEC7" w14:textId="1F92E099" w:rsidR="00B84A8C" w:rsidRPr="006A290E" w:rsidRDefault="00D04DE7" w:rsidP="00572866">
            <w:pPr>
              <w:pStyle w:val="Tabletext"/>
              <w:widowControl w:val="0"/>
              <w:numPr>
                <w:ilvl w:val="0"/>
                <w:numId w:val="17"/>
              </w:numPr>
              <w:ind w:left="316" w:hanging="283"/>
              <w:rPr>
                <w:szCs w:val="20"/>
              </w:rPr>
            </w:pPr>
            <w:r w:rsidRPr="006A290E">
              <w:rPr>
                <w:rFonts w:eastAsiaTheme="majorEastAsia" w:cstheme="majorBidi"/>
                <w:szCs w:val="20"/>
              </w:rPr>
              <w:t>Aboriginal and Torres Strait Islander adults</w:t>
            </w:r>
            <w:r w:rsidR="00B84A8C" w:rsidRPr="006A290E">
              <w:rPr>
                <w:szCs w:val="20"/>
              </w:rPr>
              <w:t xml:space="preserve"> aged 25 to 49 years (regardless of risk conditions)</w:t>
            </w:r>
          </w:p>
        </w:tc>
      </w:tr>
      <w:tr w:rsidR="00B84A8C" w:rsidRPr="006A290E" w14:paraId="3DD191EE" w14:textId="77777777" w:rsidTr="00016295">
        <w:trPr>
          <w:trHeight w:val="20"/>
        </w:trPr>
        <w:tc>
          <w:tcPr>
            <w:tcW w:w="640" w:type="pct"/>
          </w:tcPr>
          <w:p w14:paraId="32142104" w14:textId="77777777" w:rsidR="00B84A8C" w:rsidRPr="006A290E" w:rsidRDefault="00B84A8C">
            <w:pPr>
              <w:pStyle w:val="TableText0"/>
              <w:keepLines w:val="0"/>
              <w:widowControl w:val="0"/>
              <w:rPr>
                <w:b/>
                <w:bCs w:val="0"/>
                <w:szCs w:val="20"/>
              </w:rPr>
            </w:pPr>
            <w:r w:rsidRPr="006A290E">
              <w:rPr>
                <w:b/>
                <w:bCs w:val="0"/>
                <w:szCs w:val="20"/>
              </w:rPr>
              <w:lastRenderedPageBreak/>
              <w:t>Intervention</w:t>
            </w:r>
          </w:p>
        </w:tc>
        <w:tc>
          <w:tcPr>
            <w:tcW w:w="4360" w:type="pct"/>
            <w:gridSpan w:val="2"/>
          </w:tcPr>
          <w:p w14:paraId="0F3E8A51" w14:textId="77777777" w:rsidR="00B523A2" w:rsidRPr="006A290E" w:rsidRDefault="00B523A2">
            <w:pPr>
              <w:pStyle w:val="TableText0"/>
              <w:keepLines w:val="0"/>
              <w:widowControl w:val="0"/>
              <w:rPr>
                <w:szCs w:val="20"/>
              </w:rPr>
            </w:pPr>
            <w:r w:rsidRPr="006A290E">
              <w:rPr>
                <w:szCs w:val="20"/>
              </w:rPr>
              <w:t xml:space="preserve">21vPCV (described as V116 in the submission).  </w:t>
            </w:r>
          </w:p>
          <w:p w14:paraId="49435192" w14:textId="5604BFCA" w:rsidR="00B84A8C" w:rsidRPr="006A290E" w:rsidRDefault="00B523A2">
            <w:pPr>
              <w:pStyle w:val="TableText0"/>
              <w:keepLines w:val="0"/>
              <w:widowControl w:val="0"/>
              <w:rPr>
                <w:szCs w:val="20"/>
              </w:rPr>
            </w:pPr>
            <w:r w:rsidRPr="006A290E">
              <w:rPr>
                <w:szCs w:val="20"/>
              </w:rPr>
              <w:t>21vPCV</w:t>
            </w:r>
            <w:r w:rsidR="00B84A8C" w:rsidRPr="006A290E">
              <w:rPr>
                <w:szCs w:val="20"/>
              </w:rPr>
              <w:t xml:space="preserve"> single dose in all requested populations</w:t>
            </w:r>
          </w:p>
          <w:p w14:paraId="369D33F1" w14:textId="77777777" w:rsidR="00B84A8C" w:rsidRPr="006A290E" w:rsidRDefault="00B84A8C">
            <w:pPr>
              <w:pStyle w:val="TableText0"/>
              <w:keepLines w:val="0"/>
              <w:widowControl w:val="0"/>
              <w:rPr>
                <w:szCs w:val="20"/>
              </w:rPr>
            </w:pPr>
          </w:p>
          <w:p w14:paraId="47DE7F97" w14:textId="52FE3E25" w:rsidR="00B84A8C" w:rsidRPr="006A290E" w:rsidRDefault="00B523A2">
            <w:pPr>
              <w:pStyle w:val="TableText0"/>
              <w:keepLines w:val="0"/>
              <w:widowControl w:val="0"/>
              <w:rPr>
                <w:szCs w:val="20"/>
              </w:rPr>
            </w:pPr>
            <w:r w:rsidRPr="006A290E">
              <w:rPr>
                <w:szCs w:val="20"/>
              </w:rPr>
              <w:t>21vPCV</w:t>
            </w:r>
            <w:r w:rsidR="00B84A8C" w:rsidRPr="006A290E">
              <w:rPr>
                <w:szCs w:val="20"/>
              </w:rPr>
              <w:t xml:space="preserve"> (Pneumococcal 21-valent Conjugate Vaccine) is a sterile solution of purified capsular polysaccharides from </w:t>
            </w:r>
            <w:r w:rsidR="00B84A8C" w:rsidRPr="006A290E">
              <w:rPr>
                <w:i/>
                <w:iCs/>
                <w:szCs w:val="20"/>
              </w:rPr>
              <w:t>S. pneumoniae</w:t>
            </w:r>
            <w:r w:rsidR="00B84A8C" w:rsidRPr="006A290E">
              <w:rPr>
                <w:szCs w:val="20"/>
              </w:rPr>
              <w:t xml:space="preserve"> serotypes 3, 6A, 7F, 8, 9N, 10A, 11A, 12F, 15A, deOAc15B, 16F, 17F, 19A, 20A, 22F, 23A, 23B, 24F, 31, 33F, and 35B individually conjugated to a CRM197 carrier protein. CRM197 is a nontoxic mutant of diphtheria toxin (originating from Corynebacterium diphtheriae C7) expressed recombinantly in Pseudomonas fluorescens.</w:t>
            </w:r>
          </w:p>
        </w:tc>
      </w:tr>
      <w:tr w:rsidR="00B84A8C" w:rsidRPr="006A290E" w14:paraId="4F2C3661" w14:textId="77777777" w:rsidTr="00016295">
        <w:trPr>
          <w:trHeight w:val="20"/>
        </w:trPr>
        <w:tc>
          <w:tcPr>
            <w:tcW w:w="640" w:type="pct"/>
            <w:tcBorders>
              <w:top w:val="single" w:sz="4" w:space="0" w:color="auto"/>
              <w:bottom w:val="nil"/>
            </w:tcBorders>
          </w:tcPr>
          <w:p w14:paraId="2BD83BA4" w14:textId="77777777" w:rsidR="00B84A8C" w:rsidRPr="006A290E" w:rsidRDefault="00B84A8C">
            <w:pPr>
              <w:pStyle w:val="TableText0"/>
              <w:keepLines w:val="0"/>
              <w:widowControl w:val="0"/>
              <w:rPr>
                <w:b/>
                <w:bCs w:val="0"/>
                <w:szCs w:val="20"/>
              </w:rPr>
            </w:pPr>
            <w:r w:rsidRPr="006A290E">
              <w:rPr>
                <w:b/>
                <w:bCs w:val="0"/>
                <w:szCs w:val="20"/>
              </w:rPr>
              <w:t>Comparator</w:t>
            </w:r>
          </w:p>
        </w:tc>
        <w:tc>
          <w:tcPr>
            <w:tcW w:w="2116" w:type="pct"/>
            <w:tcBorders>
              <w:top w:val="single" w:sz="4" w:space="0" w:color="auto"/>
            </w:tcBorders>
          </w:tcPr>
          <w:p w14:paraId="2174D6CD" w14:textId="77777777" w:rsidR="00B84A8C" w:rsidRPr="006A290E" w:rsidRDefault="00B84A8C">
            <w:pPr>
              <w:pStyle w:val="TableText0"/>
              <w:keepLines w:val="0"/>
              <w:widowControl w:val="0"/>
              <w:rPr>
                <w:szCs w:val="20"/>
              </w:rPr>
            </w:pPr>
            <w:r w:rsidRPr="006A290E">
              <w:rPr>
                <w:szCs w:val="20"/>
              </w:rPr>
              <w:t>Current NIP populations</w:t>
            </w:r>
          </w:p>
          <w:p w14:paraId="1A61303F" w14:textId="77777777" w:rsidR="00B84A8C" w:rsidRPr="006A290E" w:rsidRDefault="00B84A8C">
            <w:pPr>
              <w:pStyle w:val="TableText0"/>
              <w:keepLines w:val="0"/>
              <w:widowControl w:val="0"/>
              <w:rPr>
                <w:szCs w:val="20"/>
              </w:rPr>
            </w:pPr>
            <w:r w:rsidRPr="006A290E">
              <w:rPr>
                <w:szCs w:val="20"/>
              </w:rPr>
              <w:t xml:space="preserve">Non-indigenous adults aged </w:t>
            </w:r>
            <w:r w:rsidRPr="006A290E">
              <w:rPr>
                <w:rFonts w:cs="Arial"/>
                <w:szCs w:val="20"/>
              </w:rPr>
              <w:t>≥</w:t>
            </w:r>
            <w:r w:rsidRPr="006A290E">
              <w:rPr>
                <w:szCs w:val="20"/>
              </w:rPr>
              <w:t xml:space="preserve"> 70 years </w:t>
            </w:r>
          </w:p>
        </w:tc>
        <w:tc>
          <w:tcPr>
            <w:tcW w:w="2244" w:type="pct"/>
            <w:tcBorders>
              <w:top w:val="single" w:sz="4" w:space="0" w:color="auto"/>
            </w:tcBorders>
          </w:tcPr>
          <w:p w14:paraId="1D849617" w14:textId="5BC15556" w:rsidR="00B84A8C" w:rsidRPr="006A290E" w:rsidRDefault="00B84A8C">
            <w:pPr>
              <w:pStyle w:val="TableText0"/>
              <w:keepLines w:val="0"/>
              <w:widowControl w:val="0"/>
              <w:rPr>
                <w:szCs w:val="20"/>
              </w:rPr>
            </w:pPr>
            <w:r w:rsidRPr="006A290E">
              <w:rPr>
                <w:szCs w:val="20"/>
                <w:u w:val="single"/>
              </w:rPr>
              <w:t>Main comparator</w:t>
            </w:r>
            <w:r w:rsidRPr="006A290E">
              <w:rPr>
                <w:szCs w:val="20"/>
              </w:rPr>
              <w:t xml:space="preserve">: 13vPCV </w:t>
            </w:r>
          </w:p>
          <w:p w14:paraId="027EA27D" w14:textId="77777777" w:rsidR="00B84A8C" w:rsidRPr="006A290E" w:rsidRDefault="00B84A8C">
            <w:pPr>
              <w:pStyle w:val="TableText0"/>
              <w:keepLines w:val="0"/>
              <w:widowControl w:val="0"/>
              <w:rPr>
                <w:szCs w:val="20"/>
                <w:u w:val="single"/>
              </w:rPr>
            </w:pPr>
            <w:r w:rsidRPr="006A290E">
              <w:rPr>
                <w:szCs w:val="20"/>
              </w:rPr>
              <w:t>Near market comparator</w:t>
            </w:r>
            <w:r w:rsidRPr="006A290E">
              <w:rPr>
                <w:szCs w:val="20"/>
                <w:vertAlign w:val="superscript"/>
              </w:rPr>
              <w:t>b</w:t>
            </w:r>
            <w:r w:rsidRPr="006A290E">
              <w:rPr>
                <w:szCs w:val="20"/>
              </w:rPr>
              <w:t>: 15vPCV/20vPCV</w:t>
            </w:r>
          </w:p>
        </w:tc>
      </w:tr>
      <w:tr w:rsidR="00B84A8C" w:rsidRPr="006A290E" w14:paraId="644C2D67" w14:textId="77777777" w:rsidTr="00016295">
        <w:trPr>
          <w:trHeight w:val="20"/>
        </w:trPr>
        <w:tc>
          <w:tcPr>
            <w:tcW w:w="640" w:type="pct"/>
            <w:tcBorders>
              <w:top w:val="nil"/>
              <w:bottom w:val="nil"/>
            </w:tcBorders>
          </w:tcPr>
          <w:p w14:paraId="6E2EFE14" w14:textId="77777777" w:rsidR="00B84A8C" w:rsidRPr="006A290E" w:rsidRDefault="00B84A8C">
            <w:pPr>
              <w:pStyle w:val="TableText0"/>
              <w:keepLines w:val="0"/>
              <w:widowControl w:val="0"/>
              <w:rPr>
                <w:b/>
                <w:bCs w:val="0"/>
                <w:szCs w:val="20"/>
              </w:rPr>
            </w:pPr>
          </w:p>
        </w:tc>
        <w:tc>
          <w:tcPr>
            <w:tcW w:w="2116" w:type="pct"/>
          </w:tcPr>
          <w:p w14:paraId="1BD64A1E" w14:textId="77777777" w:rsidR="00B84A8C" w:rsidRPr="006A290E" w:rsidRDefault="00B84A8C">
            <w:pPr>
              <w:pStyle w:val="TableText0"/>
              <w:keepLines w:val="0"/>
              <w:widowControl w:val="0"/>
              <w:rPr>
                <w:szCs w:val="20"/>
              </w:rPr>
            </w:pPr>
            <w:r w:rsidRPr="006A290E">
              <w:rPr>
                <w:szCs w:val="20"/>
              </w:rPr>
              <w:t>Adults (</w:t>
            </w:r>
            <w:r w:rsidRPr="006A290E">
              <w:rPr>
                <w:rFonts w:cs="Arial"/>
                <w:szCs w:val="20"/>
              </w:rPr>
              <w:t>≥</w:t>
            </w:r>
            <w:r w:rsidRPr="006A290E">
              <w:rPr>
                <w:szCs w:val="20"/>
              </w:rPr>
              <w:t>18 years) newly diagnosed with NIP- funded risk conditions for PD</w:t>
            </w:r>
          </w:p>
        </w:tc>
        <w:tc>
          <w:tcPr>
            <w:tcW w:w="2244" w:type="pct"/>
          </w:tcPr>
          <w:p w14:paraId="06E61653" w14:textId="77777777" w:rsidR="00B84A8C" w:rsidRPr="006A290E" w:rsidRDefault="00B84A8C">
            <w:pPr>
              <w:pStyle w:val="TableText0"/>
              <w:keepLines w:val="0"/>
              <w:widowControl w:val="0"/>
              <w:rPr>
                <w:szCs w:val="20"/>
              </w:rPr>
            </w:pPr>
            <w:r w:rsidRPr="006A290E">
              <w:rPr>
                <w:szCs w:val="20"/>
                <w:u w:val="single"/>
              </w:rPr>
              <w:t>Main</w:t>
            </w:r>
            <w:r w:rsidRPr="006A290E">
              <w:rPr>
                <w:spacing w:val="-6"/>
                <w:szCs w:val="20"/>
                <w:u w:val="single"/>
              </w:rPr>
              <w:t xml:space="preserve"> </w:t>
            </w:r>
            <w:r w:rsidRPr="006A290E">
              <w:rPr>
                <w:szCs w:val="20"/>
                <w:u w:val="single"/>
              </w:rPr>
              <w:t>comparator</w:t>
            </w:r>
            <w:r w:rsidRPr="006A290E">
              <w:rPr>
                <w:szCs w:val="20"/>
              </w:rPr>
              <w:t>:13vPCV followed by 2x23vPPV</w:t>
            </w:r>
          </w:p>
          <w:p w14:paraId="43F3352F" w14:textId="22F3AF77" w:rsidR="00B84A8C" w:rsidRPr="006A290E" w:rsidRDefault="00B84A8C">
            <w:pPr>
              <w:pStyle w:val="TableText0"/>
              <w:keepLines w:val="0"/>
              <w:widowControl w:val="0"/>
              <w:rPr>
                <w:szCs w:val="20"/>
                <w:u w:val="single"/>
              </w:rPr>
            </w:pPr>
            <w:r w:rsidRPr="006A290E">
              <w:rPr>
                <w:szCs w:val="20"/>
              </w:rPr>
              <w:t>Near market comparator: 15vPCV/20vPCV</w:t>
            </w:r>
          </w:p>
        </w:tc>
      </w:tr>
      <w:tr w:rsidR="00B84A8C" w:rsidRPr="006A290E" w14:paraId="1AB10949" w14:textId="77777777" w:rsidTr="00016295">
        <w:trPr>
          <w:trHeight w:val="20"/>
        </w:trPr>
        <w:tc>
          <w:tcPr>
            <w:tcW w:w="640" w:type="pct"/>
            <w:tcBorders>
              <w:top w:val="nil"/>
              <w:bottom w:val="nil"/>
            </w:tcBorders>
          </w:tcPr>
          <w:p w14:paraId="5976C6BF" w14:textId="77777777" w:rsidR="00B84A8C" w:rsidRPr="006A290E" w:rsidRDefault="00B84A8C">
            <w:pPr>
              <w:pStyle w:val="TableText0"/>
              <w:keepLines w:val="0"/>
              <w:widowControl w:val="0"/>
              <w:rPr>
                <w:b/>
                <w:bCs w:val="0"/>
                <w:szCs w:val="20"/>
              </w:rPr>
            </w:pPr>
          </w:p>
        </w:tc>
        <w:tc>
          <w:tcPr>
            <w:tcW w:w="2116" w:type="pct"/>
          </w:tcPr>
          <w:p w14:paraId="3CB370AB" w14:textId="77777777" w:rsidR="00B84A8C" w:rsidRPr="006A290E" w:rsidRDefault="00B84A8C">
            <w:pPr>
              <w:pStyle w:val="TableText0"/>
              <w:keepLines w:val="0"/>
              <w:widowControl w:val="0"/>
              <w:rPr>
                <w:szCs w:val="20"/>
              </w:rPr>
            </w:pPr>
            <w:r w:rsidRPr="006A290E">
              <w:rPr>
                <w:szCs w:val="20"/>
              </w:rPr>
              <w:t>Aboriginal and Torres Strait Islander adults aged ≥ 50 years</w:t>
            </w:r>
          </w:p>
        </w:tc>
        <w:tc>
          <w:tcPr>
            <w:tcW w:w="2244" w:type="pct"/>
          </w:tcPr>
          <w:p w14:paraId="4AF61D72" w14:textId="799F3F4B" w:rsidR="00B84A8C" w:rsidRPr="006A290E" w:rsidRDefault="00B84A8C">
            <w:pPr>
              <w:pStyle w:val="TableText0"/>
              <w:keepLines w:val="0"/>
              <w:widowControl w:val="0"/>
              <w:rPr>
                <w:szCs w:val="20"/>
              </w:rPr>
            </w:pPr>
            <w:r w:rsidRPr="006A290E">
              <w:rPr>
                <w:szCs w:val="20"/>
                <w:u w:val="single"/>
              </w:rPr>
              <w:t>Main comparator</w:t>
            </w:r>
            <w:r w:rsidRPr="006A290E">
              <w:rPr>
                <w:szCs w:val="20"/>
              </w:rPr>
              <w:t>: 13vPCV followed by 2x23vPPV</w:t>
            </w:r>
          </w:p>
          <w:p w14:paraId="5ED489A3" w14:textId="6D4C22FE" w:rsidR="00B84A8C" w:rsidRPr="006A290E" w:rsidRDefault="00B84A8C">
            <w:pPr>
              <w:pStyle w:val="TableText0"/>
              <w:keepLines w:val="0"/>
              <w:widowControl w:val="0"/>
              <w:rPr>
                <w:szCs w:val="20"/>
                <w:u w:val="single"/>
              </w:rPr>
            </w:pPr>
            <w:r w:rsidRPr="006A290E">
              <w:rPr>
                <w:szCs w:val="20"/>
              </w:rPr>
              <w:t>Near market comparator: 15vPCV/20vPCV</w:t>
            </w:r>
          </w:p>
        </w:tc>
      </w:tr>
      <w:tr w:rsidR="00B84A8C" w:rsidRPr="006A290E" w14:paraId="60DABA6D" w14:textId="77777777" w:rsidTr="00016295">
        <w:trPr>
          <w:trHeight w:val="20"/>
        </w:trPr>
        <w:tc>
          <w:tcPr>
            <w:tcW w:w="640" w:type="pct"/>
            <w:tcBorders>
              <w:top w:val="nil"/>
            </w:tcBorders>
          </w:tcPr>
          <w:p w14:paraId="14BDEB8C" w14:textId="77777777" w:rsidR="00B84A8C" w:rsidRPr="006A290E" w:rsidRDefault="00B84A8C">
            <w:pPr>
              <w:pStyle w:val="TableText0"/>
              <w:keepLines w:val="0"/>
              <w:widowControl w:val="0"/>
              <w:rPr>
                <w:b/>
                <w:bCs w:val="0"/>
                <w:szCs w:val="20"/>
              </w:rPr>
            </w:pPr>
          </w:p>
        </w:tc>
        <w:tc>
          <w:tcPr>
            <w:tcW w:w="2116" w:type="pct"/>
          </w:tcPr>
          <w:p w14:paraId="55020BE9" w14:textId="77777777" w:rsidR="00B84A8C" w:rsidRPr="006A290E" w:rsidRDefault="00B84A8C">
            <w:pPr>
              <w:pStyle w:val="TableText0"/>
              <w:keepLines w:val="0"/>
              <w:widowControl w:val="0"/>
              <w:rPr>
                <w:szCs w:val="20"/>
              </w:rPr>
            </w:pPr>
            <w:r w:rsidRPr="006A290E">
              <w:rPr>
                <w:szCs w:val="20"/>
              </w:rPr>
              <w:t>ATAGI Recommended Population</w:t>
            </w:r>
          </w:p>
          <w:p w14:paraId="4A8FD05F" w14:textId="77777777" w:rsidR="00B84A8C" w:rsidRPr="006A290E" w:rsidRDefault="00B84A8C">
            <w:pPr>
              <w:pStyle w:val="TableText0"/>
              <w:keepLines w:val="0"/>
              <w:widowControl w:val="0"/>
              <w:rPr>
                <w:szCs w:val="20"/>
              </w:rPr>
            </w:pPr>
            <w:r w:rsidRPr="006A290E">
              <w:rPr>
                <w:szCs w:val="20"/>
              </w:rPr>
              <w:t>Aboriginal and Torres Strait Islander adults aged 25-49 years</w:t>
            </w:r>
          </w:p>
        </w:tc>
        <w:tc>
          <w:tcPr>
            <w:tcW w:w="2244" w:type="pct"/>
          </w:tcPr>
          <w:p w14:paraId="0A39A77A" w14:textId="77777777" w:rsidR="00B84A8C" w:rsidRPr="006A290E" w:rsidRDefault="00B84A8C">
            <w:pPr>
              <w:pStyle w:val="TableText0"/>
              <w:keepLines w:val="0"/>
              <w:widowControl w:val="0"/>
              <w:rPr>
                <w:szCs w:val="20"/>
                <w:u w:val="single"/>
              </w:rPr>
            </w:pPr>
            <w:r w:rsidRPr="006A290E">
              <w:rPr>
                <w:szCs w:val="20"/>
              </w:rPr>
              <w:t>Near market comparator: 20vPCV</w:t>
            </w:r>
          </w:p>
        </w:tc>
      </w:tr>
      <w:tr w:rsidR="00B84A8C" w:rsidRPr="006A290E" w14:paraId="3545E215" w14:textId="77777777" w:rsidTr="00016295">
        <w:trPr>
          <w:trHeight w:val="20"/>
        </w:trPr>
        <w:tc>
          <w:tcPr>
            <w:tcW w:w="640" w:type="pct"/>
          </w:tcPr>
          <w:p w14:paraId="422ECFE6" w14:textId="77777777" w:rsidR="00B84A8C" w:rsidRPr="006A290E" w:rsidRDefault="00B84A8C">
            <w:pPr>
              <w:pStyle w:val="TableText0"/>
              <w:keepLines w:val="0"/>
              <w:widowControl w:val="0"/>
              <w:rPr>
                <w:b/>
                <w:bCs w:val="0"/>
                <w:szCs w:val="20"/>
              </w:rPr>
            </w:pPr>
            <w:r w:rsidRPr="006A290E">
              <w:rPr>
                <w:b/>
                <w:bCs w:val="0"/>
                <w:szCs w:val="20"/>
              </w:rPr>
              <w:t>Outcomes</w:t>
            </w:r>
          </w:p>
        </w:tc>
        <w:tc>
          <w:tcPr>
            <w:tcW w:w="4360" w:type="pct"/>
            <w:gridSpan w:val="2"/>
          </w:tcPr>
          <w:p w14:paraId="18EA7E67" w14:textId="77777777" w:rsidR="00B84A8C" w:rsidRPr="006A290E" w:rsidRDefault="00B84A8C">
            <w:pPr>
              <w:pStyle w:val="TableText0"/>
              <w:keepLines w:val="0"/>
              <w:widowControl w:val="0"/>
              <w:rPr>
                <w:szCs w:val="20"/>
              </w:rPr>
            </w:pPr>
            <w:r w:rsidRPr="006A290E">
              <w:rPr>
                <w:szCs w:val="20"/>
              </w:rPr>
              <w:t>Efficacy:</w:t>
            </w:r>
          </w:p>
          <w:p w14:paraId="76FFF2B5" w14:textId="112E3339" w:rsidR="00B84A8C" w:rsidRPr="006A290E" w:rsidRDefault="00B84A8C"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 xml:space="preserve">Serotype specific opsonophagocytic (OPA) responses for the 21 serotypes in </w:t>
            </w:r>
            <w:r w:rsidR="00721E1A" w:rsidRPr="006A290E">
              <w:rPr>
                <w:rFonts w:eastAsiaTheme="majorEastAsia" w:cstheme="majorBidi"/>
                <w:szCs w:val="20"/>
              </w:rPr>
              <w:t>21vPCV</w:t>
            </w:r>
            <w:r w:rsidRPr="006A290E">
              <w:rPr>
                <w:rFonts w:eastAsiaTheme="majorEastAsia" w:cstheme="majorBidi"/>
                <w:szCs w:val="20"/>
              </w:rPr>
              <w:t xml:space="preserve"> at day 30 geometric mean titre (vaccine strain type) </w:t>
            </w:r>
          </w:p>
          <w:p w14:paraId="540EF9EC" w14:textId="3D26422E" w:rsidR="00B84A8C" w:rsidRPr="006A290E" w:rsidRDefault="00B84A8C" w:rsidP="00572866">
            <w:pPr>
              <w:pStyle w:val="Tabletext"/>
              <w:widowControl w:val="0"/>
              <w:numPr>
                <w:ilvl w:val="0"/>
                <w:numId w:val="17"/>
              </w:numPr>
              <w:ind w:left="316" w:hanging="283"/>
              <w:rPr>
                <w:szCs w:val="20"/>
              </w:rPr>
            </w:pPr>
            <w:r w:rsidRPr="006A290E">
              <w:rPr>
                <w:rFonts w:eastAsiaTheme="majorEastAsia" w:cstheme="majorBidi"/>
                <w:szCs w:val="20"/>
              </w:rPr>
              <w:t>Se</w:t>
            </w:r>
            <w:r w:rsidRPr="006A290E">
              <w:rPr>
                <w:szCs w:val="20"/>
              </w:rPr>
              <w:t xml:space="preserve">rotype specific immunoglobulin G (IgG) responses for the 21 serotypes in </w:t>
            </w:r>
            <w:r w:rsidR="00721E1A" w:rsidRPr="006A290E">
              <w:rPr>
                <w:szCs w:val="20"/>
              </w:rPr>
              <w:t>21vPCV</w:t>
            </w:r>
            <w:r w:rsidRPr="006A290E">
              <w:rPr>
                <w:szCs w:val="20"/>
              </w:rPr>
              <w:t xml:space="preserve"> at day 30 geometric mean concentrations (GMCs) (vaccine strain type)</w:t>
            </w:r>
          </w:p>
          <w:p w14:paraId="5D96A96D" w14:textId="77777777" w:rsidR="00B84A8C" w:rsidRPr="006A290E" w:rsidRDefault="00B84A8C">
            <w:pPr>
              <w:pStyle w:val="TableText0"/>
              <w:keepLines w:val="0"/>
              <w:widowControl w:val="0"/>
              <w:rPr>
                <w:szCs w:val="20"/>
              </w:rPr>
            </w:pPr>
            <w:r w:rsidRPr="006A290E">
              <w:rPr>
                <w:szCs w:val="20"/>
              </w:rPr>
              <w:t>Safety:</w:t>
            </w:r>
          </w:p>
          <w:p w14:paraId="77EE9A81" w14:textId="77777777" w:rsidR="00B84A8C" w:rsidRPr="006A290E" w:rsidRDefault="00B84A8C"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Injection site reactions day 1-5 post vaccination</w:t>
            </w:r>
          </w:p>
          <w:p w14:paraId="17AA33E3" w14:textId="77777777" w:rsidR="00B84A8C" w:rsidRPr="006A290E" w:rsidRDefault="00B84A8C"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Systemic AEs from Day 1 through to Day 5 post vaccination</w:t>
            </w:r>
          </w:p>
          <w:p w14:paraId="77954A07" w14:textId="77777777" w:rsidR="00B84A8C" w:rsidRPr="006A290E" w:rsidRDefault="00B84A8C" w:rsidP="00572866">
            <w:pPr>
              <w:pStyle w:val="Tabletext"/>
              <w:widowControl w:val="0"/>
              <w:numPr>
                <w:ilvl w:val="0"/>
                <w:numId w:val="17"/>
              </w:numPr>
              <w:ind w:left="316" w:hanging="283"/>
              <w:rPr>
                <w:szCs w:val="20"/>
                <w:u w:val="single"/>
              </w:rPr>
            </w:pPr>
            <w:r w:rsidRPr="006A290E">
              <w:rPr>
                <w:rFonts w:eastAsiaTheme="majorEastAsia" w:cstheme="majorBidi"/>
                <w:szCs w:val="20"/>
              </w:rPr>
              <w:t>Vaccine</w:t>
            </w:r>
            <w:r w:rsidRPr="006A290E">
              <w:rPr>
                <w:szCs w:val="20"/>
              </w:rPr>
              <w:t xml:space="preserve"> related serious adverse events (SAEs) from Day 1 through the duration of participation in the study</w:t>
            </w:r>
          </w:p>
        </w:tc>
      </w:tr>
      <w:tr w:rsidR="00B84A8C" w:rsidRPr="006A290E" w14:paraId="46789414" w14:textId="77777777" w:rsidTr="00016295">
        <w:trPr>
          <w:trHeight w:val="20"/>
        </w:trPr>
        <w:tc>
          <w:tcPr>
            <w:tcW w:w="640" w:type="pct"/>
          </w:tcPr>
          <w:p w14:paraId="54FF1D10" w14:textId="77777777" w:rsidR="00B84A8C" w:rsidRPr="006A290E" w:rsidRDefault="00B84A8C">
            <w:pPr>
              <w:pStyle w:val="TableText0"/>
              <w:keepLines w:val="0"/>
              <w:widowControl w:val="0"/>
              <w:rPr>
                <w:b/>
                <w:bCs w:val="0"/>
                <w:szCs w:val="20"/>
              </w:rPr>
            </w:pPr>
            <w:r w:rsidRPr="006A290E">
              <w:rPr>
                <w:b/>
                <w:bCs w:val="0"/>
                <w:szCs w:val="20"/>
              </w:rPr>
              <w:t>Clinical claim</w:t>
            </w:r>
          </w:p>
        </w:tc>
        <w:tc>
          <w:tcPr>
            <w:tcW w:w="4360" w:type="pct"/>
            <w:gridSpan w:val="2"/>
          </w:tcPr>
          <w:p w14:paraId="5A0ADC0F" w14:textId="3BD3100C" w:rsidR="00B84A8C" w:rsidRPr="006A290E" w:rsidRDefault="00B84A8C">
            <w:pPr>
              <w:pStyle w:val="TableText0"/>
              <w:keepLines w:val="0"/>
              <w:widowControl w:val="0"/>
              <w:rPr>
                <w:b/>
                <w:bCs w:val="0"/>
                <w:szCs w:val="20"/>
              </w:rPr>
            </w:pPr>
            <w:r w:rsidRPr="006A290E">
              <w:rPr>
                <w:b/>
                <w:szCs w:val="20"/>
              </w:rPr>
              <w:t xml:space="preserve">Efficacy </w:t>
            </w:r>
            <w:r w:rsidR="00EE1095" w:rsidRPr="006A290E">
              <w:rPr>
                <w:b/>
                <w:szCs w:val="20"/>
              </w:rPr>
              <w:t>c</w:t>
            </w:r>
            <w:r w:rsidRPr="006A290E">
              <w:rPr>
                <w:b/>
                <w:szCs w:val="20"/>
              </w:rPr>
              <w:t xml:space="preserve">laims based on immunogenicity trials </w:t>
            </w:r>
          </w:p>
          <w:p w14:paraId="6DA8FED8" w14:textId="77777777" w:rsidR="00B84A8C" w:rsidRPr="006A290E" w:rsidRDefault="00B84A8C">
            <w:pPr>
              <w:pStyle w:val="Tabletext"/>
              <w:widowControl w:val="0"/>
              <w:rPr>
                <w:szCs w:val="20"/>
              </w:rPr>
            </w:pPr>
            <w:r w:rsidRPr="006A290E">
              <w:rPr>
                <w:rFonts w:eastAsiaTheme="majorEastAsia" w:cstheme="majorBidi"/>
                <w:szCs w:val="20"/>
              </w:rPr>
              <w:t xml:space="preserve">For </w:t>
            </w:r>
            <w:r w:rsidRPr="006A290E">
              <w:rPr>
                <w:szCs w:val="20"/>
              </w:rPr>
              <w:t xml:space="preserve">non-Indigenous adults aged </w:t>
            </w:r>
            <w:r w:rsidRPr="006A290E">
              <w:rPr>
                <w:rFonts w:eastAsiaTheme="majorEastAsia" w:cstheme="majorBidi"/>
                <w:bCs/>
                <w:szCs w:val="20"/>
              </w:rPr>
              <w:t>≥ 70 years</w:t>
            </w:r>
          </w:p>
          <w:p w14:paraId="074584AE" w14:textId="5F0C4D7B" w:rsidR="00B84A8C" w:rsidRPr="006A290E" w:rsidRDefault="00721E1A" w:rsidP="00572866">
            <w:pPr>
              <w:pStyle w:val="Tabletext"/>
              <w:widowControl w:val="0"/>
              <w:numPr>
                <w:ilvl w:val="0"/>
                <w:numId w:val="17"/>
              </w:numPr>
              <w:ind w:left="316" w:hanging="283"/>
              <w:rPr>
                <w:szCs w:val="20"/>
              </w:rPr>
            </w:pPr>
            <w:r w:rsidRPr="006A290E">
              <w:rPr>
                <w:rFonts w:eastAsiaTheme="majorEastAsia" w:cstheme="majorBidi"/>
                <w:szCs w:val="20"/>
              </w:rPr>
              <w:t>21vPCV</w:t>
            </w:r>
            <w:r w:rsidR="00B84A8C" w:rsidRPr="006A290E">
              <w:rPr>
                <w:szCs w:val="20"/>
              </w:rPr>
              <w:t xml:space="preserve"> has superior efficacy against PD compared to 13vPCV for serotype 3 and non-inferior for serotype 7F (non-inferiority was not demonstrated for the remaining two shared serotypes)</w:t>
            </w:r>
          </w:p>
          <w:p w14:paraId="10FFC362" w14:textId="437E7A0A" w:rsidR="00B84A8C" w:rsidRPr="006A290E" w:rsidRDefault="00721E1A"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21vPCV</w:t>
            </w:r>
            <w:r w:rsidR="00B84A8C" w:rsidRPr="006A290E">
              <w:rPr>
                <w:rFonts w:eastAsiaTheme="majorEastAsia" w:cstheme="majorBidi"/>
                <w:szCs w:val="20"/>
              </w:rPr>
              <w:t xml:space="preserve"> has non-inferior efficacy against PD compared to 20vPCV for the 10 common serotypes</w:t>
            </w:r>
          </w:p>
          <w:p w14:paraId="3EF7349C" w14:textId="7666818E" w:rsidR="00B84A8C" w:rsidRPr="006A290E" w:rsidRDefault="00721E1A" w:rsidP="00572866">
            <w:pPr>
              <w:pStyle w:val="Tabletext"/>
              <w:widowControl w:val="0"/>
              <w:numPr>
                <w:ilvl w:val="0"/>
                <w:numId w:val="17"/>
              </w:numPr>
              <w:ind w:left="316" w:hanging="283"/>
              <w:rPr>
                <w:szCs w:val="20"/>
              </w:rPr>
            </w:pPr>
            <w:r w:rsidRPr="006A290E">
              <w:rPr>
                <w:rFonts w:eastAsiaTheme="majorEastAsia" w:cstheme="majorBidi"/>
                <w:szCs w:val="20"/>
              </w:rPr>
              <w:t>21vPCV</w:t>
            </w:r>
            <w:r w:rsidR="00B84A8C" w:rsidRPr="006A290E">
              <w:rPr>
                <w:szCs w:val="20"/>
              </w:rPr>
              <w:t xml:space="preserve"> has superior efficacy against PD compared to 20vPCV for the 10 of the 11 unique serotypes (non-inferiority was not demonstrated for the remaining shared serotype)</w:t>
            </w:r>
          </w:p>
          <w:p w14:paraId="2CAA0C61" w14:textId="77777777" w:rsidR="00B84A8C" w:rsidRPr="006A290E" w:rsidRDefault="00B84A8C">
            <w:pPr>
              <w:pStyle w:val="Tabletext"/>
              <w:widowControl w:val="0"/>
              <w:rPr>
                <w:rFonts w:eastAsiaTheme="majorEastAsia" w:cstheme="majorBidi"/>
                <w:bCs/>
                <w:szCs w:val="20"/>
              </w:rPr>
            </w:pPr>
          </w:p>
          <w:p w14:paraId="12A9B890" w14:textId="1DB1CA6E" w:rsidR="00B84A8C" w:rsidRPr="006A290E" w:rsidRDefault="00B84A8C">
            <w:pPr>
              <w:pStyle w:val="Tabletext"/>
              <w:widowControl w:val="0"/>
              <w:ind w:left="32"/>
              <w:rPr>
                <w:rFonts w:eastAsiaTheme="majorEastAsia" w:cstheme="majorBidi"/>
                <w:szCs w:val="20"/>
              </w:rPr>
            </w:pPr>
            <w:r w:rsidRPr="006A290E">
              <w:rPr>
                <w:rFonts w:eastAsiaTheme="majorEastAsia" w:cstheme="majorBidi"/>
                <w:bCs/>
                <w:szCs w:val="20"/>
              </w:rPr>
              <w:t xml:space="preserve">For </w:t>
            </w:r>
            <w:r w:rsidR="00D04DE7" w:rsidRPr="006A290E">
              <w:rPr>
                <w:rFonts w:eastAsiaTheme="majorEastAsia" w:cstheme="majorBidi"/>
                <w:bCs/>
                <w:szCs w:val="20"/>
              </w:rPr>
              <w:t>Aboriginal and Torres Strait Islander adults</w:t>
            </w:r>
            <w:r w:rsidRPr="006A290E">
              <w:rPr>
                <w:rFonts w:eastAsiaTheme="majorEastAsia" w:cstheme="majorBidi"/>
                <w:bCs/>
                <w:szCs w:val="20"/>
              </w:rPr>
              <w:t xml:space="preserve"> aged ≥ 50 years</w:t>
            </w:r>
            <w:r w:rsidRPr="006A290E">
              <w:rPr>
                <w:rFonts w:eastAsiaTheme="majorEastAsia" w:cstheme="majorBidi"/>
                <w:szCs w:val="20"/>
              </w:rPr>
              <w:t xml:space="preserve"> </w:t>
            </w:r>
          </w:p>
          <w:p w14:paraId="141A1F31" w14:textId="6EC777CD" w:rsidR="00B84A8C" w:rsidRPr="006A290E" w:rsidRDefault="00721E1A"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21vPCV</w:t>
            </w:r>
            <w:r w:rsidR="00B84A8C" w:rsidRPr="006A290E">
              <w:rPr>
                <w:rFonts w:eastAsiaTheme="majorEastAsia" w:cstheme="majorBidi"/>
                <w:szCs w:val="20"/>
              </w:rPr>
              <w:t xml:space="preserve"> has non-inferior efficacy against PD compared to 15vPCV followed by 23vPPV for the 13 common serotypes</w:t>
            </w:r>
          </w:p>
          <w:p w14:paraId="492B5B17" w14:textId="7C127990" w:rsidR="00B84A8C" w:rsidRPr="006A290E" w:rsidRDefault="00721E1A" w:rsidP="00572866">
            <w:pPr>
              <w:pStyle w:val="Tabletext"/>
              <w:widowControl w:val="0"/>
              <w:numPr>
                <w:ilvl w:val="0"/>
                <w:numId w:val="17"/>
              </w:numPr>
              <w:ind w:left="316" w:hanging="283"/>
              <w:rPr>
                <w:rFonts w:eastAsiaTheme="majorEastAsia" w:cstheme="majorBidi"/>
                <w:szCs w:val="20"/>
              </w:rPr>
            </w:pPr>
            <w:r w:rsidRPr="006A290E">
              <w:rPr>
                <w:szCs w:val="20"/>
              </w:rPr>
              <w:t>21vPCV</w:t>
            </w:r>
            <w:r w:rsidR="00B84A8C" w:rsidRPr="006A290E">
              <w:rPr>
                <w:szCs w:val="20"/>
              </w:rPr>
              <w:t xml:space="preserve"> has superior efficacy against PD to 15vPCV, for 8 unique serotypes </w:t>
            </w:r>
          </w:p>
          <w:p w14:paraId="34A128ED" w14:textId="77777777" w:rsidR="00B84A8C" w:rsidRPr="006A290E" w:rsidRDefault="00B84A8C" w:rsidP="006A290E">
            <w:pPr>
              <w:pStyle w:val="Tabletext"/>
              <w:widowControl w:val="0"/>
              <w:rPr>
                <w:szCs w:val="20"/>
              </w:rPr>
            </w:pPr>
            <w:r w:rsidRPr="006A290E">
              <w:rPr>
                <w:rFonts w:eastAsiaTheme="majorEastAsia" w:cstheme="majorBidi"/>
                <w:szCs w:val="20"/>
              </w:rPr>
              <w:t>For adults aged ≥ 18 years</w:t>
            </w:r>
            <w:r w:rsidRPr="006A290E">
              <w:rPr>
                <w:szCs w:val="20"/>
              </w:rPr>
              <w:t xml:space="preserve"> with NIP listed risk conditions: </w:t>
            </w:r>
          </w:p>
          <w:p w14:paraId="25ABCDA9" w14:textId="6B6D767E" w:rsidR="00B84A8C" w:rsidRPr="006A290E" w:rsidRDefault="00721E1A" w:rsidP="00572866">
            <w:pPr>
              <w:pStyle w:val="Tabletext"/>
              <w:widowControl w:val="0"/>
              <w:numPr>
                <w:ilvl w:val="0"/>
                <w:numId w:val="17"/>
              </w:numPr>
              <w:ind w:left="316" w:hanging="283"/>
              <w:rPr>
                <w:rFonts w:eastAsiaTheme="majorEastAsia" w:cstheme="majorBidi"/>
                <w:szCs w:val="20"/>
              </w:rPr>
            </w:pPr>
            <w:r w:rsidRPr="006A290E">
              <w:rPr>
                <w:rFonts w:eastAsiaTheme="majorEastAsia" w:cstheme="majorBidi"/>
                <w:szCs w:val="20"/>
              </w:rPr>
              <w:t>21vPCV</w:t>
            </w:r>
            <w:r w:rsidR="00B84A8C" w:rsidRPr="006A290E">
              <w:rPr>
                <w:rFonts w:eastAsiaTheme="majorEastAsia" w:cstheme="majorBidi"/>
                <w:szCs w:val="20"/>
              </w:rPr>
              <w:t xml:space="preserve"> has non-inferior efficacy against PD compared to 15vPCV followed by 23vPPV for the 13 common serotypes</w:t>
            </w:r>
          </w:p>
          <w:p w14:paraId="4AFDA3C3" w14:textId="63E0AFB4" w:rsidR="00B84A8C" w:rsidRPr="006A290E" w:rsidRDefault="00721E1A" w:rsidP="00572866">
            <w:pPr>
              <w:pStyle w:val="Tabletext"/>
              <w:widowControl w:val="0"/>
              <w:numPr>
                <w:ilvl w:val="0"/>
                <w:numId w:val="17"/>
              </w:numPr>
              <w:ind w:left="316" w:hanging="283"/>
              <w:rPr>
                <w:rFonts w:eastAsiaTheme="majorEastAsia" w:cstheme="majorBidi"/>
                <w:szCs w:val="20"/>
              </w:rPr>
            </w:pPr>
            <w:r w:rsidRPr="006A290E">
              <w:rPr>
                <w:szCs w:val="20"/>
              </w:rPr>
              <w:t>21vPCV</w:t>
            </w:r>
            <w:r w:rsidR="00B84A8C" w:rsidRPr="006A290E">
              <w:rPr>
                <w:szCs w:val="20"/>
              </w:rPr>
              <w:t xml:space="preserve"> has superior efficacy against PD to 15vPCV, for 8 unique serotypes except for 15C.</w:t>
            </w:r>
          </w:p>
          <w:p w14:paraId="7F8041BC" w14:textId="77777777" w:rsidR="00B84A8C" w:rsidRPr="006A290E" w:rsidRDefault="00B84A8C">
            <w:pPr>
              <w:pStyle w:val="Tabletext"/>
              <w:widowControl w:val="0"/>
              <w:ind w:left="316" w:hanging="284"/>
              <w:rPr>
                <w:szCs w:val="20"/>
              </w:rPr>
            </w:pPr>
          </w:p>
          <w:p w14:paraId="7666B797" w14:textId="145F70DC" w:rsidR="00B84A8C" w:rsidRPr="006A290E" w:rsidRDefault="00B84A8C" w:rsidP="00D41749">
            <w:pPr>
              <w:pStyle w:val="Tabletext"/>
              <w:keepNext/>
              <w:widowControl w:val="0"/>
              <w:ind w:left="318" w:hanging="284"/>
              <w:rPr>
                <w:szCs w:val="20"/>
              </w:rPr>
            </w:pPr>
            <w:r w:rsidRPr="006A290E">
              <w:rPr>
                <w:szCs w:val="20"/>
              </w:rPr>
              <w:t xml:space="preserve">For </w:t>
            </w:r>
            <w:r w:rsidR="00D04DE7" w:rsidRPr="006A290E">
              <w:rPr>
                <w:szCs w:val="20"/>
              </w:rPr>
              <w:t>Aboriginal and Torres Strait Islander adults</w:t>
            </w:r>
            <w:r w:rsidRPr="006A290E">
              <w:rPr>
                <w:szCs w:val="20"/>
              </w:rPr>
              <w:t xml:space="preserve"> aged 25-49 years:</w:t>
            </w:r>
          </w:p>
          <w:p w14:paraId="5D9E0414" w14:textId="42F9AEE3" w:rsidR="00B84A8C" w:rsidRPr="006A290E" w:rsidRDefault="00721E1A" w:rsidP="00572866">
            <w:pPr>
              <w:pStyle w:val="Tabletext"/>
              <w:widowControl w:val="0"/>
              <w:numPr>
                <w:ilvl w:val="0"/>
                <w:numId w:val="17"/>
              </w:numPr>
              <w:ind w:left="316" w:hanging="283"/>
              <w:rPr>
                <w:szCs w:val="20"/>
              </w:rPr>
            </w:pPr>
            <w:r w:rsidRPr="006A290E">
              <w:rPr>
                <w:szCs w:val="20"/>
              </w:rPr>
              <w:t>21vPCV</w:t>
            </w:r>
            <w:r w:rsidR="00B84A8C" w:rsidRPr="006A290E">
              <w:rPr>
                <w:szCs w:val="20"/>
              </w:rPr>
              <w:t xml:space="preserve"> </w:t>
            </w:r>
            <w:r w:rsidR="00B84A8C" w:rsidRPr="006A290E">
              <w:rPr>
                <w:rFonts w:eastAsiaTheme="majorEastAsia" w:cstheme="majorBidi"/>
                <w:szCs w:val="20"/>
              </w:rPr>
              <w:t>has</w:t>
            </w:r>
            <w:r w:rsidR="00B84A8C" w:rsidRPr="006A290E">
              <w:rPr>
                <w:szCs w:val="20"/>
              </w:rPr>
              <w:t xml:space="preserve"> non-inferior efficacy against PD compared to 20vPCV for the 10 common serotypes (non-inferiority was not demonstrated for the shared serotypes)</w:t>
            </w:r>
          </w:p>
          <w:p w14:paraId="120F6695" w14:textId="2B28C1D0" w:rsidR="00B84A8C" w:rsidRPr="006A290E" w:rsidRDefault="00721E1A" w:rsidP="00572866">
            <w:pPr>
              <w:pStyle w:val="Tabletext"/>
              <w:widowControl w:val="0"/>
              <w:numPr>
                <w:ilvl w:val="0"/>
                <w:numId w:val="17"/>
              </w:numPr>
              <w:ind w:left="316" w:hanging="283"/>
              <w:rPr>
                <w:szCs w:val="20"/>
              </w:rPr>
            </w:pPr>
            <w:r w:rsidRPr="006A290E">
              <w:rPr>
                <w:rFonts w:eastAsiaTheme="majorEastAsia" w:cstheme="majorBidi"/>
                <w:szCs w:val="20"/>
              </w:rPr>
              <w:t>21vPCV</w:t>
            </w:r>
            <w:r w:rsidR="00B84A8C" w:rsidRPr="006A290E">
              <w:rPr>
                <w:szCs w:val="20"/>
              </w:rPr>
              <w:t xml:space="preserve"> has superior efficacy against PD compared to 20vPCV for the 11 unique serotypes</w:t>
            </w:r>
          </w:p>
          <w:p w14:paraId="73DF2A82" w14:textId="77777777" w:rsidR="00B84A8C" w:rsidRPr="006A290E" w:rsidRDefault="00B84A8C">
            <w:pPr>
              <w:pStyle w:val="Tabletext"/>
              <w:widowControl w:val="0"/>
              <w:tabs>
                <w:tab w:val="left" w:pos="3002"/>
              </w:tabs>
              <w:ind w:left="316" w:hanging="284"/>
              <w:rPr>
                <w:szCs w:val="20"/>
              </w:rPr>
            </w:pPr>
          </w:p>
          <w:p w14:paraId="536EA8E6" w14:textId="53601239" w:rsidR="00B84A8C" w:rsidRPr="006A290E" w:rsidRDefault="00B84A8C" w:rsidP="00D933CB">
            <w:pPr>
              <w:pStyle w:val="Tabletext"/>
              <w:keepNext/>
              <w:keepLines/>
              <w:widowControl w:val="0"/>
              <w:ind w:left="32"/>
              <w:rPr>
                <w:b/>
                <w:bCs/>
                <w:szCs w:val="20"/>
              </w:rPr>
            </w:pPr>
            <w:r w:rsidRPr="006A290E">
              <w:rPr>
                <w:b/>
                <w:bCs/>
                <w:szCs w:val="20"/>
              </w:rPr>
              <w:lastRenderedPageBreak/>
              <w:t>Summary efficacy claims (rely</w:t>
            </w:r>
            <w:r w:rsidR="00EE1095" w:rsidRPr="006A290E">
              <w:rPr>
                <w:b/>
                <w:bCs/>
                <w:szCs w:val="20"/>
              </w:rPr>
              <w:t>ing</w:t>
            </w:r>
            <w:r w:rsidRPr="006A290E">
              <w:rPr>
                <w:b/>
                <w:bCs/>
                <w:szCs w:val="20"/>
              </w:rPr>
              <w:t xml:space="preserve"> on assumption that immunogenicity outcomes will translate to reduction in IPD and CAP):</w:t>
            </w:r>
          </w:p>
          <w:p w14:paraId="57525A24" w14:textId="7BD31565" w:rsidR="00B84A8C" w:rsidRPr="006A290E" w:rsidRDefault="00721E1A" w:rsidP="00F73A79">
            <w:pPr>
              <w:pStyle w:val="TableText0"/>
              <w:keepNext/>
              <w:rPr>
                <w:color w:val="000000" w:themeColor="text1"/>
                <w:szCs w:val="20"/>
              </w:rPr>
            </w:pPr>
            <w:r w:rsidRPr="006A290E">
              <w:rPr>
                <w:color w:val="000000" w:themeColor="text1"/>
                <w:szCs w:val="20"/>
              </w:rPr>
              <w:t>21vPCV</w:t>
            </w:r>
            <w:r w:rsidR="00B84A8C" w:rsidRPr="006A290E">
              <w:rPr>
                <w:color w:val="000000" w:themeColor="text1"/>
                <w:szCs w:val="20"/>
              </w:rPr>
              <w:t xml:space="preserve"> has superior effectiveness against pneumococcal disease compared to </w:t>
            </w:r>
            <w:r w:rsidR="001D2EB2" w:rsidRPr="006A290E">
              <w:rPr>
                <w:color w:val="000000" w:themeColor="text1"/>
                <w:szCs w:val="20"/>
              </w:rPr>
              <w:t>13v</w:t>
            </w:r>
            <w:r w:rsidR="00B84A8C" w:rsidRPr="006A290E">
              <w:rPr>
                <w:color w:val="000000" w:themeColor="text1"/>
                <w:szCs w:val="20"/>
              </w:rPr>
              <w:t xml:space="preserve">PCV with or without </w:t>
            </w:r>
            <w:r w:rsidR="001D2EB2" w:rsidRPr="006A290E">
              <w:rPr>
                <w:color w:val="000000" w:themeColor="text1"/>
                <w:szCs w:val="20"/>
              </w:rPr>
              <w:t>23v</w:t>
            </w:r>
            <w:r w:rsidR="00B84A8C" w:rsidRPr="006A290E">
              <w:rPr>
                <w:color w:val="000000" w:themeColor="text1"/>
                <w:szCs w:val="20"/>
              </w:rPr>
              <w:t xml:space="preserve">PPV and to </w:t>
            </w:r>
            <w:r w:rsidR="001D2EB2" w:rsidRPr="006A290E">
              <w:rPr>
                <w:color w:val="000000" w:themeColor="text1"/>
                <w:szCs w:val="20"/>
              </w:rPr>
              <w:t>20v</w:t>
            </w:r>
            <w:r w:rsidR="00B84A8C" w:rsidRPr="006A290E">
              <w:rPr>
                <w:color w:val="000000" w:themeColor="text1"/>
                <w:szCs w:val="20"/>
              </w:rPr>
              <w:t>PCV in the following adult populations</w:t>
            </w:r>
          </w:p>
          <w:p w14:paraId="0D590813" w14:textId="77777777" w:rsidR="00B84A8C" w:rsidRPr="006A290E" w:rsidRDefault="00B84A8C">
            <w:pPr>
              <w:pStyle w:val="TableNoteBullet"/>
              <w:spacing w:after="0"/>
              <w:ind w:left="357" w:right="57" w:hanging="357"/>
              <w:rPr>
                <w:color w:val="000000" w:themeColor="text1"/>
                <w:szCs w:val="20"/>
              </w:rPr>
            </w:pPr>
            <w:r w:rsidRPr="006A290E">
              <w:rPr>
                <w:color w:val="000000" w:themeColor="text1"/>
                <w:szCs w:val="20"/>
              </w:rPr>
              <w:t>Non-indigenous adults aged ≥ 70 years</w:t>
            </w:r>
          </w:p>
          <w:p w14:paraId="2B977115" w14:textId="77777777" w:rsidR="00B84A8C" w:rsidRPr="006A290E" w:rsidRDefault="00B84A8C">
            <w:pPr>
              <w:pStyle w:val="TableNoteBullet"/>
              <w:spacing w:after="0"/>
              <w:ind w:left="357" w:right="57" w:hanging="357"/>
              <w:rPr>
                <w:color w:val="000000" w:themeColor="text1"/>
                <w:szCs w:val="20"/>
              </w:rPr>
            </w:pPr>
            <w:r w:rsidRPr="006A290E">
              <w:rPr>
                <w:color w:val="000000" w:themeColor="text1"/>
                <w:szCs w:val="20"/>
              </w:rPr>
              <w:t>Adults (≥18 years) newly diagnosed with NIP-funded risk conditions for pneumococcal disease</w:t>
            </w:r>
          </w:p>
          <w:p w14:paraId="6BDA0499" w14:textId="77777777" w:rsidR="00B84A8C" w:rsidRPr="006A290E" w:rsidRDefault="00B84A8C">
            <w:pPr>
              <w:pStyle w:val="TableNoteBullet"/>
              <w:spacing w:after="0"/>
              <w:ind w:left="357" w:right="57" w:hanging="357"/>
              <w:rPr>
                <w:color w:val="000000" w:themeColor="text1"/>
                <w:szCs w:val="20"/>
              </w:rPr>
            </w:pPr>
            <w:r w:rsidRPr="006A290E">
              <w:rPr>
                <w:color w:val="000000" w:themeColor="text1"/>
                <w:szCs w:val="20"/>
              </w:rPr>
              <w:t>Aboriginal and Torres Strait Islander adults aged ≥50 years</w:t>
            </w:r>
          </w:p>
          <w:p w14:paraId="25EF56D9" w14:textId="5D31289B" w:rsidR="00B84A8C" w:rsidRPr="006A290E" w:rsidRDefault="00721E1A">
            <w:pPr>
              <w:pStyle w:val="TableNoteBullet"/>
              <w:numPr>
                <w:ilvl w:val="0"/>
                <w:numId w:val="0"/>
              </w:numPr>
              <w:spacing w:after="0"/>
              <w:rPr>
                <w:color w:val="000000" w:themeColor="text1"/>
                <w:szCs w:val="20"/>
              </w:rPr>
            </w:pPr>
            <w:r w:rsidRPr="006A290E">
              <w:rPr>
                <w:color w:val="000000" w:themeColor="text1"/>
                <w:szCs w:val="20"/>
              </w:rPr>
              <w:t>21vPCV</w:t>
            </w:r>
            <w:r w:rsidR="00B84A8C" w:rsidRPr="006A290E">
              <w:rPr>
                <w:color w:val="000000" w:themeColor="text1"/>
                <w:szCs w:val="20"/>
              </w:rPr>
              <w:t xml:space="preserve"> has non-inferior effectiveness against pneumococcal disease and compared to </w:t>
            </w:r>
            <w:r w:rsidR="001D2EB2" w:rsidRPr="006A290E">
              <w:rPr>
                <w:color w:val="000000" w:themeColor="text1"/>
                <w:szCs w:val="20"/>
              </w:rPr>
              <w:t>20v</w:t>
            </w:r>
            <w:r w:rsidR="00B84A8C" w:rsidRPr="006A290E">
              <w:rPr>
                <w:color w:val="000000" w:themeColor="text1"/>
                <w:szCs w:val="20"/>
              </w:rPr>
              <w:t>PCV in the following adult populations</w:t>
            </w:r>
          </w:p>
          <w:p w14:paraId="69E380A5" w14:textId="77777777" w:rsidR="00B84A8C" w:rsidRPr="006A290E" w:rsidRDefault="00B84A8C" w:rsidP="0014545C">
            <w:pPr>
              <w:pStyle w:val="TableNoteBullet"/>
              <w:spacing w:after="0"/>
              <w:ind w:left="357" w:right="57" w:hanging="357"/>
              <w:rPr>
                <w:color w:val="000000" w:themeColor="text1"/>
                <w:szCs w:val="20"/>
              </w:rPr>
            </w:pPr>
            <w:r w:rsidRPr="006A290E">
              <w:rPr>
                <w:color w:val="000000" w:themeColor="text1"/>
                <w:szCs w:val="20"/>
              </w:rPr>
              <w:t>Aboriginal and Torres Strait Islander adults aged 25-49 year</w:t>
            </w:r>
          </w:p>
          <w:p w14:paraId="57CB3486" w14:textId="21FB5FD3" w:rsidR="00B84A8C" w:rsidRPr="006A290E" w:rsidRDefault="00D933CB" w:rsidP="00D933CB">
            <w:pPr>
              <w:pStyle w:val="Tabletext"/>
              <w:widowControl w:val="0"/>
              <w:tabs>
                <w:tab w:val="left" w:pos="936"/>
              </w:tabs>
              <w:rPr>
                <w:szCs w:val="20"/>
              </w:rPr>
            </w:pPr>
            <w:r w:rsidRPr="006A290E">
              <w:rPr>
                <w:szCs w:val="20"/>
              </w:rPr>
              <w:tab/>
            </w:r>
          </w:p>
          <w:p w14:paraId="29AAD8D0" w14:textId="793E91EA" w:rsidR="00B84A8C" w:rsidRPr="006A290E" w:rsidRDefault="00B84A8C">
            <w:pPr>
              <w:pStyle w:val="Tabletext"/>
              <w:widowControl w:val="0"/>
              <w:ind w:left="316" w:hanging="284"/>
              <w:rPr>
                <w:b/>
                <w:bCs/>
                <w:szCs w:val="20"/>
              </w:rPr>
            </w:pPr>
            <w:r w:rsidRPr="006A290E">
              <w:rPr>
                <w:b/>
                <w:bCs/>
                <w:szCs w:val="20"/>
              </w:rPr>
              <w:t xml:space="preserve">Safety </w:t>
            </w:r>
            <w:r w:rsidR="00EE1095" w:rsidRPr="006A290E">
              <w:rPr>
                <w:b/>
                <w:bCs/>
                <w:szCs w:val="20"/>
              </w:rPr>
              <w:t>c</w:t>
            </w:r>
            <w:r w:rsidRPr="006A290E">
              <w:rPr>
                <w:b/>
                <w:bCs/>
                <w:szCs w:val="20"/>
              </w:rPr>
              <w:t>laim</w:t>
            </w:r>
            <w:r w:rsidR="00EE1095" w:rsidRPr="006A290E">
              <w:rPr>
                <w:b/>
                <w:bCs/>
                <w:szCs w:val="20"/>
              </w:rPr>
              <w:t>s</w:t>
            </w:r>
            <w:r w:rsidRPr="006A290E">
              <w:rPr>
                <w:b/>
                <w:bCs/>
                <w:szCs w:val="20"/>
              </w:rPr>
              <w:t xml:space="preserve"> </w:t>
            </w:r>
          </w:p>
          <w:p w14:paraId="1A4C7F21" w14:textId="48691612" w:rsidR="00B84A8C" w:rsidRPr="006A290E" w:rsidRDefault="00B84A8C">
            <w:pPr>
              <w:pStyle w:val="Tabletext"/>
              <w:widowControl w:val="0"/>
              <w:ind w:left="32"/>
              <w:rPr>
                <w:szCs w:val="20"/>
              </w:rPr>
            </w:pPr>
            <w:r w:rsidRPr="006A290E">
              <w:rPr>
                <w:rFonts w:eastAsiaTheme="majorEastAsia" w:cstheme="majorBidi"/>
                <w:szCs w:val="20"/>
              </w:rPr>
              <w:t xml:space="preserve">For </w:t>
            </w:r>
            <w:r w:rsidRPr="006A290E">
              <w:rPr>
                <w:szCs w:val="20"/>
              </w:rPr>
              <w:t xml:space="preserve">non-Indigenous adults aged </w:t>
            </w:r>
            <w:r w:rsidRPr="006A290E">
              <w:rPr>
                <w:rFonts w:eastAsiaTheme="majorEastAsia" w:cstheme="majorBidi"/>
                <w:bCs/>
                <w:szCs w:val="20"/>
              </w:rPr>
              <w:t xml:space="preserve">≥ 70 years, </w:t>
            </w:r>
            <w:r w:rsidR="00D04DE7" w:rsidRPr="006A290E">
              <w:rPr>
                <w:rFonts w:eastAsiaTheme="majorEastAsia" w:cstheme="majorBidi"/>
                <w:bCs/>
                <w:szCs w:val="20"/>
              </w:rPr>
              <w:t>Aboriginal and Torres Strait Islander adults</w:t>
            </w:r>
            <w:r w:rsidRPr="006A290E">
              <w:rPr>
                <w:rFonts w:eastAsiaTheme="majorEastAsia" w:cstheme="majorBidi"/>
                <w:bCs/>
                <w:szCs w:val="20"/>
              </w:rPr>
              <w:t xml:space="preserve"> aged ≥ 50 years</w:t>
            </w:r>
            <w:r w:rsidRPr="006A290E">
              <w:rPr>
                <w:rFonts w:eastAsiaTheme="majorEastAsia" w:cstheme="majorBidi"/>
                <w:szCs w:val="20"/>
              </w:rPr>
              <w:t xml:space="preserve"> and adults aged </w:t>
            </w:r>
            <w:r w:rsidRPr="006A290E">
              <w:rPr>
                <w:rFonts w:eastAsiaTheme="majorEastAsia" w:cstheme="majorBidi"/>
                <w:bCs/>
                <w:szCs w:val="20"/>
              </w:rPr>
              <w:t>≥ 18 years</w:t>
            </w:r>
            <w:r w:rsidRPr="006A290E">
              <w:rPr>
                <w:szCs w:val="20"/>
              </w:rPr>
              <w:t xml:space="preserve"> with NIP listed risk conditions: </w:t>
            </w:r>
          </w:p>
          <w:p w14:paraId="03B5C71F" w14:textId="24BE3C02" w:rsidR="00B84A8C" w:rsidRPr="006A290E" w:rsidRDefault="00721E1A" w:rsidP="00572866">
            <w:pPr>
              <w:pStyle w:val="Tabletext"/>
              <w:widowControl w:val="0"/>
              <w:numPr>
                <w:ilvl w:val="0"/>
                <w:numId w:val="17"/>
              </w:numPr>
              <w:ind w:left="316" w:hanging="283"/>
              <w:rPr>
                <w:szCs w:val="20"/>
              </w:rPr>
            </w:pPr>
            <w:r w:rsidRPr="006A290E">
              <w:rPr>
                <w:szCs w:val="20"/>
              </w:rPr>
              <w:t>21vPCV</w:t>
            </w:r>
            <w:r w:rsidR="00B84A8C" w:rsidRPr="006A290E">
              <w:rPr>
                <w:szCs w:val="20"/>
              </w:rPr>
              <w:t xml:space="preserve"> has equivalent safety to 13vPCV, 15vPCV and 20vPCV</w:t>
            </w:r>
          </w:p>
          <w:p w14:paraId="6FA4913A" w14:textId="77777777" w:rsidR="00B84A8C" w:rsidRPr="006A290E" w:rsidRDefault="00B84A8C">
            <w:pPr>
              <w:pStyle w:val="Tabletext"/>
              <w:widowControl w:val="0"/>
              <w:ind w:left="316" w:hanging="284"/>
              <w:rPr>
                <w:szCs w:val="20"/>
              </w:rPr>
            </w:pPr>
          </w:p>
          <w:p w14:paraId="17645B47" w14:textId="1655536A" w:rsidR="00B84A8C" w:rsidRPr="006A290E" w:rsidRDefault="00B84A8C">
            <w:pPr>
              <w:pStyle w:val="Tabletext"/>
              <w:widowControl w:val="0"/>
              <w:ind w:left="316" w:hanging="284"/>
              <w:rPr>
                <w:szCs w:val="20"/>
              </w:rPr>
            </w:pPr>
            <w:r w:rsidRPr="006A290E">
              <w:rPr>
                <w:szCs w:val="20"/>
              </w:rPr>
              <w:t xml:space="preserve">For </w:t>
            </w:r>
            <w:r w:rsidR="00D04DE7" w:rsidRPr="006A290E">
              <w:rPr>
                <w:szCs w:val="20"/>
              </w:rPr>
              <w:t>Aboriginal and Torres Strait Islander adults</w:t>
            </w:r>
            <w:r w:rsidRPr="006A290E">
              <w:rPr>
                <w:szCs w:val="20"/>
              </w:rPr>
              <w:t xml:space="preserve"> aged 25-49:</w:t>
            </w:r>
          </w:p>
          <w:p w14:paraId="000E7A5B" w14:textId="6DCFA90A" w:rsidR="00B84A8C" w:rsidRPr="006A290E" w:rsidRDefault="00721E1A" w:rsidP="00572866">
            <w:pPr>
              <w:pStyle w:val="Tabletext"/>
              <w:widowControl w:val="0"/>
              <w:numPr>
                <w:ilvl w:val="0"/>
                <w:numId w:val="17"/>
              </w:numPr>
              <w:ind w:left="316" w:hanging="283"/>
              <w:rPr>
                <w:szCs w:val="20"/>
              </w:rPr>
            </w:pPr>
            <w:r w:rsidRPr="006A290E">
              <w:rPr>
                <w:rFonts w:eastAsiaTheme="majorEastAsia" w:cstheme="majorBidi"/>
                <w:szCs w:val="20"/>
              </w:rPr>
              <w:t>21vPCV</w:t>
            </w:r>
            <w:r w:rsidR="00B84A8C" w:rsidRPr="006A290E">
              <w:rPr>
                <w:szCs w:val="20"/>
              </w:rPr>
              <w:t xml:space="preserve"> has non-inferior safety compared to 20vPCV</w:t>
            </w:r>
          </w:p>
        </w:tc>
      </w:tr>
    </w:tbl>
    <w:p w14:paraId="1AD5A4C0" w14:textId="77777777" w:rsidR="00B84A8C" w:rsidRPr="009F57D8" w:rsidRDefault="00B84A8C" w:rsidP="00B84A8C">
      <w:pPr>
        <w:pStyle w:val="FooterTableFigure"/>
        <w:widowControl w:val="0"/>
      </w:pPr>
      <w:r w:rsidRPr="009F57D8">
        <w:lastRenderedPageBreak/>
        <w:t xml:space="preserve">Source: Table 1.1-3, p6 of the submission and Section 2.8 of the submission. </w:t>
      </w:r>
    </w:p>
    <w:p w14:paraId="111E26EE" w14:textId="35AB7106" w:rsidR="00B84A8C" w:rsidRPr="009F57D8" w:rsidRDefault="00B84A8C" w:rsidP="00B84A8C">
      <w:pPr>
        <w:pStyle w:val="FooterTableFigure"/>
        <w:widowControl w:val="0"/>
      </w:pPr>
      <w:r w:rsidRPr="009F57D8">
        <w:t xml:space="preserve">13vPCV = 13-valent pneumococcal conjugate vaccine; 15vPCV = 15-valent pneumococcal conjugate vaccine; 20vPCV = 20-valent pneumococcal conjugate vaccine; 23vPPV = 23-valent pneumococcal polysaccharide vaccine; AE = adverse event; ATAGI = Australian Technical Advisory Group on Immunisation; GMC = geometric mean concentrations; IgG = immunoglobulin G; NIP = National Immunisation Program; OPA = opsonophagocytic; PBAC = Pharmaceutical Benefits Advisory Committee; PD = pneumococcal disease; SAE = serious adverse events; </w:t>
      </w:r>
      <w:r w:rsidR="00721E1A" w:rsidRPr="009F57D8">
        <w:t>21vPCV</w:t>
      </w:r>
      <w:r w:rsidRPr="009F57D8">
        <w:t xml:space="preserve"> = 21-valent pneumococcal conjugate vaccine.</w:t>
      </w:r>
    </w:p>
    <w:p w14:paraId="4CC82F62" w14:textId="77777777" w:rsidR="00B84A8C" w:rsidRPr="009F57D8" w:rsidRDefault="00B84A8C" w:rsidP="00B84A8C">
      <w:pPr>
        <w:pStyle w:val="FooterTableFigure"/>
        <w:widowControl w:val="0"/>
      </w:pPr>
      <w:bookmarkStart w:id="7" w:name="_Toc177070730"/>
      <w:r w:rsidRPr="009F57D8">
        <w:t>a. Medical risk conditions as follows:</w:t>
      </w:r>
    </w:p>
    <w:p w14:paraId="36CEA1E9" w14:textId="77777777" w:rsidR="00B84A8C" w:rsidRPr="009F57D8" w:rsidRDefault="00B84A8C" w:rsidP="00B84A8C">
      <w:pPr>
        <w:pStyle w:val="FooterTableFigure"/>
        <w:widowControl w:val="0"/>
        <w:ind w:left="284"/>
      </w:pPr>
      <w:r w:rsidRPr="009F57D8">
        <w:t>A.</w:t>
      </w:r>
      <w:r w:rsidRPr="009F57D8">
        <w:tab/>
        <w:t xml:space="preserve">functional or anatomical asplenia including sickle cell disease, other haemoglobinopathies, congenital or acquired asplenia (e.g. splenectomy) or hyposplenia; </w:t>
      </w:r>
    </w:p>
    <w:p w14:paraId="30264348" w14:textId="77777777" w:rsidR="00B84A8C" w:rsidRPr="009F57D8" w:rsidRDefault="00B84A8C" w:rsidP="00B84A8C">
      <w:pPr>
        <w:pStyle w:val="FooterTableFigure"/>
        <w:widowControl w:val="0"/>
        <w:ind w:left="284"/>
      </w:pPr>
      <w:r w:rsidRPr="009F57D8">
        <w:t>B.</w:t>
      </w:r>
      <w:r w:rsidRPr="009F57D8">
        <w:tab/>
        <w:t xml:space="preserve">immunocompromising conditions including congenital or acquired immune deficiency including symptomatic IgG subclass or isolated IgA deficiency, haematological malignancies, solid organ transplant haematopoietic stem cell transplant (HSCT) or HIV infection; </w:t>
      </w:r>
    </w:p>
    <w:p w14:paraId="46F0009D" w14:textId="77777777" w:rsidR="00B84A8C" w:rsidRPr="009F57D8" w:rsidRDefault="00B84A8C" w:rsidP="00B84A8C">
      <w:pPr>
        <w:pStyle w:val="FooterTableFigure"/>
        <w:widowControl w:val="0"/>
        <w:ind w:left="284"/>
      </w:pPr>
      <w:r w:rsidRPr="009F57D8">
        <w:t>C.</w:t>
      </w:r>
      <w:r w:rsidRPr="009F57D8">
        <w:tab/>
        <w:t xml:space="preserve">chronic respiratory disease including suppurative lung disease, bronchiectasis and cystic fibrosis or chronic lung disease of prematurity; </w:t>
      </w:r>
    </w:p>
    <w:p w14:paraId="0054709D" w14:textId="77777777" w:rsidR="00B84A8C" w:rsidRPr="009F57D8" w:rsidRDefault="00B84A8C" w:rsidP="00B84A8C">
      <w:pPr>
        <w:pStyle w:val="FooterTableFigure"/>
        <w:widowControl w:val="0"/>
        <w:ind w:left="284"/>
      </w:pPr>
      <w:r w:rsidRPr="009F57D8">
        <w:t>D.</w:t>
      </w:r>
      <w:r w:rsidRPr="009F57D8">
        <w:tab/>
        <w:t xml:space="preserve">chronic renal disease including: end stage renal disease – eGFR &lt;15mL/min or relapsing or persistent nephrotic syndrome; </w:t>
      </w:r>
    </w:p>
    <w:p w14:paraId="4270E7E3" w14:textId="77777777" w:rsidR="00B84A8C" w:rsidRPr="009F57D8" w:rsidRDefault="00B84A8C" w:rsidP="00B84A8C">
      <w:pPr>
        <w:pStyle w:val="FooterTableFigure"/>
        <w:widowControl w:val="0"/>
        <w:ind w:left="284"/>
      </w:pPr>
      <w:r w:rsidRPr="009F57D8">
        <w:t>E.</w:t>
      </w:r>
      <w:r w:rsidRPr="009F57D8">
        <w:tab/>
        <w:t xml:space="preserve">proven or presumptive cerebrospinal fluid (CSF) leak; </w:t>
      </w:r>
    </w:p>
    <w:p w14:paraId="007CD9CB" w14:textId="77777777" w:rsidR="00B84A8C" w:rsidRPr="009F57D8" w:rsidRDefault="00B84A8C" w:rsidP="00B84A8C">
      <w:pPr>
        <w:pStyle w:val="FooterTableFigure"/>
        <w:widowControl w:val="0"/>
        <w:ind w:left="284"/>
      </w:pPr>
      <w:r w:rsidRPr="009F57D8">
        <w:t>F.</w:t>
      </w:r>
      <w:r w:rsidRPr="009F57D8">
        <w:tab/>
        <w:t xml:space="preserve">cochlear implants; </w:t>
      </w:r>
    </w:p>
    <w:p w14:paraId="50BBF8F1" w14:textId="77777777" w:rsidR="00B84A8C" w:rsidRPr="009F57D8" w:rsidRDefault="00B84A8C" w:rsidP="00B84A8C">
      <w:pPr>
        <w:pStyle w:val="FooterTableFigure"/>
        <w:widowControl w:val="0"/>
        <w:ind w:left="284"/>
      </w:pPr>
      <w:r w:rsidRPr="009F57D8">
        <w:t>G.</w:t>
      </w:r>
      <w:r w:rsidRPr="009F57D8">
        <w:tab/>
        <w:t xml:space="preserve">intracranial shunts; </w:t>
      </w:r>
    </w:p>
    <w:p w14:paraId="564A183B" w14:textId="77777777" w:rsidR="00B84A8C" w:rsidRPr="009F57D8" w:rsidRDefault="00B84A8C" w:rsidP="00B84A8C">
      <w:pPr>
        <w:pStyle w:val="FooterTableFigure"/>
        <w:widowControl w:val="0"/>
        <w:ind w:left="284"/>
      </w:pPr>
      <w:r w:rsidRPr="009F57D8">
        <w:t>H.</w:t>
      </w:r>
      <w:r w:rsidRPr="009F57D8">
        <w:tab/>
        <w:t>previous episode of invasive pneumococcal disease (IPD).</w:t>
      </w:r>
    </w:p>
    <w:p w14:paraId="73907D33" w14:textId="7D6CF7CE" w:rsidR="00B84A8C" w:rsidRPr="009F57D8" w:rsidRDefault="00B84A8C" w:rsidP="00B84A8C">
      <w:pPr>
        <w:pStyle w:val="FooterTableFigure"/>
        <w:widowControl w:val="0"/>
      </w:pPr>
      <w:r w:rsidRPr="009F57D8">
        <w:t xml:space="preserve">b. 15vPCV was also identified as a near market comparator, however a clinical comparison in the requested ≥ 70 years population was not presented by the submission.  The submission presented comparisons of </w:t>
      </w:r>
      <w:r w:rsidR="00721E1A" w:rsidRPr="009F57D8">
        <w:t>21vPCV</w:t>
      </w:r>
      <w:r w:rsidRPr="009F57D8">
        <w:t xml:space="preserve"> in Section 3 of submission versus 13vPCV or 20vPCV, and not 15vPCV, stating that these comparisons represented the two extremes of serotype coverage with PBAC recommended PCVs.</w:t>
      </w:r>
    </w:p>
    <w:p w14:paraId="092011B4" w14:textId="77777777" w:rsidR="00B84A8C" w:rsidRPr="009F57D8" w:rsidRDefault="00B84A8C" w:rsidP="00B84A8C">
      <w:pPr>
        <w:pStyle w:val="2-SectionHeading"/>
        <w:numPr>
          <w:ilvl w:val="0"/>
          <w:numId w:val="1"/>
        </w:numPr>
      </w:pPr>
      <w:bookmarkStart w:id="8" w:name="_Toc209004897"/>
      <w:r w:rsidRPr="009F57D8">
        <w:t>Background</w:t>
      </w:r>
      <w:bookmarkEnd w:id="7"/>
      <w:bookmarkEnd w:id="8"/>
    </w:p>
    <w:p w14:paraId="2E53E9C1" w14:textId="77777777" w:rsidR="00B84A8C" w:rsidRPr="009F57D8" w:rsidRDefault="00B84A8C" w:rsidP="000925DD">
      <w:pPr>
        <w:pStyle w:val="4-SubsectionHeading"/>
      </w:pPr>
      <w:bookmarkStart w:id="9" w:name="_Toc22897638"/>
      <w:bookmarkStart w:id="10" w:name="_Toc177070731"/>
      <w:bookmarkStart w:id="11" w:name="_Toc209004898"/>
      <w:r w:rsidRPr="009F57D8">
        <w:t>Registration status</w:t>
      </w:r>
      <w:bookmarkEnd w:id="9"/>
      <w:bookmarkEnd w:id="10"/>
      <w:bookmarkEnd w:id="11"/>
    </w:p>
    <w:p w14:paraId="643B4FE7" w14:textId="73F9BF62" w:rsidR="00B84A8C" w:rsidRPr="009F57D8" w:rsidRDefault="00B84A8C" w:rsidP="00B84A8C">
      <w:pPr>
        <w:pStyle w:val="3-BodyText"/>
        <w:numPr>
          <w:ilvl w:val="1"/>
          <w:numId w:val="1"/>
        </w:numPr>
        <w:rPr>
          <w:bCs/>
        </w:rPr>
      </w:pPr>
      <w:r w:rsidRPr="009F57D8">
        <w:t xml:space="preserve">Therapeutic Goods Administration (TGA) approval was received on Jan 30, 2025. </w:t>
      </w:r>
      <w:r w:rsidRPr="009F57D8">
        <w:rPr>
          <w:bCs/>
          <w:iCs/>
        </w:rPr>
        <w:t xml:space="preserve">The approved TGA indication for </w:t>
      </w:r>
      <w:r w:rsidR="00D86D8B" w:rsidRPr="009F57D8">
        <w:rPr>
          <w:bCs/>
          <w:iCs/>
        </w:rPr>
        <w:t>21vPCV</w:t>
      </w:r>
      <w:r w:rsidRPr="009F57D8">
        <w:rPr>
          <w:bCs/>
          <w:iCs/>
        </w:rPr>
        <w:t xml:space="preserve"> is for active immunisation for the prevention of pneumococcal disease caused by </w:t>
      </w:r>
      <w:r w:rsidRPr="009F57D8">
        <w:rPr>
          <w:bCs/>
          <w:i/>
          <w:iCs/>
        </w:rPr>
        <w:t>Streptococcus pneumoniae</w:t>
      </w:r>
      <w:r w:rsidRPr="009F57D8">
        <w:rPr>
          <w:bCs/>
          <w:iCs/>
        </w:rPr>
        <w:t xml:space="preserve"> (</w:t>
      </w:r>
      <w:r w:rsidRPr="009F57D8">
        <w:rPr>
          <w:bCs/>
          <w:i/>
          <w:iCs/>
        </w:rPr>
        <w:t>S.</w:t>
      </w:r>
      <w:r w:rsidR="0033660C" w:rsidRPr="009F57D8">
        <w:rPr>
          <w:bCs/>
          <w:i/>
          <w:iCs/>
        </w:rPr>
        <w:t xml:space="preserve"> </w:t>
      </w:r>
      <w:r w:rsidRPr="009F57D8">
        <w:rPr>
          <w:bCs/>
          <w:i/>
          <w:iCs/>
        </w:rPr>
        <w:t>pneumoniae</w:t>
      </w:r>
      <w:r w:rsidRPr="009F57D8">
        <w:rPr>
          <w:bCs/>
          <w:iCs/>
        </w:rPr>
        <w:t xml:space="preserve">) serotypes (3, 6A, 7F, 8, 9N, 10A, 11A, 12F, 15A, 15B, 15C, 16F, 17F, 19A, 20A, 22F, 23A, 23B, 24F, 31, 33F, and 35B) in adults 18 years of age and older.  The TGA approved product information (PI) states that </w:t>
      </w:r>
      <w:r w:rsidR="00D86D8B" w:rsidRPr="009F57D8">
        <w:rPr>
          <w:bCs/>
          <w:iCs/>
        </w:rPr>
        <w:t>21vPCV</w:t>
      </w:r>
      <w:r w:rsidRPr="009F57D8">
        <w:rPr>
          <w:bCs/>
          <w:iCs/>
        </w:rPr>
        <w:t xml:space="preserve"> “may not prevent disease caused by </w:t>
      </w:r>
      <w:r w:rsidRPr="009F57D8">
        <w:rPr>
          <w:bCs/>
          <w:i/>
          <w:iCs/>
        </w:rPr>
        <w:t>S.</w:t>
      </w:r>
      <w:r w:rsidR="0033660C" w:rsidRPr="009F57D8">
        <w:rPr>
          <w:bCs/>
          <w:i/>
          <w:iCs/>
        </w:rPr>
        <w:t> </w:t>
      </w:r>
      <w:r w:rsidRPr="009F57D8">
        <w:rPr>
          <w:bCs/>
          <w:i/>
          <w:iCs/>
        </w:rPr>
        <w:t>pneumoniae</w:t>
      </w:r>
      <w:r w:rsidRPr="009F57D8">
        <w:rPr>
          <w:bCs/>
        </w:rPr>
        <w:t xml:space="preserve"> </w:t>
      </w:r>
      <w:r w:rsidRPr="009F57D8">
        <w:rPr>
          <w:bCs/>
          <w:iCs/>
        </w:rPr>
        <w:t xml:space="preserve">serotypes that are not listed in the indications”, and that the use of </w:t>
      </w:r>
      <w:r w:rsidR="006C0669" w:rsidRPr="009F57D8">
        <w:rPr>
          <w:bCs/>
          <w:iCs/>
        </w:rPr>
        <w:t xml:space="preserve">21vPCV </w:t>
      </w:r>
      <w:r w:rsidRPr="009F57D8">
        <w:rPr>
          <w:bCs/>
          <w:iCs/>
        </w:rPr>
        <w:t>“should be guided by official recommendations”.</w:t>
      </w:r>
    </w:p>
    <w:p w14:paraId="2763D92B" w14:textId="77777777" w:rsidR="00B84A8C" w:rsidRPr="009F57D8" w:rsidRDefault="00B84A8C" w:rsidP="000925DD">
      <w:pPr>
        <w:pStyle w:val="4-SubsectionHeading"/>
      </w:pPr>
      <w:bookmarkStart w:id="12" w:name="_Toc22897639"/>
      <w:bookmarkStart w:id="13" w:name="_Toc177070732"/>
      <w:bookmarkStart w:id="14" w:name="_Toc209004899"/>
      <w:r w:rsidRPr="009F57D8">
        <w:lastRenderedPageBreak/>
        <w:t>Previous PBAC consideration</w:t>
      </w:r>
      <w:bookmarkEnd w:id="12"/>
      <w:bookmarkEnd w:id="13"/>
      <w:bookmarkEnd w:id="14"/>
    </w:p>
    <w:p w14:paraId="3C8F17C5" w14:textId="16675F68" w:rsidR="00B84A8C" w:rsidRPr="009F57D8" w:rsidRDefault="00B84A8C" w:rsidP="00572866">
      <w:pPr>
        <w:pStyle w:val="ListParagraph"/>
        <w:numPr>
          <w:ilvl w:val="1"/>
          <w:numId w:val="22"/>
        </w:numPr>
        <w:jc w:val="both"/>
        <w:rPr>
          <w:iCs/>
        </w:rPr>
      </w:pPr>
      <w:r w:rsidRPr="009F57D8">
        <w:rPr>
          <w:bCs/>
          <w:iCs/>
        </w:rPr>
        <w:t xml:space="preserve">There have been no previous PBAC considerations of </w:t>
      </w:r>
      <w:r w:rsidR="008F7887" w:rsidRPr="009F57D8">
        <w:rPr>
          <w:bCs/>
          <w:iCs/>
        </w:rPr>
        <w:t>21vPCV</w:t>
      </w:r>
      <w:r w:rsidRPr="009F57D8">
        <w:rPr>
          <w:bCs/>
          <w:iCs/>
        </w:rPr>
        <w:t xml:space="preserve">. </w:t>
      </w:r>
      <w:r w:rsidRPr="009F57D8">
        <w:rPr>
          <w:iCs/>
        </w:rPr>
        <w:t xml:space="preserve">The sponsor previously submitted an application requesting listing of </w:t>
      </w:r>
      <w:r w:rsidR="008F7887" w:rsidRPr="009F57D8">
        <w:rPr>
          <w:iCs/>
        </w:rPr>
        <w:t>21vPCV</w:t>
      </w:r>
      <w:r w:rsidRPr="009F57D8">
        <w:rPr>
          <w:iCs/>
        </w:rPr>
        <w:t xml:space="preserve"> on the NIP for consideration by the PBAC at its November 2024 meeting. However, the sponsor withdrew the submission prior to the PBAC meeting</w:t>
      </w:r>
      <w:r w:rsidR="008F7887" w:rsidRPr="009F57D8">
        <w:rPr>
          <w:rStyle w:val="FootnoteReference"/>
          <w:iCs/>
        </w:rPr>
        <w:footnoteReference w:id="1"/>
      </w:r>
      <w:r w:rsidRPr="009F57D8">
        <w:rPr>
          <w:iCs/>
        </w:rPr>
        <w:t xml:space="preserve">. </w:t>
      </w:r>
    </w:p>
    <w:p w14:paraId="591BF46F" w14:textId="797999B7" w:rsidR="00631174" w:rsidRPr="009F57D8" w:rsidRDefault="00B84A8C" w:rsidP="00572866">
      <w:pPr>
        <w:pStyle w:val="3-BodyText"/>
        <w:numPr>
          <w:ilvl w:val="1"/>
          <w:numId w:val="22"/>
        </w:numPr>
        <w:tabs>
          <w:tab w:val="num" w:pos="2257"/>
        </w:tabs>
        <w:rPr>
          <w:rFonts w:eastAsiaTheme="minorEastAsia"/>
        </w:rPr>
      </w:pPr>
      <w:r w:rsidRPr="009F57D8">
        <w:rPr>
          <w:rFonts w:eastAsiaTheme="minorEastAsia"/>
          <w:iCs/>
        </w:rPr>
        <w:t xml:space="preserve">The current application was lodged as a de-novo submission, incorporating some changes in response to comments received previously from the ATAGI and ESC. </w:t>
      </w:r>
    </w:p>
    <w:p w14:paraId="2102B663" w14:textId="4E6C8AC3" w:rsidR="00B84A8C" w:rsidRPr="009F57D8" w:rsidRDefault="00B84A8C" w:rsidP="00B84A8C">
      <w:pPr>
        <w:pStyle w:val="3-BodyText"/>
        <w:numPr>
          <w:ilvl w:val="1"/>
          <w:numId w:val="1"/>
        </w:numPr>
        <w:rPr>
          <w:iCs/>
        </w:rPr>
      </w:pPr>
      <w:bookmarkStart w:id="15" w:name="_Hlk87972578"/>
      <w:r w:rsidRPr="009F57D8">
        <w:rPr>
          <w:iCs/>
        </w:rPr>
        <w:t>In November 2021</w:t>
      </w:r>
      <w:r w:rsidRPr="009F57D8">
        <w:rPr>
          <w:rStyle w:val="FootnoteReference"/>
          <w:iCs/>
        </w:rPr>
        <w:footnoteReference w:id="2"/>
      </w:r>
      <w:r w:rsidRPr="009F57D8">
        <w:rPr>
          <w:iCs/>
        </w:rPr>
        <w:t xml:space="preserve">, the PBAC recommended the listing of 15-valent pneumococcal conjugate vaccine (15vPCV) on the NIP, for the prevention of </w:t>
      </w:r>
      <w:r w:rsidR="004066BA" w:rsidRPr="009F57D8">
        <w:rPr>
          <w:iCs/>
        </w:rPr>
        <w:t>pneumococcal disease</w:t>
      </w:r>
      <w:r w:rsidRPr="009F57D8">
        <w:rPr>
          <w:iCs/>
        </w:rPr>
        <w:t xml:space="preserve"> in non-Indigenous adults aged ≥ 70 years, </w:t>
      </w:r>
      <w:r w:rsidR="00D04DE7" w:rsidRPr="009F57D8">
        <w:rPr>
          <w:iCs/>
        </w:rPr>
        <w:t>Aboriginal and Torres Strait Islander adults</w:t>
      </w:r>
      <w:r w:rsidRPr="009F57D8">
        <w:rPr>
          <w:iCs/>
        </w:rPr>
        <w:t xml:space="preserve"> aged ≥ 50 years, and individuals at increased risk of PD aged ≥ 18 years. The PBAC considered that the cost-effectiveness of 15vPCV would be acceptable if it were cost-minimised against the nominated comparator, 13vPCV. At the time of </w:t>
      </w:r>
      <w:r w:rsidR="00201F36" w:rsidRPr="009F57D8">
        <w:rPr>
          <w:iCs/>
        </w:rPr>
        <w:t>PBAC consideration</w:t>
      </w:r>
      <w:r w:rsidR="003F4F57" w:rsidRPr="009F57D8">
        <w:rPr>
          <w:iCs/>
        </w:rPr>
        <w:t xml:space="preserve"> in November 2025</w:t>
      </w:r>
      <w:r w:rsidRPr="009F57D8">
        <w:rPr>
          <w:iCs/>
        </w:rPr>
        <w:t>, 15vPCV was not listed on the NIP.</w:t>
      </w:r>
    </w:p>
    <w:p w14:paraId="001BB23C" w14:textId="47EE7CAF" w:rsidR="00B84A8C" w:rsidRPr="009F57D8" w:rsidRDefault="00B84A8C" w:rsidP="00B84A8C">
      <w:pPr>
        <w:pStyle w:val="3-BodyText"/>
        <w:numPr>
          <w:ilvl w:val="1"/>
          <w:numId w:val="1"/>
        </w:numPr>
        <w:rPr>
          <w:bCs/>
          <w:iCs/>
        </w:rPr>
      </w:pPr>
      <w:bookmarkStart w:id="16" w:name="_Ref176538169"/>
      <w:bookmarkStart w:id="17" w:name="_Ref214572408"/>
      <w:r w:rsidRPr="009F57D8">
        <w:rPr>
          <w:iCs/>
        </w:rPr>
        <w:t>In November 2022</w:t>
      </w:r>
      <w:r w:rsidRPr="009F57D8">
        <w:rPr>
          <w:rStyle w:val="FootnoteReference"/>
          <w:iCs/>
        </w:rPr>
        <w:footnoteReference w:id="3"/>
      </w:r>
      <w:r w:rsidRPr="009F57D8">
        <w:rPr>
          <w:iCs/>
        </w:rPr>
        <w:t xml:space="preserve">, the PBAC recommended the listing of 20vPCV on the NIP, for the prevention of </w:t>
      </w:r>
      <w:r w:rsidR="004066BA" w:rsidRPr="009F57D8">
        <w:rPr>
          <w:iCs/>
        </w:rPr>
        <w:t>pneumococcal disease</w:t>
      </w:r>
      <w:r w:rsidRPr="009F57D8">
        <w:rPr>
          <w:iCs/>
        </w:rPr>
        <w:t xml:space="preserve"> in individuals with an at-risk condition aged ≥ 18 years, non-Indigenous adults aged ≥ 70 years and </w:t>
      </w:r>
      <w:r w:rsidR="00D04DE7" w:rsidRPr="009F57D8">
        <w:rPr>
          <w:iCs/>
        </w:rPr>
        <w:t>Aboriginal and Torres Strait Islander adults</w:t>
      </w:r>
      <w:r w:rsidRPr="009F57D8">
        <w:rPr>
          <w:iCs/>
        </w:rPr>
        <w:t xml:space="preserve"> aged ≥ 25 years. There was reduced immunogenicity observed for some serotypes in comparison with lower valency vaccines and uncertain translation of immunogenicity results to clinical outcomes. Overall, the PBAC considered the submission’s claim of non-inferior effectiveness for 20vPCV versus 13vPCV (and 15vPCV) for the shared serotypes was not well supported. The PBAC considered that the submission’s claim of superior comparative effectiveness for the additional 7 (5) serotypes in 20vPCV versus 13vPCV (15vPCV) to be supported although the magnitude of benefit in terms of disease prevention </w:t>
      </w:r>
      <w:r w:rsidR="00201F36" w:rsidRPr="009F57D8">
        <w:rPr>
          <w:iCs/>
        </w:rPr>
        <w:t>was</w:t>
      </w:r>
      <w:r w:rsidRPr="009F57D8">
        <w:rPr>
          <w:iCs/>
        </w:rPr>
        <w:t xml:space="preserve"> uncertain. On the basis of the available evidence, the PBAC considered a claim of non-inferior comparative effectiveness to be appropriate (paragraph 7.7, 20vPCV </w:t>
      </w:r>
      <w:r w:rsidR="008C682C">
        <w:rPr>
          <w:iCs/>
        </w:rPr>
        <w:t xml:space="preserve">Public Summary Document </w:t>
      </w:r>
      <w:r w:rsidR="009E4C5A">
        <w:rPr>
          <w:iCs/>
        </w:rPr>
        <w:t>[</w:t>
      </w:r>
      <w:r w:rsidRPr="009F57D8">
        <w:rPr>
          <w:iCs/>
        </w:rPr>
        <w:t>PSD</w:t>
      </w:r>
      <w:r w:rsidR="009E4C5A">
        <w:rPr>
          <w:iCs/>
        </w:rPr>
        <w:t>]</w:t>
      </w:r>
      <w:r w:rsidRPr="009F57D8">
        <w:rPr>
          <w:iCs/>
        </w:rPr>
        <w:t xml:space="preserve">, November 2022 PBAC Meeting). Consistent with the conclusion of non-inferiority, the PBAC considered that the cost-effectiveness of 20vPCV would be acceptable if it was cost-minimised against the nominated comparators, 13vPCV and 15vPCV. The PBAC acknowledged the disproportionately high burden of </w:t>
      </w:r>
      <w:r w:rsidR="004066BA" w:rsidRPr="009F57D8">
        <w:rPr>
          <w:iCs/>
        </w:rPr>
        <w:t>pneumococcal disease</w:t>
      </w:r>
      <w:r w:rsidRPr="009F57D8">
        <w:rPr>
          <w:iCs/>
        </w:rPr>
        <w:t xml:space="preserve"> in the proposed expanded NIP population, </w:t>
      </w:r>
      <w:r w:rsidR="00D04DE7" w:rsidRPr="009F57D8">
        <w:rPr>
          <w:iCs/>
        </w:rPr>
        <w:t>Aboriginal and Torres Strait Islander adults</w:t>
      </w:r>
      <w:r w:rsidRPr="009F57D8">
        <w:rPr>
          <w:iCs/>
        </w:rPr>
        <w:t xml:space="preserve"> aged 25-49 years, and recommended listing on the basis that 20vPCV, with or without one or two subsequent doses of 23vPPV, would be cost-effective at the cost per dose </w:t>
      </w:r>
      <w:r w:rsidRPr="009F57D8">
        <w:rPr>
          <w:iCs/>
        </w:rPr>
        <w:lastRenderedPageBreak/>
        <w:t>proposed in the sponsor’s pre-PBAC response.</w:t>
      </w:r>
      <w:bookmarkEnd w:id="15"/>
      <w:bookmarkEnd w:id="16"/>
      <w:r w:rsidRPr="009F57D8">
        <w:rPr>
          <w:iCs/>
        </w:rPr>
        <w:t xml:space="preserve"> </w:t>
      </w:r>
      <w:r w:rsidR="003F4F57" w:rsidRPr="009F57D8">
        <w:rPr>
          <w:iCs/>
        </w:rPr>
        <w:t>At the time of PBAC consideration in November 2025, 20vPCV was not listed on the NIP</w:t>
      </w:r>
      <w:r w:rsidR="00AD328E" w:rsidRPr="009F57D8">
        <w:rPr>
          <w:iCs/>
        </w:rPr>
        <w:t xml:space="preserve"> for adults</w:t>
      </w:r>
      <w:r w:rsidR="003F4F57" w:rsidRPr="009F57D8">
        <w:rPr>
          <w:iCs/>
        </w:rPr>
        <w:t>.</w:t>
      </w:r>
      <w:bookmarkEnd w:id="17"/>
    </w:p>
    <w:p w14:paraId="4191591A" w14:textId="7B473813" w:rsidR="00B84A8C" w:rsidRPr="009F57D8" w:rsidRDefault="00B84A8C" w:rsidP="00B84A8C">
      <w:pPr>
        <w:pStyle w:val="3-BodyText"/>
        <w:numPr>
          <w:ilvl w:val="1"/>
          <w:numId w:val="1"/>
        </w:numPr>
        <w:rPr>
          <w:bCs/>
          <w:iCs/>
        </w:rPr>
      </w:pPr>
      <w:r w:rsidRPr="009F57D8">
        <w:rPr>
          <w:iCs/>
        </w:rPr>
        <w:t>In May 2025, the PBAC noted updated advice from ATAGI that recommended a set of changes to the pneumococcal paediatric schedule</w:t>
      </w:r>
      <w:r w:rsidRPr="009F57D8">
        <w:rPr>
          <w:rStyle w:val="FootnoteReference"/>
          <w:iCs/>
        </w:rPr>
        <w:footnoteReference w:id="4"/>
      </w:r>
      <w:r w:rsidRPr="009F57D8">
        <w:rPr>
          <w:iCs/>
        </w:rPr>
        <w:t>. The changes to the NIP childhood schedule commenced on 1 September 2025. These changes include</w:t>
      </w:r>
      <w:r w:rsidRPr="009F57D8">
        <w:rPr>
          <w:rStyle w:val="FootnoteReference"/>
          <w:iCs/>
        </w:rPr>
        <w:footnoteReference w:id="5"/>
      </w:r>
      <w:r w:rsidRPr="009F57D8">
        <w:rPr>
          <w:iCs/>
        </w:rPr>
        <w:t>:</w:t>
      </w:r>
    </w:p>
    <w:p w14:paraId="001401DC" w14:textId="77777777" w:rsidR="00B84A8C" w:rsidRPr="009F57D8" w:rsidRDefault="00B84A8C" w:rsidP="00572866">
      <w:pPr>
        <w:pStyle w:val="ListParagraph"/>
        <w:numPr>
          <w:ilvl w:val="0"/>
          <w:numId w:val="19"/>
        </w:numPr>
        <w:ind w:left="1134"/>
        <w:rPr>
          <w:iCs/>
        </w:rPr>
      </w:pPr>
      <w:r w:rsidRPr="009F57D8">
        <w:rPr>
          <w:iCs/>
        </w:rPr>
        <w:t>20vPCV replacing 13vPCV as the NIP-funded vaccine for children aged under 18 years;</w:t>
      </w:r>
    </w:p>
    <w:p w14:paraId="1A97F465" w14:textId="77777777" w:rsidR="00B84A8C" w:rsidRPr="009F57D8" w:rsidRDefault="00B84A8C" w:rsidP="00572866">
      <w:pPr>
        <w:pStyle w:val="ListParagraph"/>
        <w:numPr>
          <w:ilvl w:val="0"/>
          <w:numId w:val="19"/>
        </w:numPr>
        <w:ind w:left="1134"/>
        <w:rPr>
          <w:iCs/>
        </w:rPr>
      </w:pPr>
      <w:r w:rsidRPr="009F57D8">
        <w:rPr>
          <w:iCs/>
        </w:rPr>
        <w:t>Expansion of the 4-dose (3+1) PCV schedule to include all Aboriginal and Torres Strait Islander children in all states and territories;</w:t>
      </w:r>
    </w:p>
    <w:p w14:paraId="52878542" w14:textId="77777777" w:rsidR="00B84A8C" w:rsidRPr="009F57D8" w:rsidRDefault="00B84A8C" w:rsidP="00572866">
      <w:pPr>
        <w:pStyle w:val="ListParagraph"/>
        <w:numPr>
          <w:ilvl w:val="0"/>
          <w:numId w:val="19"/>
        </w:numPr>
        <w:ind w:left="1134"/>
        <w:rPr>
          <w:bCs/>
          <w:iCs/>
        </w:rPr>
      </w:pPr>
      <w:r w:rsidRPr="009F57D8">
        <w:rPr>
          <w:iCs/>
        </w:rPr>
        <w:t>Doses of 23vPPV are no longer required for Aboriginal and Torres Strait Islander children nor children with a risk condition.</w:t>
      </w:r>
    </w:p>
    <w:p w14:paraId="34100FCF" w14:textId="77777777" w:rsidR="00B84A8C" w:rsidRPr="009F57D8" w:rsidRDefault="00B84A8C" w:rsidP="000925DD">
      <w:pPr>
        <w:pStyle w:val="4-SubsectionHeading"/>
      </w:pPr>
      <w:bookmarkStart w:id="18" w:name="_Toc177566177"/>
      <w:bookmarkStart w:id="19" w:name="_Toc209004900"/>
      <w:r w:rsidRPr="009F57D8">
        <w:t>ATAGI advice</w:t>
      </w:r>
      <w:bookmarkEnd w:id="18"/>
      <w:bookmarkEnd w:id="19"/>
      <w:r w:rsidRPr="009F57D8">
        <w:t xml:space="preserve"> </w:t>
      </w:r>
    </w:p>
    <w:p w14:paraId="673B4FDD" w14:textId="4476570D" w:rsidR="00B84A8C" w:rsidRPr="009F57D8" w:rsidRDefault="00B84A8C">
      <w:pPr>
        <w:pStyle w:val="3-BodyText"/>
        <w:rPr>
          <w:bCs/>
        </w:rPr>
      </w:pPr>
      <w:bookmarkStart w:id="20" w:name="_Ref211438990"/>
      <w:r w:rsidRPr="009F57D8">
        <w:rPr>
          <w:lang w:eastAsia="en-US"/>
        </w:rPr>
        <w:t xml:space="preserve">The ATAGI provided pre-submission advice to the PBAC dated 2 May 2024, </w:t>
      </w:r>
      <w:r w:rsidR="00CC4459" w:rsidRPr="009F57D8">
        <w:rPr>
          <w:lang w:eastAsia="en-US"/>
        </w:rPr>
        <w:t xml:space="preserve">and </w:t>
      </w:r>
      <w:r w:rsidRPr="009F57D8">
        <w:rPr>
          <w:lang w:eastAsia="en-US"/>
        </w:rPr>
        <w:t xml:space="preserve">post-submission advice in response to evaluator questions (for the November 2024 PBAC meeting) dated 7 August 2024. The ATAGI also gave advice on the optimum schedule for pneumococcal vaccination for Australian adults dated 2 July 2025. In </w:t>
      </w:r>
      <w:r w:rsidR="00CC4459" w:rsidRPr="009F57D8">
        <w:rPr>
          <w:lang w:eastAsia="en-US"/>
        </w:rPr>
        <w:t xml:space="preserve">the latter </w:t>
      </w:r>
      <w:r w:rsidRPr="009F57D8">
        <w:rPr>
          <w:lang w:eastAsia="en-US"/>
        </w:rPr>
        <w:t>advice, ATAGI</w:t>
      </w:r>
      <w:r w:rsidRPr="009F57D8">
        <w:rPr>
          <w:bCs/>
        </w:rPr>
        <w:t xml:space="preserve"> recommended </w:t>
      </w:r>
      <w:r w:rsidR="006431A8" w:rsidRPr="009F57D8">
        <w:rPr>
          <w:bCs/>
        </w:rPr>
        <w:t>that</w:t>
      </w:r>
      <w:r w:rsidRPr="009F57D8">
        <w:rPr>
          <w:bCs/>
        </w:rPr>
        <w:t xml:space="preserve"> </w:t>
      </w:r>
      <w:r w:rsidR="006431A8" w:rsidRPr="009F57D8">
        <w:rPr>
          <w:bCs/>
        </w:rPr>
        <w:t>21vPCV</w:t>
      </w:r>
      <w:r w:rsidRPr="009F57D8">
        <w:rPr>
          <w:bCs/>
        </w:rPr>
        <w:t xml:space="preserve"> replace the current use of 13vPCV in the targeted NIP populations</w:t>
      </w:r>
      <w:r w:rsidR="00CC4459" w:rsidRPr="009F57D8">
        <w:rPr>
          <w:bCs/>
        </w:rPr>
        <w:t xml:space="preserve">.  ATAGI recommended a single dose of </w:t>
      </w:r>
      <w:r w:rsidR="006431A8" w:rsidRPr="009F57D8">
        <w:rPr>
          <w:bCs/>
        </w:rPr>
        <w:t>21vPCV</w:t>
      </w:r>
      <w:r w:rsidR="00CC4459" w:rsidRPr="009F57D8">
        <w:rPr>
          <w:bCs/>
        </w:rPr>
        <w:t xml:space="preserve"> regardless of whether any other pneumococcal vaccines have been received previously.  In adults who have previously received a pneumococcal vaccine, the recommended interval between the last pneumococcal vaccine dose and the </w:t>
      </w:r>
      <w:r w:rsidR="00721E1A" w:rsidRPr="009F57D8">
        <w:rPr>
          <w:bCs/>
        </w:rPr>
        <w:t>21vPCV</w:t>
      </w:r>
      <w:r w:rsidR="00CC4459" w:rsidRPr="009F57D8">
        <w:rPr>
          <w:bCs/>
        </w:rPr>
        <w:t xml:space="preserve"> dose is at least 12 months. </w:t>
      </w:r>
      <w:r w:rsidRPr="009F57D8">
        <w:rPr>
          <w:bCs/>
        </w:rPr>
        <w:t xml:space="preserve"> </w:t>
      </w:r>
      <w:r w:rsidRPr="009F57D8">
        <w:t xml:space="preserve">The ATAGI’s preference for </w:t>
      </w:r>
      <w:r w:rsidR="006431A8" w:rsidRPr="009F57D8">
        <w:t>21vPCV</w:t>
      </w:r>
      <w:r w:rsidRPr="009F57D8">
        <w:t xml:space="preserve"> was based on wider serotype coverage (the ATAGI advice did not specifically refer to </w:t>
      </w:r>
      <w:r w:rsidR="00721E1A" w:rsidRPr="009F57D8">
        <w:t>21vPCV</w:t>
      </w:r>
      <w:r w:rsidRPr="009F57D8">
        <w:t xml:space="preserve"> possessing superior clinical effectiveness) compared to the existing pneumococcal vaccines on the NIP. ATAGI </w:t>
      </w:r>
      <w:r w:rsidR="0047242A" w:rsidRPr="009F57D8">
        <w:t xml:space="preserve">noted </w:t>
      </w:r>
      <w:r w:rsidRPr="009F57D8">
        <w:t xml:space="preserve">that implementation of a </w:t>
      </w:r>
      <w:r w:rsidR="006431A8" w:rsidRPr="009F57D8">
        <w:t>21vPCV</w:t>
      </w:r>
      <w:r w:rsidRPr="009F57D8">
        <w:t xml:space="preserve"> adult program alongside a 20vPCV paediatric program would further increase serotype coverage due to herd immunity arising from the 20vPCV paediatric program (while noting uncertainty in the extent of that wider coverage due to the lack of empiric evidence to support herd benefit). ATAGI also recommended the removal of 23vPPV from the adult schedule when the use of 13vPCV is replaced by 21vPCV (or 20vPCV).</w:t>
      </w:r>
      <w:bookmarkEnd w:id="20"/>
      <w:r w:rsidRPr="009F57D8">
        <w:t xml:space="preserve"> </w:t>
      </w:r>
    </w:p>
    <w:p w14:paraId="295934D6" w14:textId="5CEE8896" w:rsidR="000B4BE1" w:rsidRPr="009F57D8" w:rsidRDefault="000B4BE1">
      <w:pPr>
        <w:pStyle w:val="3-BodyText"/>
        <w:rPr>
          <w:bCs/>
        </w:rPr>
      </w:pPr>
      <w:r w:rsidRPr="009F57D8">
        <w:rPr>
          <w:bCs/>
        </w:rPr>
        <w:t xml:space="preserve">The ATAGI provided post-submission advice to the PBAC dated 11 September 2025.  </w:t>
      </w:r>
      <w:r w:rsidR="00CC4459" w:rsidRPr="009F57D8">
        <w:rPr>
          <w:bCs/>
        </w:rPr>
        <w:t xml:space="preserve">In </w:t>
      </w:r>
      <w:r w:rsidR="002B06BB" w:rsidRPr="009F57D8">
        <w:rPr>
          <w:bCs/>
        </w:rPr>
        <w:t>its</w:t>
      </w:r>
      <w:r w:rsidR="00CC4459" w:rsidRPr="009F57D8">
        <w:rPr>
          <w:bCs/>
        </w:rPr>
        <w:t xml:space="preserve"> latest</w:t>
      </w:r>
      <w:r w:rsidRPr="009F57D8">
        <w:rPr>
          <w:bCs/>
        </w:rPr>
        <w:t xml:space="preserve"> advice</w:t>
      </w:r>
      <w:r w:rsidR="00CC4459" w:rsidRPr="009F57D8">
        <w:rPr>
          <w:bCs/>
        </w:rPr>
        <w:t>, the</w:t>
      </w:r>
      <w:r w:rsidRPr="009F57D8">
        <w:rPr>
          <w:bCs/>
        </w:rPr>
        <w:t xml:space="preserve"> ATAGI maintain</w:t>
      </w:r>
      <w:r w:rsidR="00B45861" w:rsidRPr="009F57D8">
        <w:rPr>
          <w:bCs/>
        </w:rPr>
        <w:t>ed</w:t>
      </w:r>
      <w:r w:rsidRPr="009F57D8">
        <w:rPr>
          <w:bCs/>
        </w:rPr>
        <w:t xml:space="preserve"> that superiority of serotype coverage is time-dependent and </w:t>
      </w:r>
      <w:r w:rsidR="00CC4459" w:rsidRPr="009F57D8">
        <w:rPr>
          <w:bCs/>
        </w:rPr>
        <w:t xml:space="preserve">that </w:t>
      </w:r>
      <w:r w:rsidRPr="009F57D8">
        <w:rPr>
          <w:bCs/>
        </w:rPr>
        <w:t>the dominant serotypes w</w:t>
      </w:r>
      <w:r w:rsidR="00CC4459" w:rsidRPr="009F57D8">
        <w:rPr>
          <w:bCs/>
        </w:rPr>
        <w:t>ill</w:t>
      </w:r>
      <w:r w:rsidRPr="009F57D8">
        <w:rPr>
          <w:bCs/>
        </w:rPr>
        <w:t xml:space="preserve"> change over time. </w:t>
      </w:r>
      <w:r w:rsidR="00F709E4" w:rsidRPr="009F57D8">
        <w:rPr>
          <w:bCs/>
        </w:rPr>
        <w:t>The ATAGI</w:t>
      </w:r>
      <w:r w:rsidR="00B45861" w:rsidRPr="009F57D8">
        <w:rPr>
          <w:bCs/>
        </w:rPr>
        <w:t xml:space="preserve"> reiterated </w:t>
      </w:r>
      <w:r w:rsidR="0014543A" w:rsidRPr="009F57D8">
        <w:rPr>
          <w:bCs/>
        </w:rPr>
        <w:t xml:space="preserve">the </w:t>
      </w:r>
      <w:r w:rsidR="0006759D" w:rsidRPr="009F57D8">
        <w:rPr>
          <w:bCs/>
        </w:rPr>
        <w:t>advice</w:t>
      </w:r>
      <w:r w:rsidR="0014543A" w:rsidRPr="009F57D8">
        <w:rPr>
          <w:bCs/>
        </w:rPr>
        <w:t xml:space="preserve"> that </w:t>
      </w:r>
      <w:r w:rsidRPr="009F57D8">
        <w:rPr>
          <w:bCs/>
        </w:rPr>
        <w:t xml:space="preserve">use of </w:t>
      </w:r>
      <w:r w:rsidR="0006759D" w:rsidRPr="009F57D8">
        <w:rPr>
          <w:bCs/>
        </w:rPr>
        <w:t>21vPCV</w:t>
      </w:r>
      <w:r w:rsidRPr="009F57D8">
        <w:rPr>
          <w:bCs/>
        </w:rPr>
        <w:t xml:space="preserve"> will provide the broadest serotype coverage for adults</w:t>
      </w:r>
      <w:r w:rsidR="0006759D" w:rsidRPr="009F57D8">
        <w:rPr>
          <w:bCs/>
        </w:rPr>
        <w:t xml:space="preserve">, in the context of </w:t>
      </w:r>
      <w:r w:rsidRPr="009F57D8">
        <w:rPr>
          <w:bCs/>
        </w:rPr>
        <w:t>concurrent use of 20vPCV in the paediatric program with strong herd effects anticipated against 20v-non</w:t>
      </w:r>
      <w:r w:rsidR="0006759D" w:rsidRPr="009F57D8">
        <w:rPr>
          <w:bCs/>
        </w:rPr>
        <w:t>21vPCV</w:t>
      </w:r>
      <w:r w:rsidRPr="009F57D8">
        <w:rPr>
          <w:bCs/>
        </w:rPr>
        <w:t xml:space="preserve"> serotypes.</w:t>
      </w:r>
      <w:r w:rsidR="00734F88" w:rsidRPr="009F57D8">
        <w:rPr>
          <w:bCs/>
        </w:rPr>
        <w:t xml:space="preserve">  </w:t>
      </w:r>
      <w:r w:rsidRPr="009F57D8">
        <w:rPr>
          <w:bCs/>
        </w:rPr>
        <w:t xml:space="preserve">In terms of clinical </w:t>
      </w:r>
      <w:r w:rsidRPr="009F57D8">
        <w:rPr>
          <w:bCs/>
        </w:rPr>
        <w:lastRenderedPageBreak/>
        <w:t xml:space="preserve">effectiveness of </w:t>
      </w:r>
      <w:r w:rsidR="0006759D" w:rsidRPr="009F57D8">
        <w:rPr>
          <w:bCs/>
        </w:rPr>
        <w:t>21vPCV</w:t>
      </w:r>
      <w:r w:rsidRPr="009F57D8">
        <w:rPr>
          <w:bCs/>
        </w:rPr>
        <w:t xml:space="preserve"> against disease caused by the unique serotypes in </w:t>
      </w:r>
      <w:r w:rsidR="0006759D" w:rsidRPr="009F57D8">
        <w:rPr>
          <w:bCs/>
        </w:rPr>
        <w:t xml:space="preserve">the </w:t>
      </w:r>
      <w:r w:rsidRPr="009F57D8">
        <w:rPr>
          <w:bCs/>
        </w:rPr>
        <w:t xml:space="preserve">vaccine, ATAGI </w:t>
      </w:r>
      <w:r w:rsidR="0006759D" w:rsidRPr="009F57D8">
        <w:rPr>
          <w:bCs/>
        </w:rPr>
        <w:t>reaffirmed</w:t>
      </w:r>
      <w:r w:rsidRPr="009F57D8">
        <w:rPr>
          <w:bCs/>
        </w:rPr>
        <w:t xml:space="preserve"> there will be uncertainty to a claim of superiority, given there </w:t>
      </w:r>
      <w:r w:rsidR="0006759D" w:rsidRPr="009F57D8">
        <w:rPr>
          <w:bCs/>
        </w:rPr>
        <w:t>are</w:t>
      </w:r>
      <w:r w:rsidRPr="009F57D8">
        <w:rPr>
          <w:bCs/>
        </w:rPr>
        <w:t xml:space="preserve"> only immunogenicity data available, and these data do not bridge to any efficacy data. Data bridging immunogenicity data to efficacy data is particularly important as there is no established overall, nor serotype-specific, correlate of protection for key outcomes for adults (including IPD or </w:t>
      </w:r>
      <w:r w:rsidR="002B06BB" w:rsidRPr="009F57D8">
        <w:rPr>
          <w:bCs/>
        </w:rPr>
        <w:t>CAP</w:t>
      </w:r>
      <w:r w:rsidRPr="009F57D8">
        <w:rPr>
          <w:bCs/>
        </w:rPr>
        <w:t>) and, as observed in children, the immune threshold for protection could vary by serotype.</w:t>
      </w:r>
      <w:r w:rsidR="00734F88" w:rsidRPr="009F57D8">
        <w:rPr>
          <w:bCs/>
        </w:rPr>
        <w:t xml:space="preserve">  </w:t>
      </w:r>
      <w:r w:rsidR="004165C9" w:rsidRPr="009F57D8">
        <w:rPr>
          <w:bCs/>
        </w:rPr>
        <w:t xml:space="preserve">The </w:t>
      </w:r>
      <w:r w:rsidR="00734F88" w:rsidRPr="009F57D8">
        <w:rPr>
          <w:bCs/>
        </w:rPr>
        <w:t xml:space="preserve">ATAGI </w:t>
      </w:r>
      <w:r w:rsidR="003D1287" w:rsidRPr="009F57D8">
        <w:rPr>
          <w:bCs/>
        </w:rPr>
        <w:t xml:space="preserve">maintained its preference for 21vPCV over other vaccines, however also reiterated that it did </w:t>
      </w:r>
      <w:r w:rsidR="00734F88" w:rsidRPr="009F57D8">
        <w:rPr>
          <w:bCs/>
        </w:rPr>
        <w:t xml:space="preserve">not consider there is sufficient evidence to support a claim of superiority in clinical effectiveness for </w:t>
      </w:r>
      <w:r w:rsidR="0006759D" w:rsidRPr="009F57D8">
        <w:rPr>
          <w:bCs/>
        </w:rPr>
        <w:t>21vPCV</w:t>
      </w:r>
      <w:r w:rsidR="00734F88" w:rsidRPr="009F57D8">
        <w:rPr>
          <w:bCs/>
        </w:rPr>
        <w:t xml:space="preserve"> over 13vPCV or 20vPCV.</w:t>
      </w:r>
    </w:p>
    <w:p w14:paraId="73A192CD" w14:textId="45FABA88" w:rsidR="0087023D" w:rsidRPr="009F57D8" w:rsidRDefault="002B06BB">
      <w:pPr>
        <w:pStyle w:val="3-BodyText"/>
        <w:rPr>
          <w:bCs/>
        </w:rPr>
      </w:pPr>
      <w:bookmarkStart w:id="21" w:name="_Ref211438992"/>
      <w:r w:rsidRPr="009F57D8">
        <w:rPr>
          <w:bCs/>
        </w:rPr>
        <w:t xml:space="preserve">The September </w:t>
      </w:r>
      <w:r w:rsidR="0006759D" w:rsidRPr="009F57D8">
        <w:rPr>
          <w:bCs/>
        </w:rPr>
        <w:t xml:space="preserve">2025 </w:t>
      </w:r>
      <w:r w:rsidRPr="009F57D8">
        <w:rPr>
          <w:bCs/>
        </w:rPr>
        <w:t>ATAGI advice also noted that w</w:t>
      </w:r>
      <w:r w:rsidR="00734F88" w:rsidRPr="009F57D8">
        <w:rPr>
          <w:bCs/>
        </w:rPr>
        <w:t xml:space="preserve">hen recommending the </w:t>
      </w:r>
      <w:r w:rsidR="00A25798" w:rsidRPr="009F57D8">
        <w:rPr>
          <w:bCs/>
        </w:rPr>
        <w:t xml:space="preserve">optimum </w:t>
      </w:r>
      <w:r w:rsidR="00734F88" w:rsidRPr="009F57D8">
        <w:rPr>
          <w:bCs/>
        </w:rPr>
        <w:t xml:space="preserve">vaccine strategy (20vPCV for paediatric populations and </w:t>
      </w:r>
      <w:r w:rsidR="0006759D" w:rsidRPr="009F57D8">
        <w:rPr>
          <w:bCs/>
        </w:rPr>
        <w:t>21vPCV</w:t>
      </w:r>
      <w:r w:rsidR="00734F88" w:rsidRPr="009F57D8">
        <w:rPr>
          <w:bCs/>
        </w:rPr>
        <w:t xml:space="preserve"> for adult populations), </w:t>
      </w:r>
      <w:r w:rsidR="0087023D" w:rsidRPr="009F57D8">
        <w:rPr>
          <w:bCs/>
        </w:rPr>
        <w:t xml:space="preserve">ATAGI </w:t>
      </w:r>
      <w:r w:rsidRPr="009F57D8">
        <w:rPr>
          <w:bCs/>
        </w:rPr>
        <w:t>considered</w:t>
      </w:r>
      <w:r w:rsidR="00734F88" w:rsidRPr="009F57D8">
        <w:rPr>
          <w:bCs/>
        </w:rPr>
        <w:t xml:space="preserve"> the following </w:t>
      </w:r>
      <w:r w:rsidR="0087023D" w:rsidRPr="009F57D8">
        <w:rPr>
          <w:bCs/>
        </w:rPr>
        <w:t xml:space="preserve">programmatic </w:t>
      </w:r>
      <w:r w:rsidRPr="009F57D8">
        <w:rPr>
          <w:bCs/>
        </w:rPr>
        <w:t>matters</w:t>
      </w:r>
      <w:r w:rsidR="00072E00" w:rsidRPr="009F57D8">
        <w:rPr>
          <w:bCs/>
        </w:rPr>
        <w:t xml:space="preserve"> were important</w:t>
      </w:r>
      <w:r w:rsidR="0087023D" w:rsidRPr="009F57D8">
        <w:rPr>
          <w:bCs/>
        </w:rPr>
        <w:t>:</w:t>
      </w:r>
      <w:bookmarkEnd w:id="21"/>
    </w:p>
    <w:p w14:paraId="1889B20B" w14:textId="77777777" w:rsidR="0087023D" w:rsidRPr="009F57D8" w:rsidRDefault="0087023D" w:rsidP="00572866">
      <w:pPr>
        <w:pStyle w:val="ListParagraph"/>
        <w:numPr>
          <w:ilvl w:val="0"/>
          <w:numId w:val="19"/>
        </w:numPr>
        <w:ind w:left="1134"/>
      </w:pPr>
      <w:r w:rsidRPr="009F57D8">
        <w:t>There would be limited further gain in terms of overall population benefits by using the same PCV in both adults and children</w:t>
      </w:r>
    </w:p>
    <w:p w14:paraId="7580154D" w14:textId="77777777" w:rsidR="0087023D" w:rsidRPr="009F57D8" w:rsidRDefault="0087023D" w:rsidP="00572866">
      <w:pPr>
        <w:pStyle w:val="ListParagraph"/>
        <w:numPr>
          <w:ilvl w:val="0"/>
          <w:numId w:val="19"/>
        </w:numPr>
        <w:ind w:left="1134"/>
      </w:pPr>
      <w:r w:rsidRPr="009F57D8">
        <w:t>There was sufficient anticipated direct and indirect population benefit from the recommended switching from 13vPCV to 20vPCV for the paediatric population</w:t>
      </w:r>
    </w:p>
    <w:p w14:paraId="4DBE2BD9" w14:textId="1891BC78" w:rsidR="0087023D" w:rsidRPr="009F57D8" w:rsidRDefault="0087023D" w:rsidP="00572866">
      <w:pPr>
        <w:pStyle w:val="ListParagraph"/>
        <w:numPr>
          <w:ilvl w:val="0"/>
          <w:numId w:val="19"/>
        </w:numPr>
        <w:ind w:left="1134"/>
      </w:pPr>
      <w:r w:rsidRPr="009F57D8">
        <w:t xml:space="preserve">The 11 unique serotypes in </w:t>
      </w:r>
      <w:r w:rsidR="0006759D" w:rsidRPr="009F57D8">
        <w:t>21vPCV</w:t>
      </w:r>
      <w:r w:rsidRPr="009F57D8">
        <w:t xml:space="preserve"> will broaden serotype coverage for adults</w:t>
      </w:r>
    </w:p>
    <w:p w14:paraId="13A50DDC" w14:textId="77777777" w:rsidR="0087023D" w:rsidRPr="009F57D8" w:rsidRDefault="0087023D" w:rsidP="00572866">
      <w:pPr>
        <w:pStyle w:val="ListParagraph"/>
        <w:numPr>
          <w:ilvl w:val="0"/>
          <w:numId w:val="19"/>
        </w:numPr>
        <w:ind w:left="1134"/>
      </w:pPr>
      <w:r w:rsidRPr="009F57D8">
        <w:t xml:space="preserve">The program will be simplified by having a single vaccine each for paediatric and adult population, rather than a PCV and 23vPPV. </w:t>
      </w:r>
    </w:p>
    <w:p w14:paraId="2516DAEE" w14:textId="77777777" w:rsidR="007327F7" w:rsidRPr="009F57D8" w:rsidRDefault="007327F7" w:rsidP="007327F7">
      <w:pPr>
        <w:ind w:firstLine="709"/>
        <w:rPr>
          <w:rFonts w:asciiTheme="minorHAnsi" w:hAnsiTheme="minorHAnsi"/>
          <w:i/>
        </w:rPr>
      </w:pPr>
      <w:bookmarkStart w:id="22" w:name="_Hlk76375324"/>
    </w:p>
    <w:p w14:paraId="30671C6C" w14:textId="77777777" w:rsidR="007327F7" w:rsidRPr="009F57D8" w:rsidRDefault="007327F7" w:rsidP="007327F7">
      <w:pPr>
        <w:ind w:firstLine="709"/>
        <w:rPr>
          <w:rFonts w:asciiTheme="minorHAnsi" w:hAnsiTheme="minorHAnsi"/>
          <w:i/>
        </w:rPr>
      </w:pPr>
      <w:r w:rsidRPr="009F57D8">
        <w:rPr>
          <w:rFonts w:asciiTheme="minorHAnsi" w:hAnsiTheme="minorHAnsi"/>
          <w:i/>
        </w:rPr>
        <w:t>For more detail on PBAC’s view, see section 7 PBAC outcome.</w:t>
      </w:r>
    </w:p>
    <w:p w14:paraId="1A5F6247" w14:textId="77777777" w:rsidR="007327F7" w:rsidRPr="009F57D8" w:rsidRDefault="007327F7" w:rsidP="007327F7"/>
    <w:bookmarkEnd w:id="22"/>
    <w:p w14:paraId="1BD70259" w14:textId="77777777" w:rsidR="007327F7" w:rsidRPr="009F57D8" w:rsidRDefault="007327F7" w:rsidP="007327F7">
      <w:pPr>
        <w:pStyle w:val="ListParagraph"/>
        <w:numPr>
          <w:ilvl w:val="0"/>
          <w:numId w:val="0"/>
        </w:numPr>
        <w:ind w:left="1134"/>
      </w:pPr>
    </w:p>
    <w:p w14:paraId="69068FEA" w14:textId="4CFE9031" w:rsidR="00B84A8C" w:rsidRPr="009F57D8" w:rsidRDefault="00B84A8C" w:rsidP="00B84A8C">
      <w:pPr>
        <w:pStyle w:val="2-SectionHeading"/>
        <w:numPr>
          <w:ilvl w:val="0"/>
          <w:numId w:val="1"/>
        </w:numPr>
      </w:pPr>
      <w:bookmarkStart w:id="23" w:name="_Toc177070733"/>
      <w:bookmarkStart w:id="24" w:name="_Toc209004901"/>
      <w:r w:rsidRPr="009F57D8">
        <w:lastRenderedPageBreak/>
        <w:t>Requested listing</w:t>
      </w:r>
      <w:bookmarkEnd w:id="23"/>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689"/>
        <w:gridCol w:w="2018"/>
        <w:gridCol w:w="1246"/>
        <w:gridCol w:w="3064"/>
      </w:tblGrid>
      <w:tr w:rsidR="00B84A8C" w:rsidRPr="009F57D8" w14:paraId="1EDE5699" w14:textId="77777777" w:rsidTr="006A290E">
        <w:trPr>
          <w:cantSplit/>
          <w:trHeight w:val="20"/>
        </w:trPr>
        <w:tc>
          <w:tcPr>
            <w:tcW w:w="1491" w:type="pct"/>
          </w:tcPr>
          <w:p w14:paraId="3BCBE929" w14:textId="0B34BE20" w:rsidR="00B84A8C" w:rsidRPr="009F57D8" w:rsidRDefault="00B84A8C">
            <w:pPr>
              <w:pStyle w:val="TableHeading0"/>
            </w:pPr>
            <w:r w:rsidRPr="009F57D8">
              <w:t xml:space="preserve">Name </w:t>
            </w:r>
          </w:p>
        </w:tc>
        <w:tc>
          <w:tcPr>
            <w:tcW w:w="1119" w:type="pct"/>
          </w:tcPr>
          <w:p w14:paraId="18BCABFA" w14:textId="1BF3CE1F" w:rsidR="00B84A8C" w:rsidRPr="009F57D8" w:rsidRDefault="00057295">
            <w:pPr>
              <w:pStyle w:val="TableHeading0"/>
            </w:pPr>
            <w:r w:rsidRPr="009F57D8">
              <w:t xml:space="preserve">Proposed </w:t>
            </w:r>
            <w:r w:rsidR="00B84A8C" w:rsidRPr="009F57D8">
              <w:t>Nationally Negotiated Price (NNP)</w:t>
            </w:r>
          </w:p>
        </w:tc>
        <w:tc>
          <w:tcPr>
            <w:tcW w:w="691" w:type="pct"/>
          </w:tcPr>
          <w:p w14:paraId="191E66BF" w14:textId="1CD0D267" w:rsidR="00B84A8C" w:rsidRPr="009F57D8" w:rsidRDefault="00B84A8C">
            <w:pPr>
              <w:pStyle w:val="TableHeading0"/>
            </w:pPr>
            <w:r w:rsidRPr="009F57D8">
              <w:t>Formulation</w:t>
            </w:r>
          </w:p>
        </w:tc>
        <w:tc>
          <w:tcPr>
            <w:tcW w:w="1699" w:type="pct"/>
          </w:tcPr>
          <w:p w14:paraId="6DF659C2" w14:textId="77777777" w:rsidR="00B84A8C" w:rsidRPr="009F57D8" w:rsidRDefault="00B84A8C">
            <w:pPr>
              <w:pStyle w:val="TableHeading0"/>
              <w:jc w:val="center"/>
            </w:pPr>
            <w:r w:rsidRPr="009F57D8">
              <w:t>Proprietary name and manufacturer</w:t>
            </w:r>
          </w:p>
        </w:tc>
      </w:tr>
      <w:tr w:rsidR="00B84A8C" w:rsidRPr="009F57D8" w14:paraId="353B8B9D" w14:textId="77777777" w:rsidTr="006A290E">
        <w:trPr>
          <w:cantSplit/>
          <w:trHeight w:val="20"/>
        </w:trPr>
        <w:tc>
          <w:tcPr>
            <w:tcW w:w="1491" w:type="pct"/>
          </w:tcPr>
          <w:p w14:paraId="4F1DFB4A" w14:textId="75869BF5" w:rsidR="00B84A8C" w:rsidRPr="009F57D8" w:rsidRDefault="00B84A8C" w:rsidP="00E122C8">
            <w:pPr>
              <w:keepNext/>
              <w:keepLines/>
              <w:rPr>
                <w:rFonts w:ascii="Arial Narrow" w:hAnsi="Arial Narrow"/>
                <w:color w:val="0066FF"/>
                <w:sz w:val="20"/>
                <w:szCs w:val="20"/>
              </w:rPr>
            </w:pPr>
            <w:r w:rsidRPr="009F57D8">
              <w:rPr>
                <w:rFonts w:ascii="Arial Narrow" w:hAnsi="Arial Narrow"/>
                <w:color w:val="000000" w:themeColor="text1"/>
                <w:sz w:val="20"/>
                <w:szCs w:val="20"/>
              </w:rPr>
              <w:t>Pneumococcal (conjugate, 21-valent) vaccine</w:t>
            </w:r>
          </w:p>
        </w:tc>
        <w:tc>
          <w:tcPr>
            <w:tcW w:w="1119" w:type="pct"/>
          </w:tcPr>
          <w:p w14:paraId="4C3E2DA8" w14:textId="678BB2A3" w:rsidR="00B84A8C" w:rsidRPr="009F57D8" w:rsidRDefault="00B84A8C">
            <w:pPr>
              <w:pStyle w:val="TableText0"/>
              <w:jc w:val="center"/>
            </w:pPr>
            <w:r w:rsidRPr="009F57D8">
              <w:t>$</w:t>
            </w:r>
            <w:r w:rsidR="00FD08E9" w:rsidRPr="00FD08E9">
              <w:rPr>
                <w:highlight w:val="black"/>
              </w:rPr>
              <w:t>&amp;&amp;&amp;&amp;</w:t>
            </w:r>
            <w:r w:rsidR="00057295" w:rsidRPr="009F57D8">
              <w:t xml:space="preserve"> (weighted price)</w:t>
            </w:r>
          </w:p>
        </w:tc>
        <w:tc>
          <w:tcPr>
            <w:tcW w:w="691" w:type="pct"/>
          </w:tcPr>
          <w:p w14:paraId="086A75D4" w14:textId="5C06DCFD" w:rsidR="00B84A8C" w:rsidRPr="009F57D8" w:rsidRDefault="00B84A8C">
            <w:pPr>
              <w:keepNext/>
              <w:keepLines/>
              <w:jc w:val="center"/>
              <w:rPr>
                <w:rFonts w:ascii="Arial Narrow" w:hAnsi="Arial Narrow"/>
                <w:sz w:val="20"/>
                <w:szCs w:val="20"/>
              </w:rPr>
            </w:pPr>
            <w:r w:rsidRPr="009F57D8">
              <w:rPr>
                <w:rFonts w:ascii="Arial Narrow" w:hAnsi="Arial Narrow"/>
                <w:sz w:val="20"/>
              </w:rPr>
              <w:t>Injection 0.5 mL</w:t>
            </w:r>
            <w:r w:rsidRPr="009F57D8" w:rsidDel="00480B3A">
              <w:rPr>
                <w:rFonts w:ascii="Arial Narrow" w:hAnsi="Arial Narrow"/>
                <w:sz w:val="20"/>
              </w:rPr>
              <w:t xml:space="preserve"> </w:t>
            </w:r>
          </w:p>
        </w:tc>
        <w:tc>
          <w:tcPr>
            <w:tcW w:w="1699" w:type="pct"/>
          </w:tcPr>
          <w:p w14:paraId="5A4C1E84" w14:textId="77777777" w:rsidR="00B84A8C" w:rsidRPr="009F57D8" w:rsidRDefault="00B84A8C">
            <w:pPr>
              <w:keepNext/>
              <w:keepLines/>
              <w:jc w:val="center"/>
              <w:rPr>
                <w:rFonts w:ascii="Arial Narrow" w:hAnsi="Arial Narrow"/>
                <w:sz w:val="20"/>
              </w:rPr>
            </w:pPr>
            <w:r w:rsidRPr="009F57D8">
              <w:rPr>
                <w:rFonts w:ascii="Arial Narrow" w:hAnsi="Arial Narrow"/>
                <w:sz w:val="20"/>
              </w:rPr>
              <w:t>CAPVAXIVE, Merck Sharp &amp; Dohme (Australia) Pty Ltd</w:t>
            </w:r>
          </w:p>
        </w:tc>
      </w:tr>
      <w:tr w:rsidR="00B84A8C" w:rsidRPr="009F57D8" w14:paraId="1FB36ACB" w14:textId="77777777" w:rsidTr="006A290E">
        <w:trPr>
          <w:cantSplit/>
          <w:trHeight w:val="20"/>
        </w:trPr>
        <w:tc>
          <w:tcPr>
            <w:tcW w:w="5000" w:type="pct"/>
            <w:gridSpan w:val="4"/>
          </w:tcPr>
          <w:p w14:paraId="4867E1D2"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Circumstances</w:t>
            </w:r>
          </w:p>
          <w:p w14:paraId="544F22AF"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Vaccine may be provided in the following circumstances:</w:t>
            </w:r>
          </w:p>
          <w:p w14:paraId="7AF274E7"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(a) a dose of the vaccine may be provided to a person:</w:t>
            </w:r>
          </w:p>
          <w:p w14:paraId="427BC03F"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 xml:space="preserve">     (i) who is at least 18 years of age and has one or more of the following medical risk conditions:</w:t>
            </w:r>
          </w:p>
          <w:p w14:paraId="208B1452"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functional or anatomical asplenia including sickle cell disease, other haemoglobinopathies, congenital or acquired asplenia (e.g. splenectomy) or hyposplenia; or</w:t>
            </w:r>
          </w:p>
          <w:p w14:paraId="129742B1"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immunocompromising conditions including congenital or acquired immune deficiency including symptomatic IgG subclass or isolated IgA deficiency, haematological malignancies, solid organ transplant haematopoietic stem cell transplant (HSCT) or HIV infection; or</w:t>
            </w:r>
          </w:p>
          <w:p w14:paraId="4FE63CEB"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chronic respiratory disease including suppurative lung disease, bronchiectasis and cystic fibrosis or chronic lung disease of prematurity; or</w:t>
            </w:r>
          </w:p>
          <w:p w14:paraId="4EBBDB30"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chronic renal disease including: end stage renal disease – eGFR &lt;15mL/min or relapsing or persistent nephrotic syndrome; or</w:t>
            </w:r>
          </w:p>
          <w:p w14:paraId="17D495C9"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proven or presumptive cerebrospinal fluid (CSF) leak; or</w:t>
            </w:r>
          </w:p>
          <w:p w14:paraId="5182EF39"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cochlear implants; or</w:t>
            </w:r>
          </w:p>
          <w:p w14:paraId="2720482F"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intracranial shunts; or</w:t>
            </w:r>
          </w:p>
          <w:p w14:paraId="1C7DEAD3" w14:textId="77777777" w:rsidR="00B84A8C" w:rsidRPr="009F57D8" w:rsidRDefault="00B84A8C" w:rsidP="00572866">
            <w:pPr>
              <w:pStyle w:val="ListParagraph"/>
              <w:keepNext/>
              <w:keepLines/>
              <w:numPr>
                <w:ilvl w:val="0"/>
                <w:numId w:val="18"/>
              </w:numPr>
              <w:spacing w:after="0"/>
              <w:ind w:left="747"/>
              <w:rPr>
                <w:rFonts w:ascii="Arial Narrow" w:hAnsi="Arial Narrow"/>
                <w:color w:val="000000" w:themeColor="text1"/>
                <w:sz w:val="20"/>
                <w:szCs w:val="20"/>
              </w:rPr>
            </w:pPr>
            <w:r w:rsidRPr="009F57D8">
              <w:rPr>
                <w:rFonts w:ascii="Arial Narrow" w:hAnsi="Arial Narrow"/>
                <w:color w:val="000000" w:themeColor="text1"/>
                <w:sz w:val="20"/>
                <w:szCs w:val="20"/>
              </w:rPr>
              <w:t>previous episode of invasive pneumococcal disease (IPD)</w:t>
            </w:r>
          </w:p>
          <w:p w14:paraId="25A65986"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(b) a dose of the vaccine may be provided to a person:</w:t>
            </w:r>
          </w:p>
          <w:p w14:paraId="79C53E58"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 xml:space="preserve">     (i) who is an Aboriginal and/or Torres Strait Islander; and</w:t>
            </w:r>
          </w:p>
          <w:p w14:paraId="1EF5BFEA"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 xml:space="preserve">     (ii) who is at least 25 years.</w:t>
            </w:r>
          </w:p>
          <w:p w14:paraId="54D036EB"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(c) a dose of the vaccine may be provided to a person:</w:t>
            </w:r>
          </w:p>
          <w:p w14:paraId="52D7B714" w14:textId="77777777" w:rsidR="00B84A8C" w:rsidRPr="009F57D8" w:rsidRDefault="00B84A8C">
            <w:pPr>
              <w:keepNext/>
              <w:keepLines/>
              <w:rPr>
                <w:rFonts w:ascii="Arial Narrow" w:hAnsi="Arial Narrow"/>
                <w:snapToGrid w:val="0"/>
                <w:color w:val="000000" w:themeColor="text1"/>
                <w:sz w:val="20"/>
                <w:szCs w:val="20"/>
              </w:rPr>
            </w:pPr>
            <w:r w:rsidRPr="009F57D8">
              <w:rPr>
                <w:rFonts w:ascii="Arial Narrow" w:hAnsi="Arial Narrow"/>
                <w:snapToGrid w:val="0"/>
                <w:color w:val="000000" w:themeColor="text1"/>
                <w:sz w:val="20"/>
                <w:szCs w:val="20"/>
              </w:rPr>
              <w:t xml:space="preserve">     (i) who is not an Aboriginal and/or Torres Strait Islander; and</w:t>
            </w:r>
          </w:p>
          <w:p w14:paraId="38974EB6" w14:textId="77777777" w:rsidR="00B84A8C" w:rsidRPr="009F57D8" w:rsidRDefault="00B84A8C">
            <w:pPr>
              <w:keepNext/>
              <w:keepLines/>
              <w:rPr>
                <w:rFonts w:ascii="Arial Narrow" w:hAnsi="Arial Narrow"/>
                <w:color w:val="0066FF"/>
                <w:sz w:val="20"/>
                <w:szCs w:val="20"/>
              </w:rPr>
            </w:pPr>
            <w:r w:rsidRPr="009F57D8">
              <w:rPr>
                <w:rFonts w:ascii="Arial Narrow" w:hAnsi="Arial Narrow"/>
                <w:color w:val="000000" w:themeColor="text1"/>
                <w:sz w:val="20"/>
                <w:szCs w:val="20"/>
              </w:rPr>
              <w:t xml:space="preserve">     (ii) who is at least 70 years.</w:t>
            </w:r>
          </w:p>
        </w:tc>
      </w:tr>
    </w:tbl>
    <w:p w14:paraId="4114BCF2" w14:textId="77777777" w:rsidR="00B84A8C" w:rsidRPr="009F57D8" w:rsidRDefault="00B84A8C" w:rsidP="00A53235">
      <w:pPr>
        <w:pStyle w:val="FooterTableFigure"/>
      </w:pPr>
      <w:r w:rsidRPr="009F57D8">
        <w:t>Source: Table 1.1-6 p17, Table 1.4.1 p24 of the submission</w:t>
      </w:r>
    </w:p>
    <w:p w14:paraId="725A432C" w14:textId="49032E78" w:rsidR="00B84A8C" w:rsidRPr="009F57D8" w:rsidRDefault="00B84A8C" w:rsidP="00A53235">
      <w:pPr>
        <w:pStyle w:val="FooterTableFigure"/>
      </w:pPr>
      <w:r w:rsidRPr="009F57D8">
        <w:t xml:space="preserve">CSF = cerebrospinal fluid; eGFR = estimated glomerular filtration rate HIV = human immunodeficiency virus; HSCT = haematopoietic stem cell transplant; IPD = invasive pneumococcal disease; NNP = Nationally Negotiated Price. </w:t>
      </w:r>
    </w:p>
    <w:p w14:paraId="3F2123E9" w14:textId="4EF15BF3" w:rsidR="00B84A8C" w:rsidRPr="009F57D8" w:rsidRDefault="00B84A8C" w:rsidP="00B84A8C">
      <w:pPr>
        <w:pStyle w:val="3-BodyText"/>
        <w:numPr>
          <w:ilvl w:val="1"/>
          <w:numId w:val="1"/>
        </w:numPr>
      </w:pPr>
      <w:r w:rsidRPr="009F57D8">
        <w:t xml:space="preserve">The submission proposed criteria for listing based on the November 2022 PBAC recommendation of 20vPCV, as reported in the associated Public Summary Document (20vPCV PSD, November 2022 PBAC Meeting).  </w:t>
      </w:r>
    </w:p>
    <w:p w14:paraId="756B85E5" w14:textId="1DAACF05" w:rsidR="00B84A8C" w:rsidRPr="009F57D8" w:rsidRDefault="00B84A8C" w:rsidP="00B84A8C">
      <w:pPr>
        <w:pStyle w:val="3-BodyText"/>
        <w:numPr>
          <w:ilvl w:val="1"/>
          <w:numId w:val="1"/>
        </w:numPr>
      </w:pPr>
      <w:r w:rsidRPr="009F57D8">
        <w:t xml:space="preserve">The proposed NIP listing for </w:t>
      </w:r>
      <w:r w:rsidR="008D5CCB" w:rsidRPr="009F57D8">
        <w:t xml:space="preserve">21vPCV </w:t>
      </w:r>
      <w:r w:rsidRPr="009F57D8">
        <w:t>includes:</w:t>
      </w:r>
      <w:r w:rsidR="005F6693" w:rsidRPr="009F57D8">
        <w:t xml:space="preserve"> </w:t>
      </w:r>
    </w:p>
    <w:p w14:paraId="38FCA3BE" w14:textId="77777777" w:rsidR="00B84A8C" w:rsidRPr="009F57D8" w:rsidRDefault="00B84A8C" w:rsidP="00572866">
      <w:pPr>
        <w:pStyle w:val="ListParagraph"/>
        <w:widowControl w:val="0"/>
        <w:numPr>
          <w:ilvl w:val="0"/>
          <w:numId w:val="16"/>
        </w:numPr>
        <w:spacing w:after="0"/>
        <w:ind w:left="1080"/>
        <w:jc w:val="both"/>
        <w:rPr>
          <w:rFonts w:cstheme="minorHAnsi"/>
        </w:rPr>
      </w:pPr>
      <w:r w:rsidRPr="009F57D8">
        <w:rPr>
          <w:rFonts w:cstheme="minorHAnsi"/>
        </w:rPr>
        <w:t>A single dose for non-Indigenous adults aged 70 years and over;</w:t>
      </w:r>
    </w:p>
    <w:p w14:paraId="4F228C1C" w14:textId="4AC042F0" w:rsidR="00B84A8C" w:rsidRPr="009F57D8" w:rsidRDefault="00B84A8C" w:rsidP="00572866">
      <w:pPr>
        <w:pStyle w:val="ListParagraph"/>
        <w:widowControl w:val="0"/>
        <w:numPr>
          <w:ilvl w:val="0"/>
          <w:numId w:val="16"/>
        </w:numPr>
        <w:spacing w:after="0"/>
        <w:ind w:left="1080"/>
        <w:jc w:val="both"/>
        <w:rPr>
          <w:rFonts w:cstheme="minorHAnsi"/>
        </w:rPr>
      </w:pPr>
      <w:r w:rsidRPr="009F57D8">
        <w:rPr>
          <w:rFonts w:cstheme="minorHAnsi"/>
        </w:rPr>
        <w:t xml:space="preserve">A single dose for </w:t>
      </w:r>
      <w:r w:rsidR="00D04DE7" w:rsidRPr="009F57D8">
        <w:rPr>
          <w:rFonts w:cstheme="minorHAnsi"/>
        </w:rPr>
        <w:t>Aboriginal and Torres Strait Islander adults</w:t>
      </w:r>
      <w:r w:rsidRPr="009F57D8">
        <w:rPr>
          <w:rFonts w:cstheme="minorHAnsi"/>
        </w:rPr>
        <w:t xml:space="preserve"> aged 25 years and over;</w:t>
      </w:r>
    </w:p>
    <w:p w14:paraId="7B65F113" w14:textId="650DAD6E" w:rsidR="00B84A8C" w:rsidRPr="009F57D8" w:rsidRDefault="00B84A8C" w:rsidP="00572866">
      <w:pPr>
        <w:pStyle w:val="ListParagraph"/>
        <w:widowControl w:val="0"/>
        <w:numPr>
          <w:ilvl w:val="0"/>
          <w:numId w:val="16"/>
        </w:numPr>
        <w:spacing w:after="0"/>
        <w:ind w:left="1080"/>
        <w:jc w:val="both"/>
        <w:rPr>
          <w:rFonts w:cs="Calibri"/>
        </w:rPr>
      </w:pPr>
      <w:r w:rsidRPr="009F57D8">
        <w:rPr>
          <w:rFonts w:cstheme="minorHAnsi"/>
        </w:rPr>
        <w:t xml:space="preserve">A single dose in adults aged ≥18 years at increased risk of </w:t>
      </w:r>
      <w:r w:rsidR="004066BA" w:rsidRPr="009F57D8">
        <w:rPr>
          <w:iCs/>
        </w:rPr>
        <w:t>pneumococcal disease</w:t>
      </w:r>
      <w:r w:rsidRPr="009F57D8">
        <w:rPr>
          <w:rFonts w:cstheme="minorHAnsi"/>
        </w:rPr>
        <w:t>.</w:t>
      </w:r>
    </w:p>
    <w:p w14:paraId="11F47E57" w14:textId="15C265AD" w:rsidR="00DE65AC" w:rsidRPr="009F57D8" w:rsidRDefault="00B84A8C">
      <w:pPr>
        <w:pStyle w:val="3-BodyText"/>
        <w:numPr>
          <w:ilvl w:val="1"/>
          <w:numId w:val="1"/>
        </w:numPr>
        <w:rPr>
          <w:b/>
          <w:bCs/>
        </w:rPr>
      </w:pPr>
      <w:bookmarkStart w:id="25" w:name="_Ref208497616"/>
      <w:r w:rsidRPr="009F57D8">
        <w:rPr>
          <w:rFonts w:cs="Calibri"/>
        </w:rPr>
        <w:t xml:space="preserve">The </w:t>
      </w:r>
      <w:r w:rsidR="000F3D07" w:rsidRPr="009F57D8">
        <w:rPr>
          <w:rFonts w:cs="Calibri"/>
        </w:rPr>
        <w:t xml:space="preserve">July 2025 </w:t>
      </w:r>
      <w:r w:rsidRPr="009F57D8">
        <w:rPr>
          <w:rFonts w:cs="Calibri"/>
        </w:rPr>
        <w:t xml:space="preserve">ATAGI Advice recommended lowering the age from 70 years to 65 years for non-Indigenous adults without risk conditions as it </w:t>
      </w:r>
      <w:r w:rsidRPr="009F57D8">
        <w:t>would capture 50%</w:t>
      </w:r>
      <w:r w:rsidRPr="009F57D8">
        <w:rPr>
          <w:rStyle w:val="FootnoteReference"/>
        </w:rPr>
        <w:footnoteReference w:id="6"/>
      </w:r>
      <w:r w:rsidRPr="009F57D8">
        <w:t xml:space="preserve"> more 21vPCV vaccine-type IPD cases in the target cohort and would increase the uptake of </w:t>
      </w:r>
      <w:r w:rsidRPr="009F57D8">
        <w:lastRenderedPageBreak/>
        <w:t>the vaccination as it programmatically aligns with the established NIP schedule (p3, ATAGI: Optimum schedule for pneumococcal vaccination for Australian adults, July 2025)</w:t>
      </w:r>
      <w:r w:rsidRPr="009F57D8">
        <w:rPr>
          <w:rFonts w:cs="Calibri"/>
        </w:rPr>
        <w:t xml:space="preserve">. The submission tested the impact of lowering the age to 65 years (for non-Indigenous adults without risk conditions) on incremental cost-effectiveness and net implication to the health budget. </w:t>
      </w:r>
      <w:bookmarkEnd w:id="25"/>
    </w:p>
    <w:p w14:paraId="3DA6FB13" w14:textId="28A2E614" w:rsidR="00B84A8C" w:rsidRPr="009F57D8" w:rsidRDefault="00A208E2">
      <w:pPr>
        <w:pStyle w:val="3-BodyText"/>
        <w:numPr>
          <w:ilvl w:val="1"/>
          <w:numId w:val="1"/>
        </w:numPr>
      </w:pPr>
      <w:r w:rsidRPr="009F57D8">
        <w:t xml:space="preserve">Regarding the MaR populations, the submission noted that ATAGI has recognised that adults with chronic liver disease (CLD) and chronic obstructive pulmonary disorder (COPD) are at increased risk of pneumococcal disease and ATAGI currently recommends these adults receive two </w:t>
      </w:r>
      <w:r w:rsidR="00256161" w:rsidRPr="009F57D8">
        <w:t xml:space="preserve">booster </w:t>
      </w:r>
      <w:r w:rsidRPr="009F57D8">
        <w:t>doses of 23vPPV</w:t>
      </w:r>
      <w:r w:rsidR="00256161" w:rsidRPr="009F57D8">
        <w:t xml:space="preserve"> following one dose of a PCV</w:t>
      </w:r>
      <w:r w:rsidRPr="009F57D8">
        <w:t xml:space="preserve">, however this </w:t>
      </w:r>
      <w:r w:rsidR="00256161" w:rsidRPr="009F57D8">
        <w:t xml:space="preserve">usage </w:t>
      </w:r>
      <w:r w:rsidRPr="009F57D8">
        <w:t xml:space="preserve">is not funded on the NIP as CLD and COPD are not </w:t>
      </w:r>
      <w:r w:rsidR="006D4987" w:rsidRPr="009F57D8">
        <w:t>included in</w:t>
      </w:r>
      <w:r w:rsidR="00256161" w:rsidRPr="009F57D8">
        <w:t xml:space="preserve"> the list of currently funded conditions</w:t>
      </w:r>
      <w:r w:rsidRPr="009F57D8">
        <w:t>.</w:t>
      </w:r>
      <w:r w:rsidR="00256161" w:rsidRPr="009F57D8">
        <w:t xml:space="preserve">  </w:t>
      </w:r>
      <w:r w:rsidR="00B84A8C" w:rsidRPr="009F57D8">
        <w:t xml:space="preserve">The submission included specific assessment of the cost-effectiveness and financial impact of additional vaccination groups on the NIP for individuals </w:t>
      </w:r>
      <w:r w:rsidR="00F236C6" w:rsidRPr="009F57D8">
        <w:t xml:space="preserve">with </w:t>
      </w:r>
      <w:r w:rsidR="00B84A8C" w:rsidRPr="009F57D8">
        <w:t xml:space="preserve">CLD and COPD. </w:t>
      </w:r>
      <w:r w:rsidR="006C2C7B" w:rsidRPr="009F57D8">
        <w:t xml:space="preserve">  The Australian Immunisation Handbook (AIH) includes a table summarising risk conditions for pneumococcal vaccination and eligibility for NIP funding</w:t>
      </w:r>
      <w:r w:rsidR="006C2C7B" w:rsidRPr="009F57D8">
        <w:rPr>
          <w:rStyle w:val="FootnoteReference"/>
        </w:rPr>
        <w:footnoteReference w:id="7"/>
      </w:r>
      <w:r w:rsidR="006C2C7B" w:rsidRPr="009F57D8">
        <w:t>.  Adults with the risk conditions listed in the table are at increased risk of pneumococcal disease and are recommended by ATAGI to receive additional doses of pneumococcal vaccine.  This includes COPD, and CLD, where the latter is defined as “Conditions with progressive deterioration of liver function for more than 6 months including cirrhosis and other advanced liver diseases”.</w:t>
      </w:r>
      <w:r w:rsidR="00C9390E" w:rsidRPr="009F57D8">
        <w:t xml:space="preserve">  The pre-PBAC response stated that addition of CLD and COPD to the funded medically at-risk populations would simplify the adult pneumococcal program by reducing misalignment between the NIP-funded and ATAGI-recommended medically at-risk groups.</w:t>
      </w:r>
    </w:p>
    <w:p w14:paraId="49FAE410" w14:textId="1AED47B8" w:rsidR="00B84A8C" w:rsidRPr="009F57D8" w:rsidRDefault="001E32B9" w:rsidP="00B84A8C">
      <w:pPr>
        <w:pStyle w:val="3-BodyText"/>
        <w:numPr>
          <w:ilvl w:val="1"/>
          <w:numId w:val="1"/>
        </w:numPr>
      </w:pPr>
      <w:r w:rsidRPr="009F57D8">
        <w:t>Consistent with ATAGI advice, the submission proposed</w:t>
      </w:r>
      <w:r w:rsidR="00B84A8C" w:rsidRPr="009F57D8">
        <w:t xml:space="preserve"> a single dose of </w:t>
      </w:r>
      <w:r w:rsidR="00256161" w:rsidRPr="009F57D8">
        <w:t xml:space="preserve">21vPCV </w:t>
      </w:r>
      <w:r w:rsidR="00B84A8C" w:rsidRPr="009F57D8">
        <w:t xml:space="preserve">would replace 13vPCV in the non-Indigenous population ≥ 70 years, and replace 13vPCV and two booster doses of 23vPPV in the MaR and Indigenous populations. The submission stated this would simplify the adult pneumococcal schedule and should improve uptake and ultimately reduce vaccine-type disease in those populations. </w:t>
      </w:r>
    </w:p>
    <w:p w14:paraId="390C23B0" w14:textId="4972C73B" w:rsidR="00B84A8C" w:rsidRPr="009F57D8" w:rsidRDefault="00B84A8C" w:rsidP="00B84A8C">
      <w:pPr>
        <w:pStyle w:val="3-BodyText"/>
        <w:numPr>
          <w:ilvl w:val="1"/>
          <w:numId w:val="1"/>
        </w:numPr>
      </w:pPr>
      <w:r w:rsidRPr="009F57D8">
        <w:t xml:space="preserve">In regard to booster doses of 23vPPV, the submission proposed that use of </w:t>
      </w:r>
      <w:r w:rsidR="00256161" w:rsidRPr="009F57D8">
        <w:t xml:space="preserve">21vPCV </w:t>
      </w:r>
      <w:r w:rsidRPr="009F57D8">
        <w:t xml:space="preserve">would negate the need for 23vPPV boosters on the pneumococcal schedule. The submission stated that </w:t>
      </w:r>
      <w:r w:rsidR="00256161" w:rsidRPr="009F57D8">
        <w:t xml:space="preserve">21vPCV </w:t>
      </w:r>
      <w:r w:rsidRPr="009F57D8">
        <w:t>would increase disease coverage to approximately 70% across all current adult cohorts in a single dose (</w:t>
      </w:r>
      <w:r w:rsidRPr="009F57D8">
        <w:fldChar w:fldCharType="begin"/>
      </w:r>
      <w:r w:rsidRPr="009F57D8">
        <w:instrText xml:space="preserve"> REF _Ref174254422 \h </w:instrText>
      </w:r>
      <w:r w:rsidR="00F73A79" w:rsidRPr="009F57D8">
        <w:instrText xml:space="preserve"> \* MERGEFORMAT </w:instrText>
      </w:r>
      <w:r w:rsidRPr="009F57D8">
        <w:fldChar w:fldCharType="separate"/>
      </w:r>
      <w:r w:rsidR="00581386" w:rsidRPr="009F57D8">
        <w:t xml:space="preserve">Table </w:t>
      </w:r>
      <w:r w:rsidR="00581386">
        <w:t>3</w:t>
      </w:r>
      <w:r w:rsidRPr="009F57D8">
        <w:fldChar w:fldCharType="end"/>
      </w:r>
      <w:r w:rsidRPr="009F57D8">
        <w:t xml:space="preserve">). The serotype coverage estimates ranged from 66.7% in </w:t>
      </w:r>
      <w:r w:rsidR="00D04DE7" w:rsidRPr="009F57D8">
        <w:t>Aboriginal and Torres Strait Islander adults</w:t>
      </w:r>
      <w:r w:rsidR="002229C0" w:rsidRPr="009F57D8">
        <w:t xml:space="preserve"> </w:t>
      </w:r>
      <w:r w:rsidRPr="009F57D8">
        <w:t>25-49 to 78.3% in M</w:t>
      </w:r>
      <w:r w:rsidR="002229C0" w:rsidRPr="009F57D8">
        <w:t>aR</w:t>
      </w:r>
      <w:r w:rsidRPr="009F57D8">
        <w:t xml:space="preserve"> </w:t>
      </w:r>
      <w:r w:rsidR="002229C0" w:rsidRPr="009F57D8">
        <w:t>n</w:t>
      </w:r>
      <w:r w:rsidRPr="009F57D8">
        <w:t>on-</w:t>
      </w:r>
      <w:r w:rsidR="002229C0" w:rsidRPr="009F57D8">
        <w:t>I</w:t>
      </w:r>
      <w:r w:rsidRPr="009F57D8">
        <w:t xml:space="preserve">ndigenous </w:t>
      </w:r>
      <w:r w:rsidR="002229C0" w:rsidRPr="009F57D8">
        <w:t xml:space="preserve">people </w:t>
      </w:r>
      <w:r w:rsidRPr="009F57D8">
        <w:t>20-69 years, and was estimated to be 74.9% in the Non-Indigenous 70+ population, which is by far the largest proportion of the proposed NIP population (</w:t>
      </w:r>
      <w:r w:rsidRPr="009F57D8">
        <w:fldChar w:fldCharType="begin"/>
      </w:r>
      <w:r w:rsidRPr="009F57D8">
        <w:instrText xml:space="preserve"> REF _Ref206772548 \h </w:instrText>
      </w:r>
      <w:r w:rsidR="00F73A79" w:rsidRPr="009F57D8">
        <w:instrText xml:space="preserve"> \* MERGEFORMAT </w:instrText>
      </w:r>
      <w:r w:rsidRPr="009F57D8">
        <w:fldChar w:fldCharType="separate"/>
      </w:r>
      <w:r w:rsidR="00581386" w:rsidRPr="00C65909">
        <w:t xml:space="preserve">Table </w:t>
      </w:r>
      <w:r w:rsidRPr="009F57D8">
        <w:fldChar w:fldCharType="end"/>
      </w:r>
      <w:r w:rsidRPr="009F57D8">
        <w:t>). ATAGI recommended the removal of 23vPPV from the adult schedule when the use of 13vPCV is replaced by 21vPCV (or 20vPCV) (p3, ATAGI: Optimum schedule for pneumococcal vaccination for Australian adults, July 2025).</w:t>
      </w:r>
    </w:p>
    <w:p w14:paraId="56290C95" w14:textId="2343ED61" w:rsidR="00A85AD1" w:rsidRPr="009F57D8" w:rsidRDefault="00A85AD1">
      <w:pPr>
        <w:pStyle w:val="3-BodyText"/>
        <w:numPr>
          <w:ilvl w:val="1"/>
          <w:numId w:val="1"/>
        </w:numPr>
        <w:rPr>
          <w:b/>
          <w:bCs/>
        </w:rPr>
      </w:pPr>
      <w:bookmarkStart w:id="26" w:name="_Ref208497503"/>
      <w:bookmarkStart w:id="27" w:name="_Toc177070734"/>
      <w:r w:rsidRPr="009F57D8">
        <w:lastRenderedPageBreak/>
        <w:t>The proposed NIP listing of 21vPCV would allow a single dose per lifetime</w:t>
      </w:r>
      <w:r w:rsidR="004165C9" w:rsidRPr="009F57D8">
        <w:t xml:space="preserve"> in the adult schedule</w:t>
      </w:r>
      <w:r w:rsidRPr="009F57D8">
        <w:t>.</w:t>
      </w:r>
      <w:r w:rsidR="004165C9" w:rsidRPr="009F57D8">
        <w:t xml:space="preserve">  </w:t>
      </w:r>
      <w:r w:rsidR="00903147" w:rsidRPr="009F57D8">
        <w:t>The proposed adult program would run in addition to the childhood vaccination program, which since 1 September 2025 includes 20vPCV as the only NIP-listed childhood vaccine for pneumococcal disease.</w:t>
      </w:r>
    </w:p>
    <w:p w14:paraId="5F3F7E76" w14:textId="33F9C42D" w:rsidR="00B84A8C" w:rsidRPr="009F57D8" w:rsidRDefault="00B84A8C">
      <w:pPr>
        <w:pStyle w:val="3-BodyText"/>
        <w:numPr>
          <w:ilvl w:val="1"/>
          <w:numId w:val="1"/>
        </w:numPr>
        <w:rPr>
          <w:b/>
          <w:bCs/>
        </w:rPr>
      </w:pPr>
      <w:bookmarkStart w:id="28" w:name="_Ref214893195"/>
      <w:r w:rsidRPr="009F57D8">
        <w:rPr>
          <w:rFonts w:cstheme="minorHAnsi"/>
        </w:rPr>
        <w:t xml:space="preserve">The submission proposed a catch-up program for those individuals eligible for vaccination with 13vPCV between 1 July 2020 and the commencement of </w:t>
      </w:r>
      <w:r w:rsidR="00B43581" w:rsidRPr="009F57D8">
        <w:rPr>
          <w:rFonts w:cstheme="minorHAnsi"/>
        </w:rPr>
        <w:t xml:space="preserve">21vPCV </w:t>
      </w:r>
      <w:r w:rsidRPr="009F57D8">
        <w:rPr>
          <w:rFonts w:cstheme="minorHAnsi"/>
        </w:rPr>
        <w:t xml:space="preserve">on the NIP, regardless of whether they have </w:t>
      </w:r>
      <w:r w:rsidR="00B43581" w:rsidRPr="009F57D8">
        <w:rPr>
          <w:rFonts w:cstheme="minorHAnsi"/>
        </w:rPr>
        <w:t xml:space="preserve">received </w:t>
      </w:r>
      <w:r w:rsidRPr="009F57D8">
        <w:rPr>
          <w:rFonts w:cstheme="minorHAnsi"/>
        </w:rPr>
        <w:t xml:space="preserve">booster doses of 23vPPV. This was in line with the ATAGI recommendation of a single dose of </w:t>
      </w:r>
      <w:r w:rsidR="00B43581" w:rsidRPr="009F57D8">
        <w:rPr>
          <w:rFonts w:cstheme="minorHAnsi"/>
        </w:rPr>
        <w:t xml:space="preserve">21vPCV </w:t>
      </w:r>
      <w:r w:rsidRPr="009F57D8">
        <w:rPr>
          <w:rFonts w:cstheme="minorHAnsi"/>
        </w:rPr>
        <w:t xml:space="preserve">for all adults in each target population regardless of whether they have previously received a dose of pneumococcal vaccine </w:t>
      </w:r>
      <w:r w:rsidRPr="009F57D8">
        <w:t xml:space="preserve">while maintaining the recommended interval of at least 12 months between any previous pneumococcal vaccine and their dose of </w:t>
      </w:r>
      <w:r w:rsidR="00B43581" w:rsidRPr="009F57D8">
        <w:t xml:space="preserve">21vPCV </w:t>
      </w:r>
      <w:r w:rsidRPr="009F57D8">
        <w:t xml:space="preserve">(p15, ATAGI: Optimum Schedule for pneumococcal vaccination for Australian adults, July 2025). </w:t>
      </w:r>
      <w:r w:rsidRPr="009F57D8">
        <w:rPr>
          <w:rFonts w:cstheme="minorHAnsi"/>
        </w:rPr>
        <w:t xml:space="preserve">The rationale for this approach was based on broader disease coverage for </w:t>
      </w:r>
      <w:r w:rsidR="00B43581" w:rsidRPr="009F57D8">
        <w:rPr>
          <w:rFonts w:cstheme="minorHAnsi"/>
        </w:rPr>
        <w:t xml:space="preserve">21vPCV </w:t>
      </w:r>
      <w:r w:rsidRPr="009F57D8">
        <w:rPr>
          <w:rFonts w:cstheme="minorHAnsi"/>
        </w:rPr>
        <w:t>compared to 13vPCV across all cohorts, the likelihood that the efficacy of 23vPPV has waned in those vaccinated prior to July 2020, and the low uptake of booster doses in those vaccinated after July 2020.</w:t>
      </w:r>
      <w:bookmarkEnd w:id="26"/>
      <w:bookmarkEnd w:id="28"/>
      <w:r w:rsidRPr="009F57D8">
        <w:rPr>
          <w:rFonts w:cstheme="minorHAnsi"/>
        </w:rPr>
        <w:t xml:space="preserve"> </w:t>
      </w:r>
    </w:p>
    <w:p w14:paraId="21E3505B" w14:textId="49A65EB0" w:rsidR="00B84A8C" w:rsidRPr="009F57D8" w:rsidRDefault="00B84A8C" w:rsidP="00B84A8C">
      <w:pPr>
        <w:pStyle w:val="3-BodyText"/>
        <w:numPr>
          <w:ilvl w:val="1"/>
          <w:numId w:val="1"/>
        </w:numPr>
      </w:pPr>
      <w:r w:rsidRPr="009F57D8">
        <w:rPr>
          <w:color w:val="000000" w:themeColor="text1"/>
        </w:rPr>
        <w:t xml:space="preserve">The submission proposed a Nationally Negotiated Price (NNP) for </w:t>
      </w:r>
      <w:r w:rsidR="006F03C7" w:rsidRPr="009F57D8">
        <w:rPr>
          <w:color w:val="000000" w:themeColor="text1"/>
        </w:rPr>
        <w:t xml:space="preserve">21vPCV </w:t>
      </w:r>
      <w:r w:rsidRPr="009F57D8">
        <w:rPr>
          <w:color w:val="000000" w:themeColor="text1"/>
        </w:rPr>
        <w:t>of $</w:t>
      </w:r>
      <w:r w:rsidR="00FD08E9" w:rsidRPr="00FD08E9">
        <w:rPr>
          <w:color w:val="000000" w:themeColor="text1"/>
          <w:highlight w:val="black"/>
        </w:rPr>
        <w:t>&amp;&amp;&amp;&amp;</w:t>
      </w:r>
      <w:r w:rsidRPr="009F57D8">
        <w:rPr>
          <w:color w:val="000000" w:themeColor="text1"/>
        </w:rPr>
        <w:t xml:space="preserve"> per dose. The </w:t>
      </w:r>
      <w:r w:rsidRPr="009F57D8">
        <w:t xml:space="preserve">proposed </w:t>
      </w:r>
      <w:r w:rsidRPr="009F57D8">
        <w:rPr>
          <w:color w:val="000000" w:themeColor="text1"/>
        </w:rPr>
        <w:t xml:space="preserve">NNP for </w:t>
      </w:r>
      <w:r w:rsidR="006F03C7" w:rsidRPr="009F57D8">
        <w:rPr>
          <w:color w:val="000000" w:themeColor="text1"/>
        </w:rPr>
        <w:t>21vPCV</w:t>
      </w:r>
      <w:r w:rsidR="006F03C7" w:rsidRPr="009F57D8" w:rsidDel="006F03C7">
        <w:rPr>
          <w:color w:val="000000" w:themeColor="text1"/>
        </w:rPr>
        <w:t xml:space="preserve"> </w:t>
      </w:r>
      <w:r w:rsidRPr="009F57D8">
        <w:rPr>
          <w:color w:val="000000" w:themeColor="text1"/>
        </w:rPr>
        <w:t xml:space="preserve">was a weighted price (based on anticipated population proportions), comprising a </w:t>
      </w:r>
      <w:r w:rsidR="009077F1" w:rsidRPr="009F57D8">
        <w:rPr>
          <w:color w:val="000000" w:themeColor="text1"/>
        </w:rPr>
        <w:t xml:space="preserve">requested </w:t>
      </w:r>
      <w:r w:rsidRPr="009F57D8">
        <w:rPr>
          <w:color w:val="000000" w:themeColor="text1"/>
        </w:rPr>
        <w:t xml:space="preserve">price for non-Indigenous </w:t>
      </w:r>
      <w:r w:rsidRPr="009F57D8">
        <w:rPr>
          <w:rFonts w:cstheme="minorHAnsi"/>
          <w:color w:val="000000" w:themeColor="text1"/>
        </w:rPr>
        <w:t>≥</w:t>
      </w:r>
      <w:r w:rsidRPr="009F57D8">
        <w:rPr>
          <w:color w:val="000000" w:themeColor="text1"/>
        </w:rPr>
        <w:t xml:space="preserve"> 70 years </w:t>
      </w:r>
      <w:r w:rsidR="00140746" w:rsidRPr="009F57D8">
        <w:rPr>
          <w:color w:val="000000" w:themeColor="text1"/>
        </w:rPr>
        <w:t>of $</w:t>
      </w:r>
      <w:r w:rsidR="00FD08E9" w:rsidRPr="00FD08E9">
        <w:rPr>
          <w:color w:val="000000" w:themeColor="text1"/>
          <w:highlight w:val="black"/>
        </w:rPr>
        <w:t>&amp;&amp;&amp;&amp;</w:t>
      </w:r>
      <w:r w:rsidR="00140746" w:rsidRPr="009F57D8">
        <w:rPr>
          <w:color w:val="000000" w:themeColor="text1"/>
        </w:rPr>
        <w:t xml:space="preserve"> (83.65%),</w:t>
      </w:r>
      <w:r w:rsidRPr="009F57D8">
        <w:rPr>
          <w:color w:val="000000" w:themeColor="text1"/>
        </w:rPr>
        <w:t xml:space="preserve"> Indigenous </w:t>
      </w:r>
      <w:r w:rsidRPr="009F57D8">
        <w:rPr>
          <w:rFonts w:cstheme="minorHAnsi"/>
          <w:color w:val="000000" w:themeColor="text1"/>
        </w:rPr>
        <w:t>≥</w:t>
      </w:r>
      <w:r w:rsidRPr="009F57D8">
        <w:rPr>
          <w:color w:val="000000" w:themeColor="text1"/>
        </w:rPr>
        <w:t xml:space="preserve"> 50 years of $</w:t>
      </w:r>
      <w:r w:rsidR="00FD08E9" w:rsidRPr="00FD08E9">
        <w:rPr>
          <w:color w:val="000000" w:themeColor="text1"/>
          <w:highlight w:val="black"/>
        </w:rPr>
        <w:t>&amp;&amp;&amp;&amp;</w:t>
      </w:r>
      <w:r w:rsidRPr="009F57D8">
        <w:rPr>
          <w:color w:val="000000" w:themeColor="text1"/>
        </w:rPr>
        <w:t xml:space="preserve"> (</w:t>
      </w:r>
      <w:r w:rsidR="00140746" w:rsidRPr="009F57D8">
        <w:rPr>
          <w:color w:val="000000" w:themeColor="text1"/>
        </w:rPr>
        <w:t>2.79</w:t>
      </w:r>
      <w:r w:rsidRPr="009F57D8">
        <w:rPr>
          <w:color w:val="000000" w:themeColor="text1"/>
        </w:rPr>
        <w:t>%), $</w:t>
      </w:r>
      <w:r w:rsidR="00FD08E9" w:rsidRPr="00FD08E9">
        <w:rPr>
          <w:color w:val="000000" w:themeColor="text1"/>
          <w:highlight w:val="black"/>
        </w:rPr>
        <w:t>&amp;&amp;&amp;&amp;</w:t>
      </w:r>
      <w:r w:rsidRPr="009F57D8">
        <w:rPr>
          <w:color w:val="000000" w:themeColor="text1"/>
        </w:rPr>
        <w:t xml:space="preserve"> (9.37%) for MaR adults 18-69 years</w:t>
      </w:r>
      <w:r w:rsidR="00140746" w:rsidRPr="009F57D8">
        <w:rPr>
          <w:color w:val="000000" w:themeColor="text1"/>
        </w:rPr>
        <w:t>, and $</w:t>
      </w:r>
      <w:r w:rsidR="00FD08E9" w:rsidRPr="00FD08E9">
        <w:rPr>
          <w:color w:val="000000" w:themeColor="text1"/>
          <w:highlight w:val="black"/>
        </w:rPr>
        <w:t>&amp;&amp;&amp;&amp;</w:t>
      </w:r>
      <w:r w:rsidR="00140746" w:rsidRPr="009F57D8">
        <w:rPr>
          <w:color w:val="000000" w:themeColor="text1"/>
        </w:rPr>
        <w:t xml:space="preserve"> (4.19%) for Indigenous 25-49 years of age</w:t>
      </w:r>
      <w:r w:rsidRPr="009F57D8">
        <w:rPr>
          <w:color w:val="000000" w:themeColor="text1"/>
        </w:rPr>
        <w:t xml:space="preserve">.  </w:t>
      </w:r>
    </w:p>
    <w:p w14:paraId="6541226B" w14:textId="77777777" w:rsidR="007327F7" w:rsidRPr="009F57D8" w:rsidRDefault="007327F7" w:rsidP="007327F7">
      <w:pPr>
        <w:ind w:firstLine="709"/>
        <w:rPr>
          <w:rFonts w:asciiTheme="minorHAnsi" w:hAnsiTheme="minorHAnsi"/>
          <w:i/>
        </w:rPr>
      </w:pPr>
    </w:p>
    <w:p w14:paraId="0ED24149" w14:textId="77777777" w:rsidR="007327F7" w:rsidRPr="009F57D8" w:rsidRDefault="007327F7" w:rsidP="007327F7">
      <w:pPr>
        <w:ind w:firstLine="709"/>
        <w:rPr>
          <w:rFonts w:asciiTheme="minorHAnsi" w:hAnsiTheme="minorHAnsi"/>
          <w:i/>
        </w:rPr>
      </w:pPr>
      <w:r w:rsidRPr="009F57D8">
        <w:rPr>
          <w:rFonts w:asciiTheme="minorHAnsi" w:hAnsiTheme="minorHAnsi"/>
          <w:i/>
        </w:rPr>
        <w:t>For more detail on PBAC’s view, see section 7 PBAC outcome.</w:t>
      </w:r>
    </w:p>
    <w:p w14:paraId="331F3BE7" w14:textId="77777777" w:rsidR="007327F7" w:rsidRPr="009F57D8" w:rsidRDefault="007327F7" w:rsidP="007327F7"/>
    <w:p w14:paraId="7E811394" w14:textId="77777777" w:rsidR="00B84A8C" w:rsidRPr="009F57D8" w:rsidDel="00195452" w:rsidRDefault="00B84A8C" w:rsidP="00B84A8C">
      <w:pPr>
        <w:pStyle w:val="2-SectionHeading"/>
        <w:numPr>
          <w:ilvl w:val="0"/>
          <w:numId w:val="1"/>
        </w:numPr>
      </w:pPr>
      <w:bookmarkStart w:id="29" w:name="_Toc209004902"/>
      <w:r w:rsidRPr="009F57D8" w:rsidDel="00195452">
        <w:t>Population and disease</w:t>
      </w:r>
      <w:bookmarkEnd w:id="27"/>
      <w:bookmarkEnd w:id="29"/>
    </w:p>
    <w:p w14:paraId="38D91199" w14:textId="2E42976C" w:rsidR="00B84A8C" w:rsidRPr="009F57D8" w:rsidRDefault="00B84A8C" w:rsidP="00B84A8C">
      <w:pPr>
        <w:pStyle w:val="3-BodyText"/>
        <w:numPr>
          <w:ilvl w:val="1"/>
          <w:numId w:val="1"/>
        </w:numPr>
        <w:rPr>
          <w:color w:val="0066FF"/>
        </w:rPr>
      </w:pPr>
      <w:r w:rsidRPr="009F57D8">
        <w:t>PD can be broadly divided into IPD (meningitis, bacteraemia and pneumonia associated with bacteraemia) and non-IPD (pneumonia, acute otitis media and sinusitis). In adults,</w:t>
      </w:r>
      <w:r w:rsidRPr="009F57D8" w:rsidDel="00322294">
        <w:t xml:space="preserve"> </w:t>
      </w:r>
      <w:r w:rsidRPr="009F57D8">
        <w:t xml:space="preserve">non-IPD usually presents as </w:t>
      </w:r>
      <w:r w:rsidR="008C2D97">
        <w:t>community acquired pneumonia (</w:t>
      </w:r>
      <w:r w:rsidRPr="009F57D8">
        <w:t>CAP</w:t>
      </w:r>
      <w:r w:rsidR="008C2D97">
        <w:t>)</w:t>
      </w:r>
      <w:r w:rsidRPr="009F57D8">
        <w:t xml:space="preserve">. Although this is often mild and treated in primary care, elderly or vulnerable patients can experience significant morbidity and mortality. IPD is a life-threatening condition with fatality rates between 14% and 27% in older Australians. </w:t>
      </w:r>
    </w:p>
    <w:p w14:paraId="7A84E5BB" w14:textId="77777777" w:rsidR="00B84A8C" w:rsidRPr="009F57D8" w:rsidRDefault="00B84A8C" w:rsidP="00B84A8C">
      <w:pPr>
        <w:pStyle w:val="3-BodyText"/>
        <w:numPr>
          <w:ilvl w:val="1"/>
          <w:numId w:val="1"/>
        </w:numPr>
      </w:pPr>
      <w:r w:rsidRPr="009F57D8">
        <w:t xml:space="preserve">In Australia, there remains a substantial burden of disease in the proposed NIP populations, despite NIP listing of 13vPCV and 23vPPV. Based on notification rates from the NNDSS, 2016-2019 data the IPD incidence (cases per 100,000) in the targeted NIP populations was: </w:t>
      </w:r>
    </w:p>
    <w:p w14:paraId="576E3E41" w14:textId="77777777" w:rsidR="00B84A8C" w:rsidRPr="009F57D8" w:rsidRDefault="00B84A8C" w:rsidP="00572866">
      <w:pPr>
        <w:pStyle w:val="3-BodyText"/>
        <w:numPr>
          <w:ilvl w:val="0"/>
          <w:numId w:val="23"/>
        </w:numPr>
      </w:pPr>
      <w:r w:rsidRPr="009F57D8">
        <w:t>non-Indigenous adults: 12.3 for 70 to 74 years to 35.9 for 85 years or older.</w:t>
      </w:r>
    </w:p>
    <w:p w14:paraId="3B571F40" w14:textId="1C551F03" w:rsidR="00B84A8C" w:rsidRPr="009F57D8" w:rsidRDefault="00D04DE7" w:rsidP="00572866">
      <w:pPr>
        <w:pStyle w:val="3-BodyText"/>
        <w:numPr>
          <w:ilvl w:val="0"/>
          <w:numId w:val="23"/>
        </w:numPr>
      </w:pPr>
      <w:r w:rsidRPr="009F57D8">
        <w:t>Aboriginal and Torres Strait Islander adults</w:t>
      </w:r>
      <w:r w:rsidR="00B84A8C" w:rsidRPr="009F57D8">
        <w:t>: 73.7 for 50 to 54 years to 129.7 for 85 years or older.</w:t>
      </w:r>
    </w:p>
    <w:p w14:paraId="1856B9B6" w14:textId="77777777" w:rsidR="00B84A8C" w:rsidRPr="009F57D8" w:rsidRDefault="00B84A8C" w:rsidP="00572866">
      <w:pPr>
        <w:pStyle w:val="3-BodyText"/>
        <w:numPr>
          <w:ilvl w:val="0"/>
          <w:numId w:val="23"/>
        </w:numPr>
      </w:pPr>
      <w:r w:rsidRPr="009F57D8">
        <w:t xml:space="preserve">MaR: 12.2 for 20-24 years to 167.4 for 65-69 years. </w:t>
      </w:r>
    </w:p>
    <w:p w14:paraId="521F3E54" w14:textId="14C88EBC" w:rsidR="00B84A8C" w:rsidRPr="009F57D8" w:rsidRDefault="00B84A8C" w:rsidP="00B84A8C">
      <w:pPr>
        <w:pStyle w:val="3-BodyText"/>
        <w:numPr>
          <w:ilvl w:val="1"/>
          <w:numId w:val="1"/>
        </w:numPr>
      </w:pPr>
      <w:r w:rsidRPr="009F57D8">
        <w:lastRenderedPageBreak/>
        <w:t>The submission's estimates for vaccine serotype coverage were based on NNDSS data for 2016-2019. The submission stated that the 2016-2019 timeframe was selected as it excluded COVID-affected years, was more complete than 2022 data with regard to clinical manifestations, and reflected advice given by ATAGI and PBAC that a combination of years could be used to reduce data fluctuations (ATAGI Pre-submission Advice, para 6.62, 20vPCV PSD, November 2022 PBAC Meeting). Updated NNDSS data are available for 2023-24 (see Table 2).</w:t>
      </w:r>
    </w:p>
    <w:p w14:paraId="06E13743" w14:textId="7F30079E" w:rsidR="00B84A8C" w:rsidRPr="009F57D8" w:rsidRDefault="00B84A8C" w:rsidP="00B84A8C">
      <w:pPr>
        <w:pStyle w:val="3-BodyText"/>
        <w:numPr>
          <w:ilvl w:val="1"/>
          <w:numId w:val="1"/>
        </w:numPr>
      </w:pPr>
      <w:r w:rsidRPr="009F57D8">
        <w:t xml:space="preserve">The submission presented a comparison of incremental coverage with </w:t>
      </w:r>
      <w:r w:rsidR="00B21EF4" w:rsidRPr="009F57D8">
        <w:t xml:space="preserve">21vPCV </w:t>
      </w:r>
      <w:r w:rsidRPr="009F57D8">
        <w:t>compared to 13vPCV and 20vPCV using the NNDSS IPD data from 2016-19 and 2022-23 (</w:t>
      </w:r>
      <w:r w:rsidRPr="009F57D8">
        <w:fldChar w:fldCharType="begin"/>
      </w:r>
      <w:r w:rsidRPr="009F57D8">
        <w:instrText xml:space="preserve"> REF _Ref206970942 \h </w:instrText>
      </w:r>
      <w:r w:rsidR="00C64240" w:rsidRPr="009F57D8">
        <w:instrText xml:space="preserve"> \* MERGEFORMAT </w:instrText>
      </w:r>
      <w:r w:rsidRPr="009F57D8">
        <w:fldChar w:fldCharType="separate"/>
      </w:r>
      <w:r w:rsidR="00581386" w:rsidRPr="009F57D8">
        <w:t xml:space="preserve">Table </w:t>
      </w:r>
      <w:r w:rsidR="00581386">
        <w:t>2</w:t>
      </w:r>
      <w:r w:rsidRPr="009F57D8">
        <w:fldChar w:fldCharType="end"/>
      </w:r>
      <w:r w:rsidRPr="009F57D8">
        <w:t xml:space="preserve">) and claimed there was no difference in disease coverage over the period. The incremental serotype coverage of </w:t>
      </w:r>
      <w:r w:rsidR="00B21EF4" w:rsidRPr="009F57D8">
        <w:t>21vPCV</w:t>
      </w:r>
      <w:r w:rsidRPr="009F57D8">
        <w:t xml:space="preserve"> using the 2023-24 NNDSS IPD data was estimated during the evaluation and compared with the submission’s estimates based on 2016-19 data (</w:t>
      </w:r>
      <w:r w:rsidRPr="009F57D8">
        <w:fldChar w:fldCharType="begin"/>
      </w:r>
      <w:r w:rsidRPr="009F57D8">
        <w:instrText xml:space="preserve"> REF _Ref206970942 \h  \* MERGEFORMAT </w:instrText>
      </w:r>
      <w:r w:rsidRPr="009F57D8">
        <w:fldChar w:fldCharType="separate"/>
      </w:r>
      <w:r w:rsidR="00581386" w:rsidRPr="009F57D8">
        <w:t xml:space="preserve">Table </w:t>
      </w:r>
      <w:r w:rsidR="00581386">
        <w:t>2</w:t>
      </w:r>
      <w:r w:rsidRPr="009F57D8">
        <w:fldChar w:fldCharType="end"/>
      </w:r>
      <w:r w:rsidRPr="009F57D8">
        <w:t xml:space="preserve">). While the incremental coverage of </w:t>
      </w:r>
      <w:r w:rsidR="00B21EF4" w:rsidRPr="009F57D8">
        <w:t>21vPCV</w:t>
      </w:r>
      <w:r w:rsidRPr="009F57D8">
        <w:t xml:space="preserve"> over 13vPCV for the non-Indigenous 70+ cohort increased from 2016-19 to 2023-24 (favouring </w:t>
      </w:r>
      <w:r w:rsidR="00B21EF4" w:rsidRPr="009F57D8">
        <w:t>21vPCV</w:t>
      </w:r>
      <w:r w:rsidRPr="009F57D8">
        <w:t xml:space="preserve">), it declined in the MaR population and was relatively unchanged for the Indigenous 50+ cohort. Similarly, incremental coverage for </w:t>
      </w:r>
      <w:r w:rsidR="00B21EF4" w:rsidRPr="009F57D8">
        <w:t>21vPCV</w:t>
      </w:r>
      <w:r w:rsidRPr="009F57D8">
        <w:t xml:space="preserve"> relative to 20vPCV remained relatively static for the non-Indigenous 70+ cohort but declined for the remaining cohorts. This indicates a possible shift in serotype distribution over this 8-year </w:t>
      </w:r>
      <w:r w:rsidR="00B21EF4" w:rsidRPr="009F57D8">
        <w:t>period</w:t>
      </w:r>
      <w:r w:rsidRPr="009F57D8">
        <w:t xml:space="preserve"> (2016 to 2024).</w:t>
      </w:r>
    </w:p>
    <w:p w14:paraId="0911AF27" w14:textId="77777777" w:rsidR="00B84A8C" w:rsidRPr="009F57D8" w:rsidRDefault="00B84A8C" w:rsidP="00B84A8C">
      <w:pPr>
        <w:pStyle w:val="3-BodyText"/>
        <w:numPr>
          <w:ilvl w:val="0"/>
          <w:numId w:val="0"/>
        </w:numPr>
      </w:pPr>
    </w:p>
    <w:p w14:paraId="06792C49" w14:textId="0A980590" w:rsidR="00B84A8C" w:rsidRPr="009F57D8" w:rsidRDefault="00B84A8C" w:rsidP="00B84A8C">
      <w:pPr>
        <w:pStyle w:val="Caption"/>
      </w:pPr>
      <w:bookmarkStart w:id="30" w:name="_Ref206970942"/>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2</w:t>
      </w:r>
      <w:r w:rsidR="00FA4640" w:rsidRPr="009F57D8">
        <w:fldChar w:fldCharType="end"/>
      </w:r>
      <w:bookmarkEnd w:id="30"/>
      <w:r w:rsidRPr="009F57D8">
        <w:t>: Difference in IPD coverage (</w:t>
      </w:r>
      <w:r w:rsidR="00721E1A" w:rsidRPr="009F57D8">
        <w:t>21vPCV</w:t>
      </w:r>
      <w:r w:rsidRPr="009F57D8">
        <w:t>-</w:t>
      </w:r>
      <w:r w:rsidR="001D2EB2" w:rsidRPr="009F57D8">
        <w:t>13v</w:t>
      </w:r>
      <w:r w:rsidRPr="009F57D8">
        <w:t xml:space="preserve">PCV and </w:t>
      </w:r>
      <w:r w:rsidR="00721E1A" w:rsidRPr="009F57D8">
        <w:t>21vPCV</w:t>
      </w:r>
      <w:r w:rsidRPr="009F57D8">
        <w:t xml:space="preserve"> –</w:t>
      </w:r>
      <w:r w:rsidR="001D2EB2" w:rsidRPr="009F57D8">
        <w:t>20v</w:t>
      </w:r>
      <w:r w:rsidRPr="009F57D8">
        <w:t xml:space="preserve">PCV) 2016-2019 and 2022-2023 </w:t>
      </w:r>
    </w:p>
    <w:tbl>
      <w:tblPr>
        <w:tblStyle w:val="TableGrid"/>
        <w:tblW w:w="5000" w:type="pct"/>
        <w:tblLook w:val="04A0" w:firstRow="1" w:lastRow="0" w:firstColumn="1" w:lastColumn="0" w:noHBand="0" w:noVBand="1"/>
        <w:tblCaption w:val="Table 2: Difference in IPD coverage (21vPCV-13vPCV and 21vPCV –20vPCV) 2016-2019 and 2022-2023 "/>
      </w:tblPr>
      <w:tblGrid>
        <w:gridCol w:w="1517"/>
        <w:gridCol w:w="624"/>
        <w:gridCol w:w="625"/>
        <w:gridCol w:w="625"/>
        <w:gridCol w:w="625"/>
        <w:gridCol w:w="625"/>
        <w:gridCol w:w="625"/>
        <w:gridCol w:w="12"/>
        <w:gridCol w:w="614"/>
        <w:gridCol w:w="625"/>
        <w:gridCol w:w="625"/>
        <w:gridCol w:w="625"/>
        <w:gridCol w:w="625"/>
        <w:gridCol w:w="625"/>
      </w:tblGrid>
      <w:tr w:rsidR="00B84A8C" w:rsidRPr="009F3182" w14:paraId="65AA1CF0" w14:textId="77777777" w:rsidTr="006A290E">
        <w:trPr>
          <w:trHeight w:val="421"/>
        </w:trPr>
        <w:tc>
          <w:tcPr>
            <w:tcW w:w="808" w:type="pct"/>
            <w:tcBorders>
              <w:right w:val="single" w:sz="4" w:space="0" w:color="auto"/>
            </w:tcBorders>
          </w:tcPr>
          <w:p w14:paraId="71A49A13" w14:textId="77777777" w:rsidR="00B84A8C" w:rsidRPr="009F3182" w:rsidRDefault="00B84A8C">
            <w:pPr>
              <w:pStyle w:val="TableText0"/>
              <w:rPr>
                <w:b/>
                <w:szCs w:val="20"/>
              </w:rPr>
            </w:pPr>
          </w:p>
        </w:tc>
        <w:tc>
          <w:tcPr>
            <w:tcW w:w="1029" w:type="pct"/>
            <w:gridSpan w:val="3"/>
            <w:tcBorders>
              <w:left w:val="single" w:sz="4" w:space="0" w:color="auto"/>
              <w:right w:val="single" w:sz="4" w:space="0" w:color="auto"/>
            </w:tcBorders>
          </w:tcPr>
          <w:p w14:paraId="52B7B586" w14:textId="77777777" w:rsidR="00B84A8C" w:rsidRPr="009F3182" w:rsidRDefault="00B84A8C">
            <w:pPr>
              <w:pStyle w:val="TableText0"/>
              <w:jc w:val="center"/>
              <w:rPr>
                <w:b/>
                <w:bCs w:val="0"/>
                <w:szCs w:val="20"/>
              </w:rPr>
            </w:pPr>
            <w:r w:rsidRPr="009F3182">
              <w:rPr>
                <w:b/>
                <w:szCs w:val="20"/>
              </w:rPr>
              <w:t xml:space="preserve">Non-Indigenous </w:t>
            </w:r>
            <w:r w:rsidRPr="009F3182">
              <w:rPr>
                <w:b/>
                <w:bCs w:val="0"/>
                <w:szCs w:val="20"/>
              </w:rPr>
              <w:t>≥ 70 years</w:t>
            </w:r>
          </w:p>
          <w:p w14:paraId="6CBBC1CC" w14:textId="77777777" w:rsidR="00B84A8C" w:rsidRPr="009F3182" w:rsidRDefault="00B84A8C">
            <w:pPr>
              <w:pStyle w:val="TableText0"/>
              <w:jc w:val="center"/>
              <w:rPr>
                <w:b/>
                <w:szCs w:val="20"/>
              </w:rPr>
            </w:pPr>
            <w:r w:rsidRPr="009F3182">
              <w:rPr>
                <w:b/>
                <w:szCs w:val="20"/>
              </w:rPr>
              <w:t>(% point difference)</w:t>
            </w:r>
          </w:p>
        </w:tc>
        <w:tc>
          <w:tcPr>
            <w:tcW w:w="1084" w:type="pct"/>
            <w:gridSpan w:val="4"/>
            <w:tcBorders>
              <w:left w:val="single" w:sz="4" w:space="0" w:color="auto"/>
              <w:right w:val="single" w:sz="4" w:space="0" w:color="auto"/>
            </w:tcBorders>
          </w:tcPr>
          <w:p w14:paraId="7A06B36E" w14:textId="1B121266" w:rsidR="00B84A8C" w:rsidRPr="009F3182" w:rsidRDefault="00B84A8C">
            <w:pPr>
              <w:pStyle w:val="TableText0"/>
              <w:jc w:val="center"/>
              <w:rPr>
                <w:b/>
                <w:szCs w:val="20"/>
              </w:rPr>
            </w:pPr>
            <w:r w:rsidRPr="009F3182">
              <w:rPr>
                <w:b/>
                <w:szCs w:val="20"/>
              </w:rPr>
              <w:t>Medically at-Risk 18 to 69</w:t>
            </w:r>
            <w:r w:rsidR="00120EDA" w:rsidRPr="009F3182">
              <w:rPr>
                <w:b/>
                <w:szCs w:val="20"/>
                <w:vertAlign w:val="superscript"/>
              </w:rPr>
              <w:t>a</w:t>
            </w:r>
            <w:r w:rsidRPr="009F3182">
              <w:rPr>
                <w:b/>
                <w:szCs w:val="20"/>
              </w:rPr>
              <w:t xml:space="preserve"> years</w:t>
            </w:r>
          </w:p>
          <w:p w14:paraId="6E1E7AC5" w14:textId="77777777" w:rsidR="00B84A8C" w:rsidRPr="009F3182" w:rsidRDefault="00B84A8C">
            <w:pPr>
              <w:pStyle w:val="TableText0"/>
              <w:jc w:val="center"/>
              <w:rPr>
                <w:b/>
                <w:szCs w:val="20"/>
              </w:rPr>
            </w:pPr>
            <w:r w:rsidRPr="009F3182">
              <w:rPr>
                <w:b/>
                <w:szCs w:val="20"/>
              </w:rPr>
              <w:t>(% point difference)</w:t>
            </w:r>
          </w:p>
        </w:tc>
        <w:tc>
          <w:tcPr>
            <w:tcW w:w="1050" w:type="pct"/>
            <w:gridSpan w:val="3"/>
            <w:tcBorders>
              <w:left w:val="single" w:sz="4" w:space="0" w:color="auto"/>
              <w:right w:val="single" w:sz="4" w:space="0" w:color="auto"/>
            </w:tcBorders>
          </w:tcPr>
          <w:p w14:paraId="2258C27E" w14:textId="77777777" w:rsidR="00B84A8C" w:rsidRPr="009F3182" w:rsidRDefault="00B84A8C">
            <w:pPr>
              <w:pStyle w:val="TableText0"/>
              <w:jc w:val="center"/>
              <w:rPr>
                <w:b/>
                <w:szCs w:val="20"/>
              </w:rPr>
            </w:pPr>
            <w:r w:rsidRPr="009F3182">
              <w:rPr>
                <w:b/>
                <w:szCs w:val="20"/>
              </w:rPr>
              <w:t>Aboriginal &amp; Torres Strait Islander aged ≥ 50 years</w:t>
            </w:r>
          </w:p>
          <w:p w14:paraId="422A170B" w14:textId="77777777" w:rsidR="00B84A8C" w:rsidRPr="009F3182" w:rsidRDefault="00B84A8C">
            <w:pPr>
              <w:pStyle w:val="TableText0"/>
              <w:jc w:val="center"/>
              <w:rPr>
                <w:b/>
                <w:szCs w:val="20"/>
              </w:rPr>
            </w:pPr>
            <w:r w:rsidRPr="009F3182">
              <w:rPr>
                <w:b/>
                <w:szCs w:val="20"/>
              </w:rPr>
              <w:t>(% point difference)</w:t>
            </w:r>
          </w:p>
        </w:tc>
        <w:tc>
          <w:tcPr>
            <w:tcW w:w="1029" w:type="pct"/>
            <w:gridSpan w:val="3"/>
            <w:tcBorders>
              <w:left w:val="single" w:sz="4" w:space="0" w:color="auto"/>
            </w:tcBorders>
          </w:tcPr>
          <w:p w14:paraId="63C2CE78" w14:textId="77777777" w:rsidR="00B84A8C" w:rsidRPr="009F3182" w:rsidRDefault="00B84A8C">
            <w:pPr>
              <w:pStyle w:val="TableText0"/>
              <w:jc w:val="center"/>
              <w:rPr>
                <w:b/>
                <w:szCs w:val="20"/>
              </w:rPr>
            </w:pPr>
            <w:r w:rsidRPr="009F3182">
              <w:rPr>
                <w:b/>
                <w:szCs w:val="20"/>
              </w:rPr>
              <w:t>Aboriginal &amp; Torres Strait Islander aged 25-49 years</w:t>
            </w:r>
          </w:p>
          <w:p w14:paraId="4377CAC1" w14:textId="77777777" w:rsidR="00B84A8C" w:rsidRPr="009F3182" w:rsidRDefault="00B84A8C">
            <w:pPr>
              <w:pStyle w:val="TableText0"/>
              <w:jc w:val="center"/>
              <w:rPr>
                <w:b/>
                <w:szCs w:val="20"/>
              </w:rPr>
            </w:pPr>
            <w:r w:rsidRPr="009F3182">
              <w:rPr>
                <w:b/>
                <w:szCs w:val="20"/>
              </w:rPr>
              <w:t>(% point difference)</w:t>
            </w:r>
          </w:p>
        </w:tc>
      </w:tr>
      <w:tr w:rsidR="00B84A8C" w:rsidRPr="009F3182" w14:paraId="3AC4F6EF" w14:textId="77777777" w:rsidTr="006A290E">
        <w:trPr>
          <w:trHeight w:val="224"/>
        </w:trPr>
        <w:tc>
          <w:tcPr>
            <w:tcW w:w="808" w:type="pct"/>
            <w:tcBorders>
              <w:right w:val="single" w:sz="4" w:space="0" w:color="auto"/>
            </w:tcBorders>
          </w:tcPr>
          <w:p w14:paraId="4A250053" w14:textId="77777777" w:rsidR="00B84A8C" w:rsidRPr="009F3182" w:rsidRDefault="00B84A8C">
            <w:pPr>
              <w:pStyle w:val="TableText0"/>
              <w:jc w:val="right"/>
              <w:rPr>
                <w:b/>
                <w:szCs w:val="20"/>
              </w:rPr>
            </w:pPr>
            <w:r w:rsidRPr="009F3182">
              <w:rPr>
                <w:b/>
                <w:szCs w:val="20"/>
              </w:rPr>
              <w:t>Year (20XX)</w:t>
            </w:r>
          </w:p>
        </w:tc>
        <w:tc>
          <w:tcPr>
            <w:tcW w:w="348" w:type="pct"/>
            <w:tcBorders>
              <w:left w:val="single" w:sz="4" w:space="0" w:color="auto"/>
            </w:tcBorders>
          </w:tcPr>
          <w:p w14:paraId="088A4187" w14:textId="77777777" w:rsidR="00B84A8C" w:rsidRPr="009F3182" w:rsidRDefault="00B84A8C">
            <w:pPr>
              <w:pStyle w:val="TableText0"/>
              <w:jc w:val="center"/>
              <w:rPr>
                <w:b/>
                <w:szCs w:val="20"/>
              </w:rPr>
            </w:pPr>
            <w:r w:rsidRPr="009F3182">
              <w:rPr>
                <w:b/>
                <w:szCs w:val="20"/>
              </w:rPr>
              <w:t>16/19</w:t>
            </w:r>
          </w:p>
        </w:tc>
        <w:tc>
          <w:tcPr>
            <w:tcW w:w="352" w:type="pct"/>
            <w:tcBorders>
              <w:right w:val="single" w:sz="4" w:space="0" w:color="auto"/>
            </w:tcBorders>
          </w:tcPr>
          <w:p w14:paraId="3B00958F" w14:textId="77777777" w:rsidR="00B84A8C" w:rsidRPr="009F3182" w:rsidRDefault="00B84A8C">
            <w:pPr>
              <w:pStyle w:val="TableText0"/>
              <w:jc w:val="center"/>
              <w:rPr>
                <w:b/>
                <w:szCs w:val="20"/>
              </w:rPr>
            </w:pPr>
            <w:r w:rsidRPr="009F3182">
              <w:rPr>
                <w:b/>
                <w:szCs w:val="20"/>
              </w:rPr>
              <w:t>22/23</w:t>
            </w:r>
          </w:p>
        </w:tc>
        <w:tc>
          <w:tcPr>
            <w:tcW w:w="329" w:type="pct"/>
            <w:tcBorders>
              <w:right w:val="single" w:sz="4" w:space="0" w:color="auto"/>
            </w:tcBorders>
          </w:tcPr>
          <w:p w14:paraId="20766DA9" w14:textId="77777777" w:rsidR="00B84A8C" w:rsidRPr="009F3182" w:rsidRDefault="00B84A8C">
            <w:pPr>
              <w:pStyle w:val="TableText0"/>
              <w:jc w:val="center"/>
              <w:rPr>
                <w:b/>
                <w:szCs w:val="20"/>
              </w:rPr>
            </w:pPr>
            <w:r w:rsidRPr="009F3182">
              <w:rPr>
                <w:b/>
                <w:szCs w:val="20"/>
              </w:rPr>
              <w:t>23/24</w:t>
            </w:r>
          </w:p>
        </w:tc>
        <w:tc>
          <w:tcPr>
            <w:tcW w:w="375" w:type="pct"/>
            <w:tcBorders>
              <w:left w:val="single" w:sz="4" w:space="0" w:color="auto"/>
            </w:tcBorders>
          </w:tcPr>
          <w:p w14:paraId="7A59B6A5" w14:textId="77777777" w:rsidR="00B84A8C" w:rsidRPr="009F3182" w:rsidRDefault="00B84A8C">
            <w:pPr>
              <w:pStyle w:val="TableText0"/>
              <w:jc w:val="center"/>
              <w:rPr>
                <w:b/>
                <w:szCs w:val="20"/>
              </w:rPr>
            </w:pPr>
            <w:r w:rsidRPr="009F3182">
              <w:rPr>
                <w:b/>
                <w:szCs w:val="20"/>
              </w:rPr>
              <w:t>16/19</w:t>
            </w:r>
          </w:p>
        </w:tc>
        <w:tc>
          <w:tcPr>
            <w:tcW w:w="351" w:type="pct"/>
            <w:tcBorders>
              <w:right w:val="single" w:sz="4" w:space="0" w:color="auto"/>
            </w:tcBorders>
          </w:tcPr>
          <w:p w14:paraId="5EC0D85E" w14:textId="77777777" w:rsidR="00B84A8C" w:rsidRPr="009F3182" w:rsidRDefault="00B84A8C">
            <w:pPr>
              <w:pStyle w:val="TableText0"/>
              <w:jc w:val="center"/>
              <w:rPr>
                <w:b/>
                <w:szCs w:val="20"/>
              </w:rPr>
            </w:pPr>
            <w:r w:rsidRPr="009F3182">
              <w:rPr>
                <w:b/>
                <w:szCs w:val="20"/>
              </w:rPr>
              <w:t>22/23</w:t>
            </w:r>
          </w:p>
        </w:tc>
        <w:tc>
          <w:tcPr>
            <w:tcW w:w="352" w:type="pct"/>
            <w:tcBorders>
              <w:right w:val="single" w:sz="4" w:space="0" w:color="auto"/>
            </w:tcBorders>
          </w:tcPr>
          <w:p w14:paraId="273974E1" w14:textId="77777777" w:rsidR="00B84A8C" w:rsidRPr="009F3182" w:rsidRDefault="00B84A8C">
            <w:pPr>
              <w:pStyle w:val="TableText0"/>
              <w:jc w:val="center"/>
              <w:rPr>
                <w:b/>
                <w:szCs w:val="20"/>
              </w:rPr>
            </w:pPr>
            <w:r w:rsidRPr="009F3182">
              <w:rPr>
                <w:b/>
                <w:szCs w:val="20"/>
              </w:rPr>
              <w:t>23/24</w:t>
            </w:r>
          </w:p>
        </w:tc>
        <w:tc>
          <w:tcPr>
            <w:tcW w:w="351" w:type="pct"/>
            <w:gridSpan w:val="2"/>
            <w:tcBorders>
              <w:left w:val="single" w:sz="4" w:space="0" w:color="auto"/>
            </w:tcBorders>
          </w:tcPr>
          <w:p w14:paraId="62459056" w14:textId="77777777" w:rsidR="00B84A8C" w:rsidRPr="009F3182" w:rsidRDefault="00B84A8C">
            <w:pPr>
              <w:pStyle w:val="TableText0"/>
              <w:jc w:val="center"/>
              <w:rPr>
                <w:b/>
                <w:szCs w:val="20"/>
              </w:rPr>
            </w:pPr>
            <w:r w:rsidRPr="009F3182">
              <w:rPr>
                <w:b/>
                <w:szCs w:val="20"/>
              </w:rPr>
              <w:t>16/19</w:t>
            </w:r>
          </w:p>
        </w:tc>
        <w:tc>
          <w:tcPr>
            <w:tcW w:w="351" w:type="pct"/>
            <w:tcBorders>
              <w:right w:val="single" w:sz="4" w:space="0" w:color="auto"/>
            </w:tcBorders>
          </w:tcPr>
          <w:p w14:paraId="21BF20B7" w14:textId="77777777" w:rsidR="00B84A8C" w:rsidRPr="009F3182" w:rsidRDefault="00B84A8C">
            <w:pPr>
              <w:pStyle w:val="TableText0"/>
              <w:jc w:val="center"/>
              <w:rPr>
                <w:b/>
                <w:szCs w:val="20"/>
              </w:rPr>
            </w:pPr>
            <w:r w:rsidRPr="009F3182">
              <w:rPr>
                <w:b/>
                <w:szCs w:val="20"/>
              </w:rPr>
              <w:t>22/23</w:t>
            </w:r>
          </w:p>
        </w:tc>
        <w:tc>
          <w:tcPr>
            <w:tcW w:w="354" w:type="pct"/>
            <w:tcBorders>
              <w:right w:val="single" w:sz="4" w:space="0" w:color="auto"/>
            </w:tcBorders>
          </w:tcPr>
          <w:p w14:paraId="3C56CE6B" w14:textId="77777777" w:rsidR="00B84A8C" w:rsidRPr="009F3182" w:rsidRDefault="00B84A8C">
            <w:pPr>
              <w:pStyle w:val="TableText0"/>
              <w:jc w:val="center"/>
              <w:rPr>
                <w:b/>
                <w:szCs w:val="20"/>
              </w:rPr>
            </w:pPr>
            <w:r w:rsidRPr="009F3182">
              <w:rPr>
                <w:b/>
                <w:szCs w:val="20"/>
              </w:rPr>
              <w:t>23/24</w:t>
            </w:r>
          </w:p>
        </w:tc>
        <w:tc>
          <w:tcPr>
            <w:tcW w:w="351" w:type="pct"/>
            <w:tcBorders>
              <w:left w:val="single" w:sz="4" w:space="0" w:color="auto"/>
            </w:tcBorders>
          </w:tcPr>
          <w:p w14:paraId="6939B2B7" w14:textId="77777777" w:rsidR="00B84A8C" w:rsidRPr="009F3182" w:rsidRDefault="00B84A8C">
            <w:pPr>
              <w:pStyle w:val="TableText0"/>
              <w:jc w:val="center"/>
              <w:rPr>
                <w:b/>
                <w:szCs w:val="20"/>
              </w:rPr>
            </w:pPr>
            <w:r w:rsidRPr="009F3182">
              <w:rPr>
                <w:b/>
                <w:szCs w:val="20"/>
              </w:rPr>
              <w:t>16/19</w:t>
            </w:r>
          </w:p>
        </w:tc>
        <w:tc>
          <w:tcPr>
            <w:tcW w:w="351" w:type="pct"/>
          </w:tcPr>
          <w:p w14:paraId="6589FA22" w14:textId="77777777" w:rsidR="00B84A8C" w:rsidRPr="009F3182" w:rsidRDefault="00B84A8C">
            <w:pPr>
              <w:pStyle w:val="TableText0"/>
              <w:jc w:val="center"/>
              <w:rPr>
                <w:b/>
                <w:szCs w:val="20"/>
              </w:rPr>
            </w:pPr>
            <w:r w:rsidRPr="009F3182">
              <w:rPr>
                <w:b/>
                <w:szCs w:val="20"/>
              </w:rPr>
              <w:t>22/23</w:t>
            </w:r>
          </w:p>
        </w:tc>
        <w:tc>
          <w:tcPr>
            <w:tcW w:w="327" w:type="pct"/>
          </w:tcPr>
          <w:p w14:paraId="794DDA84" w14:textId="77777777" w:rsidR="00B84A8C" w:rsidRPr="009F3182" w:rsidRDefault="00B84A8C">
            <w:pPr>
              <w:pStyle w:val="TableText0"/>
              <w:jc w:val="center"/>
              <w:rPr>
                <w:b/>
                <w:szCs w:val="20"/>
              </w:rPr>
            </w:pPr>
            <w:r w:rsidRPr="009F3182">
              <w:rPr>
                <w:b/>
                <w:szCs w:val="20"/>
              </w:rPr>
              <w:t>23/24</w:t>
            </w:r>
          </w:p>
        </w:tc>
      </w:tr>
      <w:tr w:rsidR="00B84A8C" w:rsidRPr="009F3182" w14:paraId="127DBE4E" w14:textId="77777777" w:rsidTr="006A290E">
        <w:trPr>
          <w:trHeight w:val="449"/>
        </w:trPr>
        <w:tc>
          <w:tcPr>
            <w:tcW w:w="808" w:type="pct"/>
            <w:tcBorders>
              <w:right w:val="single" w:sz="4" w:space="0" w:color="auto"/>
            </w:tcBorders>
          </w:tcPr>
          <w:p w14:paraId="314207C4" w14:textId="5F5B1AE5" w:rsidR="00B84A8C" w:rsidRPr="009F3182" w:rsidRDefault="00B84A8C">
            <w:pPr>
              <w:pStyle w:val="TableText0"/>
              <w:rPr>
                <w:b/>
                <w:szCs w:val="20"/>
              </w:rPr>
            </w:pPr>
            <w:r w:rsidRPr="009F3182">
              <w:rPr>
                <w:b/>
                <w:szCs w:val="20"/>
              </w:rPr>
              <w:t xml:space="preserve">Compare: </w:t>
            </w:r>
            <w:r w:rsidR="00721E1A" w:rsidRPr="009F3182">
              <w:rPr>
                <w:b/>
                <w:szCs w:val="20"/>
              </w:rPr>
              <w:t>21vPCV</w:t>
            </w:r>
            <w:r w:rsidRPr="009F3182">
              <w:rPr>
                <w:b/>
                <w:szCs w:val="20"/>
              </w:rPr>
              <w:t>-13vPCV</w:t>
            </w:r>
          </w:p>
        </w:tc>
        <w:tc>
          <w:tcPr>
            <w:tcW w:w="348" w:type="pct"/>
            <w:tcBorders>
              <w:left w:val="single" w:sz="4" w:space="0" w:color="auto"/>
            </w:tcBorders>
          </w:tcPr>
          <w:p w14:paraId="4D30B4FB" w14:textId="77777777" w:rsidR="00B84A8C" w:rsidRPr="009F3182" w:rsidRDefault="00B84A8C">
            <w:pPr>
              <w:pStyle w:val="TableText0"/>
              <w:jc w:val="center"/>
              <w:rPr>
                <w:szCs w:val="20"/>
              </w:rPr>
            </w:pPr>
            <w:r w:rsidRPr="009F3182">
              <w:rPr>
                <w:szCs w:val="20"/>
              </w:rPr>
              <w:t>43.5</w:t>
            </w:r>
          </w:p>
        </w:tc>
        <w:tc>
          <w:tcPr>
            <w:tcW w:w="352" w:type="pct"/>
            <w:tcBorders>
              <w:right w:val="single" w:sz="4" w:space="0" w:color="auto"/>
            </w:tcBorders>
          </w:tcPr>
          <w:p w14:paraId="609BE5A9" w14:textId="77777777" w:rsidR="00B84A8C" w:rsidRPr="009F3182" w:rsidRDefault="00B84A8C">
            <w:pPr>
              <w:pStyle w:val="TableText0"/>
              <w:jc w:val="center"/>
              <w:rPr>
                <w:szCs w:val="20"/>
              </w:rPr>
            </w:pPr>
            <w:r w:rsidRPr="009F3182">
              <w:rPr>
                <w:szCs w:val="20"/>
              </w:rPr>
              <w:t>45.2</w:t>
            </w:r>
          </w:p>
        </w:tc>
        <w:tc>
          <w:tcPr>
            <w:tcW w:w="329" w:type="pct"/>
            <w:tcBorders>
              <w:right w:val="single" w:sz="4" w:space="0" w:color="auto"/>
            </w:tcBorders>
          </w:tcPr>
          <w:p w14:paraId="57C6747C" w14:textId="77777777" w:rsidR="00B84A8C" w:rsidRPr="009F3182" w:rsidRDefault="00B84A8C">
            <w:pPr>
              <w:pStyle w:val="TableText0"/>
              <w:jc w:val="center"/>
              <w:rPr>
                <w:szCs w:val="20"/>
              </w:rPr>
            </w:pPr>
            <w:r w:rsidRPr="009F3182">
              <w:rPr>
                <w:szCs w:val="20"/>
              </w:rPr>
              <w:t>50.0</w:t>
            </w:r>
          </w:p>
        </w:tc>
        <w:tc>
          <w:tcPr>
            <w:tcW w:w="375" w:type="pct"/>
            <w:tcBorders>
              <w:left w:val="single" w:sz="4" w:space="0" w:color="auto"/>
            </w:tcBorders>
          </w:tcPr>
          <w:p w14:paraId="736FAF0E" w14:textId="77777777" w:rsidR="00B84A8C" w:rsidRPr="009F3182" w:rsidRDefault="00B84A8C">
            <w:pPr>
              <w:pStyle w:val="TableText0"/>
              <w:jc w:val="center"/>
              <w:rPr>
                <w:szCs w:val="20"/>
              </w:rPr>
            </w:pPr>
            <w:r w:rsidRPr="009F3182">
              <w:rPr>
                <w:szCs w:val="20"/>
              </w:rPr>
              <w:t>43.1</w:t>
            </w:r>
          </w:p>
        </w:tc>
        <w:tc>
          <w:tcPr>
            <w:tcW w:w="351" w:type="pct"/>
            <w:tcBorders>
              <w:right w:val="single" w:sz="4" w:space="0" w:color="auto"/>
            </w:tcBorders>
          </w:tcPr>
          <w:p w14:paraId="1E9BAF83" w14:textId="77777777" w:rsidR="00B84A8C" w:rsidRPr="009F3182" w:rsidRDefault="00B84A8C">
            <w:pPr>
              <w:pStyle w:val="TableText0"/>
              <w:jc w:val="center"/>
              <w:rPr>
                <w:szCs w:val="20"/>
              </w:rPr>
            </w:pPr>
            <w:r w:rsidRPr="009F3182">
              <w:rPr>
                <w:szCs w:val="20"/>
              </w:rPr>
              <w:t>39.2</w:t>
            </w:r>
          </w:p>
        </w:tc>
        <w:tc>
          <w:tcPr>
            <w:tcW w:w="352" w:type="pct"/>
            <w:tcBorders>
              <w:right w:val="single" w:sz="4" w:space="0" w:color="auto"/>
            </w:tcBorders>
          </w:tcPr>
          <w:p w14:paraId="55A8FF24" w14:textId="77777777" w:rsidR="00B84A8C" w:rsidRPr="009F3182" w:rsidRDefault="00B84A8C">
            <w:pPr>
              <w:pStyle w:val="TableText0"/>
              <w:jc w:val="center"/>
              <w:rPr>
                <w:szCs w:val="20"/>
              </w:rPr>
            </w:pPr>
            <w:r w:rsidRPr="009F3182">
              <w:rPr>
                <w:szCs w:val="20"/>
              </w:rPr>
              <w:t>35.4</w:t>
            </w:r>
          </w:p>
        </w:tc>
        <w:tc>
          <w:tcPr>
            <w:tcW w:w="351" w:type="pct"/>
            <w:gridSpan w:val="2"/>
            <w:tcBorders>
              <w:left w:val="single" w:sz="4" w:space="0" w:color="auto"/>
            </w:tcBorders>
          </w:tcPr>
          <w:p w14:paraId="4F50FE04" w14:textId="77777777" w:rsidR="00B84A8C" w:rsidRPr="009F3182" w:rsidRDefault="00B84A8C">
            <w:pPr>
              <w:pStyle w:val="TableText0"/>
              <w:jc w:val="center"/>
              <w:rPr>
                <w:szCs w:val="20"/>
              </w:rPr>
            </w:pPr>
            <w:r w:rsidRPr="009F3182">
              <w:rPr>
                <w:szCs w:val="20"/>
              </w:rPr>
              <w:t>44.8</w:t>
            </w:r>
          </w:p>
        </w:tc>
        <w:tc>
          <w:tcPr>
            <w:tcW w:w="351" w:type="pct"/>
            <w:tcBorders>
              <w:right w:val="single" w:sz="4" w:space="0" w:color="auto"/>
            </w:tcBorders>
          </w:tcPr>
          <w:p w14:paraId="712DB58B" w14:textId="77777777" w:rsidR="00B84A8C" w:rsidRPr="009F3182" w:rsidRDefault="00B84A8C">
            <w:pPr>
              <w:pStyle w:val="TableText0"/>
              <w:jc w:val="center"/>
              <w:rPr>
                <w:szCs w:val="20"/>
              </w:rPr>
            </w:pPr>
            <w:r w:rsidRPr="009F3182">
              <w:rPr>
                <w:szCs w:val="20"/>
              </w:rPr>
              <w:t>NR</w:t>
            </w:r>
          </w:p>
        </w:tc>
        <w:tc>
          <w:tcPr>
            <w:tcW w:w="354" w:type="pct"/>
            <w:tcBorders>
              <w:right w:val="single" w:sz="4" w:space="0" w:color="auto"/>
            </w:tcBorders>
          </w:tcPr>
          <w:p w14:paraId="019A8A63" w14:textId="77777777" w:rsidR="00B84A8C" w:rsidRPr="009F3182" w:rsidRDefault="00B84A8C">
            <w:pPr>
              <w:pStyle w:val="TableText0"/>
              <w:jc w:val="center"/>
              <w:rPr>
                <w:szCs w:val="20"/>
              </w:rPr>
            </w:pPr>
            <w:r w:rsidRPr="009F3182">
              <w:rPr>
                <w:szCs w:val="20"/>
              </w:rPr>
              <w:t>45.5</w:t>
            </w:r>
          </w:p>
        </w:tc>
        <w:tc>
          <w:tcPr>
            <w:tcW w:w="351" w:type="pct"/>
            <w:tcBorders>
              <w:left w:val="single" w:sz="4" w:space="0" w:color="auto"/>
            </w:tcBorders>
          </w:tcPr>
          <w:p w14:paraId="20BBB93B" w14:textId="77777777" w:rsidR="00B84A8C" w:rsidRPr="009F3182" w:rsidRDefault="00B84A8C">
            <w:pPr>
              <w:pStyle w:val="TableText0"/>
              <w:jc w:val="center"/>
              <w:rPr>
                <w:szCs w:val="20"/>
              </w:rPr>
            </w:pPr>
            <w:r w:rsidRPr="009F3182">
              <w:rPr>
                <w:szCs w:val="20"/>
              </w:rPr>
              <w:t>NA</w:t>
            </w:r>
          </w:p>
        </w:tc>
        <w:tc>
          <w:tcPr>
            <w:tcW w:w="351" w:type="pct"/>
          </w:tcPr>
          <w:p w14:paraId="5CBDC7ED" w14:textId="77777777" w:rsidR="00B84A8C" w:rsidRPr="009F3182" w:rsidRDefault="00B84A8C">
            <w:pPr>
              <w:pStyle w:val="TableText0"/>
              <w:jc w:val="center"/>
              <w:rPr>
                <w:szCs w:val="20"/>
              </w:rPr>
            </w:pPr>
            <w:r w:rsidRPr="009F3182">
              <w:rPr>
                <w:szCs w:val="20"/>
              </w:rPr>
              <w:t>NA</w:t>
            </w:r>
          </w:p>
        </w:tc>
        <w:tc>
          <w:tcPr>
            <w:tcW w:w="327" w:type="pct"/>
          </w:tcPr>
          <w:p w14:paraId="77ABBCFA" w14:textId="77777777" w:rsidR="00B84A8C" w:rsidRPr="009F3182" w:rsidRDefault="00B84A8C">
            <w:pPr>
              <w:pStyle w:val="TableText0"/>
              <w:jc w:val="center"/>
              <w:rPr>
                <w:szCs w:val="20"/>
              </w:rPr>
            </w:pPr>
            <w:r w:rsidRPr="009F3182">
              <w:rPr>
                <w:szCs w:val="20"/>
              </w:rPr>
              <w:t>NA</w:t>
            </w:r>
          </w:p>
        </w:tc>
      </w:tr>
      <w:tr w:rsidR="00B84A8C" w:rsidRPr="009F3182" w14:paraId="3D2B7BD4" w14:textId="77777777" w:rsidTr="006A290E">
        <w:trPr>
          <w:trHeight w:val="449"/>
        </w:trPr>
        <w:tc>
          <w:tcPr>
            <w:tcW w:w="808" w:type="pct"/>
            <w:tcBorders>
              <w:right w:val="single" w:sz="4" w:space="0" w:color="auto"/>
            </w:tcBorders>
          </w:tcPr>
          <w:p w14:paraId="7CFA76FF" w14:textId="059EE74D" w:rsidR="00B84A8C" w:rsidRPr="009F3182" w:rsidRDefault="00B84A8C">
            <w:pPr>
              <w:pStyle w:val="TableText0"/>
              <w:rPr>
                <w:b/>
                <w:szCs w:val="20"/>
              </w:rPr>
            </w:pPr>
            <w:r w:rsidRPr="009F3182">
              <w:rPr>
                <w:b/>
                <w:szCs w:val="20"/>
              </w:rPr>
              <w:t xml:space="preserve">Compare: </w:t>
            </w:r>
            <w:r w:rsidR="00721E1A" w:rsidRPr="009F3182">
              <w:rPr>
                <w:b/>
                <w:szCs w:val="20"/>
              </w:rPr>
              <w:t>21vPCV</w:t>
            </w:r>
            <w:r w:rsidRPr="009F3182">
              <w:rPr>
                <w:b/>
                <w:szCs w:val="20"/>
              </w:rPr>
              <w:t>-20vPCV</w:t>
            </w:r>
          </w:p>
        </w:tc>
        <w:tc>
          <w:tcPr>
            <w:tcW w:w="348" w:type="pct"/>
            <w:tcBorders>
              <w:left w:val="single" w:sz="4" w:space="0" w:color="auto"/>
            </w:tcBorders>
          </w:tcPr>
          <w:p w14:paraId="2FB40B79" w14:textId="77777777" w:rsidR="00B84A8C" w:rsidRPr="009F3182" w:rsidRDefault="00B84A8C">
            <w:pPr>
              <w:pStyle w:val="TableText0"/>
              <w:jc w:val="center"/>
              <w:rPr>
                <w:szCs w:val="20"/>
              </w:rPr>
            </w:pPr>
            <w:r w:rsidRPr="009F3182">
              <w:rPr>
                <w:szCs w:val="20"/>
              </w:rPr>
              <w:t>22.6</w:t>
            </w:r>
          </w:p>
        </w:tc>
        <w:tc>
          <w:tcPr>
            <w:tcW w:w="352" w:type="pct"/>
            <w:tcBorders>
              <w:right w:val="single" w:sz="4" w:space="0" w:color="auto"/>
            </w:tcBorders>
          </w:tcPr>
          <w:p w14:paraId="2928FE18" w14:textId="77777777" w:rsidR="00B84A8C" w:rsidRPr="009F3182" w:rsidRDefault="00B84A8C">
            <w:pPr>
              <w:pStyle w:val="TableText0"/>
              <w:jc w:val="center"/>
              <w:rPr>
                <w:szCs w:val="20"/>
              </w:rPr>
            </w:pPr>
            <w:r w:rsidRPr="009F3182">
              <w:rPr>
                <w:szCs w:val="20"/>
              </w:rPr>
              <w:t>20.7</w:t>
            </w:r>
          </w:p>
        </w:tc>
        <w:tc>
          <w:tcPr>
            <w:tcW w:w="329" w:type="pct"/>
            <w:tcBorders>
              <w:right w:val="single" w:sz="4" w:space="0" w:color="auto"/>
            </w:tcBorders>
          </w:tcPr>
          <w:p w14:paraId="24A8B018" w14:textId="77777777" w:rsidR="00B84A8C" w:rsidRPr="009F3182" w:rsidRDefault="00B84A8C">
            <w:pPr>
              <w:pStyle w:val="TableText0"/>
              <w:jc w:val="center"/>
              <w:rPr>
                <w:szCs w:val="20"/>
              </w:rPr>
            </w:pPr>
            <w:r w:rsidRPr="009F3182">
              <w:rPr>
                <w:szCs w:val="20"/>
              </w:rPr>
              <w:t>21.4</w:t>
            </w:r>
          </w:p>
        </w:tc>
        <w:tc>
          <w:tcPr>
            <w:tcW w:w="375" w:type="pct"/>
            <w:tcBorders>
              <w:left w:val="single" w:sz="4" w:space="0" w:color="auto"/>
            </w:tcBorders>
          </w:tcPr>
          <w:p w14:paraId="7678463B" w14:textId="77777777" w:rsidR="00B84A8C" w:rsidRPr="009F3182" w:rsidRDefault="00B84A8C">
            <w:pPr>
              <w:pStyle w:val="TableText0"/>
              <w:jc w:val="center"/>
              <w:rPr>
                <w:szCs w:val="20"/>
              </w:rPr>
            </w:pPr>
            <w:r w:rsidRPr="009F3182">
              <w:rPr>
                <w:szCs w:val="20"/>
              </w:rPr>
              <w:t>17.7</w:t>
            </w:r>
          </w:p>
        </w:tc>
        <w:tc>
          <w:tcPr>
            <w:tcW w:w="351" w:type="pct"/>
            <w:tcBorders>
              <w:right w:val="single" w:sz="4" w:space="0" w:color="auto"/>
            </w:tcBorders>
          </w:tcPr>
          <w:p w14:paraId="7F2B4A81" w14:textId="77777777" w:rsidR="00B84A8C" w:rsidRPr="009F3182" w:rsidRDefault="00B84A8C">
            <w:pPr>
              <w:pStyle w:val="TableText0"/>
              <w:jc w:val="center"/>
              <w:rPr>
                <w:szCs w:val="20"/>
              </w:rPr>
            </w:pPr>
            <w:r w:rsidRPr="009F3182">
              <w:rPr>
                <w:szCs w:val="20"/>
              </w:rPr>
              <w:t>8.9</w:t>
            </w:r>
          </w:p>
        </w:tc>
        <w:tc>
          <w:tcPr>
            <w:tcW w:w="352" w:type="pct"/>
            <w:tcBorders>
              <w:right w:val="single" w:sz="4" w:space="0" w:color="auto"/>
            </w:tcBorders>
          </w:tcPr>
          <w:p w14:paraId="3AD6277B" w14:textId="77777777" w:rsidR="00B84A8C" w:rsidRPr="009F3182" w:rsidRDefault="00B84A8C">
            <w:pPr>
              <w:pStyle w:val="TableText0"/>
              <w:jc w:val="center"/>
              <w:rPr>
                <w:szCs w:val="20"/>
              </w:rPr>
            </w:pPr>
            <w:r w:rsidRPr="009F3182">
              <w:rPr>
                <w:szCs w:val="20"/>
              </w:rPr>
              <w:t>5.2</w:t>
            </w:r>
          </w:p>
        </w:tc>
        <w:tc>
          <w:tcPr>
            <w:tcW w:w="351" w:type="pct"/>
            <w:gridSpan w:val="2"/>
            <w:tcBorders>
              <w:left w:val="single" w:sz="4" w:space="0" w:color="auto"/>
            </w:tcBorders>
          </w:tcPr>
          <w:p w14:paraId="44B573D3" w14:textId="77777777" w:rsidR="00B84A8C" w:rsidRPr="009F3182" w:rsidRDefault="00B84A8C">
            <w:pPr>
              <w:pStyle w:val="TableText0"/>
              <w:jc w:val="center"/>
              <w:rPr>
                <w:szCs w:val="20"/>
              </w:rPr>
            </w:pPr>
            <w:r w:rsidRPr="009F3182">
              <w:rPr>
                <w:szCs w:val="20"/>
              </w:rPr>
              <w:t>17.5</w:t>
            </w:r>
          </w:p>
        </w:tc>
        <w:tc>
          <w:tcPr>
            <w:tcW w:w="351" w:type="pct"/>
            <w:tcBorders>
              <w:right w:val="single" w:sz="4" w:space="0" w:color="auto"/>
            </w:tcBorders>
          </w:tcPr>
          <w:p w14:paraId="00292CD7" w14:textId="77777777" w:rsidR="00B84A8C" w:rsidRPr="009F3182" w:rsidRDefault="00B84A8C">
            <w:pPr>
              <w:pStyle w:val="TableText0"/>
              <w:jc w:val="center"/>
              <w:rPr>
                <w:szCs w:val="20"/>
              </w:rPr>
            </w:pPr>
            <w:r w:rsidRPr="009F3182">
              <w:rPr>
                <w:szCs w:val="20"/>
              </w:rPr>
              <w:t>10.8</w:t>
            </w:r>
          </w:p>
        </w:tc>
        <w:tc>
          <w:tcPr>
            <w:tcW w:w="354" w:type="pct"/>
            <w:tcBorders>
              <w:right w:val="single" w:sz="4" w:space="0" w:color="auto"/>
            </w:tcBorders>
          </w:tcPr>
          <w:p w14:paraId="46A9D6A6" w14:textId="34752966" w:rsidR="00B84A8C" w:rsidRPr="009F3182" w:rsidRDefault="00B84A8C">
            <w:pPr>
              <w:pStyle w:val="TableText0"/>
              <w:jc w:val="center"/>
              <w:rPr>
                <w:szCs w:val="20"/>
              </w:rPr>
            </w:pPr>
            <w:r w:rsidRPr="009F3182">
              <w:rPr>
                <w:szCs w:val="20"/>
              </w:rPr>
              <w:t>9.0</w:t>
            </w:r>
          </w:p>
        </w:tc>
        <w:tc>
          <w:tcPr>
            <w:tcW w:w="351" w:type="pct"/>
            <w:tcBorders>
              <w:left w:val="single" w:sz="4" w:space="0" w:color="auto"/>
            </w:tcBorders>
          </w:tcPr>
          <w:p w14:paraId="7C9C6E07" w14:textId="77777777" w:rsidR="00B84A8C" w:rsidRPr="009F3182" w:rsidRDefault="00B84A8C">
            <w:pPr>
              <w:pStyle w:val="TableText0"/>
              <w:jc w:val="center"/>
              <w:rPr>
                <w:szCs w:val="20"/>
              </w:rPr>
            </w:pPr>
            <w:r w:rsidRPr="009F3182">
              <w:rPr>
                <w:szCs w:val="20"/>
              </w:rPr>
              <w:t>-0.3</w:t>
            </w:r>
          </w:p>
        </w:tc>
        <w:tc>
          <w:tcPr>
            <w:tcW w:w="351" w:type="pct"/>
          </w:tcPr>
          <w:p w14:paraId="1835F4F6" w14:textId="77777777" w:rsidR="00B84A8C" w:rsidRPr="009F3182" w:rsidRDefault="00B84A8C">
            <w:pPr>
              <w:pStyle w:val="TableText0"/>
              <w:jc w:val="center"/>
              <w:rPr>
                <w:szCs w:val="20"/>
              </w:rPr>
            </w:pPr>
            <w:r w:rsidRPr="009F3182">
              <w:rPr>
                <w:szCs w:val="20"/>
              </w:rPr>
              <w:t>2.8</w:t>
            </w:r>
          </w:p>
        </w:tc>
        <w:tc>
          <w:tcPr>
            <w:tcW w:w="327" w:type="pct"/>
          </w:tcPr>
          <w:p w14:paraId="690342ED" w14:textId="77777777" w:rsidR="00B84A8C" w:rsidRPr="009F3182" w:rsidRDefault="00B84A8C">
            <w:pPr>
              <w:pStyle w:val="TableText0"/>
              <w:jc w:val="center"/>
              <w:rPr>
                <w:szCs w:val="20"/>
              </w:rPr>
            </w:pPr>
            <w:r w:rsidRPr="009F3182">
              <w:rPr>
                <w:szCs w:val="20"/>
              </w:rPr>
              <w:t>-1.4</w:t>
            </w:r>
          </w:p>
        </w:tc>
      </w:tr>
      <w:tr w:rsidR="00B84A8C" w:rsidRPr="009F3182" w14:paraId="503AFA48" w14:textId="77777777" w:rsidTr="006A290E">
        <w:trPr>
          <w:trHeight w:val="449"/>
        </w:trPr>
        <w:tc>
          <w:tcPr>
            <w:tcW w:w="808" w:type="pct"/>
            <w:tcBorders>
              <w:bottom w:val="single" w:sz="4" w:space="0" w:color="auto"/>
              <w:right w:val="single" w:sz="4" w:space="0" w:color="auto"/>
            </w:tcBorders>
          </w:tcPr>
          <w:p w14:paraId="483A45E9" w14:textId="206248C7" w:rsidR="00B84A8C" w:rsidRPr="009F3182" w:rsidRDefault="00B84A8C">
            <w:pPr>
              <w:pStyle w:val="TableText0"/>
              <w:rPr>
                <w:b/>
                <w:szCs w:val="20"/>
              </w:rPr>
            </w:pPr>
            <w:r w:rsidRPr="009F3182">
              <w:rPr>
                <w:b/>
                <w:szCs w:val="20"/>
              </w:rPr>
              <w:t xml:space="preserve">Compare: </w:t>
            </w:r>
            <w:r w:rsidR="00721E1A" w:rsidRPr="009F3182">
              <w:rPr>
                <w:b/>
                <w:szCs w:val="20"/>
              </w:rPr>
              <w:t>21vPCV</w:t>
            </w:r>
            <w:r w:rsidRPr="009F3182">
              <w:rPr>
                <w:b/>
                <w:szCs w:val="20"/>
              </w:rPr>
              <w:t>-13vPCV+23vPPV</w:t>
            </w:r>
          </w:p>
        </w:tc>
        <w:tc>
          <w:tcPr>
            <w:tcW w:w="348" w:type="pct"/>
            <w:tcBorders>
              <w:left w:val="single" w:sz="4" w:space="0" w:color="auto"/>
              <w:bottom w:val="single" w:sz="4" w:space="0" w:color="auto"/>
            </w:tcBorders>
          </w:tcPr>
          <w:p w14:paraId="7E98E9EF" w14:textId="77777777" w:rsidR="00B84A8C" w:rsidRPr="009F3182" w:rsidRDefault="00B84A8C">
            <w:pPr>
              <w:pStyle w:val="TableText0"/>
              <w:jc w:val="center"/>
              <w:rPr>
                <w:szCs w:val="20"/>
              </w:rPr>
            </w:pPr>
            <w:r w:rsidRPr="009F3182">
              <w:rPr>
                <w:szCs w:val="20"/>
              </w:rPr>
              <w:t>NA</w:t>
            </w:r>
          </w:p>
        </w:tc>
        <w:tc>
          <w:tcPr>
            <w:tcW w:w="352" w:type="pct"/>
            <w:tcBorders>
              <w:bottom w:val="single" w:sz="4" w:space="0" w:color="auto"/>
              <w:right w:val="single" w:sz="4" w:space="0" w:color="auto"/>
            </w:tcBorders>
          </w:tcPr>
          <w:p w14:paraId="4B53846A" w14:textId="77777777" w:rsidR="00B84A8C" w:rsidRPr="009F3182" w:rsidRDefault="00B84A8C">
            <w:pPr>
              <w:pStyle w:val="TableText0"/>
              <w:jc w:val="center"/>
              <w:rPr>
                <w:szCs w:val="20"/>
              </w:rPr>
            </w:pPr>
            <w:r w:rsidRPr="009F3182">
              <w:rPr>
                <w:szCs w:val="20"/>
              </w:rPr>
              <w:t>NA</w:t>
            </w:r>
          </w:p>
        </w:tc>
        <w:tc>
          <w:tcPr>
            <w:tcW w:w="329" w:type="pct"/>
            <w:tcBorders>
              <w:bottom w:val="single" w:sz="4" w:space="0" w:color="auto"/>
              <w:right w:val="single" w:sz="4" w:space="0" w:color="auto"/>
            </w:tcBorders>
          </w:tcPr>
          <w:p w14:paraId="5E0BA375" w14:textId="77777777" w:rsidR="00B84A8C" w:rsidRPr="009F3182" w:rsidRDefault="00B84A8C">
            <w:pPr>
              <w:pStyle w:val="TableText0"/>
              <w:jc w:val="center"/>
              <w:rPr>
                <w:szCs w:val="20"/>
              </w:rPr>
            </w:pPr>
            <w:r w:rsidRPr="009F3182">
              <w:rPr>
                <w:szCs w:val="20"/>
              </w:rPr>
              <w:t>NA</w:t>
            </w:r>
          </w:p>
        </w:tc>
        <w:tc>
          <w:tcPr>
            <w:tcW w:w="375" w:type="pct"/>
            <w:tcBorders>
              <w:left w:val="single" w:sz="4" w:space="0" w:color="auto"/>
              <w:bottom w:val="single" w:sz="4" w:space="0" w:color="auto"/>
            </w:tcBorders>
          </w:tcPr>
          <w:p w14:paraId="7F8AAE3F" w14:textId="77777777" w:rsidR="00B84A8C" w:rsidRPr="009F3182" w:rsidRDefault="00B84A8C">
            <w:pPr>
              <w:pStyle w:val="TableText0"/>
              <w:jc w:val="center"/>
              <w:rPr>
                <w:szCs w:val="20"/>
              </w:rPr>
            </w:pPr>
            <w:r w:rsidRPr="009F3182">
              <w:rPr>
                <w:szCs w:val="20"/>
              </w:rPr>
              <w:t>6.0</w:t>
            </w:r>
          </w:p>
        </w:tc>
        <w:tc>
          <w:tcPr>
            <w:tcW w:w="351" w:type="pct"/>
            <w:tcBorders>
              <w:bottom w:val="single" w:sz="4" w:space="0" w:color="auto"/>
              <w:right w:val="single" w:sz="4" w:space="0" w:color="auto"/>
            </w:tcBorders>
          </w:tcPr>
          <w:p w14:paraId="064B9290" w14:textId="77777777" w:rsidR="00B84A8C" w:rsidRPr="009F3182" w:rsidRDefault="00B84A8C">
            <w:pPr>
              <w:pStyle w:val="TableText0"/>
              <w:jc w:val="center"/>
              <w:rPr>
                <w:szCs w:val="20"/>
              </w:rPr>
            </w:pPr>
            <w:r w:rsidRPr="009F3182">
              <w:rPr>
                <w:szCs w:val="20"/>
              </w:rPr>
              <w:t>0.3</w:t>
            </w:r>
          </w:p>
        </w:tc>
        <w:tc>
          <w:tcPr>
            <w:tcW w:w="352" w:type="pct"/>
            <w:tcBorders>
              <w:bottom w:val="single" w:sz="4" w:space="0" w:color="auto"/>
              <w:right w:val="single" w:sz="4" w:space="0" w:color="auto"/>
            </w:tcBorders>
          </w:tcPr>
          <w:p w14:paraId="1C42528A" w14:textId="0DC1F205" w:rsidR="00B84A8C" w:rsidRPr="009F3182" w:rsidRDefault="00B84A8C">
            <w:pPr>
              <w:pStyle w:val="TableText0"/>
              <w:jc w:val="center"/>
              <w:rPr>
                <w:szCs w:val="20"/>
              </w:rPr>
            </w:pPr>
            <w:r w:rsidRPr="009F3182">
              <w:rPr>
                <w:szCs w:val="20"/>
              </w:rPr>
              <w:t>5.2</w:t>
            </w:r>
          </w:p>
        </w:tc>
        <w:tc>
          <w:tcPr>
            <w:tcW w:w="351" w:type="pct"/>
            <w:gridSpan w:val="2"/>
            <w:tcBorders>
              <w:left w:val="single" w:sz="4" w:space="0" w:color="auto"/>
              <w:bottom w:val="single" w:sz="4" w:space="0" w:color="auto"/>
            </w:tcBorders>
          </w:tcPr>
          <w:p w14:paraId="376542C3" w14:textId="77777777" w:rsidR="00B84A8C" w:rsidRPr="009F3182" w:rsidRDefault="00B84A8C">
            <w:pPr>
              <w:pStyle w:val="TableText0"/>
              <w:jc w:val="center"/>
              <w:rPr>
                <w:szCs w:val="20"/>
              </w:rPr>
            </w:pPr>
            <w:r w:rsidRPr="009F3182">
              <w:rPr>
                <w:szCs w:val="20"/>
              </w:rPr>
              <w:t>8.9</w:t>
            </w:r>
          </w:p>
        </w:tc>
        <w:tc>
          <w:tcPr>
            <w:tcW w:w="351" w:type="pct"/>
            <w:tcBorders>
              <w:bottom w:val="single" w:sz="4" w:space="0" w:color="auto"/>
              <w:right w:val="single" w:sz="4" w:space="0" w:color="auto"/>
            </w:tcBorders>
          </w:tcPr>
          <w:p w14:paraId="42BF0962" w14:textId="77777777" w:rsidR="00B84A8C" w:rsidRPr="009F3182" w:rsidRDefault="00B84A8C">
            <w:pPr>
              <w:pStyle w:val="TableText0"/>
              <w:jc w:val="center"/>
              <w:rPr>
                <w:szCs w:val="20"/>
              </w:rPr>
            </w:pPr>
            <w:r w:rsidRPr="009F3182">
              <w:rPr>
                <w:szCs w:val="20"/>
              </w:rPr>
              <w:t>6.2</w:t>
            </w:r>
          </w:p>
        </w:tc>
        <w:tc>
          <w:tcPr>
            <w:tcW w:w="354" w:type="pct"/>
            <w:tcBorders>
              <w:bottom w:val="single" w:sz="4" w:space="0" w:color="auto"/>
              <w:right w:val="single" w:sz="4" w:space="0" w:color="auto"/>
            </w:tcBorders>
          </w:tcPr>
          <w:p w14:paraId="35D7C693" w14:textId="646E53A0" w:rsidR="00B84A8C" w:rsidRPr="009F3182" w:rsidRDefault="00B84A8C">
            <w:pPr>
              <w:pStyle w:val="TableText0"/>
              <w:jc w:val="center"/>
              <w:rPr>
                <w:szCs w:val="20"/>
              </w:rPr>
            </w:pPr>
            <w:r w:rsidRPr="009F3182">
              <w:rPr>
                <w:szCs w:val="20"/>
              </w:rPr>
              <w:t>9.0</w:t>
            </w:r>
          </w:p>
        </w:tc>
        <w:tc>
          <w:tcPr>
            <w:tcW w:w="351" w:type="pct"/>
            <w:tcBorders>
              <w:left w:val="single" w:sz="4" w:space="0" w:color="auto"/>
              <w:bottom w:val="single" w:sz="4" w:space="0" w:color="auto"/>
            </w:tcBorders>
          </w:tcPr>
          <w:p w14:paraId="31E9C44E" w14:textId="77777777" w:rsidR="00B84A8C" w:rsidRPr="009F3182" w:rsidRDefault="00B84A8C">
            <w:pPr>
              <w:pStyle w:val="TableText0"/>
              <w:jc w:val="center"/>
              <w:rPr>
                <w:szCs w:val="20"/>
              </w:rPr>
            </w:pPr>
            <w:r w:rsidRPr="009F3182">
              <w:rPr>
                <w:szCs w:val="20"/>
              </w:rPr>
              <w:t>-8.7</w:t>
            </w:r>
          </w:p>
        </w:tc>
        <w:tc>
          <w:tcPr>
            <w:tcW w:w="351" w:type="pct"/>
            <w:tcBorders>
              <w:bottom w:val="single" w:sz="4" w:space="0" w:color="auto"/>
            </w:tcBorders>
          </w:tcPr>
          <w:p w14:paraId="701CA213" w14:textId="77777777" w:rsidR="00B84A8C" w:rsidRPr="009F3182" w:rsidRDefault="00B84A8C">
            <w:pPr>
              <w:pStyle w:val="TableText0"/>
              <w:jc w:val="center"/>
              <w:rPr>
                <w:szCs w:val="20"/>
              </w:rPr>
            </w:pPr>
            <w:r w:rsidRPr="009F3182">
              <w:rPr>
                <w:szCs w:val="20"/>
              </w:rPr>
              <w:t>-0.9</w:t>
            </w:r>
          </w:p>
        </w:tc>
        <w:tc>
          <w:tcPr>
            <w:tcW w:w="327" w:type="pct"/>
            <w:tcBorders>
              <w:bottom w:val="single" w:sz="4" w:space="0" w:color="auto"/>
            </w:tcBorders>
          </w:tcPr>
          <w:p w14:paraId="1582A685" w14:textId="77777777" w:rsidR="00B84A8C" w:rsidRPr="009F3182" w:rsidRDefault="00B84A8C">
            <w:pPr>
              <w:pStyle w:val="TableText0"/>
              <w:jc w:val="center"/>
              <w:rPr>
                <w:szCs w:val="20"/>
              </w:rPr>
            </w:pPr>
            <w:r w:rsidRPr="009F3182">
              <w:rPr>
                <w:szCs w:val="20"/>
              </w:rPr>
              <w:t>-5.2</w:t>
            </w:r>
          </w:p>
        </w:tc>
      </w:tr>
    </w:tbl>
    <w:p w14:paraId="01A07E51" w14:textId="77777777" w:rsidR="00B84A8C" w:rsidRPr="009F57D8" w:rsidRDefault="00B84A8C" w:rsidP="000E6454">
      <w:pPr>
        <w:pStyle w:val="TableFigureFooter"/>
      </w:pPr>
      <w:r w:rsidRPr="009F57D8">
        <w:t>Source: Constructed during the evaluation based on Table 1.1-1 p3 of the submission and NNDSS IPD data for years 2023 and 2024</w:t>
      </w:r>
    </w:p>
    <w:p w14:paraId="051A9AF5" w14:textId="24F038E4" w:rsidR="00B84A8C" w:rsidRPr="009F57D8" w:rsidRDefault="00B84A8C" w:rsidP="000E6454">
      <w:pPr>
        <w:pStyle w:val="TableFigureFooter"/>
      </w:pPr>
      <w:r w:rsidRPr="009F57D8">
        <w:t xml:space="preserve">13vPCV = 13 valent-pneumococcal conjugate vaccine; 20vPCV = </w:t>
      </w:r>
      <w:r w:rsidR="00505C99">
        <w:t>20</w:t>
      </w:r>
      <w:r w:rsidRPr="009F57D8">
        <w:t xml:space="preserve"> valent-pneumococcal conjugate vaccine; IPD = invasive pneumococcal disease; NNDSS = National Notifiable Diseases Surveillance System; NR = not reported; </w:t>
      </w:r>
      <w:r w:rsidR="00721E1A" w:rsidRPr="009F57D8">
        <w:t>21vPCV</w:t>
      </w:r>
      <w:r w:rsidRPr="009F57D8">
        <w:t xml:space="preserve"> = 21-valent-pneumococcal conjugate vaccine. </w:t>
      </w:r>
    </w:p>
    <w:p w14:paraId="68B75EF4" w14:textId="5F44273E" w:rsidR="00B84A8C" w:rsidRPr="009F57D8" w:rsidRDefault="00120EDA" w:rsidP="000E6454">
      <w:pPr>
        <w:pStyle w:val="TableFigureFooter"/>
      </w:pPr>
      <w:r w:rsidRPr="009F57D8">
        <w:rPr>
          <w:b/>
          <w:vertAlign w:val="superscript"/>
        </w:rPr>
        <w:t>a</w:t>
      </w:r>
      <w:r w:rsidR="00B84A8C" w:rsidRPr="009F57D8">
        <w:t xml:space="preserve"> non-Indigenous population aged 20-69 years used as a proxy for the MaR population.</w:t>
      </w:r>
    </w:p>
    <w:p w14:paraId="5DC29395" w14:textId="249C5298" w:rsidR="00B84A8C" w:rsidRPr="009F57D8" w:rsidRDefault="00B84A8C" w:rsidP="00B84A8C">
      <w:pPr>
        <w:pStyle w:val="3-BodyText"/>
        <w:numPr>
          <w:ilvl w:val="1"/>
          <w:numId w:val="1"/>
        </w:numPr>
      </w:pPr>
      <w:r w:rsidRPr="009F57D8">
        <w:t xml:space="preserve">The incidence of CAP events was derived from AIHW, 2018-2019 data using principal diagnosis hospital data (International Classification of Diseases, ICD-10-AM codes J12-J18) with a fraction attributable to </w:t>
      </w:r>
      <w:r w:rsidRPr="009F57D8">
        <w:rPr>
          <w:i/>
          <w:iCs/>
        </w:rPr>
        <w:t>S. Pneumoniae</w:t>
      </w:r>
      <w:r w:rsidRPr="009F57D8">
        <w:t xml:space="preserve"> (20.6%; as per the ATAGI Pre-submission Advice (ATAGI Pre-submission Advice, May 2024)). The CAP inpatient incidence in non-Indigenous adults </w:t>
      </w:r>
      <w:r w:rsidRPr="009F57D8">
        <w:rPr>
          <w:rFonts w:ascii="Calibri" w:hAnsi="Calibri" w:cs="Calibri"/>
        </w:rPr>
        <w:t xml:space="preserve">≥ 70 years </w:t>
      </w:r>
      <w:r w:rsidRPr="009F57D8">
        <w:t xml:space="preserve">estimated by the submission ranged from 183.7 per 100,000 for those 70 to 74 years to 835.4 cases per 100,000 for those 85 years or older. In comparison, the rates for </w:t>
      </w:r>
      <w:r w:rsidR="00D04DE7" w:rsidRPr="009F57D8">
        <w:t xml:space="preserve">Aboriginal and Torres Strait Islander </w:t>
      </w:r>
      <w:r w:rsidR="00D04DE7" w:rsidRPr="009F57D8">
        <w:lastRenderedPageBreak/>
        <w:t>adults</w:t>
      </w:r>
      <w:r w:rsidRPr="009F57D8">
        <w:t xml:space="preserve"> </w:t>
      </w:r>
      <w:r w:rsidRPr="009F57D8">
        <w:rPr>
          <w:rFonts w:ascii="Calibri" w:hAnsi="Calibri" w:cs="Calibri"/>
        </w:rPr>
        <w:t>≥</w:t>
      </w:r>
      <w:r w:rsidR="00BE5E13" w:rsidRPr="009F57D8">
        <w:rPr>
          <w:rFonts w:ascii="Calibri" w:hAnsi="Calibri" w:cs="Calibri"/>
        </w:rPr>
        <w:t> </w:t>
      </w:r>
      <w:r w:rsidRPr="009F57D8">
        <w:t xml:space="preserve">50 years ranged from 549.8 to 1,218.7 cases per 100,000, with a rate of 1,550.1 cases per 100,000 for the MaR population aged </w:t>
      </w:r>
      <w:r w:rsidRPr="009F57D8">
        <w:rPr>
          <w:rFonts w:ascii="Calibri" w:hAnsi="Calibri" w:cs="Calibri"/>
        </w:rPr>
        <w:t xml:space="preserve">≥ </w:t>
      </w:r>
      <w:r w:rsidRPr="009F57D8">
        <w:t xml:space="preserve">18-69 years. The CAP outpatient incidence in non-Indigenous adults </w:t>
      </w:r>
      <w:r w:rsidRPr="009F57D8">
        <w:rPr>
          <w:rFonts w:ascii="Calibri" w:hAnsi="Calibri" w:cs="Calibri"/>
        </w:rPr>
        <w:t xml:space="preserve">≥ 70 years and </w:t>
      </w:r>
      <w:r w:rsidR="00D04DE7" w:rsidRPr="009F57D8">
        <w:rPr>
          <w:rFonts w:ascii="Calibri" w:hAnsi="Calibri" w:cs="Calibri"/>
        </w:rPr>
        <w:t>Aboriginal and Torres Strait Islander adults</w:t>
      </w:r>
      <w:r w:rsidRPr="009F57D8">
        <w:rPr>
          <w:rFonts w:ascii="Calibri" w:hAnsi="Calibri" w:cs="Calibri"/>
        </w:rPr>
        <w:t xml:space="preserve"> ≥ 50 years ranged from 334.6 per 100,000 for those 70-74 years old to 686.7 per 100,000 for those 85 years and older, compared with 4,430.8 per 100,000 in the MaR 18-69 years population. </w:t>
      </w:r>
    </w:p>
    <w:p w14:paraId="0CA4AD06" w14:textId="0821428B" w:rsidR="00B84A8C" w:rsidRPr="009F57D8" w:rsidRDefault="00B84A8C" w:rsidP="00B84A8C">
      <w:pPr>
        <w:pStyle w:val="3-BodyText"/>
        <w:numPr>
          <w:ilvl w:val="1"/>
          <w:numId w:val="1"/>
        </w:numPr>
      </w:pPr>
      <w:r w:rsidRPr="009F57D8">
        <w:t xml:space="preserve">The submission claimed </w:t>
      </w:r>
      <w:r w:rsidR="00EE6683" w:rsidRPr="009F57D8">
        <w:t>21vPCV</w:t>
      </w:r>
      <w:r w:rsidRPr="009F57D8">
        <w:t xml:space="preserve"> focuses on disease-causing strains of </w:t>
      </w:r>
      <w:r w:rsidRPr="009F57D8">
        <w:rPr>
          <w:i/>
          <w:iCs/>
        </w:rPr>
        <w:t xml:space="preserve">S.pneumoniae </w:t>
      </w:r>
      <w:r w:rsidRPr="009F57D8">
        <w:t xml:space="preserve">which are associated with the burden of residual </w:t>
      </w:r>
      <w:r w:rsidR="004066BA" w:rsidRPr="009F57D8">
        <w:rPr>
          <w:iCs/>
        </w:rPr>
        <w:t>pneumococcal disease</w:t>
      </w:r>
      <w:r w:rsidRPr="009F57D8">
        <w:t xml:space="preserve"> in adults as well as problematic vaccine-type serotypes which benefit from direct protection. The submission based this claim on the NNDSS data (2016-2019), which report serotype distribution of IPD cases (see </w:t>
      </w:r>
      <w:r w:rsidRPr="009F57D8">
        <w:fldChar w:fldCharType="begin"/>
      </w:r>
      <w:r w:rsidRPr="009F57D8">
        <w:instrText xml:space="preserve"> REF _Ref174254422 \h  \* MERGEFORMAT </w:instrText>
      </w:r>
      <w:r w:rsidRPr="009F57D8">
        <w:fldChar w:fldCharType="separate"/>
      </w:r>
      <w:r w:rsidR="00581386" w:rsidRPr="009F57D8">
        <w:t xml:space="preserve">Table </w:t>
      </w:r>
      <w:r w:rsidR="00581386">
        <w:t>3</w:t>
      </w:r>
      <w:r w:rsidRPr="009F57D8">
        <w:fldChar w:fldCharType="end"/>
      </w:r>
      <w:r w:rsidRPr="009F57D8">
        <w:t xml:space="preserve">). The ATAGI Advice noted that </w:t>
      </w:r>
      <w:r w:rsidR="008E5F7B" w:rsidRPr="009F57D8">
        <w:t>21vPCV</w:t>
      </w:r>
      <w:r w:rsidRPr="009F57D8">
        <w:rPr>
          <w:rFonts w:eastAsiaTheme="minorEastAsia"/>
        </w:rPr>
        <w:t xml:space="preserve"> can be considered to broaden coverage if 7-</w:t>
      </w:r>
      <w:r w:rsidRPr="009F57D8">
        <w:t>valent pneumococcal conjugate vaccine</w:t>
      </w:r>
      <w:r w:rsidRPr="009F57D8">
        <w:rPr>
          <w:rFonts w:eastAsiaTheme="minorEastAsia"/>
        </w:rPr>
        <w:t xml:space="preserve"> (</w:t>
      </w:r>
      <w:r w:rsidR="001D2EB2" w:rsidRPr="009F57D8">
        <w:rPr>
          <w:rFonts w:eastAsiaTheme="minorEastAsia"/>
        </w:rPr>
        <w:t>7v</w:t>
      </w:r>
      <w:r w:rsidRPr="009F57D8">
        <w:rPr>
          <w:rFonts w:eastAsiaTheme="minorEastAsia"/>
        </w:rPr>
        <w:t>PCV) serotypes are effectively controlled by infant vaccination (</w:t>
      </w:r>
      <w:r w:rsidRPr="009F57D8">
        <w:rPr>
          <w:rFonts w:eastAsiaTheme="minorEastAsia" w:cstheme="minorHAnsi"/>
          <w:szCs w:val="24"/>
        </w:rPr>
        <w:t>ATAGI Pre-submission Advice, May 2024)</w:t>
      </w:r>
      <w:r w:rsidRPr="009F57D8">
        <w:rPr>
          <w:rFonts w:eastAsiaTheme="minorEastAsia"/>
        </w:rPr>
        <w:t xml:space="preserve">. The ATAGI Advice noted that </w:t>
      </w:r>
      <w:r w:rsidRPr="009F57D8">
        <w:t xml:space="preserve">some serotypes not covered by </w:t>
      </w:r>
      <w:r w:rsidR="008E5F7B" w:rsidRPr="009F57D8">
        <w:t>21vPCV</w:t>
      </w:r>
      <w:r w:rsidR="008E5F7B" w:rsidRPr="009F57D8" w:rsidDel="008E5F7B">
        <w:t xml:space="preserve"> </w:t>
      </w:r>
      <w:r w:rsidRPr="009F57D8">
        <w:t xml:space="preserve">(including those originally in </w:t>
      </w:r>
      <w:r w:rsidR="001D2EB2" w:rsidRPr="009F57D8">
        <w:t>7v</w:t>
      </w:r>
      <w:r w:rsidRPr="009F57D8">
        <w:t xml:space="preserve">PCV) have not been eliminated in adults by the paediatric </w:t>
      </w:r>
      <w:r w:rsidR="001D2EB2" w:rsidRPr="009F57D8">
        <w:t>13v</w:t>
      </w:r>
      <w:r w:rsidRPr="009F57D8">
        <w:t>PCV program; in 2022 one of these serotypes (19F) caused 7.9% of IPD in non-Indigenous adults ≥ 65 years. T</w:t>
      </w:r>
      <w:r w:rsidRPr="009F57D8">
        <w:rPr>
          <w:rFonts w:eastAsiaTheme="minorEastAsia"/>
        </w:rPr>
        <w:t xml:space="preserve">he future contribution of these serotypes to disease across the whole population is highly uncertain, as it is likely to be influenced by any introduction of extended valency conjugate vaccines to the paediatric population, which may provide different levels of direct protection to children and indirect immunity to adults than </w:t>
      </w:r>
      <w:r w:rsidR="001D2EB2" w:rsidRPr="009F57D8">
        <w:rPr>
          <w:rFonts w:eastAsiaTheme="minorEastAsia"/>
        </w:rPr>
        <w:t>13v</w:t>
      </w:r>
      <w:r w:rsidRPr="009F57D8">
        <w:rPr>
          <w:rFonts w:eastAsiaTheme="minorEastAsia"/>
        </w:rPr>
        <w:t xml:space="preserve">PCV. If indirect protection were less under extended valency vaccines, the absence of </w:t>
      </w:r>
      <w:r w:rsidR="001D2EB2" w:rsidRPr="009F57D8">
        <w:rPr>
          <w:rFonts w:eastAsiaTheme="minorEastAsia"/>
        </w:rPr>
        <w:t>7v</w:t>
      </w:r>
      <w:r w:rsidRPr="009F57D8">
        <w:rPr>
          <w:rFonts w:eastAsiaTheme="minorEastAsia"/>
        </w:rPr>
        <w:t xml:space="preserve">PCV serotypes from </w:t>
      </w:r>
      <w:r w:rsidR="00FB7FDD" w:rsidRPr="009F57D8">
        <w:t>21vPCV</w:t>
      </w:r>
      <w:r w:rsidRPr="009F57D8">
        <w:rPr>
          <w:rFonts w:eastAsiaTheme="minorEastAsia"/>
        </w:rPr>
        <w:t xml:space="preserve"> may lead to an increased risk of disease among adults from these serotypes. Serotype replacement by non-PCV serotypes could also result in a resurgence of IPD (ATAGI Pre-submission Advice, May 2024)</w:t>
      </w:r>
      <w:r w:rsidRPr="009F57D8">
        <w:t xml:space="preserve">. </w:t>
      </w:r>
    </w:p>
    <w:p w14:paraId="248E7641" w14:textId="60497595" w:rsidR="00B84A8C" w:rsidRPr="009F57D8" w:rsidRDefault="00B84A8C" w:rsidP="00B84A8C">
      <w:pPr>
        <w:pStyle w:val="3-BodyText"/>
        <w:numPr>
          <w:ilvl w:val="1"/>
          <w:numId w:val="1"/>
        </w:numPr>
      </w:pPr>
      <w:r w:rsidRPr="009F57D8">
        <w:t xml:space="preserve">Serotype coverage for </w:t>
      </w:r>
      <w:r w:rsidR="00FB7FDD" w:rsidRPr="009F57D8">
        <w:t>21vPCV</w:t>
      </w:r>
      <w:r w:rsidRPr="009F57D8">
        <w:t xml:space="preserve"> and other currently available pneumococcal vaccines is presented in </w:t>
      </w:r>
      <w:r w:rsidRPr="009F57D8">
        <w:fldChar w:fldCharType="begin"/>
      </w:r>
      <w:r w:rsidRPr="009F57D8">
        <w:instrText xml:space="preserve"> REF _Ref175044796 \h  \* MERGEFORMAT </w:instrText>
      </w:r>
      <w:r w:rsidRPr="009F57D8">
        <w:fldChar w:fldCharType="separate"/>
      </w:r>
      <w:r w:rsidR="00581386" w:rsidRPr="00581386">
        <w:t>Figure 1</w:t>
      </w:r>
      <w:r w:rsidRPr="009F57D8">
        <w:fldChar w:fldCharType="end"/>
      </w:r>
      <w:r w:rsidRPr="009F57D8">
        <w:t xml:space="preserve">. This shows there is no overlap between serotypes covered by 7vPCV) and </w:t>
      </w:r>
      <w:r w:rsidR="00FB7FDD" w:rsidRPr="009F57D8">
        <w:t>21vPCV</w:t>
      </w:r>
      <w:r w:rsidRPr="009F57D8">
        <w:t xml:space="preserve">, and only 4 serotypes in common between </w:t>
      </w:r>
      <w:r w:rsidR="00FB7FDD" w:rsidRPr="009F57D8">
        <w:t>21vPCV</w:t>
      </w:r>
      <w:r w:rsidRPr="009F57D8">
        <w:t xml:space="preserve"> and 13vPCV.</w:t>
      </w:r>
    </w:p>
    <w:p w14:paraId="085B6280" w14:textId="77777777" w:rsidR="00B84A8C" w:rsidRPr="009F57D8" w:rsidRDefault="00B84A8C" w:rsidP="00B84A8C">
      <w:pPr>
        <w:pStyle w:val="3-BodyText"/>
        <w:numPr>
          <w:ilvl w:val="0"/>
          <w:numId w:val="0"/>
        </w:numPr>
      </w:pPr>
    </w:p>
    <w:p w14:paraId="34DE7588" w14:textId="17BA2605" w:rsidR="00B84A8C" w:rsidRPr="009F57D8" w:rsidRDefault="00B84A8C" w:rsidP="00B84A8C">
      <w:pPr>
        <w:keepNext/>
        <w:keepLines/>
        <w:widowControl w:val="0"/>
        <w:rPr>
          <w:rFonts w:ascii="Arial Narrow" w:hAnsi="Arial Narrow" w:cs="Calibri"/>
          <w:b/>
          <w:bCs/>
          <w:color w:val="000000" w:themeColor="text1"/>
          <w:sz w:val="20"/>
          <w:szCs w:val="20"/>
        </w:rPr>
      </w:pPr>
      <w:bookmarkStart w:id="31" w:name="_Ref175044796"/>
      <w:r w:rsidRPr="009F57D8">
        <w:rPr>
          <w:rFonts w:ascii="Arial Narrow" w:hAnsi="Arial Narrow" w:cs="Calibri"/>
          <w:b/>
          <w:bCs/>
          <w:color w:val="000000" w:themeColor="text1"/>
          <w:sz w:val="20"/>
          <w:szCs w:val="20"/>
        </w:rPr>
        <w:t xml:space="preserve">Figure </w:t>
      </w:r>
      <w:r w:rsidRPr="009F57D8">
        <w:rPr>
          <w:rFonts w:ascii="Arial Narrow" w:hAnsi="Arial Narrow" w:cs="Calibri"/>
          <w:b/>
          <w:bCs/>
          <w:color w:val="000000" w:themeColor="text1"/>
          <w:sz w:val="20"/>
          <w:szCs w:val="20"/>
        </w:rPr>
        <w:fldChar w:fldCharType="begin"/>
      </w:r>
      <w:r w:rsidRPr="009F57D8">
        <w:rPr>
          <w:rFonts w:ascii="Arial Narrow" w:hAnsi="Arial Narrow" w:cs="Calibri"/>
          <w:b/>
          <w:bCs/>
          <w:color w:val="000000" w:themeColor="text1"/>
          <w:sz w:val="20"/>
          <w:szCs w:val="20"/>
        </w:rPr>
        <w:instrText xml:space="preserve"> SEQ Figure \* ARABIC </w:instrText>
      </w:r>
      <w:r w:rsidRPr="009F57D8">
        <w:rPr>
          <w:rFonts w:ascii="Arial Narrow" w:hAnsi="Arial Narrow" w:cs="Calibri"/>
          <w:b/>
          <w:bCs/>
          <w:color w:val="000000" w:themeColor="text1"/>
          <w:sz w:val="20"/>
          <w:szCs w:val="20"/>
        </w:rPr>
        <w:fldChar w:fldCharType="separate"/>
      </w:r>
      <w:r w:rsidR="00581386">
        <w:rPr>
          <w:rFonts w:ascii="Arial Narrow" w:hAnsi="Arial Narrow" w:cs="Calibri"/>
          <w:b/>
          <w:bCs/>
          <w:noProof/>
          <w:color w:val="000000" w:themeColor="text1"/>
          <w:sz w:val="20"/>
          <w:szCs w:val="20"/>
        </w:rPr>
        <w:t>1</w:t>
      </w:r>
      <w:r w:rsidRPr="009F57D8">
        <w:rPr>
          <w:rFonts w:ascii="Arial Narrow" w:hAnsi="Arial Narrow" w:cs="Calibri"/>
          <w:b/>
          <w:bCs/>
          <w:color w:val="000000" w:themeColor="text1"/>
          <w:sz w:val="20"/>
          <w:szCs w:val="20"/>
        </w:rPr>
        <w:fldChar w:fldCharType="end"/>
      </w:r>
      <w:bookmarkEnd w:id="31"/>
      <w:r w:rsidRPr="009F57D8">
        <w:rPr>
          <w:rFonts w:ascii="Arial Narrow" w:hAnsi="Arial Narrow" w:cs="Calibri"/>
          <w:b/>
          <w:bCs/>
          <w:color w:val="000000" w:themeColor="text1"/>
          <w:sz w:val="20"/>
          <w:szCs w:val="20"/>
        </w:rPr>
        <w:t>: Vaccine serotype coverage</w:t>
      </w:r>
    </w:p>
    <w:p w14:paraId="554FC29D" w14:textId="77777777" w:rsidR="00B84A8C" w:rsidRPr="009F57D8" w:rsidRDefault="00B84A8C" w:rsidP="000E6454">
      <w:pPr>
        <w:pStyle w:val="TableFigureFooter"/>
      </w:pPr>
      <w:r w:rsidRPr="009F57D8">
        <w:rPr>
          <w:noProof/>
        </w:rPr>
        <w:drawing>
          <wp:inline distT="0" distB="0" distL="0" distR="0" wp14:anchorId="12E27E0B" wp14:editId="2F0A2B77">
            <wp:extent cx="5732145" cy="1137359"/>
            <wp:effectExtent l="0" t="0" r="1905" b="5715"/>
            <wp:docPr id="932249122" name="Picture 932249122" descr="Figure 1: Vaccine serotype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49122" name="Picture 932249122" descr="Figure 1: Vaccine serotype coverage"/>
                    <pic:cNvPicPr/>
                  </pic:nvPicPr>
                  <pic:blipFill>
                    <a:blip r:embed="rId11">
                      <a:extLst>
                        <a:ext uri="{28A0092B-C50C-407E-A947-70E740481C1C}">
                          <a14:useLocalDpi xmlns:a14="http://schemas.microsoft.com/office/drawing/2010/main" val="0"/>
                        </a:ext>
                      </a:extLst>
                    </a:blip>
                    <a:stretch>
                      <a:fillRect/>
                    </a:stretch>
                  </pic:blipFill>
                  <pic:spPr>
                    <a:xfrm>
                      <a:off x="0" y="0"/>
                      <a:ext cx="5732145" cy="1137359"/>
                    </a:xfrm>
                    <a:prstGeom prst="rect">
                      <a:avLst/>
                    </a:prstGeom>
                  </pic:spPr>
                </pic:pic>
              </a:graphicData>
            </a:graphic>
          </wp:inline>
        </w:drawing>
      </w:r>
      <w:r w:rsidRPr="009F57D8">
        <w:t xml:space="preserve"> Source: Figure 1.1-3 p16 of the submission</w:t>
      </w:r>
    </w:p>
    <w:p w14:paraId="6FE9E390" w14:textId="1977380C" w:rsidR="00B84A8C" w:rsidRPr="009F57D8" w:rsidRDefault="00B84A8C" w:rsidP="000E6454">
      <w:pPr>
        <w:pStyle w:val="TableFigureFooter"/>
      </w:pPr>
      <w:r w:rsidRPr="009F57D8">
        <w:t xml:space="preserve">PCV7 = 7-valent pneumococcal conjugate vaccine; PCV13 = 13-valent pneumococcal conjugate vaccine; PCV15 = 15-valent pneumococcal conjugate vaccine; PCV20 = 20-valent pneumococcal conjugate vaccine; PPVS23 = 23-valent pneumococcal polysaccharide vaccine; </w:t>
      </w:r>
      <w:r w:rsidR="00721E1A" w:rsidRPr="009F57D8">
        <w:t>21vPCV</w:t>
      </w:r>
      <w:r w:rsidRPr="009F57D8">
        <w:t xml:space="preserve"> = 21-valent pneumococcal conjugate vaccine.</w:t>
      </w:r>
    </w:p>
    <w:p w14:paraId="7ACC060B" w14:textId="091D472B" w:rsidR="00B84A8C" w:rsidRPr="009F57D8" w:rsidRDefault="00B84A8C" w:rsidP="000E6454">
      <w:pPr>
        <w:pStyle w:val="TableFigureFooter"/>
      </w:pPr>
      <w:r w:rsidRPr="009F57D8">
        <w:t xml:space="preserve">Serotype 20 has been subtyped to serotype 20A and 20B. As subtypes 20A and 20B, are not captured in the Australian IPD data, for the purposes of this submission, serotype 20 has been included in </w:t>
      </w:r>
      <w:r w:rsidR="00FB7FDD" w:rsidRPr="009F57D8">
        <w:t>21vPCV</w:t>
      </w:r>
      <w:r w:rsidRPr="009F57D8">
        <w:t xml:space="preserve"> disease coverage rates. To be conservative, cross-reactive serotype 15B is also not included in </w:t>
      </w:r>
      <w:r w:rsidR="00FB7FDD" w:rsidRPr="009F57D8">
        <w:t xml:space="preserve">21vPCV </w:t>
      </w:r>
      <w:r w:rsidRPr="009F57D8">
        <w:t>disease coverage rates.</w:t>
      </w:r>
    </w:p>
    <w:p w14:paraId="0010C238" w14:textId="28DE0BE0" w:rsidR="00B84A8C" w:rsidRPr="009F57D8" w:rsidRDefault="00B84A8C" w:rsidP="00B84A8C">
      <w:pPr>
        <w:pStyle w:val="3-BodyText"/>
        <w:numPr>
          <w:ilvl w:val="1"/>
          <w:numId w:val="1"/>
        </w:numPr>
      </w:pPr>
      <w:r w:rsidRPr="009F57D8">
        <w:lastRenderedPageBreak/>
        <w:t xml:space="preserve">The serotype coverage for </w:t>
      </w:r>
      <w:r w:rsidR="00B32245" w:rsidRPr="009F57D8">
        <w:t>21vPCV</w:t>
      </w:r>
      <w:r w:rsidRPr="009F57D8">
        <w:t xml:space="preserve"> and the currently available vaccines is presented in </w:t>
      </w:r>
      <w:r w:rsidRPr="009F57D8">
        <w:fldChar w:fldCharType="begin"/>
      </w:r>
      <w:r w:rsidRPr="009F57D8">
        <w:instrText xml:space="preserve"> REF _Ref174254422 \h  \* MERGEFORMAT </w:instrText>
      </w:r>
      <w:r w:rsidRPr="009F57D8">
        <w:fldChar w:fldCharType="separate"/>
      </w:r>
      <w:r w:rsidR="00581386" w:rsidRPr="009F57D8">
        <w:t xml:space="preserve">Table </w:t>
      </w:r>
      <w:r w:rsidR="00581386">
        <w:t>3</w:t>
      </w:r>
      <w:r w:rsidRPr="009F57D8">
        <w:fldChar w:fldCharType="end"/>
      </w:r>
      <w:r w:rsidRPr="009F57D8">
        <w:t xml:space="preserve">. The disease coverage for </w:t>
      </w:r>
      <w:r w:rsidR="00B32245" w:rsidRPr="009F57D8">
        <w:t>21vPCV</w:t>
      </w:r>
      <w:r w:rsidRPr="009F57D8">
        <w:t xml:space="preserve"> ranges from 66.7% to 78.3% depending on the population. ATAGI noted that coverage is substantially higher for </w:t>
      </w:r>
      <w:r w:rsidR="00B32245" w:rsidRPr="009F57D8">
        <w:t>21vPCV</w:t>
      </w:r>
      <w:r w:rsidRPr="009F57D8">
        <w:t xml:space="preserve"> when compared to 13vPCV alone in </w:t>
      </w:r>
      <w:r w:rsidR="00D04DE7" w:rsidRPr="009F57D8">
        <w:t>Aboriginal and Torres Strait Islander adults</w:t>
      </w:r>
      <w:r w:rsidRPr="009F57D8">
        <w:t xml:space="preserve"> ≥ 50 years and MaR adults, </w:t>
      </w:r>
      <w:r w:rsidR="00656796" w:rsidRPr="009F57D8">
        <w:t xml:space="preserve">a </w:t>
      </w:r>
      <w:r w:rsidRPr="009F57D8">
        <w:t xml:space="preserve">small amount more than 20vPCV alone, and of a similar proportion as 13vPCV + 23vPPV (ATAGI Pre-Submission Advice, May 2024). </w:t>
      </w:r>
    </w:p>
    <w:p w14:paraId="1DF79951" w14:textId="77777777" w:rsidR="00B84A8C" w:rsidRPr="009F57D8" w:rsidRDefault="00B84A8C" w:rsidP="00B84A8C">
      <w:pPr>
        <w:pStyle w:val="3-BodyText"/>
        <w:numPr>
          <w:ilvl w:val="0"/>
          <w:numId w:val="0"/>
        </w:numPr>
      </w:pPr>
    </w:p>
    <w:p w14:paraId="3EC16A08" w14:textId="644205CF" w:rsidR="00B84A8C" w:rsidRPr="009F57D8" w:rsidRDefault="00B84A8C" w:rsidP="006A08A6">
      <w:pPr>
        <w:pStyle w:val="TableFigureHeading"/>
        <w:keepLines/>
        <w:widowControl w:val="0"/>
        <w:rPr>
          <w:bCs w:val="0"/>
        </w:rPr>
      </w:pPr>
      <w:bookmarkStart w:id="32" w:name="_Ref174254422"/>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3</w:t>
      </w:r>
      <w:r w:rsidR="00FA4640" w:rsidRPr="009F57D8">
        <w:fldChar w:fldCharType="end"/>
      </w:r>
      <w:bookmarkEnd w:id="32"/>
      <w:r w:rsidRPr="009F57D8">
        <w:t xml:space="preserve">: IPD serotype coverage with </w:t>
      </w:r>
      <w:r w:rsidR="00F24018" w:rsidRPr="009F57D8">
        <w:t>21vPCV</w:t>
      </w:r>
      <w:r w:rsidRPr="009F57D8">
        <w:t xml:space="preserve">, 20vPCV/15/13, and 23vPPV (2016-2019 NNDSS data excluding untyped and not available) </w:t>
      </w:r>
    </w:p>
    <w:tbl>
      <w:tblPr>
        <w:tblStyle w:val="TableGrid"/>
        <w:tblW w:w="5000" w:type="pct"/>
        <w:tblLook w:val="04A0" w:firstRow="1" w:lastRow="0" w:firstColumn="1" w:lastColumn="0" w:noHBand="0" w:noVBand="1"/>
        <w:tblCaption w:val="Table 3: IPD serotype coverage with 21vPCV, 20vPCV/15/13, and 23vPPV (2016-2019 NNDSS data excluding untyped and not available) "/>
      </w:tblPr>
      <w:tblGrid>
        <w:gridCol w:w="3050"/>
        <w:gridCol w:w="1491"/>
        <w:gridCol w:w="1493"/>
        <w:gridCol w:w="1493"/>
        <w:gridCol w:w="1490"/>
      </w:tblGrid>
      <w:tr w:rsidR="00B84A8C" w:rsidRPr="009F3182" w14:paraId="4F8D0432" w14:textId="77777777" w:rsidTr="009F3182">
        <w:trPr>
          <w:trHeight w:val="20"/>
        </w:trPr>
        <w:tc>
          <w:tcPr>
            <w:tcW w:w="1691" w:type="pct"/>
            <w:noWrap/>
            <w:hideMark/>
          </w:tcPr>
          <w:p w14:paraId="1D0D7F76" w14:textId="77777777" w:rsidR="00B84A8C" w:rsidRPr="009F3182" w:rsidRDefault="00B84A8C" w:rsidP="006A08A6">
            <w:pPr>
              <w:pStyle w:val="TableText0"/>
              <w:keepNext/>
              <w:rPr>
                <w:b/>
                <w:bCs w:val="0"/>
                <w:szCs w:val="20"/>
              </w:rPr>
            </w:pPr>
            <w:r w:rsidRPr="009F3182">
              <w:rPr>
                <w:b/>
                <w:szCs w:val="20"/>
              </w:rPr>
              <w:t>Vaccine</w:t>
            </w:r>
          </w:p>
        </w:tc>
        <w:tc>
          <w:tcPr>
            <w:tcW w:w="827" w:type="pct"/>
            <w:vAlign w:val="center"/>
            <w:hideMark/>
          </w:tcPr>
          <w:p w14:paraId="29DFA171" w14:textId="4640215C" w:rsidR="00B84A8C" w:rsidRPr="009F3182" w:rsidRDefault="00B84A8C" w:rsidP="006A08A6">
            <w:pPr>
              <w:pStyle w:val="TableText0"/>
              <w:keepNext/>
              <w:jc w:val="center"/>
              <w:rPr>
                <w:b/>
                <w:bCs w:val="0"/>
                <w:szCs w:val="20"/>
              </w:rPr>
            </w:pPr>
            <w:r w:rsidRPr="009F3182">
              <w:rPr>
                <w:b/>
                <w:szCs w:val="20"/>
              </w:rPr>
              <w:t xml:space="preserve">Non-Indigenous </w:t>
            </w:r>
            <w:r w:rsidRPr="009F3182">
              <w:rPr>
                <w:rFonts w:cs="Times New Roman"/>
                <w:b/>
                <w:szCs w:val="20"/>
              </w:rPr>
              <w:t xml:space="preserve">≥ </w:t>
            </w:r>
            <w:r w:rsidRPr="009F3182">
              <w:rPr>
                <w:b/>
                <w:szCs w:val="20"/>
              </w:rPr>
              <w:t>70</w:t>
            </w:r>
            <w:r w:rsidR="0066501B" w:rsidRPr="009F3182">
              <w:rPr>
                <w:b/>
                <w:szCs w:val="20"/>
              </w:rPr>
              <w:t xml:space="preserve"> </w:t>
            </w:r>
            <w:r w:rsidRPr="009F3182">
              <w:rPr>
                <w:b/>
                <w:szCs w:val="20"/>
              </w:rPr>
              <w:t>years</w:t>
            </w:r>
          </w:p>
        </w:tc>
        <w:tc>
          <w:tcPr>
            <w:tcW w:w="828" w:type="pct"/>
            <w:vAlign w:val="center"/>
            <w:hideMark/>
          </w:tcPr>
          <w:p w14:paraId="03414226" w14:textId="77777777" w:rsidR="00B84A8C" w:rsidRPr="009F3182" w:rsidRDefault="00B84A8C" w:rsidP="006A08A6">
            <w:pPr>
              <w:pStyle w:val="TableText0"/>
              <w:keepNext/>
              <w:jc w:val="center"/>
              <w:rPr>
                <w:b/>
                <w:bCs w:val="0"/>
                <w:szCs w:val="20"/>
              </w:rPr>
            </w:pPr>
            <w:r w:rsidRPr="009F3182">
              <w:rPr>
                <w:b/>
                <w:szCs w:val="20"/>
              </w:rPr>
              <w:t xml:space="preserve">MaR aged </w:t>
            </w:r>
            <w:r w:rsidRPr="009F3182">
              <w:rPr>
                <w:rFonts w:cs="Times New Roman"/>
                <w:b/>
                <w:szCs w:val="20"/>
              </w:rPr>
              <w:t xml:space="preserve">≥ </w:t>
            </w:r>
            <w:r w:rsidRPr="009F3182">
              <w:rPr>
                <w:b/>
                <w:szCs w:val="20"/>
              </w:rPr>
              <w:t>18 years</w:t>
            </w:r>
          </w:p>
        </w:tc>
        <w:tc>
          <w:tcPr>
            <w:tcW w:w="828" w:type="pct"/>
            <w:vAlign w:val="center"/>
            <w:hideMark/>
          </w:tcPr>
          <w:p w14:paraId="799353F7" w14:textId="77777777" w:rsidR="00B84A8C" w:rsidRPr="009F3182" w:rsidRDefault="00B84A8C" w:rsidP="006A08A6">
            <w:pPr>
              <w:pStyle w:val="TableText0"/>
              <w:keepNext/>
              <w:jc w:val="center"/>
              <w:rPr>
                <w:rFonts w:cs="Arial"/>
                <w:b/>
                <w:bCs w:val="0"/>
                <w:szCs w:val="20"/>
              </w:rPr>
            </w:pPr>
            <w:r w:rsidRPr="009F3182">
              <w:rPr>
                <w:b/>
                <w:szCs w:val="20"/>
              </w:rPr>
              <w:t xml:space="preserve">Indigenous </w:t>
            </w:r>
            <w:r w:rsidRPr="009F3182">
              <w:rPr>
                <w:rFonts w:cs="Arial"/>
                <w:b/>
                <w:szCs w:val="20"/>
              </w:rPr>
              <w:t>≥</w:t>
            </w:r>
          </w:p>
          <w:p w14:paraId="2409125C" w14:textId="77777777" w:rsidR="00B84A8C" w:rsidRPr="009F3182" w:rsidRDefault="00B84A8C" w:rsidP="006A08A6">
            <w:pPr>
              <w:pStyle w:val="TableText0"/>
              <w:keepNext/>
              <w:jc w:val="center"/>
              <w:rPr>
                <w:b/>
                <w:bCs w:val="0"/>
                <w:szCs w:val="20"/>
              </w:rPr>
            </w:pPr>
            <w:r w:rsidRPr="009F3182">
              <w:rPr>
                <w:b/>
                <w:szCs w:val="20"/>
              </w:rPr>
              <w:t>50 years</w:t>
            </w:r>
          </w:p>
        </w:tc>
        <w:tc>
          <w:tcPr>
            <w:tcW w:w="826" w:type="pct"/>
            <w:vAlign w:val="center"/>
            <w:hideMark/>
          </w:tcPr>
          <w:p w14:paraId="0B1225EC" w14:textId="77777777" w:rsidR="00B84A8C" w:rsidRPr="009F3182" w:rsidRDefault="00B84A8C" w:rsidP="006A08A6">
            <w:pPr>
              <w:pStyle w:val="TableText0"/>
              <w:keepNext/>
              <w:jc w:val="center"/>
              <w:rPr>
                <w:b/>
                <w:bCs w:val="0"/>
                <w:szCs w:val="20"/>
              </w:rPr>
            </w:pPr>
            <w:r w:rsidRPr="009F3182">
              <w:rPr>
                <w:b/>
                <w:szCs w:val="20"/>
              </w:rPr>
              <w:t>Indigenous</w:t>
            </w:r>
          </w:p>
          <w:p w14:paraId="524581AF" w14:textId="77777777" w:rsidR="00B84A8C" w:rsidRPr="009F3182" w:rsidRDefault="00B84A8C" w:rsidP="006A08A6">
            <w:pPr>
              <w:pStyle w:val="TableText0"/>
              <w:keepNext/>
              <w:jc w:val="center"/>
              <w:rPr>
                <w:b/>
                <w:bCs w:val="0"/>
                <w:szCs w:val="20"/>
              </w:rPr>
            </w:pPr>
            <w:r w:rsidRPr="009F3182">
              <w:rPr>
                <w:b/>
                <w:szCs w:val="20"/>
              </w:rPr>
              <w:t>25 to 49 years</w:t>
            </w:r>
          </w:p>
        </w:tc>
      </w:tr>
      <w:tr w:rsidR="00B84A8C" w:rsidRPr="009F3182" w14:paraId="472337DD" w14:textId="77777777" w:rsidTr="009F3182">
        <w:trPr>
          <w:trHeight w:val="20"/>
        </w:trPr>
        <w:tc>
          <w:tcPr>
            <w:tcW w:w="1691" w:type="pct"/>
            <w:noWrap/>
            <w:hideMark/>
          </w:tcPr>
          <w:p w14:paraId="6FE6C209" w14:textId="285633E4" w:rsidR="00B84A8C" w:rsidRPr="009F3182" w:rsidRDefault="00B32245" w:rsidP="006A08A6">
            <w:pPr>
              <w:pStyle w:val="TableText0"/>
              <w:keepNext/>
              <w:rPr>
                <w:szCs w:val="20"/>
              </w:rPr>
            </w:pPr>
            <w:r w:rsidRPr="009F3182">
              <w:rPr>
                <w:szCs w:val="20"/>
              </w:rPr>
              <w:t>21vPCV</w:t>
            </w:r>
            <w:r w:rsidRPr="009F3182" w:rsidDel="00B32245">
              <w:rPr>
                <w:szCs w:val="20"/>
              </w:rPr>
              <w:t xml:space="preserve"> </w:t>
            </w:r>
            <w:r w:rsidR="00EC3B95" w:rsidRPr="009F3182">
              <w:rPr>
                <w:szCs w:val="20"/>
                <w:vertAlign w:val="superscript"/>
              </w:rPr>
              <w:t>a</w:t>
            </w:r>
          </w:p>
        </w:tc>
        <w:tc>
          <w:tcPr>
            <w:tcW w:w="827" w:type="pct"/>
            <w:noWrap/>
            <w:vAlign w:val="center"/>
            <w:hideMark/>
          </w:tcPr>
          <w:p w14:paraId="02AEC53D" w14:textId="77777777" w:rsidR="00B84A8C" w:rsidRPr="009F3182" w:rsidRDefault="00B84A8C" w:rsidP="006A08A6">
            <w:pPr>
              <w:pStyle w:val="TableText0"/>
              <w:keepNext/>
              <w:jc w:val="center"/>
              <w:rPr>
                <w:szCs w:val="20"/>
              </w:rPr>
            </w:pPr>
            <w:r w:rsidRPr="009F3182">
              <w:rPr>
                <w:szCs w:val="20"/>
              </w:rPr>
              <w:t>74.9%</w:t>
            </w:r>
          </w:p>
        </w:tc>
        <w:tc>
          <w:tcPr>
            <w:tcW w:w="828" w:type="pct"/>
            <w:noWrap/>
            <w:vAlign w:val="center"/>
            <w:hideMark/>
          </w:tcPr>
          <w:p w14:paraId="05D17348" w14:textId="77777777" w:rsidR="00B84A8C" w:rsidRPr="009F3182" w:rsidRDefault="00B84A8C" w:rsidP="006A08A6">
            <w:pPr>
              <w:pStyle w:val="TableText0"/>
              <w:keepNext/>
              <w:jc w:val="center"/>
              <w:rPr>
                <w:szCs w:val="20"/>
              </w:rPr>
            </w:pPr>
            <w:r w:rsidRPr="009F3182">
              <w:rPr>
                <w:szCs w:val="20"/>
              </w:rPr>
              <w:t>78.3%</w:t>
            </w:r>
          </w:p>
        </w:tc>
        <w:tc>
          <w:tcPr>
            <w:tcW w:w="828" w:type="pct"/>
            <w:noWrap/>
            <w:vAlign w:val="center"/>
            <w:hideMark/>
          </w:tcPr>
          <w:p w14:paraId="4F403486" w14:textId="77777777" w:rsidR="00B84A8C" w:rsidRPr="009F3182" w:rsidRDefault="00B84A8C" w:rsidP="006A08A6">
            <w:pPr>
              <w:pStyle w:val="TableText0"/>
              <w:keepNext/>
              <w:jc w:val="center"/>
              <w:rPr>
                <w:szCs w:val="20"/>
              </w:rPr>
            </w:pPr>
            <w:r w:rsidRPr="009F3182">
              <w:rPr>
                <w:szCs w:val="20"/>
              </w:rPr>
              <w:t>73.9%</w:t>
            </w:r>
          </w:p>
        </w:tc>
        <w:tc>
          <w:tcPr>
            <w:tcW w:w="826" w:type="pct"/>
            <w:noWrap/>
            <w:vAlign w:val="center"/>
            <w:hideMark/>
          </w:tcPr>
          <w:p w14:paraId="6D2BDF52" w14:textId="77777777" w:rsidR="00B84A8C" w:rsidRPr="009F3182" w:rsidRDefault="00B84A8C" w:rsidP="006A08A6">
            <w:pPr>
              <w:pStyle w:val="TableText0"/>
              <w:keepNext/>
              <w:jc w:val="center"/>
              <w:rPr>
                <w:szCs w:val="20"/>
              </w:rPr>
            </w:pPr>
            <w:r w:rsidRPr="009F3182">
              <w:rPr>
                <w:szCs w:val="20"/>
              </w:rPr>
              <w:t>66.7%</w:t>
            </w:r>
          </w:p>
        </w:tc>
      </w:tr>
      <w:tr w:rsidR="00B84A8C" w:rsidRPr="009F3182" w14:paraId="685A4424" w14:textId="77777777" w:rsidTr="009F3182">
        <w:trPr>
          <w:trHeight w:val="20"/>
        </w:trPr>
        <w:tc>
          <w:tcPr>
            <w:tcW w:w="1691" w:type="pct"/>
            <w:noWrap/>
            <w:hideMark/>
          </w:tcPr>
          <w:p w14:paraId="2D22E27E" w14:textId="77777777" w:rsidR="00B84A8C" w:rsidRPr="009F3182" w:rsidRDefault="00B84A8C" w:rsidP="006A08A6">
            <w:pPr>
              <w:pStyle w:val="TableText0"/>
              <w:keepNext/>
              <w:rPr>
                <w:szCs w:val="20"/>
              </w:rPr>
            </w:pPr>
            <w:r w:rsidRPr="009F3182">
              <w:rPr>
                <w:szCs w:val="20"/>
              </w:rPr>
              <w:t>13vPCV</w:t>
            </w:r>
          </w:p>
        </w:tc>
        <w:tc>
          <w:tcPr>
            <w:tcW w:w="827" w:type="pct"/>
            <w:noWrap/>
            <w:vAlign w:val="center"/>
            <w:hideMark/>
          </w:tcPr>
          <w:p w14:paraId="2E57C102" w14:textId="77777777" w:rsidR="00B84A8C" w:rsidRPr="009F3182" w:rsidRDefault="00B84A8C" w:rsidP="006A08A6">
            <w:pPr>
              <w:pStyle w:val="TableText0"/>
              <w:keepNext/>
              <w:jc w:val="center"/>
              <w:rPr>
                <w:szCs w:val="20"/>
              </w:rPr>
            </w:pPr>
            <w:r w:rsidRPr="009F3182">
              <w:rPr>
                <w:szCs w:val="20"/>
              </w:rPr>
              <w:t>31.4%</w:t>
            </w:r>
          </w:p>
        </w:tc>
        <w:tc>
          <w:tcPr>
            <w:tcW w:w="828" w:type="pct"/>
            <w:noWrap/>
            <w:vAlign w:val="center"/>
            <w:hideMark/>
          </w:tcPr>
          <w:p w14:paraId="77943D45" w14:textId="77777777" w:rsidR="00B84A8C" w:rsidRPr="009F3182" w:rsidRDefault="00B84A8C" w:rsidP="006A08A6">
            <w:pPr>
              <w:pStyle w:val="TableText0"/>
              <w:keepNext/>
              <w:jc w:val="center"/>
              <w:rPr>
                <w:szCs w:val="20"/>
              </w:rPr>
            </w:pPr>
            <w:r w:rsidRPr="009F3182">
              <w:rPr>
                <w:szCs w:val="20"/>
              </w:rPr>
              <w:t>35.2%</w:t>
            </w:r>
          </w:p>
        </w:tc>
        <w:tc>
          <w:tcPr>
            <w:tcW w:w="828" w:type="pct"/>
            <w:noWrap/>
            <w:vAlign w:val="center"/>
            <w:hideMark/>
          </w:tcPr>
          <w:p w14:paraId="0CFF6E37" w14:textId="77777777" w:rsidR="00B84A8C" w:rsidRPr="009F3182" w:rsidRDefault="00B84A8C" w:rsidP="006A08A6">
            <w:pPr>
              <w:pStyle w:val="TableText0"/>
              <w:keepNext/>
              <w:jc w:val="center"/>
              <w:rPr>
                <w:szCs w:val="20"/>
              </w:rPr>
            </w:pPr>
            <w:r w:rsidRPr="009F3182">
              <w:rPr>
                <w:szCs w:val="20"/>
              </w:rPr>
              <w:t>29.1%</w:t>
            </w:r>
          </w:p>
        </w:tc>
        <w:tc>
          <w:tcPr>
            <w:tcW w:w="826" w:type="pct"/>
            <w:noWrap/>
            <w:vAlign w:val="center"/>
            <w:hideMark/>
          </w:tcPr>
          <w:p w14:paraId="3E33E80E" w14:textId="77777777" w:rsidR="00B84A8C" w:rsidRPr="009F3182" w:rsidRDefault="00B84A8C" w:rsidP="006A08A6">
            <w:pPr>
              <w:pStyle w:val="TableText0"/>
              <w:keepNext/>
              <w:jc w:val="center"/>
              <w:rPr>
                <w:szCs w:val="20"/>
              </w:rPr>
            </w:pPr>
            <w:r w:rsidRPr="009F3182">
              <w:rPr>
                <w:szCs w:val="20"/>
              </w:rPr>
              <w:t>NA</w:t>
            </w:r>
          </w:p>
        </w:tc>
      </w:tr>
      <w:tr w:rsidR="00B84A8C" w:rsidRPr="009F3182" w14:paraId="36E31648" w14:textId="77777777" w:rsidTr="009F3182">
        <w:trPr>
          <w:trHeight w:val="20"/>
        </w:trPr>
        <w:tc>
          <w:tcPr>
            <w:tcW w:w="1691" w:type="pct"/>
            <w:noWrap/>
            <w:hideMark/>
          </w:tcPr>
          <w:p w14:paraId="69F4F7DC" w14:textId="77777777" w:rsidR="00B84A8C" w:rsidRPr="009F3182" w:rsidRDefault="00B84A8C" w:rsidP="006A08A6">
            <w:pPr>
              <w:pStyle w:val="TableText0"/>
              <w:keepNext/>
              <w:rPr>
                <w:szCs w:val="20"/>
              </w:rPr>
            </w:pPr>
            <w:r w:rsidRPr="009F3182">
              <w:rPr>
                <w:szCs w:val="20"/>
              </w:rPr>
              <w:t>15vPCV</w:t>
            </w:r>
          </w:p>
        </w:tc>
        <w:tc>
          <w:tcPr>
            <w:tcW w:w="827" w:type="pct"/>
            <w:noWrap/>
            <w:vAlign w:val="center"/>
            <w:hideMark/>
          </w:tcPr>
          <w:p w14:paraId="75D5AA81" w14:textId="77777777" w:rsidR="00B84A8C" w:rsidRPr="009F3182" w:rsidRDefault="00B84A8C" w:rsidP="006A08A6">
            <w:pPr>
              <w:pStyle w:val="TableText0"/>
              <w:keepNext/>
              <w:jc w:val="center"/>
              <w:rPr>
                <w:szCs w:val="20"/>
              </w:rPr>
            </w:pPr>
            <w:r w:rsidRPr="009F3182">
              <w:rPr>
                <w:szCs w:val="20"/>
              </w:rPr>
              <w:t>43.1%</w:t>
            </w:r>
          </w:p>
        </w:tc>
        <w:tc>
          <w:tcPr>
            <w:tcW w:w="828" w:type="pct"/>
            <w:noWrap/>
            <w:vAlign w:val="center"/>
            <w:hideMark/>
          </w:tcPr>
          <w:p w14:paraId="20FB132C" w14:textId="77777777" w:rsidR="00B84A8C" w:rsidRPr="009F3182" w:rsidRDefault="00B84A8C" w:rsidP="006A08A6">
            <w:pPr>
              <w:pStyle w:val="TableText0"/>
              <w:keepNext/>
              <w:jc w:val="center"/>
              <w:rPr>
                <w:szCs w:val="20"/>
              </w:rPr>
            </w:pPr>
            <w:r w:rsidRPr="009F3182">
              <w:rPr>
                <w:szCs w:val="20"/>
              </w:rPr>
              <w:t>48.3%</w:t>
            </w:r>
          </w:p>
        </w:tc>
        <w:tc>
          <w:tcPr>
            <w:tcW w:w="828" w:type="pct"/>
            <w:noWrap/>
            <w:vAlign w:val="center"/>
            <w:hideMark/>
          </w:tcPr>
          <w:p w14:paraId="5B1B3FA5" w14:textId="77777777" w:rsidR="00B84A8C" w:rsidRPr="009F3182" w:rsidRDefault="00B84A8C" w:rsidP="006A08A6">
            <w:pPr>
              <w:pStyle w:val="TableText0"/>
              <w:keepNext/>
              <w:jc w:val="center"/>
              <w:rPr>
                <w:szCs w:val="20"/>
              </w:rPr>
            </w:pPr>
            <w:r w:rsidRPr="009F3182">
              <w:rPr>
                <w:szCs w:val="20"/>
              </w:rPr>
              <w:t>37.4%</w:t>
            </w:r>
          </w:p>
        </w:tc>
        <w:tc>
          <w:tcPr>
            <w:tcW w:w="826" w:type="pct"/>
            <w:noWrap/>
            <w:vAlign w:val="center"/>
            <w:hideMark/>
          </w:tcPr>
          <w:p w14:paraId="3F6593C7" w14:textId="77777777" w:rsidR="00B84A8C" w:rsidRPr="009F3182" w:rsidRDefault="00B84A8C" w:rsidP="006A08A6">
            <w:pPr>
              <w:pStyle w:val="TableText0"/>
              <w:keepNext/>
              <w:jc w:val="center"/>
              <w:rPr>
                <w:szCs w:val="20"/>
              </w:rPr>
            </w:pPr>
            <w:r w:rsidRPr="009F3182">
              <w:rPr>
                <w:szCs w:val="20"/>
              </w:rPr>
              <w:t>NA</w:t>
            </w:r>
          </w:p>
        </w:tc>
      </w:tr>
      <w:tr w:rsidR="00B84A8C" w:rsidRPr="009F3182" w14:paraId="419D0D0E" w14:textId="77777777" w:rsidTr="009F3182">
        <w:trPr>
          <w:trHeight w:val="20"/>
        </w:trPr>
        <w:tc>
          <w:tcPr>
            <w:tcW w:w="1691" w:type="pct"/>
            <w:noWrap/>
            <w:hideMark/>
          </w:tcPr>
          <w:p w14:paraId="40DA8B98" w14:textId="77777777" w:rsidR="00B84A8C" w:rsidRPr="009F3182" w:rsidRDefault="00B84A8C" w:rsidP="006A08A6">
            <w:pPr>
              <w:pStyle w:val="TableText0"/>
              <w:keepNext/>
              <w:rPr>
                <w:szCs w:val="20"/>
              </w:rPr>
            </w:pPr>
            <w:r w:rsidRPr="009F3182">
              <w:rPr>
                <w:szCs w:val="20"/>
              </w:rPr>
              <w:t>20vPCV</w:t>
            </w:r>
          </w:p>
        </w:tc>
        <w:tc>
          <w:tcPr>
            <w:tcW w:w="827" w:type="pct"/>
            <w:noWrap/>
            <w:vAlign w:val="center"/>
            <w:hideMark/>
          </w:tcPr>
          <w:p w14:paraId="1B2A0BFB" w14:textId="77777777" w:rsidR="00B84A8C" w:rsidRPr="009F3182" w:rsidRDefault="00B84A8C" w:rsidP="006A08A6">
            <w:pPr>
              <w:pStyle w:val="TableText0"/>
              <w:keepNext/>
              <w:jc w:val="center"/>
              <w:rPr>
                <w:szCs w:val="20"/>
              </w:rPr>
            </w:pPr>
            <w:r w:rsidRPr="009F3182">
              <w:rPr>
                <w:szCs w:val="20"/>
              </w:rPr>
              <w:t>52.2%</w:t>
            </w:r>
          </w:p>
        </w:tc>
        <w:tc>
          <w:tcPr>
            <w:tcW w:w="828" w:type="pct"/>
            <w:noWrap/>
            <w:vAlign w:val="center"/>
            <w:hideMark/>
          </w:tcPr>
          <w:p w14:paraId="371A53C8" w14:textId="77777777" w:rsidR="00B84A8C" w:rsidRPr="009F3182" w:rsidRDefault="00B84A8C" w:rsidP="006A08A6">
            <w:pPr>
              <w:pStyle w:val="TableText0"/>
              <w:keepNext/>
              <w:jc w:val="center"/>
              <w:rPr>
                <w:szCs w:val="20"/>
              </w:rPr>
            </w:pPr>
            <w:r w:rsidRPr="009F3182">
              <w:rPr>
                <w:szCs w:val="20"/>
              </w:rPr>
              <w:t>60.7%</w:t>
            </w:r>
          </w:p>
        </w:tc>
        <w:tc>
          <w:tcPr>
            <w:tcW w:w="828" w:type="pct"/>
            <w:noWrap/>
            <w:vAlign w:val="center"/>
            <w:hideMark/>
          </w:tcPr>
          <w:p w14:paraId="080CF0F5" w14:textId="77777777" w:rsidR="00B84A8C" w:rsidRPr="009F3182" w:rsidRDefault="00B84A8C" w:rsidP="006A08A6">
            <w:pPr>
              <w:pStyle w:val="TableText0"/>
              <w:keepNext/>
              <w:jc w:val="center"/>
              <w:rPr>
                <w:szCs w:val="20"/>
              </w:rPr>
            </w:pPr>
            <w:r w:rsidRPr="009F3182">
              <w:rPr>
                <w:szCs w:val="20"/>
              </w:rPr>
              <w:t>56.4%</w:t>
            </w:r>
          </w:p>
        </w:tc>
        <w:tc>
          <w:tcPr>
            <w:tcW w:w="826" w:type="pct"/>
            <w:noWrap/>
            <w:vAlign w:val="center"/>
            <w:hideMark/>
          </w:tcPr>
          <w:p w14:paraId="73849D8D" w14:textId="77777777" w:rsidR="00B84A8C" w:rsidRPr="009F3182" w:rsidRDefault="00B84A8C" w:rsidP="006A08A6">
            <w:pPr>
              <w:pStyle w:val="TableText0"/>
              <w:keepNext/>
              <w:jc w:val="center"/>
              <w:rPr>
                <w:szCs w:val="20"/>
              </w:rPr>
            </w:pPr>
            <w:r w:rsidRPr="009F3182">
              <w:rPr>
                <w:szCs w:val="20"/>
              </w:rPr>
              <w:t>67.0%</w:t>
            </w:r>
          </w:p>
        </w:tc>
      </w:tr>
      <w:tr w:rsidR="00B84A8C" w:rsidRPr="009F3182" w14:paraId="7DE5C33F" w14:textId="77777777" w:rsidTr="009F3182">
        <w:trPr>
          <w:trHeight w:val="20"/>
        </w:trPr>
        <w:tc>
          <w:tcPr>
            <w:tcW w:w="1691" w:type="pct"/>
            <w:noWrap/>
            <w:hideMark/>
          </w:tcPr>
          <w:p w14:paraId="410A9C0A" w14:textId="77777777" w:rsidR="00B84A8C" w:rsidRPr="009F3182" w:rsidRDefault="00B84A8C" w:rsidP="006A08A6">
            <w:pPr>
              <w:pStyle w:val="TableText0"/>
              <w:keepNext/>
              <w:rPr>
                <w:szCs w:val="20"/>
              </w:rPr>
            </w:pPr>
            <w:r w:rsidRPr="009F3182">
              <w:rPr>
                <w:szCs w:val="20"/>
              </w:rPr>
              <w:t>13vPCV+23vPPV</w:t>
            </w:r>
          </w:p>
        </w:tc>
        <w:tc>
          <w:tcPr>
            <w:tcW w:w="827" w:type="pct"/>
            <w:noWrap/>
            <w:vAlign w:val="center"/>
            <w:hideMark/>
          </w:tcPr>
          <w:p w14:paraId="4F111030" w14:textId="77777777" w:rsidR="00B84A8C" w:rsidRPr="009F3182" w:rsidRDefault="00B84A8C" w:rsidP="006A08A6">
            <w:pPr>
              <w:pStyle w:val="TableText0"/>
              <w:keepNext/>
              <w:jc w:val="center"/>
              <w:rPr>
                <w:szCs w:val="20"/>
              </w:rPr>
            </w:pPr>
            <w:r w:rsidRPr="009F3182">
              <w:rPr>
                <w:szCs w:val="20"/>
              </w:rPr>
              <w:t>NA</w:t>
            </w:r>
          </w:p>
        </w:tc>
        <w:tc>
          <w:tcPr>
            <w:tcW w:w="828" w:type="pct"/>
            <w:noWrap/>
            <w:vAlign w:val="center"/>
            <w:hideMark/>
          </w:tcPr>
          <w:p w14:paraId="5CA6D222" w14:textId="77777777" w:rsidR="00B84A8C" w:rsidRPr="009F3182" w:rsidRDefault="00B84A8C" w:rsidP="006A08A6">
            <w:pPr>
              <w:pStyle w:val="TableText0"/>
              <w:keepNext/>
              <w:jc w:val="center"/>
              <w:rPr>
                <w:szCs w:val="20"/>
              </w:rPr>
            </w:pPr>
            <w:r w:rsidRPr="009F3182">
              <w:rPr>
                <w:szCs w:val="20"/>
              </w:rPr>
              <w:t>72.3%</w:t>
            </w:r>
          </w:p>
        </w:tc>
        <w:tc>
          <w:tcPr>
            <w:tcW w:w="828" w:type="pct"/>
            <w:noWrap/>
            <w:vAlign w:val="center"/>
            <w:hideMark/>
          </w:tcPr>
          <w:p w14:paraId="06D8543F" w14:textId="77777777" w:rsidR="00B84A8C" w:rsidRPr="009F3182" w:rsidRDefault="00B84A8C" w:rsidP="006A08A6">
            <w:pPr>
              <w:pStyle w:val="TableText0"/>
              <w:keepNext/>
              <w:jc w:val="center"/>
              <w:rPr>
                <w:szCs w:val="20"/>
              </w:rPr>
            </w:pPr>
            <w:r w:rsidRPr="009F3182">
              <w:rPr>
                <w:szCs w:val="20"/>
              </w:rPr>
              <w:t>65.0%</w:t>
            </w:r>
          </w:p>
        </w:tc>
        <w:tc>
          <w:tcPr>
            <w:tcW w:w="826" w:type="pct"/>
            <w:noWrap/>
            <w:vAlign w:val="center"/>
            <w:hideMark/>
          </w:tcPr>
          <w:p w14:paraId="3424ABF6" w14:textId="77777777" w:rsidR="00B84A8C" w:rsidRPr="009F3182" w:rsidRDefault="00B84A8C" w:rsidP="006A08A6">
            <w:pPr>
              <w:pStyle w:val="TableText0"/>
              <w:keepNext/>
              <w:jc w:val="center"/>
              <w:rPr>
                <w:szCs w:val="20"/>
              </w:rPr>
            </w:pPr>
            <w:r w:rsidRPr="009F3182">
              <w:rPr>
                <w:szCs w:val="20"/>
              </w:rPr>
              <w:t>75.4%</w:t>
            </w:r>
          </w:p>
        </w:tc>
      </w:tr>
      <w:tr w:rsidR="00B84A8C" w:rsidRPr="009F3182" w14:paraId="214443EB" w14:textId="77777777" w:rsidTr="009F3182">
        <w:trPr>
          <w:trHeight w:val="20"/>
        </w:trPr>
        <w:tc>
          <w:tcPr>
            <w:tcW w:w="1691" w:type="pct"/>
            <w:noWrap/>
          </w:tcPr>
          <w:p w14:paraId="728041A4" w14:textId="38452F13" w:rsidR="00B84A8C" w:rsidRPr="009F3182" w:rsidRDefault="00B84A8C" w:rsidP="006A08A6">
            <w:pPr>
              <w:pStyle w:val="TableText0"/>
              <w:keepNext/>
              <w:rPr>
                <w:szCs w:val="20"/>
              </w:rPr>
            </w:pPr>
            <w:r w:rsidRPr="009F3182">
              <w:rPr>
                <w:szCs w:val="20"/>
              </w:rPr>
              <w:t xml:space="preserve">Difference </w:t>
            </w:r>
            <w:r w:rsidR="00B32245" w:rsidRPr="009F3182">
              <w:rPr>
                <w:szCs w:val="20"/>
              </w:rPr>
              <w:t>21vPCV</w:t>
            </w:r>
            <w:r w:rsidR="00B32245" w:rsidRPr="009F3182" w:rsidDel="00B32245">
              <w:rPr>
                <w:szCs w:val="20"/>
              </w:rPr>
              <w:t xml:space="preserve"> </w:t>
            </w:r>
            <w:r w:rsidRPr="009F3182">
              <w:rPr>
                <w:szCs w:val="20"/>
              </w:rPr>
              <w:t>-13vPCV</w:t>
            </w:r>
          </w:p>
        </w:tc>
        <w:tc>
          <w:tcPr>
            <w:tcW w:w="827" w:type="pct"/>
            <w:noWrap/>
            <w:vAlign w:val="center"/>
          </w:tcPr>
          <w:p w14:paraId="3D63373A" w14:textId="77777777" w:rsidR="00B84A8C" w:rsidRPr="009F3182" w:rsidRDefault="00B84A8C" w:rsidP="006A08A6">
            <w:pPr>
              <w:pStyle w:val="TableText0"/>
              <w:keepNext/>
              <w:jc w:val="center"/>
              <w:rPr>
                <w:b/>
                <w:szCs w:val="20"/>
              </w:rPr>
            </w:pPr>
            <w:r w:rsidRPr="009F3182">
              <w:rPr>
                <w:szCs w:val="20"/>
              </w:rPr>
              <w:t>43.5%</w:t>
            </w:r>
          </w:p>
        </w:tc>
        <w:tc>
          <w:tcPr>
            <w:tcW w:w="828" w:type="pct"/>
            <w:noWrap/>
            <w:vAlign w:val="center"/>
          </w:tcPr>
          <w:p w14:paraId="224A6F48" w14:textId="77777777" w:rsidR="00B84A8C" w:rsidRPr="009F3182" w:rsidRDefault="00B84A8C" w:rsidP="006A08A6">
            <w:pPr>
              <w:pStyle w:val="TableText0"/>
              <w:keepNext/>
              <w:jc w:val="center"/>
              <w:rPr>
                <w:b/>
                <w:szCs w:val="20"/>
              </w:rPr>
            </w:pPr>
            <w:r w:rsidRPr="009F3182">
              <w:rPr>
                <w:szCs w:val="20"/>
              </w:rPr>
              <w:t>43.1%</w:t>
            </w:r>
          </w:p>
        </w:tc>
        <w:tc>
          <w:tcPr>
            <w:tcW w:w="828" w:type="pct"/>
            <w:noWrap/>
            <w:vAlign w:val="center"/>
          </w:tcPr>
          <w:p w14:paraId="1C9BF460" w14:textId="77777777" w:rsidR="00B84A8C" w:rsidRPr="009F3182" w:rsidRDefault="00B84A8C" w:rsidP="006A08A6">
            <w:pPr>
              <w:pStyle w:val="TableText0"/>
              <w:keepNext/>
              <w:jc w:val="center"/>
              <w:rPr>
                <w:b/>
                <w:szCs w:val="20"/>
              </w:rPr>
            </w:pPr>
            <w:r w:rsidRPr="009F3182">
              <w:rPr>
                <w:szCs w:val="20"/>
              </w:rPr>
              <w:t>44.8%</w:t>
            </w:r>
          </w:p>
        </w:tc>
        <w:tc>
          <w:tcPr>
            <w:tcW w:w="826" w:type="pct"/>
            <w:noWrap/>
            <w:vAlign w:val="center"/>
          </w:tcPr>
          <w:p w14:paraId="25FACAD6" w14:textId="77777777" w:rsidR="00B84A8C" w:rsidRPr="009F3182" w:rsidRDefault="00B84A8C" w:rsidP="006A08A6">
            <w:pPr>
              <w:pStyle w:val="TableText0"/>
              <w:keepNext/>
              <w:jc w:val="center"/>
              <w:rPr>
                <w:b/>
                <w:szCs w:val="20"/>
              </w:rPr>
            </w:pPr>
            <w:r w:rsidRPr="009F3182">
              <w:rPr>
                <w:szCs w:val="20"/>
              </w:rPr>
              <w:t>NA</w:t>
            </w:r>
          </w:p>
        </w:tc>
      </w:tr>
      <w:tr w:rsidR="00B84A8C" w:rsidRPr="009F3182" w14:paraId="6F7BD7DE" w14:textId="77777777" w:rsidTr="009F3182">
        <w:trPr>
          <w:trHeight w:val="20"/>
        </w:trPr>
        <w:tc>
          <w:tcPr>
            <w:tcW w:w="1691" w:type="pct"/>
            <w:noWrap/>
          </w:tcPr>
          <w:p w14:paraId="52EE4F7C" w14:textId="2A34987F" w:rsidR="00B84A8C" w:rsidRPr="009F3182" w:rsidRDefault="00B84A8C" w:rsidP="006A08A6">
            <w:pPr>
              <w:pStyle w:val="TableText0"/>
              <w:keepNext/>
              <w:rPr>
                <w:szCs w:val="20"/>
              </w:rPr>
            </w:pPr>
            <w:r w:rsidRPr="009F3182">
              <w:rPr>
                <w:szCs w:val="20"/>
              </w:rPr>
              <w:t xml:space="preserve">Difference </w:t>
            </w:r>
            <w:r w:rsidR="00B32245" w:rsidRPr="009F3182">
              <w:rPr>
                <w:szCs w:val="20"/>
              </w:rPr>
              <w:t>21vPCV</w:t>
            </w:r>
            <w:r w:rsidR="00B32245" w:rsidRPr="009F3182" w:rsidDel="00B32245">
              <w:rPr>
                <w:szCs w:val="20"/>
              </w:rPr>
              <w:t xml:space="preserve"> </w:t>
            </w:r>
            <w:r w:rsidRPr="009F3182">
              <w:rPr>
                <w:szCs w:val="20"/>
              </w:rPr>
              <w:t>-20vPCV</w:t>
            </w:r>
          </w:p>
        </w:tc>
        <w:tc>
          <w:tcPr>
            <w:tcW w:w="827" w:type="pct"/>
            <w:noWrap/>
            <w:vAlign w:val="center"/>
          </w:tcPr>
          <w:p w14:paraId="1B6C1BF8" w14:textId="77777777" w:rsidR="00B84A8C" w:rsidRPr="009F3182" w:rsidRDefault="00B84A8C" w:rsidP="006A08A6">
            <w:pPr>
              <w:pStyle w:val="TableText0"/>
              <w:keepNext/>
              <w:jc w:val="center"/>
              <w:rPr>
                <w:b/>
                <w:szCs w:val="20"/>
              </w:rPr>
            </w:pPr>
            <w:r w:rsidRPr="009F3182">
              <w:rPr>
                <w:szCs w:val="20"/>
              </w:rPr>
              <w:t>22.6%</w:t>
            </w:r>
          </w:p>
        </w:tc>
        <w:tc>
          <w:tcPr>
            <w:tcW w:w="828" w:type="pct"/>
            <w:noWrap/>
            <w:vAlign w:val="center"/>
          </w:tcPr>
          <w:p w14:paraId="1D79BD5B" w14:textId="77777777" w:rsidR="00B84A8C" w:rsidRPr="009F3182" w:rsidRDefault="00B84A8C" w:rsidP="006A08A6">
            <w:pPr>
              <w:pStyle w:val="TableText0"/>
              <w:keepNext/>
              <w:jc w:val="center"/>
              <w:rPr>
                <w:b/>
                <w:szCs w:val="20"/>
              </w:rPr>
            </w:pPr>
            <w:r w:rsidRPr="009F3182">
              <w:rPr>
                <w:szCs w:val="20"/>
              </w:rPr>
              <w:t>17.7%</w:t>
            </w:r>
          </w:p>
        </w:tc>
        <w:tc>
          <w:tcPr>
            <w:tcW w:w="828" w:type="pct"/>
            <w:noWrap/>
            <w:vAlign w:val="center"/>
          </w:tcPr>
          <w:p w14:paraId="626211BD" w14:textId="77777777" w:rsidR="00B84A8C" w:rsidRPr="009F3182" w:rsidRDefault="00B84A8C" w:rsidP="006A08A6">
            <w:pPr>
              <w:pStyle w:val="TableText0"/>
              <w:keepNext/>
              <w:jc w:val="center"/>
              <w:rPr>
                <w:b/>
                <w:szCs w:val="20"/>
              </w:rPr>
            </w:pPr>
            <w:r w:rsidRPr="009F3182">
              <w:rPr>
                <w:szCs w:val="20"/>
              </w:rPr>
              <w:t>17.5%</w:t>
            </w:r>
          </w:p>
        </w:tc>
        <w:tc>
          <w:tcPr>
            <w:tcW w:w="826" w:type="pct"/>
            <w:noWrap/>
            <w:vAlign w:val="center"/>
          </w:tcPr>
          <w:p w14:paraId="674F7D03" w14:textId="77777777" w:rsidR="00B84A8C" w:rsidRPr="009F3182" w:rsidRDefault="00B84A8C" w:rsidP="006A08A6">
            <w:pPr>
              <w:pStyle w:val="TableText0"/>
              <w:keepNext/>
              <w:jc w:val="center"/>
              <w:rPr>
                <w:b/>
                <w:szCs w:val="20"/>
              </w:rPr>
            </w:pPr>
            <w:r w:rsidRPr="009F3182">
              <w:rPr>
                <w:szCs w:val="20"/>
              </w:rPr>
              <w:t>-0.3%</w:t>
            </w:r>
          </w:p>
        </w:tc>
      </w:tr>
      <w:tr w:rsidR="00B84A8C" w:rsidRPr="009F3182" w14:paraId="15045A08" w14:textId="77777777" w:rsidTr="009F3182">
        <w:trPr>
          <w:trHeight w:val="20"/>
        </w:trPr>
        <w:tc>
          <w:tcPr>
            <w:tcW w:w="1691" w:type="pct"/>
            <w:noWrap/>
          </w:tcPr>
          <w:p w14:paraId="7D15628B" w14:textId="75C1AA3E" w:rsidR="00B84A8C" w:rsidRPr="009F3182" w:rsidRDefault="00B84A8C" w:rsidP="006A08A6">
            <w:pPr>
              <w:pStyle w:val="TableText0"/>
              <w:keepNext/>
              <w:rPr>
                <w:szCs w:val="20"/>
              </w:rPr>
            </w:pPr>
            <w:r w:rsidRPr="009F3182">
              <w:rPr>
                <w:szCs w:val="20"/>
              </w:rPr>
              <w:t xml:space="preserve">Difference </w:t>
            </w:r>
            <w:r w:rsidR="00B32245" w:rsidRPr="009F3182">
              <w:rPr>
                <w:szCs w:val="20"/>
              </w:rPr>
              <w:t>21vPCV</w:t>
            </w:r>
            <w:r w:rsidR="00B32245" w:rsidRPr="009F3182" w:rsidDel="00B32245">
              <w:rPr>
                <w:szCs w:val="20"/>
              </w:rPr>
              <w:t xml:space="preserve"> </w:t>
            </w:r>
            <w:r w:rsidRPr="009F3182">
              <w:rPr>
                <w:szCs w:val="20"/>
              </w:rPr>
              <w:t>-13vPCV+23vPPV</w:t>
            </w:r>
          </w:p>
        </w:tc>
        <w:tc>
          <w:tcPr>
            <w:tcW w:w="827" w:type="pct"/>
            <w:noWrap/>
            <w:vAlign w:val="center"/>
          </w:tcPr>
          <w:p w14:paraId="38727B4A" w14:textId="77777777" w:rsidR="00B84A8C" w:rsidRPr="009F3182" w:rsidRDefault="00B84A8C" w:rsidP="006A08A6">
            <w:pPr>
              <w:pStyle w:val="TableText0"/>
              <w:keepNext/>
              <w:jc w:val="center"/>
              <w:rPr>
                <w:b/>
                <w:szCs w:val="20"/>
              </w:rPr>
            </w:pPr>
            <w:r w:rsidRPr="009F3182">
              <w:rPr>
                <w:szCs w:val="20"/>
              </w:rPr>
              <w:t>NA</w:t>
            </w:r>
          </w:p>
        </w:tc>
        <w:tc>
          <w:tcPr>
            <w:tcW w:w="828" w:type="pct"/>
            <w:noWrap/>
            <w:vAlign w:val="center"/>
          </w:tcPr>
          <w:p w14:paraId="1AF0850D" w14:textId="77777777" w:rsidR="00B84A8C" w:rsidRPr="009F3182" w:rsidRDefault="00B84A8C" w:rsidP="006A08A6">
            <w:pPr>
              <w:pStyle w:val="TableText0"/>
              <w:keepNext/>
              <w:jc w:val="center"/>
              <w:rPr>
                <w:b/>
                <w:szCs w:val="20"/>
              </w:rPr>
            </w:pPr>
            <w:r w:rsidRPr="009F3182">
              <w:rPr>
                <w:szCs w:val="20"/>
              </w:rPr>
              <w:t>6.0%</w:t>
            </w:r>
          </w:p>
        </w:tc>
        <w:tc>
          <w:tcPr>
            <w:tcW w:w="828" w:type="pct"/>
            <w:noWrap/>
            <w:vAlign w:val="center"/>
          </w:tcPr>
          <w:p w14:paraId="182CFBEC" w14:textId="77777777" w:rsidR="00B84A8C" w:rsidRPr="009F3182" w:rsidRDefault="00B84A8C" w:rsidP="006A08A6">
            <w:pPr>
              <w:pStyle w:val="TableText0"/>
              <w:keepNext/>
              <w:jc w:val="center"/>
              <w:rPr>
                <w:b/>
                <w:szCs w:val="20"/>
              </w:rPr>
            </w:pPr>
            <w:r w:rsidRPr="009F3182">
              <w:rPr>
                <w:szCs w:val="20"/>
              </w:rPr>
              <w:t>8.9%</w:t>
            </w:r>
          </w:p>
        </w:tc>
        <w:tc>
          <w:tcPr>
            <w:tcW w:w="826" w:type="pct"/>
            <w:noWrap/>
            <w:vAlign w:val="center"/>
          </w:tcPr>
          <w:p w14:paraId="10C9490E" w14:textId="77777777" w:rsidR="00B84A8C" w:rsidRPr="009F3182" w:rsidRDefault="00B84A8C" w:rsidP="006A08A6">
            <w:pPr>
              <w:pStyle w:val="TableText0"/>
              <w:keepNext/>
              <w:jc w:val="center"/>
              <w:rPr>
                <w:b/>
                <w:szCs w:val="20"/>
              </w:rPr>
            </w:pPr>
            <w:r w:rsidRPr="009F3182">
              <w:rPr>
                <w:szCs w:val="20"/>
              </w:rPr>
              <w:t>-8.7%</w:t>
            </w:r>
          </w:p>
        </w:tc>
      </w:tr>
      <w:tr w:rsidR="00B84A8C" w:rsidRPr="009F3182" w14:paraId="2F7CD0D7" w14:textId="77777777" w:rsidTr="009F3182">
        <w:trPr>
          <w:trHeight w:val="20"/>
        </w:trPr>
        <w:tc>
          <w:tcPr>
            <w:tcW w:w="1691" w:type="pct"/>
            <w:noWrap/>
          </w:tcPr>
          <w:p w14:paraId="62FEA45E" w14:textId="618387CE" w:rsidR="00B84A8C" w:rsidRPr="009F3182" w:rsidRDefault="00B84A8C" w:rsidP="006A08A6">
            <w:pPr>
              <w:pStyle w:val="TableText0"/>
              <w:keepNext/>
              <w:rPr>
                <w:szCs w:val="20"/>
              </w:rPr>
            </w:pPr>
            <w:r w:rsidRPr="009F3182">
              <w:rPr>
                <w:szCs w:val="20"/>
              </w:rPr>
              <w:t xml:space="preserve">Difference </w:t>
            </w:r>
            <w:r w:rsidR="00B32245" w:rsidRPr="009F3182">
              <w:rPr>
                <w:szCs w:val="20"/>
              </w:rPr>
              <w:t>21vPCV</w:t>
            </w:r>
            <w:r w:rsidR="00B32245" w:rsidRPr="009F3182" w:rsidDel="00B32245">
              <w:rPr>
                <w:szCs w:val="20"/>
              </w:rPr>
              <w:t xml:space="preserve"> </w:t>
            </w:r>
            <w:r w:rsidRPr="009F3182">
              <w:rPr>
                <w:szCs w:val="20"/>
              </w:rPr>
              <w:t>-20vPCV+23vPPV</w:t>
            </w:r>
          </w:p>
        </w:tc>
        <w:tc>
          <w:tcPr>
            <w:tcW w:w="827" w:type="pct"/>
            <w:noWrap/>
            <w:vAlign w:val="center"/>
          </w:tcPr>
          <w:p w14:paraId="5DF4A494" w14:textId="77777777" w:rsidR="00B84A8C" w:rsidRPr="009F3182" w:rsidRDefault="00B84A8C" w:rsidP="006A08A6">
            <w:pPr>
              <w:pStyle w:val="TableText0"/>
              <w:keepNext/>
              <w:jc w:val="center"/>
              <w:rPr>
                <w:szCs w:val="20"/>
              </w:rPr>
            </w:pPr>
            <w:r w:rsidRPr="009F3182">
              <w:rPr>
                <w:szCs w:val="20"/>
              </w:rPr>
              <w:t>NA</w:t>
            </w:r>
          </w:p>
        </w:tc>
        <w:tc>
          <w:tcPr>
            <w:tcW w:w="828" w:type="pct"/>
            <w:noWrap/>
            <w:vAlign w:val="center"/>
          </w:tcPr>
          <w:p w14:paraId="0D5ABA54" w14:textId="77777777" w:rsidR="00B84A8C" w:rsidRPr="009F3182" w:rsidRDefault="00B84A8C" w:rsidP="006A08A6">
            <w:pPr>
              <w:pStyle w:val="TableText0"/>
              <w:keepNext/>
              <w:jc w:val="center"/>
              <w:rPr>
                <w:szCs w:val="20"/>
              </w:rPr>
            </w:pPr>
            <w:r w:rsidRPr="009F3182">
              <w:rPr>
                <w:szCs w:val="20"/>
              </w:rPr>
              <w:t>6.0%</w:t>
            </w:r>
          </w:p>
        </w:tc>
        <w:tc>
          <w:tcPr>
            <w:tcW w:w="828" w:type="pct"/>
            <w:noWrap/>
            <w:vAlign w:val="center"/>
          </w:tcPr>
          <w:p w14:paraId="6CAAE5F4" w14:textId="77777777" w:rsidR="00B84A8C" w:rsidRPr="009F3182" w:rsidRDefault="00B84A8C" w:rsidP="006A08A6">
            <w:pPr>
              <w:pStyle w:val="TableText0"/>
              <w:keepNext/>
              <w:jc w:val="center"/>
              <w:rPr>
                <w:szCs w:val="20"/>
              </w:rPr>
            </w:pPr>
            <w:r w:rsidRPr="009F3182">
              <w:rPr>
                <w:szCs w:val="20"/>
              </w:rPr>
              <w:t>8.9%</w:t>
            </w:r>
          </w:p>
        </w:tc>
        <w:tc>
          <w:tcPr>
            <w:tcW w:w="826" w:type="pct"/>
            <w:noWrap/>
            <w:vAlign w:val="center"/>
          </w:tcPr>
          <w:p w14:paraId="7344BFBE" w14:textId="77777777" w:rsidR="00B84A8C" w:rsidRPr="009F3182" w:rsidRDefault="00B84A8C" w:rsidP="006A08A6">
            <w:pPr>
              <w:pStyle w:val="TableText0"/>
              <w:keepNext/>
              <w:jc w:val="center"/>
              <w:rPr>
                <w:szCs w:val="20"/>
              </w:rPr>
            </w:pPr>
            <w:r w:rsidRPr="009F3182">
              <w:rPr>
                <w:szCs w:val="20"/>
              </w:rPr>
              <w:t>-8.7%</w:t>
            </w:r>
          </w:p>
        </w:tc>
      </w:tr>
    </w:tbl>
    <w:p w14:paraId="62648279" w14:textId="77777777" w:rsidR="00B84A8C" w:rsidRPr="009F57D8" w:rsidRDefault="00B84A8C" w:rsidP="000E6454">
      <w:pPr>
        <w:pStyle w:val="TableFigureFooter"/>
      </w:pPr>
      <w:r w:rsidRPr="009F57D8">
        <w:t>Source: Table 1.1-1 p3 of the submission</w:t>
      </w:r>
    </w:p>
    <w:p w14:paraId="44EE48E7" w14:textId="1F847F8C" w:rsidR="00B84A8C" w:rsidRPr="009F57D8" w:rsidRDefault="00B84A8C" w:rsidP="000E6454">
      <w:pPr>
        <w:pStyle w:val="TableFigureFooter"/>
      </w:pPr>
      <w:r w:rsidRPr="009F57D8">
        <w:t xml:space="preserve">15vPCV = 15-valent-pneumococcal conjugate vaccine; 13vPCV = 13-valent-pneumococcal conjugate vaccine; 23vPPV = 23 valent-pneumococcal polysaccharide vaccine; IPD = invasive pneumococcal disease; NA = neither on NIP nor PBAC approved; MaR = medically at risk; NNDSS = National Notifiable Diseases Surveillance System; 13vPCV = 13-valent-pneumococcal conjugate vaccine; </w:t>
      </w:r>
      <w:r w:rsidR="00B229D8" w:rsidRPr="009F57D8">
        <w:t>21vPCV</w:t>
      </w:r>
      <w:r w:rsidRPr="009F57D8">
        <w:t xml:space="preserve"> = 21-valent-pneumococcal conjugate vaccine</w:t>
      </w:r>
    </w:p>
    <w:p w14:paraId="046FA3CF" w14:textId="1655BD69" w:rsidR="00B84A8C" w:rsidRPr="009F57D8" w:rsidRDefault="00EC3B95" w:rsidP="000E6454">
      <w:pPr>
        <w:pStyle w:val="TableFigureFooter"/>
      </w:pPr>
      <w:r w:rsidRPr="009F57D8">
        <w:rPr>
          <w:vertAlign w:val="superscript"/>
        </w:rPr>
        <w:t>a</w:t>
      </w:r>
      <w:r w:rsidR="00B84A8C" w:rsidRPr="009F57D8">
        <w:t xml:space="preserve"> </w:t>
      </w:r>
      <w:r w:rsidR="00B32245" w:rsidRPr="009F57D8">
        <w:t>21vPCV</w:t>
      </w:r>
      <w:r w:rsidR="00B84A8C" w:rsidRPr="009F57D8">
        <w:t xml:space="preserve"> coverage includes serotype 20 (20A subtype not typed in Australia) and excludes potentially cross-reactive serotype 15B </w:t>
      </w:r>
    </w:p>
    <w:p w14:paraId="49EBE02A" w14:textId="77777777" w:rsidR="00B84A8C" w:rsidRPr="009F57D8" w:rsidRDefault="00B84A8C" w:rsidP="000E6454">
      <w:pPr>
        <w:pStyle w:val="TableFigureFooter"/>
      </w:pPr>
      <w:r w:rsidRPr="009F57D8">
        <w:t>Non-Indigenous adults 20 to 69 years was used as surrogate population for MaR ≥ 18 years</w:t>
      </w:r>
    </w:p>
    <w:p w14:paraId="79038C49" w14:textId="3DEA001D" w:rsidR="00B84A8C" w:rsidRPr="009F57D8" w:rsidRDefault="00B84A8C" w:rsidP="00B84A8C">
      <w:pPr>
        <w:pStyle w:val="3-BodyText"/>
        <w:numPr>
          <w:ilvl w:val="1"/>
          <w:numId w:val="1"/>
        </w:numPr>
      </w:pPr>
      <w:r w:rsidRPr="009F57D8">
        <w:t xml:space="preserve">Though the listing of </w:t>
      </w:r>
      <w:r w:rsidR="00BD4618" w:rsidRPr="009F57D8">
        <w:t>21</w:t>
      </w:r>
      <w:r w:rsidR="009F57D8" w:rsidRPr="009F57D8">
        <w:t>vPCV</w:t>
      </w:r>
      <w:r w:rsidR="009F57D8" w:rsidRPr="009F57D8" w:rsidDel="00BD4618">
        <w:t xml:space="preserve"> </w:t>
      </w:r>
      <w:r w:rsidR="009F57D8" w:rsidRPr="009F57D8">
        <w:t>might</w:t>
      </w:r>
      <w:r w:rsidRPr="009F57D8">
        <w:t xml:space="preserve"> increase the serotype coverage by inclusion of unique serotypes compared to the existing vaccines, it is possible that delisting 13vPCV from the NIP may increase the incidence of </w:t>
      </w:r>
      <w:r w:rsidR="004066BA" w:rsidRPr="009F57D8">
        <w:rPr>
          <w:iCs/>
        </w:rPr>
        <w:t>pneumococcal disease</w:t>
      </w:r>
      <w:r w:rsidRPr="009F57D8">
        <w:t xml:space="preserve"> caused by serotypes not covered by </w:t>
      </w:r>
      <w:r w:rsidR="008F1011" w:rsidRPr="009F57D8">
        <w:t xml:space="preserve">21vPCV </w:t>
      </w:r>
      <w:r w:rsidRPr="009F57D8">
        <w:t xml:space="preserve">(either overall, or as compared to 13vPCV) (ATAGI pre-submission advice to PBAC, May 2024). For the serotypes specific to </w:t>
      </w:r>
      <w:r w:rsidR="00DB6BA4" w:rsidRPr="009F57D8">
        <w:t>21</w:t>
      </w:r>
      <w:r w:rsidR="00F26D65" w:rsidRPr="009F57D8">
        <w:t>vPCV</w:t>
      </w:r>
      <w:r w:rsidR="00F26D65" w:rsidRPr="009F57D8" w:rsidDel="00DB6BA4">
        <w:t>,</w:t>
      </w:r>
      <w:r w:rsidRPr="009F57D8">
        <w:t xml:space="preserve"> the rationale for the need for a new vaccine appears appropriate. Although </w:t>
      </w:r>
      <w:r w:rsidR="00DB6BA4" w:rsidRPr="009F57D8">
        <w:t>21vPCV</w:t>
      </w:r>
      <w:r w:rsidRPr="009F57D8">
        <w:t xml:space="preserve"> covers </w:t>
      </w:r>
      <w:r w:rsidRPr="009F57D8">
        <w:rPr>
          <w:rFonts w:eastAsiaTheme="minorEastAsia"/>
        </w:rPr>
        <w:t>more of the serotypes causing IPD in non-Indigenous adults aged ≥ 70 years than 13vPCV</w:t>
      </w:r>
      <w:r w:rsidRPr="009F57D8">
        <w:t xml:space="preserve"> and 20vPCV (an increase of 43.5% and 22.6%, respectively), the incremental serotype coverage is comparatively lower in </w:t>
      </w:r>
      <w:r w:rsidR="00D04DE7" w:rsidRPr="009F57D8">
        <w:t>Aboriginal and Torres Strait Islander adults</w:t>
      </w:r>
      <w:r w:rsidRPr="009F57D8">
        <w:rPr>
          <w:rFonts w:eastAsiaTheme="minorEastAsia"/>
        </w:rPr>
        <w:t xml:space="preserve"> aged ≥ 50 years</w:t>
      </w:r>
      <w:r w:rsidRPr="009F57D8">
        <w:t xml:space="preserve"> and MaR adults than 20vPCV alone (17.5% and 17.7% respectively), and similar in 13vPCV + 23vPPV (6% to 8.9% percentage points respectively). In </w:t>
      </w:r>
      <w:r w:rsidR="00D04DE7" w:rsidRPr="009F57D8">
        <w:t>Aboriginal and Torres Strait Islander adults</w:t>
      </w:r>
      <w:r w:rsidRPr="009F57D8">
        <w:t xml:space="preserve"> 25 to 49 years, 13vPCV +23vPPV offered 8.7% higher serotype coverage compared to </w:t>
      </w:r>
      <w:r w:rsidR="00B229D8" w:rsidRPr="009F57D8">
        <w:t>21vPCV</w:t>
      </w:r>
      <w:r w:rsidRPr="009F57D8">
        <w:t xml:space="preserve"> (75.4% versus 66.7%), i.e.</w:t>
      </w:r>
      <w:r w:rsidR="00EE0545" w:rsidRPr="009F57D8">
        <w:t>,</w:t>
      </w:r>
      <w:r w:rsidRPr="009F57D8">
        <w:t xml:space="preserve"> </w:t>
      </w:r>
      <w:r w:rsidR="00DB6BA4" w:rsidRPr="009F57D8">
        <w:t>21vPCV</w:t>
      </w:r>
      <w:r w:rsidRPr="009F57D8">
        <w:t xml:space="preserve"> offers less coverage in this population based on 2016-2019 NNDSS data (a similar estimate is seen with more recent data, </w:t>
      </w:r>
      <w:r w:rsidRPr="009F57D8">
        <w:fldChar w:fldCharType="begin"/>
      </w:r>
      <w:r w:rsidRPr="009F57D8">
        <w:instrText xml:space="preserve"> REF _Ref206970942 \h  \* MERGEFORMAT </w:instrText>
      </w:r>
      <w:r w:rsidRPr="009F57D8">
        <w:fldChar w:fldCharType="separate"/>
      </w:r>
      <w:r w:rsidR="00581386" w:rsidRPr="009F57D8">
        <w:t xml:space="preserve">Table </w:t>
      </w:r>
      <w:r w:rsidR="00581386">
        <w:t>2</w:t>
      </w:r>
      <w:r w:rsidRPr="009F57D8">
        <w:fldChar w:fldCharType="end"/>
      </w:r>
      <w:r w:rsidRPr="009F57D8">
        <w:t>).</w:t>
      </w:r>
    </w:p>
    <w:p w14:paraId="5D56E955" w14:textId="1FB0519E" w:rsidR="00D067A3" w:rsidRPr="009F57D8" w:rsidRDefault="00B84A8C" w:rsidP="00B84A8C">
      <w:pPr>
        <w:pStyle w:val="3-BodyText"/>
        <w:numPr>
          <w:ilvl w:val="1"/>
          <w:numId w:val="1"/>
        </w:numPr>
      </w:pPr>
      <w:r w:rsidRPr="009F57D8">
        <w:t xml:space="preserve">A summary of recorded IPD cases (as available from the NNDSS), stratified by serotype coverage across </w:t>
      </w:r>
      <w:r w:rsidR="009D7955" w:rsidRPr="009F57D8">
        <w:t>21vPCV</w:t>
      </w:r>
      <w:r w:rsidRPr="009F57D8">
        <w:t xml:space="preserve"> and the comparator vaccines, is provided in </w:t>
      </w:r>
      <w:r w:rsidRPr="009F57D8">
        <w:fldChar w:fldCharType="begin"/>
      </w:r>
      <w:r w:rsidRPr="009F57D8">
        <w:instrText xml:space="preserve"> REF _Ref174383769 \h  \* MERGEFORMAT </w:instrText>
      </w:r>
      <w:r w:rsidRPr="009F57D8">
        <w:fldChar w:fldCharType="separate"/>
      </w:r>
      <w:r w:rsidR="00581386" w:rsidRPr="009F57D8">
        <w:t xml:space="preserve">Figure </w:t>
      </w:r>
      <w:r w:rsidR="00581386">
        <w:t>2</w:t>
      </w:r>
      <w:r w:rsidRPr="009F57D8">
        <w:fldChar w:fldCharType="end"/>
      </w:r>
      <w:r w:rsidRPr="009F57D8">
        <w:t xml:space="preserve">. These data indicate that despite the additional serotype coverage offered by </w:t>
      </w:r>
      <w:r w:rsidR="009D7955" w:rsidRPr="009F57D8">
        <w:t>21</w:t>
      </w:r>
      <w:r w:rsidR="009F57D8" w:rsidRPr="009F57D8">
        <w:t>vPCV</w:t>
      </w:r>
      <w:r w:rsidR="009F57D8" w:rsidRPr="009F57D8" w:rsidDel="009D7955">
        <w:t>,</w:t>
      </w:r>
      <w:r w:rsidRPr="009F57D8">
        <w:t xml:space="preserve"> approximately 20% of IPD cases in non-Indigenous adults, 23% of cases in </w:t>
      </w:r>
      <w:r w:rsidR="00D04DE7" w:rsidRPr="009F57D8">
        <w:t>Aboriginal and Torres Strait Islander adults</w:t>
      </w:r>
      <w:r w:rsidRPr="009F57D8">
        <w:t xml:space="preserve"> over 50, and 18% of cases in </w:t>
      </w:r>
      <w:r w:rsidR="00D04DE7" w:rsidRPr="009F57D8">
        <w:t xml:space="preserve">Aboriginal and Torres </w:t>
      </w:r>
      <w:r w:rsidR="00D04DE7" w:rsidRPr="009F57D8">
        <w:lastRenderedPageBreak/>
        <w:t>Strait Islander adults</w:t>
      </w:r>
      <w:r w:rsidRPr="009F57D8">
        <w:t xml:space="preserve"> 25 to 49 years are due to serotypes that would remain uncovered by any vaccines (including </w:t>
      </w:r>
      <w:r w:rsidR="009D7955" w:rsidRPr="009F57D8">
        <w:t>21</w:t>
      </w:r>
      <w:r w:rsidR="009F57D8" w:rsidRPr="009F57D8">
        <w:t>vPCV</w:t>
      </w:r>
      <w:r w:rsidR="009F57D8" w:rsidRPr="009F57D8" w:rsidDel="009D7955">
        <w:t>)</w:t>
      </w:r>
      <w:r w:rsidRPr="009F57D8">
        <w:t xml:space="preserve">. The ESC noted that </w:t>
      </w:r>
      <w:r w:rsidR="009D7955" w:rsidRPr="009F57D8">
        <w:t>21vPCV</w:t>
      </w:r>
      <w:r w:rsidR="009D7955" w:rsidRPr="009F57D8" w:rsidDel="009D7955">
        <w:t xml:space="preserve"> </w:t>
      </w:r>
      <w:r w:rsidRPr="009F57D8">
        <w:t xml:space="preserve">has increased coverage in terms of additional serotypes that are not covered by comparator vaccines; however, there is also a proportion of serotypes that are not covered by </w:t>
      </w:r>
      <w:r w:rsidR="00B229D8" w:rsidRPr="009F57D8">
        <w:t>21vPCV</w:t>
      </w:r>
      <w:r w:rsidRPr="009F57D8">
        <w:t xml:space="preserve"> that are covered by comparator vaccines, which represents a decrease in protection from </w:t>
      </w:r>
      <w:r w:rsidR="004066BA" w:rsidRPr="009F57D8">
        <w:rPr>
          <w:iCs/>
        </w:rPr>
        <w:t>pneumococcal disease</w:t>
      </w:r>
      <w:r w:rsidRPr="009F57D8">
        <w:t xml:space="preserve"> for those serotypes. </w:t>
      </w:r>
      <w:r w:rsidRPr="009F57D8">
        <w:rPr>
          <w:rFonts w:eastAsiaTheme="minorEastAsia"/>
        </w:rPr>
        <w:t xml:space="preserve">The ESC noted that </w:t>
      </w:r>
      <w:r w:rsidRPr="009F57D8">
        <w:t xml:space="preserve">some serotypes absent from </w:t>
      </w:r>
      <w:r w:rsidR="009D7955" w:rsidRPr="009F57D8">
        <w:t>21vPCV</w:t>
      </w:r>
      <w:r w:rsidRPr="009F57D8">
        <w:t xml:space="preserve"> have not been eliminated in adults by the paediatric 13vPCV program and considered that ongoing childhood vaccination (including the removed serotypes) did not abrogate the risk of disease due to these serotypes in adults.</w:t>
      </w:r>
    </w:p>
    <w:p w14:paraId="1829D557" w14:textId="3D683DAB" w:rsidR="00B84A8C" w:rsidRPr="009F57D8" w:rsidRDefault="00D067A3">
      <w:pPr>
        <w:pStyle w:val="3-BodyText"/>
        <w:numPr>
          <w:ilvl w:val="1"/>
          <w:numId w:val="1"/>
        </w:numPr>
      </w:pPr>
      <w:r w:rsidRPr="009F57D8">
        <w:t>The</w:t>
      </w:r>
      <w:r w:rsidR="00B830B3" w:rsidRPr="00B830B3">
        <w:t xml:space="preserve"> Pre-Sub-Committee Response</w:t>
      </w:r>
      <w:r w:rsidRPr="009F57D8">
        <w:t xml:space="preserve"> </w:t>
      </w:r>
      <w:r w:rsidR="00B830B3">
        <w:t>(</w:t>
      </w:r>
      <w:r w:rsidRPr="009F57D8">
        <w:t>PSCR</w:t>
      </w:r>
      <w:r w:rsidR="00B830B3">
        <w:t>)</w:t>
      </w:r>
      <w:r w:rsidRPr="009F57D8">
        <w:t xml:space="preserve"> estimated the total coverage due to </w:t>
      </w:r>
      <w:r w:rsidR="00025872" w:rsidRPr="009F57D8">
        <w:t>21vPCV</w:t>
      </w:r>
      <w:r w:rsidR="00025872" w:rsidRPr="009F57D8" w:rsidDel="001F535A">
        <w:t xml:space="preserve"> </w:t>
      </w:r>
      <w:r w:rsidRPr="009F57D8">
        <w:t xml:space="preserve">based on the 2023-2024 NNDSS data for IPD and estimated that the combination of </w:t>
      </w:r>
      <w:r w:rsidR="00025872" w:rsidRPr="009F57D8">
        <w:t>21vPCV</w:t>
      </w:r>
      <w:r w:rsidRPr="009F57D8">
        <w:t xml:space="preserve"> in adults and 20vPCV in paediatrics could potentially lead to almost 90% coverage in adult populations (PSCR). The ESC noted that </w:t>
      </w:r>
      <w:r w:rsidR="00731E8B" w:rsidRPr="009F57D8">
        <w:t>i</w:t>
      </w:r>
      <w:r w:rsidRPr="009F57D8">
        <w:t xml:space="preserve">n producing these estimates, the sponsor </w:t>
      </w:r>
      <w:r w:rsidR="008F689C" w:rsidRPr="009F57D8">
        <w:t xml:space="preserve">had referred to the ATAGI post-submission advice to the PBAC, however it had </w:t>
      </w:r>
      <w:r w:rsidRPr="009F57D8">
        <w:t>assumed 100% protection for PCV20-non</w:t>
      </w:r>
      <w:r w:rsidR="00B229D8" w:rsidRPr="009F57D8">
        <w:t>21vPCV</w:t>
      </w:r>
      <w:r w:rsidRPr="009F57D8">
        <w:t xml:space="preserve"> </w:t>
      </w:r>
      <w:r w:rsidR="008F689C" w:rsidRPr="009F57D8">
        <w:t>(</w:t>
      </w:r>
      <w:r w:rsidRPr="009F57D8">
        <w:t xml:space="preserve">which </w:t>
      </w:r>
      <w:r w:rsidR="008F689C" w:rsidRPr="009F57D8">
        <w:t>ESC</w:t>
      </w:r>
      <w:r w:rsidRPr="009F57D8">
        <w:t xml:space="preserve"> considered was overestimated</w:t>
      </w:r>
      <w:r w:rsidR="008F689C" w:rsidRPr="009F57D8">
        <w:t>)</w:t>
      </w:r>
      <w:r w:rsidRPr="009F57D8">
        <w:t xml:space="preserve">.  The ESC considered that the </w:t>
      </w:r>
      <w:r w:rsidR="008F689C" w:rsidRPr="009F57D8">
        <w:t>future magnitude</w:t>
      </w:r>
      <w:r w:rsidRPr="009F57D8">
        <w:t xml:space="preserve"> of herd protection from the paediatric </w:t>
      </w:r>
      <w:r w:rsidR="001D2EB2" w:rsidRPr="009F57D8">
        <w:t>20v</w:t>
      </w:r>
      <w:r w:rsidRPr="009F57D8">
        <w:t>PCV program was uncertain</w:t>
      </w:r>
      <w:r w:rsidR="008F689C" w:rsidRPr="009F57D8">
        <w:t xml:space="preserve">, and it would also take time to develop noting the paediatric program was implemented </w:t>
      </w:r>
      <w:r w:rsidR="00E80DC6" w:rsidRPr="009F57D8">
        <w:t xml:space="preserve">recently, </w:t>
      </w:r>
      <w:r w:rsidR="008F689C" w:rsidRPr="009F57D8">
        <w:t>on 1 Sep 2025</w:t>
      </w:r>
      <w:r w:rsidRPr="009F57D8">
        <w:t>.</w:t>
      </w:r>
    </w:p>
    <w:p w14:paraId="0F79304C" w14:textId="186491D9" w:rsidR="00B84A8C" w:rsidRPr="009F57D8" w:rsidRDefault="00B84A8C" w:rsidP="00C73DB8">
      <w:pPr>
        <w:pStyle w:val="TableFigureHeading"/>
        <w:keepLines/>
        <w:widowControl w:val="0"/>
      </w:pPr>
      <w:bookmarkStart w:id="33" w:name="_Ref174383769"/>
      <w:r w:rsidRPr="009F57D8">
        <w:lastRenderedPageBreak/>
        <w:t xml:space="preserve">Figure </w:t>
      </w:r>
      <w:r w:rsidR="00FA4640" w:rsidRPr="009F57D8">
        <w:fldChar w:fldCharType="begin"/>
      </w:r>
      <w:r w:rsidR="00FA4640" w:rsidRPr="009F57D8">
        <w:instrText xml:space="preserve"> SEQ Figure \* ARABIC </w:instrText>
      </w:r>
      <w:r w:rsidR="00FA4640" w:rsidRPr="009F57D8">
        <w:fldChar w:fldCharType="separate"/>
      </w:r>
      <w:r w:rsidR="00581386">
        <w:rPr>
          <w:noProof/>
        </w:rPr>
        <w:t>2</w:t>
      </w:r>
      <w:r w:rsidR="00FA4640" w:rsidRPr="009F57D8">
        <w:fldChar w:fldCharType="end"/>
      </w:r>
      <w:bookmarkEnd w:id="33"/>
      <w:r w:rsidRPr="009F57D8">
        <w:t>: IPD disease by serotype coverage (2023-24)</w:t>
      </w:r>
    </w:p>
    <w:tbl>
      <w:tblPr>
        <w:tblStyle w:val="TableGrid"/>
        <w:tblW w:w="0" w:type="auto"/>
        <w:tblLook w:val="04A0" w:firstRow="1" w:lastRow="0" w:firstColumn="1" w:lastColumn="0" w:noHBand="0" w:noVBand="1"/>
      </w:tblPr>
      <w:tblGrid>
        <w:gridCol w:w="8302"/>
      </w:tblGrid>
      <w:tr w:rsidR="00B84A8C" w:rsidRPr="009F57D8" w14:paraId="20561541" w14:textId="77777777" w:rsidTr="00755741">
        <w:trPr>
          <w:trHeight w:val="3115"/>
        </w:trPr>
        <w:tc>
          <w:tcPr>
            <w:tcW w:w="8302" w:type="dxa"/>
          </w:tcPr>
          <w:p w14:paraId="373E9E50" w14:textId="77777777" w:rsidR="00B84A8C" w:rsidRPr="009F57D8" w:rsidRDefault="00B84A8C" w:rsidP="00C73DB8">
            <w:pPr>
              <w:keepNext/>
              <w:keepLines/>
              <w:rPr>
                <w:rFonts w:ascii="Arial Narrow" w:hAnsi="Arial Narrow"/>
                <w:b/>
                <w:bCs/>
                <w:sz w:val="20"/>
                <w:szCs w:val="20"/>
              </w:rPr>
            </w:pPr>
            <w:r w:rsidRPr="009F57D8">
              <w:rPr>
                <w:rFonts w:ascii="Arial Narrow" w:hAnsi="Arial Narrow"/>
                <w:b/>
                <w:bCs/>
                <w:sz w:val="20"/>
                <w:szCs w:val="20"/>
              </w:rPr>
              <w:t>Non-Indigenous adults ≥ 70 years</w:t>
            </w:r>
          </w:p>
          <w:p w14:paraId="784C4092" w14:textId="77777777" w:rsidR="00B84A8C" w:rsidRPr="009F57D8" w:rsidRDefault="00B84A8C" w:rsidP="00C73DB8">
            <w:pPr>
              <w:keepNext/>
              <w:keepLines/>
              <w:rPr>
                <w:rFonts w:ascii="Arial Narrow" w:hAnsi="Arial Narrow"/>
                <w:b/>
                <w:bCs/>
                <w:sz w:val="20"/>
                <w:szCs w:val="20"/>
              </w:rPr>
            </w:pPr>
            <w:r w:rsidRPr="009F57D8">
              <w:rPr>
                <w:noProof/>
              </w:rPr>
              <w:drawing>
                <wp:inline distT="0" distB="0" distL="0" distR="0" wp14:anchorId="213A6A88" wp14:editId="70DC2B6E">
                  <wp:extent cx="4617720" cy="2089893"/>
                  <wp:effectExtent l="0" t="0" r="0" b="5715"/>
                  <wp:docPr id="1398617088" name="Picture 4" descr="Figure 2: IPD disease by serotype coverage (2023-24) - Non-Indigenous adults ≥ 7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617088" name="Picture 4" descr="Figure 2: IPD disease by serotype coverage (2023-24) - Non-Indigenous adults ≥ 70 years"/>
                          <pic:cNvPicPr>
                            <a:picLocks noChangeAspect="1" noChangeArrowheads="1"/>
                          </pic:cNvPicPr>
                        </pic:nvPicPr>
                        <pic:blipFill rotWithShape="1">
                          <a:blip r:embed="rId12">
                            <a:extLst>
                              <a:ext uri="{28A0092B-C50C-407E-A947-70E740481C1C}">
                                <a14:useLocalDpi xmlns:a14="http://schemas.microsoft.com/office/drawing/2010/main" val="0"/>
                              </a:ext>
                            </a:extLst>
                          </a:blip>
                          <a:srcRect l="2214" t="3664" r="4835" b="22507"/>
                          <a:stretch>
                            <a:fillRect/>
                          </a:stretch>
                        </pic:blipFill>
                        <pic:spPr bwMode="auto">
                          <a:xfrm>
                            <a:off x="0" y="0"/>
                            <a:ext cx="4636521" cy="209840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4A8C" w:rsidRPr="009F57D8" w14:paraId="6E829B42" w14:textId="77777777" w:rsidTr="00755741">
        <w:trPr>
          <w:cantSplit/>
          <w:trHeight w:val="3016"/>
        </w:trPr>
        <w:tc>
          <w:tcPr>
            <w:tcW w:w="8302" w:type="dxa"/>
          </w:tcPr>
          <w:p w14:paraId="217A2DF7" w14:textId="43B058B1" w:rsidR="00B84A8C" w:rsidRPr="009F57D8" w:rsidRDefault="00D04DE7" w:rsidP="00C73DB8">
            <w:pPr>
              <w:keepNext/>
              <w:keepLines/>
              <w:rPr>
                <w:rFonts w:ascii="Arial Narrow" w:hAnsi="Arial Narrow"/>
                <w:b/>
                <w:bCs/>
                <w:sz w:val="20"/>
                <w:szCs w:val="18"/>
              </w:rPr>
            </w:pPr>
            <w:r w:rsidRPr="009F57D8">
              <w:rPr>
                <w:rFonts w:ascii="Arial Narrow" w:hAnsi="Arial Narrow"/>
                <w:b/>
                <w:bCs/>
                <w:sz w:val="20"/>
                <w:szCs w:val="18"/>
              </w:rPr>
              <w:t>Aboriginal and Torres Strait Islander adults</w:t>
            </w:r>
            <w:r w:rsidR="00B84A8C" w:rsidRPr="009F57D8">
              <w:rPr>
                <w:rFonts w:ascii="Arial Narrow" w:hAnsi="Arial Narrow"/>
                <w:b/>
                <w:bCs/>
                <w:sz w:val="20"/>
                <w:szCs w:val="18"/>
              </w:rPr>
              <w:t xml:space="preserve"> ≥ 50 years</w:t>
            </w:r>
          </w:p>
          <w:p w14:paraId="67421DEA" w14:textId="77777777" w:rsidR="00B84A8C" w:rsidRPr="009F57D8" w:rsidRDefault="00B84A8C" w:rsidP="00C73DB8">
            <w:pPr>
              <w:keepNext/>
              <w:keepLines/>
              <w:rPr>
                <w:rFonts w:ascii="Arial Narrow" w:hAnsi="Arial Narrow"/>
                <w:sz w:val="20"/>
                <w:szCs w:val="20"/>
              </w:rPr>
            </w:pPr>
            <w:r w:rsidRPr="009F57D8">
              <w:rPr>
                <w:noProof/>
              </w:rPr>
              <w:drawing>
                <wp:inline distT="0" distB="0" distL="0" distR="0" wp14:anchorId="2E58361C" wp14:editId="7B76AB69">
                  <wp:extent cx="4853940" cy="2026116"/>
                  <wp:effectExtent l="0" t="0" r="3810" b="9525"/>
                  <wp:docPr id="873461416" name="Picture 3" descr="Figure 2: IPD disease by serotype coverage (2023-24) - Aboriginal and Torres Strait Islander adults ≥ 5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61416" name="Picture 3" descr="Figure 2: IPD disease by serotype coverage (2023-24) - Aboriginal and Torres Strait Islander adults ≥ 50 years"/>
                          <pic:cNvPicPr>
                            <a:picLocks noChangeAspect="1" noChangeArrowheads="1"/>
                          </pic:cNvPicPr>
                        </pic:nvPicPr>
                        <pic:blipFill rotWithShape="1">
                          <a:blip r:embed="rId13">
                            <a:extLst>
                              <a:ext uri="{28A0092B-C50C-407E-A947-70E740481C1C}">
                                <a14:useLocalDpi xmlns:a14="http://schemas.microsoft.com/office/drawing/2010/main" val="0"/>
                              </a:ext>
                            </a:extLst>
                          </a:blip>
                          <a:srcRect t="3730" b="23014"/>
                          <a:stretch>
                            <a:fillRect/>
                          </a:stretch>
                        </pic:blipFill>
                        <pic:spPr bwMode="auto">
                          <a:xfrm>
                            <a:off x="0" y="0"/>
                            <a:ext cx="4853940" cy="202611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84A8C" w:rsidRPr="009F57D8" w14:paraId="57E2D17E" w14:textId="77777777" w:rsidTr="00755741">
        <w:trPr>
          <w:trHeight w:val="3304"/>
        </w:trPr>
        <w:tc>
          <w:tcPr>
            <w:tcW w:w="8302" w:type="dxa"/>
          </w:tcPr>
          <w:p w14:paraId="238B197B" w14:textId="4E5DD6A3" w:rsidR="00B84A8C" w:rsidRPr="009F57D8" w:rsidRDefault="00D04DE7" w:rsidP="00C73DB8">
            <w:pPr>
              <w:keepNext/>
              <w:keepLines/>
              <w:rPr>
                <w:rFonts w:ascii="Arial Narrow" w:hAnsi="Arial Narrow"/>
                <w:b/>
                <w:bCs/>
                <w:sz w:val="20"/>
                <w:szCs w:val="18"/>
              </w:rPr>
            </w:pPr>
            <w:r w:rsidRPr="009F57D8">
              <w:rPr>
                <w:rFonts w:ascii="Arial Narrow" w:hAnsi="Arial Narrow"/>
                <w:b/>
                <w:bCs/>
                <w:sz w:val="20"/>
                <w:szCs w:val="18"/>
              </w:rPr>
              <w:t>Aboriginal and Torres Strait Islander adults</w:t>
            </w:r>
            <w:r w:rsidR="00B84A8C" w:rsidRPr="009F57D8">
              <w:rPr>
                <w:rFonts w:ascii="Arial Narrow" w:hAnsi="Arial Narrow"/>
                <w:b/>
                <w:bCs/>
                <w:sz w:val="20"/>
                <w:szCs w:val="18"/>
              </w:rPr>
              <w:t>, age 25 to 49 years</w:t>
            </w:r>
          </w:p>
          <w:p w14:paraId="2A5D49BE" w14:textId="77777777" w:rsidR="00B84A8C" w:rsidRPr="009F57D8" w:rsidRDefault="00B84A8C" w:rsidP="00C73DB8">
            <w:pPr>
              <w:keepNext/>
              <w:keepLines/>
              <w:rPr>
                <w:rFonts w:ascii="Arial Narrow" w:hAnsi="Arial Narrow"/>
                <w:sz w:val="20"/>
                <w:szCs w:val="20"/>
              </w:rPr>
            </w:pPr>
            <w:r w:rsidRPr="009F57D8">
              <w:rPr>
                <w:noProof/>
              </w:rPr>
              <w:drawing>
                <wp:inline distT="0" distB="0" distL="0" distR="0" wp14:anchorId="414D131F" wp14:editId="4A0CCB92">
                  <wp:extent cx="4686300" cy="2236231"/>
                  <wp:effectExtent l="0" t="0" r="0" b="0"/>
                  <wp:docPr id="2025572908" name="Picture 1" descr="Figure 2: IPD disease by serotype coverage (2023-24) - Aboriginal and Torres Strait Islander adults, age 25 to 49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72908" name="Picture 1" descr="Figure 2: IPD disease by serotype coverage (2023-24) - Aboriginal and Torres Strait Islander adults, age 25 to 49 year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522" b="21384"/>
                          <a:stretch>
                            <a:fillRect/>
                          </a:stretch>
                        </pic:blipFill>
                        <pic:spPr bwMode="auto">
                          <a:xfrm>
                            <a:off x="0" y="0"/>
                            <a:ext cx="4722037" cy="225328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38BB5F3" w14:textId="77777777" w:rsidR="00B84A8C" w:rsidRPr="009F57D8" w:rsidRDefault="00B84A8C" w:rsidP="00B84A8C">
      <w:pPr>
        <w:widowControl w:val="0"/>
        <w:rPr>
          <w:rFonts w:ascii="Arial Narrow" w:hAnsi="Arial Narrow" w:cs="Calibri"/>
          <w:color w:val="000000" w:themeColor="text1"/>
          <w:sz w:val="18"/>
          <w:szCs w:val="18"/>
        </w:rPr>
      </w:pPr>
      <w:r w:rsidRPr="009F57D8">
        <w:rPr>
          <w:rFonts w:ascii="Arial Narrow" w:hAnsi="Arial Narrow" w:cs="Calibri"/>
          <w:color w:val="000000" w:themeColor="text1"/>
          <w:sz w:val="18"/>
          <w:szCs w:val="18"/>
        </w:rPr>
        <w:t>Source: Prepared during the evaluation based on the NNDSS (2023-24)</w:t>
      </w:r>
    </w:p>
    <w:p w14:paraId="11D009B1" w14:textId="1AE2523D" w:rsidR="00B84A8C" w:rsidRPr="009F57D8" w:rsidRDefault="004B7CF9" w:rsidP="00B84A8C">
      <w:pPr>
        <w:widowControl w:val="0"/>
        <w:rPr>
          <w:rFonts w:ascii="Arial Narrow" w:hAnsi="Arial Narrow" w:cs="Calibri"/>
          <w:snapToGrid w:val="0"/>
          <w:color w:val="000000" w:themeColor="text1"/>
          <w:sz w:val="18"/>
          <w:szCs w:val="18"/>
        </w:rPr>
      </w:pPr>
      <w:r w:rsidRPr="009F57D8">
        <w:rPr>
          <w:rFonts w:ascii="Arial Narrow" w:hAnsi="Arial Narrow" w:cs="Calibri"/>
          <w:snapToGrid w:val="0"/>
          <w:color w:val="000000" w:themeColor="text1"/>
          <w:sz w:val="18"/>
          <w:szCs w:val="18"/>
        </w:rPr>
        <w:t xml:space="preserve">Note: </w:t>
      </w:r>
      <w:r w:rsidR="00B84A8C" w:rsidRPr="009F57D8">
        <w:rPr>
          <w:rFonts w:ascii="Arial Narrow" w:hAnsi="Arial Narrow" w:cs="Calibri"/>
          <w:snapToGrid w:val="0"/>
          <w:color w:val="000000" w:themeColor="text1"/>
          <w:sz w:val="18"/>
          <w:szCs w:val="18"/>
        </w:rPr>
        <w:t xml:space="preserve">‘Uncovered by </w:t>
      </w:r>
      <w:r w:rsidR="00B229D8" w:rsidRPr="009F57D8">
        <w:rPr>
          <w:rFonts w:ascii="Arial Narrow" w:hAnsi="Arial Narrow" w:cs="Calibri"/>
          <w:snapToGrid w:val="0"/>
          <w:color w:val="000000" w:themeColor="text1"/>
          <w:sz w:val="18"/>
          <w:szCs w:val="18"/>
        </w:rPr>
        <w:t>21vPCV</w:t>
      </w:r>
      <w:r w:rsidR="00B84A8C" w:rsidRPr="009F57D8">
        <w:rPr>
          <w:rFonts w:ascii="Arial Narrow" w:hAnsi="Arial Narrow" w:cs="Calibri"/>
          <w:snapToGrid w:val="0"/>
          <w:color w:val="000000" w:themeColor="text1"/>
          <w:sz w:val="18"/>
          <w:szCs w:val="18"/>
        </w:rPr>
        <w:t xml:space="preserve"> or comparator vaccines’ group includes a small number of cases where serotyping was not available &amp; non-typable serotypes. </w:t>
      </w:r>
    </w:p>
    <w:p w14:paraId="751079AE" w14:textId="77777777" w:rsidR="00B84A8C" w:rsidRPr="009F57D8" w:rsidRDefault="00B84A8C" w:rsidP="00B84A8C">
      <w:pPr>
        <w:widowControl w:val="0"/>
        <w:rPr>
          <w:rFonts w:ascii="Arial Narrow" w:hAnsi="Arial Narrow" w:cs="Calibri"/>
          <w:snapToGrid w:val="0"/>
          <w:color w:val="000000" w:themeColor="text1"/>
          <w:sz w:val="18"/>
          <w:szCs w:val="18"/>
        </w:rPr>
      </w:pPr>
    </w:p>
    <w:p w14:paraId="613B5B72" w14:textId="77777777" w:rsidR="007327F7" w:rsidRPr="009F57D8" w:rsidRDefault="007327F7" w:rsidP="007327F7">
      <w:pPr>
        <w:ind w:firstLine="709"/>
        <w:rPr>
          <w:rFonts w:asciiTheme="minorHAnsi" w:hAnsiTheme="minorHAnsi"/>
          <w:i/>
        </w:rPr>
      </w:pPr>
    </w:p>
    <w:p w14:paraId="7972A4A8" w14:textId="20AE3B61" w:rsidR="007327F7" w:rsidRPr="009F57D8" w:rsidRDefault="007327F7" w:rsidP="007327F7">
      <w:pPr>
        <w:ind w:firstLine="709"/>
      </w:pPr>
      <w:r w:rsidRPr="009F57D8">
        <w:rPr>
          <w:rFonts w:asciiTheme="minorHAnsi" w:hAnsiTheme="minorHAnsi"/>
          <w:i/>
        </w:rPr>
        <w:t>For more detail on PBAC’s view, see section 7 PBAC outcome.</w:t>
      </w:r>
    </w:p>
    <w:p w14:paraId="34A5C2CA" w14:textId="77777777" w:rsidR="007327F7" w:rsidRPr="009F57D8" w:rsidRDefault="007327F7" w:rsidP="007327F7"/>
    <w:p w14:paraId="74509F70" w14:textId="77777777" w:rsidR="00B84A8C" w:rsidRPr="009F57D8" w:rsidRDefault="00B84A8C" w:rsidP="00B84A8C">
      <w:pPr>
        <w:pStyle w:val="2-SectionHeading"/>
        <w:numPr>
          <w:ilvl w:val="0"/>
          <w:numId w:val="1"/>
        </w:numPr>
      </w:pPr>
      <w:bookmarkStart w:id="34" w:name="_Toc208832346"/>
      <w:bookmarkStart w:id="35" w:name="_Toc177070735"/>
      <w:bookmarkStart w:id="36" w:name="_Toc209004903"/>
      <w:bookmarkEnd w:id="34"/>
      <w:r w:rsidRPr="009F57D8">
        <w:lastRenderedPageBreak/>
        <w:t>Comparator</w:t>
      </w:r>
      <w:bookmarkEnd w:id="35"/>
      <w:bookmarkEnd w:id="36"/>
    </w:p>
    <w:p w14:paraId="54017EDA" w14:textId="433D1894" w:rsidR="00B84A8C" w:rsidRPr="009F57D8" w:rsidRDefault="00B84A8C">
      <w:pPr>
        <w:pStyle w:val="3-BodyText"/>
        <w:numPr>
          <w:ilvl w:val="1"/>
          <w:numId w:val="1"/>
        </w:numPr>
      </w:pPr>
      <w:bookmarkStart w:id="37" w:name="_Ref208489054"/>
      <w:bookmarkStart w:id="38" w:name="_Ref214540279"/>
      <w:r w:rsidRPr="009F57D8">
        <w:t xml:space="preserve">The submission nominated 13vPCV which is currently listed on the NIP for adults aged ≥ 70 years, </w:t>
      </w:r>
      <w:r w:rsidR="00D04DE7" w:rsidRPr="009F57D8">
        <w:t>Aboriginal and Torres Strait Islander adults</w:t>
      </w:r>
      <w:r w:rsidRPr="009F57D8">
        <w:t xml:space="preserve"> aged ≥ 50 years and at-risk adults aged ≥ 18 years as the primary comparator. 15vPCV and 20vPCV, which were recommended for NIP listing by the PBAC at the November 2021 and November 2022 meetings</w:t>
      </w:r>
      <w:r w:rsidR="00C02559" w:rsidRPr="009F57D8">
        <w:t>, respectively</w:t>
      </w:r>
      <w:r w:rsidRPr="009F57D8">
        <w:t>, were considered as near market comparators.</w:t>
      </w:r>
      <w:bookmarkEnd w:id="37"/>
      <w:r w:rsidRPr="009F57D8">
        <w:t xml:space="preserve"> </w:t>
      </w:r>
      <w:r w:rsidR="00123093" w:rsidRPr="009F57D8">
        <w:t xml:space="preserve">The pre-PBAC response emphasised that the current NIP schedule, PCV13±2xPPV23, is the most relevant comparator as it </w:t>
      </w:r>
      <w:r w:rsidR="000C0C5B" w:rsidRPr="009F57D8">
        <w:t xml:space="preserve">is </w:t>
      </w:r>
      <w:r w:rsidR="00123093" w:rsidRPr="009F57D8">
        <w:t xml:space="preserve">most likely to be replaced in the current NIP populations.  </w:t>
      </w:r>
      <w:r w:rsidR="001D403F" w:rsidRPr="009F57D8">
        <w:rPr>
          <w:iCs/>
        </w:rPr>
        <w:t xml:space="preserve">The PBAC considered that </w:t>
      </w:r>
      <w:r w:rsidR="001D403F" w:rsidRPr="009F57D8">
        <w:t xml:space="preserve">13vPCV </w:t>
      </w:r>
      <w:r w:rsidR="000C0C5B" w:rsidRPr="009F57D8">
        <w:t xml:space="preserve">(followed by 23vPPV boosters for MaR and </w:t>
      </w:r>
      <w:r w:rsidR="00D04DE7" w:rsidRPr="009F57D8">
        <w:t>Aboriginal and Torres Strait Islander adults</w:t>
      </w:r>
      <w:r w:rsidR="000C0C5B" w:rsidRPr="009F57D8">
        <w:t xml:space="preserve">) </w:t>
      </w:r>
      <w:r w:rsidR="001D403F" w:rsidRPr="009F57D8">
        <w:t xml:space="preserve">was the appropriate main comparator for </w:t>
      </w:r>
      <w:r w:rsidR="000C0C5B" w:rsidRPr="009F57D8">
        <w:t xml:space="preserve">the current NIP </w:t>
      </w:r>
      <w:r w:rsidR="001D403F" w:rsidRPr="009F57D8">
        <w:t>populations, noting that at</w:t>
      </w:r>
      <w:r w:rsidR="00AD328E" w:rsidRPr="009F57D8">
        <w:rPr>
          <w:iCs/>
        </w:rPr>
        <w:t xml:space="preserve"> the time of PBAC consideration, 15vPCV was not listed on the NIP, and 20vPCV was listed on the NIP for paediatric but not adult populations.</w:t>
      </w:r>
      <w:bookmarkEnd w:id="38"/>
      <w:r w:rsidR="001D403F" w:rsidRPr="009F57D8">
        <w:rPr>
          <w:iCs/>
        </w:rPr>
        <w:t xml:space="preserve">  </w:t>
      </w:r>
    </w:p>
    <w:p w14:paraId="6875A25F" w14:textId="789D1198" w:rsidR="00D803B3" w:rsidRPr="009F57D8" w:rsidRDefault="00B84A8C">
      <w:pPr>
        <w:pStyle w:val="3-BodyText"/>
        <w:numPr>
          <w:ilvl w:val="1"/>
          <w:numId w:val="1"/>
        </w:numPr>
      </w:pPr>
      <w:bookmarkStart w:id="39" w:name="_Ref208832454"/>
      <w:r w:rsidRPr="009F57D8">
        <w:t xml:space="preserve">The nominated comparator for the proposed expanded population of </w:t>
      </w:r>
      <w:r w:rsidR="00D04DE7" w:rsidRPr="009F57D8">
        <w:t>Aboriginal and Torres Strait Islander adults</w:t>
      </w:r>
      <w:r w:rsidRPr="009F57D8">
        <w:t xml:space="preserve"> aged 25 to 49 years was 20vPCV</w:t>
      </w:r>
      <w:r w:rsidR="00D803B3" w:rsidRPr="009F57D8">
        <w:t xml:space="preserve"> </w:t>
      </w:r>
      <w:bookmarkEnd w:id="39"/>
      <w:r w:rsidR="00D803B3" w:rsidRPr="009F57D8">
        <w:t xml:space="preserve">on the basis that </w:t>
      </w:r>
      <w:r w:rsidR="008E7C5D" w:rsidRPr="009F57D8">
        <w:t xml:space="preserve">13vPCV </w:t>
      </w:r>
      <w:r w:rsidR="00877F33" w:rsidRPr="009F57D8">
        <w:t xml:space="preserve">is not listed for this population and </w:t>
      </w:r>
      <w:r w:rsidR="00D803B3" w:rsidRPr="009F57D8">
        <w:t>20vPCV was recommended for listing by the PBAC in this population in November 2022</w:t>
      </w:r>
      <w:r w:rsidR="00AD328E" w:rsidRPr="009F57D8">
        <w:t>.</w:t>
      </w:r>
      <w:r w:rsidR="001D403F" w:rsidRPr="009F57D8">
        <w:t xml:space="preserve">  </w:t>
      </w:r>
      <w:r w:rsidR="001D403F" w:rsidRPr="009F57D8">
        <w:rPr>
          <w:iCs/>
        </w:rPr>
        <w:t>The PBAC considered this was reasonable</w:t>
      </w:r>
      <w:r w:rsidR="00944C7E" w:rsidRPr="009F57D8">
        <w:rPr>
          <w:iCs/>
        </w:rPr>
        <w:t xml:space="preserve"> and noted it was consistent with ATAGI advice</w:t>
      </w:r>
      <w:r w:rsidR="00B51033" w:rsidRPr="009F57D8">
        <w:rPr>
          <w:iCs/>
        </w:rPr>
        <w:t xml:space="preserve">. </w:t>
      </w:r>
    </w:p>
    <w:p w14:paraId="5CD2FDA9" w14:textId="1E2C7AD6" w:rsidR="00B84A8C" w:rsidRPr="009F57D8" w:rsidRDefault="00B84A8C" w:rsidP="00B84A8C">
      <w:pPr>
        <w:pStyle w:val="3-BodyText"/>
        <w:numPr>
          <w:ilvl w:val="1"/>
          <w:numId w:val="1"/>
        </w:numPr>
      </w:pPr>
      <w:r w:rsidRPr="009F57D8">
        <w:t xml:space="preserve">On the current NIP schedule, adults aged ≥ 18 years with an NIP-listed risk condition and </w:t>
      </w:r>
      <w:r w:rsidR="00D04DE7" w:rsidRPr="009F57D8">
        <w:t>Aboriginal and Torres Strait Islander adults</w:t>
      </w:r>
      <w:r w:rsidRPr="009F57D8">
        <w:t xml:space="preserve"> aged ≥ 50 years are eligible to receive 2 subsequent doses of 23vPPV as booster doses (first booster dose at 12 months after the initial conjugate vaccine (range 2 to 12 months is acceptable); and second booster dose at least 5 years after the first booster dose). The same booster dose regimen was previously recommended by ATAGI for the expanded NIP population recommended for 20vPCV, </w:t>
      </w:r>
      <w:r w:rsidR="00D04DE7" w:rsidRPr="009F57D8">
        <w:t>Aboriginal and Torres Strait Islander adults</w:t>
      </w:r>
      <w:r w:rsidRPr="009F57D8">
        <w:t xml:space="preserve"> 25-49 years (but </w:t>
      </w:r>
      <w:r w:rsidR="00AD328E" w:rsidRPr="009F57D8">
        <w:t xml:space="preserve">is </w:t>
      </w:r>
      <w:r w:rsidRPr="009F57D8">
        <w:t>no longer recommended</w:t>
      </w:r>
      <w:r w:rsidR="00AD328E" w:rsidRPr="009F57D8">
        <w:t>)</w:t>
      </w:r>
      <w:r w:rsidRPr="009F57D8">
        <w:t xml:space="preserve">. </w:t>
      </w:r>
      <w:r w:rsidR="00AD328E" w:rsidRPr="009F57D8">
        <w:t xml:space="preserve">  In July 2025, the ATAGI recommended removal of 23vPPV from the adult schedule when the use of 13vPCV is replaced by 21vPCV (or 20vPCV).</w:t>
      </w:r>
    </w:p>
    <w:p w14:paraId="0E1C0710" w14:textId="77777777" w:rsidR="007327F7" w:rsidRPr="009F57D8" w:rsidRDefault="007327F7" w:rsidP="007327F7">
      <w:pPr>
        <w:ind w:firstLine="709"/>
        <w:rPr>
          <w:rFonts w:asciiTheme="minorHAnsi" w:hAnsiTheme="minorHAnsi"/>
          <w:i/>
        </w:rPr>
      </w:pPr>
    </w:p>
    <w:p w14:paraId="6447AF00" w14:textId="77777777" w:rsidR="007327F7" w:rsidRPr="009F57D8" w:rsidRDefault="007327F7" w:rsidP="007327F7">
      <w:pPr>
        <w:ind w:firstLine="709"/>
        <w:rPr>
          <w:rFonts w:asciiTheme="minorHAnsi" w:hAnsiTheme="minorHAnsi"/>
          <w:i/>
        </w:rPr>
      </w:pPr>
      <w:r w:rsidRPr="009F57D8">
        <w:rPr>
          <w:rFonts w:asciiTheme="minorHAnsi" w:hAnsiTheme="minorHAnsi"/>
          <w:i/>
        </w:rPr>
        <w:t>For more detail on PBAC’s view, see section 7 PBAC outcome.</w:t>
      </w:r>
    </w:p>
    <w:p w14:paraId="2D118A10" w14:textId="77777777" w:rsidR="007327F7" w:rsidRPr="009F57D8" w:rsidRDefault="007327F7" w:rsidP="007327F7"/>
    <w:p w14:paraId="255A2DD7" w14:textId="77777777" w:rsidR="00B84A8C" w:rsidRPr="009F57D8" w:rsidRDefault="00B84A8C" w:rsidP="00B84A8C">
      <w:pPr>
        <w:pStyle w:val="2-SectionHeading"/>
        <w:numPr>
          <w:ilvl w:val="0"/>
          <w:numId w:val="1"/>
        </w:numPr>
      </w:pPr>
      <w:bookmarkStart w:id="40" w:name="_Toc177070736"/>
      <w:bookmarkStart w:id="41" w:name="_Toc209004904"/>
      <w:r w:rsidRPr="009F57D8">
        <w:t>Consideration of the evidence</w:t>
      </w:r>
      <w:bookmarkEnd w:id="40"/>
      <w:bookmarkEnd w:id="41"/>
    </w:p>
    <w:p w14:paraId="7D8B01E5" w14:textId="77777777" w:rsidR="00FA71C8" w:rsidRPr="009F57D8" w:rsidRDefault="00FA71C8" w:rsidP="00FA71C8">
      <w:pPr>
        <w:pStyle w:val="4-SubsectionHeading"/>
      </w:pPr>
      <w:bookmarkStart w:id="42" w:name="_Hlk76375935"/>
      <w:bookmarkStart w:id="43" w:name="_Toc177070737"/>
      <w:bookmarkStart w:id="44" w:name="_Toc209004905"/>
      <w:r w:rsidRPr="009F57D8">
        <w:t>Sponsor hearing</w:t>
      </w:r>
    </w:p>
    <w:p w14:paraId="6EC671F4" w14:textId="784769DA" w:rsidR="00FA71C8" w:rsidRPr="009F57D8" w:rsidRDefault="00FA71C8" w:rsidP="00FA71C8">
      <w:pPr>
        <w:widowControl w:val="0"/>
        <w:numPr>
          <w:ilvl w:val="1"/>
          <w:numId w:val="1"/>
        </w:numPr>
        <w:spacing w:after="120"/>
        <w:rPr>
          <w:rFonts w:cs="Calibri"/>
          <w:bCs/>
          <w:snapToGrid w:val="0"/>
        </w:rPr>
      </w:pPr>
      <w:r w:rsidRPr="009F57D8">
        <w:rPr>
          <w:rFonts w:cs="Calibri"/>
          <w:bCs/>
          <w:snapToGrid w:val="0"/>
        </w:rPr>
        <w:t>There was no hearing for this item</w:t>
      </w:r>
      <w:r w:rsidR="009D5CEC" w:rsidRPr="009F57D8">
        <w:rPr>
          <w:rFonts w:cs="Calibri"/>
          <w:bCs/>
          <w:snapToGrid w:val="0"/>
        </w:rPr>
        <w:t>.</w:t>
      </w:r>
    </w:p>
    <w:p w14:paraId="5CD7FEB7" w14:textId="77777777" w:rsidR="00856706" w:rsidRPr="009F57D8" w:rsidRDefault="00856706" w:rsidP="00902066">
      <w:pPr>
        <w:pStyle w:val="4-SubsectionHeading"/>
      </w:pPr>
      <w:r w:rsidRPr="009F57D8">
        <w:t>Consumer inputs</w:t>
      </w:r>
    </w:p>
    <w:p w14:paraId="5163D263" w14:textId="5197407C" w:rsidR="00FA71C8" w:rsidRPr="009F57D8" w:rsidRDefault="00C03BA9" w:rsidP="00FA71C8">
      <w:pPr>
        <w:pStyle w:val="3-BodyText"/>
        <w:spacing w:before="0" w:after="120"/>
      </w:pPr>
      <w:r w:rsidRPr="009F57D8">
        <w:rPr>
          <w:snapToGrid w:val="0"/>
        </w:rPr>
        <w:t xml:space="preserve">The PBAC noted and welcomed the input from health care professionals (2) and organisations (4) via the Office of Health Technology Assessment Consultation Hub.  </w:t>
      </w:r>
      <w:r w:rsidR="00572866" w:rsidRPr="009F57D8">
        <w:rPr>
          <w:lang w:eastAsia="en-US"/>
        </w:rPr>
        <w:t xml:space="preserve">The PBAC noted </w:t>
      </w:r>
      <w:r w:rsidR="00572866" w:rsidRPr="009F57D8">
        <w:rPr>
          <w:bCs/>
          <w:lang w:eastAsia="en-US"/>
        </w:rPr>
        <w:t xml:space="preserve">the input was supportive of the listing of 21vPCV on the NIP for the prevention of pneumococcal disease.   </w:t>
      </w:r>
      <w:r w:rsidR="00654FDF" w:rsidRPr="009F57D8">
        <w:rPr>
          <w:snapToGrid w:val="0"/>
        </w:rPr>
        <w:t xml:space="preserve">The inputs described a range of benefits of vaccination with 21vPCV, including broader serotype coverage and supporting </w:t>
      </w:r>
      <w:r w:rsidR="00654FDF" w:rsidRPr="009F57D8">
        <w:rPr>
          <w:snapToGrid w:val="0"/>
        </w:rPr>
        <w:lastRenderedPageBreak/>
        <w:t>alignment of the age range with influenza (65+</w:t>
      </w:r>
      <w:r w:rsidR="00697354" w:rsidRPr="009F57D8">
        <w:rPr>
          <w:snapToGrid w:val="0"/>
        </w:rPr>
        <w:t xml:space="preserve"> years</w:t>
      </w:r>
      <w:r w:rsidR="00654FDF" w:rsidRPr="009F57D8">
        <w:rPr>
          <w:snapToGrid w:val="0"/>
        </w:rPr>
        <w:t xml:space="preserve"> for non-indigenous </w:t>
      </w:r>
      <w:r w:rsidR="00572866" w:rsidRPr="009F57D8">
        <w:rPr>
          <w:snapToGrid w:val="0"/>
        </w:rPr>
        <w:t>Australians</w:t>
      </w:r>
      <w:r w:rsidR="00654FDF" w:rsidRPr="009F57D8">
        <w:rPr>
          <w:snapToGrid w:val="0"/>
        </w:rPr>
        <w:t xml:space="preserve">).  The organisations supported the proposed NIP listing of 21vPCV, noting </w:t>
      </w:r>
      <w:r w:rsidR="00572866" w:rsidRPr="009F57D8">
        <w:rPr>
          <w:snapToGrid w:val="0"/>
        </w:rPr>
        <w:t>reasons including the significant burden of pneumococcal disease in older people (</w:t>
      </w:r>
      <w:r w:rsidR="00654FDF" w:rsidRPr="009F57D8">
        <w:rPr>
          <w:snapToGrid w:val="0"/>
        </w:rPr>
        <w:t>The Australian College of Nurse Practitioners</w:t>
      </w:r>
      <w:r w:rsidR="00572866" w:rsidRPr="009F57D8">
        <w:rPr>
          <w:snapToGrid w:val="0"/>
        </w:rPr>
        <w:t>), the disproportionate burden of IPD in First Nations populations</w:t>
      </w:r>
      <w:r w:rsidR="00572866" w:rsidRPr="009F57D8">
        <w:t xml:space="preserve"> (National Aboriginal Community Controlled Health Organisation; NACCHO), burden of disease and addressing unmet need (Lung Foundation Australia), and positive public health impacts (Immunisation Coalition)</w:t>
      </w:r>
      <w:bookmarkEnd w:id="42"/>
      <w:r w:rsidR="009F3182">
        <w:t>.</w:t>
      </w:r>
    </w:p>
    <w:p w14:paraId="0F9D44BC" w14:textId="751212B0" w:rsidR="00B84A8C" w:rsidRPr="009F57D8" w:rsidRDefault="00B84A8C" w:rsidP="009C6528">
      <w:pPr>
        <w:pStyle w:val="4-SubsectionHeading"/>
        <w:spacing w:after="0"/>
      </w:pPr>
      <w:r w:rsidRPr="009F57D8">
        <w:t>Clinical trials</w:t>
      </w:r>
      <w:bookmarkEnd w:id="43"/>
      <w:bookmarkEnd w:id="44"/>
      <w:r w:rsidRPr="009F57D8">
        <w:t xml:space="preserve"> </w:t>
      </w:r>
    </w:p>
    <w:p w14:paraId="12FABF3D" w14:textId="306CC97A" w:rsidR="006D1567" w:rsidRPr="009F57D8" w:rsidRDefault="006D1567" w:rsidP="009C6528">
      <w:pPr>
        <w:pStyle w:val="3-BodyText"/>
        <w:numPr>
          <w:ilvl w:val="1"/>
          <w:numId w:val="1"/>
        </w:numPr>
        <w:spacing w:before="0"/>
      </w:pPr>
      <w:r w:rsidRPr="009F57D8">
        <w:t xml:space="preserve">Details of the trials presented in the submission are provided in </w:t>
      </w:r>
      <w:r w:rsidRPr="009F57D8">
        <w:fldChar w:fldCharType="begin"/>
      </w:r>
      <w:r w:rsidRPr="009F57D8">
        <w:instrText xml:space="preserve"> REF _Ref104803956 \h  \* MERGEFORMAT </w:instrText>
      </w:r>
      <w:r w:rsidRPr="009F57D8">
        <w:fldChar w:fldCharType="separate"/>
      </w:r>
      <w:r w:rsidR="00581386" w:rsidRPr="009F57D8">
        <w:t xml:space="preserve">Table </w:t>
      </w:r>
      <w:r w:rsidR="00581386">
        <w:rPr>
          <w:bCs/>
        </w:rPr>
        <w:t>4</w:t>
      </w:r>
      <w:r w:rsidRPr="009F57D8">
        <w:fldChar w:fldCharType="end"/>
      </w:r>
      <w:r w:rsidRPr="009F57D8">
        <w:t xml:space="preserve">. </w:t>
      </w:r>
    </w:p>
    <w:p w14:paraId="38875084" w14:textId="71973227" w:rsidR="006D1567" w:rsidRPr="009F57D8" w:rsidRDefault="006D1567" w:rsidP="006D1567">
      <w:pPr>
        <w:pStyle w:val="TableFigureHeading"/>
        <w:rPr>
          <w:rStyle w:val="CommentReference"/>
          <w:bCs w:val="0"/>
        </w:rPr>
      </w:pPr>
      <w:bookmarkStart w:id="45" w:name="_Ref104803956"/>
      <w:r w:rsidRPr="009F57D8">
        <w:rPr>
          <w:bCs w:val="0"/>
        </w:rPr>
        <w:t xml:space="preserve">Table </w:t>
      </w:r>
      <w:r w:rsidRPr="009F57D8">
        <w:rPr>
          <w:bCs w:val="0"/>
        </w:rPr>
        <w:fldChar w:fldCharType="begin"/>
      </w:r>
      <w:r w:rsidRPr="009F57D8">
        <w:rPr>
          <w:bCs w:val="0"/>
        </w:rPr>
        <w:instrText xml:space="preserve"> SEQ Table \* ARABIC </w:instrText>
      </w:r>
      <w:r w:rsidRPr="009F57D8">
        <w:rPr>
          <w:bCs w:val="0"/>
        </w:rPr>
        <w:fldChar w:fldCharType="separate"/>
      </w:r>
      <w:r w:rsidR="00581386">
        <w:rPr>
          <w:bCs w:val="0"/>
          <w:noProof/>
        </w:rPr>
        <w:t>4</w:t>
      </w:r>
      <w:r w:rsidRPr="009F57D8">
        <w:rPr>
          <w:bCs w:val="0"/>
        </w:rPr>
        <w:fldChar w:fldCharType="end"/>
      </w:r>
      <w:bookmarkEnd w:id="45"/>
      <w:r w:rsidRPr="009F57D8">
        <w:rPr>
          <w:bCs w:val="0"/>
        </w:rPr>
        <w:t>:</w:t>
      </w:r>
      <w:r w:rsidRPr="009F57D8">
        <w:rPr>
          <w:rStyle w:val="CommentReference"/>
          <w:bCs w:val="0"/>
        </w:rPr>
        <w:t xml:space="preserve"> </w:t>
      </w:r>
      <w:r w:rsidRPr="009F57D8">
        <w:rPr>
          <w:rStyle w:val="CommentReference"/>
          <w:b/>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697"/>
        <w:gridCol w:w="6236"/>
        <w:gridCol w:w="1084"/>
      </w:tblGrid>
      <w:tr w:rsidR="006D1567" w:rsidRPr="009F3182" w14:paraId="2CA86A85" w14:textId="77777777" w:rsidTr="009C6528">
        <w:trPr>
          <w:tblHeader/>
        </w:trPr>
        <w:tc>
          <w:tcPr>
            <w:tcW w:w="941" w:type="pct"/>
            <w:vAlign w:val="center"/>
          </w:tcPr>
          <w:p w14:paraId="3A28AB20" w14:textId="77777777" w:rsidR="006D1567" w:rsidRPr="009F3182" w:rsidRDefault="006D1567" w:rsidP="006D1567">
            <w:pPr>
              <w:pStyle w:val="In-tableHeading"/>
              <w:rPr>
                <w:szCs w:val="20"/>
                <w:lang w:val="en-AU"/>
              </w:rPr>
            </w:pPr>
            <w:r w:rsidRPr="009F3182">
              <w:rPr>
                <w:szCs w:val="20"/>
                <w:lang w:val="en-AU"/>
              </w:rPr>
              <w:t>Trial ID</w:t>
            </w:r>
          </w:p>
        </w:tc>
        <w:tc>
          <w:tcPr>
            <w:tcW w:w="3458" w:type="pct"/>
            <w:vAlign w:val="center"/>
          </w:tcPr>
          <w:p w14:paraId="4539B5EE" w14:textId="77777777" w:rsidR="006D1567" w:rsidRPr="009F3182" w:rsidRDefault="006D1567" w:rsidP="006D1567">
            <w:pPr>
              <w:pStyle w:val="In-tableHeading"/>
              <w:rPr>
                <w:szCs w:val="20"/>
                <w:lang w:val="en-AU"/>
              </w:rPr>
            </w:pPr>
            <w:r w:rsidRPr="009F3182">
              <w:rPr>
                <w:szCs w:val="20"/>
                <w:lang w:val="en-AU"/>
              </w:rPr>
              <w:t>Protocol title/ Publication title</w:t>
            </w:r>
          </w:p>
        </w:tc>
        <w:tc>
          <w:tcPr>
            <w:tcW w:w="601" w:type="pct"/>
            <w:vAlign w:val="center"/>
          </w:tcPr>
          <w:p w14:paraId="520533FE" w14:textId="77777777" w:rsidR="006D1567" w:rsidRPr="009F3182" w:rsidRDefault="006D1567" w:rsidP="006D1567">
            <w:pPr>
              <w:pStyle w:val="In-tableHeading"/>
              <w:rPr>
                <w:szCs w:val="20"/>
                <w:lang w:val="en-AU"/>
              </w:rPr>
            </w:pPr>
            <w:r w:rsidRPr="009F3182">
              <w:rPr>
                <w:szCs w:val="20"/>
                <w:lang w:val="en-AU"/>
              </w:rPr>
              <w:t>Publication citation</w:t>
            </w:r>
          </w:p>
        </w:tc>
      </w:tr>
      <w:tr w:rsidR="006D1567" w:rsidRPr="009F3182" w14:paraId="4F065F44" w14:textId="77777777" w:rsidTr="009F3182">
        <w:tc>
          <w:tcPr>
            <w:tcW w:w="5000" w:type="pct"/>
            <w:gridSpan w:val="3"/>
          </w:tcPr>
          <w:p w14:paraId="540B4296" w14:textId="330623B9" w:rsidR="006D1567" w:rsidRPr="009F3182" w:rsidRDefault="00B229D8" w:rsidP="006D1567">
            <w:pPr>
              <w:pStyle w:val="TableText0"/>
              <w:keepNext/>
              <w:rPr>
                <w:b/>
                <w:szCs w:val="20"/>
              </w:rPr>
            </w:pPr>
            <w:r w:rsidRPr="009F3182">
              <w:rPr>
                <w:b/>
                <w:szCs w:val="20"/>
              </w:rPr>
              <w:t>21vPCV</w:t>
            </w:r>
            <w:r w:rsidR="006D1567" w:rsidRPr="009F3182">
              <w:rPr>
                <w:b/>
                <w:szCs w:val="20"/>
              </w:rPr>
              <w:t xml:space="preserve"> vs 20vPCV</w:t>
            </w:r>
          </w:p>
        </w:tc>
      </w:tr>
      <w:tr w:rsidR="006D1567" w:rsidRPr="009F3182" w14:paraId="5995DE25" w14:textId="77777777" w:rsidTr="009C6528">
        <w:tc>
          <w:tcPr>
            <w:tcW w:w="941" w:type="pct"/>
            <w:vMerge w:val="restart"/>
          </w:tcPr>
          <w:p w14:paraId="42818753" w14:textId="77777777" w:rsidR="006D1567" w:rsidRPr="009F3182" w:rsidRDefault="006D1567" w:rsidP="006D1567">
            <w:pPr>
              <w:pStyle w:val="TableText0"/>
              <w:keepNext/>
              <w:rPr>
                <w:szCs w:val="20"/>
              </w:rPr>
            </w:pPr>
            <w:r w:rsidRPr="009F3182">
              <w:rPr>
                <w:szCs w:val="20"/>
              </w:rPr>
              <w:t>P003 (STRIDE-3)</w:t>
            </w:r>
          </w:p>
          <w:p w14:paraId="7E3149E6" w14:textId="77777777" w:rsidR="006D1567" w:rsidRPr="009F3182" w:rsidRDefault="006D1567" w:rsidP="006D1567">
            <w:pPr>
              <w:pStyle w:val="TableText0"/>
              <w:keepNext/>
              <w:rPr>
                <w:szCs w:val="20"/>
              </w:rPr>
            </w:pPr>
            <w:r w:rsidRPr="009F3182">
              <w:rPr>
                <w:szCs w:val="20"/>
              </w:rPr>
              <w:t>(Pivotal)</w:t>
            </w:r>
          </w:p>
          <w:p w14:paraId="43ECF916" w14:textId="77777777" w:rsidR="006D1567" w:rsidRPr="009F3182" w:rsidRDefault="006D1567" w:rsidP="006D1567">
            <w:pPr>
              <w:pStyle w:val="TableText0"/>
              <w:keepNext/>
              <w:rPr>
                <w:b/>
                <w:szCs w:val="20"/>
              </w:rPr>
            </w:pPr>
            <w:r w:rsidRPr="009F3182">
              <w:rPr>
                <w:szCs w:val="20"/>
              </w:rPr>
              <w:t>(NCT05425732)</w:t>
            </w:r>
          </w:p>
          <w:p w14:paraId="751C96A2" w14:textId="77777777" w:rsidR="006D1567" w:rsidRPr="009F3182" w:rsidRDefault="006D1567" w:rsidP="006D1567">
            <w:pPr>
              <w:pStyle w:val="TableText0"/>
              <w:keepNext/>
              <w:rPr>
                <w:szCs w:val="20"/>
              </w:rPr>
            </w:pPr>
          </w:p>
        </w:tc>
        <w:tc>
          <w:tcPr>
            <w:tcW w:w="3458" w:type="pct"/>
          </w:tcPr>
          <w:p w14:paraId="64CBB64B" w14:textId="77777777" w:rsidR="006D1567" w:rsidRPr="009F3182" w:rsidRDefault="006D1567" w:rsidP="006D1567">
            <w:pPr>
              <w:pStyle w:val="TableText0"/>
              <w:keepNext/>
              <w:rPr>
                <w:szCs w:val="20"/>
              </w:rPr>
            </w:pPr>
            <w:r w:rsidRPr="009F3182">
              <w:rPr>
                <w:szCs w:val="20"/>
              </w:rPr>
              <w:t>A phase 3 Clinical Study to Evaluate the Safety, Tolerability, and Immunogenicity of V116 in Pneumococcal Vaccine-Experienced Adults 50 Years of Age or Older.</w:t>
            </w:r>
          </w:p>
        </w:tc>
        <w:tc>
          <w:tcPr>
            <w:tcW w:w="601" w:type="pct"/>
            <w:vAlign w:val="center"/>
          </w:tcPr>
          <w:p w14:paraId="761D3562" w14:textId="77777777" w:rsidR="006D1567" w:rsidRPr="009F3182" w:rsidRDefault="006D1567" w:rsidP="006D1567">
            <w:pPr>
              <w:pStyle w:val="TableText0"/>
              <w:keepNext/>
              <w:rPr>
                <w:szCs w:val="20"/>
              </w:rPr>
            </w:pPr>
            <w:r w:rsidRPr="009F3182">
              <w:rPr>
                <w:szCs w:val="20"/>
              </w:rPr>
              <w:t>CSR; 8 September 2023</w:t>
            </w:r>
          </w:p>
        </w:tc>
      </w:tr>
      <w:tr w:rsidR="006D1567" w:rsidRPr="009F3182" w14:paraId="7C87EE66" w14:textId="77777777" w:rsidTr="009C6528">
        <w:tc>
          <w:tcPr>
            <w:tcW w:w="941" w:type="pct"/>
            <w:vMerge/>
            <w:vAlign w:val="center"/>
          </w:tcPr>
          <w:p w14:paraId="657820DC" w14:textId="77777777" w:rsidR="006D1567" w:rsidRPr="009F3182" w:rsidRDefault="006D1567">
            <w:pPr>
              <w:pStyle w:val="TableText0"/>
              <w:rPr>
                <w:szCs w:val="20"/>
              </w:rPr>
            </w:pPr>
          </w:p>
        </w:tc>
        <w:tc>
          <w:tcPr>
            <w:tcW w:w="3458" w:type="pct"/>
            <w:vAlign w:val="center"/>
          </w:tcPr>
          <w:p w14:paraId="4C917595" w14:textId="77777777" w:rsidR="006D1567" w:rsidRPr="009F3182" w:rsidRDefault="006D1567">
            <w:pPr>
              <w:pStyle w:val="TableText0"/>
              <w:rPr>
                <w:szCs w:val="20"/>
              </w:rPr>
            </w:pPr>
            <w:r w:rsidRPr="009F3182">
              <w:rPr>
                <w:szCs w:val="20"/>
              </w:rPr>
              <w:t>Platt HL, Bruno C, Buntinx E, Pelayo E, Garcia-Huidobro D, Barranco-Santana EA, Sjoberg F, Song JY, Grijalva CG, Orenstein WA, Morgan L, Fernsler D, Xu W, Waleed M, Li J, Buchwald UK; STRIDE-3 Study Group. Safety, tolerability, and immunogenicity of an adult pneumococcal conjugate vaccine, V116 (STRIDE-3): a randomised, double-blind, active comparator controlled, international phase 3 trial.</w:t>
            </w:r>
          </w:p>
        </w:tc>
        <w:tc>
          <w:tcPr>
            <w:tcW w:w="601" w:type="pct"/>
            <w:vAlign w:val="center"/>
          </w:tcPr>
          <w:p w14:paraId="0358B0EC" w14:textId="77777777" w:rsidR="006D1567" w:rsidRPr="009F3182" w:rsidRDefault="006D1567">
            <w:pPr>
              <w:pStyle w:val="TableText0"/>
              <w:rPr>
                <w:szCs w:val="20"/>
              </w:rPr>
            </w:pPr>
            <w:r w:rsidRPr="009F3182">
              <w:rPr>
                <w:szCs w:val="20"/>
              </w:rPr>
              <w:t>Lancet Infect Dis. 2024 Jul 1:S1473-3099(24)</w:t>
            </w:r>
          </w:p>
        </w:tc>
      </w:tr>
      <w:tr w:rsidR="009F3182" w:rsidRPr="009F3182" w14:paraId="442D460E" w14:textId="77777777" w:rsidTr="009F3182">
        <w:tc>
          <w:tcPr>
            <w:tcW w:w="5000" w:type="pct"/>
            <w:gridSpan w:val="3"/>
          </w:tcPr>
          <w:p w14:paraId="5179AEA1" w14:textId="145B8DA1" w:rsidR="009F3182" w:rsidRPr="009F3182" w:rsidRDefault="009F3182">
            <w:pPr>
              <w:pStyle w:val="TableText0"/>
              <w:rPr>
                <w:szCs w:val="20"/>
              </w:rPr>
            </w:pPr>
            <w:r w:rsidRPr="009F3182">
              <w:rPr>
                <w:b/>
                <w:szCs w:val="20"/>
              </w:rPr>
              <w:t>21vPCV vs 15vPCV</w:t>
            </w:r>
          </w:p>
        </w:tc>
      </w:tr>
      <w:tr w:rsidR="006D1567" w:rsidRPr="009F3182" w14:paraId="04A98D1E" w14:textId="77777777" w:rsidTr="009C6528">
        <w:tc>
          <w:tcPr>
            <w:tcW w:w="941" w:type="pct"/>
          </w:tcPr>
          <w:p w14:paraId="17E572B0" w14:textId="77777777" w:rsidR="006D1567" w:rsidRPr="009F3182" w:rsidRDefault="006D1567">
            <w:pPr>
              <w:pStyle w:val="TableText0"/>
              <w:rPr>
                <w:szCs w:val="20"/>
              </w:rPr>
            </w:pPr>
            <w:r w:rsidRPr="009F3182">
              <w:rPr>
                <w:szCs w:val="20"/>
              </w:rPr>
              <w:t>P007 (STRIDE-7)</w:t>
            </w:r>
          </w:p>
          <w:p w14:paraId="586D771E" w14:textId="77777777" w:rsidR="006D1567" w:rsidRPr="009F3182" w:rsidRDefault="006D1567">
            <w:pPr>
              <w:pStyle w:val="TableText0"/>
              <w:rPr>
                <w:szCs w:val="20"/>
              </w:rPr>
            </w:pPr>
            <w:r w:rsidRPr="009F3182">
              <w:rPr>
                <w:szCs w:val="20"/>
              </w:rPr>
              <w:t>(HIV)</w:t>
            </w:r>
          </w:p>
          <w:p w14:paraId="7A7FA80A" w14:textId="77777777" w:rsidR="006D1567" w:rsidRPr="009F3182" w:rsidRDefault="006D1567">
            <w:pPr>
              <w:pStyle w:val="TableText0"/>
              <w:rPr>
                <w:szCs w:val="20"/>
              </w:rPr>
            </w:pPr>
            <w:r w:rsidRPr="009F3182">
              <w:rPr>
                <w:szCs w:val="20"/>
              </w:rPr>
              <w:t>(NCT05393037</w:t>
            </w:r>
          </w:p>
        </w:tc>
        <w:tc>
          <w:tcPr>
            <w:tcW w:w="3458" w:type="pct"/>
          </w:tcPr>
          <w:p w14:paraId="0E5E884A" w14:textId="77777777" w:rsidR="006D1567" w:rsidRPr="009F3182" w:rsidRDefault="006D1567">
            <w:pPr>
              <w:pStyle w:val="TableText0"/>
              <w:rPr>
                <w:szCs w:val="20"/>
              </w:rPr>
            </w:pPr>
            <w:r w:rsidRPr="009F3182">
              <w:rPr>
                <w:szCs w:val="20"/>
              </w:rPr>
              <w:t>A phase 3, Multicentre, Randomized, Double-blind, Active Comparator Controlled Study to Evaluate the Safety, Tolerability, and Immunogenicity of V116 in Adults Living With HIV</w:t>
            </w:r>
          </w:p>
        </w:tc>
        <w:tc>
          <w:tcPr>
            <w:tcW w:w="601" w:type="pct"/>
            <w:vAlign w:val="center"/>
          </w:tcPr>
          <w:p w14:paraId="5B9F2DB6" w14:textId="77777777" w:rsidR="006D1567" w:rsidRPr="009F3182" w:rsidRDefault="006D1567">
            <w:pPr>
              <w:pStyle w:val="TableText0"/>
              <w:rPr>
                <w:szCs w:val="20"/>
              </w:rPr>
            </w:pPr>
            <w:r w:rsidRPr="009F3182">
              <w:rPr>
                <w:szCs w:val="20"/>
              </w:rPr>
              <w:t>CSR, 15 Dec 2023</w:t>
            </w:r>
          </w:p>
        </w:tc>
      </w:tr>
      <w:tr w:rsidR="006D1567" w:rsidRPr="009F3182" w14:paraId="415C31DE" w14:textId="77777777" w:rsidTr="009C6528">
        <w:tc>
          <w:tcPr>
            <w:tcW w:w="941" w:type="pct"/>
          </w:tcPr>
          <w:p w14:paraId="77975DE2" w14:textId="77777777" w:rsidR="006D1567" w:rsidRPr="009F3182" w:rsidRDefault="006D1567">
            <w:pPr>
              <w:pStyle w:val="TableText0"/>
              <w:rPr>
                <w:szCs w:val="20"/>
              </w:rPr>
            </w:pPr>
            <w:r w:rsidRPr="009F3182">
              <w:rPr>
                <w:szCs w:val="20"/>
              </w:rPr>
              <w:t>P008 (STRIDE 8)</w:t>
            </w:r>
          </w:p>
          <w:p w14:paraId="04F9AAD4" w14:textId="77777777" w:rsidR="006D1567" w:rsidRPr="009F3182" w:rsidRDefault="006D1567">
            <w:pPr>
              <w:pStyle w:val="TableText0"/>
              <w:rPr>
                <w:szCs w:val="20"/>
              </w:rPr>
            </w:pPr>
            <w:r w:rsidRPr="009F3182">
              <w:rPr>
                <w:szCs w:val="20"/>
              </w:rPr>
              <w:t>At risk adults</w:t>
            </w:r>
          </w:p>
          <w:p w14:paraId="791B4713" w14:textId="77777777" w:rsidR="006D1567" w:rsidRPr="009F3182" w:rsidRDefault="006D1567">
            <w:pPr>
              <w:pStyle w:val="TableText0"/>
              <w:rPr>
                <w:szCs w:val="20"/>
              </w:rPr>
            </w:pPr>
            <w:r w:rsidRPr="009F3182">
              <w:rPr>
                <w:szCs w:val="20"/>
              </w:rPr>
              <w:t>(NCT05696080)</w:t>
            </w:r>
          </w:p>
        </w:tc>
        <w:tc>
          <w:tcPr>
            <w:tcW w:w="3458" w:type="pct"/>
          </w:tcPr>
          <w:p w14:paraId="2682AFB8" w14:textId="77777777" w:rsidR="006D1567" w:rsidRPr="009F3182" w:rsidRDefault="006D1567">
            <w:pPr>
              <w:pStyle w:val="TableText0"/>
              <w:rPr>
                <w:szCs w:val="20"/>
              </w:rPr>
            </w:pPr>
            <w:r w:rsidRPr="009F3182">
              <w:rPr>
                <w:szCs w:val="20"/>
              </w:rPr>
              <w:t>A phase 3, Randomized, Double-blind, Active Comparator-controlled Clinical Study to Evaluate the Safety, Tolerability, and Immunogenicity of V116 in Pneumococcal Vaccine-naïve Adults 18 to 64 Years of Age With Increased Risk for Pneumococcal Disease</w:t>
            </w:r>
          </w:p>
        </w:tc>
        <w:tc>
          <w:tcPr>
            <w:tcW w:w="601" w:type="pct"/>
            <w:vAlign w:val="center"/>
          </w:tcPr>
          <w:p w14:paraId="7E9BFD95" w14:textId="77777777" w:rsidR="006D1567" w:rsidRPr="009F3182" w:rsidRDefault="006D1567">
            <w:pPr>
              <w:pStyle w:val="TableText0"/>
              <w:rPr>
                <w:szCs w:val="20"/>
              </w:rPr>
            </w:pPr>
            <w:r w:rsidRPr="009F3182">
              <w:rPr>
                <w:szCs w:val="20"/>
              </w:rPr>
              <w:t>CSR, 5 June 2024</w:t>
            </w:r>
          </w:p>
        </w:tc>
      </w:tr>
      <w:tr w:rsidR="006D1567" w:rsidRPr="009F3182" w14:paraId="43E3EC15" w14:textId="77777777" w:rsidTr="009F3182">
        <w:tc>
          <w:tcPr>
            <w:tcW w:w="5000" w:type="pct"/>
            <w:gridSpan w:val="3"/>
          </w:tcPr>
          <w:p w14:paraId="08F1EB7E" w14:textId="77777777" w:rsidR="006D1567" w:rsidRPr="009F3182" w:rsidRDefault="006D1567">
            <w:pPr>
              <w:pStyle w:val="TableText0"/>
              <w:rPr>
                <w:b/>
                <w:szCs w:val="20"/>
              </w:rPr>
            </w:pPr>
            <w:r w:rsidRPr="009F3182">
              <w:rPr>
                <w:b/>
                <w:szCs w:val="20"/>
              </w:rPr>
              <w:t>Catch-up</w:t>
            </w:r>
          </w:p>
        </w:tc>
      </w:tr>
      <w:tr w:rsidR="006D1567" w:rsidRPr="009F3182" w14:paraId="6F3A7B8C" w14:textId="77777777" w:rsidTr="009C6528">
        <w:tc>
          <w:tcPr>
            <w:tcW w:w="941" w:type="pct"/>
          </w:tcPr>
          <w:p w14:paraId="19E4BB05" w14:textId="77777777" w:rsidR="006D1567" w:rsidRPr="009F3182" w:rsidRDefault="006D1567">
            <w:pPr>
              <w:pStyle w:val="TableText0"/>
              <w:rPr>
                <w:szCs w:val="20"/>
              </w:rPr>
            </w:pPr>
            <w:r w:rsidRPr="009F3182">
              <w:rPr>
                <w:szCs w:val="20"/>
              </w:rPr>
              <w:t>P006 (STRIDE-6)</w:t>
            </w:r>
          </w:p>
          <w:p w14:paraId="76E77D0A" w14:textId="77777777" w:rsidR="006D1567" w:rsidRPr="009F3182" w:rsidRDefault="006D1567">
            <w:pPr>
              <w:pStyle w:val="TableText0"/>
              <w:rPr>
                <w:szCs w:val="20"/>
              </w:rPr>
            </w:pPr>
            <w:r w:rsidRPr="009F3182">
              <w:rPr>
                <w:szCs w:val="20"/>
              </w:rPr>
              <w:t>(Vaccine experienced)</w:t>
            </w:r>
          </w:p>
          <w:p w14:paraId="29B4DAC0" w14:textId="77777777" w:rsidR="006D1567" w:rsidRPr="009F3182" w:rsidRDefault="006D1567">
            <w:pPr>
              <w:pStyle w:val="TableText0"/>
              <w:rPr>
                <w:szCs w:val="20"/>
              </w:rPr>
            </w:pPr>
            <w:r w:rsidRPr="009F3182">
              <w:rPr>
                <w:szCs w:val="20"/>
              </w:rPr>
              <w:t>(NCT05420961)</w:t>
            </w:r>
          </w:p>
        </w:tc>
        <w:tc>
          <w:tcPr>
            <w:tcW w:w="3458" w:type="pct"/>
          </w:tcPr>
          <w:p w14:paraId="1A38C3CE" w14:textId="77777777" w:rsidR="006D1567" w:rsidRPr="009F3182" w:rsidRDefault="006D1567">
            <w:pPr>
              <w:pStyle w:val="TableText0"/>
              <w:rPr>
                <w:szCs w:val="20"/>
              </w:rPr>
            </w:pPr>
            <w:r w:rsidRPr="009F3182">
              <w:rPr>
                <w:szCs w:val="20"/>
              </w:rPr>
              <w:t>A phase 3 Clinical Study to Evaluate the Safety, Tolerability, and Immunogenicity of V116 in Pneumococcal Vaccine-Experienced Adults 50 Years of Age or Older</w:t>
            </w:r>
          </w:p>
        </w:tc>
        <w:tc>
          <w:tcPr>
            <w:tcW w:w="601" w:type="pct"/>
            <w:vAlign w:val="center"/>
          </w:tcPr>
          <w:p w14:paraId="0EBC7754" w14:textId="77777777" w:rsidR="006D1567" w:rsidRPr="009F3182" w:rsidRDefault="006D1567">
            <w:pPr>
              <w:pStyle w:val="TableText0"/>
              <w:rPr>
                <w:szCs w:val="20"/>
              </w:rPr>
            </w:pPr>
            <w:r w:rsidRPr="009F3182">
              <w:rPr>
                <w:szCs w:val="20"/>
              </w:rPr>
              <w:t>CSR, 8 Sept 2023</w:t>
            </w:r>
          </w:p>
        </w:tc>
      </w:tr>
      <w:tr w:rsidR="006D1567" w:rsidRPr="009F3182" w14:paraId="47D06014" w14:textId="77777777" w:rsidTr="009F3182">
        <w:tc>
          <w:tcPr>
            <w:tcW w:w="5000" w:type="pct"/>
            <w:gridSpan w:val="3"/>
          </w:tcPr>
          <w:p w14:paraId="31A2A63E" w14:textId="77777777" w:rsidR="006D1567" w:rsidRPr="009F3182" w:rsidRDefault="006D1567">
            <w:pPr>
              <w:pStyle w:val="TableText0"/>
              <w:rPr>
                <w:szCs w:val="20"/>
              </w:rPr>
            </w:pPr>
            <w:r w:rsidRPr="009F3182">
              <w:rPr>
                <w:b/>
                <w:szCs w:val="20"/>
              </w:rPr>
              <w:t>Concomitantly with Influenza Vaccine</w:t>
            </w:r>
          </w:p>
        </w:tc>
      </w:tr>
      <w:tr w:rsidR="006D1567" w:rsidRPr="009F3182" w14:paraId="42A39DA4" w14:textId="77777777" w:rsidTr="009C6528">
        <w:tc>
          <w:tcPr>
            <w:tcW w:w="941" w:type="pct"/>
          </w:tcPr>
          <w:p w14:paraId="2002CB04" w14:textId="77777777" w:rsidR="006D1567" w:rsidRPr="009F3182" w:rsidRDefault="006D1567">
            <w:pPr>
              <w:pStyle w:val="TableText0"/>
              <w:rPr>
                <w:szCs w:val="20"/>
              </w:rPr>
            </w:pPr>
            <w:r w:rsidRPr="009F3182">
              <w:rPr>
                <w:szCs w:val="20"/>
              </w:rPr>
              <w:t>P005 (STRIDE-5)</w:t>
            </w:r>
          </w:p>
          <w:p w14:paraId="26331393" w14:textId="77777777" w:rsidR="006D1567" w:rsidRPr="009F3182" w:rsidRDefault="006D1567">
            <w:pPr>
              <w:pStyle w:val="TableText0"/>
              <w:rPr>
                <w:szCs w:val="20"/>
              </w:rPr>
            </w:pPr>
            <w:r w:rsidRPr="009F3182">
              <w:rPr>
                <w:szCs w:val="20"/>
              </w:rPr>
              <w:t>(Concomitant flu)</w:t>
            </w:r>
          </w:p>
          <w:p w14:paraId="1082ADF2" w14:textId="77777777" w:rsidR="006D1567" w:rsidRPr="009F3182" w:rsidRDefault="006D1567">
            <w:pPr>
              <w:pStyle w:val="TableText0"/>
              <w:rPr>
                <w:szCs w:val="20"/>
              </w:rPr>
            </w:pPr>
            <w:r w:rsidRPr="009F3182">
              <w:rPr>
                <w:szCs w:val="20"/>
              </w:rPr>
              <w:t>(NCT05526716)</w:t>
            </w:r>
          </w:p>
        </w:tc>
        <w:tc>
          <w:tcPr>
            <w:tcW w:w="3458" w:type="pct"/>
          </w:tcPr>
          <w:p w14:paraId="0057D198" w14:textId="77777777" w:rsidR="006D1567" w:rsidRPr="009F3182" w:rsidRDefault="006D1567">
            <w:pPr>
              <w:pStyle w:val="TableText0"/>
              <w:rPr>
                <w:szCs w:val="20"/>
              </w:rPr>
            </w:pPr>
            <w:r w:rsidRPr="009F3182">
              <w:rPr>
                <w:szCs w:val="20"/>
              </w:rPr>
              <w:t>A phase 3 Randomized, Double-blind, Placebo-Controlled Clinical Study to Evaluate the Safety, Tolerability, and Immunogenicity of V116 When Administered Concomitantly with Influenza Vaccine in Adults 50 Years of Age or Older</w:t>
            </w:r>
          </w:p>
        </w:tc>
        <w:tc>
          <w:tcPr>
            <w:tcW w:w="601" w:type="pct"/>
            <w:vAlign w:val="center"/>
          </w:tcPr>
          <w:p w14:paraId="44105BEE" w14:textId="77777777" w:rsidR="006D1567" w:rsidRPr="009F3182" w:rsidRDefault="006D1567">
            <w:pPr>
              <w:pStyle w:val="TableText0"/>
              <w:rPr>
                <w:szCs w:val="20"/>
              </w:rPr>
            </w:pPr>
            <w:r w:rsidRPr="009F3182">
              <w:rPr>
                <w:szCs w:val="20"/>
              </w:rPr>
              <w:t>CSR, 11 Sep 2023</w:t>
            </w:r>
          </w:p>
        </w:tc>
      </w:tr>
      <w:tr w:rsidR="006D1567" w:rsidRPr="009F3182" w14:paraId="47930969" w14:textId="77777777" w:rsidTr="009F3182">
        <w:tc>
          <w:tcPr>
            <w:tcW w:w="5000" w:type="pct"/>
            <w:gridSpan w:val="3"/>
          </w:tcPr>
          <w:p w14:paraId="19E37F30" w14:textId="77777777" w:rsidR="006D1567" w:rsidRPr="009F3182" w:rsidRDefault="006D1567">
            <w:pPr>
              <w:pStyle w:val="TableText0"/>
              <w:rPr>
                <w:b/>
                <w:szCs w:val="20"/>
              </w:rPr>
            </w:pPr>
            <w:r w:rsidRPr="009F3182">
              <w:rPr>
                <w:b/>
                <w:szCs w:val="20"/>
              </w:rPr>
              <w:t>Studies used for the ITC</w:t>
            </w:r>
          </w:p>
        </w:tc>
      </w:tr>
      <w:tr w:rsidR="006D1567" w:rsidRPr="009F3182" w14:paraId="1E609DFD" w14:textId="77777777" w:rsidTr="009C6528">
        <w:tc>
          <w:tcPr>
            <w:tcW w:w="941" w:type="pct"/>
            <w:vAlign w:val="center"/>
          </w:tcPr>
          <w:p w14:paraId="6EDCEB17" w14:textId="77777777" w:rsidR="006D1567" w:rsidRPr="009F3182" w:rsidRDefault="006D1567">
            <w:pPr>
              <w:pStyle w:val="TableText0"/>
              <w:rPr>
                <w:szCs w:val="20"/>
              </w:rPr>
            </w:pPr>
            <w:r w:rsidRPr="009F3182">
              <w:rPr>
                <w:szCs w:val="20"/>
              </w:rPr>
              <w:t>Essink 2022 (NCT03760146)</w:t>
            </w:r>
          </w:p>
        </w:tc>
        <w:tc>
          <w:tcPr>
            <w:tcW w:w="3458" w:type="pct"/>
            <w:vAlign w:val="center"/>
          </w:tcPr>
          <w:p w14:paraId="2C33CB6A" w14:textId="77777777" w:rsidR="006D1567" w:rsidRPr="009F3182" w:rsidRDefault="006D1567">
            <w:pPr>
              <w:pStyle w:val="TableText0"/>
              <w:rPr>
                <w:szCs w:val="20"/>
              </w:rPr>
            </w:pPr>
            <w:r w:rsidRPr="009F3182">
              <w:rPr>
                <w:szCs w:val="20"/>
              </w:rPr>
              <w:t>Essink B, Sabharwal C, Cannon K, Frenck R, Lal H, Xu X, Sundaraiyer V, Peng Y, Moyer L, Pride MW, Scully IL, Jansen KU, Gruber WC, Scott DA, Watson W. Pivotal Phase 3 Randomized Clinical Trial of the Safety, Tolerability, and Immunogenicity of 20-Valent Pneumococcal Conjugate Vaccine in Adults Aged ≥18 Years</w:t>
            </w:r>
          </w:p>
        </w:tc>
        <w:tc>
          <w:tcPr>
            <w:tcW w:w="601" w:type="pct"/>
            <w:vAlign w:val="center"/>
          </w:tcPr>
          <w:p w14:paraId="5A0F774D" w14:textId="77777777" w:rsidR="006D1567" w:rsidRPr="009F3182" w:rsidRDefault="006D1567">
            <w:pPr>
              <w:pStyle w:val="TableText0"/>
              <w:rPr>
                <w:szCs w:val="20"/>
              </w:rPr>
            </w:pPr>
            <w:r w:rsidRPr="009F3182">
              <w:rPr>
                <w:szCs w:val="20"/>
              </w:rPr>
              <w:t>Clin Infect Dis. 2022 Aug 31;75(3):390-398</w:t>
            </w:r>
          </w:p>
        </w:tc>
      </w:tr>
    </w:tbl>
    <w:p w14:paraId="7B99C4A7" w14:textId="77777777" w:rsidR="006D1567" w:rsidRPr="009F57D8" w:rsidRDefault="006D1567" w:rsidP="000E6454">
      <w:pPr>
        <w:pStyle w:val="TableFigureFooter"/>
      </w:pPr>
      <w:r w:rsidRPr="009F57D8">
        <w:t xml:space="preserve">Source: Table 2.2-1 p34 and Table 2.6-6 p113 of the submission. </w:t>
      </w:r>
    </w:p>
    <w:p w14:paraId="551A4163" w14:textId="3F6AF4B6" w:rsidR="006D1567" w:rsidRPr="009F57D8" w:rsidRDefault="006D1567" w:rsidP="000E6454">
      <w:pPr>
        <w:pStyle w:val="TableFigureFooter"/>
        <w:rPr>
          <w:sz w:val="20"/>
        </w:rPr>
      </w:pPr>
      <w:r w:rsidRPr="009F57D8">
        <w:t xml:space="preserve">CSR = clinical study report; ITC = indirect treatment comparison; HIV = human immunodeficiency virus; </w:t>
      </w:r>
      <w:r w:rsidR="00B229D8" w:rsidRPr="009F57D8">
        <w:t>21vPCV</w:t>
      </w:r>
      <w:r w:rsidRPr="009F57D8">
        <w:t xml:space="preserve"> = 21-valent pneumococcal conjugate vaccine.</w:t>
      </w:r>
    </w:p>
    <w:p w14:paraId="1F62998B" w14:textId="2958A9B5" w:rsidR="00B84A8C" w:rsidRPr="009F57D8" w:rsidRDefault="00B84A8C" w:rsidP="00B84A8C">
      <w:pPr>
        <w:pStyle w:val="3-BodyText"/>
        <w:numPr>
          <w:ilvl w:val="1"/>
          <w:numId w:val="1"/>
        </w:numPr>
      </w:pPr>
      <w:r w:rsidRPr="009F57D8">
        <w:t xml:space="preserve">The proposed clinical claim for </w:t>
      </w:r>
      <w:r w:rsidR="00020F9A" w:rsidRPr="009F57D8">
        <w:t>2</w:t>
      </w:r>
      <w:r w:rsidR="00B366D3" w:rsidRPr="009F57D8">
        <w:t>1</w:t>
      </w:r>
      <w:r w:rsidR="00020F9A" w:rsidRPr="009F57D8">
        <w:t xml:space="preserve">vPCV </w:t>
      </w:r>
      <w:r w:rsidRPr="009F57D8">
        <w:t>was based on 5 clinical trials (</w:t>
      </w:r>
      <w:r w:rsidRPr="009F57D8">
        <w:fldChar w:fldCharType="begin"/>
      </w:r>
      <w:r w:rsidRPr="009F57D8">
        <w:instrText xml:space="preserve"> REF _Ref174365252 \h </w:instrText>
      </w:r>
      <w:r w:rsidR="006B4898" w:rsidRPr="009F57D8">
        <w:instrText xml:space="preserve"> \* MERGEFORMAT </w:instrText>
      </w:r>
      <w:r w:rsidRPr="009F57D8">
        <w:fldChar w:fldCharType="separate"/>
      </w:r>
      <w:r w:rsidR="00581386" w:rsidRPr="009F57D8">
        <w:t xml:space="preserve">Table </w:t>
      </w:r>
      <w:r w:rsidR="00581386">
        <w:t>5</w:t>
      </w:r>
      <w:r w:rsidRPr="009F57D8">
        <w:fldChar w:fldCharType="end"/>
      </w:r>
      <w:r w:rsidRPr="009F57D8">
        <w:t xml:space="preserve">). The dosing of 20vPCV in P003 was consistent with the dosing for 20vPCV for the requested restriction and with the PBAC recommended restriction for 20vPCV in non-Indigenous adults ≥70 and indigenous adults 25 to 49 years (para 1.2, 20vPCV PSD, November </w:t>
      </w:r>
      <w:r w:rsidRPr="009F57D8">
        <w:lastRenderedPageBreak/>
        <w:t xml:space="preserve">2022 PBAC Meeting). However, the dosing of 23vPPV in P007 and P008 was different from the dosing in the PBAC recommended restriction for 15vPCV and 20vPCV in </w:t>
      </w:r>
      <w:r w:rsidR="00D04DE7" w:rsidRPr="009F57D8">
        <w:t>Aboriginal and Torres Strait Islander adults</w:t>
      </w:r>
      <w:r w:rsidRPr="009F57D8">
        <w:t xml:space="preserve"> ≥ 50 years and MaR ≥ 18 years (single dose at week 8 in P007 and P008 vs 2 doses in requested listing for 15/20vPCV) (para 1.2, 15vPCV PSD, November 2021 PBAC Meeting; para 1.2, 20vPCV PSD, November 2022 PBAC Meeting).</w:t>
      </w:r>
    </w:p>
    <w:p w14:paraId="24A93AA5" w14:textId="0204B16D" w:rsidR="00B84A8C" w:rsidRPr="009F57D8" w:rsidRDefault="00B84A8C" w:rsidP="00B84A8C">
      <w:pPr>
        <w:pStyle w:val="TableFigureHeading"/>
      </w:pPr>
      <w:bookmarkStart w:id="46" w:name="_Ref174365252"/>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5</w:t>
      </w:r>
      <w:r w:rsidR="00FA4640" w:rsidRPr="009F57D8">
        <w:fldChar w:fldCharType="end"/>
      </w:r>
      <w:bookmarkEnd w:id="46"/>
      <w:r w:rsidRPr="009F57D8">
        <w:t>: Overview of clinical trials to support the clinical claim</w:t>
      </w:r>
    </w:p>
    <w:tbl>
      <w:tblPr>
        <w:tblStyle w:val="TableGrid"/>
        <w:tblW w:w="5000" w:type="pct"/>
        <w:tblLook w:val="04A0" w:firstRow="1" w:lastRow="0" w:firstColumn="1" w:lastColumn="0" w:noHBand="0" w:noVBand="1"/>
        <w:tblCaption w:val="Table 5: Overview of clinical trials to support the clinical claim"/>
      </w:tblPr>
      <w:tblGrid>
        <w:gridCol w:w="703"/>
        <w:gridCol w:w="1843"/>
        <w:gridCol w:w="2269"/>
        <w:gridCol w:w="4202"/>
      </w:tblGrid>
      <w:tr w:rsidR="00B84A8C" w:rsidRPr="009F57D8" w14:paraId="67A02279" w14:textId="77777777" w:rsidTr="009C6528">
        <w:trPr>
          <w:tblHeader/>
        </w:trPr>
        <w:tc>
          <w:tcPr>
            <w:tcW w:w="390" w:type="pct"/>
          </w:tcPr>
          <w:p w14:paraId="0B3B9AEB" w14:textId="77777777" w:rsidR="00B84A8C" w:rsidRPr="009F57D8" w:rsidRDefault="00B84A8C">
            <w:pPr>
              <w:pStyle w:val="TableText0"/>
              <w:keepNext/>
              <w:rPr>
                <w:b/>
                <w:bCs w:val="0"/>
              </w:rPr>
            </w:pPr>
            <w:r w:rsidRPr="009F57D8">
              <w:rPr>
                <w:b/>
                <w:bCs w:val="0"/>
              </w:rPr>
              <w:t xml:space="preserve">Trial </w:t>
            </w:r>
          </w:p>
        </w:tc>
        <w:tc>
          <w:tcPr>
            <w:tcW w:w="1022" w:type="pct"/>
          </w:tcPr>
          <w:p w14:paraId="08B2EE16" w14:textId="77777777" w:rsidR="00B84A8C" w:rsidRPr="009F57D8" w:rsidRDefault="00B84A8C">
            <w:pPr>
              <w:pStyle w:val="TableText0"/>
              <w:keepNext/>
              <w:rPr>
                <w:b/>
                <w:bCs w:val="0"/>
              </w:rPr>
            </w:pPr>
            <w:r w:rsidRPr="009F57D8">
              <w:rPr>
                <w:b/>
                <w:bCs w:val="0"/>
              </w:rPr>
              <w:t xml:space="preserve">NIP population </w:t>
            </w:r>
          </w:p>
        </w:tc>
        <w:tc>
          <w:tcPr>
            <w:tcW w:w="1258" w:type="pct"/>
          </w:tcPr>
          <w:p w14:paraId="536464C2" w14:textId="77777777" w:rsidR="00B84A8C" w:rsidRPr="009F57D8" w:rsidRDefault="00B84A8C">
            <w:pPr>
              <w:pStyle w:val="TableText0"/>
              <w:keepNext/>
              <w:rPr>
                <w:b/>
                <w:bCs w:val="0"/>
              </w:rPr>
            </w:pPr>
            <w:r w:rsidRPr="009F57D8">
              <w:rPr>
                <w:b/>
                <w:bCs w:val="0"/>
              </w:rPr>
              <w:t xml:space="preserve">Intervention </w:t>
            </w:r>
          </w:p>
        </w:tc>
        <w:tc>
          <w:tcPr>
            <w:tcW w:w="2330" w:type="pct"/>
          </w:tcPr>
          <w:p w14:paraId="4D7A4B1B" w14:textId="77777777" w:rsidR="00B84A8C" w:rsidRPr="009F57D8" w:rsidRDefault="00B84A8C">
            <w:pPr>
              <w:pStyle w:val="TableText0"/>
              <w:keepNext/>
              <w:rPr>
                <w:b/>
                <w:bCs w:val="0"/>
              </w:rPr>
            </w:pPr>
            <w:r w:rsidRPr="009F57D8">
              <w:rPr>
                <w:b/>
                <w:bCs w:val="0"/>
              </w:rPr>
              <w:t xml:space="preserve">Clinical claim </w:t>
            </w:r>
          </w:p>
        </w:tc>
      </w:tr>
      <w:tr w:rsidR="00B84A8C" w:rsidRPr="009F57D8" w14:paraId="057FE262" w14:textId="77777777" w:rsidTr="009C6528">
        <w:tc>
          <w:tcPr>
            <w:tcW w:w="5000" w:type="pct"/>
            <w:gridSpan w:val="4"/>
          </w:tcPr>
          <w:p w14:paraId="055769BB" w14:textId="77777777" w:rsidR="00B84A8C" w:rsidRPr="009F57D8" w:rsidRDefault="00B84A8C">
            <w:pPr>
              <w:pStyle w:val="TableText0"/>
              <w:keepNext/>
              <w:rPr>
                <w:b/>
                <w:bCs w:val="0"/>
              </w:rPr>
            </w:pPr>
            <w:r w:rsidRPr="009F57D8">
              <w:rPr>
                <w:b/>
                <w:bCs w:val="0"/>
              </w:rPr>
              <w:t>Main trials (NIP population)</w:t>
            </w:r>
          </w:p>
        </w:tc>
      </w:tr>
      <w:tr w:rsidR="00B84A8C" w:rsidRPr="009F57D8" w14:paraId="4DDDD8AF" w14:textId="77777777" w:rsidTr="009C6528">
        <w:tc>
          <w:tcPr>
            <w:tcW w:w="390" w:type="pct"/>
            <w:tcBorders>
              <w:bottom w:val="nil"/>
            </w:tcBorders>
          </w:tcPr>
          <w:p w14:paraId="161C8CF7" w14:textId="77777777" w:rsidR="00B84A8C" w:rsidRPr="009F57D8" w:rsidRDefault="00B84A8C">
            <w:pPr>
              <w:pStyle w:val="TableText0"/>
              <w:keepNext/>
            </w:pPr>
            <w:r w:rsidRPr="009F57D8">
              <w:t>P003</w:t>
            </w:r>
          </w:p>
        </w:tc>
        <w:tc>
          <w:tcPr>
            <w:tcW w:w="1022" w:type="pct"/>
          </w:tcPr>
          <w:p w14:paraId="60589E85" w14:textId="77777777" w:rsidR="00B84A8C" w:rsidRPr="009F57D8" w:rsidRDefault="00B84A8C">
            <w:pPr>
              <w:pStyle w:val="TableText0"/>
              <w:keepNext/>
            </w:pPr>
            <w:r w:rsidRPr="009F57D8">
              <w:t>Non-Indigenous adults ≥ 70</w:t>
            </w:r>
          </w:p>
        </w:tc>
        <w:tc>
          <w:tcPr>
            <w:tcW w:w="1258" w:type="pct"/>
          </w:tcPr>
          <w:p w14:paraId="42C63666" w14:textId="52AA3262" w:rsidR="00B84A8C" w:rsidRPr="009F57D8" w:rsidRDefault="00B366D3">
            <w:pPr>
              <w:pStyle w:val="TableText0"/>
              <w:keepNext/>
            </w:pPr>
            <w:r w:rsidRPr="009F57D8">
              <w:t xml:space="preserve">21vPCV </w:t>
            </w:r>
            <w:r w:rsidR="00B84A8C" w:rsidRPr="009F57D8">
              <w:t>vs 20vPCV</w:t>
            </w:r>
          </w:p>
        </w:tc>
        <w:tc>
          <w:tcPr>
            <w:tcW w:w="2330" w:type="pct"/>
          </w:tcPr>
          <w:p w14:paraId="4921B7FA" w14:textId="3332406B" w:rsidR="00B84A8C" w:rsidRPr="009F57D8" w:rsidRDefault="00B84A8C">
            <w:pPr>
              <w:pStyle w:val="TableText0"/>
              <w:keepNext/>
            </w:pPr>
            <w:r w:rsidRPr="009F57D8">
              <w:t xml:space="preserve">Non-inferior efficacy for 10 shared serotypes between </w:t>
            </w:r>
            <w:r w:rsidR="00B366D3" w:rsidRPr="009F57D8">
              <w:t>21vPCV</w:t>
            </w:r>
            <w:r w:rsidRPr="009F57D8">
              <w:t xml:space="preserve"> and 20vPCV </w:t>
            </w:r>
          </w:p>
          <w:p w14:paraId="2D9BD241" w14:textId="75719E9B" w:rsidR="00B84A8C" w:rsidRPr="009F57D8" w:rsidRDefault="00B84A8C">
            <w:pPr>
              <w:pStyle w:val="TableText0"/>
              <w:keepNext/>
            </w:pPr>
            <w:r w:rsidRPr="009F57D8">
              <w:t xml:space="preserve">Superior efficacy for 10 of 11 serotypes unique to </w:t>
            </w:r>
            <w:r w:rsidR="00B366D3" w:rsidRPr="009F57D8">
              <w:t>21vPCV</w:t>
            </w:r>
            <w:r w:rsidRPr="009F57D8">
              <w:t xml:space="preserve"> </w:t>
            </w:r>
          </w:p>
        </w:tc>
      </w:tr>
      <w:tr w:rsidR="00B84A8C" w:rsidRPr="009F57D8" w14:paraId="5E7A3A3E" w14:textId="77777777" w:rsidTr="009C6528">
        <w:tc>
          <w:tcPr>
            <w:tcW w:w="390" w:type="pct"/>
            <w:tcBorders>
              <w:top w:val="nil"/>
            </w:tcBorders>
          </w:tcPr>
          <w:p w14:paraId="52CE9FF1" w14:textId="77777777" w:rsidR="00B84A8C" w:rsidRPr="009F57D8" w:rsidRDefault="00B84A8C">
            <w:pPr>
              <w:pStyle w:val="TableText0"/>
              <w:keepNext/>
            </w:pPr>
          </w:p>
        </w:tc>
        <w:tc>
          <w:tcPr>
            <w:tcW w:w="1022" w:type="pct"/>
          </w:tcPr>
          <w:p w14:paraId="5BDACFBE" w14:textId="1C4AF3CF" w:rsidR="00B84A8C" w:rsidRPr="009F57D8" w:rsidRDefault="00D04DE7">
            <w:pPr>
              <w:pStyle w:val="TableText0"/>
              <w:keepNext/>
            </w:pPr>
            <w:r w:rsidRPr="009F57D8">
              <w:t>Aboriginal and Torres Strait Islander adults</w:t>
            </w:r>
            <w:r w:rsidR="00B84A8C" w:rsidRPr="009F57D8">
              <w:t xml:space="preserve"> 25 to 49</w:t>
            </w:r>
          </w:p>
        </w:tc>
        <w:tc>
          <w:tcPr>
            <w:tcW w:w="1258" w:type="pct"/>
          </w:tcPr>
          <w:p w14:paraId="74609B24" w14:textId="3FA6DB40" w:rsidR="00B84A8C" w:rsidRPr="009F57D8" w:rsidRDefault="00B366D3">
            <w:pPr>
              <w:pStyle w:val="TableText0"/>
              <w:keepNext/>
            </w:pPr>
            <w:r w:rsidRPr="009F57D8">
              <w:t>21vPCV</w:t>
            </w:r>
            <w:r w:rsidR="00B84A8C" w:rsidRPr="009F57D8">
              <w:t xml:space="preserve"> vs 20vPCV </w:t>
            </w:r>
          </w:p>
        </w:tc>
        <w:tc>
          <w:tcPr>
            <w:tcW w:w="2330" w:type="pct"/>
          </w:tcPr>
          <w:p w14:paraId="392C9C3B" w14:textId="3EAB8290" w:rsidR="00B84A8C" w:rsidRPr="009F57D8" w:rsidRDefault="00B84A8C">
            <w:pPr>
              <w:pStyle w:val="TableText0"/>
              <w:keepNext/>
            </w:pPr>
            <w:r w:rsidRPr="009F57D8">
              <w:t xml:space="preserve">Non-inferior efficacy for 10 common serotypes between </w:t>
            </w:r>
            <w:r w:rsidR="00B366D3" w:rsidRPr="009F57D8">
              <w:t>21vPCV</w:t>
            </w:r>
            <w:r w:rsidRPr="009F57D8">
              <w:t xml:space="preserve"> and 20vPCV </w:t>
            </w:r>
          </w:p>
          <w:p w14:paraId="7F72497D" w14:textId="73F33D97" w:rsidR="00B84A8C" w:rsidRPr="009F57D8" w:rsidRDefault="00B84A8C">
            <w:pPr>
              <w:pStyle w:val="TableText0"/>
              <w:keepNext/>
            </w:pPr>
            <w:r w:rsidRPr="009F57D8">
              <w:t xml:space="preserve">Superior efficacy for 11 unique to </w:t>
            </w:r>
            <w:r w:rsidR="00B366D3" w:rsidRPr="009F57D8">
              <w:t>21vPCV</w:t>
            </w:r>
          </w:p>
        </w:tc>
      </w:tr>
      <w:tr w:rsidR="00B84A8C" w:rsidRPr="009F57D8" w14:paraId="09030A28" w14:textId="77777777" w:rsidTr="009C6528">
        <w:tc>
          <w:tcPr>
            <w:tcW w:w="390" w:type="pct"/>
          </w:tcPr>
          <w:p w14:paraId="121943DA" w14:textId="77777777" w:rsidR="00B84A8C" w:rsidRPr="009F57D8" w:rsidRDefault="00B84A8C">
            <w:pPr>
              <w:pStyle w:val="TableText0"/>
              <w:keepNext/>
            </w:pPr>
            <w:r w:rsidRPr="009F57D8">
              <w:t xml:space="preserve">P007 </w:t>
            </w:r>
          </w:p>
        </w:tc>
        <w:tc>
          <w:tcPr>
            <w:tcW w:w="1022" w:type="pct"/>
          </w:tcPr>
          <w:p w14:paraId="6E4CC82D" w14:textId="77777777" w:rsidR="00B84A8C" w:rsidRPr="009F57D8" w:rsidRDefault="00B84A8C">
            <w:pPr>
              <w:pStyle w:val="TableText0"/>
              <w:keepNext/>
            </w:pPr>
            <w:r w:rsidRPr="009F57D8">
              <w:t>MaR ≥ 18</w:t>
            </w:r>
          </w:p>
        </w:tc>
        <w:tc>
          <w:tcPr>
            <w:tcW w:w="1258" w:type="pct"/>
          </w:tcPr>
          <w:p w14:paraId="12A85937" w14:textId="4B4B425B" w:rsidR="00B84A8C" w:rsidRPr="009F57D8" w:rsidRDefault="00B366D3">
            <w:pPr>
              <w:pStyle w:val="TableText0"/>
              <w:keepNext/>
            </w:pPr>
            <w:r w:rsidRPr="009F57D8">
              <w:t>21vPCV</w:t>
            </w:r>
            <w:r w:rsidR="00B84A8C" w:rsidRPr="009F57D8">
              <w:t xml:space="preserve"> vs 15vPCV + 1 dose of 23vPPV at week 8</w:t>
            </w:r>
          </w:p>
        </w:tc>
        <w:tc>
          <w:tcPr>
            <w:tcW w:w="2330" w:type="pct"/>
            <w:vMerge w:val="restart"/>
          </w:tcPr>
          <w:p w14:paraId="5F7357FD" w14:textId="2411E6BE" w:rsidR="00B84A8C" w:rsidRPr="009F57D8" w:rsidRDefault="00B84A8C">
            <w:pPr>
              <w:pStyle w:val="TableText0"/>
              <w:keepNext/>
            </w:pPr>
            <w:r w:rsidRPr="009F57D8">
              <w:t xml:space="preserve">Non-inferior efficacy for 13 common serotypes between </w:t>
            </w:r>
            <w:r w:rsidR="00B366D3" w:rsidRPr="009F57D8">
              <w:t>21vPCV</w:t>
            </w:r>
            <w:r w:rsidRPr="009F57D8">
              <w:t xml:space="preserve"> and 15vPCV+23vPPV</w:t>
            </w:r>
            <w:r w:rsidRPr="009F57D8" w:rsidDel="00966AE3">
              <w:t xml:space="preserve"> </w:t>
            </w:r>
            <w:r w:rsidRPr="009F57D8">
              <w:t>23vPPV</w:t>
            </w:r>
          </w:p>
          <w:p w14:paraId="670369E9" w14:textId="269058B2" w:rsidR="00B84A8C" w:rsidRPr="009F57D8" w:rsidRDefault="00B84A8C">
            <w:pPr>
              <w:pStyle w:val="TableText0"/>
              <w:keepNext/>
            </w:pPr>
            <w:r w:rsidRPr="009F57D8">
              <w:t xml:space="preserve">Superior efficacy for 8 unique serotypes to </w:t>
            </w:r>
            <w:r w:rsidR="00B366D3" w:rsidRPr="009F57D8">
              <w:t>21vPCV</w:t>
            </w:r>
          </w:p>
        </w:tc>
      </w:tr>
      <w:tr w:rsidR="00B84A8C" w:rsidRPr="009F57D8" w14:paraId="54F72002" w14:textId="77777777" w:rsidTr="009C6528">
        <w:tc>
          <w:tcPr>
            <w:tcW w:w="390" w:type="pct"/>
          </w:tcPr>
          <w:p w14:paraId="54A95355" w14:textId="77777777" w:rsidR="00B84A8C" w:rsidRPr="009F57D8" w:rsidRDefault="00B84A8C">
            <w:pPr>
              <w:pStyle w:val="TableText0"/>
              <w:keepNext/>
            </w:pPr>
            <w:r w:rsidRPr="009F57D8">
              <w:t>P008</w:t>
            </w:r>
          </w:p>
        </w:tc>
        <w:tc>
          <w:tcPr>
            <w:tcW w:w="1022" w:type="pct"/>
          </w:tcPr>
          <w:p w14:paraId="7EEEC38F" w14:textId="50D4BECE" w:rsidR="00B84A8C" w:rsidRPr="009F57D8" w:rsidRDefault="00D04DE7">
            <w:pPr>
              <w:pStyle w:val="TableText0"/>
              <w:keepNext/>
            </w:pPr>
            <w:r w:rsidRPr="009F57D8">
              <w:t>Aboriginal and Torres Strait Islander adults</w:t>
            </w:r>
            <w:r w:rsidR="00B84A8C" w:rsidRPr="009F57D8">
              <w:t xml:space="preserve"> ≥ 50</w:t>
            </w:r>
          </w:p>
        </w:tc>
        <w:tc>
          <w:tcPr>
            <w:tcW w:w="1258" w:type="pct"/>
          </w:tcPr>
          <w:p w14:paraId="28D1436E" w14:textId="42B0DF3A" w:rsidR="00B84A8C" w:rsidRPr="009F57D8" w:rsidRDefault="00B366D3">
            <w:pPr>
              <w:pStyle w:val="TableText0"/>
              <w:keepNext/>
            </w:pPr>
            <w:r w:rsidRPr="009F57D8">
              <w:t>21vPCV</w:t>
            </w:r>
            <w:r w:rsidR="00B84A8C" w:rsidRPr="009F57D8">
              <w:t xml:space="preserve"> vs 15vPCV+1 dose of 23vPPV at week 8</w:t>
            </w:r>
          </w:p>
        </w:tc>
        <w:tc>
          <w:tcPr>
            <w:tcW w:w="2330" w:type="pct"/>
            <w:vMerge/>
          </w:tcPr>
          <w:p w14:paraId="7F149DD0" w14:textId="77777777" w:rsidR="00B84A8C" w:rsidRPr="009F57D8" w:rsidRDefault="00B84A8C">
            <w:pPr>
              <w:pStyle w:val="TableText0"/>
              <w:keepNext/>
            </w:pPr>
          </w:p>
        </w:tc>
      </w:tr>
      <w:tr w:rsidR="00B84A8C" w:rsidRPr="009F57D8" w14:paraId="6DF2DACA" w14:textId="77777777" w:rsidTr="009C6528">
        <w:tc>
          <w:tcPr>
            <w:tcW w:w="5000" w:type="pct"/>
            <w:gridSpan w:val="4"/>
          </w:tcPr>
          <w:p w14:paraId="2793D8DA" w14:textId="77777777" w:rsidR="00B84A8C" w:rsidRPr="009F57D8" w:rsidRDefault="00B84A8C">
            <w:pPr>
              <w:pStyle w:val="TableText0"/>
              <w:keepNext/>
              <w:rPr>
                <w:b/>
                <w:bCs w:val="0"/>
              </w:rPr>
            </w:pPr>
            <w:r w:rsidRPr="009F57D8">
              <w:rPr>
                <w:b/>
                <w:bCs w:val="0"/>
              </w:rPr>
              <w:t xml:space="preserve">Supplementary trials </w:t>
            </w:r>
          </w:p>
        </w:tc>
      </w:tr>
      <w:tr w:rsidR="00B84A8C" w:rsidRPr="009F57D8" w14:paraId="19DF4732" w14:textId="77777777" w:rsidTr="009C6528">
        <w:tc>
          <w:tcPr>
            <w:tcW w:w="390" w:type="pct"/>
          </w:tcPr>
          <w:p w14:paraId="18C06F0C" w14:textId="77777777" w:rsidR="00B84A8C" w:rsidRPr="009F57D8" w:rsidRDefault="00B84A8C">
            <w:pPr>
              <w:pStyle w:val="TableText0"/>
              <w:keepNext/>
            </w:pPr>
            <w:r w:rsidRPr="009F57D8">
              <w:t>P006</w:t>
            </w:r>
          </w:p>
        </w:tc>
        <w:tc>
          <w:tcPr>
            <w:tcW w:w="1022" w:type="pct"/>
          </w:tcPr>
          <w:p w14:paraId="2970D5FC" w14:textId="77777777" w:rsidR="00B84A8C" w:rsidRPr="009F57D8" w:rsidRDefault="00B84A8C">
            <w:pPr>
              <w:pStyle w:val="TableText0"/>
              <w:keepNext/>
            </w:pPr>
            <w:r w:rsidRPr="009F57D8">
              <w:t>Catch up: Previously vaccinated with 13vPCV or 23vPPV</w:t>
            </w:r>
          </w:p>
        </w:tc>
        <w:tc>
          <w:tcPr>
            <w:tcW w:w="1258" w:type="pct"/>
          </w:tcPr>
          <w:p w14:paraId="68CDE7FB" w14:textId="39CA1040" w:rsidR="00B84A8C" w:rsidRPr="009F57D8" w:rsidRDefault="00B84A8C">
            <w:pPr>
              <w:pStyle w:val="TableText0"/>
              <w:keepNext/>
            </w:pPr>
            <w:r w:rsidRPr="009F57D8">
              <w:t>Cohort 1 (</w:t>
            </w:r>
            <w:r w:rsidR="00B366D3" w:rsidRPr="009F57D8">
              <w:t>21vPCV</w:t>
            </w:r>
            <w:r w:rsidRPr="009F57D8">
              <w:t xml:space="preserve"> vs 15vPCV)</w:t>
            </w:r>
          </w:p>
          <w:p w14:paraId="3E49744E" w14:textId="0913F0F8" w:rsidR="00B84A8C" w:rsidRPr="009F57D8" w:rsidRDefault="00B84A8C">
            <w:pPr>
              <w:pStyle w:val="TableText0"/>
              <w:keepNext/>
            </w:pPr>
            <w:r w:rsidRPr="009F57D8">
              <w:t>Cohort 2 (</w:t>
            </w:r>
            <w:r w:rsidR="00B366D3" w:rsidRPr="009F57D8">
              <w:t>21vPCV</w:t>
            </w:r>
            <w:r w:rsidRPr="009F57D8">
              <w:t xml:space="preserve"> vs 23vPPV)</w:t>
            </w:r>
          </w:p>
          <w:p w14:paraId="22FFB24C" w14:textId="72DC51AA" w:rsidR="00B84A8C" w:rsidRPr="009F57D8" w:rsidRDefault="00B84A8C">
            <w:pPr>
              <w:pStyle w:val="TableText0"/>
              <w:keepNext/>
            </w:pPr>
            <w:r w:rsidRPr="009F57D8">
              <w:t>Cohort 3 (</w:t>
            </w:r>
            <w:r w:rsidR="00B366D3" w:rsidRPr="009F57D8">
              <w:t>21vPCV</w:t>
            </w:r>
            <w:r w:rsidRPr="009F57D8">
              <w:t>)</w:t>
            </w:r>
          </w:p>
        </w:tc>
        <w:tc>
          <w:tcPr>
            <w:tcW w:w="2330" w:type="pct"/>
          </w:tcPr>
          <w:p w14:paraId="4667DEE8" w14:textId="77777777" w:rsidR="00B84A8C" w:rsidRPr="009F57D8" w:rsidRDefault="00B84A8C">
            <w:pPr>
              <w:pStyle w:val="TableText0"/>
              <w:keepNext/>
            </w:pPr>
            <w:r w:rsidRPr="009F57D8">
              <w:t xml:space="preserve">NA </w:t>
            </w:r>
          </w:p>
        </w:tc>
      </w:tr>
      <w:tr w:rsidR="00B84A8C" w:rsidRPr="009F57D8" w14:paraId="0B8780DF" w14:textId="77777777" w:rsidTr="009C6528">
        <w:tc>
          <w:tcPr>
            <w:tcW w:w="390" w:type="pct"/>
          </w:tcPr>
          <w:p w14:paraId="25BB05A2" w14:textId="77777777" w:rsidR="00B84A8C" w:rsidRPr="009F57D8" w:rsidRDefault="00B84A8C">
            <w:pPr>
              <w:pStyle w:val="TableText0"/>
            </w:pPr>
            <w:r w:rsidRPr="009F57D8">
              <w:t>P005</w:t>
            </w:r>
          </w:p>
        </w:tc>
        <w:tc>
          <w:tcPr>
            <w:tcW w:w="1022" w:type="pct"/>
          </w:tcPr>
          <w:p w14:paraId="12D3E1BC" w14:textId="77777777" w:rsidR="00B84A8C" w:rsidRPr="009F57D8" w:rsidRDefault="00B84A8C">
            <w:pPr>
              <w:pStyle w:val="TableText0"/>
            </w:pPr>
            <w:r w:rsidRPr="009F57D8">
              <w:t>Concomitant vaccination with QIV</w:t>
            </w:r>
          </w:p>
        </w:tc>
        <w:tc>
          <w:tcPr>
            <w:tcW w:w="1258" w:type="pct"/>
          </w:tcPr>
          <w:p w14:paraId="6587A084" w14:textId="2ADC11C4" w:rsidR="00B84A8C" w:rsidRPr="009F57D8" w:rsidRDefault="00B366D3">
            <w:pPr>
              <w:pStyle w:val="TableText0"/>
            </w:pPr>
            <w:r w:rsidRPr="009F57D8">
              <w:t>21vPCV</w:t>
            </w:r>
            <w:r w:rsidR="00B84A8C" w:rsidRPr="009F57D8">
              <w:t>+QIV vs QIV +Placebo</w:t>
            </w:r>
          </w:p>
        </w:tc>
        <w:tc>
          <w:tcPr>
            <w:tcW w:w="2330" w:type="pct"/>
          </w:tcPr>
          <w:p w14:paraId="1F25E323" w14:textId="77777777" w:rsidR="00B84A8C" w:rsidRPr="009F57D8" w:rsidRDefault="00B84A8C">
            <w:pPr>
              <w:pStyle w:val="TableText0"/>
            </w:pPr>
            <w:r w:rsidRPr="009F57D8">
              <w:t xml:space="preserve">NA </w:t>
            </w:r>
          </w:p>
        </w:tc>
      </w:tr>
    </w:tbl>
    <w:p w14:paraId="6867A59A" w14:textId="77777777" w:rsidR="00B84A8C" w:rsidRPr="009F57D8" w:rsidRDefault="00B84A8C" w:rsidP="000E6454">
      <w:pPr>
        <w:pStyle w:val="TableFigureFooter"/>
      </w:pPr>
      <w:r w:rsidRPr="009F57D8">
        <w:t xml:space="preserve">Source: Prepared during the evaluation based on Section 2.8, pp145-146; Table 1.1.8 p23 and Table 2.4-7, p55 of the submission  </w:t>
      </w:r>
    </w:p>
    <w:p w14:paraId="6B4906CB" w14:textId="52569C52" w:rsidR="00B84A8C" w:rsidRPr="009F57D8" w:rsidRDefault="00B84A8C" w:rsidP="000E6454">
      <w:pPr>
        <w:pStyle w:val="TableFigureFooter"/>
      </w:pPr>
      <w:r w:rsidRPr="009F57D8">
        <w:t xml:space="preserve">15vPCV = 15-valent pneumococcal conjugate vaccine; 20vPCV = 20-valent pneumococcal conjugate vaccine; 23vPPV = 23-valent pneumococcal polysaccharide vaccine; QIV = quadrivalent influenza vaccine; MaR = medically at risk; NA = not applicable; NIP = National Immunisation Program; </w:t>
      </w:r>
      <w:r w:rsidR="00B366D3" w:rsidRPr="009F57D8">
        <w:t>21vPCV</w:t>
      </w:r>
      <w:r w:rsidRPr="009F57D8">
        <w:t xml:space="preserve"> = 21-valent pneumococcal conjugate vaccine.</w:t>
      </w:r>
    </w:p>
    <w:p w14:paraId="6B9691A1" w14:textId="521216D0" w:rsidR="00B84A8C" w:rsidRPr="009F57D8" w:rsidRDefault="00B84A8C" w:rsidP="00B84A8C">
      <w:pPr>
        <w:pStyle w:val="3-BodyText"/>
        <w:numPr>
          <w:ilvl w:val="1"/>
          <w:numId w:val="1"/>
        </w:numPr>
      </w:pPr>
      <w:r w:rsidRPr="009F57D8">
        <w:t xml:space="preserve">The submission presented an indirect treatment comparison (ITC) as supportive evidence for the efficacy of </w:t>
      </w:r>
      <w:r w:rsidR="00B366D3" w:rsidRPr="009F57D8">
        <w:t>21vPCV</w:t>
      </w:r>
      <w:r w:rsidRPr="009F57D8">
        <w:t xml:space="preserve"> compared to 4 common serotypes with 13vPCV (via 20vPCV as the common comparator). The evidence included the results from a randomised trial, Essink et al 2022, of 20vPCV vs 13vPCV, and P003 (</w:t>
      </w:r>
      <w:r w:rsidR="00B366D3" w:rsidRPr="009F57D8">
        <w:t>21vPCV</w:t>
      </w:r>
      <w:r w:rsidRPr="009F57D8">
        <w:t xml:space="preserve"> vs 20vPCV in adults &gt; 50 years).</w:t>
      </w:r>
    </w:p>
    <w:p w14:paraId="0A5DBF4F" w14:textId="07810875" w:rsidR="00B84A8C" w:rsidRPr="009F57D8" w:rsidRDefault="00B84A8C" w:rsidP="00B84A8C">
      <w:pPr>
        <w:pStyle w:val="3-BodyText"/>
        <w:numPr>
          <w:ilvl w:val="1"/>
          <w:numId w:val="1"/>
        </w:numPr>
      </w:pPr>
      <w:r w:rsidRPr="009F57D8">
        <w:t xml:space="preserve">The submission based its claim of superior efficacy on an immunobridge between </w:t>
      </w:r>
      <w:r w:rsidR="00B366D3" w:rsidRPr="009F57D8">
        <w:t>21vPCV</w:t>
      </w:r>
      <w:r w:rsidRPr="009F57D8">
        <w:t xml:space="preserve"> and its comparators. The submission relied on comparisons of immunogenicity data between </w:t>
      </w:r>
      <w:r w:rsidR="00B366D3" w:rsidRPr="009F57D8">
        <w:t>21vPCV</w:t>
      </w:r>
      <w:r w:rsidRPr="009F57D8">
        <w:t xml:space="preserve"> and its comparators, including via an ITC for 13vPCV, acknowledging that efficacy data for the impact on</w:t>
      </w:r>
      <w:r w:rsidR="004066BA" w:rsidRPr="009F57D8">
        <w:t xml:space="preserve"> pneumococcal disease</w:t>
      </w:r>
      <w:r w:rsidRPr="009F57D8">
        <w:t xml:space="preserve"> cases has been demonstrated for 13vPCV. The submission stated that the proposed approach was justified due to broader serotype coverage for </w:t>
      </w:r>
      <w:r w:rsidR="00B366D3" w:rsidRPr="009F57D8">
        <w:t>21vPCV</w:t>
      </w:r>
      <w:r w:rsidRPr="009F57D8">
        <w:t xml:space="preserve"> compared to 20vPCV, 15vPCV, 13vPCV and 23vPPV. </w:t>
      </w:r>
    </w:p>
    <w:p w14:paraId="4980E9E1" w14:textId="63129672" w:rsidR="00B84A8C" w:rsidRPr="009F57D8" w:rsidRDefault="00B84A8C" w:rsidP="00B84A8C">
      <w:pPr>
        <w:pStyle w:val="3-BodyText"/>
        <w:numPr>
          <w:ilvl w:val="1"/>
          <w:numId w:val="1"/>
        </w:numPr>
      </w:pPr>
      <w:r w:rsidRPr="009F57D8">
        <w:t>The ATAGI considered this rationale reasonable, although noted there may be uncertainty as to whether the relationship between the proposed immunogenicity to efficacy bridge (</w:t>
      </w:r>
      <w:r w:rsidR="00816F82" w:rsidRPr="009F57D8">
        <w:t>21vPCV</w:t>
      </w:r>
      <w:r w:rsidRPr="009F57D8">
        <w:t xml:space="preserve"> immunogenicity was compared to 20vPCV, which was </w:t>
      </w:r>
      <w:r w:rsidRPr="009F57D8">
        <w:lastRenderedPageBreak/>
        <w:t xml:space="preserve">compared to 13vPCV, which has efficacy data) will result in meaningful clinical protection for all unmatched serotypes. There is little overlap between the serotypes in </w:t>
      </w:r>
      <w:r w:rsidR="00816F82" w:rsidRPr="009F57D8">
        <w:t>21vPCV</w:t>
      </w:r>
      <w:r w:rsidRPr="009F57D8">
        <w:t xml:space="preserve"> and 13vPCV (4 shared serotypes) and whilst there are an additional 6 shared between </w:t>
      </w:r>
      <w:r w:rsidR="00816F82" w:rsidRPr="009F57D8">
        <w:t>21vPCV</w:t>
      </w:r>
      <w:r w:rsidRPr="009F57D8">
        <w:t xml:space="preserve"> and 20vPCV, 20vPCV has not been in use for long enough (and is not yet available on the NIP) to be certain that clinical protection is provided for these serotypes (ATAGI Pre-submission Advice, May 2024). </w:t>
      </w:r>
    </w:p>
    <w:p w14:paraId="71992EB5" w14:textId="2487A76E" w:rsidR="00B84A8C" w:rsidRPr="009F57D8" w:rsidRDefault="00B84A8C" w:rsidP="00B84A8C">
      <w:pPr>
        <w:pStyle w:val="3-BodyText"/>
        <w:numPr>
          <w:ilvl w:val="1"/>
          <w:numId w:val="1"/>
        </w:numPr>
      </w:pPr>
      <w:r w:rsidRPr="009F57D8">
        <w:t xml:space="preserve">The TGA Clinical Evaluation Report (CER) noted that no evidence demonstrating clinical benefits of </w:t>
      </w:r>
      <w:r w:rsidR="00B229D8" w:rsidRPr="009F57D8">
        <w:t>21vPCV</w:t>
      </w:r>
      <w:r w:rsidRPr="009F57D8">
        <w:t xml:space="preserve"> in preventing</w:t>
      </w:r>
      <w:r w:rsidR="004066BA" w:rsidRPr="009F57D8">
        <w:t xml:space="preserve"> pneumococcal disease</w:t>
      </w:r>
      <w:r w:rsidRPr="009F57D8">
        <w:t xml:space="preserve"> caused by the unique serotypes represented in </w:t>
      </w:r>
      <w:r w:rsidR="00B229D8" w:rsidRPr="009F57D8">
        <w:t>21vPCV</w:t>
      </w:r>
      <w:r w:rsidRPr="009F57D8">
        <w:t xml:space="preserve"> in older adults and those at greater risk of</w:t>
      </w:r>
      <w:r w:rsidR="004066BA" w:rsidRPr="009F57D8">
        <w:t xml:space="preserve"> pneumococcal disease</w:t>
      </w:r>
      <w:r w:rsidRPr="009F57D8">
        <w:t xml:space="preserve"> due to underlying comorbidities was presented by the sponsor. The TGA CER noted that although immunogenicity data was accepted as a surrogate of clinical efficacy, it was important to collect epidemiological data on IPD and</w:t>
      </w:r>
      <w:r w:rsidR="004066BA" w:rsidRPr="009F57D8">
        <w:t xml:space="preserve"> pneumococcal disease</w:t>
      </w:r>
      <w:r w:rsidRPr="009F57D8">
        <w:t xml:space="preserve"> and monitor for vaccine-escape strains (TGA CER). </w:t>
      </w:r>
    </w:p>
    <w:p w14:paraId="60D60ABB" w14:textId="48EB3096" w:rsidR="00B84A8C" w:rsidRPr="009F57D8" w:rsidRDefault="00B84A8C" w:rsidP="00B84A8C">
      <w:pPr>
        <w:pStyle w:val="3-BodyText"/>
        <w:numPr>
          <w:ilvl w:val="1"/>
          <w:numId w:val="1"/>
        </w:numPr>
      </w:pPr>
      <w:r w:rsidRPr="009F57D8">
        <w:t xml:space="preserve">The key features of the randomised trials are summarised in </w:t>
      </w:r>
      <w:r w:rsidRPr="009F57D8">
        <w:fldChar w:fldCharType="begin"/>
      </w:r>
      <w:r w:rsidRPr="009F57D8">
        <w:instrText xml:space="preserve"> REF _Ref104804098 \h  \* MERGEFORMAT </w:instrText>
      </w:r>
      <w:r w:rsidRPr="009F57D8">
        <w:fldChar w:fldCharType="separate"/>
      </w:r>
      <w:r w:rsidR="00581386" w:rsidRPr="00581386">
        <w:t>Table 6</w:t>
      </w:r>
      <w:r w:rsidRPr="009F57D8">
        <w:fldChar w:fldCharType="end"/>
      </w:r>
      <w:r w:rsidRPr="009F57D8">
        <w:t xml:space="preserve">. </w:t>
      </w:r>
    </w:p>
    <w:p w14:paraId="0E669D46" w14:textId="5D90F3C1" w:rsidR="00B84A8C" w:rsidRPr="009F57D8" w:rsidRDefault="00B84A8C" w:rsidP="00B84A8C">
      <w:pPr>
        <w:jc w:val="left"/>
        <w:rPr>
          <w:rFonts w:asciiTheme="minorHAnsi" w:eastAsiaTheme="minorHAnsi" w:hAnsiTheme="minorHAnsi" w:cstheme="minorBidi"/>
          <w:szCs w:val="22"/>
        </w:rPr>
      </w:pPr>
    </w:p>
    <w:p w14:paraId="11AC4B24" w14:textId="3F0FFAF0" w:rsidR="00B84A8C" w:rsidRPr="009F57D8" w:rsidRDefault="00B84A8C" w:rsidP="00B84A8C">
      <w:pPr>
        <w:pStyle w:val="TableFigureHeading"/>
        <w:rPr>
          <w:rStyle w:val="CommentReference"/>
          <w:b/>
          <w:bCs w:val="0"/>
        </w:rPr>
      </w:pPr>
      <w:bookmarkStart w:id="47" w:name="_Ref104804098"/>
      <w:r w:rsidRPr="009F57D8">
        <w:rPr>
          <w:rStyle w:val="CommentReference"/>
          <w:b/>
          <w:bCs w:val="0"/>
        </w:rPr>
        <w:t xml:space="preserve">Table </w:t>
      </w:r>
      <w:r w:rsidRPr="009F57D8">
        <w:rPr>
          <w:rStyle w:val="CommentReference"/>
          <w:b/>
          <w:bCs w:val="0"/>
        </w:rPr>
        <w:fldChar w:fldCharType="begin"/>
      </w:r>
      <w:r w:rsidRPr="009F57D8">
        <w:rPr>
          <w:rStyle w:val="CommentReference"/>
          <w:b/>
          <w:bCs w:val="0"/>
        </w:rPr>
        <w:instrText xml:space="preserve"> SEQ Table \* ARABIC </w:instrText>
      </w:r>
      <w:r w:rsidRPr="009F57D8">
        <w:rPr>
          <w:rStyle w:val="CommentReference"/>
          <w:b/>
          <w:bCs w:val="0"/>
        </w:rPr>
        <w:fldChar w:fldCharType="separate"/>
      </w:r>
      <w:r w:rsidR="00581386">
        <w:rPr>
          <w:rStyle w:val="CommentReference"/>
          <w:b/>
          <w:bCs w:val="0"/>
          <w:noProof/>
        </w:rPr>
        <w:t>6</w:t>
      </w:r>
      <w:r w:rsidRPr="009F57D8">
        <w:rPr>
          <w:rStyle w:val="CommentReference"/>
          <w:b/>
          <w:bCs w:val="0"/>
        </w:rPr>
        <w:fldChar w:fldCharType="end"/>
      </w:r>
      <w:bookmarkEnd w:id="47"/>
      <w:r w:rsidRPr="009F57D8">
        <w:rPr>
          <w:rStyle w:val="CommentReference"/>
          <w:b/>
          <w:bCs w:val="0"/>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w:tblPr>
      <w:tblGrid>
        <w:gridCol w:w="551"/>
        <w:gridCol w:w="553"/>
        <w:gridCol w:w="875"/>
        <w:gridCol w:w="568"/>
        <w:gridCol w:w="4251"/>
        <w:gridCol w:w="1351"/>
        <w:gridCol w:w="868"/>
      </w:tblGrid>
      <w:tr w:rsidR="001A2292" w:rsidRPr="009C6528" w14:paraId="795564D4" w14:textId="77777777" w:rsidTr="001A2292">
        <w:trPr>
          <w:cantSplit/>
          <w:tblHeader/>
        </w:trPr>
        <w:tc>
          <w:tcPr>
            <w:tcW w:w="306" w:type="pct"/>
          </w:tcPr>
          <w:p w14:paraId="19CB6D36" w14:textId="77777777" w:rsidR="00B84A8C" w:rsidRPr="009C6528" w:rsidRDefault="00B84A8C" w:rsidP="00D841FB">
            <w:pPr>
              <w:pStyle w:val="In-tableHeading"/>
              <w:rPr>
                <w:szCs w:val="20"/>
                <w:lang w:val="en-AU"/>
              </w:rPr>
            </w:pPr>
            <w:r w:rsidRPr="009C6528">
              <w:rPr>
                <w:szCs w:val="20"/>
                <w:lang w:val="en-AU"/>
              </w:rPr>
              <w:t>Trial</w:t>
            </w:r>
          </w:p>
        </w:tc>
        <w:tc>
          <w:tcPr>
            <w:tcW w:w="307" w:type="pct"/>
          </w:tcPr>
          <w:p w14:paraId="2C296EE2" w14:textId="77777777" w:rsidR="00B84A8C" w:rsidRPr="009C6528" w:rsidRDefault="00B84A8C" w:rsidP="00D841FB">
            <w:pPr>
              <w:pStyle w:val="In-tableHeading"/>
              <w:jc w:val="center"/>
              <w:rPr>
                <w:szCs w:val="20"/>
                <w:lang w:val="en-AU"/>
              </w:rPr>
            </w:pPr>
            <w:r w:rsidRPr="009C6528">
              <w:rPr>
                <w:szCs w:val="20"/>
                <w:lang w:val="en-AU"/>
              </w:rPr>
              <w:t>N</w:t>
            </w:r>
          </w:p>
        </w:tc>
        <w:tc>
          <w:tcPr>
            <w:tcW w:w="485" w:type="pct"/>
          </w:tcPr>
          <w:p w14:paraId="4C8FABC4" w14:textId="77777777" w:rsidR="00B84A8C" w:rsidRPr="009C6528" w:rsidRDefault="00B84A8C" w:rsidP="00D841FB">
            <w:pPr>
              <w:pStyle w:val="In-tableHeading"/>
              <w:rPr>
                <w:szCs w:val="20"/>
                <w:lang w:val="en-AU"/>
              </w:rPr>
            </w:pPr>
            <w:r w:rsidRPr="009C6528">
              <w:rPr>
                <w:szCs w:val="20"/>
                <w:lang w:val="en-AU"/>
              </w:rPr>
              <w:t>Design/ duration</w:t>
            </w:r>
          </w:p>
        </w:tc>
        <w:tc>
          <w:tcPr>
            <w:tcW w:w="315" w:type="pct"/>
          </w:tcPr>
          <w:p w14:paraId="3EBD6BF9" w14:textId="77777777" w:rsidR="00B84A8C" w:rsidRPr="009C6528" w:rsidRDefault="00B84A8C" w:rsidP="00D841FB">
            <w:pPr>
              <w:pStyle w:val="In-tableHeading"/>
              <w:rPr>
                <w:szCs w:val="20"/>
                <w:lang w:val="en-AU"/>
              </w:rPr>
            </w:pPr>
            <w:r w:rsidRPr="009C6528">
              <w:rPr>
                <w:szCs w:val="20"/>
                <w:lang w:val="en-AU"/>
              </w:rPr>
              <w:t>Risk of bias</w:t>
            </w:r>
          </w:p>
        </w:tc>
        <w:tc>
          <w:tcPr>
            <w:tcW w:w="2357" w:type="pct"/>
          </w:tcPr>
          <w:p w14:paraId="03E40D45" w14:textId="77777777" w:rsidR="00B84A8C" w:rsidRPr="009C6528" w:rsidRDefault="00B84A8C" w:rsidP="00D841FB">
            <w:pPr>
              <w:pStyle w:val="In-tableHeading"/>
              <w:rPr>
                <w:szCs w:val="20"/>
                <w:lang w:val="en-AU"/>
              </w:rPr>
            </w:pPr>
            <w:r w:rsidRPr="009C6528">
              <w:rPr>
                <w:szCs w:val="20"/>
                <w:lang w:val="en-AU"/>
              </w:rPr>
              <w:t>Participant population</w:t>
            </w:r>
          </w:p>
        </w:tc>
        <w:tc>
          <w:tcPr>
            <w:tcW w:w="749" w:type="pct"/>
          </w:tcPr>
          <w:p w14:paraId="5EDDD36D" w14:textId="77777777" w:rsidR="00B84A8C" w:rsidRPr="009C6528" w:rsidRDefault="00B84A8C" w:rsidP="00D841FB">
            <w:pPr>
              <w:pStyle w:val="In-tableHeading"/>
              <w:rPr>
                <w:szCs w:val="20"/>
                <w:lang w:val="en-AU"/>
              </w:rPr>
            </w:pPr>
            <w:r w:rsidRPr="009C6528">
              <w:rPr>
                <w:szCs w:val="20"/>
                <w:lang w:val="en-AU"/>
              </w:rPr>
              <w:t>Outcomes</w:t>
            </w:r>
          </w:p>
        </w:tc>
        <w:tc>
          <w:tcPr>
            <w:tcW w:w="481" w:type="pct"/>
          </w:tcPr>
          <w:p w14:paraId="7F04E1BF" w14:textId="77777777" w:rsidR="00B84A8C" w:rsidRPr="009C6528" w:rsidRDefault="00B84A8C" w:rsidP="00D841FB">
            <w:pPr>
              <w:pStyle w:val="In-tableHeading"/>
              <w:rPr>
                <w:szCs w:val="20"/>
                <w:lang w:val="en-AU"/>
              </w:rPr>
            </w:pPr>
            <w:r w:rsidRPr="009C6528">
              <w:rPr>
                <w:szCs w:val="20"/>
                <w:lang w:val="en-AU"/>
              </w:rPr>
              <w:t>Use in modelled evaluation</w:t>
            </w:r>
          </w:p>
        </w:tc>
      </w:tr>
      <w:tr w:rsidR="00B84A8C" w:rsidRPr="009C6528" w14:paraId="09231A5B" w14:textId="77777777" w:rsidTr="009C6528">
        <w:trPr>
          <w:cantSplit/>
        </w:trPr>
        <w:tc>
          <w:tcPr>
            <w:tcW w:w="5000" w:type="pct"/>
            <w:gridSpan w:val="7"/>
          </w:tcPr>
          <w:p w14:paraId="5C0A1060" w14:textId="09DBAB25" w:rsidR="00B84A8C" w:rsidRPr="009C6528" w:rsidRDefault="00B229D8" w:rsidP="00D841FB">
            <w:pPr>
              <w:pStyle w:val="TableText0"/>
              <w:keepNext/>
              <w:rPr>
                <w:b/>
                <w:szCs w:val="20"/>
              </w:rPr>
            </w:pPr>
            <w:r w:rsidRPr="009C6528">
              <w:rPr>
                <w:b/>
                <w:szCs w:val="20"/>
              </w:rPr>
              <w:t>21vPCV</w:t>
            </w:r>
            <w:r w:rsidR="00B84A8C" w:rsidRPr="009C6528">
              <w:rPr>
                <w:b/>
                <w:szCs w:val="20"/>
              </w:rPr>
              <w:t xml:space="preserve"> vs 20vPCV</w:t>
            </w:r>
          </w:p>
        </w:tc>
      </w:tr>
      <w:tr w:rsidR="001A2292" w:rsidRPr="009C6528" w14:paraId="65627EC8" w14:textId="77777777" w:rsidTr="001A2292">
        <w:trPr>
          <w:cantSplit/>
        </w:trPr>
        <w:tc>
          <w:tcPr>
            <w:tcW w:w="306" w:type="pct"/>
            <w:vMerge w:val="restart"/>
          </w:tcPr>
          <w:p w14:paraId="22B6C29E" w14:textId="77777777" w:rsidR="00B84A8C" w:rsidRPr="009C6528" w:rsidRDefault="00B84A8C" w:rsidP="00D841FB">
            <w:pPr>
              <w:pStyle w:val="TableText0"/>
              <w:keepNext/>
              <w:rPr>
                <w:szCs w:val="20"/>
              </w:rPr>
            </w:pPr>
            <w:r w:rsidRPr="009C6528">
              <w:rPr>
                <w:szCs w:val="20"/>
              </w:rPr>
              <w:t>P003</w:t>
            </w:r>
          </w:p>
        </w:tc>
        <w:tc>
          <w:tcPr>
            <w:tcW w:w="307" w:type="pct"/>
            <w:vMerge w:val="restart"/>
          </w:tcPr>
          <w:p w14:paraId="5854EBA8" w14:textId="77777777" w:rsidR="00B84A8C" w:rsidRPr="009C6528" w:rsidRDefault="00B84A8C" w:rsidP="00D841FB">
            <w:pPr>
              <w:pStyle w:val="TableText0"/>
              <w:keepNext/>
              <w:jc w:val="center"/>
              <w:rPr>
                <w:szCs w:val="20"/>
              </w:rPr>
            </w:pPr>
            <w:r w:rsidRPr="009C6528">
              <w:rPr>
                <w:szCs w:val="20"/>
              </w:rPr>
              <w:t>2,663</w:t>
            </w:r>
          </w:p>
        </w:tc>
        <w:tc>
          <w:tcPr>
            <w:tcW w:w="485" w:type="pct"/>
            <w:vMerge w:val="restart"/>
          </w:tcPr>
          <w:p w14:paraId="4CE17814" w14:textId="77777777" w:rsidR="00B84A8C" w:rsidRPr="009C6528" w:rsidRDefault="00B84A8C" w:rsidP="00D841FB">
            <w:pPr>
              <w:pStyle w:val="TableText0"/>
              <w:keepNext/>
              <w:rPr>
                <w:szCs w:val="20"/>
              </w:rPr>
            </w:pPr>
            <w:r w:rsidRPr="009C6528">
              <w:rPr>
                <w:szCs w:val="20"/>
              </w:rPr>
              <w:t>R, DB, MC</w:t>
            </w:r>
          </w:p>
          <w:p w14:paraId="00C86E43" w14:textId="77777777" w:rsidR="00B84A8C" w:rsidRPr="009C6528" w:rsidRDefault="00B84A8C" w:rsidP="00D841FB">
            <w:pPr>
              <w:pStyle w:val="TableText0"/>
              <w:keepNext/>
              <w:rPr>
                <w:szCs w:val="20"/>
              </w:rPr>
            </w:pPr>
            <w:r w:rsidRPr="009C6528">
              <w:rPr>
                <w:szCs w:val="20"/>
              </w:rPr>
              <w:t>6 mths</w:t>
            </w:r>
          </w:p>
        </w:tc>
        <w:tc>
          <w:tcPr>
            <w:tcW w:w="315" w:type="pct"/>
            <w:vMerge w:val="restart"/>
          </w:tcPr>
          <w:p w14:paraId="243AAF66" w14:textId="77777777" w:rsidR="00B84A8C" w:rsidRPr="009C6528" w:rsidRDefault="00B84A8C" w:rsidP="00D841FB">
            <w:pPr>
              <w:pStyle w:val="TableText0"/>
              <w:keepNext/>
              <w:rPr>
                <w:szCs w:val="20"/>
              </w:rPr>
            </w:pPr>
            <w:r w:rsidRPr="009C6528">
              <w:rPr>
                <w:szCs w:val="20"/>
              </w:rPr>
              <w:t>Low</w:t>
            </w:r>
          </w:p>
        </w:tc>
        <w:tc>
          <w:tcPr>
            <w:tcW w:w="2357" w:type="pct"/>
          </w:tcPr>
          <w:p w14:paraId="7A67923A" w14:textId="77777777" w:rsidR="00B84A8C" w:rsidRPr="009C6528" w:rsidRDefault="00B84A8C" w:rsidP="00D841FB">
            <w:pPr>
              <w:pStyle w:val="TableText0"/>
              <w:keepNext/>
              <w:rPr>
                <w:szCs w:val="20"/>
              </w:rPr>
            </w:pPr>
            <w:r w:rsidRPr="009C6528">
              <w:rPr>
                <w:szCs w:val="20"/>
              </w:rPr>
              <w:t xml:space="preserve">Cohort 1: Pneumococcal vaccine-naïve participants ≥50 years of age; </w:t>
            </w:r>
          </w:p>
        </w:tc>
        <w:tc>
          <w:tcPr>
            <w:tcW w:w="749" w:type="pct"/>
          </w:tcPr>
          <w:p w14:paraId="7261ACEC" w14:textId="77777777" w:rsidR="00B84A8C" w:rsidRPr="009C6528" w:rsidRDefault="00B84A8C" w:rsidP="00D841FB">
            <w:pPr>
              <w:pStyle w:val="TableText0"/>
              <w:keepNext/>
              <w:rPr>
                <w:szCs w:val="20"/>
              </w:rPr>
            </w:pPr>
            <w:r w:rsidRPr="009C6528">
              <w:rPr>
                <w:szCs w:val="20"/>
              </w:rPr>
              <w:t>OPA, IgG, Safety</w:t>
            </w:r>
          </w:p>
        </w:tc>
        <w:tc>
          <w:tcPr>
            <w:tcW w:w="481" w:type="pct"/>
          </w:tcPr>
          <w:p w14:paraId="2833C6E8" w14:textId="77777777" w:rsidR="00B84A8C" w:rsidRPr="009C6528" w:rsidRDefault="00B84A8C" w:rsidP="00D841FB">
            <w:pPr>
              <w:pStyle w:val="TableText0"/>
              <w:keepNext/>
              <w:rPr>
                <w:szCs w:val="20"/>
              </w:rPr>
            </w:pPr>
            <w:r w:rsidRPr="009C6528">
              <w:rPr>
                <w:szCs w:val="20"/>
              </w:rPr>
              <w:t>Not used</w:t>
            </w:r>
          </w:p>
        </w:tc>
      </w:tr>
      <w:tr w:rsidR="001A2292" w:rsidRPr="009C6528" w14:paraId="5000FE00" w14:textId="77777777" w:rsidTr="001A2292">
        <w:trPr>
          <w:cantSplit/>
        </w:trPr>
        <w:tc>
          <w:tcPr>
            <w:tcW w:w="306" w:type="pct"/>
            <w:vMerge/>
          </w:tcPr>
          <w:p w14:paraId="0EA6A9F5" w14:textId="77777777" w:rsidR="00B84A8C" w:rsidRPr="009C6528" w:rsidRDefault="00B84A8C" w:rsidP="00D841FB">
            <w:pPr>
              <w:pStyle w:val="TableText0"/>
              <w:keepNext/>
              <w:rPr>
                <w:szCs w:val="20"/>
              </w:rPr>
            </w:pPr>
          </w:p>
        </w:tc>
        <w:tc>
          <w:tcPr>
            <w:tcW w:w="307" w:type="pct"/>
            <w:vMerge/>
          </w:tcPr>
          <w:p w14:paraId="2AD2D3AD" w14:textId="77777777" w:rsidR="00B84A8C" w:rsidRPr="009C6528" w:rsidRDefault="00B84A8C" w:rsidP="00D841FB">
            <w:pPr>
              <w:pStyle w:val="TableText0"/>
              <w:keepNext/>
              <w:jc w:val="center"/>
              <w:rPr>
                <w:szCs w:val="20"/>
              </w:rPr>
            </w:pPr>
          </w:p>
        </w:tc>
        <w:tc>
          <w:tcPr>
            <w:tcW w:w="485" w:type="pct"/>
            <w:vMerge/>
          </w:tcPr>
          <w:p w14:paraId="750F6C1C" w14:textId="77777777" w:rsidR="00B84A8C" w:rsidRPr="009C6528" w:rsidRDefault="00B84A8C" w:rsidP="00D841FB">
            <w:pPr>
              <w:pStyle w:val="TableText0"/>
              <w:keepNext/>
              <w:rPr>
                <w:szCs w:val="20"/>
              </w:rPr>
            </w:pPr>
          </w:p>
        </w:tc>
        <w:tc>
          <w:tcPr>
            <w:tcW w:w="315" w:type="pct"/>
            <w:vMerge/>
          </w:tcPr>
          <w:p w14:paraId="6BB36D53" w14:textId="77777777" w:rsidR="00B84A8C" w:rsidRPr="009C6528" w:rsidRDefault="00B84A8C" w:rsidP="00D841FB">
            <w:pPr>
              <w:pStyle w:val="TableText0"/>
              <w:keepNext/>
              <w:rPr>
                <w:szCs w:val="20"/>
              </w:rPr>
            </w:pPr>
          </w:p>
        </w:tc>
        <w:tc>
          <w:tcPr>
            <w:tcW w:w="2357" w:type="pct"/>
          </w:tcPr>
          <w:p w14:paraId="5D75EC6E" w14:textId="77777777" w:rsidR="00B84A8C" w:rsidRPr="009C6528" w:rsidRDefault="00B84A8C" w:rsidP="00D841FB">
            <w:pPr>
              <w:pStyle w:val="TableText0"/>
              <w:keepNext/>
              <w:rPr>
                <w:szCs w:val="20"/>
              </w:rPr>
            </w:pPr>
            <w:r w:rsidRPr="009C6528">
              <w:rPr>
                <w:szCs w:val="20"/>
              </w:rPr>
              <w:t>Cohort 2: Pneumococcal vaccine-naïve participants: 18 to 49 years of age</w:t>
            </w:r>
          </w:p>
        </w:tc>
        <w:tc>
          <w:tcPr>
            <w:tcW w:w="749" w:type="pct"/>
          </w:tcPr>
          <w:p w14:paraId="0FFC2BBA" w14:textId="77777777" w:rsidR="00B84A8C" w:rsidRPr="009C6528" w:rsidRDefault="00B84A8C" w:rsidP="00D841FB">
            <w:pPr>
              <w:pStyle w:val="TableText0"/>
              <w:keepNext/>
              <w:rPr>
                <w:szCs w:val="20"/>
              </w:rPr>
            </w:pPr>
            <w:r w:rsidRPr="009C6528">
              <w:rPr>
                <w:szCs w:val="20"/>
              </w:rPr>
              <w:t>OPA, IgG, Safety</w:t>
            </w:r>
          </w:p>
        </w:tc>
        <w:tc>
          <w:tcPr>
            <w:tcW w:w="481" w:type="pct"/>
          </w:tcPr>
          <w:p w14:paraId="58264A66" w14:textId="77777777" w:rsidR="00B84A8C" w:rsidRPr="009C6528" w:rsidRDefault="00B84A8C" w:rsidP="00D841FB">
            <w:pPr>
              <w:pStyle w:val="TableText0"/>
              <w:keepNext/>
              <w:rPr>
                <w:szCs w:val="20"/>
              </w:rPr>
            </w:pPr>
            <w:r w:rsidRPr="009C6528">
              <w:rPr>
                <w:szCs w:val="20"/>
              </w:rPr>
              <w:t>Not used</w:t>
            </w:r>
          </w:p>
        </w:tc>
      </w:tr>
      <w:tr w:rsidR="00B84A8C" w:rsidRPr="009C6528" w14:paraId="65CB67BB" w14:textId="77777777" w:rsidTr="009C6528">
        <w:trPr>
          <w:cantSplit/>
        </w:trPr>
        <w:tc>
          <w:tcPr>
            <w:tcW w:w="5000" w:type="pct"/>
            <w:gridSpan w:val="7"/>
          </w:tcPr>
          <w:p w14:paraId="511D22C3" w14:textId="27521FCF" w:rsidR="00B84A8C" w:rsidRPr="009C6528" w:rsidRDefault="00B229D8" w:rsidP="00D841FB">
            <w:pPr>
              <w:pStyle w:val="TableText0"/>
              <w:keepNext/>
              <w:rPr>
                <w:b/>
                <w:szCs w:val="20"/>
              </w:rPr>
            </w:pPr>
            <w:r w:rsidRPr="009C6528">
              <w:rPr>
                <w:b/>
                <w:szCs w:val="20"/>
              </w:rPr>
              <w:t>21vPCV</w:t>
            </w:r>
            <w:r w:rsidR="00B84A8C" w:rsidRPr="009C6528">
              <w:rPr>
                <w:b/>
                <w:szCs w:val="20"/>
              </w:rPr>
              <w:t xml:space="preserve"> vs 15vPCV</w:t>
            </w:r>
          </w:p>
        </w:tc>
      </w:tr>
      <w:tr w:rsidR="001A2292" w:rsidRPr="009C6528" w14:paraId="69158412" w14:textId="77777777" w:rsidTr="001A2292">
        <w:trPr>
          <w:cantSplit/>
        </w:trPr>
        <w:tc>
          <w:tcPr>
            <w:tcW w:w="306" w:type="pct"/>
          </w:tcPr>
          <w:p w14:paraId="4757696B" w14:textId="77777777" w:rsidR="00B84A8C" w:rsidRPr="009C6528" w:rsidRDefault="00B84A8C" w:rsidP="00D841FB">
            <w:pPr>
              <w:pStyle w:val="TableText0"/>
              <w:keepNext/>
              <w:rPr>
                <w:szCs w:val="20"/>
              </w:rPr>
            </w:pPr>
            <w:r w:rsidRPr="009C6528">
              <w:rPr>
                <w:szCs w:val="20"/>
              </w:rPr>
              <w:t>P007</w:t>
            </w:r>
          </w:p>
        </w:tc>
        <w:tc>
          <w:tcPr>
            <w:tcW w:w="307" w:type="pct"/>
          </w:tcPr>
          <w:p w14:paraId="7F740AB4" w14:textId="77777777" w:rsidR="00B84A8C" w:rsidRPr="009C6528" w:rsidRDefault="00B84A8C" w:rsidP="00D841FB">
            <w:pPr>
              <w:pStyle w:val="TableText0"/>
              <w:keepNext/>
              <w:jc w:val="center"/>
              <w:rPr>
                <w:szCs w:val="20"/>
              </w:rPr>
            </w:pPr>
            <w:r w:rsidRPr="009C6528">
              <w:rPr>
                <w:szCs w:val="20"/>
              </w:rPr>
              <w:t>313</w:t>
            </w:r>
          </w:p>
        </w:tc>
        <w:tc>
          <w:tcPr>
            <w:tcW w:w="485" w:type="pct"/>
          </w:tcPr>
          <w:p w14:paraId="21CB9D9E" w14:textId="77777777" w:rsidR="00B84A8C" w:rsidRPr="009C6528" w:rsidRDefault="00B84A8C" w:rsidP="00D841FB">
            <w:pPr>
              <w:pStyle w:val="TableText0"/>
              <w:keepNext/>
              <w:rPr>
                <w:szCs w:val="20"/>
              </w:rPr>
            </w:pPr>
            <w:r w:rsidRPr="009C6528">
              <w:rPr>
                <w:szCs w:val="20"/>
              </w:rPr>
              <w:t>R, DB, MC</w:t>
            </w:r>
          </w:p>
          <w:p w14:paraId="1B6A848D" w14:textId="77777777" w:rsidR="00B84A8C" w:rsidRPr="009C6528" w:rsidRDefault="00B84A8C" w:rsidP="00D841FB">
            <w:pPr>
              <w:pStyle w:val="TableText0"/>
              <w:keepNext/>
              <w:rPr>
                <w:szCs w:val="20"/>
              </w:rPr>
            </w:pPr>
            <w:r w:rsidRPr="009C6528">
              <w:rPr>
                <w:szCs w:val="20"/>
              </w:rPr>
              <w:t>19 mths</w:t>
            </w:r>
          </w:p>
        </w:tc>
        <w:tc>
          <w:tcPr>
            <w:tcW w:w="315" w:type="pct"/>
          </w:tcPr>
          <w:p w14:paraId="606BDA01" w14:textId="77777777" w:rsidR="00B84A8C" w:rsidRPr="009C6528" w:rsidRDefault="00B84A8C" w:rsidP="00D841FB">
            <w:pPr>
              <w:pStyle w:val="TableText0"/>
              <w:keepNext/>
              <w:rPr>
                <w:szCs w:val="20"/>
              </w:rPr>
            </w:pPr>
            <w:r w:rsidRPr="009C6528">
              <w:rPr>
                <w:szCs w:val="20"/>
              </w:rPr>
              <w:t xml:space="preserve">Low </w:t>
            </w:r>
          </w:p>
        </w:tc>
        <w:tc>
          <w:tcPr>
            <w:tcW w:w="2357" w:type="pct"/>
          </w:tcPr>
          <w:p w14:paraId="24974ED4" w14:textId="77777777" w:rsidR="00B84A8C" w:rsidRPr="009C6528" w:rsidRDefault="00B84A8C" w:rsidP="00D841FB">
            <w:pPr>
              <w:pStyle w:val="TableText0"/>
              <w:keepNext/>
              <w:rPr>
                <w:szCs w:val="20"/>
              </w:rPr>
            </w:pPr>
            <w:r w:rsidRPr="009C6528">
              <w:rPr>
                <w:szCs w:val="20"/>
              </w:rPr>
              <w:t>Adults living with HIV (≥18 years of age)</w:t>
            </w:r>
          </w:p>
        </w:tc>
        <w:tc>
          <w:tcPr>
            <w:tcW w:w="749" w:type="pct"/>
          </w:tcPr>
          <w:p w14:paraId="5BB7D529" w14:textId="77777777" w:rsidR="00B84A8C" w:rsidRPr="009C6528" w:rsidRDefault="00B84A8C" w:rsidP="00D841FB">
            <w:pPr>
              <w:pStyle w:val="TableText0"/>
              <w:keepNext/>
              <w:rPr>
                <w:szCs w:val="20"/>
              </w:rPr>
            </w:pPr>
            <w:r w:rsidRPr="009C6528">
              <w:rPr>
                <w:szCs w:val="20"/>
              </w:rPr>
              <w:t>OPA, IgG, Safety</w:t>
            </w:r>
          </w:p>
        </w:tc>
        <w:tc>
          <w:tcPr>
            <w:tcW w:w="481" w:type="pct"/>
          </w:tcPr>
          <w:p w14:paraId="36795DF0" w14:textId="77777777" w:rsidR="00B84A8C" w:rsidRPr="009C6528" w:rsidRDefault="00B84A8C" w:rsidP="00D841FB">
            <w:pPr>
              <w:pStyle w:val="TableText0"/>
              <w:keepNext/>
              <w:rPr>
                <w:szCs w:val="20"/>
              </w:rPr>
            </w:pPr>
            <w:r w:rsidRPr="009C6528">
              <w:rPr>
                <w:szCs w:val="20"/>
              </w:rPr>
              <w:t>Not used</w:t>
            </w:r>
          </w:p>
        </w:tc>
      </w:tr>
      <w:tr w:rsidR="001A2292" w:rsidRPr="009C6528" w14:paraId="7C66FAFF" w14:textId="77777777" w:rsidTr="001A2292">
        <w:trPr>
          <w:cantSplit/>
        </w:trPr>
        <w:tc>
          <w:tcPr>
            <w:tcW w:w="306" w:type="pct"/>
          </w:tcPr>
          <w:p w14:paraId="7978961B" w14:textId="77777777" w:rsidR="00B84A8C" w:rsidRPr="009C6528" w:rsidRDefault="00B84A8C" w:rsidP="00D841FB">
            <w:pPr>
              <w:pStyle w:val="TableText0"/>
              <w:keepNext/>
              <w:rPr>
                <w:szCs w:val="20"/>
              </w:rPr>
            </w:pPr>
            <w:r w:rsidRPr="009C6528">
              <w:rPr>
                <w:szCs w:val="20"/>
              </w:rPr>
              <w:t>P008</w:t>
            </w:r>
          </w:p>
        </w:tc>
        <w:tc>
          <w:tcPr>
            <w:tcW w:w="307" w:type="pct"/>
          </w:tcPr>
          <w:p w14:paraId="22237568" w14:textId="77777777" w:rsidR="00B84A8C" w:rsidRPr="009C6528" w:rsidRDefault="00B84A8C" w:rsidP="00D841FB">
            <w:pPr>
              <w:pStyle w:val="TableText0"/>
              <w:keepNext/>
              <w:jc w:val="center"/>
              <w:rPr>
                <w:szCs w:val="20"/>
              </w:rPr>
            </w:pPr>
            <w:r w:rsidRPr="009C6528">
              <w:rPr>
                <w:szCs w:val="20"/>
              </w:rPr>
              <w:t>518</w:t>
            </w:r>
          </w:p>
        </w:tc>
        <w:tc>
          <w:tcPr>
            <w:tcW w:w="485" w:type="pct"/>
          </w:tcPr>
          <w:p w14:paraId="455BEA54" w14:textId="77777777" w:rsidR="00B84A8C" w:rsidRPr="009C6528" w:rsidRDefault="00B84A8C" w:rsidP="00D841FB">
            <w:pPr>
              <w:pStyle w:val="TableText0"/>
              <w:keepNext/>
              <w:rPr>
                <w:szCs w:val="20"/>
              </w:rPr>
            </w:pPr>
            <w:r w:rsidRPr="009C6528">
              <w:rPr>
                <w:szCs w:val="20"/>
              </w:rPr>
              <w:t>R, DB, MC</w:t>
            </w:r>
          </w:p>
          <w:p w14:paraId="7239604B" w14:textId="77777777" w:rsidR="00B84A8C" w:rsidRPr="009C6528" w:rsidRDefault="00B84A8C" w:rsidP="00D841FB">
            <w:pPr>
              <w:pStyle w:val="TableText0"/>
              <w:keepNext/>
              <w:rPr>
                <w:szCs w:val="20"/>
              </w:rPr>
            </w:pPr>
            <w:r w:rsidRPr="009C6528">
              <w:rPr>
                <w:szCs w:val="20"/>
              </w:rPr>
              <w:t>14 mths</w:t>
            </w:r>
          </w:p>
        </w:tc>
        <w:tc>
          <w:tcPr>
            <w:tcW w:w="315" w:type="pct"/>
          </w:tcPr>
          <w:p w14:paraId="1E301DE6" w14:textId="77777777" w:rsidR="00B84A8C" w:rsidRPr="009C6528" w:rsidRDefault="00B84A8C" w:rsidP="00D841FB">
            <w:pPr>
              <w:pStyle w:val="TableText0"/>
              <w:keepNext/>
              <w:rPr>
                <w:szCs w:val="20"/>
              </w:rPr>
            </w:pPr>
            <w:r w:rsidRPr="009C6528">
              <w:rPr>
                <w:szCs w:val="20"/>
              </w:rPr>
              <w:t xml:space="preserve">Low </w:t>
            </w:r>
          </w:p>
        </w:tc>
        <w:tc>
          <w:tcPr>
            <w:tcW w:w="2357" w:type="pct"/>
          </w:tcPr>
          <w:p w14:paraId="36F7D5C0" w14:textId="77777777" w:rsidR="00B84A8C" w:rsidRPr="009C6528" w:rsidRDefault="00B84A8C" w:rsidP="00D841FB">
            <w:pPr>
              <w:pStyle w:val="TableText0"/>
              <w:keepNext/>
              <w:rPr>
                <w:szCs w:val="20"/>
              </w:rPr>
            </w:pPr>
            <w:r w:rsidRPr="009C6528">
              <w:rPr>
                <w:szCs w:val="20"/>
              </w:rPr>
              <w:t>Adults 18 to 64 years of age with at least 1 risk condition (e.g. diabetes, COPD, asthma, CHD, CKD)</w:t>
            </w:r>
          </w:p>
        </w:tc>
        <w:tc>
          <w:tcPr>
            <w:tcW w:w="749" w:type="pct"/>
          </w:tcPr>
          <w:p w14:paraId="5CCFEE61" w14:textId="77777777" w:rsidR="00B84A8C" w:rsidRPr="009C6528" w:rsidRDefault="00B84A8C" w:rsidP="00D841FB">
            <w:pPr>
              <w:pStyle w:val="TableText0"/>
              <w:keepNext/>
              <w:rPr>
                <w:szCs w:val="20"/>
              </w:rPr>
            </w:pPr>
            <w:r w:rsidRPr="009C6528">
              <w:rPr>
                <w:szCs w:val="20"/>
              </w:rPr>
              <w:t>OPA, IgG, Safety</w:t>
            </w:r>
          </w:p>
        </w:tc>
        <w:tc>
          <w:tcPr>
            <w:tcW w:w="481" w:type="pct"/>
          </w:tcPr>
          <w:p w14:paraId="2FF8F1F4" w14:textId="77777777" w:rsidR="00B84A8C" w:rsidRPr="009C6528" w:rsidRDefault="00B84A8C" w:rsidP="00D841FB">
            <w:pPr>
              <w:pStyle w:val="TableText0"/>
              <w:keepNext/>
              <w:rPr>
                <w:szCs w:val="20"/>
              </w:rPr>
            </w:pPr>
            <w:r w:rsidRPr="009C6528">
              <w:rPr>
                <w:szCs w:val="20"/>
              </w:rPr>
              <w:t>Not used</w:t>
            </w:r>
          </w:p>
        </w:tc>
      </w:tr>
      <w:tr w:rsidR="00B84A8C" w:rsidRPr="009C6528" w14:paraId="52151C62" w14:textId="77777777" w:rsidTr="009C6528">
        <w:trPr>
          <w:cantSplit/>
        </w:trPr>
        <w:tc>
          <w:tcPr>
            <w:tcW w:w="5000" w:type="pct"/>
            <w:gridSpan w:val="7"/>
          </w:tcPr>
          <w:p w14:paraId="15B81548" w14:textId="77777777" w:rsidR="00B84A8C" w:rsidRPr="009C6528" w:rsidRDefault="00B84A8C" w:rsidP="00D841FB">
            <w:pPr>
              <w:pStyle w:val="TableText0"/>
              <w:keepNext/>
              <w:rPr>
                <w:b/>
                <w:szCs w:val="20"/>
              </w:rPr>
            </w:pPr>
            <w:r w:rsidRPr="009C6528">
              <w:rPr>
                <w:b/>
                <w:szCs w:val="20"/>
              </w:rPr>
              <w:t>Catch-up</w:t>
            </w:r>
          </w:p>
        </w:tc>
      </w:tr>
      <w:tr w:rsidR="001A2292" w:rsidRPr="009C6528" w14:paraId="061F0955" w14:textId="77777777" w:rsidTr="001A2292">
        <w:trPr>
          <w:cantSplit/>
        </w:trPr>
        <w:tc>
          <w:tcPr>
            <w:tcW w:w="306" w:type="pct"/>
          </w:tcPr>
          <w:p w14:paraId="0EEEC268" w14:textId="77777777" w:rsidR="00B84A8C" w:rsidRPr="009C6528" w:rsidRDefault="00B84A8C">
            <w:pPr>
              <w:pStyle w:val="TableText0"/>
              <w:rPr>
                <w:szCs w:val="20"/>
              </w:rPr>
            </w:pPr>
            <w:r w:rsidRPr="009C6528">
              <w:rPr>
                <w:szCs w:val="20"/>
              </w:rPr>
              <w:t>P006</w:t>
            </w:r>
          </w:p>
        </w:tc>
        <w:tc>
          <w:tcPr>
            <w:tcW w:w="307" w:type="pct"/>
          </w:tcPr>
          <w:p w14:paraId="78A4CB59" w14:textId="77777777" w:rsidR="00B84A8C" w:rsidRPr="009C6528" w:rsidRDefault="00B84A8C">
            <w:pPr>
              <w:pStyle w:val="TableText0"/>
              <w:jc w:val="center"/>
              <w:rPr>
                <w:szCs w:val="20"/>
              </w:rPr>
            </w:pPr>
            <w:r w:rsidRPr="009C6528">
              <w:rPr>
                <w:szCs w:val="20"/>
              </w:rPr>
              <w:t>717</w:t>
            </w:r>
          </w:p>
        </w:tc>
        <w:tc>
          <w:tcPr>
            <w:tcW w:w="485" w:type="pct"/>
          </w:tcPr>
          <w:p w14:paraId="6519FEAE" w14:textId="77777777" w:rsidR="00B84A8C" w:rsidRPr="009C6528" w:rsidRDefault="00B84A8C">
            <w:pPr>
              <w:pStyle w:val="TableText0"/>
              <w:rPr>
                <w:szCs w:val="20"/>
              </w:rPr>
            </w:pPr>
            <w:r w:rsidRPr="009C6528">
              <w:rPr>
                <w:szCs w:val="20"/>
              </w:rPr>
              <w:t>R, DB, MC</w:t>
            </w:r>
          </w:p>
          <w:p w14:paraId="314C4209" w14:textId="77777777" w:rsidR="00B84A8C" w:rsidRPr="009C6528" w:rsidRDefault="00B84A8C">
            <w:pPr>
              <w:pStyle w:val="TableText0"/>
              <w:rPr>
                <w:szCs w:val="20"/>
              </w:rPr>
            </w:pPr>
            <w:r w:rsidRPr="009C6528">
              <w:rPr>
                <w:szCs w:val="20"/>
              </w:rPr>
              <w:t>6 mths</w:t>
            </w:r>
          </w:p>
        </w:tc>
        <w:tc>
          <w:tcPr>
            <w:tcW w:w="315" w:type="pct"/>
          </w:tcPr>
          <w:p w14:paraId="558E3187" w14:textId="77777777" w:rsidR="00B84A8C" w:rsidRPr="009C6528" w:rsidRDefault="00B84A8C">
            <w:pPr>
              <w:pStyle w:val="TableText0"/>
              <w:rPr>
                <w:szCs w:val="20"/>
              </w:rPr>
            </w:pPr>
            <w:r w:rsidRPr="009C6528">
              <w:rPr>
                <w:szCs w:val="20"/>
              </w:rPr>
              <w:t xml:space="preserve">Low </w:t>
            </w:r>
          </w:p>
        </w:tc>
        <w:tc>
          <w:tcPr>
            <w:tcW w:w="2357" w:type="pct"/>
          </w:tcPr>
          <w:p w14:paraId="4B0EF537" w14:textId="77777777" w:rsidR="00B84A8C" w:rsidRPr="009C6528" w:rsidRDefault="00B84A8C">
            <w:pPr>
              <w:pStyle w:val="TableText0"/>
              <w:rPr>
                <w:szCs w:val="20"/>
              </w:rPr>
            </w:pPr>
            <w:r w:rsidRPr="009C6528">
              <w:rPr>
                <w:szCs w:val="20"/>
              </w:rPr>
              <w:t>Pneumococcal vaccine-experienced adults (≥50 years of age</w:t>
            </w:r>
          </w:p>
        </w:tc>
        <w:tc>
          <w:tcPr>
            <w:tcW w:w="749" w:type="pct"/>
          </w:tcPr>
          <w:p w14:paraId="17E20B69" w14:textId="77777777" w:rsidR="00B84A8C" w:rsidRPr="009C6528" w:rsidRDefault="00B84A8C">
            <w:pPr>
              <w:pStyle w:val="TableText0"/>
              <w:rPr>
                <w:szCs w:val="20"/>
              </w:rPr>
            </w:pPr>
            <w:r w:rsidRPr="009C6528">
              <w:rPr>
                <w:szCs w:val="20"/>
              </w:rPr>
              <w:t>OPA, IgG, Safety</w:t>
            </w:r>
          </w:p>
        </w:tc>
        <w:tc>
          <w:tcPr>
            <w:tcW w:w="481" w:type="pct"/>
          </w:tcPr>
          <w:p w14:paraId="55DC791C" w14:textId="77777777" w:rsidR="00B84A8C" w:rsidRPr="009C6528" w:rsidRDefault="00B84A8C">
            <w:pPr>
              <w:pStyle w:val="TableText0"/>
              <w:rPr>
                <w:szCs w:val="20"/>
              </w:rPr>
            </w:pPr>
            <w:r w:rsidRPr="009C6528">
              <w:rPr>
                <w:szCs w:val="20"/>
              </w:rPr>
              <w:t>Not used</w:t>
            </w:r>
          </w:p>
        </w:tc>
      </w:tr>
      <w:tr w:rsidR="00B84A8C" w:rsidRPr="009C6528" w14:paraId="28B07918" w14:textId="77777777" w:rsidTr="009C6528">
        <w:trPr>
          <w:cantSplit/>
        </w:trPr>
        <w:tc>
          <w:tcPr>
            <w:tcW w:w="5000" w:type="pct"/>
            <w:gridSpan w:val="7"/>
          </w:tcPr>
          <w:p w14:paraId="6FB5B367" w14:textId="77777777" w:rsidR="00B84A8C" w:rsidRPr="009C6528" w:rsidRDefault="00B84A8C">
            <w:pPr>
              <w:pStyle w:val="TableText0"/>
              <w:rPr>
                <w:b/>
                <w:szCs w:val="20"/>
              </w:rPr>
            </w:pPr>
            <w:r w:rsidRPr="009C6528">
              <w:rPr>
                <w:b/>
                <w:szCs w:val="20"/>
              </w:rPr>
              <w:t>Concomitant vaccination</w:t>
            </w:r>
          </w:p>
        </w:tc>
      </w:tr>
      <w:tr w:rsidR="001A2292" w:rsidRPr="009C6528" w14:paraId="45ADD7C8" w14:textId="77777777" w:rsidTr="001A2292">
        <w:trPr>
          <w:cantSplit/>
        </w:trPr>
        <w:tc>
          <w:tcPr>
            <w:tcW w:w="306" w:type="pct"/>
          </w:tcPr>
          <w:p w14:paraId="15225F2B" w14:textId="77777777" w:rsidR="00B84A8C" w:rsidRPr="009C6528" w:rsidRDefault="00B84A8C">
            <w:pPr>
              <w:pStyle w:val="TableText0"/>
              <w:rPr>
                <w:szCs w:val="20"/>
              </w:rPr>
            </w:pPr>
            <w:r w:rsidRPr="009C6528">
              <w:rPr>
                <w:szCs w:val="20"/>
              </w:rPr>
              <w:t>P005</w:t>
            </w:r>
          </w:p>
        </w:tc>
        <w:tc>
          <w:tcPr>
            <w:tcW w:w="307" w:type="pct"/>
          </w:tcPr>
          <w:p w14:paraId="62A9B91B" w14:textId="77777777" w:rsidR="00B84A8C" w:rsidRPr="009C6528" w:rsidRDefault="00B84A8C">
            <w:pPr>
              <w:pStyle w:val="TableText0"/>
              <w:jc w:val="center"/>
              <w:rPr>
                <w:szCs w:val="20"/>
              </w:rPr>
            </w:pPr>
            <w:r w:rsidRPr="009C6528">
              <w:rPr>
                <w:szCs w:val="20"/>
              </w:rPr>
              <w:t>1,080</w:t>
            </w:r>
          </w:p>
        </w:tc>
        <w:tc>
          <w:tcPr>
            <w:tcW w:w="485" w:type="pct"/>
          </w:tcPr>
          <w:p w14:paraId="242F1B66" w14:textId="77777777" w:rsidR="00B84A8C" w:rsidRPr="009C6528" w:rsidRDefault="00B84A8C">
            <w:pPr>
              <w:pStyle w:val="TableText0"/>
              <w:rPr>
                <w:szCs w:val="20"/>
              </w:rPr>
            </w:pPr>
            <w:r w:rsidRPr="009C6528">
              <w:rPr>
                <w:szCs w:val="20"/>
              </w:rPr>
              <w:t>R, DB, MC</w:t>
            </w:r>
          </w:p>
          <w:p w14:paraId="3E3AE2AF" w14:textId="77777777" w:rsidR="00B84A8C" w:rsidRPr="009C6528" w:rsidRDefault="00B84A8C">
            <w:pPr>
              <w:pStyle w:val="TableText0"/>
              <w:rPr>
                <w:szCs w:val="20"/>
              </w:rPr>
            </w:pPr>
            <w:r w:rsidRPr="009C6528">
              <w:rPr>
                <w:szCs w:val="20"/>
              </w:rPr>
              <w:t>9 mths</w:t>
            </w:r>
          </w:p>
        </w:tc>
        <w:tc>
          <w:tcPr>
            <w:tcW w:w="315" w:type="pct"/>
          </w:tcPr>
          <w:p w14:paraId="74172A1D" w14:textId="77777777" w:rsidR="00B84A8C" w:rsidRPr="009C6528" w:rsidRDefault="00B84A8C">
            <w:pPr>
              <w:pStyle w:val="TableText0"/>
              <w:rPr>
                <w:szCs w:val="20"/>
              </w:rPr>
            </w:pPr>
            <w:r w:rsidRPr="009C6528">
              <w:rPr>
                <w:szCs w:val="20"/>
              </w:rPr>
              <w:t xml:space="preserve">Low </w:t>
            </w:r>
          </w:p>
        </w:tc>
        <w:tc>
          <w:tcPr>
            <w:tcW w:w="2357" w:type="pct"/>
          </w:tcPr>
          <w:p w14:paraId="37B792DF" w14:textId="77777777" w:rsidR="00B84A8C" w:rsidRPr="009C6528" w:rsidRDefault="00B84A8C">
            <w:pPr>
              <w:pStyle w:val="TableText0"/>
              <w:rPr>
                <w:szCs w:val="20"/>
              </w:rPr>
            </w:pPr>
            <w:r w:rsidRPr="009C6528">
              <w:rPr>
                <w:szCs w:val="20"/>
              </w:rPr>
              <w:t>Healthy male and female participants, ≥50 years of age</w:t>
            </w:r>
          </w:p>
        </w:tc>
        <w:tc>
          <w:tcPr>
            <w:tcW w:w="749" w:type="pct"/>
          </w:tcPr>
          <w:p w14:paraId="188A4410" w14:textId="77777777" w:rsidR="00B84A8C" w:rsidRPr="009C6528" w:rsidRDefault="00B84A8C">
            <w:pPr>
              <w:pStyle w:val="TableText0"/>
              <w:rPr>
                <w:szCs w:val="20"/>
              </w:rPr>
            </w:pPr>
            <w:r w:rsidRPr="009C6528">
              <w:rPr>
                <w:szCs w:val="20"/>
              </w:rPr>
              <w:t>OPA, IgG, Safety</w:t>
            </w:r>
          </w:p>
        </w:tc>
        <w:tc>
          <w:tcPr>
            <w:tcW w:w="481" w:type="pct"/>
          </w:tcPr>
          <w:p w14:paraId="0B61E57E" w14:textId="77777777" w:rsidR="00B84A8C" w:rsidRPr="009C6528" w:rsidRDefault="00B84A8C">
            <w:pPr>
              <w:pStyle w:val="TableText0"/>
              <w:rPr>
                <w:szCs w:val="20"/>
              </w:rPr>
            </w:pPr>
            <w:r w:rsidRPr="009C6528">
              <w:rPr>
                <w:szCs w:val="20"/>
              </w:rPr>
              <w:t>Not used</w:t>
            </w:r>
          </w:p>
        </w:tc>
      </w:tr>
    </w:tbl>
    <w:p w14:paraId="393BF8A9" w14:textId="77777777" w:rsidR="00B84A8C" w:rsidRPr="009F57D8" w:rsidRDefault="00B84A8C" w:rsidP="00B84A8C">
      <w:pPr>
        <w:pStyle w:val="FooterTableFigure"/>
      </w:pPr>
      <w:r w:rsidRPr="009F57D8">
        <w:t>Source: Table 2.4-7 to Table 2.4-11, pp55-60 of the submission; Table 10-1, p42 P005 CSR; Section 6.3, p11 P005 Protocol</w:t>
      </w:r>
    </w:p>
    <w:p w14:paraId="4CBF3F8A" w14:textId="77777777" w:rsidR="00B84A8C" w:rsidRPr="009F57D8" w:rsidRDefault="00B84A8C" w:rsidP="00B84A8C">
      <w:pPr>
        <w:pStyle w:val="FooterTableFigure"/>
        <w:rPr>
          <w:sz w:val="20"/>
        </w:rPr>
      </w:pPr>
      <w:r w:rsidRPr="009F57D8">
        <w:t>DB = double blind; IgG = immunoglobulin G; MC = multi-centre; OL = open label; OPA = opsonophagocytic activity; OS = overall survival; PFS = progression-free survival; R = randomised.</w:t>
      </w:r>
    </w:p>
    <w:p w14:paraId="5FF56A4C" w14:textId="2F6C95D1" w:rsidR="00B84A8C" w:rsidRPr="009F57D8" w:rsidRDefault="00B84A8C" w:rsidP="00B84A8C">
      <w:pPr>
        <w:pStyle w:val="3-BodyText"/>
        <w:numPr>
          <w:ilvl w:val="1"/>
          <w:numId w:val="1"/>
        </w:numPr>
      </w:pPr>
      <w:r w:rsidRPr="009F57D8">
        <w:t xml:space="preserve">The key outcome to support the clinical claims was serotype-specific opsonophagocytic activity (OPA) at 30 days after vaccination measured as the geometric mean titre (GMT), from which geometric mean ratios (GMRs) were calculated. The submission stated that OPA can be used as an immunologic surrogate endpoint in adults to predict </w:t>
      </w:r>
      <w:r w:rsidR="00584EA4" w:rsidRPr="009F57D8">
        <w:t>21vPCV</w:t>
      </w:r>
      <w:r w:rsidRPr="009F57D8">
        <w:t xml:space="preserve"> vaccine effectiveness. The PBAC </w:t>
      </w:r>
      <w:r w:rsidR="00584EA4" w:rsidRPr="009F57D8">
        <w:t xml:space="preserve">has </w:t>
      </w:r>
      <w:r w:rsidRPr="009F57D8">
        <w:t xml:space="preserve">previously seen extrapolation of immunogenicity trials in terms of OPA to clinical effectiveness (immunobridging) and highlighted issues in assuming benefit in terms of disease prevention ‘as there is no specific threshold of OPA titre that correlates with protection against IPD or pneumonia in adults’, and the relationship to clinical </w:t>
      </w:r>
      <w:r w:rsidRPr="009F57D8">
        <w:lastRenderedPageBreak/>
        <w:t xml:space="preserve">outcomes for the shared serotypes does not necessarily hold for non-shared serotypes (para 7.3, 20vPCV PSD, November 2022 PBAC meeting). These previous concerns from the PBAC are particularly relevant in the case of applying an immunobridge to </w:t>
      </w:r>
      <w:r w:rsidR="00584EA4" w:rsidRPr="009F57D8">
        <w:t>21vPCV</w:t>
      </w:r>
      <w:r w:rsidRPr="009F57D8">
        <w:t xml:space="preserve"> from 13vPCV, given that only 4 serotypes are shared between the two vaccines (see paragraph </w:t>
      </w:r>
      <w:r w:rsidRPr="009F57D8">
        <w:fldChar w:fldCharType="begin"/>
      </w:r>
      <w:r w:rsidRPr="009F57D8">
        <w:instrText xml:space="preserve"> REF _Ref207141630 \r \h </w:instrText>
      </w:r>
      <w:r w:rsidR="00951987" w:rsidRPr="009F57D8">
        <w:instrText xml:space="preserve"> \* MERGEFORMAT </w:instrText>
      </w:r>
      <w:r w:rsidRPr="009F57D8">
        <w:fldChar w:fldCharType="separate"/>
      </w:r>
      <w:r w:rsidR="00581386">
        <w:t>6.44</w:t>
      </w:r>
      <w:r w:rsidRPr="009F57D8">
        <w:fldChar w:fldCharType="end"/>
      </w:r>
      <w:r w:rsidRPr="009F57D8">
        <w:t>).</w:t>
      </w:r>
    </w:p>
    <w:p w14:paraId="64FBC54A" w14:textId="083A693F" w:rsidR="00B84A8C" w:rsidRPr="009F57D8" w:rsidRDefault="00B84A8C" w:rsidP="00B84A8C">
      <w:pPr>
        <w:pStyle w:val="3-BodyText"/>
        <w:numPr>
          <w:ilvl w:val="1"/>
          <w:numId w:val="1"/>
        </w:numPr>
      </w:pPr>
      <w:r w:rsidRPr="009F57D8">
        <w:t xml:space="preserve">The ATAGI Advice noted </w:t>
      </w:r>
      <w:r w:rsidRPr="009F57D8">
        <w:rPr>
          <w:color w:val="000000" w:themeColor="text1"/>
        </w:rPr>
        <w:t>there was some uncertainty as to whether the immunobridg</w:t>
      </w:r>
      <w:r w:rsidR="00F8622A" w:rsidRPr="009F57D8">
        <w:rPr>
          <w:color w:val="000000" w:themeColor="text1"/>
        </w:rPr>
        <w:t>ing</w:t>
      </w:r>
      <w:r w:rsidRPr="009F57D8">
        <w:rPr>
          <w:color w:val="000000" w:themeColor="text1"/>
        </w:rPr>
        <w:t xml:space="preserve"> assumption from 13vPCV to </w:t>
      </w:r>
      <w:r w:rsidR="00B229D8" w:rsidRPr="009F57D8">
        <w:rPr>
          <w:color w:val="000000" w:themeColor="text1"/>
        </w:rPr>
        <w:t>21vPCV</w:t>
      </w:r>
      <w:r w:rsidRPr="009F57D8">
        <w:rPr>
          <w:color w:val="000000" w:themeColor="text1"/>
        </w:rPr>
        <w:t xml:space="preserve"> will necessarily hold for all 17 serotypes in </w:t>
      </w:r>
      <w:r w:rsidR="00B229D8" w:rsidRPr="009F57D8">
        <w:rPr>
          <w:color w:val="000000" w:themeColor="text1"/>
        </w:rPr>
        <w:t>21vPCV</w:t>
      </w:r>
      <w:r w:rsidRPr="009F57D8">
        <w:rPr>
          <w:color w:val="000000" w:themeColor="text1"/>
        </w:rPr>
        <w:t xml:space="preserve"> but not in 13vPCV and referred to the WHO Guidelines that state that “the limitations of these comparisons in predicting efficacy should be taken into account when considering the overall benefit/risk relationship for the new vaccine" (ATAGI Pre-Submission Advice, May 2024). </w:t>
      </w:r>
    </w:p>
    <w:p w14:paraId="29CCA65D" w14:textId="77777777" w:rsidR="00B84A8C" w:rsidRPr="009F57D8" w:rsidRDefault="00B84A8C" w:rsidP="00B84A8C">
      <w:pPr>
        <w:pStyle w:val="3-BodyText"/>
        <w:numPr>
          <w:ilvl w:val="0"/>
          <w:numId w:val="0"/>
        </w:numPr>
      </w:pPr>
    </w:p>
    <w:p w14:paraId="2B1708A4" w14:textId="77777777" w:rsidR="00B84A8C" w:rsidRPr="009F57D8" w:rsidRDefault="00B84A8C" w:rsidP="00D841FB">
      <w:pPr>
        <w:pStyle w:val="3-BodyText"/>
        <w:keepNext/>
        <w:numPr>
          <w:ilvl w:val="0"/>
          <w:numId w:val="0"/>
        </w:numPr>
        <w:rPr>
          <w:b/>
          <w:bCs/>
        </w:rPr>
      </w:pPr>
      <w:r w:rsidRPr="009F57D8">
        <w:rPr>
          <w:b/>
          <w:bCs/>
        </w:rPr>
        <w:t>NIP Population-Main trials (P003, P007, P008)</w:t>
      </w:r>
    </w:p>
    <w:p w14:paraId="2DB340AA" w14:textId="77777777" w:rsidR="00B84A8C" w:rsidRPr="009F57D8" w:rsidRDefault="00B84A8C" w:rsidP="00B84A8C">
      <w:pPr>
        <w:pStyle w:val="3-BodyText"/>
        <w:numPr>
          <w:ilvl w:val="0"/>
          <w:numId w:val="0"/>
        </w:numPr>
        <w:rPr>
          <w:u w:val="single"/>
        </w:rPr>
      </w:pPr>
      <w:r w:rsidRPr="009F57D8">
        <w:rPr>
          <w:u w:val="single"/>
        </w:rPr>
        <w:t xml:space="preserve">Non-Indigenous adults </w:t>
      </w:r>
      <w:r w:rsidRPr="009F57D8">
        <w:t xml:space="preserve">≥ 70 years </w:t>
      </w:r>
    </w:p>
    <w:p w14:paraId="50C47F5E" w14:textId="25C50B1C" w:rsidR="00B84A8C" w:rsidRPr="009F57D8" w:rsidRDefault="00B84A8C" w:rsidP="00B84A8C">
      <w:pPr>
        <w:pStyle w:val="3-BodyText"/>
        <w:numPr>
          <w:ilvl w:val="1"/>
          <w:numId w:val="1"/>
        </w:numPr>
      </w:pPr>
      <w:r w:rsidRPr="009F57D8">
        <w:t xml:space="preserve">In P003, the primary objective was to demonstrate, in adults 50 years and older, non-inferiority of immune response (serotype specific OPA GMT 30 days after vaccination) for 10 common serotypes included in </w:t>
      </w:r>
      <w:r w:rsidR="00B229D8" w:rsidRPr="009F57D8">
        <w:t>21vPCV</w:t>
      </w:r>
      <w:r w:rsidRPr="009F57D8">
        <w:t xml:space="preserve"> compared to 20vPCV, and superiority for the 11 unique serotypes included in </w:t>
      </w:r>
      <w:r w:rsidR="00B229D8" w:rsidRPr="009F57D8">
        <w:t>21vPCV</w:t>
      </w:r>
      <w:r w:rsidRPr="009F57D8">
        <w:t xml:space="preserve"> compared to 20vPCV. </w:t>
      </w:r>
    </w:p>
    <w:p w14:paraId="1D57092D" w14:textId="4A09EFBB" w:rsidR="00B84A8C" w:rsidRPr="009F57D8" w:rsidRDefault="00B84A8C" w:rsidP="00B84A8C">
      <w:pPr>
        <w:pStyle w:val="3-BodyText"/>
        <w:numPr>
          <w:ilvl w:val="1"/>
          <w:numId w:val="1"/>
        </w:numPr>
      </w:pPr>
      <w:r w:rsidRPr="009F57D8">
        <w:t xml:space="preserve">The submission presented a subgroup analysis of data from P003 Cohort 1 to support its claim of efficacy in </w:t>
      </w:r>
      <w:r w:rsidRPr="009F57D8">
        <w:rPr>
          <w:bCs/>
        </w:rPr>
        <w:t>non-Indigenous adults</w:t>
      </w:r>
      <w:r w:rsidRPr="009F57D8">
        <w:rPr>
          <w:rFonts w:ascii="Helvetica" w:hAnsi="Helvetica" w:cs="Helvetica"/>
          <w:lang w:eastAsia="en-GB"/>
        </w:rPr>
        <w:t xml:space="preserve"> </w:t>
      </w:r>
      <w:r w:rsidRPr="009F57D8">
        <w:rPr>
          <w:bCs/>
        </w:rPr>
        <w:t xml:space="preserve">≥ 70 years. </w:t>
      </w:r>
      <w:r w:rsidRPr="009F57D8">
        <w:t>This was an exploratory analysis;</w:t>
      </w:r>
      <w:r w:rsidRPr="009F57D8">
        <w:rPr>
          <w:bCs/>
        </w:rPr>
        <w:t xml:space="preserve"> the subgroup analysis was not powered to determine noninferiority of the outcomes.</w:t>
      </w:r>
      <w:r w:rsidRPr="009F57D8">
        <w:t xml:space="preserve"> Subgroup analysis by different ages was not pre-specified nor stratified at randomisation in P003. Moreover, P003 was not designed to evaluate efficacy of </w:t>
      </w:r>
      <w:r w:rsidR="00B229D8" w:rsidRPr="009F57D8">
        <w:t>21vPCV</w:t>
      </w:r>
      <w:r w:rsidRPr="009F57D8">
        <w:t xml:space="preserve"> versus 13vPCV (OPA GMT/IgG GMC at Day 30 postvaccination). Thus, the results from this analysis should be interpreted with caution.</w:t>
      </w:r>
    </w:p>
    <w:p w14:paraId="2F07B686" w14:textId="43E44D1C" w:rsidR="00B84A8C" w:rsidRPr="009F57D8" w:rsidRDefault="00B84A8C" w:rsidP="00B84A8C">
      <w:pPr>
        <w:pStyle w:val="3-BodyText"/>
        <w:numPr>
          <w:ilvl w:val="1"/>
          <w:numId w:val="1"/>
        </w:numPr>
      </w:pPr>
      <w:bookmarkStart w:id="48" w:name="_Ref211274164"/>
      <w:r w:rsidRPr="009F57D8">
        <w:t>The non-inferiority criterion that defined the OPA GMR outcomes in P003 was the lower bound of the 2-sided 95% confidence interval (CI) of the OPA GMR &gt; 0.50. This criterion for OPA GMR &gt; 0.5 is lower than the World Health Organization (WHO) recommended lower bound of the 95% CI of 0.67. ATAGI considered a lower bound of 0.5 to be acceptable but noted concerns regarding the use of low thresholds that could result in acceptance of subsequent vaccines despite inferior immunogenicity to an originally licensed vaccine (ATAGI Pre-Submission Advice, May 2024).</w:t>
      </w:r>
      <w:bookmarkEnd w:id="48"/>
      <w:r w:rsidRPr="009F57D8">
        <w:t xml:space="preserve"> </w:t>
      </w:r>
    </w:p>
    <w:p w14:paraId="55F20ED7" w14:textId="75ED57CB" w:rsidR="00B84A8C" w:rsidRPr="009F57D8" w:rsidRDefault="00B84A8C" w:rsidP="00B84A8C">
      <w:pPr>
        <w:pStyle w:val="3-BodyText"/>
        <w:numPr>
          <w:ilvl w:val="1"/>
          <w:numId w:val="1"/>
        </w:numPr>
      </w:pPr>
      <w:bookmarkStart w:id="49" w:name="_Ref174867674"/>
      <w:bookmarkStart w:id="50" w:name="_Ref211274168"/>
      <w:r w:rsidRPr="009F57D8">
        <w:rPr>
          <w:color w:val="000000" w:themeColor="text1"/>
        </w:rPr>
        <w:t xml:space="preserve">Superiority criteria were </w:t>
      </w:r>
      <w:r w:rsidRPr="009F57D8">
        <w:t xml:space="preserve">pre-specified in P003 for OPA GMT and for the proportion of participants </w:t>
      </w:r>
      <w:r w:rsidRPr="009F57D8">
        <w:rPr>
          <w:bCs/>
        </w:rPr>
        <w:t xml:space="preserve">with a </w:t>
      </w:r>
      <w:r w:rsidRPr="009F57D8">
        <w:rPr>
          <w:rFonts w:ascii="Times New Roman" w:hAnsi="Times New Roman" w:cs="Times New Roman"/>
          <w:bCs/>
        </w:rPr>
        <w:t xml:space="preserve">≥ </w:t>
      </w:r>
      <w:r w:rsidRPr="009F57D8">
        <w:rPr>
          <w:bCs/>
        </w:rPr>
        <w:t>4-fold rise in OPA responses at day 30. T</w:t>
      </w:r>
      <w:r w:rsidRPr="009F57D8">
        <w:t xml:space="preserve">he superiority criteria that defined the OPA GMR at 30 days for the 11 unique serotypes in </w:t>
      </w:r>
      <w:r w:rsidR="00B229D8" w:rsidRPr="009F57D8">
        <w:t>21vPCV</w:t>
      </w:r>
      <w:r w:rsidRPr="009F57D8">
        <w:t xml:space="preserve">, were the lower bound of the 2-sided 95% CI of the OPA GMR &gt; 2.0. The superiority criterion for serotype 15C in P003 was the </w:t>
      </w:r>
      <w:r w:rsidRPr="009F57D8">
        <w:rPr>
          <w:rFonts w:ascii="Calibri" w:hAnsi="Calibri"/>
        </w:rPr>
        <w:t>lower bound of the 2-sided 95% CI of the OPA GMT ratio &gt; 1.2.</w:t>
      </w:r>
      <w:bookmarkEnd w:id="49"/>
      <w:r w:rsidRPr="009F57D8">
        <w:rPr>
          <w:rFonts w:ascii="Calibri" w:hAnsi="Calibri"/>
        </w:rPr>
        <w:t xml:space="preserve"> </w:t>
      </w:r>
      <w:r w:rsidRPr="009F57D8">
        <w:rPr>
          <w:bCs/>
        </w:rPr>
        <w:t>T</w:t>
      </w:r>
      <w:r w:rsidRPr="009F57D8">
        <w:t xml:space="preserve">he superiority criteria that defined the proportion of </w:t>
      </w:r>
      <w:r w:rsidRPr="009F57D8">
        <w:rPr>
          <w:bCs/>
        </w:rPr>
        <w:t xml:space="preserve">participants with a </w:t>
      </w:r>
      <w:r w:rsidRPr="009F57D8">
        <w:rPr>
          <w:rFonts w:ascii="Times New Roman" w:hAnsi="Times New Roman" w:cs="Times New Roman"/>
          <w:bCs/>
        </w:rPr>
        <w:t xml:space="preserve">≥ </w:t>
      </w:r>
      <w:r w:rsidRPr="009F57D8">
        <w:rPr>
          <w:bCs/>
        </w:rPr>
        <w:t xml:space="preserve">4-fold rise in OPA responses at day 30 for </w:t>
      </w:r>
      <w:r w:rsidR="00B229D8" w:rsidRPr="009F57D8">
        <w:rPr>
          <w:bCs/>
        </w:rPr>
        <w:t>21vPCV</w:t>
      </w:r>
      <w:r w:rsidRPr="009F57D8">
        <w:rPr>
          <w:bCs/>
        </w:rPr>
        <w:t xml:space="preserve"> compared to 20vPCV in P003</w:t>
      </w:r>
      <w:r w:rsidRPr="009F57D8">
        <w:t>, was the lower bound of the 2-sided 95% CI for the difference (</w:t>
      </w:r>
      <w:r w:rsidR="00B229D8" w:rsidRPr="009F57D8">
        <w:t>21vPCV</w:t>
      </w:r>
      <w:r w:rsidRPr="009F57D8">
        <w:t xml:space="preserve"> – 20vPCV) being &gt; 0.1.</w:t>
      </w:r>
      <w:bookmarkEnd w:id="50"/>
    </w:p>
    <w:p w14:paraId="423037FB" w14:textId="77777777" w:rsidR="00B84A8C" w:rsidRPr="009F57D8" w:rsidRDefault="00B84A8C" w:rsidP="00062F10">
      <w:pPr>
        <w:pStyle w:val="3-BodyText"/>
        <w:keepNext/>
        <w:keepLines/>
        <w:numPr>
          <w:ilvl w:val="0"/>
          <w:numId w:val="0"/>
        </w:numPr>
        <w:rPr>
          <w:u w:val="single"/>
        </w:rPr>
      </w:pPr>
      <w:r w:rsidRPr="009F57D8">
        <w:rPr>
          <w:u w:val="single"/>
        </w:rPr>
        <w:lastRenderedPageBreak/>
        <w:t>MaR and Indigenous populations</w:t>
      </w:r>
    </w:p>
    <w:p w14:paraId="4EE064E9" w14:textId="29A12DA3" w:rsidR="00B84A8C" w:rsidRPr="009F57D8" w:rsidRDefault="00B84A8C" w:rsidP="00062F10">
      <w:pPr>
        <w:pStyle w:val="3-BodyText"/>
        <w:keepNext/>
        <w:keepLines/>
        <w:numPr>
          <w:ilvl w:val="1"/>
          <w:numId w:val="1"/>
        </w:numPr>
        <w:rPr>
          <w:u w:val="single"/>
        </w:rPr>
      </w:pPr>
      <w:r w:rsidRPr="009F57D8">
        <w:rPr>
          <w:iCs/>
        </w:rPr>
        <w:t xml:space="preserve">The submission presented evidence from studies P007 and P008 comparing </w:t>
      </w:r>
      <w:r w:rsidR="00B229D8" w:rsidRPr="009F57D8">
        <w:rPr>
          <w:iCs/>
        </w:rPr>
        <w:t>21vPCV</w:t>
      </w:r>
      <w:r w:rsidRPr="009F57D8">
        <w:rPr>
          <w:iCs/>
        </w:rPr>
        <w:t xml:space="preserve"> to 15vPCV followed by 23vPPV in high-risk populations human immunodeficiency virus (HIV) positive (P007) and at-risk adults (P008). This evidence was used by the submission to support use in the MaR population aged </w:t>
      </w:r>
      <w:r w:rsidRPr="009F57D8">
        <w:rPr>
          <w:rFonts w:ascii="Times New Roman" w:hAnsi="Times New Roman" w:cs="Times New Roman"/>
        </w:rPr>
        <w:t xml:space="preserve">≥ </w:t>
      </w:r>
      <w:r w:rsidRPr="009F57D8">
        <w:t xml:space="preserve">18 years and </w:t>
      </w:r>
      <w:r w:rsidR="00D04DE7" w:rsidRPr="009F57D8">
        <w:t>Aboriginal and Torres Strait Islander adults</w:t>
      </w:r>
      <w:r w:rsidRPr="009F57D8">
        <w:t xml:space="preserve"> aged </w:t>
      </w:r>
      <w:r w:rsidRPr="009F57D8">
        <w:rPr>
          <w:rFonts w:ascii="Times New Roman" w:hAnsi="Times New Roman" w:cs="Times New Roman"/>
        </w:rPr>
        <w:t xml:space="preserve">≥ </w:t>
      </w:r>
      <w:r w:rsidRPr="009F57D8">
        <w:t xml:space="preserve">50 years; assuming that the P008 trial would be representative of health status in </w:t>
      </w:r>
      <w:r w:rsidR="00D04DE7" w:rsidRPr="009F57D8">
        <w:t>Aboriginal and Torres Strait Islander adults</w:t>
      </w:r>
      <w:r w:rsidRPr="009F57D8">
        <w:t xml:space="preserve"> </w:t>
      </w:r>
      <w:r w:rsidRPr="009F57D8">
        <w:rPr>
          <w:rFonts w:ascii="Times New Roman" w:hAnsi="Times New Roman" w:cs="Times New Roman"/>
        </w:rPr>
        <w:t xml:space="preserve">≥ </w:t>
      </w:r>
      <w:r w:rsidRPr="009F57D8">
        <w:t>50 years.</w:t>
      </w:r>
    </w:p>
    <w:p w14:paraId="118C187D" w14:textId="3C5FBF02" w:rsidR="00B84A8C" w:rsidRPr="009F57D8" w:rsidRDefault="00B84A8C" w:rsidP="00B84A8C">
      <w:pPr>
        <w:pStyle w:val="3-BodyText"/>
        <w:numPr>
          <w:ilvl w:val="1"/>
          <w:numId w:val="1"/>
        </w:numPr>
        <w:rPr>
          <w:u w:val="single"/>
        </w:rPr>
      </w:pPr>
      <w:r w:rsidRPr="009F57D8">
        <w:t xml:space="preserve">The submission presented a subgroup analysis of data from P003 Cohort 2 to support its claim of efficacy in </w:t>
      </w:r>
      <w:r w:rsidR="00D04DE7" w:rsidRPr="009F57D8">
        <w:rPr>
          <w:bCs/>
          <w:iCs/>
        </w:rPr>
        <w:t>Aboriginal and Torres Strait Islander adults</w:t>
      </w:r>
      <w:r w:rsidRPr="009F57D8">
        <w:rPr>
          <w:rFonts w:ascii="Helvetica" w:hAnsi="Helvetica" w:cs="Helvetica"/>
          <w:iCs/>
          <w:lang w:eastAsia="en-GB"/>
        </w:rPr>
        <w:t xml:space="preserve"> </w:t>
      </w:r>
      <w:r w:rsidRPr="009F57D8">
        <w:rPr>
          <w:bCs/>
          <w:iCs/>
        </w:rPr>
        <w:t>aged 25-49 years.</w:t>
      </w:r>
    </w:p>
    <w:p w14:paraId="46941EB8" w14:textId="77777777" w:rsidR="00B84A8C" w:rsidRPr="009F57D8" w:rsidRDefault="00B84A8C" w:rsidP="00B84A8C">
      <w:pPr>
        <w:pStyle w:val="3-BodyText"/>
        <w:keepNext/>
        <w:numPr>
          <w:ilvl w:val="0"/>
          <w:numId w:val="0"/>
        </w:numPr>
        <w:rPr>
          <w:b/>
          <w:bCs/>
        </w:rPr>
      </w:pPr>
      <w:r w:rsidRPr="009F57D8">
        <w:rPr>
          <w:b/>
          <w:bCs/>
        </w:rPr>
        <w:t>Supplementary trials</w:t>
      </w:r>
    </w:p>
    <w:p w14:paraId="3B6B523C" w14:textId="131CDDCF" w:rsidR="00B84A8C" w:rsidRPr="009F57D8" w:rsidRDefault="00B84A8C" w:rsidP="00B84A8C">
      <w:pPr>
        <w:pStyle w:val="3-BodyText"/>
        <w:numPr>
          <w:ilvl w:val="1"/>
          <w:numId w:val="1"/>
        </w:numPr>
        <w:rPr>
          <w:u w:val="single"/>
        </w:rPr>
      </w:pPr>
      <w:r w:rsidRPr="009F57D8">
        <w:t xml:space="preserve">The evidence from studies P005 and P006 was used to support concomitant administration of </w:t>
      </w:r>
      <w:r w:rsidR="00B229D8" w:rsidRPr="009F57D8">
        <w:t>21vPCV</w:t>
      </w:r>
      <w:r w:rsidRPr="009F57D8">
        <w:t xml:space="preserve"> with other vaccines and the use of </w:t>
      </w:r>
      <w:r w:rsidR="00054F60" w:rsidRPr="009F57D8">
        <w:t xml:space="preserve">21vPCV </w:t>
      </w:r>
      <w:r w:rsidRPr="009F57D8">
        <w:t xml:space="preserve">in the catch-up population respectively. While P006 evaluated the efficacy of </w:t>
      </w:r>
      <w:r w:rsidR="00054F60" w:rsidRPr="009F57D8">
        <w:t xml:space="preserve">21vPCV </w:t>
      </w:r>
      <w:r w:rsidRPr="009F57D8">
        <w:t xml:space="preserve">postvaccination (OPA GMT ratio) with PCV, P005 evaluated the safety and tolerability of </w:t>
      </w:r>
      <w:r w:rsidR="00054F60" w:rsidRPr="009F57D8">
        <w:t xml:space="preserve">21vPCV </w:t>
      </w:r>
      <w:r w:rsidRPr="009F57D8">
        <w:t xml:space="preserve">when administered concomitantly or sequentially with flu vaccine. </w:t>
      </w:r>
    </w:p>
    <w:p w14:paraId="1F3E9606" w14:textId="77777777" w:rsidR="00B84A8C" w:rsidRPr="009F57D8" w:rsidRDefault="00B84A8C" w:rsidP="00B84A8C">
      <w:pPr>
        <w:pStyle w:val="3-BodyText"/>
        <w:numPr>
          <w:ilvl w:val="0"/>
          <w:numId w:val="0"/>
        </w:numPr>
        <w:ind w:left="720" w:hanging="720"/>
        <w:rPr>
          <w:b/>
          <w:bCs/>
        </w:rPr>
      </w:pPr>
      <w:bookmarkStart w:id="51" w:name="_Toc22897641"/>
      <w:r w:rsidRPr="009F57D8">
        <w:rPr>
          <w:b/>
          <w:bCs/>
        </w:rPr>
        <w:t>Applicability of the evidence</w:t>
      </w:r>
    </w:p>
    <w:p w14:paraId="3F0E2FEF" w14:textId="77777777" w:rsidR="00B84A8C" w:rsidRPr="009F57D8" w:rsidRDefault="00B84A8C" w:rsidP="00B84A8C">
      <w:pPr>
        <w:pStyle w:val="3-BodyText"/>
        <w:numPr>
          <w:ilvl w:val="1"/>
          <w:numId w:val="1"/>
        </w:numPr>
      </w:pPr>
      <w:r w:rsidRPr="009F57D8">
        <w:t xml:space="preserve">Although the clinical trials included participants that covered the relevant age groups for the proposed NIP listing, the following differences between the populations in the included studies and those in the proposed listing were noted: </w:t>
      </w:r>
    </w:p>
    <w:p w14:paraId="1E51AFCE" w14:textId="5EFF8D53" w:rsidR="00B84A8C" w:rsidRPr="009F57D8" w:rsidRDefault="00B84A8C" w:rsidP="00572866">
      <w:pPr>
        <w:pStyle w:val="ListBullet"/>
        <w:numPr>
          <w:ilvl w:val="0"/>
          <w:numId w:val="20"/>
        </w:numPr>
        <w:ind w:left="1134"/>
        <w:rPr>
          <w:bCs/>
        </w:rPr>
      </w:pPr>
      <w:r w:rsidRPr="009F57D8">
        <w:rPr>
          <w:bCs/>
        </w:rPr>
        <w:t>Evidence for non-Indigenous adults</w:t>
      </w:r>
      <w:r w:rsidRPr="009F57D8">
        <w:rPr>
          <w:rFonts w:ascii="Helvetica" w:hAnsi="Helvetica" w:cs="Helvetica"/>
          <w:lang w:eastAsia="en-GB"/>
        </w:rPr>
        <w:t xml:space="preserve"> </w:t>
      </w:r>
      <w:r w:rsidRPr="009F57D8">
        <w:rPr>
          <w:bCs/>
        </w:rPr>
        <w:t>≥ 70 years relied on a subgroup analysis (N</w:t>
      </w:r>
      <w:r w:rsidR="000914A2" w:rsidRPr="009F57D8">
        <w:rPr>
          <w:bCs/>
        </w:rPr>
        <w:t> </w:t>
      </w:r>
      <w:r w:rsidRPr="009F57D8">
        <w:rPr>
          <w:bCs/>
        </w:rPr>
        <w:t>=</w:t>
      </w:r>
      <w:r w:rsidR="000914A2" w:rsidRPr="009F57D8">
        <w:rPr>
          <w:bCs/>
        </w:rPr>
        <w:t> </w:t>
      </w:r>
      <w:r w:rsidRPr="009F57D8">
        <w:rPr>
          <w:bCs/>
        </w:rPr>
        <w:t>568, 24%) from P003 Cohort 1 of adults ≥ 50 years (N = 2,362).</w:t>
      </w:r>
      <w:r w:rsidRPr="009F57D8">
        <w:rPr>
          <w:rFonts w:ascii="Helvetica" w:hAnsi="Helvetica" w:cs="Helvetica"/>
          <w:lang w:eastAsia="en-GB"/>
        </w:rPr>
        <w:t xml:space="preserve"> </w:t>
      </w:r>
      <w:r w:rsidRPr="009F57D8">
        <w:rPr>
          <w:bCs/>
        </w:rPr>
        <w:t>The subgroup analysis was not powered to determine noninferiority outcomes.</w:t>
      </w:r>
    </w:p>
    <w:p w14:paraId="3ED22C5B" w14:textId="77777777" w:rsidR="00B84A8C" w:rsidRPr="009F57D8" w:rsidRDefault="00B84A8C" w:rsidP="00572866">
      <w:pPr>
        <w:pStyle w:val="ListBullet"/>
        <w:numPr>
          <w:ilvl w:val="0"/>
          <w:numId w:val="20"/>
        </w:numPr>
        <w:ind w:left="1134"/>
        <w:rPr>
          <w:bCs/>
        </w:rPr>
      </w:pPr>
      <w:r w:rsidRPr="009F57D8">
        <w:rPr>
          <w:bCs/>
        </w:rPr>
        <w:t xml:space="preserve">There was a lack of racial diversity across all the populations included in the trials. </w:t>
      </w:r>
      <w:r w:rsidRPr="009F57D8">
        <w:t xml:space="preserve">The trials included a small proportion of participants in Australia (&lt; 5%) and there were no Indigenous Australian participants in the trials. </w:t>
      </w:r>
    </w:p>
    <w:p w14:paraId="1FFC7394" w14:textId="09241516" w:rsidR="00B84A8C" w:rsidRPr="009F57D8" w:rsidRDefault="00B84A8C" w:rsidP="00572866">
      <w:pPr>
        <w:pStyle w:val="ListBullet"/>
        <w:numPr>
          <w:ilvl w:val="0"/>
          <w:numId w:val="20"/>
        </w:numPr>
        <w:ind w:left="1134"/>
        <w:rPr>
          <w:rFonts w:eastAsia="Calibri"/>
        </w:rPr>
      </w:pPr>
      <w:r w:rsidRPr="009F57D8">
        <w:t xml:space="preserve">Evidence for MaR adults ≥ 18 years (P007, N = 313) and </w:t>
      </w:r>
      <w:r w:rsidR="00D04DE7" w:rsidRPr="009F57D8">
        <w:t>Aboriginal and Torres Strait Islander adults</w:t>
      </w:r>
      <w:r w:rsidRPr="009F57D8">
        <w:t xml:space="preserve"> ≥ 50 years (P008 = 518) did not include data for specific medical risk conditions listed on the NIP, for example, people with functional or anatomical asplenia, immunocompromising conditions (except HIV) and those with prior history of IPD (ATAGI pre-submission Advice, May 2024).</w:t>
      </w:r>
    </w:p>
    <w:p w14:paraId="32EACA69" w14:textId="77777777" w:rsidR="00B84A8C" w:rsidRPr="009F57D8" w:rsidRDefault="00B84A8C" w:rsidP="000925DD">
      <w:pPr>
        <w:pStyle w:val="4-SubsectionHeading"/>
      </w:pPr>
      <w:bookmarkStart w:id="52" w:name="_Toc177070738"/>
      <w:bookmarkStart w:id="53" w:name="_Toc209004906"/>
      <w:r w:rsidRPr="009F57D8">
        <w:t>Comparative effectiveness</w:t>
      </w:r>
      <w:bookmarkEnd w:id="51"/>
      <w:bookmarkEnd w:id="52"/>
      <w:bookmarkEnd w:id="53"/>
    </w:p>
    <w:p w14:paraId="7463E938" w14:textId="77777777" w:rsidR="00B84A8C" w:rsidRPr="009F57D8" w:rsidRDefault="00B84A8C" w:rsidP="00B84A8C">
      <w:pPr>
        <w:pStyle w:val="3-BodyText"/>
        <w:numPr>
          <w:ilvl w:val="0"/>
          <w:numId w:val="0"/>
        </w:numPr>
        <w:ind w:left="720" w:hanging="720"/>
        <w:rPr>
          <w:b/>
          <w:bCs/>
        </w:rPr>
      </w:pPr>
      <w:r w:rsidRPr="009F57D8">
        <w:rPr>
          <w:b/>
          <w:bCs/>
        </w:rPr>
        <w:t>NIP Population-Main trials (P003, P007, P008)</w:t>
      </w:r>
    </w:p>
    <w:p w14:paraId="37F709B2" w14:textId="183B65AC" w:rsidR="00B84A8C" w:rsidRPr="009F57D8" w:rsidRDefault="00B84A8C" w:rsidP="00B84A8C">
      <w:pPr>
        <w:pStyle w:val="3-BodyText"/>
        <w:numPr>
          <w:ilvl w:val="1"/>
          <w:numId w:val="1"/>
        </w:numPr>
        <w:rPr>
          <w:rStyle w:val="normaltextrun"/>
          <w:rFonts w:cs="Calibri"/>
          <w:color w:val="000000" w:themeColor="text1"/>
          <w:shd w:val="clear" w:color="auto" w:fill="FFFFFF"/>
        </w:rPr>
      </w:pPr>
      <w:r w:rsidRPr="009F57D8">
        <w:rPr>
          <w:rStyle w:val="normaltextrun"/>
          <w:rFonts w:cs="Calibri"/>
          <w:color w:val="000000" w:themeColor="text1"/>
          <w:shd w:val="clear" w:color="auto" w:fill="FFFFFF"/>
        </w:rPr>
        <w:t xml:space="preserve">A summary of evidence presented in the submission indicating if non-inferiority and superiority criteria were met in the comparisons of </w:t>
      </w:r>
      <w:r w:rsidR="006F1401" w:rsidRPr="009F57D8">
        <w:t>21vPCV</w:t>
      </w:r>
      <w:r w:rsidRPr="009F57D8">
        <w:rPr>
          <w:rStyle w:val="normaltextrun"/>
          <w:rFonts w:cs="Calibri"/>
          <w:color w:val="000000" w:themeColor="text1"/>
          <w:shd w:val="clear" w:color="auto" w:fill="FFFFFF"/>
        </w:rPr>
        <w:t xml:space="preserve"> against 13vPCV, 15vPCV + 23vPPV and 20vPCV is presented in </w:t>
      </w:r>
      <w:r w:rsidRPr="009F57D8">
        <w:rPr>
          <w:rStyle w:val="normaltextrun"/>
          <w:rFonts w:cs="Calibri"/>
          <w:color w:val="000000" w:themeColor="text1"/>
          <w:shd w:val="clear" w:color="auto" w:fill="FFFFFF"/>
        </w:rPr>
        <w:fldChar w:fldCharType="begin"/>
      </w:r>
      <w:r w:rsidRPr="009F57D8">
        <w:rPr>
          <w:rStyle w:val="normaltextrun"/>
          <w:rFonts w:cs="Calibri"/>
          <w:color w:val="000000" w:themeColor="text1"/>
          <w:shd w:val="clear" w:color="auto" w:fill="FFFFFF"/>
        </w:rPr>
        <w:instrText xml:space="preserve"> REF _Ref174365778 \h </w:instrText>
      </w:r>
      <w:r w:rsidRPr="009F57D8">
        <w:rPr>
          <w:rStyle w:val="normaltextrun"/>
          <w:rFonts w:cs="Calibri"/>
          <w:color w:val="000000" w:themeColor="text1"/>
          <w:shd w:val="clear" w:color="auto" w:fill="FFFFFF"/>
        </w:rPr>
      </w:r>
      <w:r w:rsidRPr="009F57D8">
        <w:rPr>
          <w:rStyle w:val="normaltextrun"/>
          <w:rFonts w:cs="Calibri"/>
          <w:color w:val="000000" w:themeColor="text1"/>
          <w:shd w:val="clear" w:color="auto" w:fill="FFFFFF"/>
        </w:rPr>
        <w:fldChar w:fldCharType="separate"/>
      </w:r>
      <w:r w:rsidR="00581386" w:rsidRPr="009F57D8">
        <w:t xml:space="preserve">Table </w:t>
      </w:r>
      <w:r w:rsidR="00581386">
        <w:rPr>
          <w:bCs/>
          <w:noProof/>
        </w:rPr>
        <w:t>7</w:t>
      </w:r>
      <w:r w:rsidRPr="009F57D8">
        <w:rPr>
          <w:rStyle w:val="normaltextrun"/>
          <w:rFonts w:cs="Calibri"/>
          <w:color w:val="000000" w:themeColor="text1"/>
          <w:shd w:val="clear" w:color="auto" w:fill="FFFFFF"/>
        </w:rPr>
        <w:fldChar w:fldCharType="end"/>
      </w:r>
      <w:r w:rsidRPr="009F57D8">
        <w:rPr>
          <w:rStyle w:val="normaltextrun"/>
          <w:rFonts w:cs="Calibri"/>
          <w:color w:val="000000" w:themeColor="text1"/>
          <w:shd w:val="clear" w:color="auto" w:fill="FFFFFF"/>
        </w:rPr>
        <w:t xml:space="preserve">. The results in the table indicate whether non-inferiority or superiority was met for the vaccine comparison of interest for each </w:t>
      </w:r>
      <w:r w:rsidR="006F1401" w:rsidRPr="009F57D8">
        <w:t>21vPCV</w:t>
      </w:r>
      <w:r w:rsidRPr="009F57D8">
        <w:rPr>
          <w:rStyle w:val="normaltextrun"/>
          <w:rFonts w:cs="Calibri"/>
          <w:color w:val="000000" w:themeColor="text1"/>
          <w:shd w:val="clear" w:color="auto" w:fill="FFFFFF"/>
        </w:rPr>
        <w:t xml:space="preserve"> serotype, as well as whether the results favoured </w:t>
      </w:r>
      <w:r w:rsidR="006F1401" w:rsidRPr="009F57D8">
        <w:t>21vPCV</w:t>
      </w:r>
      <w:r w:rsidRPr="009F57D8">
        <w:rPr>
          <w:rStyle w:val="normaltextrun"/>
          <w:rFonts w:cs="Calibri"/>
          <w:color w:val="000000" w:themeColor="text1"/>
          <w:shd w:val="clear" w:color="auto" w:fill="FFFFFF"/>
        </w:rPr>
        <w:t xml:space="preserve">, its comparator or neither (favours </w:t>
      </w:r>
      <w:r w:rsidR="006F1401" w:rsidRPr="009F57D8">
        <w:t>21vPCV</w:t>
      </w:r>
      <w:r w:rsidRPr="009F57D8">
        <w:rPr>
          <w:rStyle w:val="normaltextrun"/>
          <w:rFonts w:cs="Calibri"/>
          <w:color w:val="000000" w:themeColor="text1"/>
          <w:shd w:val="clear" w:color="auto" w:fill="FFFFFF"/>
        </w:rPr>
        <w:t xml:space="preserve"> if the lower bound of the 95%CI were &gt;1, favours comparator vaccine </w:t>
      </w:r>
      <w:r w:rsidRPr="009F57D8">
        <w:rPr>
          <w:rFonts w:eastAsia="Calibri"/>
        </w:rPr>
        <w:t>if the upper bound of the 95%CI were &lt;1</w:t>
      </w:r>
      <w:r w:rsidRPr="009F57D8">
        <w:rPr>
          <w:rStyle w:val="normaltextrun"/>
          <w:rFonts w:cs="Calibri"/>
          <w:color w:val="000000" w:themeColor="text1"/>
          <w:shd w:val="clear" w:color="auto" w:fill="FFFFFF"/>
        </w:rPr>
        <w:t>).</w:t>
      </w:r>
    </w:p>
    <w:p w14:paraId="1B3BD15A" w14:textId="56D9AF14" w:rsidR="00B84A8C" w:rsidRPr="009F57D8" w:rsidRDefault="00B84A8C" w:rsidP="00B84A8C">
      <w:pPr>
        <w:pStyle w:val="TableFigureHeading"/>
        <w:rPr>
          <w:rStyle w:val="CommentReference"/>
          <w:b/>
        </w:rPr>
      </w:pPr>
      <w:bookmarkStart w:id="54" w:name="_Ref174365778"/>
      <w:r w:rsidRPr="009F57D8">
        <w:rPr>
          <w:bCs w:val="0"/>
        </w:rPr>
        <w:lastRenderedPageBreak/>
        <w:t xml:space="preserve">Table </w:t>
      </w:r>
      <w:r w:rsidRPr="009F57D8">
        <w:fldChar w:fldCharType="begin"/>
      </w:r>
      <w:r w:rsidRPr="009F57D8">
        <w:rPr>
          <w:bCs w:val="0"/>
        </w:rPr>
        <w:instrText xml:space="preserve"> SEQ Table \* ARABIC </w:instrText>
      </w:r>
      <w:r w:rsidRPr="009F57D8">
        <w:fldChar w:fldCharType="separate"/>
      </w:r>
      <w:r w:rsidR="00581386">
        <w:rPr>
          <w:bCs w:val="0"/>
          <w:noProof/>
        </w:rPr>
        <w:t>7</w:t>
      </w:r>
      <w:r w:rsidRPr="009F57D8">
        <w:fldChar w:fldCharType="end"/>
      </w:r>
      <w:bookmarkEnd w:id="54"/>
      <w:r w:rsidRPr="009F57D8">
        <w:rPr>
          <w:b w:val="0"/>
        </w:rPr>
        <w:t>:</w:t>
      </w:r>
      <w:r w:rsidRPr="009F57D8">
        <w:rPr>
          <w:rStyle w:val="CommentReference"/>
          <w:b/>
        </w:rPr>
        <w:t xml:space="preserve"> Results of immunogenicity across the trials: dichotomous data</w:t>
      </w:r>
    </w:p>
    <w:tbl>
      <w:tblPr>
        <w:tblStyle w:val="TableGrid"/>
        <w:tblW w:w="5000" w:type="pct"/>
        <w:tblLook w:val="04A0" w:firstRow="1" w:lastRow="0" w:firstColumn="1" w:lastColumn="0" w:noHBand="0" w:noVBand="1"/>
        <w:tblCaption w:val="Table 7: Results of immunogenicity across the trials: dichotomous data"/>
      </w:tblPr>
      <w:tblGrid>
        <w:gridCol w:w="987"/>
        <w:gridCol w:w="1417"/>
        <w:gridCol w:w="1134"/>
        <w:gridCol w:w="1147"/>
        <w:gridCol w:w="1526"/>
        <w:gridCol w:w="1527"/>
        <w:gridCol w:w="1279"/>
      </w:tblGrid>
      <w:tr w:rsidR="007D3B40" w:rsidRPr="00F81DB6" w14:paraId="1F007A23" w14:textId="77777777" w:rsidTr="00F81DB6">
        <w:trPr>
          <w:trHeight w:val="20"/>
        </w:trPr>
        <w:tc>
          <w:tcPr>
            <w:tcW w:w="547" w:type="pct"/>
            <w:vMerge w:val="restart"/>
          </w:tcPr>
          <w:p w14:paraId="60DB1B72" w14:textId="77777777" w:rsidR="007D3B40" w:rsidRPr="00F81DB6" w:rsidRDefault="007D3B40">
            <w:pPr>
              <w:pStyle w:val="TableText0"/>
              <w:keepNext/>
              <w:rPr>
                <w:b/>
                <w:bCs w:val="0"/>
                <w:szCs w:val="20"/>
              </w:rPr>
            </w:pPr>
            <w:r w:rsidRPr="00F81DB6">
              <w:rPr>
                <w:b/>
                <w:szCs w:val="20"/>
              </w:rPr>
              <w:t>Sources of Results</w:t>
            </w:r>
          </w:p>
        </w:tc>
        <w:tc>
          <w:tcPr>
            <w:tcW w:w="2051" w:type="pct"/>
            <w:gridSpan w:val="3"/>
          </w:tcPr>
          <w:p w14:paraId="50B8D5A1" w14:textId="77777777" w:rsidR="007D3B40" w:rsidRPr="00F81DB6" w:rsidRDefault="007D3B40">
            <w:pPr>
              <w:pStyle w:val="TableText0"/>
              <w:keepNext/>
              <w:rPr>
                <w:b/>
                <w:bCs w:val="0"/>
                <w:szCs w:val="20"/>
              </w:rPr>
            </w:pPr>
            <w:r w:rsidRPr="00F81DB6">
              <w:rPr>
                <w:b/>
                <w:szCs w:val="20"/>
              </w:rPr>
              <w:t>Non-Indigenous ≥ 70</w:t>
            </w:r>
          </w:p>
        </w:tc>
        <w:tc>
          <w:tcPr>
            <w:tcW w:w="1693" w:type="pct"/>
            <w:gridSpan w:val="2"/>
          </w:tcPr>
          <w:p w14:paraId="5DE86CEF" w14:textId="5D7CD3D6" w:rsidR="007D3B40" w:rsidRPr="00F81DB6" w:rsidRDefault="00D04DE7">
            <w:pPr>
              <w:pStyle w:val="TableText0"/>
              <w:keepNext/>
              <w:rPr>
                <w:b/>
                <w:bCs w:val="0"/>
                <w:szCs w:val="20"/>
              </w:rPr>
            </w:pPr>
            <w:r w:rsidRPr="00F81DB6">
              <w:rPr>
                <w:b/>
                <w:szCs w:val="20"/>
              </w:rPr>
              <w:t>Aboriginal and Torres Strait Islander adults</w:t>
            </w:r>
            <w:r w:rsidR="007D3B40" w:rsidRPr="00F81DB6">
              <w:rPr>
                <w:b/>
                <w:szCs w:val="20"/>
              </w:rPr>
              <w:t xml:space="preserve"> ≥50 years and MaR</w:t>
            </w:r>
          </w:p>
        </w:tc>
        <w:tc>
          <w:tcPr>
            <w:tcW w:w="709" w:type="pct"/>
          </w:tcPr>
          <w:p w14:paraId="38A7F8CC" w14:textId="24CB2583" w:rsidR="007D3B40" w:rsidRPr="00F81DB6" w:rsidRDefault="00D04DE7">
            <w:pPr>
              <w:pStyle w:val="TableText0"/>
              <w:keepNext/>
              <w:rPr>
                <w:b/>
                <w:bCs w:val="0"/>
                <w:szCs w:val="20"/>
              </w:rPr>
            </w:pPr>
            <w:r w:rsidRPr="00F81DB6">
              <w:rPr>
                <w:b/>
                <w:szCs w:val="20"/>
              </w:rPr>
              <w:t>Aboriginal and Torres Strait Islander adults</w:t>
            </w:r>
            <w:r w:rsidR="007D3B40" w:rsidRPr="00F81DB6">
              <w:rPr>
                <w:b/>
                <w:szCs w:val="20"/>
              </w:rPr>
              <w:t xml:space="preserve"> 25 to 49 years</w:t>
            </w:r>
          </w:p>
        </w:tc>
      </w:tr>
      <w:tr w:rsidR="007D3B40" w:rsidRPr="00F81DB6" w14:paraId="4429F2BB" w14:textId="77777777" w:rsidTr="00F81DB6">
        <w:trPr>
          <w:trHeight w:val="20"/>
        </w:trPr>
        <w:tc>
          <w:tcPr>
            <w:tcW w:w="547" w:type="pct"/>
            <w:vMerge/>
          </w:tcPr>
          <w:p w14:paraId="705A43E3" w14:textId="77777777" w:rsidR="007D3B40" w:rsidRPr="00F81DB6" w:rsidRDefault="007D3B40">
            <w:pPr>
              <w:pStyle w:val="TableText0"/>
              <w:keepNext/>
              <w:rPr>
                <w:szCs w:val="20"/>
              </w:rPr>
            </w:pPr>
          </w:p>
        </w:tc>
        <w:tc>
          <w:tcPr>
            <w:tcW w:w="786" w:type="pct"/>
          </w:tcPr>
          <w:p w14:paraId="51EB5DFD" w14:textId="1DC0AC57" w:rsidR="007D3B40" w:rsidRPr="00F81DB6" w:rsidRDefault="006F1401">
            <w:pPr>
              <w:pStyle w:val="TableText0"/>
              <w:keepNext/>
              <w:rPr>
                <w:b/>
                <w:bCs w:val="0"/>
                <w:szCs w:val="20"/>
              </w:rPr>
            </w:pPr>
            <w:r w:rsidRPr="00F81DB6">
              <w:rPr>
                <w:b/>
                <w:szCs w:val="20"/>
              </w:rPr>
              <w:t>21vPCV</w:t>
            </w:r>
            <w:r w:rsidR="007D3B40" w:rsidRPr="00F81DB6">
              <w:rPr>
                <w:b/>
                <w:szCs w:val="20"/>
              </w:rPr>
              <w:t xml:space="preserve"> vs 20vPCV</w:t>
            </w:r>
          </w:p>
        </w:tc>
        <w:tc>
          <w:tcPr>
            <w:tcW w:w="629" w:type="pct"/>
          </w:tcPr>
          <w:p w14:paraId="4D819CEF" w14:textId="03A034E4" w:rsidR="007D3B40" w:rsidRPr="00F81DB6" w:rsidRDefault="006F1401">
            <w:pPr>
              <w:pStyle w:val="TableText0"/>
              <w:keepNext/>
              <w:rPr>
                <w:b/>
                <w:bCs w:val="0"/>
                <w:szCs w:val="20"/>
              </w:rPr>
            </w:pPr>
            <w:r w:rsidRPr="00F81DB6">
              <w:rPr>
                <w:b/>
                <w:szCs w:val="20"/>
              </w:rPr>
              <w:t>21vPCV</w:t>
            </w:r>
            <w:r w:rsidR="007D3B40" w:rsidRPr="00F81DB6">
              <w:rPr>
                <w:b/>
                <w:szCs w:val="20"/>
              </w:rPr>
              <w:t xml:space="preserve"> vs 20vPCV</w:t>
            </w:r>
          </w:p>
        </w:tc>
        <w:tc>
          <w:tcPr>
            <w:tcW w:w="636" w:type="pct"/>
          </w:tcPr>
          <w:p w14:paraId="006E577E" w14:textId="3419B38B" w:rsidR="007D3B40" w:rsidRPr="00F81DB6" w:rsidRDefault="006F1401">
            <w:pPr>
              <w:pStyle w:val="TableText0"/>
              <w:keepNext/>
              <w:rPr>
                <w:b/>
                <w:bCs w:val="0"/>
                <w:szCs w:val="20"/>
              </w:rPr>
            </w:pPr>
            <w:r w:rsidRPr="00F81DB6">
              <w:rPr>
                <w:b/>
                <w:szCs w:val="20"/>
              </w:rPr>
              <w:t>21vPCV</w:t>
            </w:r>
            <w:r w:rsidR="007D3B40" w:rsidRPr="00F81DB6">
              <w:rPr>
                <w:b/>
                <w:szCs w:val="20"/>
              </w:rPr>
              <w:t xml:space="preserve"> vs 13vPCV</w:t>
            </w:r>
          </w:p>
        </w:tc>
        <w:tc>
          <w:tcPr>
            <w:tcW w:w="846" w:type="pct"/>
          </w:tcPr>
          <w:p w14:paraId="241F2802" w14:textId="5909B57C" w:rsidR="007D3B40" w:rsidRPr="00F81DB6" w:rsidRDefault="006F1401">
            <w:pPr>
              <w:pStyle w:val="TableText0"/>
              <w:keepNext/>
              <w:rPr>
                <w:b/>
                <w:bCs w:val="0"/>
                <w:szCs w:val="20"/>
              </w:rPr>
            </w:pPr>
            <w:r w:rsidRPr="00F81DB6">
              <w:rPr>
                <w:b/>
                <w:szCs w:val="20"/>
              </w:rPr>
              <w:t>21vPCV</w:t>
            </w:r>
            <w:r w:rsidR="007D3B40" w:rsidRPr="00F81DB6">
              <w:rPr>
                <w:b/>
                <w:szCs w:val="20"/>
              </w:rPr>
              <w:t xml:space="preserve"> vs 15vPCV+23vPPV</w:t>
            </w:r>
          </w:p>
        </w:tc>
        <w:tc>
          <w:tcPr>
            <w:tcW w:w="847" w:type="pct"/>
          </w:tcPr>
          <w:p w14:paraId="5A4EA726" w14:textId="648435A7" w:rsidR="007D3B40" w:rsidRPr="00F81DB6" w:rsidRDefault="006F1401">
            <w:pPr>
              <w:pStyle w:val="TableText0"/>
              <w:keepNext/>
              <w:rPr>
                <w:b/>
                <w:bCs w:val="0"/>
                <w:szCs w:val="20"/>
              </w:rPr>
            </w:pPr>
            <w:r w:rsidRPr="00F81DB6">
              <w:rPr>
                <w:b/>
                <w:szCs w:val="20"/>
              </w:rPr>
              <w:t>21vPCV</w:t>
            </w:r>
            <w:r w:rsidR="007D3B40" w:rsidRPr="00F81DB6">
              <w:rPr>
                <w:b/>
                <w:szCs w:val="20"/>
              </w:rPr>
              <w:t xml:space="preserve"> vs 15vPCV+23vPPV</w:t>
            </w:r>
          </w:p>
        </w:tc>
        <w:tc>
          <w:tcPr>
            <w:tcW w:w="709" w:type="pct"/>
          </w:tcPr>
          <w:p w14:paraId="166F3AA8" w14:textId="3F0B3F2E" w:rsidR="007D3B40" w:rsidRPr="00F81DB6" w:rsidRDefault="006F1401">
            <w:pPr>
              <w:pStyle w:val="TableText0"/>
              <w:keepNext/>
              <w:rPr>
                <w:b/>
                <w:bCs w:val="0"/>
                <w:szCs w:val="20"/>
              </w:rPr>
            </w:pPr>
            <w:r w:rsidRPr="00F81DB6">
              <w:rPr>
                <w:b/>
                <w:szCs w:val="20"/>
              </w:rPr>
              <w:t>21vPCV</w:t>
            </w:r>
            <w:r w:rsidR="007D3B40" w:rsidRPr="00F81DB6">
              <w:rPr>
                <w:b/>
                <w:szCs w:val="20"/>
              </w:rPr>
              <w:t xml:space="preserve"> vs 20vPCV</w:t>
            </w:r>
          </w:p>
        </w:tc>
      </w:tr>
      <w:tr w:rsidR="007D3B40" w:rsidRPr="00F81DB6" w14:paraId="0CD34A9B" w14:textId="77777777" w:rsidTr="00F81DB6">
        <w:trPr>
          <w:trHeight w:val="20"/>
        </w:trPr>
        <w:tc>
          <w:tcPr>
            <w:tcW w:w="547" w:type="pct"/>
            <w:vMerge/>
          </w:tcPr>
          <w:p w14:paraId="1851D683" w14:textId="77777777" w:rsidR="007D3B40" w:rsidRPr="00F81DB6" w:rsidRDefault="007D3B40">
            <w:pPr>
              <w:pStyle w:val="TableText0"/>
              <w:keepNext/>
              <w:rPr>
                <w:szCs w:val="20"/>
              </w:rPr>
            </w:pPr>
          </w:p>
        </w:tc>
        <w:tc>
          <w:tcPr>
            <w:tcW w:w="786" w:type="pct"/>
          </w:tcPr>
          <w:p w14:paraId="169F2C9E" w14:textId="77777777" w:rsidR="007D3B40" w:rsidRPr="00F81DB6" w:rsidRDefault="007D3B40">
            <w:pPr>
              <w:pStyle w:val="TableText0"/>
              <w:keepNext/>
              <w:rPr>
                <w:b/>
                <w:bCs w:val="0"/>
                <w:szCs w:val="20"/>
              </w:rPr>
            </w:pPr>
            <w:r w:rsidRPr="00F81DB6">
              <w:rPr>
                <w:b/>
                <w:szCs w:val="20"/>
              </w:rPr>
              <w:t>P003: Cohort 1≥50 years</w:t>
            </w:r>
          </w:p>
        </w:tc>
        <w:tc>
          <w:tcPr>
            <w:tcW w:w="629" w:type="pct"/>
          </w:tcPr>
          <w:p w14:paraId="737F78BF" w14:textId="77777777" w:rsidR="007D3B40" w:rsidRPr="00F81DB6" w:rsidRDefault="007D3B40">
            <w:pPr>
              <w:pStyle w:val="TableText0"/>
              <w:keepNext/>
              <w:rPr>
                <w:b/>
                <w:bCs w:val="0"/>
                <w:szCs w:val="20"/>
              </w:rPr>
            </w:pPr>
            <w:r w:rsidRPr="00F81DB6">
              <w:rPr>
                <w:b/>
                <w:szCs w:val="20"/>
              </w:rPr>
              <w:t>P003: Subgroup Analysis ≥70 years</w:t>
            </w:r>
          </w:p>
        </w:tc>
        <w:tc>
          <w:tcPr>
            <w:tcW w:w="636" w:type="pct"/>
          </w:tcPr>
          <w:p w14:paraId="7C481EEF" w14:textId="798B504C" w:rsidR="007D3B40" w:rsidRPr="00F81DB6" w:rsidRDefault="007D3B40">
            <w:pPr>
              <w:pStyle w:val="TableText0"/>
              <w:keepNext/>
              <w:rPr>
                <w:b/>
                <w:bCs w:val="0"/>
                <w:szCs w:val="20"/>
              </w:rPr>
            </w:pPr>
            <w:r w:rsidRPr="00F81DB6">
              <w:rPr>
                <w:b/>
                <w:szCs w:val="20"/>
              </w:rPr>
              <w:t>ITC: P</w:t>
            </w:r>
            <w:r w:rsidR="009F57D8" w:rsidRPr="00F81DB6">
              <w:rPr>
                <w:b/>
                <w:szCs w:val="20"/>
              </w:rPr>
              <w:t>003; Essink</w:t>
            </w:r>
            <w:r w:rsidRPr="00F81DB6">
              <w:rPr>
                <w:b/>
                <w:szCs w:val="20"/>
              </w:rPr>
              <w:t xml:space="preserve"> et al, 2020)</w:t>
            </w:r>
          </w:p>
        </w:tc>
        <w:tc>
          <w:tcPr>
            <w:tcW w:w="846" w:type="pct"/>
          </w:tcPr>
          <w:p w14:paraId="75D7B839" w14:textId="77777777" w:rsidR="007D3B40" w:rsidRPr="00F81DB6" w:rsidRDefault="007D3B40">
            <w:pPr>
              <w:pStyle w:val="TableText0"/>
              <w:keepNext/>
              <w:rPr>
                <w:b/>
                <w:bCs w:val="0"/>
                <w:szCs w:val="20"/>
              </w:rPr>
            </w:pPr>
            <w:r w:rsidRPr="00F81DB6">
              <w:rPr>
                <w:b/>
                <w:szCs w:val="20"/>
              </w:rPr>
              <w:t>P007:</w:t>
            </w:r>
          </w:p>
          <w:p w14:paraId="6FC35738" w14:textId="77777777" w:rsidR="007D3B40" w:rsidRPr="00F81DB6" w:rsidRDefault="007D3B40">
            <w:pPr>
              <w:pStyle w:val="TableText0"/>
              <w:keepNext/>
              <w:rPr>
                <w:b/>
                <w:bCs w:val="0"/>
                <w:szCs w:val="20"/>
              </w:rPr>
            </w:pPr>
            <w:r w:rsidRPr="00F81DB6">
              <w:rPr>
                <w:b/>
                <w:szCs w:val="20"/>
              </w:rPr>
              <w:t xml:space="preserve">HIV positive </w:t>
            </w:r>
          </w:p>
        </w:tc>
        <w:tc>
          <w:tcPr>
            <w:tcW w:w="847" w:type="pct"/>
          </w:tcPr>
          <w:p w14:paraId="33F5EA91" w14:textId="77777777" w:rsidR="007D3B40" w:rsidRPr="00F81DB6" w:rsidRDefault="007D3B40">
            <w:pPr>
              <w:pStyle w:val="TableText0"/>
              <w:keepNext/>
              <w:rPr>
                <w:b/>
                <w:bCs w:val="0"/>
                <w:szCs w:val="20"/>
              </w:rPr>
            </w:pPr>
            <w:r w:rsidRPr="00F81DB6">
              <w:rPr>
                <w:b/>
                <w:szCs w:val="20"/>
              </w:rPr>
              <w:t>P008:</w:t>
            </w:r>
          </w:p>
          <w:p w14:paraId="7C3493D0" w14:textId="77777777" w:rsidR="007D3B40" w:rsidRPr="00F81DB6" w:rsidRDefault="007D3B40">
            <w:pPr>
              <w:pStyle w:val="TableText0"/>
              <w:keepNext/>
              <w:rPr>
                <w:b/>
                <w:bCs w:val="0"/>
                <w:szCs w:val="20"/>
              </w:rPr>
            </w:pPr>
            <w:r w:rsidRPr="00F81DB6">
              <w:rPr>
                <w:b/>
                <w:szCs w:val="20"/>
              </w:rPr>
              <w:t>At risk adults aged 18 to 65 years</w:t>
            </w:r>
            <w:r w:rsidRPr="00F81DB6" w:rsidDel="00A6460A">
              <w:rPr>
                <w:b/>
                <w:szCs w:val="20"/>
              </w:rPr>
              <w:t xml:space="preserve"> </w:t>
            </w:r>
          </w:p>
        </w:tc>
        <w:tc>
          <w:tcPr>
            <w:tcW w:w="709" w:type="pct"/>
          </w:tcPr>
          <w:p w14:paraId="08179C49" w14:textId="77777777" w:rsidR="007D3B40" w:rsidRPr="00F81DB6" w:rsidRDefault="007D3B40">
            <w:pPr>
              <w:pStyle w:val="TableText0"/>
              <w:keepNext/>
              <w:rPr>
                <w:b/>
                <w:bCs w:val="0"/>
                <w:szCs w:val="20"/>
              </w:rPr>
            </w:pPr>
            <w:r w:rsidRPr="00F81DB6">
              <w:rPr>
                <w:b/>
                <w:szCs w:val="20"/>
              </w:rPr>
              <w:t>P003: Cohort 2 18 to 49 years</w:t>
            </w:r>
          </w:p>
        </w:tc>
      </w:tr>
      <w:tr w:rsidR="00B84A8C" w:rsidRPr="00F81DB6" w14:paraId="228374FC" w14:textId="77777777" w:rsidTr="00F81DB6">
        <w:trPr>
          <w:trHeight w:val="20"/>
        </w:trPr>
        <w:tc>
          <w:tcPr>
            <w:tcW w:w="4291" w:type="pct"/>
            <w:gridSpan w:val="6"/>
          </w:tcPr>
          <w:p w14:paraId="20E1C49F" w14:textId="77777777" w:rsidR="00B84A8C" w:rsidRPr="00F81DB6" w:rsidRDefault="00B84A8C">
            <w:pPr>
              <w:pStyle w:val="TableText0"/>
              <w:keepNext/>
              <w:rPr>
                <w:b/>
                <w:szCs w:val="20"/>
              </w:rPr>
            </w:pPr>
            <w:r w:rsidRPr="00F81DB6">
              <w:rPr>
                <w:b/>
                <w:szCs w:val="20"/>
              </w:rPr>
              <w:t>Common Serotypes (non-inferiority claim)</w:t>
            </w:r>
          </w:p>
        </w:tc>
        <w:tc>
          <w:tcPr>
            <w:tcW w:w="709" w:type="pct"/>
          </w:tcPr>
          <w:p w14:paraId="1040D6F7" w14:textId="77777777" w:rsidR="00B84A8C" w:rsidRPr="00F81DB6" w:rsidRDefault="00B84A8C">
            <w:pPr>
              <w:pStyle w:val="TableText0"/>
              <w:keepNext/>
              <w:rPr>
                <w:b/>
                <w:szCs w:val="20"/>
              </w:rPr>
            </w:pPr>
          </w:p>
        </w:tc>
      </w:tr>
      <w:tr w:rsidR="00B84A8C" w:rsidRPr="00F81DB6" w14:paraId="6EF2815C" w14:textId="77777777" w:rsidTr="00F81DB6">
        <w:trPr>
          <w:trHeight w:val="20"/>
        </w:trPr>
        <w:tc>
          <w:tcPr>
            <w:tcW w:w="547" w:type="pct"/>
          </w:tcPr>
          <w:p w14:paraId="282BA451" w14:textId="77777777" w:rsidR="00B84A8C" w:rsidRPr="00F81DB6" w:rsidRDefault="00B84A8C">
            <w:pPr>
              <w:pStyle w:val="TableText0"/>
              <w:keepNext/>
              <w:rPr>
                <w:szCs w:val="20"/>
              </w:rPr>
            </w:pPr>
            <w:r w:rsidRPr="00F81DB6">
              <w:rPr>
                <w:szCs w:val="20"/>
              </w:rPr>
              <w:t>3</w:t>
            </w:r>
          </w:p>
        </w:tc>
        <w:tc>
          <w:tcPr>
            <w:tcW w:w="786" w:type="pct"/>
          </w:tcPr>
          <w:p w14:paraId="2D4B76D1" w14:textId="2D8396B0"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4319FD07" w14:textId="2C38A2A6"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570CCBDC" w14:textId="13C48370"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6" w:type="pct"/>
          </w:tcPr>
          <w:p w14:paraId="20F59A5B" w14:textId="77777777" w:rsidR="00B84A8C" w:rsidRPr="00F81DB6" w:rsidRDefault="00B84A8C">
            <w:pPr>
              <w:pStyle w:val="TableText0"/>
              <w:keepNext/>
              <w:rPr>
                <w:szCs w:val="20"/>
              </w:rPr>
            </w:pPr>
            <w:r w:rsidRPr="00F81DB6">
              <w:rPr>
                <w:szCs w:val="20"/>
              </w:rPr>
              <w:t>Y</w:t>
            </w:r>
          </w:p>
        </w:tc>
        <w:tc>
          <w:tcPr>
            <w:tcW w:w="847" w:type="pct"/>
          </w:tcPr>
          <w:p w14:paraId="092F49F6" w14:textId="77777777" w:rsidR="00B84A8C" w:rsidRPr="00F81DB6" w:rsidRDefault="00B84A8C">
            <w:pPr>
              <w:pStyle w:val="TableText0"/>
              <w:keepNext/>
              <w:rPr>
                <w:szCs w:val="20"/>
              </w:rPr>
            </w:pPr>
            <w:r w:rsidRPr="00F81DB6">
              <w:rPr>
                <w:szCs w:val="20"/>
              </w:rPr>
              <w:t>Y</w:t>
            </w:r>
          </w:p>
        </w:tc>
        <w:tc>
          <w:tcPr>
            <w:tcW w:w="709" w:type="pct"/>
          </w:tcPr>
          <w:p w14:paraId="76351EFB" w14:textId="74F31DF3"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6721512B" w14:textId="77777777" w:rsidTr="00F81DB6">
        <w:trPr>
          <w:trHeight w:val="20"/>
        </w:trPr>
        <w:tc>
          <w:tcPr>
            <w:tcW w:w="547" w:type="pct"/>
          </w:tcPr>
          <w:p w14:paraId="6859A220" w14:textId="77777777" w:rsidR="00B84A8C" w:rsidRPr="00F81DB6" w:rsidRDefault="00B84A8C">
            <w:pPr>
              <w:pStyle w:val="TableText0"/>
              <w:keepNext/>
              <w:rPr>
                <w:szCs w:val="20"/>
              </w:rPr>
            </w:pPr>
            <w:r w:rsidRPr="00F81DB6">
              <w:rPr>
                <w:szCs w:val="20"/>
              </w:rPr>
              <w:t>6A</w:t>
            </w:r>
          </w:p>
        </w:tc>
        <w:tc>
          <w:tcPr>
            <w:tcW w:w="786" w:type="pct"/>
          </w:tcPr>
          <w:p w14:paraId="51ADA1A1" w14:textId="77777777" w:rsidR="00B84A8C" w:rsidRPr="00F81DB6" w:rsidRDefault="00B84A8C">
            <w:pPr>
              <w:pStyle w:val="TableText0"/>
              <w:keepNext/>
              <w:rPr>
                <w:szCs w:val="20"/>
              </w:rPr>
            </w:pPr>
            <w:r w:rsidRPr="00F81DB6">
              <w:rPr>
                <w:szCs w:val="20"/>
              </w:rPr>
              <w:t>Y (20v)</w:t>
            </w:r>
          </w:p>
        </w:tc>
        <w:tc>
          <w:tcPr>
            <w:tcW w:w="629" w:type="pct"/>
          </w:tcPr>
          <w:p w14:paraId="0D1E8EEF" w14:textId="77777777" w:rsidR="00B84A8C" w:rsidRPr="00F81DB6" w:rsidRDefault="00B84A8C">
            <w:pPr>
              <w:pStyle w:val="TableText0"/>
              <w:keepNext/>
              <w:rPr>
                <w:szCs w:val="20"/>
              </w:rPr>
            </w:pPr>
            <w:r w:rsidRPr="00F81DB6">
              <w:rPr>
                <w:szCs w:val="20"/>
              </w:rPr>
              <w:t>Y</w:t>
            </w:r>
          </w:p>
        </w:tc>
        <w:tc>
          <w:tcPr>
            <w:tcW w:w="636" w:type="pct"/>
          </w:tcPr>
          <w:p w14:paraId="685E1A73" w14:textId="77777777" w:rsidR="00B84A8C" w:rsidRPr="00F81DB6" w:rsidRDefault="00B84A8C">
            <w:pPr>
              <w:pStyle w:val="TableText0"/>
              <w:keepNext/>
              <w:rPr>
                <w:szCs w:val="20"/>
              </w:rPr>
            </w:pPr>
            <w:r w:rsidRPr="00F81DB6">
              <w:rPr>
                <w:color w:val="FF0000"/>
                <w:szCs w:val="20"/>
              </w:rPr>
              <w:t>N</w:t>
            </w:r>
          </w:p>
        </w:tc>
        <w:tc>
          <w:tcPr>
            <w:tcW w:w="846" w:type="pct"/>
          </w:tcPr>
          <w:p w14:paraId="7D298D62" w14:textId="77777777" w:rsidR="00B84A8C" w:rsidRPr="00F81DB6" w:rsidRDefault="00B84A8C">
            <w:pPr>
              <w:pStyle w:val="TableText0"/>
              <w:keepNext/>
              <w:rPr>
                <w:szCs w:val="20"/>
              </w:rPr>
            </w:pPr>
            <w:r w:rsidRPr="00F81DB6">
              <w:rPr>
                <w:szCs w:val="20"/>
              </w:rPr>
              <w:t>Y</w:t>
            </w:r>
          </w:p>
        </w:tc>
        <w:tc>
          <w:tcPr>
            <w:tcW w:w="847" w:type="pct"/>
          </w:tcPr>
          <w:p w14:paraId="3E21E01D" w14:textId="2DD0F14F"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349F8796" w14:textId="77777777" w:rsidR="00B84A8C" w:rsidRPr="00F81DB6" w:rsidRDefault="00B84A8C">
            <w:pPr>
              <w:pStyle w:val="TableText0"/>
              <w:keepNext/>
              <w:rPr>
                <w:szCs w:val="20"/>
              </w:rPr>
            </w:pPr>
            <w:r w:rsidRPr="00F81DB6">
              <w:rPr>
                <w:color w:val="FF0000"/>
                <w:szCs w:val="20"/>
              </w:rPr>
              <w:t>N</w:t>
            </w:r>
          </w:p>
        </w:tc>
      </w:tr>
      <w:tr w:rsidR="00B84A8C" w:rsidRPr="00F81DB6" w14:paraId="656EC917" w14:textId="77777777" w:rsidTr="00F81DB6">
        <w:trPr>
          <w:trHeight w:val="20"/>
        </w:trPr>
        <w:tc>
          <w:tcPr>
            <w:tcW w:w="547" w:type="pct"/>
          </w:tcPr>
          <w:p w14:paraId="0433C9FF" w14:textId="77777777" w:rsidR="00B84A8C" w:rsidRPr="00F81DB6" w:rsidRDefault="00B84A8C">
            <w:pPr>
              <w:pStyle w:val="TableText0"/>
              <w:keepNext/>
              <w:rPr>
                <w:szCs w:val="20"/>
              </w:rPr>
            </w:pPr>
            <w:r w:rsidRPr="00F81DB6">
              <w:rPr>
                <w:szCs w:val="20"/>
              </w:rPr>
              <w:t>7F</w:t>
            </w:r>
          </w:p>
        </w:tc>
        <w:tc>
          <w:tcPr>
            <w:tcW w:w="786" w:type="pct"/>
          </w:tcPr>
          <w:p w14:paraId="51D8FA47" w14:textId="77777777" w:rsidR="00B84A8C" w:rsidRPr="00F81DB6" w:rsidRDefault="00B84A8C">
            <w:pPr>
              <w:pStyle w:val="TableText0"/>
              <w:keepNext/>
              <w:rPr>
                <w:szCs w:val="20"/>
              </w:rPr>
            </w:pPr>
            <w:r w:rsidRPr="00F81DB6">
              <w:rPr>
                <w:szCs w:val="20"/>
              </w:rPr>
              <w:t>Y</w:t>
            </w:r>
          </w:p>
        </w:tc>
        <w:tc>
          <w:tcPr>
            <w:tcW w:w="629" w:type="pct"/>
          </w:tcPr>
          <w:p w14:paraId="0C0649F1" w14:textId="77777777" w:rsidR="00B84A8C" w:rsidRPr="00F81DB6" w:rsidRDefault="00B84A8C">
            <w:pPr>
              <w:pStyle w:val="TableText0"/>
              <w:keepNext/>
              <w:rPr>
                <w:szCs w:val="20"/>
              </w:rPr>
            </w:pPr>
            <w:r w:rsidRPr="00F81DB6">
              <w:rPr>
                <w:szCs w:val="20"/>
              </w:rPr>
              <w:t>Y</w:t>
            </w:r>
          </w:p>
        </w:tc>
        <w:tc>
          <w:tcPr>
            <w:tcW w:w="636" w:type="pct"/>
          </w:tcPr>
          <w:p w14:paraId="684F555A" w14:textId="77777777" w:rsidR="00B84A8C" w:rsidRPr="00F81DB6" w:rsidRDefault="00B84A8C">
            <w:pPr>
              <w:pStyle w:val="TableText0"/>
              <w:keepNext/>
              <w:rPr>
                <w:szCs w:val="20"/>
              </w:rPr>
            </w:pPr>
            <w:r w:rsidRPr="00F81DB6">
              <w:rPr>
                <w:szCs w:val="20"/>
              </w:rPr>
              <w:t>Y</w:t>
            </w:r>
          </w:p>
        </w:tc>
        <w:tc>
          <w:tcPr>
            <w:tcW w:w="846" w:type="pct"/>
          </w:tcPr>
          <w:p w14:paraId="468A3D61" w14:textId="77777777" w:rsidR="00B84A8C" w:rsidRPr="00F81DB6" w:rsidRDefault="00B84A8C">
            <w:pPr>
              <w:pStyle w:val="TableText0"/>
              <w:keepNext/>
              <w:rPr>
                <w:szCs w:val="20"/>
              </w:rPr>
            </w:pPr>
            <w:r w:rsidRPr="00F81DB6">
              <w:rPr>
                <w:szCs w:val="20"/>
              </w:rPr>
              <w:t>Y</w:t>
            </w:r>
          </w:p>
        </w:tc>
        <w:tc>
          <w:tcPr>
            <w:tcW w:w="847" w:type="pct"/>
          </w:tcPr>
          <w:p w14:paraId="40618A5B" w14:textId="43C62B4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79058FE9" w14:textId="77777777" w:rsidR="00B84A8C" w:rsidRPr="00F81DB6" w:rsidRDefault="00B84A8C">
            <w:pPr>
              <w:pStyle w:val="TableText0"/>
              <w:keepNext/>
              <w:rPr>
                <w:szCs w:val="20"/>
              </w:rPr>
            </w:pPr>
            <w:r w:rsidRPr="00F81DB6">
              <w:rPr>
                <w:szCs w:val="20"/>
              </w:rPr>
              <w:t>Y</w:t>
            </w:r>
          </w:p>
        </w:tc>
      </w:tr>
      <w:tr w:rsidR="00B84A8C" w:rsidRPr="00F81DB6" w14:paraId="64FF15BE" w14:textId="77777777" w:rsidTr="00F81DB6">
        <w:trPr>
          <w:trHeight w:val="20"/>
        </w:trPr>
        <w:tc>
          <w:tcPr>
            <w:tcW w:w="547" w:type="pct"/>
          </w:tcPr>
          <w:p w14:paraId="6625637A" w14:textId="77777777" w:rsidR="00B84A8C" w:rsidRPr="00F81DB6" w:rsidRDefault="00B84A8C">
            <w:pPr>
              <w:pStyle w:val="TableText0"/>
              <w:keepNext/>
              <w:rPr>
                <w:szCs w:val="20"/>
              </w:rPr>
            </w:pPr>
            <w:r w:rsidRPr="00F81DB6">
              <w:rPr>
                <w:szCs w:val="20"/>
              </w:rPr>
              <w:t>8</w:t>
            </w:r>
          </w:p>
        </w:tc>
        <w:tc>
          <w:tcPr>
            <w:tcW w:w="786" w:type="pct"/>
          </w:tcPr>
          <w:p w14:paraId="43661D48" w14:textId="2476485D"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3F7E2474" w14:textId="77777777" w:rsidR="00B84A8C" w:rsidRPr="00F81DB6" w:rsidRDefault="00B84A8C">
            <w:pPr>
              <w:pStyle w:val="TableText0"/>
              <w:keepNext/>
              <w:rPr>
                <w:szCs w:val="20"/>
              </w:rPr>
            </w:pPr>
            <w:r w:rsidRPr="00F81DB6">
              <w:rPr>
                <w:szCs w:val="20"/>
              </w:rPr>
              <w:t>Y</w:t>
            </w:r>
          </w:p>
        </w:tc>
        <w:tc>
          <w:tcPr>
            <w:tcW w:w="636" w:type="pct"/>
          </w:tcPr>
          <w:p w14:paraId="6549530D" w14:textId="77777777" w:rsidR="00B84A8C" w:rsidRPr="00F81DB6" w:rsidRDefault="00B84A8C">
            <w:pPr>
              <w:pStyle w:val="TableText0"/>
              <w:keepNext/>
              <w:rPr>
                <w:szCs w:val="20"/>
              </w:rPr>
            </w:pPr>
            <w:r w:rsidRPr="00F81DB6">
              <w:rPr>
                <w:szCs w:val="20"/>
              </w:rPr>
              <w:t>NA</w:t>
            </w:r>
          </w:p>
        </w:tc>
        <w:tc>
          <w:tcPr>
            <w:tcW w:w="846" w:type="pct"/>
          </w:tcPr>
          <w:p w14:paraId="4903FC8E" w14:textId="77777777" w:rsidR="00B84A8C" w:rsidRPr="00F81DB6" w:rsidRDefault="00B84A8C">
            <w:pPr>
              <w:pStyle w:val="TableText0"/>
              <w:keepNext/>
              <w:rPr>
                <w:szCs w:val="20"/>
              </w:rPr>
            </w:pPr>
            <w:r w:rsidRPr="00F81DB6">
              <w:rPr>
                <w:szCs w:val="20"/>
              </w:rPr>
              <w:t>Y</w:t>
            </w:r>
          </w:p>
        </w:tc>
        <w:tc>
          <w:tcPr>
            <w:tcW w:w="847" w:type="pct"/>
          </w:tcPr>
          <w:p w14:paraId="38FC9D77" w14:textId="77777777" w:rsidR="00B84A8C" w:rsidRPr="00F81DB6" w:rsidRDefault="00B84A8C">
            <w:pPr>
              <w:pStyle w:val="TableText0"/>
              <w:keepNext/>
              <w:rPr>
                <w:szCs w:val="20"/>
              </w:rPr>
            </w:pPr>
            <w:r w:rsidRPr="00F81DB6">
              <w:rPr>
                <w:szCs w:val="20"/>
              </w:rPr>
              <w:t>Y</w:t>
            </w:r>
          </w:p>
        </w:tc>
        <w:tc>
          <w:tcPr>
            <w:tcW w:w="709" w:type="pct"/>
          </w:tcPr>
          <w:p w14:paraId="4E31BBD1" w14:textId="68C2D2E7"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5AE3D53C" w14:textId="77777777" w:rsidTr="00F81DB6">
        <w:trPr>
          <w:trHeight w:val="20"/>
        </w:trPr>
        <w:tc>
          <w:tcPr>
            <w:tcW w:w="547" w:type="pct"/>
          </w:tcPr>
          <w:p w14:paraId="28F20B8B" w14:textId="77777777" w:rsidR="00B84A8C" w:rsidRPr="00F81DB6" w:rsidRDefault="00B84A8C">
            <w:pPr>
              <w:pStyle w:val="TableText0"/>
              <w:keepNext/>
              <w:rPr>
                <w:szCs w:val="20"/>
              </w:rPr>
            </w:pPr>
            <w:r w:rsidRPr="00F81DB6">
              <w:rPr>
                <w:szCs w:val="20"/>
              </w:rPr>
              <w:t>9N</w:t>
            </w:r>
          </w:p>
        </w:tc>
        <w:tc>
          <w:tcPr>
            <w:tcW w:w="786" w:type="pct"/>
          </w:tcPr>
          <w:p w14:paraId="68B18E16" w14:textId="77777777" w:rsidR="00B84A8C" w:rsidRPr="00F81DB6" w:rsidRDefault="00B84A8C">
            <w:pPr>
              <w:pStyle w:val="TableText0"/>
              <w:keepNext/>
              <w:rPr>
                <w:szCs w:val="20"/>
              </w:rPr>
            </w:pPr>
            <w:r w:rsidRPr="00F81DB6">
              <w:rPr>
                <w:szCs w:val="20"/>
              </w:rPr>
              <w:t>NA</w:t>
            </w:r>
          </w:p>
        </w:tc>
        <w:tc>
          <w:tcPr>
            <w:tcW w:w="629" w:type="pct"/>
          </w:tcPr>
          <w:p w14:paraId="7EA4E3D7" w14:textId="77777777" w:rsidR="00B84A8C" w:rsidRPr="00F81DB6" w:rsidRDefault="00B84A8C">
            <w:pPr>
              <w:pStyle w:val="TableText0"/>
              <w:keepNext/>
              <w:rPr>
                <w:szCs w:val="20"/>
              </w:rPr>
            </w:pPr>
            <w:r w:rsidRPr="00F81DB6">
              <w:rPr>
                <w:szCs w:val="20"/>
              </w:rPr>
              <w:t>NA</w:t>
            </w:r>
          </w:p>
        </w:tc>
        <w:tc>
          <w:tcPr>
            <w:tcW w:w="636" w:type="pct"/>
          </w:tcPr>
          <w:p w14:paraId="16C5A6FE" w14:textId="77777777" w:rsidR="00B84A8C" w:rsidRPr="00F81DB6" w:rsidRDefault="00B84A8C">
            <w:pPr>
              <w:pStyle w:val="TableText0"/>
              <w:keepNext/>
              <w:rPr>
                <w:szCs w:val="20"/>
              </w:rPr>
            </w:pPr>
            <w:r w:rsidRPr="00F81DB6">
              <w:rPr>
                <w:szCs w:val="20"/>
              </w:rPr>
              <w:t>NA</w:t>
            </w:r>
          </w:p>
        </w:tc>
        <w:tc>
          <w:tcPr>
            <w:tcW w:w="846" w:type="pct"/>
          </w:tcPr>
          <w:p w14:paraId="37A429BA" w14:textId="77777777" w:rsidR="00B84A8C" w:rsidRPr="00F81DB6" w:rsidRDefault="00B84A8C">
            <w:pPr>
              <w:pStyle w:val="TableText0"/>
              <w:keepNext/>
              <w:rPr>
                <w:szCs w:val="20"/>
              </w:rPr>
            </w:pPr>
            <w:r w:rsidRPr="00F81DB6">
              <w:rPr>
                <w:szCs w:val="20"/>
              </w:rPr>
              <w:t>Y</w:t>
            </w:r>
          </w:p>
        </w:tc>
        <w:tc>
          <w:tcPr>
            <w:tcW w:w="847" w:type="pct"/>
          </w:tcPr>
          <w:p w14:paraId="2FE19B0A" w14:textId="1521CDD3"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7D0599A2" w14:textId="77777777" w:rsidR="00B84A8C" w:rsidRPr="00F81DB6" w:rsidRDefault="00B84A8C">
            <w:pPr>
              <w:pStyle w:val="TableText0"/>
              <w:keepNext/>
              <w:rPr>
                <w:szCs w:val="20"/>
              </w:rPr>
            </w:pPr>
            <w:r w:rsidRPr="00F81DB6">
              <w:rPr>
                <w:szCs w:val="20"/>
              </w:rPr>
              <w:t>NA</w:t>
            </w:r>
          </w:p>
        </w:tc>
      </w:tr>
      <w:tr w:rsidR="00B84A8C" w:rsidRPr="00F81DB6" w14:paraId="6887D9E2" w14:textId="77777777" w:rsidTr="00F81DB6">
        <w:trPr>
          <w:trHeight w:val="20"/>
        </w:trPr>
        <w:tc>
          <w:tcPr>
            <w:tcW w:w="547" w:type="pct"/>
          </w:tcPr>
          <w:p w14:paraId="71784286" w14:textId="77777777" w:rsidR="00B84A8C" w:rsidRPr="00F81DB6" w:rsidRDefault="00B84A8C">
            <w:pPr>
              <w:pStyle w:val="TableText0"/>
              <w:keepNext/>
              <w:rPr>
                <w:szCs w:val="20"/>
              </w:rPr>
            </w:pPr>
            <w:r w:rsidRPr="00F81DB6">
              <w:rPr>
                <w:szCs w:val="20"/>
              </w:rPr>
              <w:t>10A</w:t>
            </w:r>
          </w:p>
        </w:tc>
        <w:tc>
          <w:tcPr>
            <w:tcW w:w="786" w:type="pct"/>
          </w:tcPr>
          <w:p w14:paraId="2D9D05D1" w14:textId="77777777" w:rsidR="00B84A8C" w:rsidRPr="00F81DB6" w:rsidRDefault="00B84A8C">
            <w:pPr>
              <w:pStyle w:val="TableText0"/>
              <w:keepNext/>
              <w:rPr>
                <w:szCs w:val="20"/>
              </w:rPr>
            </w:pPr>
            <w:r w:rsidRPr="00F81DB6">
              <w:rPr>
                <w:szCs w:val="20"/>
              </w:rPr>
              <w:t>Y (20v)</w:t>
            </w:r>
          </w:p>
        </w:tc>
        <w:tc>
          <w:tcPr>
            <w:tcW w:w="629" w:type="pct"/>
          </w:tcPr>
          <w:p w14:paraId="7BF4F591" w14:textId="77777777" w:rsidR="00B84A8C" w:rsidRPr="00F81DB6" w:rsidRDefault="00B84A8C">
            <w:pPr>
              <w:pStyle w:val="TableText0"/>
              <w:keepNext/>
              <w:rPr>
                <w:szCs w:val="20"/>
              </w:rPr>
            </w:pPr>
            <w:r w:rsidRPr="00F81DB6">
              <w:rPr>
                <w:szCs w:val="20"/>
              </w:rPr>
              <w:t>Y</w:t>
            </w:r>
          </w:p>
        </w:tc>
        <w:tc>
          <w:tcPr>
            <w:tcW w:w="636" w:type="pct"/>
          </w:tcPr>
          <w:p w14:paraId="7F7DC949" w14:textId="77777777" w:rsidR="00B84A8C" w:rsidRPr="00F81DB6" w:rsidRDefault="00B84A8C">
            <w:pPr>
              <w:pStyle w:val="TableText0"/>
              <w:keepNext/>
              <w:rPr>
                <w:szCs w:val="20"/>
              </w:rPr>
            </w:pPr>
            <w:r w:rsidRPr="00F81DB6">
              <w:rPr>
                <w:szCs w:val="20"/>
              </w:rPr>
              <w:t>NA</w:t>
            </w:r>
          </w:p>
        </w:tc>
        <w:tc>
          <w:tcPr>
            <w:tcW w:w="846" w:type="pct"/>
          </w:tcPr>
          <w:p w14:paraId="17A0016A" w14:textId="77777777" w:rsidR="00B84A8C" w:rsidRPr="00F81DB6" w:rsidRDefault="00B84A8C">
            <w:pPr>
              <w:pStyle w:val="TableText0"/>
              <w:keepNext/>
              <w:rPr>
                <w:szCs w:val="20"/>
              </w:rPr>
            </w:pPr>
            <w:r w:rsidRPr="00F81DB6">
              <w:rPr>
                <w:szCs w:val="20"/>
              </w:rPr>
              <w:t>Y</w:t>
            </w:r>
          </w:p>
        </w:tc>
        <w:tc>
          <w:tcPr>
            <w:tcW w:w="847" w:type="pct"/>
          </w:tcPr>
          <w:p w14:paraId="7062F7C7" w14:textId="4CE1CC54"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1FC876F2" w14:textId="77777777" w:rsidR="00B84A8C" w:rsidRPr="00F81DB6" w:rsidRDefault="00B84A8C">
            <w:pPr>
              <w:pStyle w:val="TableText0"/>
              <w:keepNext/>
              <w:rPr>
                <w:szCs w:val="20"/>
              </w:rPr>
            </w:pPr>
            <w:r w:rsidRPr="00F81DB6">
              <w:rPr>
                <w:szCs w:val="20"/>
              </w:rPr>
              <w:t>Y</w:t>
            </w:r>
          </w:p>
        </w:tc>
      </w:tr>
      <w:tr w:rsidR="00B84A8C" w:rsidRPr="00F81DB6" w14:paraId="490E342F" w14:textId="77777777" w:rsidTr="00F81DB6">
        <w:trPr>
          <w:trHeight w:val="20"/>
        </w:trPr>
        <w:tc>
          <w:tcPr>
            <w:tcW w:w="547" w:type="pct"/>
          </w:tcPr>
          <w:p w14:paraId="3EBEA73E" w14:textId="77777777" w:rsidR="00B84A8C" w:rsidRPr="00F81DB6" w:rsidRDefault="00B84A8C">
            <w:pPr>
              <w:pStyle w:val="TableText0"/>
              <w:keepNext/>
              <w:rPr>
                <w:szCs w:val="20"/>
              </w:rPr>
            </w:pPr>
            <w:r w:rsidRPr="00F81DB6">
              <w:rPr>
                <w:szCs w:val="20"/>
              </w:rPr>
              <w:t>11A</w:t>
            </w:r>
          </w:p>
        </w:tc>
        <w:tc>
          <w:tcPr>
            <w:tcW w:w="786" w:type="pct"/>
          </w:tcPr>
          <w:p w14:paraId="3322BDD5" w14:textId="0D688098"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56D952B8" w14:textId="7D1A0508"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6A473B7A" w14:textId="77777777" w:rsidR="00B84A8C" w:rsidRPr="00F81DB6" w:rsidRDefault="00B84A8C">
            <w:pPr>
              <w:pStyle w:val="TableText0"/>
              <w:keepNext/>
              <w:rPr>
                <w:szCs w:val="20"/>
              </w:rPr>
            </w:pPr>
            <w:r w:rsidRPr="00F81DB6">
              <w:rPr>
                <w:szCs w:val="20"/>
              </w:rPr>
              <w:t>NA</w:t>
            </w:r>
          </w:p>
        </w:tc>
        <w:tc>
          <w:tcPr>
            <w:tcW w:w="846" w:type="pct"/>
          </w:tcPr>
          <w:p w14:paraId="49C1A0F8" w14:textId="6A3FFE7D"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24492848" w14:textId="3412E18B"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259B11FF" w14:textId="53636D0F"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3C490F38" w14:textId="77777777" w:rsidTr="00F81DB6">
        <w:trPr>
          <w:trHeight w:val="20"/>
        </w:trPr>
        <w:tc>
          <w:tcPr>
            <w:tcW w:w="547" w:type="pct"/>
          </w:tcPr>
          <w:p w14:paraId="40F4D307" w14:textId="77777777" w:rsidR="00B84A8C" w:rsidRPr="00F81DB6" w:rsidRDefault="00B84A8C">
            <w:pPr>
              <w:pStyle w:val="TableText0"/>
              <w:keepNext/>
              <w:rPr>
                <w:szCs w:val="20"/>
              </w:rPr>
            </w:pPr>
            <w:r w:rsidRPr="00F81DB6">
              <w:rPr>
                <w:szCs w:val="20"/>
              </w:rPr>
              <w:t>12F</w:t>
            </w:r>
          </w:p>
        </w:tc>
        <w:tc>
          <w:tcPr>
            <w:tcW w:w="786" w:type="pct"/>
          </w:tcPr>
          <w:p w14:paraId="0B509939" w14:textId="77777777" w:rsidR="00B84A8C" w:rsidRPr="00F81DB6" w:rsidRDefault="00B84A8C">
            <w:pPr>
              <w:pStyle w:val="TableText0"/>
              <w:keepNext/>
              <w:rPr>
                <w:szCs w:val="20"/>
              </w:rPr>
            </w:pPr>
            <w:r w:rsidRPr="00F81DB6">
              <w:rPr>
                <w:szCs w:val="20"/>
              </w:rPr>
              <w:t>Y</w:t>
            </w:r>
          </w:p>
        </w:tc>
        <w:tc>
          <w:tcPr>
            <w:tcW w:w="629" w:type="pct"/>
          </w:tcPr>
          <w:p w14:paraId="2E12E5D7" w14:textId="77777777" w:rsidR="00B84A8C" w:rsidRPr="00F81DB6" w:rsidRDefault="00B84A8C">
            <w:pPr>
              <w:pStyle w:val="TableText0"/>
              <w:keepNext/>
              <w:rPr>
                <w:szCs w:val="20"/>
              </w:rPr>
            </w:pPr>
            <w:r w:rsidRPr="00F81DB6">
              <w:rPr>
                <w:szCs w:val="20"/>
              </w:rPr>
              <w:t>Y</w:t>
            </w:r>
          </w:p>
        </w:tc>
        <w:tc>
          <w:tcPr>
            <w:tcW w:w="636" w:type="pct"/>
          </w:tcPr>
          <w:p w14:paraId="2608438C" w14:textId="77777777" w:rsidR="00B84A8C" w:rsidRPr="00F81DB6" w:rsidRDefault="00B84A8C">
            <w:pPr>
              <w:pStyle w:val="TableText0"/>
              <w:keepNext/>
              <w:rPr>
                <w:szCs w:val="20"/>
              </w:rPr>
            </w:pPr>
            <w:r w:rsidRPr="00F81DB6">
              <w:rPr>
                <w:szCs w:val="20"/>
              </w:rPr>
              <w:t>NA</w:t>
            </w:r>
          </w:p>
        </w:tc>
        <w:tc>
          <w:tcPr>
            <w:tcW w:w="846" w:type="pct"/>
          </w:tcPr>
          <w:p w14:paraId="26140E8E" w14:textId="77777777" w:rsidR="00B84A8C" w:rsidRPr="00F81DB6" w:rsidRDefault="00B84A8C">
            <w:pPr>
              <w:pStyle w:val="TableText0"/>
              <w:keepNext/>
              <w:rPr>
                <w:szCs w:val="20"/>
              </w:rPr>
            </w:pPr>
            <w:r w:rsidRPr="00F81DB6">
              <w:rPr>
                <w:szCs w:val="20"/>
              </w:rPr>
              <w:t>Y</w:t>
            </w:r>
          </w:p>
        </w:tc>
        <w:tc>
          <w:tcPr>
            <w:tcW w:w="847" w:type="pct"/>
          </w:tcPr>
          <w:p w14:paraId="6A7F1601" w14:textId="285BB0F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287C1BF3" w14:textId="77777777" w:rsidR="00B84A8C" w:rsidRPr="00F81DB6" w:rsidRDefault="00B84A8C">
            <w:pPr>
              <w:pStyle w:val="TableText0"/>
              <w:keepNext/>
              <w:rPr>
                <w:szCs w:val="20"/>
              </w:rPr>
            </w:pPr>
            <w:r w:rsidRPr="00F81DB6">
              <w:rPr>
                <w:szCs w:val="20"/>
              </w:rPr>
              <w:t>Y</w:t>
            </w:r>
          </w:p>
        </w:tc>
      </w:tr>
      <w:tr w:rsidR="00B84A8C" w:rsidRPr="00F81DB6" w14:paraId="54B06CCE" w14:textId="77777777" w:rsidTr="00F81DB6">
        <w:trPr>
          <w:trHeight w:val="20"/>
        </w:trPr>
        <w:tc>
          <w:tcPr>
            <w:tcW w:w="547" w:type="pct"/>
          </w:tcPr>
          <w:p w14:paraId="59D9BE4B" w14:textId="77777777" w:rsidR="00B84A8C" w:rsidRPr="00F81DB6" w:rsidRDefault="00B84A8C">
            <w:pPr>
              <w:pStyle w:val="TableText0"/>
              <w:keepNext/>
              <w:rPr>
                <w:szCs w:val="20"/>
              </w:rPr>
            </w:pPr>
            <w:r w:rsidRPr="00F81DB6">
              <w:rPr>
                <w:szCs w:val="20"/>
              </w:rPr>
              <w:t>17F</w:t>
            </w:r>
          </w:p>
        </w:tc>
        <w:tc>
          <w:tcPr>
            <w:tcW w:w="786" w:type="pct"/>
          </w:tcPr>
          <w:p w14:paraId="1166331E" w14:textId="77777777" w:rsidR="00B84A8C" w:rsidRPr="00F81DB6" w:rsidRDefault="00B84A8C">
            <w:pPr>
              <w:pStyle w:val="TableText0"/>
              <w:keepNext/>
              <w:rPr>
                <w:szCs w:val="20"/>
              </w:rPr>
            </w:pPr>
            <w:r w:rsidRPr="00F81DB6">
              <w:rPr>
                <w:szCs w:val="20"/>
              </w:rPr>
              <w:t>NA</w:t>
            </w:r>
          </w:p>
        </w:tc>
        <w:tc>
          <w:tcPr>
            <w:tcW w:w="629" w:type="pct"/>
          </w:tcPr>
          <w:p w14:paraId="18C3C0A5" w14:textId="77777777" w:rsidR="00B84A8C" w:rsidRPr="00F81DB6" w:rsidRDefault="00B84A8C">
            <w:pPr>
              <w:pStyle w:val="TableText0"/>
              <w:keepNext/>
              <w:rPr>
                <w:szCs w:val="20"/>
              </w:rPr>
            </w:pPr>
            <w:r w:rsidRPr="00F81DB6">
              <w:rPr>
                <w:szCs w:val="20"/>
              </w:rPr>
              <w:t>NA</w:t>
            </w:r>
          </w:p>
        </w:tc>
        <w:tc>
          <w:tcPr>
            <w:tcW w:w="636" w:type="pct"/>
          </w:tcPr>
          <w:p w14:paraId="28C23D01" w14:textId="77777777" w:rsidR="00B84A8C" w:rsidRPr="00F81DB6" w:rsidRDefault="00B84A8C">
            <w:pPr>
              <w:pStyle w:val="TableText0"/>
              <w:keepNext/>
              <w:rPr>
                <w:szCs w:val="20"/>
              </w:rPr>
            </w:pPr>
            <w:r w:rsidRPr="00F81DB6">
              <w:rPr>
                <w:szCs w:val="20"/>
              </w:rPr>
              <w:t>NA</w:t>
            </w:r>
          </w:p>
        </w:tc>
        <w:tc>
          <w:tcPr>
            <w:tcW w:w="846" w:type="pct"/>
          </w:tcPr>
          <w:p w14:paraId="3EAB18A5" w14:textId="609FD4E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44DD3E25" w14:textId="6EB6B8F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76A5E0DD" w14:textId="77777777" w:rsidR="00B84A8C" w:rsidRPr="00F81DB6" w:rsidRDefault="00B84A8C">
            <w:pPr>
              <w:pStyle w:val="TableText0"/>
              <w:keepNext/>
              <w:rPr>
                <w:szCs w:val="20"/>
              </w:rPr>
            </w:pPr>
            <w:r w:rsidRPr="00F81DB6">
              <w:rPr>
                <w:szCs w:val="20"/>
              </w:rPr>
              <w:t>NA</w:t>
            </w:r>
          </w:p>
        </w:tc>
      </w:tr>
      <w:tr w:rsidR="00B84A8C" w:rsidRPr="00F81DB6" w14:paraId="7BEB07B6" w14:textId="77777777" w:rsidTr="00F81DB6">
        <w:trPr>
          <w:trHeight w:val="20"/>
        </w:trPr>
        <w:tc>
          <w:tcPr>
            <w:tcW w:w="547" w:type="pct"/>
          </w:tcPr>
          <w:p w14:paraId="0F4AF1AE" w14:textId="77777777" w:rsidR="00B84A8C" w:rsidRPr="00F81DB6" w:rsidRDefault="00B84A8C">
            <w:pPr>
              <w:pStyle w:val="TableText0"/>
              <w:keepNext/>
              <w:rPr>
                <w:szCs w:val="20"/>
              </w:rPr>
            </w:pPr>
            <w:r w:rsidRPr="00F81DB6">
              <w:rPr>
                <w:szCs w:val="20"/>
              </w:rPr>
              <w:t>19A</w:t>
            </w:r>
          </w:p>
        </w:tc>
        <w:tc>
          <w:tcPr>
            <w:tcW w:w="786" w:type="pct"/>
          </w:tcPr>
          <w:p w14:paraId="492667B1" w14:textId="77777777" w:rsidR="00B84A8C" w:rsidRPr="00F81DB6" w:rsidRDefault="00B84A8C">
            <w:pPr>
              <w:pStyle w:val="TableText0"/>
              <w:keepNext/>
              <w:rPr>
                <w:szCs w:val="20"/>
              </w:rPr>
            </w:pPr>
            <w:r w:rsidRPr="00F81DB6">
              <w:rPr>
                <w:szCs w:val="20"/>
              </w:rPr>
              <w:t>Y (20v)</w:t>
            </w:r>
          </w:p>
        </w:tc>
        <w:tc>
          <w:tcPr>
            <w:tcW w:w="629" w:type="pct"/>
          </w:tcPr>
          <w:p w14:paraId="6164D614" w14:textId="77777777" w:rsidR="00B84A8C" w:rsidRPr="00F81DB6" w:rsidRDefault="00B84A8C">
            <w:pPr>
              <w:pStyle w:val="TableText0"/>
              <w:keepNext/>
              <w:rPr>
                <w:szCs w:val="20"/>
              </w:rPr>
            </w:pPr>
            <w:r w:rsidRPr="00F81DB6">
              <w:rPr>
                <w:szCs w:val="20"/>
              </w:rPr>
              <w:t>Y</w:t>
            </w:r>
          </w:p>
        </w:tc>
        <w:tc>
          <w:tcPr>
            <w:tcW w:w="636" w:type="pct"/>
          </w:tcPr>
          <w:p w14:paraId="7475A2DE" w14:textId="77777777" w:rsidR="00B84A8C" w:rsidRPr="00F81DB6" w:rsidRDefault="00B84A8C">
            <w:pPr>
              <w:pStyle w:val="TableText0"/>
              <w:keepNext/>
              <w:rPr>
                <w:szCs w:val="20"/>
              </w:rPr>
            </w:pPr>
            <w:r w:rsidRPr="00F81DB6">
              <w:rPr>
                <w:color w:val="FF0000"/>
                <w:szCs w:val="20"/>
              </w:rPr>
              <w:t>N</w:t>
            </w:r>
          </w:p>
        </w:tc>
        <w:tc>
          <w:tcPr>
            <w:tcW w:w="846" w:type="pct"/>
          </w:tcPr>
          <w:p w14:paraId="5FF6042D" w14:textId="77777777" w:rsidR="00B84A8C" w:rsidRPr="00F81DB6" w:rsidRDefault="00B84A8C">
            <w:pPr>
              <w:pStyle w:val="TableText0"/>
              <w:keepNext/>
              <w:rPr>
                <w:szCs w:val="20"/>
              </w:rPr>
            </w:pPr>
            <w:r w:rsidRPr="00F81DB6">
              <w:rPr>
                <w:szCs w:val="20"/>
              </w:rPr>
              <w:t>Y</w:t>
            </w:r>
          </w:p>
        </w:tc>
        <w:tc>
          <w:tcPr>
            <w:tcW w:w="847" w:type="pct"/>
          </w:tcPr>
          <w:p w14:paraId="7C0B10FB" w14:textId="77777777" w:rsidR="00B84A8C" w:rsidRPr="00F81DB6" w:rsidRDefault="00B84A8C">
            <w:pPr>
              <w:pStyle w:val="TableText0"/>
              <w:keepNext/>
              <w:rPr>
                <w:szCs w:val="20"/>
              </w:rPr>
            </w:pPr>
            <w:r w:rsidRPr="00F81DB6">
              <w:rPr>
                <w:szCs w:val="20"/>
              </w:rPr>
              <w:t>Y</w:t>
            </w:r>
          </w:p>
        </w:tc>
        <w:tc>
          <w:tcPr>
            <w:tcW w:w="709" w:type="pct"/>
          </w:tcPr>
          <w:p w14:paraId="4F9756D5" w14:textId="77777777" w:rsidR="00B84A8C" w:rsidRPr="00F81DB6" w:rsidRDefault="00B84A8C">
            <w:pPr>
              <w:pStyle w:val="TableText0"/>
              <w:keepNext/>
              <w:rPr>
                <w:szCs w:val="20"/>
              </w:rPr>
            </w:pPr>
            <w:r w:rsidRPr="00F81DB6">
              <w:rPr>
                <w:szCs w:val="20"/>
              </w:rPr>
              <w:t>Y (20v)</w:t>
            </w:r>
          </w:p>
        </w:tc>
      </w:tr>
      <w:tr w:rsidR="00B84A8C" w:rsidRPr="00F81DB6" w14:paraId="33798479" w14:textId="77777777" w:rsidTr="00F81DB6">
        <w:trPr>
          <w:trHeight w:val="20"/>
        </w:trPr>
        <w:tc>
          <w:tcPr>
            <w:tcW w:w="547" w:type="pct"/>
          </w:tcPr>
          <w:p w14:paraId="0293C543" w14:textId="77777777" w:rsidR="00B84A8C" w:rsidRPr="00F81DB6" w:rsidRDefault="00B84A8C">
            <w:pPr>
              <w:pStyle w:val="TableText0"/>
              <w:keepNext/>
              <w:rPr>
                <w:szCs w:val="20"/>
              </w:rPr>
            </w:pPr>
            <w:r w:rsidRPr="00F81DB6">
              <w:rPr>
                <w:szCs w:val="20"/>
              </w:rPr>
              <w:t>20A</w:t>
            </w:r>
          </w:p>
        </w:tc>
        <w:tc>
          <w:tcPr>
            <w:tcW w:w="786" w:type="pct"/>
          </w:tcPr>
          <w:p w14:paraId="7A033D6E" w14:textId="77777777" w:rsidR="00B84A8C" w:rsidRPr="00F81DB6" w:rsidRDefault="00B84A8C">
            <w:pPr>
              <w:pStyle w:val="TableText0"/>
              <w:keepNext/>
              <w:rPr>
                <w:szCs w:val="20"/>
              </w:rPr>
            </w:pPr>
            <w:r w:rsidRPr="00F81DB6">
              <w:rPr>
                <w:szCs w:val="20"/>
              </w:rPr>
              <w:t>NA</w:t>
            </w:r>
          </w:p>
        </w:tc>
        <w:tc>
          <w:tcPr>
            <w:tcW w:w="629" w:type="pct"/>
          </w:tcPr>
          <w:p w14:paraId="6958979A" w14:textId="77777777" w:rsidR="00B84A8C" w:rsidRPr="00F81DB6" w:rsidRDefault="00B84A8C">
            <w:pPr>
              <w:pStyle w:val="TableText0"/>
              <w:keepNext/>
              <w:rPr>
                <w:szCs w:val="20"/>
              </w:rPr>
            </w:pPr>
            <w:r w:rsidRPr="00F81DB6">
              <w:rPr>
                <w:szCs w:val="20"/>
              </w:rPr>
              <w:t>NA</w:t>
            </w:r>
          </w:p>
        </w:tc>
        <w:tc>
          <w:tcPr>
            <w:tcW w:w="636" w:type="pct"/>
          </w:tcPr>
          <w:p w14:paraId="06BCDC6B" w14:textId="77777777" w:rsidR="00B84A8C" w:rsidRPr="00F81DB6" w:rsidRDefault="00B84A8C">
            <w:pPr>
              <w:pStyle w:val="TableText0"/>
              <w:keepNext/>
              <w:rPr>
                <w:szCs w:val="20"/>
              </w:rPr>
            </w:pPr>
            <w:r w:rsidRPr="00F81DB6">
              <w:rPr>
                <w:szCs w:val="20"/>
              </w:rPr>
              <w:t>NA</w:t>
            </w:r>
          </w:p>
        </w:tc>
        <w:tc>
          <w:tcPr>
            <w:tcW w:w="846" w:type="pct"/>
          </w:tcPr>
          <w:p w14:paraId="1660B6D0" w14:textId="72E1E365"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1751F70C" w14:textId="5EDD7E9E"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3E7F44A7" w14:textId="77777777" w:rsidR="00B84A8C" w:rsidRPr="00F81DB6" w:rsidRDefault="00B84A8C">
            <w:pPr>
              <w:pStyle w:val="TableText0"/>
              <w:keepNext/>
              <w:rPr>
                <w:szCs w:val="20"/>
              </w:rPr>
            </w:pPr>
            <w:r w:rsidRPr="00F81DB6">
              <w:rPr>
                <w:szCs w:val="20"/>
              </w:rPr>
              <w:t>NA</w:t>
            </w:r>
          </w:p>
        </w:tc>
      </w:tr>
      <w:tr w:rsidR="00B84A8C" w:rsidRPr="00F81DB6" w14:paraId="6458C172" w14:textId="77777777" w:rsidTr="00F81DB6">
        <w:trPr>
          <w:trHeight w:val="20"/>
        </w:trPr>
        <w:tc>
          <w:tcPr>
            <w:tcW w:w="547" w:type="pct"/>
          </w:tcPr>
          <w:p w14:paraId="57DBEC93" w14:textId="77777777" w:rsidR="00B84A8C" w:rsidRPr="00F81DB6" w:rsidRDefault="00B84A8C">
            <w:pPr>
              <w:pStyle w:val="TableText0"/>
              <w:keepNext/>
              <w:rPr>
                <w:szCs w:val="20"/>
              </w:rPr>
            </w:pPr>
            <w:r w:rsidRPr="00F81DB6">
              <w:rPr>
                <w:szCs w:val="20"/>
              </w:rPr>
              <w:t>22F</w:t>
            </w:r>
          </w:p>
        </w:tc>
        <w:tc>
          <w:tcPr>
            <w:tcW w:w="786" w:type="pct"/>
          </w:tcPr>
          <w:p w14:paraId="2B0F9C58" w14:textId="77777777" w:rsidR="00B84A8C" w:rsidRPr="00F81DB6" w:rsidRDefault="00B84A8C">
            <w:pPr>
              <w:pStyle w:val="TableText0"/>
              <w:keepNext/>
              <w:rPr>
                <w:szCs w:val="20"/>
              </w:rPr>
            </w:pPr>
            <w:r w:rsidRPr="00F81DB6">
              <w:rPr>
                <w:szCs w:val="20"/>
              </w:rPr>
              <w:t>Y (20v)</w:t>
            </w:r>
          </w:p>
        </w:tc>
        <w:tc>
          <w:tcPr>
            <w:tcW w:w="629" w:type="pct"/>
          </w:tcPr>
          <w:p w14:paraId="10EDA6C0" w14:textId="77777777" w:rsidR="00B84A8C" w:rsidRPr="00F81DB6" w:rsidRDefault="00B84A8C">
            <w:pPr>
              <w:pStyle w:val="TableText0"/>
              <w:keepNext/>
              <w:rPr>
                <w:szCs w:val="20"/>
              </w:rPr>
            </w:pPr>
            <w:r w:rsidRPr="00F81DB6">
              <w:rPr>
                <w:szCs w:val="20"/>
              </w:rPr>
              <w:t>Y</w:t>
            </w:r>
          </w:p>
        </w:tc>
        <w:tc>
          <w:tcPr>
            <w:tcW w:w="636" w:type="pct"/>
          </w:tcPr>
          <w:p w14:paraId="0822D1DF" w14:textId="77777777" w:rsidR="00B84A8C" w:rsidRPr="00F81DB6" w:rsidRDefault="00B84A8C">
            <w:pPr>
              <w:pStyle w:val="TableText0"/>
              <w:keepNext/>
              <w:rPr>
                <w:szCs w:val="20"/>
              </w:rPr>
            </w:pPr>
            <w:r w:rsidRPr="00F81DB6">
              <w:rPr>
                <w:szCs w:val="20"/>
              </w:rPr>
              <w:t>NA</w:t>
            </w:r>
          </w:p>
        </w:tc>
        <w:tc>
          <w:tcPr>
            <w:tcW w:w="846" w:type="pct"/>
          </w:tcPr>
          <w:p w14:paraId="3AD9FB61" w14:textId="77777777" w:rsidR="00B84A8C" w:rsidRPr="00F81DB6" w:rsidRDefault="00B84A8C">
            <w:pPr>
              <w:pStyle w:val="TableText0"/>
              <w:keepNext/>
              <w:rPr>
                <w:szCs w:val="20"/>
              </w:rPr>
            </w:pPr>
            <w:r w:rsidRPr="00F81DB6">
              <w:rPr>
                <w:szCs w:val="20"/>
              </w:rPr>
              <w:t>Y</w:t>
            </w:r>
          </w:p>
        </w:tc>
        <w:tc>
          <w:tcPr>
            <w:tcW w:w="847" w:type="pct"/>
          </w:tcPr>
          <w:p w14:paraId="578D87E3" w14:textId="724F6703"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6BA2EC86" w14:textId="77777777" w:rsidR="00B84A8C" w:rsidRPr="00F81DB6" w:rsidRDefault="00B84A8C">
            <w:pPr>
              <w:pStyle w:val="TableText0"/>
              <w:keepNext/>
              <w:rPr>
                <w:szCs w:val="20"/>
              </w:rPr>
            </w:pPr>
            <w:r w:rsidRPr="00F81DB6">
              <w:rPr>
                <w:szCs w:val="20"/>
              </w:rPr>
              <w:t>Y</w:t>
            </w:r>
          </w:p>
        </w:tc>
      </w:tr>
      <w:tr w:rsidR="00B84A8C" w:rsidRPr="00F81DB6" w14:paraId="27059534" w14:textId="77777777" w:rsidTr="00F81DB6">
        <w:trPr>
          <w:trHeight w:val="20"/>
        </w:trPr>
        <w:tc>
          <w:tcPr>
            <w:tcW w:w="547" w:type="pct"/>
          </w:tcPr>
          <w:p w14:paraId="3C021A7D" w14:textId="77777777" w:rsidR="00B84A8C" w:rsidRPr="00F81DB6" w:rsidRDefault="00B84A8C">
            <w:pPr>
              <w:pStyle w:val="TableText0"/>
              <w:keepNext/>
              <w:rPr>
                <w:szCs w:val="20"/>
              </w:rPr>
            </w:pPr>
            <w:r w:rsidRPr="00F81DB6">
              <w:rPr>
                <w:szCs w:val="20"/>
              </w:rPr>
              <w:t>33F</w:t>
            </w:r>
          </w:p>
        </w:tc>
        <w:tc>
          <w:tcPr>
            <w:tcW w:w="786" w:type="pct"/>
          </w:tcPr>
          <w:p w14:paraId="37BF12B7" w14:textId="6B2FC257"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383DC023" w14:textId="77777777" w:rsidR="00B84A8C" w:rsidRPr="00F81DB6" w:rsidRDefault="00B84A8C">
            <w:pPr>
              <w:pStyle w:val="TableText0"/>
              <w:keepNext/>
              <w:rPr>
                <w:szCs w:val="20"/>
              </w:rPr>
            </w:pPr>
            <w:r w:rsidRPr="00F81DB6">
              <w:rPr>
                <w:szCs w:val="20"/>
              </w:rPr>
              <w:t>Y</w:t>
            </w:r>
          </w:p>
        </w:tc>
        <w:tc>
          <w:tcPr>
            <w:tcW w:w="636" w:type="pct"/>
          </w:tcPr>
          <w:p w14:paraId="3400C765" w14:textId="77777777" w:rsidR="00B84A8C" w:rsidRPr="00F81DB6" w:rsidRDefault="00B84A8C">
            <w:pPr>
              <w:pStyle w:val="TableText0"/>
              <w:keepNext/>
              <w:rPr>
                <w:szCs w:val="20"/>
              </w:rPr>
            </w:pPr>
            <w:r w:rsidRPr="00F81DB6">
              <w:rPr>
                <w:szCs w:val="20"/>
              </w:rPr>
              <w:t>NA</w:t>
            </w:r>
          </w:p>
        </w:tc>
        <w:tc>
          <w:tcPr>
            <w:tcW w:w="846" w:type="pct"/>
          </w:tcPr>
          <w:p w14:paraId="1CEE4EE0" w14:textId="77777777" w:rsidR="00B84A8C" w:rsidRPr="00F81DB6" w:rsidRDefault="00B84A8C">
            <w:pPr>
              <w:pStyle w:val="TableText0"/>
              <w:keepNext/>
              <w:rPr>
                <w:szCs w:val="20"/>
              </w:rPr>
            </w:pPr>
            <w:r w:rsidRPr="00F81DB6">
              <w:rPr>
                <w:szCs w:val="20"/>
              </w:rPr>
              <w:t>Y</w:t>
            </w:r>
          </w:p>
        </w:tc>
        <w:tc>
          <w:tcPr>
            <w:tcW w:w="847" w:type="pct"/>
          </w:tcPr>
          <w:p w14:paraId="7D54B167" w14:textId="223F854F"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3526A7F1" w14:textId="79E9EB5B"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441C63DE" w14:textId="77777777" w:rsidTr="00F81DB6">
        <w:trPr>
          <w:trHeight w:val="20"/>
        </w:trPr>
        <w:tc>
          <w:tcPr>
            <w:tcW w:w="4291" w:type="pct"/>
            <w:gridSpan w:val="6"/>
          </w:tcPr>
          <w:p w14:paraId="1C39BEC4" w14:textId="77777777" w:rsidR="00B84A8C" w:rsidRPr="00F81DB6" w:rsidRDefault="00B84A8C">
            <w:pPr>
              <w:pStyle w:val="TableText0"/>
              <w:keepNext/>
              <w:rPr>
                <w:b/>
                <w:szCs w:val="20"/>
              </w:rPr>
            </w:pPr>
            <w:r w:rsidRPr="00F81DB6">
              <w:rPr>
                <w:b/>
                <w:szCs w:val="20"/>
              </w:rPr>
              <w:t>Additional serotypes (superiority claim)</w:t>
            </w:r>
          </w:p>
        </w:tc>
        <w:tc>
          <w:tcPr>
            <w:tcW w:w="709" w:type="pct"/>
          </w:tcPr>
          <w:p w14:paraId="6E5814A1" w14:textId="77777777" w:rsidR="00B84A8C" w:rsidRPr="00F81DB6" w:rsidRDefault="00B84A8C">
            <w:pPr>
              <w:pStyle w:val="TableText0"/>
              <w:keepNext/>
              <w:rPr>
                <w:b/>
                <w:szCs w:val="20"/>
              </w:rPr>
            </w:pPr>
          </w:p>
        </w:tc>
      </w:tr>
      <w:tr w:rsidR="00B84A8C" w:rsidRPr="00F81DB6" w14:paraId="1D66900B" w14:textId="77777777" w:rsidTr="00F81DB6">
        <w:trPr>
          <w:trHeight w:val="20"/>
        </w:trPr>
        <w:tc>
          <w:tcPr>
            <w:tcW w:w="547" w:type="pct"/>
          </w:tcPr>
          <w:p w14:paraId="10300D66" w14:textId="77777777" w:rsidR="00B84A8C" w:rsidRPr="00F81DB6" w:rsidRDefault="00B84A8C">
            <w:pPr>
              <w:pStyle w:val="TableText0"/>
              <w:keepNext/>
              <w:rPr>
                <w:szCs w:val="20"/>
              </w:rPr>
            </w:pPr>
            <w:r w:rsidRPr="00F81DB6">
              <w:rPr>
                <w:szCs w:val="20"/>
              </w:rPr>
              <w:t>9N</w:t>
            </w:r>
          </w:p>
        </w:tc>
        <w:tc>
          <w:tcPr>
            <w:tcW w:w="786" w:type="pct"/>
          </w:tcPr>
          <w:p w14:paraId="1E7EBC0D" w14:textId="1DF70316"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7F0108D3" w14:textId="283E34BE"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65BC7924" w14:textId="77777777" w:rsidR="00B84A8C" w:rsidRPr="00F81DB6" w:rsidRDefault="00B84A8C">
            <w:pPr>
              <w:pStyle w:val="TableText0"/>
              <w:keepNext/>
              <w:rPr>
                <w:szCs w:val="20"/>
              </w:rPr>
            </w:pPr>
            <w:r w:rsidRPr="00F81DB6">
              <w:rPr>
                <w:szCs w:val="20"/>
              </w:rPr>
              <w:t>NA</w:t>
            </w:r>
          </w:p>
        </w:tc>
        <w:tc>
          <w:tcPr>
            <w:tcW w:w="846" w:type="pct"/>
          </w:tcPr>
          <w:p w14:paraId="0A8048E7" w14:textId="77777777" w:rsidR="00B84A8C" w:rsidRPr="00F81DB6" w:rsidRDefault="00B84A8C">
            <w:pPr>
              <w:pStyle w:val="TableText0"/>
              <w:keepNext/>
              <w:rPr>
                <w:szCs w:val="20"/>
              </w:rPr>
            </w:pPr>
            <w:r w:rsidRPr="00F81DB6">
              <w:rPr>
                <w:szCs w:val="20"/>
              </w:rPr>
              <w:t>NA</w:t>
            </w:r>
          </w:p>
        </w:tc>
        <w:tc>
          <w:tcPr>
            <w:tcW w:w="847" w:type="pct"/>
          </w:tcPr>
          <w:p w14:paraId="76796BD4" w14:textId="77777777" w:rsidR="00B84A8C" w:rsidRPr="00F81DB6" w:rsidRDefault="00B84A8C">
            <w:pPr>
              <w:pStyle w:val="TableText0"/>
              <w:keepNext/>
              <w:rPr>
                <w:szCs w:val="20"/>
              </w:rPr>
            </w:pPr>
            <w:r w:rsidRPr="00F81DB6">
              <w:rPr>
                <w:szCs w:val="20"/>
              </w:rPr>
              <w:t>NA</w:t>
            </w:r>
          </w:p>
        </w:tc>
        <w:tc>
          <w:tcPr>
            <w:tcW w:w="709" w:type="pct"/>
          </w:tcPr>
          <w:p w14:paraId="2B2AA0C6" w14:textId="757A1704"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4BE09C1F" w14:textId="77777777" w:rsidTr="00F81DB6">
        <w:trPr>
          <w:trHeight w:val="20"/>
        </w:trPr>
        <w:tc>
          <w:tcPr>
            <w:tcW w:w="547" w:type="pct"/>
          </w:tcPr>
          <w:p w14:paraId="02B0ADBF" w14:textId="77777777" w:rsidR="00B84A8C" w:rsidRPr="00F81DB6" w:rsidRDefault="00B84A8C">
            <w:pPr>
              <w:pStyle w:val="TableText0"/>
              <w:keepNext/>
              <w:rPr>
                <w:szCs w:val="20"/>
              </w:rPr>
            </w:pPr>
            <w:r w:rsidRPr="00F81DB6">
              <w:rPr>
                <w:szCs w:val="20"/>
              </w:rPr>
              <w:t>15A</w:t>
            </w:r>
          </w:p>
        </w:tc>
        <w:tc>
          <w:tcPr>
            <w:tcW w:w="786" w:type="pct"/>
          </w:tcPr>
          <w:p w14:paraId="4F063142" w14:textId="67D1E4EB"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3B9C85A6" w14:textId="7A47FDEF"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7EC00585" w14:textId="77777777" w:rsidR="00B84A8C" w:rsidRPr="00F81DB6" w:rsidRDefault="00B84A8C">
            <w:pPr>
              <w:pStyle w:val="TableText0"/>
              <w:keepNext/>
              <w:rPr>
                <w:szCs w:val="20"/>
              </w:rPr>
            </w:pPr>
            <w:r w:rsidRPr="00F81DB6">
              <w:rPr>
                <w:szCs w:val="20"/>
              </w:rPr>
              <w:t>NA</w:t>
            </w:r>
          </w:p>
        </w:tc>
        <w:tc>
          <w:tcPr>
            <w:tcW w:w="846" w:type="pct"/>
          </w:tcPr>
          <w:p w14:paraId="27A0C5D1" w14:textId="36E5AF9D"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5DD19833" w14:textId="248EE23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4CC8BBFC" w14:textId="18884892"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573E1E41" w14:textId="77777777" w:rsidTr="00F81DB6">
        <w:trPr>
          <w:trHeight w:val="20"/>
        </w:trPr>
        <w:tc>
          <w:tcPr>
            <w:tcW w:w="547" w:type="pct"/>
          </w:tcPr>
          <w:p w14:paraId="02D2287B" w14:textId="77777777" w:rsidR="00B84A8C" w:rsidRPr="00F81DB6" w:rsidRDefault="00B84A8C">
            <w:pPr>
              <w:pStyle w:val="TableText0"/>
              <w:keepNext/>
              <w:rPr>
                <w:color w:val="FF0000"/>
                <w:szCs w:val="20"/>
              </w:rPr>
            </w:pPr>
            <w:r w:rsidRPr="00F81DB6">
              <w:rPr>
                <w:szCs w:val="20"/>
              </w:rPr>
              <w:t>15C</w:t>
            </w:r>
          </w:p>
        </w:tc>
        <w:tc>
          <w:tcPr>
            <w:tcW w:w="786" w:type="pct"/>
          </w:tcPr>
          <w:p w14:paraId="5367BAA5" w14:textId="77777777" w:rsidR="00B84A8C" w:rsidRPr="00F81DB6" w:rsidRDefault="00B84A8C">
            <w:pPr>
              <w:pStyle w:val="TableText0"/>
              <w:keepNext/>
              <w:rPr>
                <w:color w:val="FF0000"/>
                <w:szCs w:val="20"/>
              </w:rPr>
            </w:pPr>
            <w:r w:rsidRPr="00F81DB6">
              <w:rPr>
                <w:color w:val="FF0000"/>
                <w:szCs w:val="20"/>
              </w:rPr>
              <w:t>N</w:t>
            </w:r>
          </w:p>
        </w:tc>
        <w:tc>
          <w:tcPr>
            <w:tcW w:w="629" w:type="pct"/>
          </w:tcPr>
          <w:p w14:paraId="4D701C1E" w14:textId="77777777" w:rsidR="00B84A8C" w:rsidRPr="00F81DB6" w:rsidRDefault="00B84A8C">
            <w:pPr>
              <w:pStyle w:val="TableText0"/>
              <w:keepNext/>
              <w:rPr>
                <w:color w:val="FF0000"/>
                <w:szCs w:val="20"/>
              </w:rPr>
            </w:pPr>
            <w:r w:rsidRPr="00F81DB6">
              <w:rPr>
                <w:color w:val="FF0000"/>
                <w:szCs w:val="20"/>
              </w:rPr>
              <w:t>N</w:t>
            </w:r>
          </w:p>
        </w:tc>
        <w:tc>
          <w:tcPr>
            <w:tcW w:w="636" w:type="pct"/>
          </w:tcPr>
          <w:p w14:paraId="60F38303" w14:textId="77777777" w:rsidR="00B84A8C" w:rsidRPr="00F81DB6" w:rsidRDefault="00B84A8C">
            <w:pPr>
              <w:pStyle w:val="TableText0"/>
              <w:keepNext/>
              <w:rPr>
                <w:szCs w:val="20"/>
              </w:rPr>
            </w:pPr>
            <w:r w:rsidRPr="00F81DB6">
              <w:rPr>
                <w:szCs w:val="20"/>
              </w:rPr>
              <w:t>NA</w:t>
            </w:r>
          </w:p>
        </w:tc>
        <w:tc>
          <w:tcPr>
            <w:tcW w:w="846" w:type="pct"/>
          </w:tcPr>
          <w:p w14:paraId="78F5FB4E" w14:textId="77777777" w:rsidR="00B84A8C" w:rsidRPr="00F81DB6" w:rsidRDefault="00B84A8C">
            <w:pPr>
              <w:pStyle w:val="TableText0"/>
              <w:keepNext/>
              <w:rPr>
                <w:szCs w:val="20"/>
              </w:rPr>
            </w:pPr>
            <w:r w:rsidRPr="00F81DB6">
              <w:rPr>
                <w:color w:val="FF0000"/>
                <w:szCs w:val="20"/>
              </w:rPr>
              <w:t>N</w:t>
            </w:r>
          </w:p>
        </w:tc>
        <w:tc>
          <w:tcPr>
            <w:tcW w:w="847" w:type="pct"/>
          </w:tcPr>
          <w:p w14:paraId="0FB6CAC9" w14:textId="3F54C98D"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728E46C6" w14:textId="77777777" w:rsidR="00B84A8C" w:rsidRPr="00F81DB6" w:rsidRDefault="00B84A8C">
            <w:pPr>
              <w:pStyle w:val="TableText0"/>
              <w:keepNext/>
              <w:rPr>
                <w:szCs w:val="20"/>
              </w:rPr>
            </w:pPr>
            <w:r w:rsidRPr="00F81DB6">
              <w:rPr>
                <w:color w:val="FF0000"/>
                <w:szCs w:val="20"/>
              </w:rPr>
              <w:t>N</w:t>
            </w:r>
          </w:p>
        </w:tc>
      </w:tr>
      <w:tr w:rsidR="00B84A8C" w:rsidRPr="00F81DB6" w14:paraId="380C9C89" w14:textId="77777777" w:rsidTr="00F81DB6">
        <w:trPr>
          <w:trHeight w:val="20"/>
        </w:trPr>
        <w:tc>
          <w:tcPr>
            <w:tcW w:w="547" w:type="pct"/>
          </w:tcPr>
          <w:p w14:paraId="051B7510" w14:textId="77777777" w:rsidR="00B84A8C" w:rsidRPr="00F81DB6" w:rsidRDefault="00B84A8C">
            <w:pPr>
              <w:pStyle w:val="TableText0"/>
              <w:keepNext/>
              <w:rPr>
                <w:szCs w:val="20"/>
              </w:rPr>
            </w:pPr>
            <w:r w:rsidRPr="00F81DB6">
              <w:rPr>
                <w:szCs w:val="20"/>
              </w:rPr>
              <w:t>16F</w:t>
            </w:r>
          </w:p>
        </w:tc>
        <w:tc>
          <w:tcPr>
            <w:tcW w:w="786" w:type="pct"/>
          </w:tcPr>
          <w:p w14:paraId="0966AB4D" w14:textId="32C50F20"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42C65D33" w14:textId="4CE1FD7D"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4EF23828" w14:textId="77777777" w:rsidR="00B84A8C" w:rsidRPr="00F81DB6" w:rsidRDefault="00B84A8C">
            <w:pPr>
              <w:pStyle w:val="TableText0"/>
              <w:keepNext/>
              <w:rPr>
                <w:szCs w:val="20"/>
              </w:rPr>
            </w:pPr>
            <w:r w:rsidRPr="00F81DB6">
              <w:rPr>
                <w:szCs w:val="20"/>
              </w:rPr>
              <w:t>NA</w:t>
            </w:r>
          </w:p>
        </w:tc>
        <w:tc>
          <w:tcPr>
            <w:tcW w:w="846" w:type="pct"/>
          </w:tcPr>
          <w:p w14:paraId="3D612D13" w14:textId="14C68D76"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540B03DF" w14:textId="202DB4AC"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45A07746" w14:textId="1478E4EE"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0810F420" w14:textId="77777777" w:rsidTr="00F81DB6">
        <w:trPr>
          <w:trHeight w:val="20"/>
        </w:trPr>
        <w:tc>
          <w:tcPr>
            <w:tcW w:w="547" w:type="pct"/>
          </w:tcPr>
          <w:p w14:paraId="56DE0105" w14:textId="77777777" w:rsidR="00B84A8C" w:rsidRPr="00F81DB6" w:rsidRDefault="00B84A8C">
            <w:pPr>
              <w:pStyle w:val="TableText0"/>
              <w:keepNext/>
              <w:rPr>
                <w:szCs w:val="20"/>
              </w:rPr>
            </w:pPr>
            <w:r w:rsidRPr="00F81DB6">
              <w:rPr>
                <w:szCs w:val="20"/>
              </w:rPr>
              <w:t>17F</w:t>
            </w:r>
          </w:p>
        </w:tc>
        <w:tc>
          <w:tcPr>
            <w:tcW w:w="786" w:type="pct"/>
          </w:tcPr>
          <w:p w14:paraId="1DDA0113" w14:textId="7CF34C02"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4F67EABA" w14:textId="1CB7E8DB"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60A4BD95" w14:textId="77777777" w:rsidR="00B84A8C" w:rsidRPr="00F81DB6" w:rsidRDefault="00B84A8C">
            <w:pPr>
              <w:pStyle w:val="TableText0"/>
              <w:keepNext/>
              <w:rPr>
                <w:szCs w:val="20"/>
              </w:rPr>
            </w:pPr>
            <w:r w:rsidRPr="00F81DB6">
              <w:rPr>
                <w:szCs w:val="20"/>
              </w:rPr>
              <w:t>NA</w:t>
            </w:r>
          </w:p>
        </w:tc>
        <w:tc>
          <w:tcPr>
            <w:tcW w:w="846" w:type="pct"/>
          </w:tcPr>
          <w:p w14:paraId="2B09D911" w14:textId="77777777" w:rsidR="00B84A8C" w:rsidRPr="00F81DB6" w:rsidRDefault="00B84A8C">
            <w:pPr>
              <w:pStyle w:val="TableText0"/>
              <w:keepNext/>
              <w:rPr>
                <w:szCs w:val="20"/>
              </w:rPr>
            </w:pPr>
            <w:r w:rsidRPr="00F81DB6">
              <w:rPr>
                <w:szCs w:val="20"/>
              </w:rPr>
              <w:t>NA</w:t>
            </w:r>
          </w:p>
        </w:tc>
        <w:tc>
          <w:tcPr>
            <w:tcW w:w="847" w:type="pct"/>
          </w:tcPr>
          <w:p w14:paraId="33D93625" w14:textId="77777777" w:rsidR="00B84A8C" w:rsidRPr="00F81DB6" w:rsidRDefault="00B84A8C">
            <w:pPr>
              <w:pStyle w:val="TableText0"/>
              <w:keepNext/>
              <w:rPr>
                <w:szCs w:val="20"/>
              </w:rPr>
            </w:pPr>
            <w:r w:rsidRPr="00F81DB6">
              <w:rPr>
                <w:szCs w:val="20"/>
              </w:rPr>
              <w:t>NA</w:t>
            </w:r>
          </w:p>
        </w:tc>
        <w:tc>
          <w:tcPr>
            <w:tcW w:w="709" w:type="pct"/>
          </w:tcPr>
          <w:p w14:paraId="2EFF0288" w14:textId="566CE469"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4CB88972" w14:textId="77777777" w:rsidTr="00F81DB6">
        <w:trPr>
          <w:trHeight w:val="20"/>
        </w:trPr>
        <w:tc>
          <w:tcPr>
            <w:tcW w:w="547" w:type="pct"/>
          </w:tcPr>
          <w:p w14:paraId="0D722580" w14:textId="77777777" w:rsidR="00B84A8C" w:rsidRPr="00F81DB6" w:rsidRDefault="00B84A8C">
            <w:pPr>
              <w:pStyle w:val="TableText0"/>
              <w:keepNext/>
              <w:rPr>
                <w:szCs w:val="20"/>
              </w:rPr>
            </w:pPr>
            <w:r w:rsidRPr="00F81DB6">
              <w:rPr>
                <w:szCs w:val="20"/>
              </w:rPr>
              <w:t>20A</w:t>
            </w:r>
          </w:p>
        </w:tc>
        <w:tc>
          <w:tcPr>
            <w:tcW w:w="786" w:type="pct"/>
          </w:tcPr>
          <w:p w14:paraId="6F1569FA" w14:textId="2A837B98"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238F8ACB" w14:textId="11293BD5"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54CC41AC" w14:textId="77777777" w:rsidR="00B84A8C" w:rsidRPr="00F81DB6" w:rsidRDefault="00B84A8C">
            <w:pPr>
              <w:pStyle w:val="TableText0"/>
              <w:keepNext/>
              <w:rPr>
                <w:szCs w:val="20"/>
              </w:rPr>
            </w:pPr>
            <w:r w:rsidRPr="00F81DB6">
              <w:rPr>
                <w:szCs w:val="20"/>
              </w:rPr>
              <w:t>NA</w:t>
            </w:r>
          </w:p>
        </w:tc>
        <w:tc>
          <w:tcPr>
            <w:tcW w:w="846" w:type="pct"/>
          </w:tcPr>
          <w:p w14:paraId="3B00389B" w14:textId="77777777" w:rsidR="00B84A8C" w:rsidRPr="00F81DB6" w:rsidRDefault="00B84A8C">
            <w:pPr>
              <w:pStyle w:val="TableText0"/>
              <w:keepNext/>
              <w:rPr>
                <w:szCs w:val="20"/>
              </w:rPr>
            </w:pPr>
            <w:r w:rsidRPr="00F81DB6">
              <w:rPr>
                <w:szCs w:val="20"/>
              </w:rPr>
              <w:t>NA</w:t>
            </w:r>
          </w:p>
        </w:tc>
        <w:tc>
          <w:tcPr>
            <w:tcW w:w="847" w:type="pct"/>
          </w:tcPr>
          <w:p w14:paraId="128852FA" w14:textId="77777777" w:rsidR="00B84A8C" w:rsidRPr="00F81DB6" w:rsidRDefault="00B84A8C">
            <w:pPr>
              <w:pStyle w:val="TableText0"/>
              <w:keepNext/>
              <w:rPr>
                <w:szCs w:val="20"/>
              </w:rPr>
            </w:pPr>
            <w:r w:rsidRPr="00F81DB6">
              <w:rPr>
                <w:szCs w:val="20"/>
              </w:rPr>
              <w:t>NA</w:t>
            </w:r>
          </w:p>
        </w:tc>
        <w:tc>
          <w:tcPr>
            <w:tcW w:w="709" w:type="pct"/>
          </w:tcPr>
          <w:p w14:paraId="12E3EAEF" w14:textId="75E90409"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626AE65B" w14:textId="77777777" w:rsidTr="00F81DB6">
        <w:trPr>
          <w:trHeight w:val="20"/>
        </w:trPr>
        <w:tc>
          <w:tcPr>
            <w:tcW w:w="547" w:type="pct"/>
          </w:tcPr>
          <w:p w14:paraId="5E7DC436" w14:textId="77777777" w:rsidR="00B84A8C" w:rsidRPr="00F81DB6" w:rsidRDefault="00B84A8C">
            <w:pPr>
              <w:pStyle w:val="TableText0"/>
              <w:keepNext/>
              <w:rPr>
                <w:szCs w:val="20"/>
              </w:rPr>
            </w:pPr>
            <w:r w:rsidRPr="00F81DB6">
              <w:rPr>
                <w:szCs w:val="20"/>
              </w:rPr>
              <w:t>23A</w:t>
            </w:r>
          </w:p>
        </w:tc>
        <w:tc>
          <w:tcPr>
            <w:tcW w:w="786" w:type="pct"/>
          </w:tcPr>
          <w:p w14:paraId="19DD37BE" w14:textId="074CCD2D"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56B02B9F" w14:textId="2867ED39"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3F86440F" w14:textId="77777777" w:rsidR="00B84A8C" w:rsidRPr="00F81DB6" w:rsidRDefault="00B84A8C">
            <w:pPr>
              <w:pStyle w:val="TableText0"/>
              <w:keepNext/>
              <w:rPr>
                <w:szCs w:val="20"/>
              </w:rPr>
            </w:pPr>
            <w:r w:rsidRPr="00F81DB6">
              <w:rPr>
                <w:szCs w:val="20"/>
              </w:rPr>
              <w:t>NA</w:t>
            </w:r>
          </w:p>
        </w:tc>
        <w:tc>
          <w:tcPr>
            <w:tcW w:w="846" w:type="pct"/>
          </w:tcPr>
          <w:p w14:paraId="1CEDD05D" w14:textId="36046E30"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6A5F3C40" w14:textId="6303F00B"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6297537E" w14:textId="291CB036"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1031AE8E" w14:textId="77777777" w:rsidTr="00F81DB6">
        <w:trPr>
          <w:trHeight w:val="20"/>
        </w:trPr>
        <w:tc>
          <w:tcPr>
            <w:tcW w:w="547" w:type="pct"/>
          </w:tcPr>
          <w:p w14:paraId="3A142C3E" w14:textId="77777777" w:rsidR="00B84A8C" w:rsidRPr="00F81DB6" w:rsidRDefault="00B84A8C">
            <w:pPr>
              <w:pStyle w:val="TableText0"/>
              <w:keepNext/>
              <w:rPr>
                <w:szCs w:val="20"/>
              </w:rPr>
            </w:pPr>
            <w:r w:rsidRPr="00F81DB6">
              <w:rPr>
                <w:szCs w:val="20"/>
              </w:rPr>
              <w:t>23B</w:t>
            </w:r>
          </w:p>
        </w:tc>
        <w:tc>
          <w:tcPr>
            <w:tcW w:w="786" w:type="pct"/>
          </w:tcPr>
          <w:p w14:paraId="32F211AD" w14:textId="4CA0D5C4"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0B9CFACF" w14:textId="5135AB5A"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204E8C53" w14:textId="77777777" w:rsidR="00B84A8C" w:rsidRPr="00F81DB6" w:rsidRDefault="00B84A8C">
            <w:pPr>
              <w:pStyle w:val="TableText0"/>
              <w:keepNext/>
              <w:rPr>
                <w:szCs w:val="20"/>
              </w:rPr>
            </w:pPr>
            <w:r w:rsidRPr="00F81DB6">
              <w:rPr>
                <w:szCs w:val="20"/>
              </w:rPr>
              <w:t>NA</w:t>
            </w:r>
          </w:p>
        </w:tc>
        <w:tc>
          <w:tcPr>
            <w:tcW w:w="846" w:type="pct"/>
          </w:tcPr>
          <w:p w14:paraId="006A1DAE" w14:textId="12FB6BCC"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0201414E" w14:textId="52632B4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0532FD72" w14:textId="417F34A7"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69B51103" w14:textId="77777777" w:rsidTr="00F81DB6">
        <w:trPr>
          <w:trHeight w:val="20"/>
        </w:trPr>
        <w:tc>
          <w:tcPr>
            <w:tcW w:w="547" w:type="pct"/>
          </w:tcPr>
          <w:p w14:paraId="5D024843" w14:textId="77777777" w:rsidR="00B84A8C" w:rsidRPr="00F81DB6" w:rsidRDefault="00B84A8C">
            <w:pPr>
              <w:pStyle w:val="TableText0"/>
              <w:keepNext/>
              <w:rPr>
                <w:szCs w:val="20"/>
              </w:rPr>
            </w:pPr>
            <w:r w:rsidRPr="00F81DB6">
              <w:rPr>
                <w:szCs w:val="20"/>
              </w:rPr>
              <w:t>24F</w:t>
            </w:r>
          </w:p>
        </w:tc>
        <w:tc>
          <w:tcPr>
            <w:tcW w:w="786" w:type="pct"/>
          </w:tcPr>
          <w:p w14:paraId="3B9B086F" w14:textId="4813D4EB"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459F58D9" w14:textId="3BDC0494"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0D206476" w14:textId="77777777" w:rsidR="00B84A8C" w:rsidRPr="00F81DB6" w:rsidRDefault="00B84A8C">
            <w:pPr>
              <w:pStyle w:val="TableText0"/>
              <w:keepNext/>
              <w:rPr>
                <w:szCs w:val="20"/>
              </w:rPr>
            </w:pPr>
            <w:r w:rsidRPr="00F81DB6">
              <w:rPr>
                <w:szCs w:val="20"/>
              </w:rPr>
              <w:t>NA</w:t>
            </w:r>
          </w:p>
        </w:tc>
        <w:tc>
          <w:tcPr>
            <w:tcW w:w="846" w:type="pct"/>
          </w:tcPr>
          <w:p w14:paraId="2EBABE5D" w14:textId="02A86701"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4D25B1CD" w14:textId="11843E8C"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3A22F245" w14:textId="196048A5"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76F2C6CC" w14:textId="77777777" w:rsidTr="00F81DB6">
        <w:trPr>
          <w:trHeight w:val="20"/>
        </w:trPr>
        <w:tc>
          <w:tcPr>
            <w:tcW w:w="547" w:type="pct"/>
          </w:tcPr>
          <w:p w14:paraId="625A9906" w14:textId="77777777" w:rsidR="00B84A8C" w:rsidRPr="00F81DB6" w:rsidRDefault="00B84A8C">
            <w:pPr>
              <w:pStyle w:val="TableText0"/>
              <w:keepNext/>
              <w:rPr>
                <w:szCs w:val="20"/>
              </w:rPr>
            </w:pPr>
            <w:r w:rsidRPr="00F81DB6">
              <w:rPr>
                <w:szCs w:val="20"/>
              </w:rPr>
              <w:t>31</w:t>
            </w:r>
          </w:p>
        </w:tc>
        <w:tc>
          <w:tcPr>
            <w:tcW w:w="786" w:type="pct"/>
          </w:tcPr>
          <w:p w14:paraId="48AD5B76" w14:textId="1DCFACDF"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29" w:type="pct"/>
          </w:tcPr>
          <w:p w14:paraId="3D9AA75E" w14:textId="4327B310"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636" w:type="pct"/>
          </w:tcPr>
          <w:p w14:paraId="71139165" w14:textId="77777777" w:rsidR="00B84A8C" w:rsidRPr="00F81DB6" w:rsidRDefault="00B84A8C">
            <w:pPr>
              <w:pStyle w:val="TableText0"/>
              <w:keepNext/>
              <w:rPr>
                <w:szCs w:val="20"/>
              </w:rPr>
            </w:pPr>
            <w:r w:rsidRPr="00F81DB6">
              <w:rPr>
                <w:szCs w:val="20"/>
              </w:rPr>
              <w:t>NA</w:t>
            </w:r>
          </w:p>
        </w:tc>
        <w:tc>
          <w:tcPr>
            <w:tcW w:w="846" w:type="pct"/>
          </w:tcPr>
          <w:p w14:paraId="16BDBE23" w14:textId="650D54A9"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847" w:type="pct"/>
          </w:tcPr>
          <w:p w14:paraId="083414AB" w14:textId="4B75CE28"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c>
          <w:tcPr>
            <w:tcW w:w="709" w:type="pct"/>
          </w:tcPr>
          <w:p w14:paraId="51099054" w14:textId="0172AA8E" w:rsidR="00B84A8C" w:rsidRPr="00F81DB6" w:rsidRDefault="00B84A8C">
            <w:pPr>
              <w:pStyle w:val="TableText0"/>
              <w:keepNext/>
              <w:rPr>
                <w:szCs w:val="20"/>
              </w:rPr>
            </w:pPr>
            <w:r w:rsidRPr="00F81DB6">
              <w:rPr>
                <w:szCs w:val="20"/>
              </w:rPr>
              <w:t>Y (</w:t>
            </w:r>
            <w:r w:rsidR="006F1401" w:rsidRPr="00F81DB6">
              <w:rPr>
                <w:szCs w:val="20"/>
              </w:rPr>
              <w:t>21vPCV</w:t>
            </w:r>
            <w:r w:rsidRPr="00F81DB6">
              <w:rPr>
                <w:szCs w:val="20"/>
              </w:rPr>
              <w:t>)</w:t>
            </w:r>
          </w:p>
        </w:tc>
      </w:tr>
      <w:tr w:rsidR="00B84A8C" w:rsidRPr="00F81DB6" w14:paraId="22DD9824" w14:textId="77777777" w:rsidTr="00F81DB6">
        <w:trPr>
          <w:trHeight w:val="20"/>
        </w:trPr>
        <w:tc>
          <w:tcPr>
            <w:tcW w:w="547" w:type="pct"/>
          </w:tcPr>
          <w:p w14:paraId="5AC1699B" w14:textId="77777777" w:rsidR="00B84A8C" w:rsidRPr="00F81DB6" w:rsidRDefault="00B84A8C">
            <w:pPr>
              <w:pStyle w:val="TableText0"/>
              <w:rPr>
                <w:szCs w:val="20"/>
              </w:rPr>
            </w:pPr>
            <w:r w:rsidRPr="00F81DB6">
              <w:rPr>
                <w:szCs w:val="20"/>
              </w:rPr>
              <w:t>35B</w:t>
            </w:r>
          </w:p>
        </w:tc>
        <w:tc>
          <w:tcPr>
            <w:tcW w:w="786" w:type="pct"/>
          </w:tcPr>
          <w:p w14:paraId="48FD55EB" w14:textId="2705AAC8" w:rsidR="00B84A8C" w:rsidRPr="00F81DB6" w:rsidRDefault="00B84A8C">
            <w:pPr>
              <w:pStyle w:val="TableText0"/>
              <w:rPr>
                <w:szCs w:val="20"/>
              </w:rPr>
            </w:pPr>
            <w:r w:rsidRPr="00F81DB6">
              <w:rPr>
                <w:szCs w:val="20"/>
              </w:rPr>
              <w:t>Y (</w:t>
            </w:r>
            <w:r w:rsidR="006F1401" w:rsidRPr="00F81DB6">
              <w:rPr>
                <w:szCs w:val="20"/>
              </w:rPr>
              <w:t>21vPCV</w:t>
            </w:r>
            <w:r w:rsidRPr="00F81DB6">
              <w:rPr>
                <w:szCs w:val="20"/>
              </w:rPr>
              <w:t>)</w:t>
            </w:r>
          </w:p>
        </w:tc>
        <w:tc>
          <w:tcPr>
            <w:tcW w:w="629" w:type="pct"/>
          </w:tcPr>
          <w:p w14:paraId="39D606D1" w14:textId="1F75800B" w:rsidR="00B84A8C" w:rsidRPr="00F81DB6" w:rsidRDefault="00B84A8C">
            <w:pPr>
              <w:pStyle w:val="TableText0"/>
              <w:rPr>
                <w:szCs w:val="20"/>
              </w:rPr>
            </w:pPr>
            <w:r w:rsidRPr="00F81DB6">
              <w:rPr>
                <w:szCs w:val="20"/>
              </w:rPr>
              <w:t>Y (</w:t>
            </w:r>
            <w:r w:rsidR="006F1401" w:rsidRPr="00F81DB6">
              <w:rPr>
                <w:szCs w:val="20"/>
              </w:rPr>
              <w:t>21vPCV</w:t>
            </w:r>
            <w:r w:rsidRPr="00F81DB6">
              <w:rPr>
                <w:szCs w:val="20"/>
              </w:rPr>
              <w:t>)</w:t>
            </w:r>
          </w:p>
        </w:tc>
        <w:tc>
          <w:tcPr>
            <w:tcW w:w="636" w:type="pct"/>
          </w:tcPr>
          <w:p w14:paraId="62D04FB9" w14:textId="77777777" w:rsidR="00B84A8C" w:rsidRPr="00F81DB6" w:rsidRDefault="00B84A8C">
            <w:pPr>
              <w:pStyle w:val="TableText0"/>
              <w:rPr>
                <w:szCs w:val="20"/>
              </w:rPr>
            </w:pPr>
            <w:r w:rsidRPr="00F81DB6">
              <w:rPr>
                <w:szCs w:val="20"/>
              </w:rPr>
              <w:t>NA</w:t>
            </w:r>
          </w:p>
        </w:tc>
        <w:tc>
          <w:tcPr>
            <w:tcW w:w="846" w:type="pct"/>
          </w:tcPr>
          <w:p w14:paraId="6C8F5734" w14:textId="79BDEC9D" w:rsidR="00B84A8C" w:rsidRPr="00F81DB6" w:rsidRDefault="00B84A8C">
            <w:pPr>
              <w:pStyle w:val="TableText0"/>
              <w:rPr>
                <w:szCs w:val="20"/>
              </w:rPr>
            </w:pPr>
            <w:r w:rsidRPr="00F81DB6">
              <w:rPr>
                <w:szCs w:val="20"/>
              </w:rPr>
              <w:t>Y (</w:t>
            </w:r>
            <w:r w:rsidR="006F1401" w:rsidRPr="00F81DB6">
              <w:rPr>
                <w:szCs w:val="20"/>
              </w:rPr>
              <w:t>21vPCV</w:t>
            </w:r>
            <w:r w:rsidRPr="00F81DB6">
              <w:rPr>
                <w:szCs w:val="20"/>
              </w:rPr>
              <w:t>)</w:t>
            </w:r>
          </w:p>
        </w:tc>
        <w:tc>
          <w:tcPr>
            <w:tcW w:w="847" w:type="pct"/>
          </w:tcPr>
          <w:p w14:paraId="52114E6A" w14:textId="062B3797" w:rsidR="00B84A8C" w:rsidRPr="00F81DB6" w:rsidRDefault="00B84A8C">
            <w:pPr>
              <w:pStyle w:val="TableText0"/>
              <w:rPr>
                <w:szCs w:val="20"/>
              </w:rPr>
            </w:pPr>
            <w:r w:rsidRPr="00F81DB6">
              <w:rPr>
                <w:szCs w:val="20"/>
              </w:rPr>
              <w:t>Y (</w:t>
            </w:r>
            <w:r w:rsidR="006F1401" w:rsidRPr="00F81DB6">
              <w:rPr>
                <w:szCs w:val="20"/>
              </w:rPr>
              <w:t>21vPCV</w:t>
            </w:r>
            <w:r w:rsidRPr="00F81DB6">
              <w:rPr>
                <w:szCs w:val="20"/>
              </w:rPr>
              <w:t>)</w:t>
            </w:r>
          </w:p>
        </w:tc>
        <w:tc>
          <w:tcPr>
            <w:tcW w:w="709" w:type="pct"/>
          </w:tcPr>
          <w:p w14:paraId="7CFA2154" w14:textId="430050FB" w:rsidR="00B84A8C" w:rsidRPr="00F81DB6" w:rsidRDefault="00B84A8C">
            <w:pPr>
              <w:pStyle w:val="TableText0"/>
              <w:rPr>
                <w:szCs w:val="20"/>
              </w:rPr>
            </w:pPr>
            <w:r w:rsidRPr="00F81DB6">
              <w:rPr>
                <w:szCs w:val="20"/>
              </w:rPr>
              <w:t>Y (</w:t>
            </w:r>
            <w:r w:rsidR="006F1401" w:rsidRPr="00F81DB6">
              <w:rPr>
                <w:szCs w:val="20"/>
              </w:rPr>
              <w:t>21vPCV</w:t>
            </w:r>
            <w:r w:rsidRPr="00F81DB6">
              <w:rPr>
                <w:szCs w:val="20"/>
              </w:rPr>
              <w:t>)</w:t>
            </w:r>
          </w:p>
        </w:tc>
      </w:tr>
    </w:tbl>
    <w:p w14:paraId="2A226409" w14:textId="77777777" w:rsidR="00B84A8C" w:rsidRPr="009F57D8" w:rsidRDefault="00B84A8C" w:rsidP="00B84A8C">
      <w:pPr>
        <w:pStyle w:val="FooterTableFigure"/>
      </w:pPr>
      <w:r w:rsidRPr="009F57D8">
        <w:t xml:space="preserve">Source: Table 2.8-1 p142 of the submission </w:t>
      </w:r>
    </w:p>
    <w:p w14:paraId="046487A3" w14:textId="7E2F7EB4" w:rsidR="00B84A8C" w:rsidRPr="009F57D8" w:rsidRDefault="00B84A8C" w:rsidP="00B84A8C">
      <w:pPr>
        <w:pStyle w:val="FooterTableFigure"/>
        <w:rPr>
          <w:rFonts w:eastAsia="Calibri"/>
        </w:rPr>
      </w:pPr>
      <w:r w:rsidRPr="009F57D8">
        <w:t xml:space="preserve">15vPCV = 15-valent pneumococcal conjugate vaccine; 20vPCV = 20-valent pneumococcal conjugate vaccine 23vPPV = 23-valent pneumococcal polysaccharide vaccine; </w:t>
      </w:r>
      <w:r w:rsidRPr="009F57D8">
        <w:rPr>
          <w:rFonts w:eastAsia="Calibri"/>
        </w:rPr>
        <w:t xml:space="preserve">CI = confidence interval; n = number of participants with event; N = total participants in group; NA = not applicable; </w:t>
      </w:r>
      <w:r w:rsidR="006F1401" w:rsidRPr="009F57D8">
        <w:t>21vPCV</w:t>
      </w:r>
      <w:r w:rsidRPr="009F57D8">
        <w:t xml:space="preserve"> = 21-valent pneumococcal conjugate vaccine.</w:t>
      </w:r>
    </w:p>
    <w:p w14:paraId="1FB42DF1" w14:textId="77777777" w:rsidR="00B84A8C" w:rsidRPr="009F57D8" w:rsidRDefault="00B84A8C" w:rsidP="00B84A8C">
      <w:pPr>
        <w:pStyle w:val="FooterTableFigure"/>
        <w:rPr>
          <w:rFonts w:eastAsia="Calibri"/>
        </w:rPr>
      </w:pPr>
      <w:r w:rsidRPr="009F57D8">
        <w:rPr>
          <w:rFonts w:eastAsia="Calibri"/>
        </w:rPr>
        <w:t>(20v) favours 20vPCV as the upper bound of the 95%CI were &lt;1</w:t>
      </w:r>
    </w:p>
    <w:p w14:paraId="5E533317" w14:textId="7A801179" w:rsidR="00B84A8C" w:rsidRPr="009F57D8" w:rsidRDefault="00B84A8C" w:rsidP="00B84A8C">
      <w:pPr>
        <w:pStyle w:val="FooterTableFigure"/>
        <w:rPr>
          <w:rFonts w:eastAsia="Calibri"/>
        </w:rPr>
      </w:pPr>
      <w:r w:rsidRPr="009F57D8">
        <w:rPr>
          <w:rFonts w:eastAsia="Calibri"/>
        </w:rPr>
        <w:t>(</w:t>
      </w:r>
      <w:r w:rsidR="006F1401" w:rsidRPr="009F57D8">
        <w:rPr>
          <w:rFonts w:eastAsia="Calibri"/>
        </w:rPr>
        <w:t>21vPCV</w:t>
      </w:r>
      <w:r w:rsidRPr="009F57D8">
        <w:rPr>
          <w:rFonts w:eastAsia="Calibri"/>
        </w:rPr>
        <w:t xml:space="preserve">) favours </w:t>
      </w:r>
      <w:r w:rsidR="006F1401" w:rsidRPr="009F57D8">
        <w:rPr>
          <w:rFonts w:eastAsia="Calibri"/>
        </w:rPr>
        <w:t>21vPCV</w:t>
      </w:r>
      <w:r w:rsidRPr="009F57D8">
        <w:rPr>
          <w:rFonts w:eastAsia="Calibri"/>
        </w:rPr>
        <w:t xml:space="preserve"> as the lower bound of the 95%CI were &gt;1 </w:t>
      </w:r>
    </w:p>
    <w:p w14:paraId="38DBF091" w14:textId="77777777" w:rsidR="00B84A8C" w:rsidRPr="009F57D8" w:rsidRDefault="00B84A8C" w:rsidP="00B84A8C">
      <w:pPr>
        <w:pStyle w:val="FooterTableFigure"/>
        <w:rPr>
          <w:rFonts w:eastAsia="Calibri"/>
        </w:rPr>
      </w:pPr>
      <w:r w:rsidRPr="009F57D8">
        <w:rPr>
          <w:rFonts w:eastAsia="Calibri"/>
        </w:rPr>
        <w:t xml:space="preserve">Y: non-inferiority/superiority was met but it straddles 1 </w:t>
      </w:r>
    </w:p>
    <w:p w14:paraId="68A8C423" w14:textId="77777777" w:rsidR="00B84A8C" w:rsidRPr="009F57D8" w:rsidRDefault="00B84A8C" w:rsidP="00B84A8C">
      <w:pPr>
        <w:pStyle w:val="FooterTableFigure"/>
      </w:pPr>
      <w:r w:rsidRPr="009F57D8">
        <w:rPr>
          <w:rFonts w:eastAsia="Calibri"/>
          <w:color w:val="FF0000"/>
        </w:rPr>
        <w:t>N</w:t>
      </w:r>
      <w:r w:rsidRPr="009F57D8">
        <w:rPr>
          <w:rFonts w:eastAsia="Calibri"/>
        </w:rPr>
        <w:t xml:space="preserve">: non-inferiority/superiority was not met </w:t>
      </w:r>
    </w:p>
    <w:p w14:paraId="2D796E46" w14:textId="3BF3CFEB" w:rsidR="00B84A8C" w:rsidRPr="009F57D8" w:rsidRDefault="00B84A8C" w:rsidP="00B84A8C">
      <w:pPr>
        <w:pStyle w:val="3-BodyText"/>
        <w:numPr>
          <w:ilvl w:val="1"/>
          <w:numId w:val="1"/>
        </w:numPr>
        <w:rPr>
          <w:rStyle w:val="normaltextrun"/>
          <w:rFonts w:cs="Calibri"/>
          <w:color w:val="000000" w:themeColor="text1"/>
          <w:shd w:val="clear" w:color="auto" w:fill="FFFFFF"/>
        </w:rPr>
      </w:pPr>
      <w:r w:rsidRPr="009F57D8">
        <w:rPr>
          <w:rStyle w:val="normaltextrun"/>
          <w:rFonts w:cs="Calibri"/>
          <w:color w:val="000000" w:themeColor="text1"/>
          <w:shd w:val="clear" w:color="auto" w:fill="FFFFFF"/>
        </w:rPr>
        <w:t xml:space="preserve">Across the 10 shared serotypes for P003 Cohort 1, the OPA GMRs for 4 serotypes (3, 8, 11A and 33F) favoured </w:t>
      </w:r>
      <w:r w:rsidR="006F1401" w:rsidRPr="009F57D8">
        <w:rPr>
          <w:rStyle w:val="normaltextrun"/>
          <w:rFonts w:cs="Calibri"/>
          <w:color w:val="000000" w:themeColor="text1"/>
          <w:shd w:val="clear" w:color="auto" w:fill="FFFFFF"/>
        </w:rPr>
        <w:t>21vPCV</w:t>
      </w:r>
      <w:r w:rsidRPr="009F57D8">
        <w:rPr>
          <w:rStyle w:val="normaltextrun"/>
          <w:rFonts w:cs="Calibri"/>
          <w:color w:val="000000" w:themeColor="text1"/>
          <w:shd w:val="clear" w:color="auto" w:fill="FFFFFF"/>
        </w:rPr>
        <w:t xml:space="preserve">, and 4 serotypes (6A, 10A, 19A and 22F) favoured 20vPCV. For the additional 8 serotypes (15A, 15C, 16F, 23A, 23B, 24F, 31 and 35B) </w:t>
      </w:r>
      <w:r w:rsidR="006F1401" w:rsidRPr="009F57D8">
        <w:rPr>
          <w:rStyle w:val="normaltextrun"/>
          <w:rFonts w:cs="Calibri"/>
          <w:color w:val="000000" w:themeColor="text1"/>
          <w:shd w:val="clear" w:color="auto" w:fill="FFFFFF"/>
        </w:rPr>
        <w:t>21vPCV</w:t>
      </w:r>
      <w:r w:rsidRPr="009F57D8">
        <w:rPr>
          <w:rStyle w:val="normaltextrun"/>
          <w:rFonts w:cs="Calibri"/>
          <w:color w:val="000000" w:themeColor="text1"/>
          <w:shd w:val="clear" w:color="auto" w:fill="FFFFFF"/>
        </w:rPr>
        <w:t xml:space="preserve"> met the superiority criterion except for serotype 15C.</w:t>
      </w:r>
    </w:p>
    <w:p w14:paraId="26883B10" w14:textId="29CF225B" w:rsidR="00B84A8C" w:rsidRPr="009F57D8" w:rsidRDefault="00B84A8C" w:rsidP="00B84A8C">
      <w:pPr>
        <w:pStyle w:val="3-BodyText"/>
        <w:numPr>
          <w:ilvl w:val="1"/>
          <w:numId w:val="1"/>
        </w:numPr>
        <w:rPr>
          <w:rStyle w:val="normaltextrun"/>
          <w:rFonts w:cs="Calibri"/>
          <w:color w:val="000000" w:themeColor="text1"/>
          <w:shd w:val="clear" w:color="auto" w:fill="FFFFFF"/>
        </w:rPr>
      </w:pPr>
      <w:r w:rsidRPr="009F57D8">
        <w:rPr>
          <w:rStyle w:val="normaltextrun"/>
          <w:rFonts w:cs="Calibri"/>
          <w:color w:val="000000" w:themeColor="text1"/>
          <w:shd w:val="clear" w:color="auto" w:fill="FFFFFF"/>
        </w:rPr>
        <w:lastRenderedPageBreak/>
        <w:t xml:space="preserve">The results of P007 showed the immune responses as assessed by OPA GMTs postvaccination with </w:t>
      </w:r>
      <w:r w:rsidR="006F1401" w:rsidRPr="009F57D8">
        <w:rPr>
          <w:rStyle w:val="normaltextrun"/>
          <w:rFonts w:cs="Calibri"/>
          <w:color w:val="000000" w:themeColor="text1"/>
          <w:shd w:val="clear" w:color="auto" w:fill="FFFFFF"/>
        </w:rPr>
        <w:t>21vPCV</w:t>
      </w:r>
      <w:r w:rsidRPr="009F57D8">
        <w:rPr>
          <w:rStyle w:val="normaltextrun"/>
          <w:rFonts w:cs="Calibri"/>
          <w:color w:val="000000" w:themeColor="text1"/>
          <w:shd w:val="clear" w:color="auto" w:fill="FFFFFF"/>
        </w:rPr>
        <w:t xml:space="preserve"> + Placebo at day 30 for the 13 common serotypes compared to 15vPCV +23vPPV were not different for 10 serotypes (3, 6A, 7F, 8, 9N, 10A, 12F, 19A, 22F, 33F) and were higher for three serotypes (11A, 17F, 20A). The OPA GMTs were higher with </w:t>
      </w:r>
      <w:r w:rsidR="006F1401" w:rsidRPr="009F57D8">
        <w:rPr>
          <w:rStyle w:val="normaltextrun"/>
          <w:rFonts w:cs="Calibri"/>
          <w:color w:val="000000" w:themeColor="text1"/>
          <w:shd w:val="clear" w:color="auto" w:fill="FFFFFF"/>
        </w:rPr>
        <w:t>21vPCV</w:t>
      </w:r>
      <w:r w:rsidRPr="009F57D8">
        <w:rPr>
          <w:rStyle w:val="normaltextrun"/>
          <w:rFonts w:cs="Calibri"/>
          <w:color w:val="000000" w:themeColor="text1"/>
          <w:shd w:val="clear" w:color="auto" w:fill="FFFFFF"/>
        </w:rPr>
        <w:t xml:space="preserve"> + Placebo than 15vPCV + 23vPPV for the 8 serotypes unique to </w:t>
      </w:r>
      <w:r w:rsidR="006F1401" w:rsidRPr="009F57D8">
        <w:rPr>
          <w:rStyle w:val="normaltextrun"/>
          <w:rFonts w:cs="Calibri"/>
          <w:color w:val="000000" w:themeColor="text1"/>
          <w:shd w:val="clear" w:color="auto" w:fill="FFFFFF"/>
        </w:rPr>
        <w:t>21vPCV</w:t>
      </w:r>
      <w:r w:rsidRPr="009F57D8">
        <w:rPr>
          <w:rStyle w:val="normaltextrun"/>
          <w:rFonts w:cs="Calibri"/>
          <w:color w:val="000000" w:themeColor="text1"/>
          <w:shd w:val="clear" w:color="auto" w:fill="FFFFFF"/>
        </w:rPr>
        <w:t xml:space="preserve">. The non-inferiority/superiority criteria were not pre-specified in this trial. </w:t>
      </w:r>
    </w:p>
    <w:p w14:paraId="534EA12A" w14:textId="09F02C68" w:rsidR="00B84A8C" w:rsidRPr="009F57D8" w:rsidRDefault="00B84A8C" w:rsidP="00B84A8C">
      <w:pPr>
        <w:pStyle w:val="3-BodyText"/>
        <w:numPr>
          <w:ilvl w:val="1"/>
          <w:numId w:val="1"/>
        </w:numPr>
        <w:rPr>
          <w:rStyle w:val="normaltextrun"/>
          <w:rFonts w:cs="Calibri"/>
          <w:color w:val="000000" w:themeColor="text1"/>
          <w:shd w:val="clear" w:color="auto" w:fill="FFFFFF"/>
        </w:rPr>
      </w:pPr>
      <w:r w:rsidRPr="009F57D8">
        <w:rPr>
          <w:rStyle w:val="normaltextrun"/>
          <w:rFonts w:cs="Calibri"/>
          <w:color w:val="000000" w:themeColor="text1"/>
          <w:shd w:val="clear" w:color="auto" w:fill="FFFFFF"/>
        </w:rPr>
        <w:t xml:space="preserve">The results of P008 showed the immune responses as assessed by OPA GMTs postvaccination with </w:t>
      </w:r>
      <w:r w:rsidR="002A69CF" w:rsidRPr="009F57D8">
        <w:t>21vPCV</w:t>
      </w:r>
      <w:r w:rsidRPr="009F57D8">
        <w:rPr>
          <w:rStyle w:val="normaltextrun"/>
          <w:rFonts w:cs="Calibri"/>
          <w:color w:val="000000" w:themeColor="text1"/>
          <w:shd w:val="clear" w:color="auto" w:fill="FFFFFF"/>
        </w:rPr>
        <w:t xml:space="preserve"> + Placebo at day 30 for the 13 common serotypes compared to 15vPCV +23vPPV were not different for three serotypes (3, 8, 19A) and higher for 10 serotypes (6A, 7F, 9N, 10A, 11A, 12F, 17F, 20A, 22F, 33F). The OPA GMTs were higher with </w:t>
      </w:r>
      <w:r w:rsidR="002A69CF" w:rsidRPr="009F57D8">
        <w:t>21vPCV</w:t>
      </w:r>
      <w:r w:rsidRPr="009F57D8">
        <w:rPr>
          <w:rStyle w:val="normaltextrun"/>
          <w:rFonts w:cs="Calibri"/>
          <w:color w:val="000000" w:themeColor="text1"/>
          <w:shd w:val="clear" w:color="auto" w:fill="FFFFFF"/>
        </w:rPr>
        <w:t xml:space="preserve"> + Placebo than 15vPCV + 23vPPV for the 8 serotypes unique to </w:t>
      </w:r>
      <w:r w:rsidR="002A69CF" w:rsidRPr="009F57D8">
        <w:t>21vPCV</w:t>
      </w:r>
      <w:r w:rsidRPr="009F57D8">
        <w:rPr>
          <w:rStyle w:val="normaltextrun"/>
          <w:rFonts w:cs="Calibri"/>
          <w:color w:val="000000" w:themeColor="text1"/>
          <w:shd w:val="clear" w:color="auto" w:fill="FFFFFF"/>
        </w:rPr>
        <w:t xml:space="preserve">. The non-inferiority/superiority criteria were not pre-specified in this trial. </w:t>
      </w:r>
    </w:p>
    <w:p w14:paraId="0A89A59F" w14:textId="724B4B5A" w:rsidR="00B84A8C" w:rsidRPr="009F57D8" w:rsidRDefault="00B84A8C" w:rsidP="00B84A8C">
      <w:pPr>
        <w:pStyle w:val="3-BodyText"/>
        <w:numPr>
          <w:ilvl w:val="0"/>
          <w:numId w:val="0"/>
        </w:numPr>
        <w:rPr>
          <w:b/>
          <w:bCs/>
        </w:rPr>
      </w:pPr>
      <w:r w:rsidRPr="009F57D8">
        <w:rPr>
          <w:b/>
          <w:bCs/>
        </w:rPr>
        <w:t xml:space="preserve">ITC between </w:t>
      </w:r>
      <w:r w:rsidR="002A69CF" w:rsidRPr="009F57D8">
        <w:rPr>
          <w:b/>
          <w:bCs/>
        </w:rPr>
        <w:t>21vPCV</w:t>
      </w:r>
      <w:r w:rsidRPr="009F57D8">
        <w:rPr>
          <w:b/>
          <w:bCs/>
        </w:rPr>
        <w:t xml:space="preserve"> vs 13vPCV</w:t>
      </w:r>
    </w:p>
    <w:p w14:paraId="5DA384AD" w14:textId="3AF45220" w:rsidR="00B84A8C" w:rsidRPr="009F57D8" w:rsidRDefault="00B84A8C" w:rsidP="00B84A8C">
      <w:pPr>
        <w:pStyle w:val="3-BodyText"/>
        <w:numPr>
          <w:ilvl w:val="1"/>
          <w:numId w:val="1"/>
        </w:numPr>
      </w:pPr>
      <w:r w:rsidRPr="009F57D8">
        <w:t xml:space="preserve">The ITC was based on trials NCT03760146 (N = 2,997) and P003 (N = 1,571) and applied a matching-adjusted indirect comparison (MAIC) supplemented by the Bucher method. The MAIC report only referred to matching </w:t>
      </w:r>
      <w:r w:rsidR="0006055A" w:rsidRPr="009F57D8">
        <w:t>based on</w:t>
      </w:r>
      <w:r w:rsidRPr="009F57D8">
        <w:t xml:space="preserve"> age and gender. However, pre-existing comorbidities that affect the risk of complications with pneumococcal infection are important modifiers with respect to assessing vaccine efficacy in these populations. Information could not be located on whether the study populations have been matched for the presence of such risk factors, thereby potentially confounding the results of the ITC.</w:t>
      </w:r>
    </w:p>
    <w:p w14:paraId="6525B85D" w14:textId="732798B5" w:rsidR="00B84A8C" w:rsidRPr="009F57D8" w:rsidRDefault="00B84A8C" w:rsidP="00B84A8C">
      <w:pPr>
        <w:pStyle w:val="3-BodyText"/>
        <w:numPr>
          <w:ilvl w:val="1"/>
          <w:numId w:val="1"/>
        </w:numPr>
        <w:rPr>
          <w:rFonts w:eastAsia="Calibri"/>
        </w:rPr>
      </w:pPr>
      <w:r w:rsidRPr="009F57D8">
        <w:rPr>
          <w:rStyle w:val="normaltextrun"/>
          <w:rFonts w:cs="Calibri"/>
          <w:color w:val="000000" w:themeColor="text1"/>
          <w:shd w:val="clear" w:color="auto" w:fill="FFFFFF"/>
        </w:rPr>
        <w:t xml:space="preserve">The results of the ITC for the 4 serotypes for participants aged ≥ 60 years between </w:t>
      </w:r>
      <w:r w:rsidR="002A69CF" w:rsidRPr="009F57D8">
        <w:t>21vPCV</w:t>
      </w:r>
      <w:r w:rsidRPr="009F57D8">
        <w:rPr>
          <w:rStyle w:val="normaltextrun"/>
          <w:rFonts w:cs="Calibri"/>
          <w:color w:val="000000" w:themeColor="text1"/>
          <w:shd w:val="clear" w:color="auto" w:fill="FFFFFF"/>
        </w:rPr>
        <w:t xml:space="preserve"> and 13vPCV are presented in </w:t>
      </w:r>
      <w:r w:rsidRPr="009F57D8">
        <w:fldChar w:fldCharType="begin"/>
      </w:r>
      <w:r w:rsidRPr="009F57D8">
        <w:instrText xml:space="preserve"> REF _Ref176830038 \h </w:instrText>
      </w:r>
      <w:r w:rsidR="00951987" w:rsidRPr="009F57D8">
        <w:instrText xml:space="preserve"> \* MERGEFORMAT </w:instrText>
      </w:r>
      <w:r w:rsidRPr="009F57D8">
        <w:fldChar w:fldCharType="separate"/>
      </w:r>
      <w:r w:rsidR="00581386" w:rsidRPr="009F57D8">
        <w:t xml:space="preserve">Figure </w:t>
      </w:r>
      <w:r w:rsidR="00581386">
        <w:t>3</w:t>
      </w:r>
      <w:r w:rsidRPr="009F57D8">
        <w:fldChar w:fldCharType="end"/>
      </w:r>
      <w:r w:rsidRPr="009F57D8">
        <w:rPr>
          <w:rStyle w:val="normaltextrun"/>
          <w:rFonts w:cs="Calibri"/>
          <w:color w:val="000000" w:themeColor="text1"/>
          <w:shd w:val="clear" w:color="auto" w:fill="FFFFFF"/>
        </w:rPr>
        <w:t xml:space="preserve">. </w:t>
      </w:r>
      <w:r w:rsidRPr="009F57D8">
        <w:rPr>
          <w:rFonts w:eastAsiaTheme="minorEastAsia"/>
        </w:rPr>
        <w:t xml:space="preserve">The lower bound of the 2-sided 95% CI of the OPA GMT ratio for serotype 3 was above 1.00, in favour of </w:t>
      </w:r>
      <w:r w:rsidR="002A69CF" w:rsidRPr="009F57D8">
        <w:t>21vPCV</w:t>
      </w:r>
      <w:r w:rsidRPr="009F57D8">
        <w:rPr>
          <w:rFonts w:eastAsiaTheme="minorEastAsia"/>
        </w:rPr>
        <w:t xml:space="preserve">, demonstrating stronger immune response to serotype 3 as compared to 13vPCV. However, the results from the ITC did not support the non-inferiority for two (6A and 19A favoured 13vPCV) of the 4 serotypes, while for serotype 7F the 95% CI spanned one, indicating no difference. Based on these results, superiority of </w:t>
      </w:r>
      <w:r w:rsidR="00B229D8" w:rsidRPr="009F57D8">
        <w:rPr>
          <w:rFonts w:eastAsiaTheme="minorEastAsia"/>
        </w:rPr>
        <w:t>21vPCV</w:t>
      </w:r>
      <w:r w:rsidRPr="009F57D8">
        <w:rPr>
          <w:rFonts w:eastAsiaTheme="minorEastAsia"/>
        </w:rPr>
        <w:t xml:space="preserve"> over 13vPCV with respect to immunogenicity appears to be serotype-specific, and confined to one serotype, serotype 3, with the results favouring 13vPCV in 2 of the shared serotypes. </w:t>
      </w:r>
    </w:p>
    <w:p w14:paraId="731EA79E" w14:textId="5C1367DD" w:rsidR="00B84A8C" w:rsidRPr="009F57D8" w:rsidRDefault="00B84A8C" w:rsidP="00B84A8C">
      <w:pPr>
        <w:pStyle w:val="Caption"/>
      </w:pPr>
      <w:bookmarkStart w:id="55" w:name="_Ref176830038"/>
      <w:r w:rsidRPr="009F57D8">
        <w:rPr>
          <w:noProof/>
        </w:rPr>
        <w:lastRenderedPageBreak/>
        <w:drawing>
          <wp:anchor distT="0" distB="0" distL="114300" distR="114300" simplePos="0" relativeHeight="251658240" behindDoc="0" locked="0" layoutInCell="1" allowOverlap="1" wp14:anchorId="61DC701C" wp14:editId="733987EB">
            <wp:simplePos x="0" y="0"/>
            <wp:positionH relativeFrom="margin">
              <wp:posOffset>823595</wp:posOffset>
            </wp:positionH>
            <wp:positionV relativeFrom="paragraph">
              <wp:posOffset>296838</wp:posOffset>
            </wp:positionV>
            <wp:extent cx="4084955" cy="2004060"/>
            <wp:effectExtent l="0" t="0" r="0" b="0"/>
            <wp:wrapTopAndBottom/>
            <wp:docPr id="769503104" name="Picture 769503104" descr="Figure 3: Serotype Specific OPA GMT Ratio Matching Adjusted Indirect Comparison Analysis (Anchored) 21vPCV vs 13vP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03104" name="Picture 769503104" descr="Figure 3: Serotype Specific OPA GMT Ratio Matching Adjusted Indirect Comparison Analysis (Anchored) 21vPCV vs 13vPCV"/>
                    <pic:cNvPicPr/>
                  </pic:nvPicPr>
                  <pic:blipFill>
                    <a:blip r:embed="rId15"/>
                    <a:stretch>
                      <a:fillRect/>
                    </a:stretch>
                  </pic:blipFill>
                  <pic:spPr>
                    <a:xfrm>
                      <a:off x="0" y="0"/>
                      <a:ext cx="4084955" cy="2004060"/>
                    </a:xfrm>
                    <a:prstGeom prst="rect">
                      <a:avLst/>
                    </a:prstGeom>
                  </pic:spPr>
                </pic:pic>
              </a:graphicData>
            </a:graphic>
            <wp14:sizeRelH relativeFrom="page">
              <wp14:pctWidth>0</wp14:pctWidth>
            </wp14:sizeRelH>
            <wp14:sizeRelV relativeFrom="page">
              <wp14:pctHeight>0</wp14:pctHeight>
            </wp14:sizeRelV>
          </wp:anchor>
        </w:drawing>
      </w:r>
      <w:r w:rsidRPr="009F57D8">
        <w:t xml:space="preserve">Figure </w:t>
      </w:r>
      <w:r w:rsidR="00FA4640" w:rsidRPr="009F57D8">
        <w:fldChar w:fldCharType="begin"/>
      </w:r>
      <w:r w:rsidR="00FA4640" w:rsidRPr="009F57D8">
        <w:instrText xml:space="preserve"> SEQ Figure \* ARABIC </w:instrText>
      </w:r>
      <w:r w:rsidR="00FA4640" w:rsidRPr="009F57D8">
        <w:fldChar w:fldCharType="separate"/>
      </w:r>
      <w:r w:rsidR="00581386">
        <w:rPr>
          <w:noProof/>
        </w:rPr>
        <w:t>3</w:t>
      </w:r>
      <w:r w:rsidR="00FA4640" w:rsidRPr="009F57D8">
        <w:fldChar w:fldCharType="end"/>
      </w:r>
      <w:bookmarkEnd w:id="55"/>
      <w:r w:rsidRPr="009F57D8">
        <w:t xml:space="preserve">: Serotype Specific OPA GMT Ratio Matching Adjusted Indirect Comparison Analysis (Anchored) </w:t>
      </w:r>
      <w:r w:rsidR="002A69CF" w:rsidRPr="009F57D8">
        <w:t>21</w:t>
      </w:r>
      <w:r w:rsidR="00F26D65" w:rsidRPr="009F57D8">
        <w:t>vPCV</w:t>
      </w:r>
      <w:r w:rsidR="00F26D65" w:rsidRPr="009F57D8" w:rsidDel="002A69CF">
        <w:t xml:space="preserve"> </w:t>
      </w:r>
      <w:r w:rsidR="00F26D65" w:rsidRPr="009F57D8">
        <w:t>vs</w:t>
      </w:r>
      <w:r w:rsidRPr="009F57D8">
        <w:t xml:space="preserve"> 13vPCV</w:t>
      </w:r>
    </w:p>
    <w:p w14:paraId="7A113E73" w14:textId="30654FA0" w:rsidR="00B84A8C" w:rsidRPr="009F57D8" w:rsidRDefault="00B84A8C" w:rsidP="00B84A8C">
      <w:pPr>
        <w:pStyle w:val="FooterTableFigure"/>
      </w:pPr>
      <w:r w:rsidRPr="009F57D8">
        <w:t xml:space="preserve">Source: Figure 2.6-5 p123 of the submission </w:t>
      </w:r>
    </w:p>
    <w:p w14:paraId="42CA33C3" w14:textId="743059EE" w:rsidR="00B84A8C" w:rsidRDefault="00B84A8C" w:rsidP="002F493C">
      <w:pPr>
        <w:pStyle w:val="FooterTableFigure"/>
      </w:pPr>
      <w:r w:rsidRPr="009F57D8">
        <w:t xml:space="preserve">13vPCV = 13-valent pneumococcal conjugate vaccine; CI = confidence interval; OPA GMT = opsonophagocytic activity geometric mean titre; </w:t>
      </w:r>
      <w:r w:rsidR="00B229D8" w:rsidRPr="009F57D8">
        <w:t>21vPCV</w:t>
      </w:r>
      <w:r w:rsidRPr="009F57D8">
        <w:t xml:space="preserve"> = 21-valent pneumococcal conjugate vaccine.</w:t>
      </w:r>
    </w:p>
    <w:p w14:paraId="6B2D68CA" w14:textId="6E92B50E" w:rsidR="0081249A" w:rsidRPr="0081249A" w:rsidRDefault="0081249A" w:rsidP="002F493C">
      <w:pPr>
        <w:pStyle w:val="FooterTableFigure"/>
        <w:rPr>
          <w:i/>
          <w:iCs/>
        </w:rPr>
      </w:pPr>
      <w:r w:rsidRPr="0081249A">
        <w:rPr>
          <w:i/>
          <w:iCs/>
        </w:rPr>
        <w:t xml:space="preserve">Note that the results presented in this </w:t>
      </w:r>
      <w:r w:rsidR="00E4222F">
        <w:rPr>
          <w:i/>
          <w:iCs/>
        </w:rPr>
        <w:t>figure</w:t>
      </w:r>
      <w:r w:rsidRPr="0081249A">
        <w:rPr>
          <w:i/>
          <w:iCs/>
        </w:rPr>
        <w:t xml:space="preserve"> are derived from post-hoc analyses conducted by the applicant specifically for the purposes of informing the PBAC consideration. These analyses were not part of a pre-specified statistical plan for a clinical study. Interpretation of the results and their application should therefore be limited to seeking to understand the basis for the PBAC outcome and should not be used for any other purpose.</w:t>
      </w:r>
    </w:p>
    <w:p w14:paraId="6230A37F" w14:textId="0FA28BDD" w:rsidR="00B84A8C" w:rsidRPr="009F57D8" w:rsidRDefault="00B84A8C" w:rsidP="00B84A8C">
      <w:pPr>
        <w:pStyle w:val="3-BodyText"/>
        <w:numPr>
          <w:ilvl w:val="1"/>
          <w:numId w:val="1"/>
        </w:numPr>
        <w:rPr>
          <w:rStyle w:val="normaltextrun"/>
          <w:rFonts w:cs="Calibri"/>
          <w:color w:val="000000" w:themeColor="text1"/>
          <w:shd w:val="clear" w:color="auto" w:fill="FFFFFF"/>
        </w:rPr>
      </w:pPr>
      <w:r w:rsidRPr="009F57D8">
        <w:t xml:space="preserve">The submission stated that the ITC provided limited value in assessing the </w:t>
      </w:r>
      <w:r w:rsidRPr="009F57D8">
        <w:rPr>
          <w:rStyle w:val="normaltextrun"/>
          <w:rFonts w:cs="Calibri"/>
          <w:color w:val="000000" w:themeColor="text1"/>
          <w:shd w:val="clear" w:color="auto" w:fill="FFFFFF"/>
        </w:rPr>
        <w:t xml:space="preserve">immunogenicity between </w:t>
      </w:r>
      <w:r w:rsidR="002A69CF" w:rsidRPr="009F57D8">
        <w:t>21vPCV</w:t>
      </w:r>
      <w:r w:rsidRPr="009F57D8">
        <w:rPr>
          <w:rStyle w:val="normaltextrun"/>
          <w:rFonts w:cs="Calibri"/>
          <w:color w:val="000000" w:themeColor="text1"/>
          <w:shd w:val="clear" w:color="auto" w:fill="FFFFFF"/>
        </w:rPr>
        <w:t xml:space="preserve"> and 13vPCV. </w:t>
      </w:r>
      <w:r w:rsidRPr="009F57D8">
        <w:t xml:space="preserve">The ITC has been deemed as supportive evidence only by ATAGI (ATAGI Pre-submission Advice, May 2024). </w:t>
      </w:r>
      <w:r w:rsidRPr="009F57D8">
        <w:rPr>
          <w:rStyle w:val="normaltextrun"/>
          <w:rFonts w:cs="Calibri"/>
          <w:color w:val="000000" w:themeColor="text1"/>
          <w:shd w:val="clear" w:color="auto" w:fill="FFFFFF"/>
        </w:rPr>
        <w:t xml:space="preserve">In addition, there are differences in the characteristics and conduct of the trials used in the ITC that call the results of the indirect comparison into question: </w:t>
      </w:r>
    </w:p>
    <w:p w14:paraId="7EFD1FF1" w14:textId="77777777" w:rsidR="00B84A8C" w:rsidRPr="009F57D8" w:rsidRDefault="00B84A8C" w:rsidP="002F493C">
      <w:pPr>
        <w:pStyle w:val="3-BodyText"/>
        <w:numPr>
          <w:ilvl w:val="0"/>
          <w:numId w:val="21"/>
        </w:numPr>
        <w:ind w:left="851" w:hanging="284"/>
        <w:rPr>
          <w:rFonts w:eastAsiaTheme="minorEastAsia"/>
        </w:rPr>
      </w:pPr>
      <w:r w:rsidRPr="009F57D8">
        <w:rPr>
          <w:rFonts w:eastAsiaTheme="minorEastAsia"/>
        </w:rPr>
        <w:t>The pivotal studies in this analysis used different OPA assays; both intra-assay and inter-assay variability limit the ability to directly compare GMTs. While the use of the GMT ratio measure directly limits the impact on variability in assay differences, there may be other differences that are not accounted for that could not be corrected statistically.</w:t>
      </w:r>
    </w:p>
    <w:p w14:paraId="4FBF5477" w14:textId="77777777" w:rsidR="00B84A8C" w:rsidRPr="009F57D8" w:rsidRDefault="00B84A8C" w:rsidP="002F493C">
      <w:pPr>
        <w:pStyle w:val="3-BodyText"/>
        <w:numPr>
          <w:ilvl w:val="0"/>
          <w:numId w:val="21"/>
        </w:numPr>
        <w:ind w:left="851" w:hanging="284"/>
        <w:rPr>
          <w:rFonts w:eastAsiaTheme="minorEastAsia"/>
        </w:rPr>
      </w:pPr>
      <w:r w:rsidRPr="009F57D8">
        <w:rPr>
          <w:rFonts w:eastAsiaTheme="minorEastAsia"/>
        </w:rPr>
        <w:t xml:space="preserve">The analyses could only be performed in adults ≥ 60 years of age as this was the group for which published 13vPCV data were available. This is younger than the age of the proposed listing, and analysis for this age group was not pre-specified in P003. </w:t>
      </w:r>
    </w:p>
    <w:p w14:paraId="7A183311" w14:textId="77777777" w:rsidR="00B84A8C" w:rsidRPr="009F57D8" w:rsidRDefault="00B84A8C" w:rsidP="002F493C">
      <w:pPr>
        <w:pStyle w:val="3-BodyText"/>
        <w:numPr>
          <w:ilvl w:val="0"/>
          <w:numId w:val="21"/>
        </w:numPr>
        <w:ind w:left="851" w:hanging="284"/>
        <w:rPr>
          <w:rFonts w:eastAsiaTheme="minorEastAsia"/>
        </w:rPr>
      </w:pPr>
      <w:r w:rsidRPr="009F57D8">
        <w:rPr>
          <w:rFonts w:eastAsiaTheme="minorEastAsia"/>
        </w:rPr>
        <w:t xml:space="preserve">Other treatment effect modifiers (beyond age and gender, adjusted for in the matching) may exist which are not included in the ITC analyses. The unknown confounders assumption is not testable. Whether characteristics other than age and sex of participants were balanced across the included trials is unknown; therefore, the potential for differences in other factors affecting efficacy (such as comorbidities) cannot be discounted. </w:t>
      </w:r>
    </w:p>
    <w:p w14:paraId="0D6C0B37" w14:textId="77777777" w:rsidR="00B84A8C" w:rsidRPr="009F57D8" w:rsidRDefault="00B84A8C" w:rsidP="002F493C">
      <w:pPr>
        <w:pStyle w:val="3-BodyText"/>
        <w:numPr>
          <w:ilvl w:val="0"/>
          <w:numId w:val="21"/>
        </w:numPr>
        <w:ind w:left="851" w:hanging="284"/>
        <w:rPr>
          <w:rFonts w:eastAsia="Calibri"/>
        </w:rPr>
      </w:pPr>
      <w:r w:rsidRPr="009F57D8">
        <w:rPr>
          <w:rFonts w:eastAsiaTheme="minorEastAsia"/>
        </w:rPr>
        <w:t xml:space="preserve">Whether the design of P003 and Essink et al 2022 is comparable was not addressed by the submission. The Essink et al 2022 was a phase 3, randomised active controlled double blind multicentre study conducted in the USA and Sweden. The population in Essink et al 2022 comprised adults ≥ 18-year-olds in 3 cohorts based on age at enrolment (≥60, 50–59, and 18–49 years). </w:t>
      </w:r>
      <w:r w:rsidRPr="009F57D8">
        <w:t xml:space="preserve">While Essink et al 2022 included adults </w:t>
      </w:r>
      <w:r w:rsidRPr="009F57D8">
        <w:lastRenderedPageBreak/>
        <w:t xml:space="preserve">aged ≥60 years, P003 included adults aged ≥50 years. Essink et al 2022 had a higher proportion of female participants compared to P003 which resulted in a reduction in the effective sample size of P003 after matching to the Essink et al 2022 sex distribution. Additionally, Essink et al 2022 had a higher proportion of participants in the 60-64 years age group compared to P003 further reducing the effective sample size for P003 after matching. This loss of sample size could impact the power and precision of comparisons between the studies in the ITC. </w:t>
      </w:r>
    </w:p>
    <w:p w14:paraId="04F6F029" w14:textId="77777777" w:rsidR="00B84A8C" w:rsidRPr="009F57D8" w:rsidRDefault="00B84A8C" w:rsidP="00B84A8C">
      <w:pPr>
        <w:pStyle w:val="3-BodyText"/>
        <w:numPr>
          <w:ilvl w:val="0"/>
          <w:numId w:val="0"/>
        </w:numPr>
        <w:rPr>
          <w:b/>
          <w:bCs/>
        </w:rPr>
      </w:pPr>
      <w:r w:rsidRPr="009F57D8">
        <w:rPr>
          <w:b/>
          <w:bCs/>
        </w:rPr>
        <w:t xml:space="preserve">Supplementary trials: </w:t>
      </w:r>
    </w:p>
    <w:p w14:paraId="10680AB2" w14:textId="6A59BC54" w:rsidR="00B84A8C" w:rsidRPr="009F57D8" w:rsidRDefault="00B84A8C" w:rsidP="00B84A8C">
      <w:pPr>
        <w:pStyle w:val="3-BodyText"/>
        <w:numPr>
          <w:ilvl w:val="1"/>
          <w:numId w:val="1"/>
        </w:numPr>
        <w:rPr>
          <w:color w:val="0066FF"/>
        </w:rPr>
      </w:pPr>
      <w:r w:rsidRPr="009F57D8">
        <w:t xml:space="preserve">In P006 (catch-up population), across all 3 cohorts previously vaccinated with 13vPCV or 23vPPV, </w:t>
      </w:r>
      <w:r w:rsidR="002A69CF" w:rsidRPr="009F57D8">
        <w:t>21vPCV</w:t>
      </w:r>
      <w:r w:rsidRPr="009F57D8">
        <w:t xml:space="preserve"> was immunogenic for all 21 serotypes contained in the vaccine as assessed by serotype-specific OPA GMTs at 30 days postvaccination. Serotype-specific OPA GMTs and IgG GMCs were not different in the </w:t>
      </w:r>
      <w:r w:rsidR="002A69CF" w:rsidRPr="009F57D8">
        <w:t>21vPCV</w:t>
      </w:r>
      <w:r w:rsidRPr="009F57D8">
        <w:t xml:space="preserve">, 15vPCV, and 23vPPV groups for the common serotypes and higher in the </w:t>
      </w:r>
      <w:r w:rsidR="00B229D8" w:rsidRPr="009F57D8">
        <w:t>21vPCV</w:t>
      </w:r>
      <w:r w:rsidRPr="009F57D8">
        <w:t xml:space="preserve"> group for the serotypes unique to </w:t>
      </w:r>
      <w:r w:rsidR="00B229D8" w:rsidRPr="009F57D8">
        <w:t>21vPCV</w:t>
      </w:r>
      <w:r w:rsidRPr="009F57D8">
        <w:t xml:space="preserve">. In Cohort 1 (prior 23vPPV; vaccinated with either </w:t>
      </w:r>
      <w:r w:rsidR="00B229D8" w:rsidRPr="009F57D8">
        <w:t>21vPCV</w:t>
      </w:r>
      <w:r w:rsidRPr="009F57D8">
        <w:t xml:space="preserve"> or 15vPCV), </w:t>
      </w:r>
      <w:r w:rsidR="00B229D8" w:rsidRPr="009F57D8">
        <w:t>21vPCV</w:t>
      </w:r>
      <w:r w:rsidRPr="009F57D8">
        <w:t xml:space="preserve"> elicited immune responses that were not different to 15vPCV for the 6 common serotypes and higher than 15vPCV for the 15 serotypes unique to </w:t>
      </w:r>
      <w:r w:rsidR="00B229D8" w:rsidRPr="009F57D8">
        <w:t>21vPCV</w:t>
      </w:r>
      <w:r w:rsidRPr="009F57D8">
        <w:t xml:space="preserve">, as assessed by OPA GMTs at 30 days postvaccination. In Cohort 2 (prior 13vPCV; vaccinated with either </w:t>
      </w:r>
      <w:r w:rsidR="002A69CF" w:rsidRPr="009F57D8">
        <w:t>21vPCV</w:t>
      </w:r>
      <w:r w:rsidRPr="009F57D8">
        <w:t xml:space="preserve"> or 23vPPV), </w:t>
      </w:r>
      <w:r w:rsidR="002A69CF" w:rsidRPr="009F57D8">
        <w:t>21vPCV</w:t>
      </w:r>
      <w:r w:rsidRPr="009F57D8">
        <w:t xml:space="preserve"> elicited immune responses that were not different to 23vPPV for the 12 common serotypes and higher than 23vPPV for the 9 serotypes unique to </w:t>
      </w:r>
      <w:r w:rsidR="00B229D8" w:rsidRPr="009F57D8">
        <w:t>21vPCV</w:t>
      </w:r>
      <w:r w:rsidRPr="009F57D8">
        <w:t xml:space="preserve">, as assessed by OPA GMT at 30 days postvaccination. </w:t>
      </w:r>
    </w:p>
    <w:p w14:paraId="026F122E" w14:textId="2C4AE4DE" w:rsidR="00B84A8C" w:rsidRPr="009F57D8" w:rsidRDefault="00B84A8C" w:rsidP="00B84A8C">
      <w:pPr>
        <w:pStyle w:val="3-BodyText"/>
        <w:numPr>
          <w:ilvl w:val="1"/>
          <w:numId w:val="1"/>
        </w:numPr>
        <w:rPr>
          <w:rFonts w:eastAsia="Calibri"/>
        </w:rPr>
      </w:pPr>
      <w:r w:rsidRPr="009F57D8">
        <w:t xml:space="preserve">P005 showed that </w:t>
      </w:r>
      <w:r w:rsidR="002A69CF" w:rsidRPr="009F57D8">
        <w:t>21vPCV</w:t>
      </w:r>
      <w:r w:rsidRPr="009F57D8">
        <w:t xml:space="preserve"> administered concomitantly with QIV (quadrivalent influenza vaccine) was non-inferior to </w:t>
      </w:r>
      <w:r w:rsidR="002A69CF" w:rsidRPr="009F57D8">
        <w:t>21vPCV</w:t>
      </w:r>
      <w:r w:rsidRPr="009F57D8">
        <w:t xml:space="preserve"> administered sequentially with QIV as assessed by serotype-specific OPA GMTs at 30 days postvaccination with </w:t>
      </w:r>
      <w:r w:rsidR="002A69CF" w:rsidRPr="009F57D8">
        <w:t>21vPCV</w:t>
      </w:r>
      <w:r w:rsidRPr="009F57D8">
        <w:t xml:space="preserve">. The lower bound of the 2 sided 95% CI of the OPA GMT ratio (concomitant/sequential) &gt; 0.5 for 20 of the 21 pneumococcal serotypes at 30 days postvaccination with </w:t>
      </w:r>
      <w:r w:rsidR="002A69CF" w:rsidRPr="009F57D8">
        <w:t>21vPCV</w:t>
      </w:r>
      <w:r w:rsidRPr="009F57D8">
        <w:t xml:space="preserve">. ATAGI noted that while co-administration is largely acceptable based on the non-inferiority criteria in P005, the reduced immune response to QIV and </w:t>
      </w:r>
      <w:r w:rsidR="002A69CF" w:rsidRPr="009F57D8">
        <w:t>21vPCV</w:t>
      </w:r>
      <w:r w:rsidRPr="009F57D8">
        <w:t>, may favour separate administration. Where sequential administration is logistically challenging/not feasible, co-administration is acceptable to facilitate vaccination uptake (ATAGI pre-submission advice to PBAC, May 2024).</w:t>
      </w:r>
    </w:p>
    <w:p w14:paraId="7A191512" w14:textId="77777777" w:rsidR="00B84A8C" w:rsidRPr="009F57D8" w:rsidRDefault="00B84A8C" w:rsidP="002F493C">
      <w:pPr>
        <w:pStyle w:val="4-SubsectionHeading"/>
        <w:spacing w:after="0"/>
        <w:rPr>
          <w:i w:val="0"/>
        </w:rPr>
      </w:pPr>
      <w:bookmarkStart w:id="56" w:name="_Toc22897642"/>
      <w:bookmarkStart w:id="57" w:name="_Toc177070739"/>
      <w:bookmarkStart w:id="58" w:name="_Toc209004907"/>
      <w:r w:rsidRPr="009F57D8">
        <w:t>Comparative harms</w:t>
      </w:r>
      <w:bookmarkEnd w:id="56"/>
      <w:bookmarkEnd w:id="57"/>
      <w:bookmarkEnd w:id="58"/>
    </w:p>
    <w:p w14:paraId="2F4A53BF" w14:textId="4ED8A3CE" w:rsidR="00B84A8C" w:rsidRPr="009F57D8" w:rsidRDefault="00B84A8C" w:rsidP="002F493C">
      <w:pPr>
        <w:pStyle w:val="3-BodyText"/>
        <w:numPr>
          <w:ilvl w:val="1"/>
          <w:numId w:val="1"/>
        </w:numPr>
        <w:spacing w:before="0"/>
        <w:rPr>
          <w:color w:val="0066FF"/>
        </w:rPr>
      </w:pPr>
      <w:r w:rsidRPr="009F57D8">
        <w:t xml:space="preserve">The proportion of participants with systemic AEs and vaccine-related systemic AEs (up to day 5 post vaccination) was generally comparable across </w:t>
      </w:r>
      <w:r w:rsidR="00690874" w:rsidRPr="009F57D8">
        <w:t>21vPCV</w:t>
      </w:r>
      <w:r w:rsidRPr="009F57D8">
        <w:t xml:space="preserve"> and 20vPCV (P003) and 15vPCV + 23vPPV (P007/P008)</w:t>
      </w:r>
      <w:r w:rsidR="00690874" w:rsidRPr="009F57D8">
        <w:t>,</w:t>
      </w:r>
      <w:r w:rsidRPr="009F57D8">
        <w:t xml:space="preserve"> see </w:t>
      </w:r>
      <w:r w:rsidRPr="009F57D8">
        <w:fldChar w:fldCharType="begin"/>
      </w:r>
      <w:r w:rsidRPr="009F57D8">
        <w:instrText xml:space="preserve"> REF _Ref207350288 \h </w:instrText>
      </w:r>
      <w:r w:rsidRPr="009F57D8">
        <w:fldChar w:fldCharType="separate"/>
      </w:r>
      <w:r w:rsidR="00581386" w:rsidRPr="009F57D8">
        <w:t xml:space="preserve">Table </w:t>
      </w:r>
      <w:r w:rsidR="00581386">
        <w:rPr>
          <w:noProof/>
        </w:rPr>
        <w:t>8</w:t>
      </w:r>
      <w:r w:rsidRPr="009F57D8">
        <w:fldChar w:fldCharType="end"/>
      </w:r>
      <w:r w:rsidRPr="009F57D8">
        <w:t xml:space="preserve">. The proportions of participants who experienced serious adverse events (SAEs) were low (≤ 2%) in the study and comparable across intervention groups, and none of the SAEs were considered to be </w:t>
      </w:r>
      <w:r w:rsidR="00F26D65" w:rsidRPr="009F57D8">
        <w:t>vaccine related</w:t>
      </w:r>
      <w:r w:rsidRPr="009F57D8">
        <w:t xml:space="preserve">. No deaths were considered by the investigator to be </w:t>
      </w:r>
      <w:r w:rsidR="00F26D65" w:rsidRPr="009F57D8">
        <w:t>vaccine related</w:t>
      </w:r>
      <w:r w:rsidRPr="009F57D8">
        <w:t xml:space="preserve">. The ATAGI advised “Phase 3 safety data indicated that </w:t>
      </w:r>
      <w:r w:rsidR="00690874" w:rsidRPr="009F57D8">
        <w:t>21vPCV</w:t>
      </w:r>
      <w:r w:rsidRPr="009F57D8">
        <w:t xml:space="preserve"> has a similar safety profile to 20vPCV and 23vPPV. This is likely to be acceptable, although no safety data were available for at-risk people as defined on the NIP, or for Aboriginal and Torres </w:t>
      </w:r>
      <w:r w:rsidRPr="009F57D8">
        <w:lastRenderedPageBreak/>
        <w:t xml:space="preserve">Strait Islander populations. Safety risks are likely to be similar to 13vPCV, which is on the NIP for these populations” (ATAGI Pre-submission Advice, May 2024). </w:t>
      </w:r>
    </w:p>
    <w:p w14:paraId="517B88B3" w14:textId="607D31D3" w:rsidR="00B84A8C" w:rsidRPr="009F57D8" w:rsidRDefault="00B84A8C" w:rsidP="00B84A8C">
      <w:pPr>
        <w:jc w:val="left"/>
        <w:rPr>
          <w:rFonts w:ascii="Arial Narrow" w:eastAsiaTheme="minorHAnsi" w:hAnsi="Arial Narrow" w:cstheme="minorBidi"/>
          <w:b/>
          <w:sz w:val="20"/>
          <w:szCs w:val="22"/>
          <w:lang w:eastAsia="en-US"/>
        </w:rPr>
      </w:pPr>
      <w:bookmarkStart w:id="59" w:name="_Ref174127376"/>
    </w:p>
    <w:p w14:paraId="0B380B5B" w14:textId="0ED09C83" w:rsidR="00B84A8C" w:rsidRPr="009F57D8" w:rsidRDefault="00B84A8C" w:rsidP="00A86627">
      <w:pPr>
        <w:pStyle w:val="TableHeading0"/>
        <w:keepLines/>
      </w:pPr>
      <w:bookmarkStart w:id="60" w:name="_Ref207350288"/>
      <w:r w:rsidRPr="009F57D8">
        <w:lastRenderedPageBreak/>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8</w:t>
      </w:r>
      <w:r w:rsidR="00FA4640" w:rsidRPr="009F57D8">
        <w:fldChar w:fldCharType="end"/>
      </w:r>
      <w:bookmarkEnd w:id="59"/>
      <w:bookmarkEnd w:id="60"/>
      <w:r w:rsidRPr="009F57D8">
        <w:t>: Adverse Event Summary (All Participants as Treated Population), Main trials (P003, P007, P008)</w:t>
      </w:r>
    </w:p>
    <w:tbl>
      <w:tblPr>
        <w:tblStyle w:val="TableGrid"/>
        <w:tblW w:w="5000" w:type="pct"/>
        <w:tblLook w:val="01E0" w:firstRow="1" w:lastRow="1" w:firstColumn="1" w:lastColumn="1" w:noHBand="0" w:noVBand="0"/>
        <w:tblCaption w:val="Table 8: Adverse Event Summary (All Participants as Treated Population), Main trials (P003, P007, P008)"/>
      </w:tblPr>
      <w:tblGrid>
        <w:gridCol w:w="1254"/>
        <w:gridCol w:w="977"/>
        <w:gridCol w:w="844"/>
        <w:gridCol w:w="894"/>
        <w:gridCol w:w="849"/>
        <w:gridCol w:w="1131"/>
        <w:gridCol w:w="992"/>
        <w:gridCol w:w="992"/>
        <w:gridCol w:w="1084"/>
      </w:tblGrid>
      <w:tr w:rsidR="00DF3377" w:rsidRPr="00F81DB6" w14:paraId="6B5B6668" w14:textId="77777777" w:rsidTr="00DF3377">
        <w:trPr>
          <w:trHeight w:val="20"/>
          <w:tblHeader/>
        </w:trPr>
        <w:tc>
          <w:tcPr>
            <w:tcW w:w="695" w:type="pct"/>
            <w:vMerge w:val="restart"/>
          </w:tcPr>
          <w:p w14:paraId="00184AC0" w14:textId="77777777" w:rsidR="00B84A8C" w:rsidRPr="00F81DB6" w:rsidRDefault="00B84A8C" w:rsidP="00A86627">
            <w:pPr>
              <w:pStyle w:val="TableText0"/>
              <w:keepNext/>
              <w:jc w:val="center"/>
              <w:rPr>
                <w:b/>
                <w:bCs w:val="0"/>
                <w:szCs w:val="20"/>
              </w:rPr>
            </w:pPr>
          </w:p>
        </w:tc>
        <w:tc>
          <w:tcPr>
            <w:tcW w:w="1010" w:type="pct"/>
            <w:gridSpan w:val="2"/>
            <w:vAlign w:val="center"/>
          </w:tcPr>
          <w:p w14:paraId="3EF84D11" w14:textId="77777777" w:rsidR="00B84A8C" w:rsidRPr="00F81DB6" w:rsidRDefault="00B84A8C" w:rsidP="00A86627">
            <w:pPr>
              <w:pStyle w:val="In-tableHeading"/>
              <w:jc w:val="center"/>
              <w:rPr>
                <w:szCs w:val="20"/>
                <w:lang w:val="en-AU"/>
              </w:rPr>
            </w:pPr>
            <w:r w:rsidRPr="00F81DB6">
              <w:rPr>
                <w:szCs w:val="20"/>
                <w:lang w:val="en-AU"/>
              </w:rPr>
              <w:t>P003 Cohort 1 (≥ 50 years)</w:t>
            </w:r>
          </w:p>
        </w:tc>
        <w:tc>
          <w:tcPr>
            <w:tcW w:w="967" w:type="pct"/>
            <w:gridSpan w:val="2"/>
            <w:vAlign w:val="center"/>
          </w:tcPr>
          <w:p w14:paraId="56B14A2F" w14:textId="77777777" w:rsidR="00B84A8C" w:rsidRPr="00F81DB6" w:rsidRDefault="00B84A8C" w:rsidP="00A86627">
            <w:pPr>
              <w:pStyle w:val="In-tableHeading"/>
              <w:jc w:val="center"/>
              <w:rPr>
                <w:szCs w:val="20"/>
                <w:lang w:val="en-AU"/>
              </w:rPr>
            </w:pPr>
            <w:r w:rsidRPr="00F81DB6">
              <w:rPr>
                <w:szCs w:val="20"/>
                <w:lang w:val="en-AU"/>
              </w:rPr>
              <w:t>P003, Cohort 2 (18 to 49 years)</w:t>
            </w:r>
          </w:p>
        </w:tc>
        <w:tc>
          <w:tcPr>
            <w:tcW w:w="1177" w:type="pct"/>
            <w:gridSpan w:val="2"/>
            <w:vAlign w:val="center"/>
          </w:tcPr>
          <w:p w14:paraId="6A77DFB6" w14:textId="77777777" w:rsidR="00B84A8C" w:rsidRPr="00F81DB6" w:rsidRDefault="00B84A8C" w:rsidP="00A86627">
            <w:pPr>
              <w:pStyle w:val="In-tableHeading"/>
              <w:jc w:val="center"/>
              <w:rPr>
                <w:szCs w:val="20"/>
                <w:lang w:val="en-AU"/>
              </w:rPr>
            </w:pPr>
            <w:r w:rsidRPr="00F81DB6">
              <w:rPr>
                <w:szCs w:val="20"/>
                <w:lang w:val="en-AU"/>
              </w:rPr>
              <w:t>P007</w:t>
            </w:r>
          </w:p>
        </w:tc>
        <w:tc>
          <w:tcPr>
            <w:tcW w:w="1151" w:type="pct"/>
            <w:gridSpan w:val="2"/>
            <w:vAlign w:val="center"/>
          </w:tcPr>
          <w:p w14:paraId="13CE45E0" w14:textId="77777777" w:rsidR="00B84A8C" w:rsidRPr="00F81DB6" w:rsidRDefault="00B84A8C" w:rsidP="00A86627">
            <w:pPr>
              <w:pStyle w:val="In-tableHeading"/>
              <w:jc w:val="center"/>
              <w:rPr>
                <w:szCs w:val="20"/>
                <w:lang w:val="en-AU"/>
              </w:rPr>
            </w:pPr>
            <w:r w:rsidRPr="00F81DB6">
              <w:rPr>
                <w:szCs w:val="20"/>
                <w:lang w:val="en-AU"/>
              </w:rPr>
              <w:t>P008</w:t>
            </w:r>
          </w:p>
        </w:tc>
      </w:tr>
      <w:tr w:rsidR="00DF3377" w:rsidRPr="00F81DB6" w14:paraId="3344FF30" w14:textId="77777777" w:rsidTr="00DF3377">
        <w:trPr>
          <w:trHeight w:val="20"/>
          <w:tblHeader/>
        </w:trPr>
        <w:tc>
          <w:tcPr>
            <w:tcW w:w="695" w:type="pct"/>
            <w:vMerge/>
          </w:tcPr>
          <w:p w14:paraId="2C74A14A" w14:textId="77777777" w:rsidR="00B84A8C" w:rsidRPr="00F81DB6" w:rsidRDefault="00B84A8C" w:rsidP="00A86627">
            <w:pPr>
              <w:pStyle w:val="TableText0"/>
              <w:keepNext/>
              <w:jc w:val="center"/>
              <w:rPr>
                <w:b/>
                <w:bCs w:val="0"/>
                <w:szCs w:val="20"/>
              </w:rPr>
            </w:pPr>
          </w:p>
        </w:tc>
        <w:tc>
          <w:tcPr>
            <w:tcW w:w="542" w:type="pct"/>
            <w:vAlign w:val="center"/>
          </w:tcPr>
          <w:p w14:paraId="115C50F4" w14:textId="0414D86F" w:rsidR="00B84A8C" w:rsidRPr="00F81DB6" w:rsidRDefault="00690874" w:rsidP="00A86627">
            <w:pPr>
              <w:pStyle w:val="In-tableHeading"/>
              <w:jc w:val="center"/>
              <w:rPr>
                <w:szCs w:val="20"/>
                <w:lang w:val="en-AU"/>
              </w:rPr>
            </w:pPr>
            <w:r w:rsidRPr="00F81DB6">
              <w:rPr>
                <w:szCs w:val="20"/>
                <w:lang w:val="en-AU"/>
              </w:rPr>
              <w:t>21vPCV</w:t>
            </w:r>
          </w:p>
        </w:tc>
        <w:tc>
          <w:tcPr>
            <w:tcW w:w="468" w:type="pct"/>
            <w:vAlign w:val="center"/>
          </w:tcPr>
          <w:p w14:paraId="1D9A558B" w14:textId="77777777" w:rsidR="00B84A8C" w:rsidRPr="00F81DB6" w:rsidRDefault="00B84A8C" w:rsidP="00A86627">
            <w:pPr>
              <w:pStyle w:val="In-tableHeading"/>
              <w:jc w:val="center"/>
              <w:rPr>
                <w:szCs w:val="20"/>
                <w:lang w:val="en-AU"/>
              </w:rPr>
            </w:pPr>
            <w:r w:rsidRPr="00F81DB6">
              <w:rPr>
                <w:szCs w:val="20"/>
                <w:lang w:val="en-AU"/>
              </w:rPr>
              <w:t>20vPCV</w:t>
            </w:r>
          </w:p>
        </w:tc>
        <w:tc>
          <w:tcPr>
            <w:tcW w:w="496" w:type="pct"/>
            <w:vAlign w:val="center"/>
          </w:tcPr>
          <w:p w14:paraId="44D0721D" w14:textId="2EBFD8D1" w:rsidR="00B84A8C" w:rsidRPr="00F81DB6" w:rsidRDefault="00690874" w:rsidP="00A86627">
            <w:pPr>
              <w:pStyle w:val="In-tableHeading"/>
              <w:jc w:val="center"/>
              <w:rPr>
                <w:szCs w:val="20"/>
                <w:lang w:val="en-AU"/>
              </w:rPr>
            </w:pPr>
            <w:r w:rsidRPr="00F81DB6">
              <w:rPr>
                <w:szCs w:val="20"/>
                <w:lang w:val="en-AU"/>
              </w:rPr>
              <w:t>21vPCV</w:t>
            </w:r>
          </w:p>
        </w:tc>
        <w:tc>
          <w:tcPr>
            <w:tcW w:w="471" w:type="pct"/>
            <w:vAlign w:val="center"/>
          </w:tcPr>
          <w:p w14:paraId="0BB69A5B" w14:textId="77777777" w:rsidR="00B84A8C" w:rsidRPr="00F81DB6" w:rsidRDefault="00B84A8C" w:rsidP="00A86627">
            <w:pPr>
              <w:pStyle w:val="In-tableHeading"/>
              <w:jc w:val="center"/>
              <w:rPr>
                <w:szCs w:val="20"/>
                <w:lang w:val="en-AU"/>
              </w:rPr>
            </w:pPr>
            <w:r w:rsidRPr="00F81DB6">
              <w:rPr>
                <w:szCs w:val="20"/>
                <w:lang w:val="en-AU"/>
              </w:rPr>
              <w:t>20vPCV</w:t>
            </w:r>
          </w:p>
        </w:tc>
        <w:tc>
          <w:tcPr>
            <w:tcW w:w="627" w:type="pct"/>
            <w:vAlign w:val="center"/>
          </w:tcPr>
          <w:p w14:paraId="774C4409" w14:textId="2F4728C6" w:rsidR="00B84A8C" w:rsidRPr="00F81DB6" w:rsidRDefault="00690874" w:rsidP="00A86627">
            <w:pPr>
              <w:pStyle w:val="In-tableHeading"/>
              <w:jc w:val="center"/>
              <w:rPr>
                <w:szCs w:val="20"/>
                <w:lang w:val="en-AU"/>
              </w:rPr>
            </w:pPr>
            <w:r w:rsidRPr="00F81DB6">
              <w:rPr>
                <w:szCs w:val="20"/>
                <w:lang w:val="en-AU"/>
              </w:rPr>
              <w:t>21vPCV</w:t>
            </w:r>
            <w:r w:rsidR="00DF3377">
              <w:rPr>
                <w:szCs w:val="20"/>
                <w:lang w:val="en-AU"/>
              </w:rPr>
              <w:t xml:space="preserve"> + </w:t>
            </w:r>
            <w:r w:rsidR="00B84A8C" w:rsidRPr="00F81DB6">
              <w:rPr>
                <w:szCs w:val="20"/>
                <w:lang w:val="en-AU"/>
              </w:rPr>
              <w:t>Placebo</w:t>
            </w:r>
          </w:p>
        </w:tc>
        <w:tc>
          <w:tcPr>
            <w:tcW w:w="550" w:type="pct"/>
            <w:vAlign w:val="center"/>
          </w:tcPr>
          <w:p w14:paraId="43DB0933" w14:textId="77777777" w:rsidR="00B84A8C" w:rsidRPr="00F81DB6" w:rsidRDefault="00B84A8C" w:rsidP="00A86627">
            <w:pPr>
              <w:pStyle w:val="In-tableHeading"/>
              <w:jc w:val="center"/>
              <w:rPr>
                <w:szCs w:val="20"/>
                <w:lang w:val="en-AU"/>
              </w:rPr>
            </w:pPr>
            <w:r w:rsidRPr="00F81DB6">
              <w:rPr>
                <w:szCs w:val="20"/>
                <w:lang w:val="en-AU"/>
              </w:rPr>
              <w:t>15vPCV + 23vPPV</w:t>
            </w:r>
          </w:p>
        </w:tc>
        <w:tc>
          <w:tcPr>
            <w:tcW w:w="550" w:type="pct"/>
            <w:vAlign w:val="center"/>
          </w:tcPr>
          <w:p w14:paraId="44FCD426" w14:textId="04BF49C3" w:rsidR="00B84A8C" w:rsidRPr="00F81DB6" w:rsidRDefault="00690874" w:rsidP="00A86627">
            <w:pPr>
              <w:pStyle w:val="In-tableHeading"/>
              <w:jc w:val="center"/>
              <w:rPr>
                <w:szCs w:val="20"/>
                <w:lang w:val="en-AU"/>
              </w:rPr>
            </w:pPr>
            <w:r w:rsidRPr="00F81DB6">
              <w:rPr>
                <w:szCs w:val="20"/>
                <w:lang w:val="en-AU"/>
              </w:rPr>
              <w:t>21vPCV</w:t>
            </w:r>
            <w:r w:rsidR="00B84A8C" w:rsidRPr="00F81DB6">
              <w:rPr>
                <w:szCs w:val="20"/>
                <w:lang w:val="en-AU"/>
              </w:rPr>
              <w:t xml:space="preserve"> + Placebo</w:t>
            </w:r>
          </w:p>
        </w:tc>
        <w:tc>
          <w:tcPr>
            <w:tcW w:w="601" w:type="pct"/>
            <w:vAlign w:val="center"/>
          </w:tcPr>
          <w:p w14:paraId="3263A1DA" w14:textId="1A2C1959" w:rsidR="00B84A8C" w:rsidRPr="00F81DB6" w:rsidRDefault="00B84A8C" w:rsidP="00A86627">
            <w:pPr>
              <w:pStyle w:val="In-tableHeading"/>
              <w:jc w:val="center"/>
              <w:rPr>
                <w:szCs w:val="20"/>
                <w:lang w:val="en-AU"/>
              </w:rPr>
            </w:pPr>
            <w:r w:rsidRPr="00F81DB6">
              <w:rPr>
                <w:szCs w:val="20"/>
                <w:lang w:val="en-AU"/>
              </w:rPr>
              <w:t>15vP</w:t>
            </w:r>
            <w:r w:rsidR="0066501B" w:rsidRPr="00F81DB6">
              <w:rPr>
                <w:szCs w:val="20"/>
                <w:lang w:val="en-AU"/>
              </w:rPr>
              <w:t>C</w:t>
            </w:r>
            <w:r w:rsidRPr="00F81DB6">
              <w:rPr>
                <w:szCs w:val="20"/>
                <w:lang w:val="en-AU"/>
              </w:rPr>
              <w:t>V + 23vPPV</w:t>
            </w:r>
          </w:p>
        </w:tc>
      </w:tr>
      <w:tr w:rsidR="00DF3377" w:rsidRPr="00F81DB6" w14:paraId="245FEBA5" w14:textId="77777777" w:rsidTr="00DF3377">
        <w:trPr>
          <w:trHeight w:val="20"/>
          <w:tblHeader/>
        </w:trPr>
        <w:tc>
          <w:tcPr>
            <w:tcW w:w="695" w:type="pct"/>
            <w:vMerge/>
          </w:tcPr>
          <w:p w14:paraId="78FEA9DA" w14:textId="77777777" w:rsidR="00B84A8C" w:rsidRPr="00F81DB6" w:rsidRDefault="00B84A8C" w:rsidP="00A86627">
            <w:pPr>
              <w:pStyle w:val="TableText0"/>
              <w:keepNext/>
              <w:jc w:val="center"/>
              <w:rPr>
                <w:b/>
                <w:bCs w:val="0"/>
                <w:szCs w:val="20"/>
              </w:rPr>
            </w:pPr>
          </w:p>
        </w:tc>
        <w:tc>
          <w:tcPr>
            <w:tcW w:w="542" w:type="pct"/>
            <w:vAlign w:val="center"/>
          </w:tcPr>
          <w:p w14:paraId="5CC71318" w14:textId="77777777" w:rsidR="00B84A8C" w:rsidRPr="00F81DB6" w:rsidRDefault="00B84A8C" w:rsidP="00A86627">
            <w:pPr>
              <w:pStyle w:val="In-tableHeading"/>
              <w:jc w:val="center"/>
              <w:rPr>
                <w:szCs w:val="20"/>
                <w:lang w:val="en-AU"/>
              </w:rPr>
            </w:pPr>
            <w:r w:rsidRPr="00F81DB6">
              <w:rPr>
                <w:szCs w:val="20"/>
                <w:lang w:val="en-AU"/>
              </w:rPr>
              <w:t xml:space="preserve">n (%), </w:t>
            </w:r>
          </w:p>
          <w:p w14:paraId="5C346625" w14:textId="77777777" w:rsidR="00B84A8C" w:rsidRPr="00F81DB6" w:rsidRDefault="00B84A8C" w:rsidP="00A86627">
            <w:pPr>
              <w:pStyle w:val="In-tableHeading"/>
              <w:jc w:val="center"/>
              <w:rPr>
                <w:szCs w:val="20"/>
                <w:lang w:val="en-AU"/>
              </w:rPr>
            </w:pPr>
            <w:r w:rsidRPr="00F81DB6">
              <w:rPr>
                <w:szCs w:val="20"/>
                <w:lang w:val="en-AU"/>
              </w:rPr>
              <w:t>N=1,177</w:t>
            </w:r>
          </w:p>
        </w:tc>
        <w:tc>
          <w:tcPr>
            <w:tcW w:w="468" w:type="pct"/>
            <w:vAlign w:val="center"/>
          </w:tcPr>
          <w:p w14:paraId="613F7EE5" w14:textId="77777777" w:rsidR="00B84A8C" w:rsidRPr="00F81DB6" w:rsidRDefault="00B84A8C" w:rsidP="00A86627">
            <w:pPr>
              <w:pStyle w:val="In-tableHeading"/>
              <w:jc w:val="center"/>
              <w:rPr>
                <w:szCs w:val="20"/>
                <w:lang w:val="en-AU"/>
              </w:rPr>
            </w:pPr>
            <w:r w:rsidRPr="00F81DB6">
              <w:rPr>
                <w:szCs w:val="20"/>
                <w:lang w:val="en-AU"/>
              </w:rPr>
              <w:t>n (%),</w:t>
            </w:r>
          </w:p>
          <w:p w14:paraId="5BF3EEC8" w14:textId="77777777" w:rsidR="00B84A8C" w:rsidRPr="00F81DB6" w:rsidRDefault="00B84A8C" w:rsidP="00A86627">
            <w:pPr>
              <w:pStyle w:val="In-tableHeading"/>
              <w:jc w:val="center"/>
              <w:rPr>
                <w:szCs w:val="20"/>
                <w:lang w:val="en-AU"/>
              </w:rPr>
            </w:pPr>
            <w:r w:rsidRPr="00F81DB6">
              <w:rPr>
                <w:szCs w:val="20"/>
                <w:lang w:val="en-AU"/>
              </w:rPr>
              <w:t>N=1,175</w:t>
            </w:r>
          </w:p>
        </w:tc>
        <w:tc>
          <w:tcPr>
            <w:tcW w:w="496" w:type="pct"/>
            <w:vAlign w:val="center"/>
          </w:tcPr>
          <w:p w14:paraId="381C5575" w14:textId="77777777" w:rsidR="00B84A8C" w:rsidRPr="00F81DB6" w:rsidRDefault="00B84A8C" w:rsidP="00A86627">
            <w:pPr>
              <w:pStyle w:val="In-tableHeading"/>
              <w:jc w:val="center"/>
              <w:rPr>
                <w:szCs w:val="20"/>
                <w:lang w:val="en-AU"/>
              </w:rPr>
            </w:pPr>
            <w:r w:rsidRPr="00F81DB6">
              <w:rPr>
                <w:szCs w:val="20"/>
                <w:lang w:val="en-AU"/>
              </w:rPr>
              <w:t>n (%), N=200</w:t>
            </w:r>
          </w:p>
        </w:tc>
        <w:tc>
          <w:tcPr>
            <w:tcW w:w="471" w:type="pct"/>
            <w:vAlign w:val="center"/>
          </w:tcPr>
          <w:p w14:paraId="32074B70" w14:textId="77777777" w:rsidR="00B84A8C" w:rsidRPr="00F81DB6" w:rsidRDefault="00B84A8C" w:rsidP="00A86627">
            <w:pPr>
              <w:pStyle w:val="In-tableHeading"/>
              <w:jc w:val="center"/>
              <w:rPr>
                <w:szCs w:val="20"/>
                <w:lang w:val="en-AU"/>
              </w:rPr>
            </w:pPr>
            <w:r w:rsidRPr="00F81DB6">
              <w:rPr>
                <w:szCs w:val="20"/>
                <w:lang w:val="en-AU"/>
              </w:rPr>
              <w:t>n (%), N=100</w:t>
            </w:r>
          </w:p>
        </w:tc>
        <w:tc>
          <w:tcPr>
            <w:tcW w:w="627" w:type="pct"/>
            <w:vAlign w:val="center"/>
          </w:tcPr>
          <w:p w14:paraId="5CE5CAAC" w14:textId="77777777" w:rsidR="00B84A8C" w:rsidRPr="00F81DB6" w:rsidRDefault="00B84A8C" w:rsidP="00A86627">
            <w:pPr>
              <w:pStyle w:val="In-tableHeading"/>
              <w:jc w:val="center"/>
              <w:rPr>
                <w:szCs w:val="20"/>
                <w:lang w:val="en-AU"/>
              </w:rPr>
            </w:pPr>
            <w:r w:rsidRPr="00F81DB6">
              <w:rPr>
                <w:szCs w:val="20"/>
                <w:lang w:val="en-AU"/>
              </w:rPr>
              <w:t>n (%), N=155</w:t>
            </w:r>
          </w:p>
        </w:tc>
        <w:tc>
          <w:tcPr>
            <w:tcW w:w="550" w:type="pct"/>
            <w:vAlign w:val="center"/>
          </w:tcPr>
          <w:p w14:paraId="769D1128" w14:textId="77777777" w:rsidR="00B84A8C" w:rsidRPr="00F81DB6" w:rsidRDefault="00B84A8C" w:rsidP="00A86627">
            <w:pPr>
              <w:pStyle w:val="In-tableHeading"/>
              <w:jc w:val="center"/>
              <w:rPr>
                <w:szCs w:val="20"/>
                <w:lang w:val="en-AU"/>
              </w:rPr>
            </w:pPr>
            <w:r w:rsidRPr="00F81DB6">
              <w:rPr>
                <w:szCs w:val="20"/>
                <w:lang w:val="en-AU"/>
              </w:rPr>
              <w:t>n (%),</w:t>
            </w:r>
          </w:p>
          <w:p w14:paraId="02A82239" w14:textId="77777777" w:rsidR="00B84A8C" w:rsidRPr="00F81DB6" w:rsidRDefault="00B84A8C" w:rsidP="00A86627">
            <w:pPr>
              <w:pStyle w:val="In-tableHeading"/>
              <w:jc w:val="center"/>
              <w:rPr>
                <w:szCs w:val="20"/>
                <w:lang w:val="en-AU"/>
              </w:rPr>
            </w:pPr>
            <w:r w:rsidRPr="00F81DB6">
              <w:rPr>
                <w:szCs w:val="20"/>
                <w:lang w:val="en-AU"/>
              </w:rPr>
              <w:t xml:space="preserve"> N=155</w:t>
            </w:r>
          </w:p>
        </w:tc>
        <w:tc>
          <w:tcPr>
            <w:tcW w:w="550" w:type="pct"/>
            <w:vAlign w:val="center"/>
          </w:tcPr>
          <w:p w14:paraId="07358D66" w14:textId="77777777" w:rsidR="00B84A8C" w:rsidRPr="00F81DB6" w:rsidRDefault="00B84A8C" w:rsidP="00A86627">
            <w:pPr>
              <w:pStyle w:val="In-tableHeading"/>
              <w:jc w:val="center"/>
              <w:rPr>
                <w:szCs w:val="20"/>
                <w:lang w:val="en-AU"/>
              </w:rPr>
            </w:pPr>
            <w:r w:rsidRPr="00F81DB6">
              <w:rPr>
                <w:szCs w:val="20"/>
                <w:lang w:val="en-AU"/>
              </w:rPr>
              <w:t>n (%), N=386</w:t>
            </w:r>
          </w:p>
        </w:tc>
        <w:tc>
          <w:tcPr>
            <w:tcW w:w="601" w:type="pct"/>
            <w:vAlign w:val="center"/>
          </w:tcPr>
          <w:p w14:paraId="2C7E275F" w14:textId="77777777" w:rsidR="00B84A8C" w:rsidRPr="00F81DB6" w:rsidRDefault="00B84A8C" w:rsidP="00A86627">
            <w:pPr>
              <w:pStyle w:val="In-tableHeading"/>
              <w:jc w:val="center"/>
              <w:rPr>
                <w:szCs w:val="20"/>
                <w:lang w:val="en-AU"/>
              </w:rPr>
            </w:pPr>
            <w:r w:rsidRPr="00F81DB6">
              <w:rPr>
                <w:szCs w:val="20"/>
                <w:lang w:val="en-AU"/>
              </w:rPr>
              <w:t>n (%),</w:t>
            </w:r>
          </w:p>
          <w:p w14:paraId="7EB94383" w14:textId="77777777" w:rsidR="00B84A8C" w:rsidRPr="00F81DB6" w:rsidRDefault="00B84A8C" w:rsidP="00A86627">
            <w:pPr>
              <w:pStyle w:val="In-tableHeading"/>
              <w:jc w:val="center"/>
              <w:rPr>
                <w:szCs w:val="20"/>
                <w:lang w:val="en-AU"/>
              </w:rPr>
            </w:pPr>
            <w:r w:rsidRPr="00F81DB6">
              <w:rPr>
                <w:szCs w:val="20"/>
                <w:lang w:val="en-AU"/>
              </w:rPr>
              <w:t xml:space="preserve"> N=130</w:t>
            </w:r>
          </w:p>
        </w:tc>
      </w:tr>
      <w:tr w:rsidR="00DF3377" w:rsidRPr="00F81DB6" w14:paraId="1731D2A7" w14:textId="77777777" w:rsidTr="00DF3377">
        <w:trPr>
          <w:trHeight w:val="20"/>
        </w:trPr>
        <w:tc>
          <w:tcPr>
            <w:tcW w:w="695" w:type="pct"/>
          </w:tcPr>
          <w:p w14:paraId="0EDFDC28" w14:textId="77777777" w:rsidR="00B84A8C" w:rsidRPr="00F81DB6" w:rsidRDefault="00B84A8C" w:rsidP="00A86627">
            <w:pPr>
              <w:pStyle w:val="TableText0"/>
              <w:keepNext/>
              <w:rPr>
                <w:szCs w:val="20"/>
              </w:rPr>
            </w:pPr>
            <w:r w:rsidRPr="00F81DB6">
              <w:rPr>
                <w:szCs w:val="20"/>
              </w:rPr>
              <w:t>One or more AE</w:t>
            </w:r>
          </w:p>
        </w:tc>
        <w:tc>
          <w:tcPr>
            <w:tcW w:w="542" w:type="pct"/>
            <w:vAlign w:val="center"/>
          </w:tcPr>
          <w:p w14:paraId="3D0D9B63" w14:textId="77777777" w:rsidR="00B84A8C" w:rsidRPr="00F81DB6" w:rsidRDefault="00B84A8C" w:rsidP="00A86627">
            <w:pPr>
              <w:pStyle w:val="TableText0"/>
              <w:keepNext/>
              <w:jc w:val="center"/>
              <w:rPr>
                <w:bCs w:val="0"/>
                <w:szCs w:val="20"/>
              </w:rPr>
            </w:pPr>
            <w:r w:rsidRPr="00F81DB6">
              <w:rPr>
                <w:bCs w:val="0"/>
                <w:szCs w:val="20"/>
              </w:rPr>
              <w:t>685 (58.2)</w:t>
            </w:r>
          </w:p>
        </w:tc>
        <w:tc>
          <w:tcPr>
            <w:tcW w:w="468" w:type="pct"/>
            <w:vAlign w:val="center"/>
          </w:tcPr>
          <w:p w14:paraId="4E0EE8ED" w14:textId="77777777" w:rsidR="00B84A8C" w:rsidRPr="00F81DB6" w:rsidRDefault="00B84A8C" w:rsidP="00A86627">
            <w:pPr>
              <w:pStyle w:val="TableText0"/>
              <w:keepNext/>
              <w:jc w:val="center"/>
              <w:rPr>
                <w:bCs w:val="0"/>
                <w:szCs w:val="20"/>
              </w:rPr>
            </w:pPr>
            <w:r w:rsidRPr="00F81DB6">
              <w:rPr>
                <w:bCs w:val="0"/>
                <w:szCs w:val="20"/>
              </w:rPr>
              <w:t>778 (66.2)</w:t>
            </w:r>
          </w:p>
        </w:tc>
        <w:tc>
          <w:tcPr>
            <w:tcW w:w="496" w:type="pct"/>
            <w:vAlign w:val="center"/>
          </w:tcPr>
          <w:p w14:paraId="2D0A9C46" w14:textId="77777777" w:rsidR="00B84A8C" w:rsidRPr="00F81DB6" w:rsidRDefault="00B84A8C" w:rsidP="00A86627">
            <w:pPr>
              <w:pStyle w:val="TableText0"/>
              <w:keepNext/>
              <w:jc w:val="center"/>
              <w:rPr>
                <w:szCs w:val="20"/>
              </w:rPr>
            </w:pPr>
            <w:r w:rsidRPr="00F81DB6">
              <w:rPr>
                <w:szCs w:val="20"/>
              </w:rPr>
              <w:t>164 (82.0)</w:t>
            </w:r>
          </w:p>
        </w:tc>
        <w:tc>
          <w:tcPr>
            <w:tcW w:w="471" w:type="pct"/>
            <w:vAlign w:val="center"/>
          </w:tcPr>
          <w:p w14:paraId="0B19EA8C" w14:textId="77777777" w:rsidR="00B84A8C" w:rsidRPr="00F81DB6" w:rsidRDefault="00B84A8C" w:rsidP="00A86627">
            <w:pPr>
              <w:pStyle w:val="TableText0"/>
              <w:keepNext/>
              <w:jc w:val="center"/>
              <w:rPr>
                <w:szCs w:val="20"/>
              </w:rPr>
            </w:pPr>
            <w:r w:rsidRPr="00F81DB6">
              <w:rPr>
                <w:szCs w:val="20"/>
              </w:rPr>
              <w:t>79 (79)</w:t>
            </w:r>
          </w:p>
        </w:tc>
        <w:tc>
          <w:tcPr>
            <w:tcW w:w="627" w:type="pct"/>
            <w:vAlign w:val="center"/>
          </w:tcPr>
          <w:p w14:paraId="7C47AA6A" w14:textId="77777777" w:rsidR="00B84A8C" w:rsidRPr="00F81DB6" w:rsidRDefault="00B84A8C" w:rsidP="00A86627">
            <w:pPr>
              <w:pStyle w:val="TableText0"/>
              <w:keepNext/>
              <w:jc w:val="center"/>
              <w:rPr>
                <w:szCs w:val="20"/>
              </w:rPr>
            </w:pPr>
            <w:r w:rsidRPr="00F81DB6">
              <w:rPr>
                <w:szCs w:val="20"/>
              </w:rPr>
              <w:t>111 (71.6)</w:t>
            </w:r>
          </w:p>
        </w:tc>
        <w:tc>
          <w:tcPr>
            <w:tcW w:w="550" w:type="pct"/>
            <w:vAlign w:val="center"/>
          </w:tcPr>
          <w:p w14:paraId="64618F21" w14:textId="77777777" w:rsidR="00B84A8C" w:rsidRPr="00F81DB6" w:rsidRDefault="00B84A8C" w:rsidP="00A86627">
            <w:pPr>
              <w:pStyle w:val="TableText0"/>
              <w:keepNext/>
              <w:jc w:val="center"/>
              <w:rPr>
                <w:szCs w:val="20"/>
              </w:rPr>
            </w:pPr>
            <w:r w:rsidRPr="00F81DB6">
              <w:rPr>
                <w:szCs w:val="20"/>
              </w:rPr>
              <w:t>141 (91.0)</w:t>
            </w:r>
          </w:p>
        </w:tc>
        <w:tc>
          <w:tcPr>
            <w:tcW w:w="550" w:type="pct"/>
            <w:vAlign w:val="center"/>
          </w:tcPr>
          <w:p w14:paraId="0DBCD11D" w14:textId="77777777" w:rsidR="00B84A8C" w:rsidRPr="00F81DB6" w:rsidRDefault="00B84A8C" w:rsidP="00A86627">
            <w:pPr>
              <w:pStyle w:val="TableText0"/>
              <w:keepNext/>
              <w:jc w:val="center"/>
              <w:rPr>
                <w:szCs w:val="20"/>
              </w:rPr>
            </w:pPr>
            <w:r w:rsidRPr="00F81DB6">
              <w:rPr>
                <w:szCs w:val="20"/>
              </w:rPr>
              <w:t>265 (68.7)</w:t>
            </w:r>
          </w:p>
        </w:tc>
        <w:tc>
          <w:tcPr>
            <w:tcW w:w="601" w:type="pct"/>
            <w:vAlign w:val="center"/>
          </w:tcPr>
          <w:p w14:paraId="1FAEFD22" w14:textId="77777777" w:rsidR="00B84A8C" w:rsidRPr="00F81DB6" w:rsidRDefault="00B84A8C" w:rsidP="00A86627">
            <w:pPr>
              <w:pStyle w:val="TableText0"/>
              <w:keepNext/>
              <w:jc w:val="center"/>
              <w:rPr>
                <w:szCs w:val="20"/>
              </w:rPr>
            </w:pPr>
            <w:r w:rsidRPr="00F81DB6">
              <w:rPr>
                <w:szCs w:val="20"/>
              </w:rPr>
              <w:t>118 (90.8)</w:t>
            </w:r>
          </w:p>
        </w:tc>
      </w:tr>
      <w:tr w:rsidR="00DF3377" w:rsidRPr="00F81DB6" w14:paraId="356FBF28" w14:textId="77777777" w:rsidTr="00DF3377">
        <w:trPr>
          <w:trHeight w:val="20"/>
        </w:trPr>
        <w:tc>
          <w:tcPr>
            <w:tcW w:w="695" w:type="pct"/>
          </w:tcPr>
          <w:p w14:paraId="6D6B0737" w14:textId="77777777" w:rsidR="00B84A8C" w:rsidRPr="00F81DB6" w:rsidRDefault="00B84A8C" w:rsidP="00A86627">
            <w:pPr>
              <w:pStyle w:val="TableText0"/>
              <w:keepNext/>
              <w:ind w:right="190"/>
              <w:rPr>
                <w:szCs w:val="20"/>
              </w:rPr>
            </w:pPr>
            <w:r w:rsidRPr="00F81DB6">
              <w:rPr>
                <w:szCs w:val="20"/>
              </w:rPr>
              <w:t>Systemic AEs</w:t>
            </w:r>
          </w:p>
        </w:tc>
        <w:tc>
          <w:tcPr>
            <w:tcW w:w="542" w:type="pct"/>
            <w:vAlign w:val="center"/>
          </w:tcPr>
          <w:p w14:paraId="3E00ABD0" w14:textId="77777777" w:rsidR="00B84A8C" w:rsidRPr="00F81DB6" w:rsidRDefault="00B84A8C" w:rsidP="00A86627">
            <w:pPr>
              <w:pStyle w:val="TableText0"/>
              <w:keepNext/>
              <w:jc w:val="center"/>
              <w:rPr>
                <w:bCs w:val="0"/>
                <w:szCs w:val="20"/>
              </w:rPr>
            </w:pPr>
            <w:r w:rsidRPr="00F81DB6">
              <w:rPr>
                <w:bCs w:val="0"/>
                <w:szCs w:val="20"/>
              </w:rPr>
              <w:t>461 (39.2)</w:t>
            </w:r>
          </w:p>
        </w:tc>
        <w:tc>
          <w:tcPr>
            <w:tcW w:w="468" w:type="pct"/>
            <w:vAlign w:val="center"/>
          </w:tcPr>
          <w:p w14:paraId="3ACC1484" w14:textId="77777777" w:rsidR="00B84A8C" w:rsidRPr="00F81DB6" w:rsidRDefault="00B84A8C" w:rsidP="00A86627">
            <w:pPr>
              <w:pStyle w:val="TableText0"/>
              <w:keepNext/>
              <w:jc w:val="center"/>
              <w:rPr>
                <w:bCs w:val="0"/>
                <w:szCs w:val="20"/>
              </w:rPr>
            </w:pPr>
            <w:r w:rsidRPr="00F81DB6">
              <w:rPr>
                <w:bCs w:val="0"/>
                <w:szCs w:val="20"/>
              </w:rPr>
              <w:t>470 (40.0)</w:t>
            </w:r>
          </w:p>
        </w:tc>
        <w:tc>
          <w:tcPr>
            <w:tcW w:w="496" w:type="pct"/>
            <w:vAlign w:val="center"/>
          </w:tcPr>
          <w:p w14:paraId="423BF082" w14:textId="77777777" w:rsidR="00B84A8C" w:rsidRPr="00F81DB6" w:rsidRDefault="00B84A8C" w:rsidP="00A86627">
            <w:pPr>
              <w:pStyle w:val="TableText0"/>
              <w:keepNext/>
              <w:jc w:val="center"/>
              <w:rPr>
                <w:szCs w:val="20"/>
              </w:rPr>
            </w:pPr>
            <w:r w:rsidRPr="00F81DB6">
              <w:rPr>
                <w:szCs w:val="20"/>
              </w:rPr>
              <w:t>118 (59.0)</w:t>
            </w:r>
          </w:p>
        </w:tc>
        <w:tc>
          <w:tcPr>
            <w:tcW w:w="471" w:type="pct"/>
            <w:vAlign w:val="center"/>
          </w:tcPr>
          <w:p w14:paraId="10867BED" w14:textId="77777777" w:rsidR="00B84A8C" w:rsidRPr="00F81DB6" w:rsidRDefault="00B84A8C" w:rsidP="00A86627">
            <w:pPr>
              <w:pStyle w:val="TableText0"/>
              <w:keepNext/>
              <w:jc w:val="center"/>
              <w:rPr>
                <w:szCs w:val="20"/>
              </w:rPr>
            </w:pPr>
            <w:r w:rsidRPr="00F81DB6">
              <w:rPr>
                <w:szCs w:val="20"/>
              </w:rPr>
              <w:t>50 (50)</w:t>
            </w:r>
          </w:p>
        </w:tc>
        <w:tc>
          <w:tcPr>
            <w:tcW w:w="627" w:type="pct"/>
            <w:vAlign w:val="center"/>
          </w:tcPr>
          <w:p w14:paraId="124CFEA1" w14:textId="77777777" w:rsidR="00B84A8C" w:rsidRPr="00F81DB6" w:rsidRDefault="00B84A8C" w:rsidP="00A86627">
            <w:pPr>
              <w:pStyle w:val="TableText0"/>
              <w:keepNext/>
              <w:jc w:val="center"/>
              <w:rPr>
                <w:szCs w:val="20"/>
              </w:rPr>
            </w:pPr>
            <w:r w:rsidRPr="00F81DB6">
              <w:rPr>
                <w:szCs w:val="20"/>
              </w:rPr>
              <w:t>98 (63.2)</w:t>
            </w:r>
          </w:p>
        </w:tc>
        <w:tc>
          <w:tcPr>
            <w:tcW w:w="550" w:type="pct"/>
            <w:vAlign w:val="center"/>
          </w:tcPr>
          <w:p w14:paraId="2ED11D90" w14:textId="77777777" w:rsidR="00B84A8C" w:rsidRPr="00F81DB6" w:rsidRDefault="00B84A8C" w:rsidP="00A86627">
            <w:pPr>
              <w:pStyle w:val="TableText0"/>
              <w:keepNext/>
              <w:jc w:val="center"/>
              <w:rPr>
                <w:szCs w:val="20"/>
              </w:rPr>
            </w:pPr>
            <w:r w:rsidRPr="00F81DB6">
              <w:rPr>
                <w:szCs w:val="20"/>
              </w:rPr>
              <w:t>92 (59.4)</w:t>
            </w:r>
          </w:p>
        </w:tc>
        <w:tc>
          <w:tcPr>
            <w:tcW w:w="550" w:type="pct"/>
            <w:vAlign w:val="center"/>
          </w:tcPr>
          <w:p w14:paraId="2767E432" w14:textId="77777777" w:rsidR="00B84A8C" w:rsidRPr="00F81DB6" w:rsidRDefault="00B84A8C" w:rsidP="00A86627">
            <w:pPr>
              <w:pStyle w:val="TableText0"/>
              <w:keepNext/>
              <w:jc w:val="center"/>
              <w:rPr>
                <w:szCs w:val="20"/>
              </w:rPr>
            </w:pPr>
            <w:r w:rsidRPr="00F81DB6">
              <w:rPr>
                <w:szCs w:val="20"/>
              </w:rPr>
              <w:t>199 (51.6)</w:t>
            </w:r>
          </w:p>
        </w:tc>
        <w:tc>
          <w:tcPr>
            <w:tcW w:w="601" w:type="pct"/>
            <w:vAlign w:val="center"/>
          </w:tcPr>
          <w:p w14:paraId="57AA258F" w14:textId="77777777" w:rsidR="00B84A8C" w:rsidRPr="00F81DB6" w:rsidRDefault="00B84A8C" w:rsidP="00A86627">
            <w:pPr>
              <w:pStyle w:val="TableText0"/>
              <w:keepNext/>
              <w:jc w:val="center"/>
              <w:rPr>
                <w:szCs w:val="20"/>
              </w:rPr>
            </w:pPr>
            <w:r w:rsidRPr="00F81DB6">
              <w:rPr>
                <w:szCs w:val="20"/>
              </w:rPr>
              <w:t>89 (68.5)</w:t>
            </w:r>
          </w:p>
        </w:tc>
      </w:tr>
      <w:tr w:rsidR="00DF3377" w:rsidRPr="00F81DB6" w14:paraId="77922D6C" w14:textId="77777777" w:rsidTr="00DF3377">
        <w:trPr>
          <w:trHeight w:val="20"/>
        </w:trPr>
        <w:tc>
          <w:tcPr>
            <w:tcW w:w="695" w:type="pct"/>
          </w:tcPr>
          <w:p w14:paraId="1B054411" w14:textId="77777777" w:rsidR="00B84A8C" w:rsidRPr="00F81DB6" w:rsidRDefault="00B84A8C" w:rsidP="00A86627">
            <w:pPr>
              <w:pStyle w:val="TableText0"/>
              <w:keepNext/>
              <w:rPr>
                <w:szCs w:val="20"/>
              </w:rPr>
            </w:pPr>
            <w:r w:rsidRPr="00F81DB6">
              <w:rPr>
                <w:szCs w:val="20"/>
              </w:rPr>
              <w:t>Vaccine-related</w:t>
            </w:r>
            <w:r w:rsidRPr="00F81DB6">
              <w:rPr>
                <w:szCs w:val="20"/>
                <w:vertAlign w:val="superscript"/>
              </w:rPr>
              <w:t>a</w:t>
            </w:r>
            <w:r w:rsidRPr="00F81DB6">
              <w:rPr>
                <w:szCs w:val="20"/>
              </w:rPr>
              <w:t xml:space="preserve"> AE</w:t>
            </w:r>
          </w:p>
        </w:tc>
        <w:tc>
          <w:tcPr>
            <w:tcW w:w="542" w:type="pct"/>
            <w:vAlign w:val="center"/>
          </w:tcPr>
          <w:p w14:paraId="3410EE2F" w14:textId="77777777" w:rsidR="00B84A8C" w:rsidRPr="00F81DB6" w:rsidRDefault="00B84A8C" w:rsidP="00A86627">
            <w:pPr>
              <w:pStyle w:val="TableText0"/>
              <w:keepNext/>
              <w:jc w:val="center"/>
              <w:rPr>
                <w:bCs w:val="0"/>
                <w:szCs w:val="20"/>
              </w:rPr>
            </w:pPr>
            <w:r w:rsidRPr="00F81DB6">
              <w:rPr>
                <w:bCs w:val="0"/>
                <w:szCs w:val="20"/>
              </w:rPr>
              <w:t>609 (51.7)</w:t>
            </w:r>
          </w:p>
        </w:tc>
        <w:tc>
          <w:tcPr>
            <w:tcW w:w="468" w:type="pct"/>
            <w:vAlign w:val="center"/>
          </w:tcPr>
          <w:p w14:paraId="088E48C9" w14:textId="77777777" w:rsidR="00B84A8C" w:rsidRPr="00F81DB6" w:rsidRDefault="00B84A8C" w:rsidP="00A86627">
            <w:pPr>
              <w:pStyle w:val="TableText0"/>
              <w:keepNext/>
              <w:jc w:val="center"/>
              <w:rPr>
                <w:bCs w:val="0"/>
                <w:szCs w:val="20"/>
              </w:rPr>
            </w:pPr>
            <w:r w:rsidRPr="00F81DB6">
              <w:rPr>
                <w:bCs w:val="0"/>
                <w:szCs w:val="20"/>
              </w:rPr>
              <w:t>715 (60.9)</w:t>
            </w:r>
          </w:p>
        </w:tc>
        <w:tc>
          <w:tcPr>
            <w:tcW w:w="496" w:type="pct"/>
            <w:vAlign w:val="center"/>
          </w:tcPr>
          <w:p w14:paraId="558AF3FA" w14:textId="77777777" w:rsidR="00B84A8C" w:rsidRPr="00F81DB6" w:rsidRDefault="00B84A8C" w:rsidP="00A86627">
            <w:pPr>
              <w:pStyle w:val="TableText0"/>
              <w:keepNext/>
              <w:jc w:val="center"/>
              <w:rPr>
                <w:szCs w:val="20"/>
              </w:rPr>
            </w:pPr>
            <w:r w:rsidRPr="00F81DB6">
              <w:rPr>
                <w:szCs w:val="20"/>
              </w:rPr>
              <w:t>159 (79.5)</w:t>
            </w:r>
          </w:p>
        </w:tc>
        <w:tc>
          <w:tcPr>
            <w:tcW w:w="471" w:type="pct"/>
            <w:vAlign w:val="center"/>
          </w:tcPr>
          <w:p w14:paraId="4EBE970F" w14:textId="77777777" w:rsidR="00B84A8C" w:rsidRPr="00F81DB6" w:rsidRDefault="00B84A8C" w:rsidP="00A86627">
            <w:pPr>
              <w:pStyle w:val="TableText0"/>
              <w:keepNext/>
              <w:jc w:val="center"/>
              <w:rPr>
                <w:szCs w:val="20"/>
              </w:rPr>
            </w:pPr>
            <w:r w:rsidRPr="00F81DB6">
              <w:rPr>
                <w:szCs w:val="20"/>
              </w:rPr>
              <w:t>78 (78)</w:t>
            </w:r>
          </w:p>
        </w:tc>
        <w:tc>
          <w:tcPr>
            <w:tcW w:w="627" w:type="pct"/>
            <w:vAlign w:val="center"/>
          </w:tcPr>
          <w:p w14:paraId="00B6011B" w14:textId="77777777" w:rsidR="00B84A8C" w:rsidRPr="00F81DB6" w:rsidRDefault="00B84A8C" w:rsidP="00A86627">
            <w:pPr>
              <w:pStyle w:val="TableText0"/>
              <w:keepNext/>
              <w:jc w:val="center"/>
              <w:rPr>
                <w:szCs w:val="20"/>
              </w:rPr>
            </w:pPr>
            <w:r w:rsidRPr="00F81DB6">
              <w:rPr>
                <w:szCs w:val="20"/>
              </w:rPr>
              <w:t>96 (61.9)</w:t>
            </w:r>
          </w:p>
        </w:tc>
        <w:tc>
          <w:tcPr>
            <w:tcW w:w="550" w:type="pct"/>
            <w:vAlign w:val="center"/>
          </w:tcPr>
          <w:p w14:paraId="61551670" w14:textId="77777777" w:rsidR="00B84A8C" w:rsidRPr="00F81DB6" w:rsidRDefault="00B84A8C" w:rsidP="00A86627">
            <w:pPr>
              <w:pStyle w:val="TableText0"/>
              <w:keepNext/>
              <w:jc w:val="center"/>
              <w:rPr>
                <w:szCs w:val="20"/>
              </w:rPr>
            </w:pPr>
            <w:r w:rsidRPr="00F81DB6">
              <w:rPr>
                <w:szCs w:val="20"/>
              </w:rPr>
              <w:t>136 (87.7)</w:t>
            </w:r>
          </w:p>
        </w:tc>
        <w:tc>
          <w:tcPr>
            <w:tcW w:w="550" w:type="pct"/>
            <w:vAlign w:val="center"/>
          </w:tcPr>
          <w:p w14:paraId="184AB848" w14:textId="77777777" w:rsidR="00B84A8C" w:rsidRPr="00F81DB6" w:rsidRDefault="00B84A8C" w:rsidP="00A86627">
            <w:pPr>
              <w:pStyle w:val="TableText0"/>
              <w:keepNext/>
              <w:jc w:val="center"/>
              <w:rPr>
                <w:szCs w:val="20"/>
              </w:rPr>
            </w:pPr>
            <w:r w:rsidRPr="00F81DB6">
              <w:rPr>
                <w:szCs w:val="20"/>
              </w:rPr>
              <w:t>241 (62.4)</w:t>
            </w:r>
          </w:p>
        </w:tc>
        <w:tc>
          <w:tcPr>
            <w:tcW w:w="601" w:type="pct"/>
            <w:vAlign w:val="center"/>
          </w:tcPr>
          <w:p w14:paraId="058C6F30" w14:textId="77777777" w:rsidR="00B84A8C" w:rsidRPr="00F81DB6" w:rsidRDefault="00B84A8C" w:rsidP="00A86627">
            <w:pPr>
              <w:pStyle w:val="TableText0"/>
              <w:keepNext/>
              <w:jc w:val="center"/>
              <w:rPr>
                <w:szCs w:val="20"/>
              </w:rPr>
            </w:pPr>
            <w:r w:rsidRPr="00F81DB6">
              <w:rPr>
                <w:szCs w:val="20"/>
              </w:rPr>
              <w:t>112 (86.2)</w:t>
            </w:r>
          </w:p>
        </w:tc>
      </w:tr>
      <w:tr w:rsidR="00DF3377" w:rsidRPr="00F81DB6" w14:paraId="6C44768C" w14:textId="77777777" w:rsidTr="00DF3377">
        <w:trPr>
          <w:trHeight w:val="20"/>
        </w:trPr>
        <w:tc>
          <w:tcPr>
            <w:tcW w:w="695" w:type="pct"/>
          </w:tcPr>
          <w:p w14:paraId="3DE56FC9" w14:textId="77777777" w:rsidR="00B84A8C" w:rsidRPr="00F81DB6" w:rsidRDefault="00B84A8C" w:rsidP="00A86627">
            <w:pPr>
              <w:pStyle w:val="TableText0"/>
              <w:keepNext/>
              <w:ind w:right="190"/>
              <w:rPr>
                <w:szCs w:val="20"/>
              </w:rPr>
            </w:pPr>
            <w:r w:rsidRPr="00F81DB6">
              <w:rPr>
                <w:szCs w:val="20"/>
              </w:rPr>
              <w:t>Injection-site</w:t>
            </w:r>
          </w:p>
        </w:tc>
        <w:tc>
          <w:tcPr>
            <w:tcW w:w="542" w:type="pct"/>
            <w:vAlign w:val="center"/>
          </w:tcPr>
          <w:p w14:paraId="25FE4D0F" w14:textId="77777777" w:rsidR="00B84A8C" w:rsidRPr="00F81DB6" w:rsidRDefault="00B84A8C" w:rsidP="00A86627">
            <w:pPr>
              <w:pStyle w:val="TableText0"/>
              <w:keepNext/>
              <w:jc w:val="center"/>
              <w:rPr>
                <w:szCs w:val="20"/>
              </w:rPr>
            </w:pPr>
            <w:r w:rsidRPr="00F81DB6">
              <w:rPr>
                <w:szCs w:val="20"/>
              </w:rPr>
              <w:t>505 (42.9)</w:t>
            </w:r>
          </w:p>
        </w:tc>
        <w:tc>
          <w:tcPr>
            <w:tcW w:w="468" w:type="pct"/>
            <w:vAlign w:val="center"/>
          </w:tcPr>
          <w:p w14:paraId="27DF0687" w14:textId="77777777" w:rsidR="00B84A8C" w:rsidRPr="00F81DB6" w:rsidRDefault="00B84A8C" w:rsidP="00A86627">
            <w:pPr>
              <w:pStyle w:val="TableText0"/>
              <w:keepNext/>
              <w:jc w:val="center"/>
              <w:rPr>
                <w:szCs w:val="20"/>
              </w:rPr>
            </w:pPr>
            <w:r w:rsidRPr="00F81DB6">
              <w:rPr>
                <w:szCs w:val="20"/>
              </w:rPr>
              <w:t>642 (54.6)</w:t>
            </w:r>
          </w:p>
        </w:tc>
        <w:tc>
          <w:tcPr>
            <w:tcW w:w="496" w:type="pct"/>
            <w:vAlign w:val="center"/>
          </w:tcPr>
          <w:p w14:paraId="320A26DC" w14:textId="77777777" w:rsidR="00B84A8C" w:rsidRPr="00F81DB6" w:rsidRDefault="00B84A8C" w:rsidP="00A86627">
            <w:pPr>
              <w:pStyle w:val="TableText0"/>
              <w:keepNext/>
              <w:jc w:val="center"/>
              <w:rPr>
                <w:szCs w:val="20"/>
              </w:rPr>
            </w:pPr>
            <w:r w:rsidRPr="00F81DB6">
              <w:rPr>
                <w:szCs w:val="20"/>
              </w:rPr>
              <w:t>146 (73.0)</w:t>
            </w:r>
          </w:p>
        </w:tc>
        <w:tc>
          <w:tcPr>
            <w:tcW w:w="471" w:type="pct"/>
            <w:vAlign w:val="center"/>
          </w:tcPr>
          <w:p w14:paraId="4A819A24" w14:textId="77777777" w:rsidR="00B84A8C" w:rsidRPr="00F81DB6" w:rsidRDefault="00B84A8C" w:rsidP="00A86627">
            <w:pPr>
              <w:pStyle w:val="TableText0"/>
              <w:keepNext/>
              <w:jc w:val="center"/>
              <w:rPr>
                <w:szCs w:val="20"/>
              </w:rPr>
            </w:pPr>
            <w:r w:rsidRPr="00F81DB6">
              <w:rPr>
                <w:szCs w:val="20"/>
              </w:rPr>
              <w:t>75 (75)</w:t>
            </w:r>
          </w:p>
        </w:tc>
        <w:tc>
          <w:tcPr>
            <w:tcW w:w="627" w:type="pct"/>
            <w:vAlign w:val="center"/>
          </w:tcPr>
          <w:p w14:paraId="69033735" w14:textId="77777777" w:rsidR="00B84A8C" w:rsidRPr="00F81DB6" w:rsidRDefault="00B84A8C" w:rsidP="00A86627">
            <w:pPr>
              <w:pStyle w:val="TableText0"/>
              <w:keepNext/>
              <w:jc w:val="center"/>
              <w:rPr>
                <w:szCs w:val="20"/>
              </w:rPr>
            </w:pPr>
            <w:r w:rsidRPr="00F81DB6">
              <w:rPr>
                <w:szCs w:val="20"/>
              </w:rPr>
              <w:t>79 (51.0)</w:t>
            </w:r>
          </w:p>
        </w:tc>
        <w:tc>
          <w:tcPr>
            <w:tcW w:w="550" w:type="pct"/>
            <w:vAlign w:val="center"/>
          </w:tcPr>
          <w:p w14:paraId="3B69EE2E" w14:textId="77777777" w:rsidR="00B84A8C" w:rsidRPr="00F81DB6" w:rsidRDefault="00B84A8C" w:rsidP="00A86627">
            <w:pPr>
              <w:pStyle w:val="TableText0"/>
              <w:keepNext/>
              <w:jc w:val="center"/>
              <w:rPr>
                <w:szCs w:val="20"/>
              </w:rPr>
            </w:pPr>
            <w:r w:rsidRPr="00F81DB6">
              <w:rPr>
                <w:szCs w:val="20"/>
              </w:rPr>
              <w:t>130 (83.9)</w:t>
            </w:r>
          </w:p>
        </w:tc>
        <w:tc>
          <w:tcPr>
            <w:tcW w:w="550" w:type="pct"/>
            <w:vAlign w:val="center"/>
          </w:tcPr>
          <w:p w14:paraId="69E33333" w14:textId="77777777" w:rsidR="00B84A8C" w:rsidRPr="00F81DB6" w:rsidRDefault="00B84A8C" w:rsidP="00A86627">
            <w:pPr>
              <w:pStyle w:val="TableText0"/>
              <w:keepNext/>
              <w:jc w:val="center"/>
              <w:rPr>
                <w:szCs w:val="20"/>
              </w:rPr>
            </w:pPr>
            <w:r w:rsidRPr="00F81DB6">
              <w:rPr>
                <w:szCs w:val="20"/>
              </w:rPr>
              <w:t>206 (53.4)</w:t>
            </w:r>
          </w:p>
        </w:tc>
        <w:tc>
          <w:tcPr>
            <w:tcW w:w="601" w:type="pct"/>
            <w:vAlign w:val="center"/>
          </w:tcPr>
          <w:p w14:paraId="4C301939" w14:textId="77777777" w:rsidR="00B84A8C" w:rsidRPr="00F81DB6" w:rsidRDefault="00B84A8C" w:rsidP="00A86627">
            <w:pPr>
              <w:pStyle w:val="TableText0"/>
              <w:keepNext/>
              <w:jc w:val="center"/>
              <w:rPr>
                <w:szCs w:val="20"/>
              </w:rPr>
            </w:pPr>
            <w:r w:rsidRPr="00F81DB6">
              <w:rPr>
                <w:szCs w:val="20"/>
              </w:rPr>
              <w:t>107 (82.3)</w:t>
            </w:r>
          </w:p>
        </w:tc>
      </w:tr>
      <w:tr w:rsidR="00DF3377" w:rsidRPr="00F81DB6" w14:paraId="13ECEC9D" w14:textId="77777777" w:rsidTr="00DF3377">
        <w:trPr>
          <w:trHeight w:val="20"/>
        </w:trPr>
        <w:tc>
          <w:tcPr>
            <w:tcW w:w="695" w:type="pct"/>
          </w:tcPr>
          <w:p w14:paraId="1984C6B5" w14:textId="77777777" w:rsidR="00B84A8C" w:rsidRPr="00F81DB6" w:rsidRDefault="00B84A8C" w:rsidP="00A86627">
            <w:pPr>
              <w:pStyle w:val="TableText0"/>
              <w:keepNext/>
              <w:ind w:right="190"/>
              <w:rPr>
                <w:szCs w:val="20"/>
              </w:rPr>
            </w:pPr>
            <w:r w:rsidRPr="00F81DB6">
              <w:rPr>
                <w:szCs w:val="20"/>
              </w:rPr>
              <w:t>Systemic</w:t>
            </w:r>
          </w:p>
        </w:tc>
        <w:tc>
          <w:tcPr>
            <w:tcW w:w="542" w:type="pct"/>
            <w:vAlign w:val="center"/>
          </w:tcPr>
          <w:p w14:paraId="15C7CC52" w14:textId="77777777" w:rsidR="00B84A8C" w:rsidRPr="00F81DB6" w:rsidRDefault="00B84A8C" w:rsidP="00A86627">
            <w:pPr>
              <w:pStyle w:val="TableText0"/>
              <w:keepNext/>
              <w:jc w:val="center"/>
              <w:rPr>
                <w:szCs w:val="20"/>
              </w:rPr>
            </w:pPr>
            <w:r w:rsidRPr="00F81DB6">
              <w:rPr>
                <w:szCs w:val="20"/>
              </w:rPr>
              <w:t>322 (27.4)</w:t>
            </w:r>
          </w:p>
        </w:tc>
        <w:tc>
          <w:tcPr>
            <w:tcW w:w="468" w:type="pct"/>
            <w:vAlign w:val="center"/>
          </w:tcPr>
          <w:p w14:paraId="2CF632F7" w14:textId="77777777" w:rsidR="00B84A8C" w:rsidRPr="00F81DB6" w:rsidRDefault="00B84A8C" w:rsidP="00A86627">
            <w:pPr>
              <w:pStyle w:val="TableText0"/>
              <w:keepNext/>
              <w:jc w:val="center"/>
              <w:rPr>
                <w:szCs w:val="20"/>
              </w:rPr>
            </w:pPr>
            <w:r w:rsidRPr="00F81DB6">
              <w:rPr>
                <w:szCs w:val="20"/>
              </w:rPr>
              <w:t>316 (26.9)</w:t>
            </w:r>
          </w:p>
        </w:tc>
        <w:tc>
          <w:tcPr>
            <w:tcW w:w="496" w:type="pct"/>
            <w:vAlign w:val="center"/>
          </w:tcPr>
          <w:p w14:paraId="7C0E0B03" w14:textId="77777777" w:rsidR="00B84A8C" w:rsidRPr="00F81DB6" w:rsidRDefault="00B84A8C" w:rsidP="00A86627">
            <w:pPr>
              <w:pStyle w:val="TableText0"/>
              <w:keepNext/>
              <w:jc w:val="center"/>
              <w:rPr>
                <w:szCs w:val="20"/>
              </w:rPr>
            </w:pPr>
            <w:r w:rsidRPr="00F81DB6">
              <w:rPr>
                <w:szCs w:val="20"/>
              </w:rPr>
              <w:t>102</w:t>
            </w:r>
          </w:p>
        </w:tc>
        <w:tc>
          <w:tcPr>
            <w:tcW w:w="471" w:type="pct"/>
            <w:vAlign w:val="center"/>
          </w:tcPr>
          <w:p w14:paraId="41C977C3" w14:textId="77777777" w:rsidR="00B84A8C" w:rsidRPr="00F81DB6" w:rsidRDefault="00B84A8C" w:rsidP="00A86627">
            <w:pPr>
              <w:pStyle w:val="TableText0"/>
              <w:keepNext/>
              <w:jc w:val="center"/>
              <w:rPr>
                <w:szCs w:val="20"/>
              </w:rPr>
            </w:pPr>
            <w:r w:rsidRPr="00F81DB6">
              <w:rPr>
                <w:szCs w:val="20"/>
              </w:rPr>
              <w:t>42 (42)</w:t>
            </w:r>
          </w:p>
        </w:tc>
        <w:tc>
          <w:tcPr>
            <w:tcW w:w="627" w:type="pct"/>
            <w:vAlign w:val="center"/>
          </w:tcPr>
          <w:p w14:paraId="69044F7A" w14:textId="77777777" w:rsidR="00B84A8C" w:rsidRPr="00F81DB6" w:rsidRDefault="00B84A8C" w:rsidP="00A86627">
            <w:pPr>
              <w:pStyle w:val="TableText0"/>
              <w:keepNext/>
              <w:jc w:val="center"/>
              <w:rPr>
                <w:szCs w:val="20"/>
              </w:rPr>
            </w:pPr>
            <w:r w:rsidRPr="00F81DB6">
              <w:rPr>
                <w:szCs w:val="20"/>
              </w:rPr>
              <w:t>67 (43.2)</w:t>
            </w:r>
          </w:p>
        </w:tc>
        <w:tc>
          <w:tcPr>
            <w:tcW w:w="550" w:type="pct"/>
            <w:vAlign w:val="center"/>
          </w:tcPr>
          <w:p w14:paraId="6569DAC7" w14:textId="77777777" w:rsidR="00B84A8C" w:rsidRPr="00F81DB6" w:rsidRDefault="00B84A8C" w:rsidP="00A86627">
            <w:pPr>
              <w:pStyle w:val="TableText0"/>
              <w:keepNext/>
              <w:jc w:val="center"/>
              <w:rPr>
                <w:szCs w:val="20"/>
              </w:rPr>
            </w:pPr>
            <w:r w:rsidRPr="00F81DB6">
              <w:rPr>
                <w:szCs w:val="20"/>
              </w:rPr>
              <w:t>70 (45.2)</w:t>
            </w:r>
          </w:p>
        </w:tc>
        <w:tc>
          <w:tcPr>
            <w:tcW w:w="550" w:type="pct"/>
            <w:vAlign w:val="center"/>
          </w:tcPr>
          <w:p w14:paraId="28FAEDDE" w14:textId="77777777" w:rsidR="00B84A8C" w:rsidRPr="00F81DB6" w:rsidRDefault="00B84A8C" w:rsidP="00A86627">
            <w:pPr>
              <w:pStyle w:val="TableText0"/>
              <w:keepNext/>
              <w:jc w:val="center"/>
              <w:rPr>
                <w:szCs w:val="20"/>
              </w:rPr>
            </w:pPr>
            <w:r w:rsidRPr="00F81DB6">
              <w:rPr>
                <w:szCs w:val="20"/>
              </w:rPr>
              <w:t>154 (39.9)</w:t>
            </w:r>
          </w:p>
        </w:tc>
        <w:tc>
          <w:tcPr>
            <w:tcW w:w="601" w:type="pct"/>
            <w:vAlign w:val="center"/>
          </w:tcPr>
          <w:p w14:paraId="3D8434DE" w14:textId="77777777" w:rsidR="00B84A8C" w:rsidRPr="00F81DB6" w:rsidRDefault="00B84A8C" w:rsidP="00A86627">
            <w:pPr>
              <w:pStyle w:val="TableText0"/>
              <w:keepNext/>
              <w:jc w:val="center"/>
              <w:rPr>
                <w:szCs w:val="20"/>
              </w:rPr>
            </w:pPr>
            <w:r w:rsidRPr="00F81DB6">
              <w:rPr>
                <w:szCs w:val="20"/>
              </w:rPr>
              <w:t>70 (53.8)</w:t>
            </w:r>
          </w:p>
        </w:tc>
      </w:tr>
      <w:tr w:rsidR="00DF3377" w:rsidRPr="00F81DB6" w14:paraId="43154FA0" w14:textId="77777777" w:rsidTr="00DF3377">
        <w:trPr>
          <w:trHeight w:val="20"/>
        </w:trPr>
        <w:tc>
          <w:tcPr>
            <w:tcW w:w="695" w:type="pct"/>
          </w:tcPr>
          <w:p w14:paraId="033DECD9" w14:textId="77777777" w:rsidR="00B84A8C" w:rsidRPr="00F81DB6" w:rsidRDefault="00B84A8C" w:rsidP="00A86627">
            <w:pPr>
              <w:pStyle w:val="TableText0"/>
              <w:keepNext/>
              <w:rPr>
                <w:szCs w:val="20"/>
              </w:rPr>
            </w:pPr>
            <w:r w:rsidRPr="00F81DB6">
              <w:rPr>
                <w:szCs w:val="20"/>
              </w:rPr>
              <w:t>Serious AE</w:t>
            </w:r>
          </w:p>
        </w:tc>
        <w:tc>
          <w:tcPr>
            <w:tcW w:w="542" w:type="pct"/>
            <w:vAlign w:val="center"/>
          </w:tcPr>
          <w:p w14:paraId="79B401F1" w14:textId="77777777" w:rsidR="00B84A8C" w:rsidRPr="00F81DB6" w:rsidRDefault="00B84A8C" w:rsidP="00A86627">
            <w:pPr>
              <w:pStyle w:val="TableText0"/>
              <w:keepNext/>
              <w:jc w:val="center"/>
              <w:rPr>
                <w:szCs w:val="20"/>
              </w:rPr>
            </w:pPr>
            <w:r w:rsidRPr="00F81DB6">
              <w:rPr>
                <w:szCs w:val="20"/>
              </w:rPr>
              <w:t>19 (1.6)</w:t>
            </w:r>
          </w:p>
        </w:tc>
        <w:tc>
          <w:tcPr>
            <w:tcW w:w="468" w:type="pct"/>
            <w:vAlign w:val="center"/>
          </w:tcPr>
          <w:p w14:paraId="09BB74D7" w14:textId="77777777" w:rsidR="00B84A8C" w:rsidRPr="00F81DB6" w:rsidRDefault="00B84A8C" w:rsidP="00A86627">
            <w:pPr>
              <w:pStyle w:val="TableText0"/>
              <w:keepNext/>
              <w:jc w:val="center"/>
              <w:rPr>
                <w:szCs w:val="20"/>
              </w:rPr>
            </w:pPr>
            <w:r w:rsidRPr="00F81DB6">
              <w:rPr>
                <w:szCs w:val="20"/>
              </w:rPr>
              <w:t>24 (2.0)</w:t>
            </w:r>
          </w:p>
        </w:tc>
        <w:tc>
          <w:tcPr>
            <w:tcW w:w="496" w:type="pct"/>
            <w:vAlign w:val="center"/>
          </w:tcPr>
          <w:p w14:paraId="777E1114" w14:textId="77777777" w:rsidR="00B84A8C" w:rsidRPr="00F81DB6" w:rsidRDefault="00B84A8C" w:rsidP="00A86627">
            <w:pPr>
              <w:pStyle w:val="TableText0"/>
              <w:keepNext/>
              <w:jc w:val="center"/>
              <w:rPr>
                <w:szCs w:val="20"/>
              </w:rPr>
            </w:pPr>
            <w:r w:rsidRPr="00F81DB6">
              <w:rPr>
                <w:szCs w:val="20"/>
              </w:rPr>
              <w:t>1 (0.5)</w:t>
            </w:r>
          </w:p>
        </w:tc>
        <w:tc>
          <w:tcPr>
            <w:tcW w:w="471" w:type="pct"/>
            <w:vAlign w:val="center"/>
          </w:tcPr>
          <w:p w14:paraId="3A621637" w14:textId="77777777" w:rsidR="00B84A8C" w:rsidRPr="00F81DB6" w:rsidRDefault="00B84A8C" w:rsidP="00A86627">
            <w:pPr>
              <w:pStyle w:val="TableText0"/>
              <w:keepNext/>
              <w:jc w:val="center"/>
              <w:rPr>
                <w:szCs w:val="20"/>
              </w:rPr>
            </w:pPr>
            <w:r w:rsidRPr="00F81DB6">
              <w:rPr>
                <w:szCs w:val="20"/>
              </w:rPr>
              <w:t>3 (3)</w:t>
            </w:r>
          </w:p>
        </w:tc>
        <w:tc>
          <w:tcPr>
            <w:tcW w:w="627" w:type="pct"/>
            <w:vAlign w:val="center"/>
          </w:tcPr>
          <w:p w14:paraId="5FFB0FD3" w14:textId="77777777" w:rsidR="00B84A8C" w:rsidRPr="00F81DB6" w:rsidRDefault="00B84A8C" w:rsidP="00A86627">
            <w:pPr>
              <w:pStyle w:val="TableText0"/>
              <w:keepNext/>
              <w:jc w:val="center"/>
              <w:rPr>
                <w:szCs w:val="20"/>
              </w:rPr>
            </w:pPr>
            <w:r w:rsidRPr="00F81DB6">
              <w:rPr>
                <w:szCs w:val="20"/>
              </w:rPr>
              <w:t>4 (2.6)</w:t>
            </w:r>
          </w:p>
        </w:tc>
        <w:tc>
          <w:tcPr>
            <w:tcW w:w="550" w:type="pct"/>
            <w:vAlign w:val="center"/>
          </w:tcPr>
          <w:p w14:paraId="3D9AF54F" w14:textId="77777777" w:rsidR="00B84A8C" w:rsidRPr="00F81DB6" w:rsidRDefault="00B84A8C" w:rsidP="00A86627">
            <w:pPr>
              <w:pStyle w:val="TableText0"/>
              <w:keepNext/>
              <w:jc w:val="center"/>
              <w:rPr>
                <w:szCs w:val="20"/>
              </w:rPr>
            </w:pPr>
            <w:r w:rsidRPr="00F81DB6">
              <w:rPr>
                <w:szCs w:val="20"/>
              </w:rPr>
              <w:t>6 (3.9)</w:t>
            </w:r>
          </w:p>
        </w:tc>
        <w:tc>
          <w:tcPr>
            <w:tcW w:w="550" w:type="pct"/>
            <w:vAlign w:val="center"/>
          </w:tcPr>
          <w:p w14:paraId="7CC1A180" w14:textId="77777777" w:rsidR="00B84A8C" w:rsidRPr="00F81DB6" w:rsidRDefault="00B84A8C" w:rsidP="00A86627">
            <w:pPr>
              <w:pStyle w:val="TableText0"/>
              <w:keepNext/>
              <w:jc w:val="center"/>
              <w:rPr>
                <w:szCs w:val="20"/>
              </w:rPr>
            </w:pPr>
            <w:r w:rsidRPr="00F81DB6">
              <w:rPr>
                <w:szCs w:val="20"/>
              </w:rPr>
              <w:t>10 (2.6)</w:t>
            </w:r>
          </w:p>
        </w:tc>
        <w:tc>
          <w:tcPr>
            <w:tcW w:w="601" w:type="pct"/>
            <w:vAlign w:val="center"/>
          </w:tcPr>
          <w:p w14:paraId="2B5DA87B" w14:textId="77777777" w:rsidR="00B84A8C" w:rsidRPr="00F81DB6" w:rsidRDefault="00B84A8C" w:rsidP="00A86627">
            <w:pPr>
              <w:pStyle w:val="TableText0"/>
              <w:keepNext/>
              <w:jc w:val="center"/>
              <w:rPr>
                <w:szCs w:val="20"/>
              </w:rPr>
            </w:pPr>
            <w:r w:rsidRPr="00F81DB6">
              <w:rPr>
                <w:szCs w:val="20"/>
              </w:rPr>
              <w:t>7 (5.4)</w:t>
            </w:r>
          </w:p>
        </w:tc>
      </w:tr>
      <w:tr w:rsidR="00DF3377" w:rsidRPr="00F81DB6" w14:paraId="6244A7ED" w14:textId="77777777" w:rsidTr="00DF3377">
        <w:trPr>
          <w:trHeight w:val="20"/>
        </w:trPr>
        <w:tc>
          <w:tcPr>
            <w:tcW w:w="695" w:type="pct"/>
          </w:tcPr>
          <w:p w14:paraId="239C77E8" w14:textId="77777777" w:rsidR="00B84A8C" w:rsidRPr="00F81DB6" w:rsidRDefault="00B84A8C" w:rsidP="00A86627">
            <w:pPr>
              <w:pStyle w:val="TableText0"/>
              <w:keepNext/>
              <w:rPr>
                <w:szCs w:val="20"/>
              </w:rPr>
            </w:pPr>
            <w:r w:rsidRPr="00F81DB6">
              <w:rPr>
                <w:szCs w:val="20"/>
              </w:rPr>
              <w:t>Serious vaccine-related AE</w:t>
            </w:r>
          </w:p>
        </w:tc>
        <w:tc>
          <w:tcPr>
            <w:tcW w:w="542" w:type="pct"/>
            <w:vAlign w:val="center"/>
          </w:tcPr>
          <w:p w14:paraId="44B0BD66" w14:textId="77777777" w:rsidR="00B84A8C" w:rsidRPr="00F81DB6" w:rsidRDefault="00B84A8C" w:rsidP="00A86627">
            <w:pPr>
              <w:pStyle w:val="TableText0"/>
              <w:keepNext/>
              <w:jc w:val="center"/>
              <w:rPr>
                <w:szCs w:val="20"/>
              </w:rPr>
            </w:pPr>
            <w:r w:rsidRPr="00F81DB6">
              <w:rPr>
                <w:szCs w:val="20"/>
              </w:rPr>
              <w:t>0 (0.0)</w:t>
            </w:r>
          </w:p>
        </w:tc>
        <w:tc>
          <w:tcPr>
            <w:tcW w:w="468" w:type="pct"/>
            <w:vAlign w:val="center"/>
          </w:tcPr>
          <w:p w14:paraId="4B5EBBC9" w14:textId="77777777" w:rsidR="00B84A8C" w:rsidRPr="00F81DB6" w:rsidRDefault="00B84A8C" w:rsidP="00A86627">
            <w:pPr>
              <w:pStyle w:val="TableText0"/>
              <w:keepNext/>
              <w:jc w:val="center"/>
              <w:rPr>
                <w:szCs w:val="20"/>
              </w:rPr>
            </w:pPr>
            <w:r w:rsidRPr="00F81DB6">
              <w:rPr>
                <w:szCs w:val="20"/>
              </w:rPr>
              <w:t>0 (0.0)</w:t>
            </w:r>
          </w:p>
        </w:tc>
        <w:tc>
          <w:tcPr>
            <w:tcW w:w="496" w:type="pct"/>
            <w:vAlign w:val="center"/>
          </w:tcPr>
          <w:p w14:paraId="0C56DDAC" w14:textId="77777777" w:rsidR="00B84A8C" w:rsidRPr="00F81DB6" w:rsidRDefault="00B84A8C" w:rsidP="00A86627">
            <w:pPr>
              <w:pStyle w:val="TableText0"/>
              <w:keepNext/>
              <w:jc w:val="center"/>
              <w:rPr>
                <w:szCs w:val="20"/>
              </w:rPr>
            </w:pPr>
            <w:r w:rsidRPr="00F81DB6">
              <w:rPr>
                <w:szCs w:val="20"/>
              </w:rPr>
              <w:t>0</w:t>
            </w:r>
          </w:p>
        </w:tc>
        <w:tc>
          <w:tcPr>
            <w:tcW w:w="471" w:type="pct"/>
            <w:vAlign w:val="center"/>
          </w:tcPr>
          <w:p w14:paraId="7B82C62E" w14:textId="77777777" w:rsidR="00B84A8C" w:rsidRPr="00F81DB6" w:rsidRDefault="00B84A8C" w:rsidP="00A86627">
            <w:pPr>
              <w:pStyle w:val="TableText0"/>
              <w:keepNext/>
              <w:jc w:val="center"/>
              <w:rPr>
                <w:szCs w:val="20"/>
              </w:rPr>
            </w:pPr>
            <w:r w:rsidRPr="00F81DB6">
              <w:rPr>
                <w:szCs w:val="20"/>
              </w:rPr>
              <w:t>0 (0)</w:t>
            </w:r>
          </w:p>
        </w:tc>
        <w:tc>
          <w:tcPr>
            <w:tcW w:w="627" w:type="pct"/>
            <w:vAlign w:val="center"/>
          </w:tcPr>
          <w:p w14:paraId="62F9C37A" w14:textId="77777777" w:rsidR="00B84A8C" w:rsidRPr="00F81DB6" w:rsidRDefault="00B84A8C" w:rsidP="00A86627">
            <w:pPr>
              <w:pStyle w:val="TableText0"/>
              <w:keepNext/>
              <w:jc w:val="center"/>
              <w:rPr>
                <w:szCs w:val="20"/>
              </w:rPr>
            </w:pPr>
            <w:r w:rsidRPr="00F81DB6">
              <w:rPr>
                <w:szCs w:val="20"/>
              </w:rPr>
              <w:t>0 (0.0)</w:t>
            </w:r>
          </w:p>
        </w:tc>
        <w:tc>
          <w:tcPr>
            <w:tcW w:w="550" w:type="pct"/>
            <w:vAlign w:val="center"/>
          </w:tcPr>
          <w:p w14:paraId="22CD0766" w14:textId="77777777" w:rsidR="00B84A8C" w:rsidRPr="00F81DB6" w:rsidRDefault="00B84A8C" w:rsidP="00A86627">
            <w:pPr>
              <w:pStyle w:val="TableText0"/>
              <w:keepNext/>
              <w:jc w:val="center"/>
              <w:rPr>
                <w:szCs w:val="20"/>
              </w:rPr>
            </w:pPr>
            <w:r w:rsidRPr="00F81DB6">
              <w:rPr>
                <w:szCs w:val="20"/>
              </w:rPr>
              <w:t>0 (0.0)</w:t>
            </w:r>
          </w:p>
        </w:tc>
        <w:tc>
          <w:tcPr>
            <w:tcW w:w="550" w:type="pct"/>
            <w:vAlign w:val="center"/>
          </w:tcPr>
          <w:p w14:paraId="2EA192FF" w14:textId="77777777" w:rsidR="00B84A8C" w:rsidRPr="00F81DB6" w:rsidRDefault="00B84A8C" w:rsidP="00A86627">
            <w:pPr>
              <w:pStyle w:val="TableText0"/>
              <w:keepNext/>
              <w:jc w:val="center"/>
              <w:rPr>
                <w:szCs w:val="20"/>
              </w:rPr>
            </w:pPr>
            <w:r w:rsidRPr="00F81DB6">
              <w:rPr>
                <w:szCs w:val="20"/>
              </w:rPr>
              <w:t>0 (0.0)</w:t>
            </w:r>
          </w:p>
        </w:tc>
        <w:tc>
          <w:tcPr>
            <w:tcW w:w="601" w:type="pct"/>
            <w:vAlign w:val="center"/>
          </w:tcPr>
          <w:p w14:paraId="07910A4C" w14:textId="77777777" w:rsidR="00B84A8C" w:rsidRPr="00F81DB6" w:rsidRDefault="00B84A8C" w:rsidP="00A86627">
            <w:pPr>
              <w:pStyle w:val="TableText0"/>
              <w:keepNext/>
              <w:jc w:val="center"/>
              <w:rPr>
                <w:szCs w:val="20"/>
              </w:rPr>
            </w:pPr>
            <w:r w:rsidRPr="00F81DB6">
              <w:rPr>
                <w:szCs w:val="20"/>
              </w:rPr>
              <w:t>0 (0.0)</w:t>
            </w:r>
          </w:p>
        </w:tc>
      </w:tr>
      <w:tr w:rsidR="00DF3377" w:rsidRPr="00F81DB6" w14:paraId="74A47887" w14:textId="77777777" w:rsidTr="00DF3377">
        <w:trPr>
          <w:trHeight w:val="20"/>
        </w:trPr>
        <w:tc>
          <w:tcPr>
            <w:tcW w:w="695" w:type="pct"/>
          </w:tcPr>
          <w:p w14:paraId="7EEB1047" w14:textId="77777777" w:rsidR="00B84A8C" w:rsidRPr="00F81DB6" w:rsidRDefault="00B84A8C" w:rsidP="00A86627">
            <w:pPr>
              <w:pStyle w:val="TableText0"/>
              <w:keepNext/>
              <w:rPr>
                <w:szCs w:val="20"/>
              </w:rPr>
            </w:pPr>
            <w:r w:rsidRPr="00F81DB6">
              <w:rPr>
                <w:szCs w:val="20"/>
              </w:rPr>
              <w:t>Deaths</w:t>
            </w:r>
          </w:p>
        </w:tc>
        <w:tc>
          <w:tcPr>
            <w:tcW w:w="542" w:type="pct"/>
            <w:vAlign w:val="center"/>
          </w:tcPr>
          <w:p w14:paraId="1ADC6430" w14:textId="77777777" w:rsidR="00B84A8C" w:rsidRPr="00F81DB6" w:rsidRDefault="00B84A8C" w:rsidP="00A86627">
            <w:pPr>
              <w:pStyle w:val="TableText0"/>
              <w:keepNext/>
              <w:jc w:val="center"/>
              <w:rPr>
                <w:szCs w:val="20"/>
              </w:rPr>
            </w:pPr>
            <w:r w:rsidRPr="00F81DB6">
              <w:rPr>
                <w:szCs w:val="20"/>
              </w:rPr>
              <w:t>4 (0.3)</w:t>
            </w:r>
          </w:p>
        </w:tc>
        <w:tc>
          <w:tcPr>
            <w:tcW w:w="468" w:type="pct"/>
            <w:vAlign w:val="center"/>
          </w:tcPr>
          <w:p w14:paraId="13FC4A99" w14:textId="77777777" w:rsidR="00B84A8C" w:rsidRPr="00F81DB6" w:rsidRDefault="00B84A8C" w:rsidP="00A86627">
            <w:pPr>
              <w:pStyle w:val="TableText0"/>
              <w:keepNext/>
              <w:jc w:val="center"/>
              <w:rPr>
                <w:szCs w:val="20"/>
              </w:rPr>
            </w:pPr>
            <w:r w:rsidRPr="00F81DB6">
              <w:rPr>
                <w:szCs w:val="20"/>
              </w:rPr>
              <w:t>2 (0.2)</w:t>
            </w:r>
          </w:p>
        </w:tc>
        <w:tc>
          <w:tcPr>
            <w:tcW w:w="496" w:type="pct"/>
            <w:vAlign w:val="center"/>
          </w:tcPr>
          <w:p w14:paraId="50C69C28" w14:textId="77777777" w:rsidR="00B84A8C" w:rsidRPr="00F81DB6" w:rsidRDefault="00B84A8C" w:rsidP="00A86627">
            <w:pPr>
              <w:pStyle w:val="TableText0"/>
              <w:keepNext/>
              <w:jc w:val="center"/>
              <w:rPr>
                <w:szCs w:val="20"/>
              </w:rPr>
            </w:pPr>
            <w:r w:rsidRPr="00F81DB6">
              <w:rPr>
                <w:szCs w:val="20"/>
              </w:rPr>
              <w:t>0</w:t>
            </w:r>
          </w:p>
        </w:tc>
        <w:tc>
          <w:tcPr>
            <w:tcW w:w="471" w:type="pct"/>
            <w:vAlign w:val="center"/>
          </w:tcPr>
          <w:p w14:paraId="6E619CCB" w14:textId="77777777" w:rsidR="00B84A8C" w:rsidRPr="00F81DB6" w:rsidRDefault="00B84A8C" w:rsidP="00A86627">
            <w:pPr>
              <w:pStyle w:val="TableText0"/>
              <w:keepNext/>
              <w:jc w:val="center"/>
              <w:rPr>
                <w:szCs w:val="20"/>
              </w:rPr>
            </w:pPr>
            <w:r w:rsidRPr="00F81DB6">
              <w:rPr>
                <w:szCs w:val="20"/>
              </w:rPr>
              <w:t>0 (0)</w:t>
            </w:r>
          </w:p>
        </w:tc>
        <w:tc>
          <w:tcPr>
            <w:tcW w:w="627" w:type="pct"/>
            <w:vAlign w:val="center"/>
          </w:tcPr>
          <w:p w14:paraId="31C91806" w14:textId="77777777" w:rsidR="00B84A8C" w:rsidRPr="00F81DB6" w:rsidRDefault="00B84A8C" w:rsidP="00A86627">
            <w:pPr>
              <w:pStyle w:val="TableText0"/>
              <w:keepNext/>
              <w:jc w:val="center"/>
              <w:rPr>
                <w:szCs w:val="20"/>
              </w:rPr>
            </w:pPr>
            <w:r w:rsidRPr="00F81DB6">
              <w:rPr>
                <w:szCs w:val="20"/>
              </w:rPr>
              <w:t>1 (0.6)</w:t>
            </w:r>
          </w:p>
        </w:tc>
        <w:tc>
          <w:tcPr>
            <w:tcW w:w="550" w:type="pct"/>
            <w:vAlign w:val="center"/>
          </w:tcPr>
          <w:p w14:paraId="0AAB76D3" w14:textId="77777777" w:rsidR="00B84A8C" w:rsidRPr="00F81DB6" w:rsidRDefault="00B84A8C" w:rsidP="00A86627">
            <w:pPr>
              <w:pStyle w:val="TableText0"/>
              <w:keepNext/>
              <w:jc w:val="center"/>
              <w:rPr>
                <w:szCs w:val="20"/>
              </w:rPr>
            </w:pPr>
            <w:r w:rsidRPr="00F81DB6">
              <w:rPr>
                <w:szCs w:val="20"/>
              </w:rPr>
              <w:t>0 (0.0)</w:t>
            </w:r>
          </w:p>
        </w:tc>
        <w:tc>
          <w:tcPr>
            <w:tcW w:w="550" w:type="pct"/>
            <w:vAlign w:val="center"/>
          </w:tcPr>
          <w:p w14:paraId="6EFA2B8E" w14:textId="77777777" w:rsidR="00B84A8C" w:rsidRPr="00F81DB6" w:rsidRDefault="00B84A8C" w:rsidP="00A86627">
            <w:pPr>
              <w:pStyle w:val="TableText0"/>
              <w:keepNext/>
              <w:jc w:val="center"/>
              <w:rPr>
                <w:szCs w:val="20"/>
              </w:rPr>
            </w:pPr>
            <w:r w:rsidRPr="00F81DB6">
              <w:rPr>
                <w:szCs w:val="20"/>
              </w:rPr>
              <w:t>0 (0.0)</w:t>
            </w:r>
          </w:p>
        </w:tc>
        <w:tc>
          <w:tcPr>
            <w:tcW w:w="601" w:type="pct"/>
            <w:vAlign w:val="center"/>
          </w:tcPr>
          <w:p w14:paraId="0E65DB8D" w14:textId="77777777" w:rsidR="00B84A8C" w:rsidRPr="00F81DB6" w:rsidRDefault="00B84A8C" w:rsidP="00A86627">
            <w:pPr>
              <w:pStyle w:val="TableText0"/>
              <w:keepNext/>
              <w:jc w:val="center"/>
              <w:rPr>
                <w:szCs w:val="20"/>
              </w:rPr>
            </w:pPr>
            <w:r w:rsidRPr="00F81DB6">
              <w:rPr>
                <w:szCs w:val="20"/>
              </w:rPr>
              <w:t>0 (0.0)</w:t>
            </w:r>
          </w:p>
        </w:tc>
      </w:tr>
      <w:tr w:rsidR="00DF3377" w:rsidRPr="00F81DB6" w14:paraId="77BDBFF5" w14:textId="77777777" w:rsidTr="00DF3377">
        <w:trPr>
          <w:trHeight w:val="20"/>
        </w:trPr>
        <w:tc>
          <w:tcPr>
            <w:tcW w:w="695" w:type="pct"/>
          </w:tcPr>
          <w:p w14:paraId="64B0B7BF" w14:textId="77777777" w:rsidR="00B84A8C" w:rsidRPr="00F81DB6" w:rsidRDefault="00B84A8C" w:rsidP="00A86627">
            <w:pPr>
              <w:pStyle w:val="TableText0"/>
              <w:keepNext/>
              <w:rPr>
                <w:szCs w:val="20"/>
              </w:rPr>
            </w:pPr>
            <w:r w:rsidRPr="00F81DB6">
              <w:rPr>
                <w:szCs w:val="20"/>
              </w:rPr>
              <w:t>One or more solicited AE</w:t>
            </w:r>
          </w:p>
        </w:tc>
        <w:tc>
          <w:tcPr>
            <w:tcW w:w="542" w:type="pct"/>
            <w:vAlign w:val="center"/>
          </w:tcPr>
          <w:p w14:paraId="6A85F905" w14:textId="77777777" w:rsidR="00B84A8C" w:rsidRPr="00F81DB6" w:rsidRDefault="00B84A8C" w:rsidP="00A86627">
            <w:pPr>
              <w:pStyle w:val="TableText0"/>
              <w:keepNext/>
              <w:jc w:val="center"/>
              <w:rPr>
                <w:szCs w:val="20"/>
              </w:rPr>
            </w:pPr>
            <w:r w:rsidRPr="00F81DB6">
              <w:rPr>
                <w:szCs w:val="20"/>
              </w:rPr>
              <w:t>600 (51.0)</w:t>
            </w:r>
          </w:p>
        </w:tc>
        <w:tc>
          <w:tcPr>
            <w:tcW w:w="468" w:type="pct"/>
            <w:vAlign w:val="center"/>
          </w:tcPr>
          <w:p w14:paraId="30AF1E77" w14:textId="77777777" w:rsidR="00B84A8C" w:rsidRPr="00F81DB6" w:rsidRDefault="00B84A8C" w:rsidP="00A86627">
            <w:pPr>
              <w:pStyle w:val="TableText0"/>
              <w:keepNext/>
              <w:jc w:val="center"/>
              <w:rPr>
                <w:szCs w:val="20"/>
              </w:rPr>
            </w:pPr>
            <w:r w:rsidRPr="00F81DB6">
              <w:rPr>
                <w:szCs w:val="20"/>
              </w:rPr>
              <w:t>708 (60.3)</w:t>
            </w:r>
          </w:p>
        </w:tc>
        <w:tc>
          <w:tcPr>
            <w:tcW w:w="496" w:type="pct"/>
            <w:vAlign w:val="center"/>
          </w:tcPr>
          <w:p w14:paraId="4930996A" w14:textId="77777777" w:rsidR="00B84A8C" w:rsidRPr="00F81DB6" w:rsidRDefault="00B84A8C" w:rsidP="00A86627">
            <w:pPr>
              <w:pStyle w:val="TableText0"/>
              <w:keepNext/>
              <w:jc w:val="center"/>
              <w:rPr>
                <w:szCs w:val="20"/>
              </w:rPr>
            </w:pPr>
            <w:r w:rsidRPr="00F81DB6">
              <w:rPr>
                <w:szCs w:val="20"/>
              </w:rPr>
              <w:t>161 (80.5)</w:t>
            </w:r>
          </w:p>
        </w:tc>
        <w:tc>
          <w:tcPr>
            <w:tcW w:w="471" w:type="pct"/>
            <w:vAlign w:val="center"/>
          </w:tcPr>
          <w:p w14:paraId="687A5DB5" w14:textId="77777777" w:rsidR="00B84A8C" w:rsidRPr="00F81DB6" w:rsidRDefault="00B84A8C" w:rsidP="00A86627">
            <w:pPr>
              <w:pStyle w:val="TableText0"/>
              <w:keepNext/>
              <w:jc w:val="center"/>
              <w:rPr>
                <w:szCs w:val="20"/>
              </w:rPr>
            </w:pPr>
            <w:r w:rsidRPr="00F81DB6">
              <w:rPr>
                <w:szCs w:val="20"/>
              </w:rPr>
              <w:t>78 (78.0)</w:t>
            </w:r>
          </w:p>
        </w:tc>
        <w:tc>
          <w:tcPr>
            <w:tcW w:w="627" w:type="pct"/>
            <w:vAlign w:val="center"/>
          </w:tcPr>
          <w:p w14:paraId="3969DFAA" w14:textId="77777777" w:rsidR="00B84A8C" w:rsidRPr="00F81DB6" w:rsidRDefault="00B84A8C" w:rsidP="00A86627">
            <w:pPr>
              <w:pStyle w:val="TableText0"/>
              <w:keepNext/>
              <w:jc w:val="center"/>
              <w:rPr>
                <w:szCs w:val="20"/>
              </w:rPr>
            </w:pPr>
            <w:r w:rsidRPr="00F81DB6">
              <w:rPr>
                <w:szCs w:val="20"/>
              </w:rPr>
              <w:t>96 (61.9)</w:t>
            </w:r>
          </w:p>
        </w:tc>
        <w:tc>
          <w:tcPr>
            <w:tcW w:w="550" w:type="pct"/>
            <w:vAlign w:val="center"/>
          </w:tcPr>
          <w:p w14:paraId="2DB660B7" w14:textId="77777777" w:rsidR="00B84A8C" w:rsidRPr="00F81DB6" w:rsidRDefault="00B84A8C" w:rsidP="00A86627">
            <w:pPr>
              <w:pStyle w:val="TableText0"/>
              <w:keepNext/>
              <w:jc w:val="center"/>
              <w:rPr>
                <w:szCs w:val="20"/>
              </w:rPr>
            </w:pPr>
            <w:r w:rsidRPr="00F81DB6">
              <w:rPr>
                <w:szCs w:val="20"/>
              </w:rPr>
              <w:t>136 (87.7)</w:t>
            </w:r>
          </w:p>
        </w:tc>
        <w:tc>
          <w:tcPr>
            <w:tcW w:w="550" w:type="pct"/>
            <w:vAlign w:val="center"/>
          </w:tcPr>
          <w:p w14:paraId="48A90BCB" w14:textId="77777777" w:rsidR="00B84A8C" w:rsidRPr="00F81DB6" w:rsidRDefault="00B84A8C" w:rsidP="00A86627">
            <w:pPr>
              <w:pStyle w:val="TableText0"/>
              <w:keepNext/>
              <w:jc w:val="center"/>
              <w:rPr>
                <w:szCs w:val="20"/>
              </w:rPr>
            </w:pPr>
            <w:r w:rsidRPr="00F81DB6">
              <w:rPr>
                <w:szCs w:val="20"/>
              </w:rPr>
              <w:t>243 (63.0)</w:t>
            </w:r>
          </w:p>
        </w:tc>
        <w:tc>
          <w:tcPr>
            <w:tcW w:w="601" w:type="pct"/>
            <w:vAlign w:val="center"/>
          </w:tcPr>
          <w:p w14:paraId="1836573F" w14:textId="77777777" w:rsidR="00B84A8C" w:rsidRPr="00F81DB6" w:rsidRDefault="00B84A8C" w:rsidP="00A86627">
            <w:pPr>
              <w:keepNext/>
              <w:keepLines/>
              <w:jc w:val="center"/>
              <w:rPr>
                <w:rFonts w:ascii="Arial Narrow" w:eastAsiaTheme="majorEastAsia" w:hAnsi="Arial Narrow" w:cstheme="majorBidi"/>
                <w:sz w:val="20"/>
                <w:szCs w:val="20"/>
              </w:rPr>
            </w:pPr>
            <w:r w:rsidRPr="00F81DB6">
              <w:rPr>
                <w:rFonts w:ascii="Arial Narrow" w:eastAsiaTheme="majorEastAsia" w:hAnsi="Arial Narrow" w:cstheme="majorBidi"/>
                <w:sz w:val="20"/>
                <w:szCs w:val="20"/>
              </w:rPr>
              <w:t>113 (86.9)</w:t>
            </w:r>
          </w:p>
        </w:tc>
      </w:tr>
      <w:tr w:rsidR="00DF3377" w:rsidRPr="00F81DB6" w14:paraId="10D222F0" w14:textId="77777777" w:rsidTr="00DF3377">
        <w:trPr>
          <w:trHeight w:val="20"/>
        </w:trPr>
        <w:tc>
          <w:tcPr>
            <w:tcW w:w="695" w:type="pct"/>
          </w:tcPr>
          <w:p w14:paraId="457A236C" w14:textId="77777777" w:rsidR="00B84A8C" w:rsidRPr="00F81DB6" w:rsidRDefault="00B84A8C" w:rsidP="00A86627">
            <w:pPr>
              <w:pStyle w:val="TableText0"/>
              <w:keepNext/>
              <w:rPr>
                <w:szCs w:val="20"/>
              </w:rPr>
            </w:pPr>
            <w:r w:rsidRPr="00F81DB6">
              <w:rPr>
                <w:szCs w:val="20"/>
              </w:rPr>
              <w:t>Solicited injection site AE</w:t>
            </w:r>
          </w:p>
        </w:tc>
        <w:tc>
          <w:tcPr>
            <w:tcW w:w="542" w:type="pct"/>
            <w:vAlign w:val="center"/>
          </w:tcPr>
          <w:p w14:paraId="79ADC52A" w14:textId="77777777" w:rsidR="00B84A8C" w:rsidRPr="00F81DB6" w:rsidRDefault="00B84A8C" w:rsidP="00A86627">
            <w:pPr>
              <w:pStyle w:val="TableText0"/>
              <w:keepNext/>
              <w:jc w:val="center"/>
              <w:rPr>
                <w:szCs w:val="20"/>
              </w:rPr>
            </w:pPr>
            <w:r w:rsidRPr="00F81DB6">
              <w:rPr>
                <w:szCs w:val="20"/>
              </w:rPr>
              <w:t>487 (41.4)</w:t>
            </w:r>
          </w:p>
        </w:tc>
        <w:tc>
          <w:tcPr>
            <w:tcW w:w="468" w:type="pct"/>
            <w:vAlign w:val="center"/>
          </w:tcPr>
          <w:p w14:paraId="1A71E1C8" w14:textId="77777777" w:rsidR="00B84A8C" w:rsidRPr="00F81DB6" w:rsidRDefault="00B84A8C" w:rsidP="00A86627">
            <w:pPr>
              <w:pStyle w:val="TableText0"/>
              <w:keepNext/>
              <w:jc w:val="center"/>
              <w:rPr>
                <w:szCs w:val="20"/>
              </w:rPr>
            </w:pPr>
            <w:r w:rsidRPr="00F81DB6">
              <w:rPr>
                <w:szCs w:val="20"/>
              </w:rPr>
              <w:t>630 (53.6)</w:t>
            </w:r>
          </w:p>
        </w:tc>
        <w:tc>
          <w:tcPr>
            <w:tcW w:w="496" w:type="pct"/>
            <w:vAlign w:val="center"/>
          </w:tcPr>
          <w:p w14:paraId="1DEF8382" w14:textId="77777777" w:rsidR="00B84A8C" w:rsidRPr="00F81DB6" w:rsidRDefault="00B84A8C" w:rsidP="00A86627">
            <w:pPr>
              <w:pStyle w:val="TableText0"/>
              <w:keepNext/>
              <w:jc w:val="center"/>
              <w:rPr>
                <w:szCs w:val="20"/>
              </w:rPr>
            </w:pPr>
            <w:r w:rsidRPr="00F81DB6">
              <w:rPr>
                <w:szCs w:val="20"/>
              </w:rPr>
              <w:t>144 (72.0)</w:t>
            </w:r>
          </w:p>
        </w:tc>
        <w:tc>
          <w:tcPr>
            <w:tcW w:w="471" w:type="pct"/>
            <w:vAlign w:val="center"/>
          </w:tcPr>
          <w:p w14:paraId="0894E181" w14:textId="77777777" w:rsidR="00B84A8C" w:rsidRPr="00F81DB6" w:rsidRDefault="00B84A8C" w:rsidP="00A86627">
            <w:pPr>
              <w:pStyle w:val="TableText0"/>
              <w:keepNext/>
              <w:jc w:val="center"/>
              <w:rPr>
                <w:szCs w:val="20"/>
              </w:rPr>
            </w:pPr>
            <w:r w:rsidRPr="00F81DB6">
              <w:rPr>
                <w:szCs w:val="20"/>
              </w:rPr>
              <w:t>75 (75.0)</w:t>
            </w:r>
          </w:p>
        </w:tc>
        <w:tc>
          <w:tcPr>
            <w:tcW w:w="627" w:type="pct"/>
            <w:vAlign w:val="center"/>
          </w:tcPr>
          <w:p w14:paraId="529BCC15" w14:textId="77777777" w:rsidR="00B84A8C" w:rsidRPr="00F81DB6" w:rsidRDefault="00B84A8C" w:rsidP="00A86627">
            <w:pPr>
              <w:pStyle w:val="TableText0"/>
              <w:keepNext/>
              <w:jc w:val="center"/>
              <w:rPr>
                <w:szCs w:val="20"/>
              </w:rPr>
            </w:pPr>
            <w:r w:rsidRPr="00F81DB6">
              <w:rPr>
                <w:szCs w:val="20"/>
              </w:rPr>
              <w:t>79 (51.0)</w:t>
            </w:r>
          </w:p>
        </w:tc>
        <w:tc>
          <w:tcPr>
            <w:tcW w:w="550" w:type="pct"/>
            <w:vAlign w:val="center"/>
          </w:tcPr>
          <w:p w14:paraId="3DF120A3" w14:textId="77777777" w:rsidR="00B84A8C" w:rsidRPr="00F81DB6" w:rsidRDefault="00B84A8C" w:rsidP="00A86627">
            <w:pPr>
              <w:pStyle w:val="TableText0"/>
              <w:keepNext/>
              <w:jc w:val="center"/>
              <w:rPr>
                <w:szCs w:val="20"/>
              </w:rPr>
            </w:pPr>
            <w:r w:rsidRPr="00F81DB6">
              <w:rPr>
                <w:szCs w:val="20"/>
              </w:rPr>
              <w:t>130 (83.9)</w:t>
            </w:r>
          </w:p>
        </w:tc>
        <w:tc>
          <w:tcPr>
            <w:tcW w:w="550" w:type="pct"/>
            <w:vAlign w:val="center"/>
          </w:tcPr>
          <w:p w14:paraId="667DF357" w14:textId="77777777" w:rsidR="00B84A8C" w:rsidRPr="00F81DB6" w:rsidRDefault="00B84A8C" w:rsidP="00A86627">
            <w:pPr>
              <w:pStyle w:val="TableText0"/>
              <w:keepNext/>
              <w:jc w:val="center"/>
              <w:rPr>
                <w:szCs w:val="20"/>
              </w:rPr>
            </w:pPr>
            <w:r w:rsidRPr="00F81DB6">
              <w:rPr>
                <w:szCs w:val="20"/>
              </w:rPr>
              <w:t>203 (52.6)</w:t>
            </w:r>
          </w:p>
        </w:tc>
        <w:tc>
          <w:tcPr>
            <w:tcW w:w="601" w:type="pct"/>
            <w:vAlign w:val="center"/>
          </w:tcPr>
          <w:p w14:paraId="08ED408D" w14:textId="77777777" w:rsidR="00B84A8C" w:rsidRPr="00F81DB6" w:rsidRDefault="00B84A8C" w:rsidP="00A86627">
            <w:pPr>
              <w:pStyle w:val="TableText0"/>
              <w:keepNext/>
              <w:jc w:val="center"/>
              <w:rPr>
                <w:szCs w:val="20"/>
              </w:rPr>
            </w:pPr>
            <w:r w:rsidRPr="00F81DB6">
              <w:rPr>
                <w:szCs w:val="20"/>
              </w:rPr>
              <w:t>113 (86.9)</w:t>
            </w:r>
          </w:p>
        </w:tc>
      </w:tr>
      <w:tr w:rsidR="00DF3377" w:rsidRPr="00F81DB6" w14:paraId="7D4D90EE" w14:textId="77777777" w:rsidTr="00DF3377">
        <w:trPr>
          <w:trHeight w:val="20"/>
        </w:trPr>
        <w:tc>
          <w:tcPr>
            <w:tcW w:w="695" w:type="pct"/>
          </w:tcPr>
          <w:p w14:paraId="68931020" w14:textId="77777777" w:rsidR="00B84A8C" w:rsidRPr="00F81DB6" w:rsidRDefault="00B84A8C" w:rsidP="00A86627">
            <w:pPr>
              <w:pStyle w:val="TableText0"/>
              <w:keepNext/>
              <w:ind w:right="190"/>
              <w:rPr>
                <w:szCs w:val="20"/>
              </w:rPr>
            </w:pPr>
            <w:r w:rsidRPr="00F81DB6">
              <w:rPr>
                <w:szCs w:val="20"/>
              </w:rPr>
              <w:t>Injection site erythema</w:t>
            </w:r>
          </w:p>
        </w:tc>
        <w:tc>
          <w:tcPr>
            <w:tcW w:w="542" w:type="pct"/>
            <w:vAlign w:val="center"/>
          </w:tcPr>
          <w:p w14:paraId="6CDE8BA4" w14:textId="77777777" w:rsidR="00B84A8C" w:rsidRPr="00F81DB6" w:rsidRDefault="00B84A8C" w:rsidP="00A86627">
            <w:pPr>
              <w:pStyle w:val="TableText0"/>
              <w:keepNext/>
              <w:jc w:val="center"/>
              <w:rPr>
                <w:szCs w:val="20"/>
              </w:rPr>
            </w:pPr>
            <w:r w:rsidRPr="00F81DB6">
              <w:rPr>
                <w:szCs w:val="20"/>
              </w:rPr>
              <w:t>64 (5.4)</w:t>
            </w:r>
          </w:p>
        </w:tc>
        <w:tc>
          <w:tcPr>
            <w:tcW w:w="468" w:type="pct"/>
            <w:vAlign w:val="center"/>
          </w:tcPr>
          <w:p w14:paraId="30A001A0" w14:textId="77777777" w:rsidR="00B84A8C" w:rsidRPr="00F81DB6" w:rsidRDefault="00B84A8C" w:rsidP="00A86627">
            <w:pPr>
              <w:pStyle w:val="TableText0"/>
              <w:keepNext/>
              <w:jc w:val="center"/>
              <w:rPr>
                <w:szCs w:val="20"/>
              </w:rPr>
            </w:pPr>
            <w:r w:rsidRPr="00F81DB6">
              <w:rPr>
                <w:szCs w:val="20"/>
              </w:rPr>
              <w:t>74 (6.3)</w:t>
            </w:r>
          </w:p>
        </w:tc>
        <w:tc>
          <w:tcPr>
            <w:tcW w:w="496" w:type="pct"/>
            <w:vAlign w:val="center"/>
          </w:tcPr>
          <w:p w14:paraId="056B1219" w14:textId="77777777" w:rsidR="00B84A8C" w:rsidRPr="00F81DB6" w:rsidRDefault="00B84A8C" w:rsidP="00A86627">
            <w:pPr>
              <w:pStyle w:val="TableText0"/>
              <w:keepNext/>
              <w:jc w:val="center"/>
              <w:rPr>
                <w:szCs w:val="20"/>
              </w:rPr>
            </w:pPr>
            <w:r w:rsidRPr="00F81DB6">
              <w:rPr>
                <w:szCs w:val="20"/>
              </w:rPr>
              <w:t>31 (15.5)</w:t>
            </w:r>
          </w:p>
        </w:tc>
        <w:tc>
          <w:tcPr>
            <w:tcW w:w="471" w:type="pct"/>
            <w:vAlign w:val="center"/>
          </w:tcPr>
          <w:p w14:paraId="77A1FAAE" w14:textId="77777777" w:rsidR="00B84A8C" w:rsidRPr="00F81DB6" w:rsidRDefault="00B84A8C" w:rsidP="00A86627">
            <w:pPr>
              <w:pStyle w:val="TableText0"/>
              <w:keepNext/>
              <w:jc w:val="center"/>
              <w:rPr>
                <w:szCs w:val="20"/>
              </w:rPr>
            </w:pPr>
            <w:r w:rsidRPr="00F81DB6">
              <w:rPr>
                <w:szCs w:val="20"/>
              </w:rPr>
              <w:t>13 (13.0)</w:t>
            </w:r>
          </w:p>
        </w:tc>
        <w:tc>
          <w:tcPr>
            <w:tcW w:w="627" w:type="pct"/>
            <w:vAlign w:val="center"/>
          </w:tcPr>
          <w:p w14:paraId="1C1AEEDB" w14:textId="77777777" w:rsidR="00B84A8C" w:rsidRPr="00F81DB6" w:rsidRDefault="00B84A8C" w:rsidP="00A86627">
            <w:pPr>
              <w:pStyle w:val="TableText0"/>
              <w:keepNext/>
              <w:jc w:val="center"/>
              <w:rPr>
                <w:szCs w:val="20"/>
              </w:rPr>
            </w:pPr>
            <w:r w:rsidRPr="00F81DB6">
              <w:rPr>
                <w:szCs w:val="20"/>
              </w:rPr>
              <w:t>6 (3.9)</w:t>
            </w:r>
          </w:p>
        </w:tc>
        <w:tc>
          <w:tcPr>
            <w:tcW w:w="550" w:type="pct"/>
            <w:vAlign w:val="center"/>
          </w:tcPr>
          <w:p w14:paraId="504A14F5" w14:textId="77777777" w:rsidR="00B84A8C" w:rsidRPr="00F81DB6" w:rsidRDefault="00B84A8C" w:rsidP="00A86627">
            <w:pPr>
              <w:pStyle w:val="TableText0"/>
              <w:keepNext/>
              <w:jc w:val="center"/>
              <w:rPr>
                <w:szCs w:val="20"/>
              </w:rPr>
            </w:pPr>
            <w:r w:rsidRPr="00F81DB6">
              <w:rPr>
                <w:szCs w:val="20"/>
              </w:rPr>
              <w:t>17 (11.0)</w:t>
            </w:r>
          </w:p>
        </w:tc>
        <w:tc>
          <w:tcPr>
            <w:tcW w:w="550" w:type="pct"/>
            <w:vAlign w:val="center"/>
          </w:tcPr>
          <w:p w14:paraId="4512ED32" w14:textId="77777777" w:rsidR="00B84A8C" w:rsidRPr="00F81DB6" w:rsidRDefault="00B84A8C" w:rsidP="00A86627">
            <w:pPr>
              <w:pStyle w:val="TableText0"/>
              <w:keepNext/>
              <w:jc w:val="center"/>
              <w:rPr>
                <w:szCs w:val="20"/>
              </w:rPr>
            </w:pPr>
            <w:r w:rsidRPr="00F81DB6">
              <w:rPr>
                <w:szCs w:val="20"/>
              </w:rPr>
              <w:t>35 (9.1)</w:t>
            </w:r>
          </w:p>
        </w:tc>
        <w:tc>
          <w:tcPr>
            <w:tcW w:w="601" w:type="pct"/>
            <w:vAlign w:val="center"/>
          </w:tcPr>
          <w:p w14:paraId="02226A1D" w14:textId="77777777" w:rsidR="00B84A8C" w:rsidRPr="00F81DB6" w:rsidRDefault="00B84A8C" w:rsidP="00A86627">
            <w:pPr>
              <w:pStyle w:val="TableText0"/>
              <w:keepNext/>
              <w:jc w:val="center"/>
              <w:rPr>
                <w:szCs w:val="20"/>
              </w:rPr>
            </w:pPr>
            <w:r w:rsidRPr="00F81DB6">
              <w:rPr>
                <w:szCs w:val="20"/>
              </w:rPr>
              <w:t>17 (13.1)</w:t>
            </w:r>
          </w:p>
        </w:tc>
      </w:tr>
      <w:tr w:rsidR="00DF3377" w:rsidRPr="00F81DB6" w14:paraId="0641863E" w14:textId="77777777" w:rsidTr="00DF3377">
        <w:trPr>
          <w:trHeight w:val="20"/>
        </w:trPr>
        <w:tc>
          <w:tcPr>
            <w:tcW w:w="695" w:type="pct"/>
          </w:tcPr>
          <w:p w14:paraId="23BDF5B9" w14:textId="77777777" w:rsidR="00B84A8C" w:rsidRPr="00F81DB6" w:rsidRDefault="00B84A8C" w:rsidP="00A86627">
            <w:pPr>
              <w:pStyle w:val="TableText0"/>
              <w:keepNext/>
              <w:ind w:right="190"/>
              <w:rPr>
                <w:szCs w:val="20"/>
              </w:rPr>
            </w:pPr>
            <w:r w:rsidRPr="00F81DB6">
              <w:rPr>
                <w:szCs w:val="20"/>
              </w:rPr>
              <w:t>Injection site pain</w:t>
            </w:r>
          </w:p>
        </w:tc>
        <w:tc>
          <w:tcPr>
            <w:tcW w:w="542" w:type="pct"/>
            <w:vAlign w:val="center"/>
          </w:tcPr>
          <w:p w14:paraId="49887CF8" w14:textId="77777777" w:rsidR="00B84A8C" w:rsidRPr="00F81DB6" w:rsidRDefault="00B84A8C" w:rsidP="00A86627">
            <w:pPr>
              <w:pStyle w:val="TableText0"/>
              <w:keepNext/>
              <w:jc w:val="center"/>
              <w:rPr>
                <w:bCs w:val="0"/>
                <w:szCs w:val="20"/>
              </w:rPr>
            </w:pPr>
            <w:r w:rsidRPr="00F81DB6">
              <w:rPr>
                <w:bCs w:val="0"/>
                <w:szCs w:val="20"/>
              </w:rPr>
              <w:t>464 (39.4)</w:t>
            </w:r>
          </w:p>
        </w:tc>
        <w:tc>
          <w:tcPr>
            <w:tcW w:w="468" w:type="pct"/>
            <w:vAlign w:val="center"/>
          </w:tcPr>
          <w:p w14:paraId="142F09DE" w14:textId="77777777" w:rsidR="00B84A8C" w:rsidRPr="00F81DB6" w:rsidRDefault="00B84A8C" w:rsidP="00A86627">
            <w:pPr>
              <w:pStyle w:val="TableText0"/>
              <w:keepNext/>
              <w:jc w:val="center"/>
              <w:rPr>
                <w:bCs w:val="0"/>
                <w:szCs w:val="20"/>
              </w:rPr>
            </w:pPr>
            <w:r w:rsidRPr="00F81DB6">
              <w:rPr>
                <w:bCs w:val="0"/>
                <w:szCs w:val="20"/>
              </w:rPr>
              <w:t>607 (51.7)</w:t>
            </w:r>
          </w:p>
        </w:tc>
        <w:tc>
          <w:tcPr>
            <w:tcW w:w="496" w:type="pct"/>
            <w:vAlign w:val="center"/>
          </w:tcPr>
          <w:p w14:paraId="6B9A3FF8" w14:textId="77777777" w:rsidR="00B84A8C" w:rsidRPr="00F81DB6" w:rsidRDefault="00B84A8C" w:rsidP="00A86627">
            <w:pPr>
              <w:pStyle w:val="TableText0"/>
              <w:keepNext/>
              <w:jc w:val="center"/>
              <w:rPr>
                <w:szCs w:val="20"/>
              </w:rPr>
            </w:pPr>
            <w:r w:rsidRPr="00F81DB6">
              <w:rPr>
                <w:szCs w:val="20"/>
              </w:rPr>
              <w:t>143 (71.5)</w:t>
            </w:r>
          </w:p>
        </w:tc>
        <w:tc>
          <w:tcPr>
            <w:tcW w:w="471" w:type="pct"/>
            <w:vAlign w:val="center"/>
          </w:tcPr>
          <w:p w14:paraId="17950163" w14:textId="77777777" w:rsidR="00B84A8C" w:rsidRPr="00F81DB6" w:rsidRDefault="00B84A8C" w:rsidP="00A86627">
            <w:pPr>
              <w:pStyle w:val="TableText0"/>
              <w:keepNext/>
              <w:jc w:val="center"/>
              <w:rPr>
                <w:szCs w:val="20"/>
              </w:rPr>
            </w:pPr>
            <w:r w:rsidRPr="00F81DB6">
              <w:rPr>
                <w:szCs w:val="20"/>
              </w:rPr>
              <w:t>74 (74.0)</w:t>
            </w:r>
          </w:p>
        </w:tc>
        <w:tc>
          <w:tcPr>
            <w:tcW w:w="627" w:type="pct"/>
            <w:vAlign w:val="center"/>
          </w:tcPr>
          <w:p w14:paraId="4A62E2D8" w14:textId="77777777" w:rsidR="00B84A8C" w:rsidRPr="00F81DB6" w:rsidRDefault="00B84A8C" w:rsidP="00A86627">
            <w:pPr>
              <w:pStyle w:val="TableText0"/>
              <w:keepNext/>
              <w:jc w:val="center"/>
              <w:rPr>
                <w:szCs w:val="20"/>
              </w:rPr>
            </w:pPr>
            <w:r w:rsidRPr="00F81DB6">
              <w:rPr>
                <w:szCs w:val="20"/>
              </w:rPr>
              <w:t>78 (50.3)</w:t>
            </w:r>
          </w:p>
        </w:tc>
        <w:tc>
          <w:tcPr>
            <w:tcW w:w="550" w:type="pct"/>
            <w:vAlign w:val="center"/>
          </w:tcPr>
          <w:p w14:paraId="4EA554EE" w14:textId="77777777" w:rsidR="00B84A8C" w:rsidRPr="00F81DB6" w:rsidRDefault="00B84A8C" w:rsidP="00A86627">
            <w:pPr>
              <w:pStyle w:val="TableText0"/>
              <w:keepNext/>
              <w:jc w:val="center"/>
              <w:rPr>
                <w:szCs w:val="20"/>
              </w:rPr>
            </w:pPr>
            <w:r w:rsidRPr="00F81DB6">
              <w:rPr>
                <w:szCs w:val="20"/>
              </w:rPr>
              <w:t>128 (82.6)</w:t>
            </w:r>
          </w:p>
        </w:tc>
        <w:tc>
          <w:tcPr>
            <w:tcW w:w="550" w:type="pct"/>
            <w:vAlign w:val="center"/>
          </w:tcPr>
          <w:p w14:paraId="37B80DD8" w14:textId="77777777" w:rsidR="00B84A8C" w:rsidRPr="00F81DB6" w:rsidRDefault="00B84A8C" w:rsidP="00A86627">
            <w:pPr>
              <w:pStyle w:val="TableText0"/>
              <w:keepNext/>
              <w:jc w:val="center"/>
              <w:rPr>
                <w:szCs w:val="20"/>
              </w:rPr>
            </w:pPr>
            <w:r w:rsidRPr="00F81DB6">
              <w:rPr>
                <w:szCs w:val="20"/>
              </w:rPr>
              <w:t>200 (51.8)</w:t>
            </w:r>
          </w:p>
        </w:tc>
        <w:tc>
          <w:tcPr>
            <w:tcW w:w="601" w:type="pct"/>
            <w:vAlign w:val="center"/>
          </w:tcPr>
          <w:p w14:paraId="2AF7FA13" w14:textId="77777777" w:rsidR="00B84A8C" w:rsidRPr="00F81DB6" w:rsidRDefault="00B84A8C" w:rsidP="00A86627">
            <w:pPr>
              <w:pStyle w:val="TableText0"/>
              <w:keepNext/>
              <w:jc w:val="center"/>
              <w:rPr>
                <w:szCs w:val="20"/>
              </w:rPr>
            </w:pPr>
            <w:r w:rsidRPr="00F81DB6">
              <w:rPr>
                <w:szCs w:val="20"/>
              </w:rPr>
              <w:t>107 (82.3)</w:t>
            </w:r>
          </w:p>
        </w:tc>
      </w:tr>
      <w:tr w:rsidR="00DF3377" w:rsidRPr="00F81DB6" w14:paraId="537DF20F" w14:textId="77777777" w:rsidTr="00DF3377">
        <w:trPr>
          <w:trHeight w:val="20"/>
        </w:trPr>
        <w:tc>
          <w:tcPr>
            <w:tcW w:w="695" w:type="pct"/>
          </w:tcPr>
          <w:p w14:paraId="1AC7BC1D" w14:textId="77777777" w:rsidR="00B84A8C" w:rsidRPr="00F81DB6" w:rsidRDefault="00B84A8C" w:rsidP="00A86627">
            <w:pPr>
              <w:pStyle w:val="TableText0"/>
              <w:keepNext/>
              <w:ind w:right="190"/>
              <w:rPr>
                <w:szCs w:val="20"/>
              </w:rPr>
            </w:pPr>
            <w:r w:rsidRPr="00F81DB6">
              <w:rPr>
                <w:szCs w:val="20"/>
              </w:rPr>
              <w:t>Injection site swelling</w:t>
            </w:r>
          </w:p>
        </w:tc>
        <w:tc>
          <w:tcPr>
            <w:tcW w:w="542" w:type="pct"/>
            <w:vAlign w:val="center"/>
          </w:tcPr>
          <w:p w14:paraId="7B8851DD" w14:textId="77777777" w:rsidR="00B84A8C" w:rsidRPr="00F81DB6" w:rsidRDefault="00B84A8C" w:rsidP="00A86627">
            <w:pPr>
              <w:pStyle w:val="TableText0"/>
              <w:keepNext/>
              <w:jc w:val="center"/>
              <w:rPr>
                <w:bCs w:val="0"/>
                <w:szCs w:val="20"/>
              </w:rPr>
            </w:pPr>
            <w:r w:rsidRPr="00F81DB6">
              <w:rPr>
                <w:bCs w:val="0"/>
                <w:szCs w:val="20"/>
              </w:rPr>
              <w:t>71 (6.0)</w:t>
            </w:r>
          </w:p>
        </w:tc>
        <w:tc>
          <w:tcPr>
            <w:tcW w:w="468" w:type="pct"/>
            <w:vAlign w:val="center"/>
          </w:tcPr>
          <w:p w14:paraId="37B9875E" w14:textId="77777777" w:rsidR="00B84A8C" w:rsidRPr="00F81DB6" w:rsidRDefault="00B84A8C" w:rsidP="00A86627">
            <w:pPr>
              <w:pStyle w:val="TableText0"/>
              <w:keepNext/>
              <w:jc w:val="center"/>
              <w:rPr>
                <w:bCs w:val="0"/>
                <w:szCs w:val="20"/>
              </w:rPr>
            </w:pPr>
            <w:r w:rsidRPr="00F81DB6">
              <w:rPr>
                <w:bCs w:val="0"/>
                <w:szCs w:val="20"/>
              </w:rPr>
              <w:t>98 (8.3)</w:t>
            </w:r>
          </w:p>
        </w:tc>
        <w:tc>
          <w:tcPr>
            <w:tcW w:w="496" w:type="pct"/>
            <w:vAlign w:val="center"/>
          </w:tcPr>
          <w:p w14:paraId="638AF331" w14:textId="77777777" w:rsidR="00B84A8C" w:rsidRPr="00F81DB6" w:rsidRDefault="00B84A8C" w:rsidP="00A86627">
            <w:pPr>
              <w:pStyle w:val="TableText0"/>
              <w:keepNext/>
              <w:jc w:val="center"/>
              <w:rPr>
                <w:szCs w:val="20"/>
              </w:rPr>
            </w:pPr>
            <w:r w:rsidRPr="00F81DB6">
              <w:rPr>
                <w:szCs w:val="20"/>
              </w:rPr>
              <w:t>28 (14.0)</w:t>
            </w:r>
          </w:p>
        </w:tc>
        <w:tc>
          <w:tcPr>
            <w:tcW w:w="471" w:type="pct"/>
            <w:vAlign w:val="center"/>
          </w:tcPr>
          <w:p w14:paraId="64A09B08" w14:textId="77777777" w:rsidR="00B84A8C" w:rsidRPr="00F81DB6" w:rsidRDefault="00B84A8C" w:rsidP="00A86627">
            <w:pPr>
              <w:pStyle w:val="TableText0"/>
              <w:keepNext/>
              <w:jc w:val="center"/>
              <w:rPr>
                <w:szCs w:val="20"/>
              </w:rPr>
            </w:pPr>
            <w:r w:rsidRPr="00F81DB6">
              <w:rPr>
                <w:szCs w:val="20"/>
              </w:rPr>
              <w:t>14 (14.0)</w:t>
            </w:r>
          </w:p>
        </w:tc>
        <w:tc>
          <w:tcPr>
            <w:tcW w:w="627" w:type="pct"/>
            <w:vAlign w:val="center"/>
          </w:tcPr>
          <w:p w14:paraId="006861E5" w14:textId="77777777" w:rsidR="00B84A8C" w:rsidRPr="00F81DB6" w:rsidRDefault="00B84A8C" w:rsidP="00A86627">
            <w:pPr>
              <w:pStyle w:val="TableText0"/>
              <w:keepNext/>
              <w:jc w:val="center"/>
              <w:rPr>
                <w:szCs w:val="20"/>
              </w:rPr>
            </w:pPr>
            <w:r w:rsidRPr="00F81DB6">
              <w:rPr>
                <w:szCs w:val="20"/>
              </w:rPr>
              <w:t>11 (7.1)</w:t>
            </w:r>
          </w:p>
        </w:tc>
        <w:tc>
          <w:tcPr>
            <w:tcW w:w="550" w:type="pct"/>
            <w:vAlign w:val="center"/>
          </w:tcPr>
          <w:p w14:paraId="3F803574" w14:textId="77777777" w:rsidR="00B84A8C" w:rsidRPr="00F81DB6" w:rsidRDefault="00B84A8C" w:rsidP="00A86627">
            <w:pPr>
              <w:pStyle w:val="TableText0"/>
              <w:keepNext/>
              <w:jc w:val="center"/>
              <w:rPr>
                <w:szCs w:val="20"/>
              </w:rPr>
            </w:pPr>
            <w:r w:rsidRPr="00F81DB6">
              <w:rPr>
                <w:szCs w:val="20"/>
              </w:rPr>
              <w:t>32 (20.6)</w:t>
            </w:r>
          </w:p>
        </w:tc>
        <w:tc>
          <w:tcPr>
            <w:tcW w:w="550" w:type="pct"/>
            <w:vAlign w:val="center"/>
          </w:tcPr>
          <w:p w14:paraId="348F83E0" w14:textId="77777777" w:rsidR="00B84A8C" w:rsidRPr="00F81DB6" w:rsidRDefault="00B84A8C" w:rsidP="00A86627">
            <w:pPr>
              <w:pStyle w:val="TableText0"/>
              <w:keepNext/>
              <w:jc w:val="center"/>
              <w:rPr>
                <w:szCs w:val="20"/>
              </w:rPr>
            </w:pPr>
            <w:r w:rsidRPr="00F81DB6">
              <w:rPr>
                <w:szCs w:val="20"/>
              </w:rPr>
              <w:t>31 (8.0)</w:t>
            </w:r>
          </w:p>
        </w:tc>
        <w:tc>
          <w:tcPr>
            <w:tcW w:w="601" w:type="pct"/>
            <w:vAlign w:val="center"/>
          </w:tcPr>
          <w:p w14:paraId="00C2FD59" w14:textId="77777777" w:rsidR="00B84A8C" w:rsidRPr="00F81DB6" w:rsidRDefault="00B84A8C" w:rsidP="00A86627">
            <w:pPr>
              <w:pStyle w:val="TableText0"/>
              <w:keepNext/>
              <w:jc w:val="center"/>
              <w:rPr>
                <w:szCs w:val="20"/>
              </w:rPr>
            </w:pPr>
            <w:r w:rsidRPr="00F81DB6">
              <w:rPr>
                <w:szCs w:val="20"/>
              </w:rPr>
              <w:t>33 (25.4)</w:t>
            </w:r>
          </w:p>
        </w:tc>
      </w:tr>
      <w:tr w:rsidR="00DF3377" w:rsidRPr="00F81DB6" w14:paraId="5437FB7C" w14:textId="77777777" w:rsidTr="00DF3377">
        <w:trPr>
          <w:trHeight w:val="20"/>
        </w:trPr>
        <w:tc>
          <w:tcPr>
            <w:tcW w:w="695" w:type="pct"/>
          </w:tcPr>
          <w:p w14:paraId="21BC022B" w14:textId="77777777" w:rsidR="00B84A8C" w:rsidRPr="00F81DB6" w:rsidRDefault="00B84A8C" w:rsidP="00A86627">
            <w:pPr>
              <w:pStyle w:val="TableText0"/>
              <w:keepNext/>
              <w:rPr>
                <w:szCs w:val="20"/>
              </w:rPr>
            </w:pPr>
            <w:r w:rsidRPr="00F81DB6">
              <w:rPr>
                <w:szCs w:val="20"/>
              </w:rPr>
              <w:t>Solicited systemic AE</w:t>
            </w:r>
          </w:p>
        </w:tc>
        <w:tc>
          <w:tcPr>
            <w:tcW w:w="542" w:type="pct"/>
            <w:vAlign w:val="center"/>
          </w:tcPr>
          <w:p w14:paraId="44ABECF5" w14:textId="77777777" w:rsidR="00B84A8C" w:rsidRPr="00F81DB6" w:rsidRDefault="00B84A8C" w:rsidP="00A86627">
            <w:pPr>
              <w:pStyle w:val="TableText0"/>
              <w:keepNext/>
              <w:jc w:val="center"/>
              <w:rPr>
                <w:szCs w:val="20"/>
              </w:rPr>
            </w:pPr>
            <w:r w:rsidRPr="00F81DB6">
              <w:rPr>
                <w:szCs w:val="20"/>
              </w:rPr>
              <w:t>334 (28.4)</w:t>
            </w:r>
          </w:p>
        </w:tc>
        <w:tc>
          <w:tcPr>
            <w:tcW w:w="468" w:type="pct"/>
            <w:vAlign w:val="center"/>
          </w:tcPr>
          <w:p w14:paraId="12AE5BD5" w14:textId="77777777" w:rsidR="00B84A8C" w:rsidRPr="00F81DB6" w:rsidRDefault="00B84A8C" w:rsidP="00A86627">
            <w:pPr>
              <w:pStyle w:val="TableText0"/>
              <w:keepNext/>
              <w:jc w:val="center"/>
              <w:rPr>
                <w:szCs w:val="20"/>
              </w:rPr>
            </w:pPr>
            <w:r w:rsidRPr="00F81DB6">
              <w:rPr>
                <w:szCs w:val="20"/>
              </w:rPr>
              <w:t>323 (27.5)</w:t>
            </w:r>
          </w:p>
        </w:tc>
        <w:tc>
          <w:tcPr>
            <w:tcW w:w="496" w:type="pct"/>
            <w:vAlign w:val="center"/>
          </w:tcPr>
          <w:p w14:paraId="4605B246" w14:textId="77777777" w:rsidR="00B84A8C" w:rsidRPr="00F81DB6" w:rsidRDefault="00B84A8C" w:rsidP="00A86627">
            <w:pPr>
              <w:pStyle w:val="TableText0"/>
              <w:keepNext/>
              <w:jc w:val="center"/>
              <w:rPr>
                <w:szCs w:val="20"/>
              </w:rPr>
            </w:pPr>
            <w:r w:rsidRPr="00F81DB6">
              <w:rPr>
                <w:szCs w:val="20"/>
              </w:rPr>
              <w:t>107 (53.5)</w:t>
            </w:r>
          </w:p>
        </w:tc>
        <w:tc>
          <w:tcPr>
            <w:tcW w:w="471" w:type="pct"/>
            <w:vAlign w:val="center"/>
          </w:tcPr>
          <w:p w14:paraId="63951499" w14:textId="77777777" w:rsidR="00B84A8C" w:rsidRPr="00F81DB6" w:rsidRDefault="00B84A8C" w:rsidP="00A86627">
            <w:pPr>
              <w:pStyle w:val="TableText0"/>
              <w:keepNext/>
              <w:jc w:val="center"/>
              <w:rPr>
                <w:szCs w:val="20"/>
              </w:rPr>
            </w:pPr>
            <w:r w:rsidRPr="00F81DB6">
              <w:rPr>
                <w:szCs w:val="20"/>
              </w:rPr>
              <w:t>44 (0)</w:t>
            </w:r>
          </w:p>
        </w:tc>
        <w:tc>
          <w:tcPr>
            <w:tcW w:w="627" w:type="pct"/>
            <w:vAlign w:val="center"/>
          </w:tcPr>
          <w:p w14:paraId="6944245F" w14:textId="77777777" w:rsidR="00B84A8C" w:rsidRPr="00F81DB6" w:rsidRDefault="00B84A8C" w:rsidP="00A86627">
            <w:pPr>
              <w:pStyle w:val="TableText0"/>
              <w:keepNext/>
              <w:jc w:val="center"/>
              <w:rPr>
                <w:szCs w:val="20"/>
              </w:rPr>
            </w:pPr>
            <w:r w:rsidRPr="00F81DB6">
              <w:rPr>
                <w:szCs w:val="20"/>
              </w:rPr>
              <w:t>67 (43.2)</w:t>
            </w:r>
          </w:p>
        </w:tc>
        <w:tc>
          <w:tcPr>
            <w:tcW w:w="550" w:type="pct"/>
            <w:vAlign w:val="center"/>
          </w:tcPr>
          <w:p w14:paraId="763434D6" w14:textId="77777777" w:rsidR="00B84A8C" w:rsidRPr="00F81DB6" w:rsidRDefault="00B84A8C" w:rsidP="00A86627">
            <w:pPr>
              <w:pStyle w:val="TableText0"/>
              <w:keepNext/>
              <w:jc w:val="center"/>
              <w:rPr>
                <w:szCs w:val="20"/>
              </w:rPr>
            </w:pPr>
            <w:r w:rsidRPr="00F81DB6">
              <w:rPr>
                <w:szCs w:val="20"/>
              </w:rPr>
              <w:t>67 (43.2)</w:t>
            </w:r>
          </w:p>
        </w:tc>
        <w:tc>
          <w:tcPr>
            <w:tcW w:w="550" w:type="pct"/>
            <w:vAlign w:val="center"/>
          </w:tcPr>
          <w:p w14:paraId="4BDBFE43" w14:textId="77777777" w:rsidR="00B84A8C" w:rsidRPr="00F81DB6" w:rsidRDefault="00B84A8C" w:rsidP="00A86627">
            <w:pPr>
              <w:pStyle w:val="TableText0"/>
              <w:keepNext/>
              <w:jc w:val="center"/>
              <w:rPr>
                <w:szCs w:val="20"/>
              </w:rPr>
            </w:pPr>
            <w:r w:rsidRPr="00F81DB6">
              <w:rPr>
                <w:szCs w:val="20"/>
              </w:rPr>
              <w:t>157 (40.7)</w:t>
            </w:r>
          </w:p>
        </w:tc>
        <w:tc>
          <w:tcPr>
            <w:tcW w:w="601" w:type="pct"/>
            <w:vAlign w:val="center"/>
          </w:tcPr>
          <w:p w14:paraId="51B62861" w14:textId="77777777" w:rsidR="00B84A8C" w:rsidRPr="00F81DB6" w:rsidRDefault="00B84A8C" w:rsidP="00A86627">
            <w:pPr>
              <w:pStyle w:val="TableText0"/>
              <w:keepNext/>
              <w:jc w:val="center"/>
              <w:rPr>
                <w:szCs w:val="20"/>
              </w:rPr>
            </w:pPr>
            <w:r w:rsidRPr="00F81DB6">
              <w:rPr>
                <w:szCs w:val="20"/>
              </w:rPr>
              <w:t>102 (78.5)</w:t>
            </w:r>
          </w:p>
        </w:tc>
      </w:tr>
      <w:tr w:rsidR="00DF3377" w:rsidRPr="00F81DB6" w14:paraId="5AF5F974" w14:textId="77777777" w:rsidTr="00DF3377">
        <w:trPr>
          <w:trHeight w:val="20"/>
        </w:trPr>
        <w:tc>
          <w:tcPr>
            <w:tcW w:w="695" w:type="pct"/>
          </w:tcPr>
          <w:p w14:paraId="02B7B39F" w14:textId="77777777" w:rsidR="00B84A8C" w:rsidRPr="00F81DB6" w:rsidRDefault="00B84A8C" w:rsidP="00A86627">
            <w:pPr>
              <w:pStyle w:val="TableText0"/>
              <w:keepNext/>
              <w:ind w:right="190"/>
              <w:rPr>
                <w:szCs w:val="20"/>
              </w:rPr>
            </w:pPr>
            <w:r w:rsidRPr="00F81DB6">
              <w:rPr>
                <w:szCs w:val="20"/>
              </w:rPr>
              <w:t>Fatigue</w:t>
            </w:r>
          </w:p>
        </w:tc>
        <w:tc>
          <w:tcPr>
            <w:tcW w:w="542" w:type="pct"/>
            <w:vAlign w:val="center"/>
          </w:tcPr>
          <w:p w14:paraId="5C7279A1" w14:textId="77777777" w:rsidR="00B84A8C" w:rsidRPr="00F81DB6" w:rsidRDefault="00B84A8C" w:rsidP="00A86627">
            <w:pPr>
              <w:pStyle w:val="TableText0"/>
              <w:keepNext/>
              <w:jc w:val="center"/>
              <w:rPr>
                <w:szCs w:val="20"/>
              </w:rPr>
            </w:pPr>
            <w:r w:rsidRPr="00F81DB6">
              <w:rPr>
                <w:szCs w:val="20"/>
              </w:rPr>
              <w:t>237 (20.1)</w:t>
            </w:r>
          </w:p>
        </w:tc>
        <w:tc>
          <w:tcPr>
            <w:tcW w:w="468" w:type="pct"/>
            <w:vAlign w:val="center"/>
          </w:tcPr>
          <w:p w14:paraId="2EB10F66" w14:textId="77777777" w:rsidR="00B84A8C" w:rsidRPr="00F81DB6" w:rsidRDefault="00B84A8C" w:rsidP="00A86627">
            <w:pPr>
              <w:pStyle w:val="TableText0"/>
              <w:keepNext/>
              <w:jc w:val="center"/>
              <w:rPr>
                <w:szCs w:val="20"/>
              </w:rPr>
            </w:pPr>
            <w:r w:rsidRPr="00F81DB6">
              <w:rPr>
                <w:szCs w:val="20"/>
              </w:rPr>
              <w:t>230 (19.6)</w:t>
            </w:r>
          </w:p>
        </w:tc>
        <w:tc>
          <w:tcPr>
            <w:tcW w:w="496" w:type="pct"/>
            <w:vAlign w:val="center"/>
          </w:tcPr>
          <w:p w14:paraId="59A89AD6" w14:textId="77777777" w:rsidR="00B84A8C" w:rsidRPr="00F81DB6" w:rsidRDefault="00B84A8C" w:rsidP="00A86627">
            <w:pPr>
              <w:pStyle w:val="TableText0"/>
              <w:keepNext/>
              <w:jc w:val="center"/>
              <w:rPr>
                <w:szCs w:val="20"/>
              </w:rPr>
            </w:pPr>
            <w:r w:rsidRPr="00F81DB6">
              <w:rPr>
                <w:szCs w:val="20"/>
              </w:rPr>
              <w:t>81 (40.5)</w:t>
            </w:r>
          </w:p>
        </w:tc>
        <w:tc>
          <w:tcPr>
            <w:tcW w:w="471" w:type="pct"/>
            <w:vAlign w:val="center"/>
          </w:tcPr>
          <w:p w14:paraId="3448FB54" w14:textId="77777777" w:rsidR="00B84A8C" w:rsidRPr="00F81DB6" w:rsidRDefault="00B84A8C" w:rsidP="00A86627">
            <w:pPr>
              <w:pStyle w:val="TableText0"/>
              <w:keepNext/>
              <w:jc w:val="center"/>
              <w:rPr>
                <w:szCs w:val="20"/>
              </w:rPr>
            </w:pPr>
            <w:r w:rsidRPr="00F81DB6">
              <w:rPr>
                <w:szCs w:val="20"/>
              </w:rPr>
              <w:t>34 (34.0)</w:t>
            </w:r>
          </w:p>
        </w:tc>
        <w:tc>
          <w:tcPr>
            <w:tcW w:w="627" w:type="pct"/>
            <w:vAlign w:val="center"/>
          </w:tcPr>
          <w:p w14:paraId="6EDE9B75" w14:textId="77777777" w:rsidR="00B84A8C" w:rsidRPr="00F81DB6" w:rsidRDefault="00B84A8C" w:rsidP="00A86627">
            <w:pPr>
              <w:pStyle w:val="TableText0"/>
              <w:keepNext/>
              <w:jc w:val="center"/>
              <w:rPr>
                <w:szCs w:val="20"/>
              </w:rPr>
            </w:pPr>
            <w:r w:rsidRPr="00F81DB6">
              <w:rPr>
                <w:szCs w:val="20"/>
              </w:rPr>
              <w:t>47 (30.3)</w:t>
            </w:r>
          </w:p>
        </w:tc>
        <w:tc>
          <w:tcPr>
            <w:tcW w:w="550" w:type="pct"/>
            <w:vAlign w:val="center"/>
          </w:tcPr>
          <w:p w14:paraId="6CFEBE74" w14:textId="77777777" w:rsidR="00B84A8C" w:rsidRPr="00F81DB6" w:rsidRDefault="00B84A8C" w:rsidP="00A86627">
            <w:pPr>
              <w:pStyle w:val="TableText0"/>
              <w:keepNext/>
              <w:jc w:val="center"/>
              <w:rPr>
                <w:szCs w:val="20"/>
              </w:rPr>
            </w:pPr>
            <w:r w:rsidRPr="00F81DB6">
              <w:rPr>
                <w:szCs w:val="20"/>
              </w:rPr>
              <w:t>53 (34.2)</w:t>
            </w:r>
          </w:p>
        </w:tc>
        <w:tc>
          <w:tcPr>
            <w:tcW w:w="550" w:type="pct"/>
            <w:vAlign w:val="center"/>
          </w:tcPr>
          <w:p w14:paraId="03DD582A" w14:textId="77777777" w:rsidR="00B84A8C" w:rsidRPr="00F81DB6" w:rsidRDefault="00B84A8C" w:rsidP="00A86627">
            <w:pPr>
              <w:pStyle w:val="TableText0"/>
              <w:keepNext/>
              <w:jc w:val="center"/>
              <w:rPr>
                <w:szCs w:val="20"/>
              </w:rPr>
            </w:pPr>
            <w:r w:rsidRPr="00F81DB6">
              <w:rPr>
                <w:szCs w:val="20"/>
              </w:rPr>
              <w:t>117 (30.3)</w:t>
            </w:r>
          </w:p>
        </w:tc>
        <w:tc>
          <w:tcPr>
            <w:tcW w:w="601" w:type="pct"/>
            <w:vAlign w:val="center"/>
          </w:tcPr>
          <w:p w14:paraId="5D8BE5A6" w14:textId="77777777" w:rsidR="00B84A8C" w:rsidRPr="00F81DB6" w:rsidRDefault="00B84A8C" w:rsidP="00A86627">
            <w:pPr>
              <w:pStyle w:val="TableText0"/>
              <w:keepNext/>
              <w:jc w:val="center"/>
              <w:rPr>
                <w:szCs w:val="20"/>
              </w:rPr>
            </w:pPr>
            <w:r w:rsidRPr="00F81DB6">
              <w:rPr>
                <w:szCs w:val="20"/>
              </w:rPr>
              <w:t>46 (35.4)</w:t>
            </w:r>
          </w:p>
        </w:tc>
      </w:tr>
      <w:tr w:rsidR="00DF3377" w:rsidRPr="00F81DB6" w14:paraId="69FC442F" w14:textId="77777777" w:rsidTr="00DF3377">
        <w:trPr>
          <w:trHeight w:val="20"/>
        </w:trPr>
        <w:tc>
          <w:tcPr>
            <w:tcW w:w="695" w:type="pct"/>
          </w:tcPr>
          <w:p w14:paraId="296FC36A" w14:textId="77777777" w:rsidR="00B84A8C" w:rsidRPr="00F81DB6" w:rsidRDefault="00B84A8C" w:rsidP="00A86627">
            <w:pPr>
              <w:pStyle w:val="TableText0"/>
              <w:keepNext/>
              <w:ind w:right="190"/>
              <w:rPr>
                <w:szCs w:val="20"/>
              </w:rPr>
            </w:pPr>
            <w:r w:rsidRPr="00F81DB6">
              <w:rPr>
                <w:szCs w:val="20"/>
              </w:rPr>
              <w:t>Headache</w:t>
            </w:r>
          </w:p>
        </w:tc>
        <w:tc>
          <w:tcPr>
            <w:tcW w:w="542" w:type="pct"/>
            <w:vAlign w:val="center"/>
          </w:tcPr>
          <w:p w14:paraId="3FA87F0B" w14:textId="77777777" w:rsidR="00B84A8C" w:rsidRPr="00F81DB6" w:rsidRDefault="00B84A8C" w:rsidP="00A86627">
            <w:pPr>
              <w:pStyle w:val="TableText0"/>
              <w:keepNext/>
              <w:jc w:val="center"/>
              <w:rPr>
                <w:szCs w:val="20"/>
              </w:rPr>
            </w:pPr>
            <w:r w:rsidRPr="00F81DB6">
              <w:rPr>
                <w:szCs w:val="20"/>
              </w:rPr>
              <w:t>135 (11.5)</w:t>
            </w:r>
          </w:p>
        </w:tc>
        <w:tc>
          <w:tcPr>
            <w:tcW w:w="468" w:type="pct"/>
            <w:vAlign w:val="center"/>
          </w:tcPr>
          <w:p w14:paraId="3E1E920D" w14:textId="77777777" w:rsidR="00B84A8C" w:rsidRPr="00F81DB6" w:rsidRDefault="00B84A8C" w:rsidP="00A86627">
            <w:pPr>
              <w:pStyle w:val="TableText0"/>
              <w:keepNext/>
              <w:jc w:val="center"/>
              <w:rPr>
                <w:szCs w:val="20"/>
              </w:rPr>
            </w:pPr>
            <w:r w:rsidRPr="00F81DB6">
              <w:rPr>
                <w:szCs w:val="20"/>
              </w:rPr>
              <w:t>152 (12.9)</w:t>
            </w:r>
          </w:p>
        </w:tc>
        <w:tc>
          <w:tcPr>
            <w:tcW w:w="496" w:type="pct"/>
            <w:vAlign w:val="center"/>
          </w:tcPr>
          <w:p w14:paraId="35D5DA62" w14:textId="77777777" w:rsidR="00B84A8C" w:rsidRPr="00F81DB6" w:rsidRDefault="00B84A8C" w:rsidP="00A86627">
            <w:pPr>
              <w:pStyle w:val="TableText0"/>
              <w:keepNext/>
              <w:jc w:val="center"/>
              <w:rPr>
                <w:szCs w:val="20"/>
              </w:rPr>
            </w:pPr>
            <w:r w:rsidRPr="00F81DB6">
              <w:rPr>
                <w:szCs w:val="20"/>
              </w:rPr>
              <w:t>59 (29.5)</w:t>
            </w:r>
          </w:p>
        </w:tc>
        <w:tc>
          <w:tcPr>
            <w:tcW w:w="471" w:type="pct"/>
            <w:vAlign w:val="center"/>
          </w:tcPr>
          <w:p w14:paraId="6827BD63" w14:textId="77777777" w:rsidR="00B84A8C" w:rsidRPr="00F81DB6" w:rsidRDefault="00B84A8C" w:rsidP="00A86627">
            <w:pPr>
              <w:pStyle w:val="TableText0"/>
              <w:keepNext/>
              <w:jc w:val="center"/>
              <w:rPr>
                <w:szCs w:val="20"/>
              </w:rPr>
            </w:pPr>
            <w:r w:rsidRPr="00F81DB6">
              <w:rPr>
                <w:szCs w:val="20"/>
              </w:rPr>
              <w:t>24 (24.0)</w:t>
            </w:r>
          </w:p>
        </w:tc>
        <w:tc>
          <w:tcPr>
            <w:tcW w:w="627" w:type="pct"/>
            <w:vAlign w:val="center"/>
          </w:tcPr>
          <w:p w14:paraId="57996C5C" w14:textId="77777777" w:rsidR="00B84A8C" w:rsidRPr="00F81DB6" w:rsidRDefault="00B84A8C" w:rsidP="00A86627">
            <w:pPr>
              <w:pStyle w:val="TableText0"/>
              <w:keepNext/>
              <w:jc w:val="center"/>
              <w:rPr>
                <w:szCs w:val="20"/>
              </w:rPr>
            </w:pPr>
            <w:r w:rsidRPr="00F81DB6">
              <w:rPr>
                <w:szCs w:val="20"/>
              </w:rPr>
              <w:t>34 (21.9)</w:t>
            </w:r>
          </w:p>
        </w:tc>
        <w:tc>
          <w:tcPr>
            <w:tcW w:w="550" w:type="pct"/>
            <w:vAlign w:val="center"/>
          </w:tcPr>
          <w:p w14:paraId="33DEE6C1" w14:textId="77777777" w:rsidR="00B84A8C" w:rsidRPr="00F81DB6" w:rsidRDefault="00B84A8C" w:rsidP="00A86627">
            <w:pPr>
              <w:pStyle w:val="TableText0"/>
              <w:keepNext/>
              <w:jc w:val="center"/>
              <w:rPr>
                <w:szCs w:val="20"/>
              </w:rPr>
            </w:pPr>
            <w:r w:rsidRPr="00F81DB6">
              <w:rPr>
                <w:szCs w:val="20"/>
              </w:rPr>
              <w:t>30 (19.4)</w:t>
            </w:r>
          </w:p>
        </w:tc>
        <w:tc>
          <w:tcPr>
            <w:tcW w:w="550" w:type="pct"/>
            <w:vAlign w:val="center"/>
          </w:tcPr>
          <w:p w14:paraId="09475215" w14:textId="77777777" w:rsidR="00B84A8C" w:rsidRPr="00F81DB6" w:rsidRDefault="00B84A8C" w:rsidP="00A86627">
            <w:pPr>
              <w:pStyle w:val="TableText0"/>
              <w:keepNext/>
              <w:jc w:val="center"/>
              <w:rPr>
                <w:szCs w:val="20"/>
              </w:rPr>
            </w:pPr>
            <w:r w:rsidRPr="00F81DB6">
              <w:rPr>
                <w:szCs w:val="20"/>
              </w:rPr>
              <w:t>86 (22.3)</w:t>
            </w:r>
          </w:p>
        </w:tc>
        <w:tc>
          <w:tcPr>
            <w:tcW w:w="601" w:type="pct"/>
            <w:vAlign w:val="center"/>
          </w:tcPr>
          <w:p w14:paraId="1024AC8D" w14:textId="77777777" w:rsidR="00B84A8C" w:rsidRPr="00F81DB6" w:rsidRDefault="00B84A8C" w:rsidP="00A86627">
            <w:pPr>
              <w:pStyle w:val="TableText0"/>
              <w:keepNext/>
              <w:jc w:val="center"/>
              <w:rPr>
                <w:szCs w:val="20"/>
              </w:rPr>
            </w:pPr>
            <w:r w:rsidRPr="00F81DB6">
              <w:rPr>
                <w:szCs w:val="20"/>
              </w:rPr>
              <w:t>72 (55.4)</w:t>
            </w:r>
          </w:p>
        </w:tc>
      </w:tr>
      <w:tr w:rsidR="00DF3377" w:rsidRPr="00F81DB6" w14:paraId="22833D3B" w14:textId="77777777" w:rsidTr="00DF3377">
        <w:trPr>
          <w:trHeight w:val="20"/>
        </w:trPr>
        <w:tc>
          <w:tcPr>
            <w:tcW w:w="695" w:type="pct"/>
          </w:tcPr>
          <w:p w14:paraId="0DD0AA4D" w14:textId="77777777" w:rsidR="00B84A8C" w:rsidRPr="00F81DB6" w:rsidRDefault="00B84A8C" w:rsidP="00A86627">
            <w:pPr>
              <w:pStyle w:val="TableText0"/>
              <w:keepNext/>
              <w:ind w:right="190"/>
              <w:rPr>
                <w:szCs w:val="20"/>
              </w:rPr>
            </w:pPr>
            <w:r w:rsidRPr="00F81DB6">
              <w:rPr>
                <w:szCs w:val="20"/>
              </w:rPr>
              <w:t>Myalgia</w:t>
            </w:r>
          </w:p>
        </w:tc>
        <w:tc>
          <w:tcPr>
            <w:tcW w:w="542" w:type="pct"/>
            <w:vAlign w:val="center"/>
          </w:tcPr>
          <w:p w14:paraId="1921FCAE" w14:textId="77777777" w:rsidR="00B84A8C" w:rsidRPr="00F81DB6" w:rsidRDefault="00B84A8C" w:rsidP="00A86627">
            <w:pPr>
              <w:pStyle w:val="TableText0"/>
              <w:keepNext/>
              <w:jc w:val="center"/>
              <w:rPr>
                <w:szCs w:val="20"/>
              </w:rPr>
            </w:pPr>
            <w:r w:rsidRPr="00F81DB6">
              <w:rPr>
                <w:szCs w:val="20"/>
              </w:rPr>
              <w:t>70 (5.9)</w:t>
            </w:r>
          </w:p>
        </w:tc>
        <w:tc>
          <w:tcPr>
            <w:tcW w:w="468" w:type="pct"/>
            <w:vAlign w:val="center"/>
          </w:tcPr>
          <w:p w14:paraId="47E7553C" w14:textId="77777777" w:rsidR="00B84A8C" w:rsidRPr="00F81DB6" w:rsidRDefault="00B84A8C" w:rsidP="00A86627">
            <w:pPr>
              <w:pStyle w:val="TableText0"/>
              <w:keepNext/>
              <w:jc w:val="center"/>
              <w:rPr>
                <w:szCs w:val="20"/>
              </w:rPr>
            </w:pPr>
            <w:r w:rsidRPr="00F81DB6">
              <w:rPr>
                <w:szCs w:val="20"/>
              </w:rPr>
              <w:t>79 (6.7)</w:t>
            </w:r>
          </w:p>
        </w:tc>
        <w:tc>
          <w:tcPr>
            <w:tcW w:w="496" w:type="pct"/>
            <w:vAlign w:val="center"/>
          </w:tcPr>
          <w:p w14:paraId="10BDB737" w14:textId="77777777" w:rsidR="00B84A8C" w:rsidRPr="00F81DB6" w:rsidRDefault="00B84A8C" w:rsidP="00A86627">
            <w:pPr>
              <w:pStyle w:val="TableText0"/>
              <w:keepNext/>
              <w:jc w:val="center"/>
              <w:rPr>
                <w:szCs w:val="20"/>
              </w:rPr>
            </w:pPr>
            <w:r w:rsidRPr="00F81DB6">
              <w:rPr>
                <w:szCs w:val="20"/>
              </w:rPr>
              <w:t>33 (16.5)</w:t>
            </w:r>
          </w:p>
        </w:tc>
        <w:tc>
          <w:tcPr>
            <w:tcW w:w="471" w:type="pct"/>
            <w:vAlign w:val="center"/>
          </w:tcPr>
          <w:p w14:paraId="592A7958" w14:textId="77777777" w:rsidR="00B84A8C" w:rsidRPr="00F81DB6" w:rsidRDefault="00B84A8C" w:rsidP="00A86627">
            <w:pPr>
              <w:pStyle w:val="TableText0"/>
              <w:keepNext/>
              <w:jc w:val="center"/>
              <w:rPr>
                <w:szCs w:val="20"/>
              </w:rPr>
            </w:pPr>
            <w:r w:rsidRPr="00F81DB6">
              <w:rPr>
                <w:szCs w:val="20"/>
              </w:rPr>
              <w:t>14 (14.0)</w:t>
            </w:r>
          </w:p>
        </w:tc>
        <w:tc>
          <w:tcPr>
            <w:tcW w:w="627" w:type="pct"/>
            <w:vAlign w:val="center"/>
          </w:tcPr>
          <w:p w14:paraId="4D7DFFEE" w14:textId="77777777" w:rsidR="00B84A8C" w:rsidRPr="00F81DB6" w:rsidRDefault="00B84A8C" w:rsidP="00A86627">
            <w:pPr>
              <w:pStyle w:val="TableText0"/>
              <w:keepNext/>
              <w:jc w:val="center"/>
              <w:rPr>
                <w:szCs w:val="20"/>
              </w:rPr>
            </w:pPr>
            <w:r w:rsidRPr="00F81DB6">
              <w:rPr>
                <w:szCs w:val="20"/>
              </w:rPr>
              <w:t>19 (12.3)</w:t>
            </w:r>
          </w:p>
        </w:tc>
        <w:tc>
          <w:tcPr>
            <w:tcW w:w="550" w:type="pct"/>
            <w:vAlign w:val="center"/>
          </w:tcPr>
          <w:p w14:paraId="75D03AEE" w14:textId="77777777" w:rsidR="00B84A8C" w:rsidRPr="00F81DB6" w:rsidRDefault="00B84A8C" w:rsidP="00A86627">
            <w:pPr>
              <w:pStyle w:val="TableText0"/>
              <w:keepNext/>
              <w:jc w:val="center"/>
              <w:rPr>
                <w:szCs w:val="20"/>
              </w:rPr>
            </w:pPr>
            <w:r w:rsidRPr="00F81DB6">
              <w:rPr>
                <w:szCs w:val="20"/>
              </w:rPr>
              <w:t>24 (15.5)</w:t>
            </w:r>
          </w:p>
        </w:tc>
        <w:tc>
          <w:tcPr>
            <w:tcW w:w="550" w:type="pct"/>
            <w:vAlign w:val="center"/>
          </w:tcPr>
          <w:p w14:paraId="5071A4C3" w14:textId="77777777" w:rsidR="00B84A8C" w:rsidRPr="00F81DB6" w:rsidRDefault="00B84A8C" w:rsidP="00A86627">
            <w:pPr>
              <w:pStyle w:val="TableText0"/>
              <w:keepNext/>
              <w:jc w:val="center"/>
              <w:rPr>
                <w:szCs w:val="20"/>
              </w:rPr>
            </w:pPr>
            <w:r w:rsidRPr="00F81DB6">
              <w:rPr>
                <w:szCs w:val="20"/>
              </w:rPr>
              <w:t>42 (10.9)</w:t>
            </w:r>
          </w:p>
        </w:tc>
        <w:tc>
          <w:tcPr>
            <w:tcW w:w="601" w:type="pct"/>
            <w:vAlign w:val="center"/>
          </w:tcPr>
          <w:p w14:paraId="32CAA0B0" w14:textId="77777777" w:rsidR="00B84A8C" w:rsidRPr="00F81DB6" w:rsidRDefault="00B84A8C" w:rsidP="00A86627">
            <w:pPr>
              <w:pStyle w:val="TableText0"/>
              <w:keepNext/>
              <w:jc w:val="center"/>
              <w:rPr>
                <w:szCs w:val="20"/>
              </w:rPr>
            </w:pPr>
            <w:r w:rsidRPr="00F81DB6">
              <w:rPr>
                <w:szCs w:val="20"/>
              </w:rPr>
              <w:t>59 (45.4)</w:t>
            </w:r>
          </w:p>
        </w:tc>
      </w:tr>
      <w:tr w:rsidR="00DF3377" w:rsidRPr="00F81DB6" w14:paraId="6A778B1E" w14:textId="77777777" w:rsidTr="00DF3377">
        <w:trPr>
          <w:trHeight w:val="20"/>
        </w:trPr>
        <w:tc>
          <w:tcPr>
            <w:tcW w:w="695" w:type="pct"/>
          </w:tcPr>
          <w:p w14:paraId="1FD0CA3E" w14:textId="77777777" w:rsidR="00B84A8C" w:rsidRPr="00F81DB6" w:rsidRDefault="00B84A8C" w:rsidP="00A86627">
            <w:pPr>
              <w:pStyle w:val="TableText0"/>
              <w:keepNext/>
              <w:ind w:right="190"/>
              <w:rPr>
                <w:szCs w:val="20"/>
              </w:rPr>
            </w:pPr>
            <w:r w:rsidRPr="00F81DB6">
              <w:rPr>
                <w:szCs w:val="20"/>
              </w:rPr>
              <w:t>Pyrexia</w:t>
            </w:r>
          </w:p>
        </w:tc>
        <w:tc>
          <w:tcPr>
            <w:tcW w:w="542" w:type="pct"/>
            <w:vAlign w:val="center"/>
          </w:tcPr>
          <w:p w14:paraId="27EB5CC7" w14:textId="77777777" w:rsidR="00B84A8C" w:rsidRPr="00F81DB6" w:rsidRDefault="00B84A8C" w:rsidP="00A86627">
            <w:pPr>
              <w:pStyle w:val="TableText0"/>
              <w:keepNext/>
              <w:jc w:val="center"/>
              <w:rPr>
                <w:szCs w:val="20"/>
              </w:rPr>
            </w:pPr>
            <w:r w:rsidRPr="00F81DB6">
              <w:rPr>
                <w:szCs w:val="20"/>
              </w:rPr>
              <w:t>15 (1.3)</w:t>
            </w:r>
          </w:p>
        </w:tc>
        <w:tc>
          <w:tcPr>
            <w:tcW w:w="468" w:type="pct"/>
            <w:vAlign w:val="center"/>
          </w:tcPr>
          <w:p w14:paraId="0B53173D" w14:textId="77777777" w:rsidR="00B84A8C" w:rsidRPr="00F81DB6" w:rsidRDefault="00B84A8C" w:rsidP="00A86627">
            <w:pPr>
              <w:pStyle w:val="TableText0"/>
              <w:keepNext/>
              <w:jc w:val="center"/>
              <w:rPr>
                <w:szCs w:val="20"/>
              </w:rPr>
            </w:pPr>
            <w:r w:rsidRPr="00F81DB6">
              <w:rPr>
                <w:szCs w:val="20"/>
              </w:rPr>
              <w:t>15 (1.3)</w:t>
            </w:r>
          </w:p>
        </w:tc>
        <w:tc>
          <w:tcPr>
            <w:tcW w:w="496" w:type="pct"/>
            <w:vAlign w:val="center"/>
          </w:tcPr>
          <w:p w14:paraId="0DAF2394" w14:textId="77777777" w:rsidR="00B84A8C" w:rsidRPr="00F81DB6" w:rsidRDefault="00B84A8C" w:rsidP="00A86627">
            <w:pPr>
              <w:pStyle w:val="TableText0"/>
              <w:keepNext/>
              <w:jc w:val="center"/>
              <w:rPr>
                <w:szCs w:val="20"/>
              </w:rPr>
            </w:pPr>
            <w:r w:rsidRPr="00F81DB6">
              <w:rPr>
                <w:szCs w:val="20"/>
              </w:rPr>
              <w:t>7 (3.5)</w:t>
            </w:r>
          </w:p>
        </w:tc>
        <w:tc>
          <w:tcPr>
            <w:tcW w:w="471" w:type="pct"/>
            <w:vAlign w:val="center"/>
          </w:tcPr>
          <w:p w14:paraId="12F4A2E2" w14:textId="77777777" w:rsidR="00B84A8C" w:rsidRPr="00F81DB6" w:rsidRDefault="00B84A8C" w:rsidP="00A86627">
            <w:pPr>
              <w:pStyle w:val="TableText0"/>
              <w:keepNext/>
              <w:jc w:val="center"/>
              <w:rPr>
                <w:szCs w:val="20"/>
              </w:rPr>
            </w:pPr>
            <w:r w:rsidRPr="00F81DB6">
              <w:rPr>
                <w:szCs w:val="20"/>
              </w:rPr>
              <w:t>1 (1.0)</w:t>
            </w:r>
          </w:p>
        </w:tc>
        <w:tc>
          <w:tcPr>
            <w:tcW w:w="627" w:type="pct"/>
            <w:vAlign w:val="center"/>
          </w:tcPr>
          <w:p w14:paraId="4E1981D5" w14:textId="77777777" w:rsidR="00B84A8C" w:rsidRPr="00F81DB6" w:rsidRDefault="00B84A8C" w:rsidP="00A86627">
            <w:pPr>
              <w:pStyle w:val="TableText0"/>
              <w:keepNext/>
              <w:jc w:val="center"/>
              <w:rPr>
                <w:szCs w:val="20"/>
              </w:rPr>
            </w:pPr>
            <w:r w:rsidRPr="00F81DB6">
              <w:rPr>
                <w:szCs w:val="20"/>
              </w:rPr>
              <w:t>3 (1.9)</w:t>
            </w:r>
          </w:p>
        </w:tc>
        <w:tc>
          <w:tcPr>
            <w:tcW w:w="550" w:type="pct"/>
            <w:vAlign w:val="center"/>
          </w:tcPr>
          <w:p w14:paraId="43969807" w14:textId="77777777" w:rsidR="00B84A8C" w:rsidRPr="00F81DB6" w:rsidRDefault="00B84A8C" w:rsidP="00A86627">
            <w:pPr>
              <w:pStyle w:val="TableText0"/>
              <w:keepNext/>
              <w:jc w:val="center"/>
              <w:rPr>
                <w:szCs w:val="20"/>
              </w:rPr>
            </w:pPr>
            <w:r w:rsidRPr="00F81DB6">
              <w:rPr>
                <w:szCs w:val="20"/>
              </w:rPr>
              <w:t>5 (3.2)</w:t>
            </w:r>
          </w:p>
        </w:tc>
        <w:tc>
          <w:tcPr>
            <w:tcW w:w="550" w:type="pct"/>
            <w:vAlign w:val="center"/>
          </w:tcPr>
          <w:p w14:paraId="0353219C" w14:textId="77777777" w:rsidR="00B84A8C" w:rsidRPr="00F81DB6" w:rsidRDefault="00B84A8C" w:rsidP="00A86627">
            <w:pPr>
              <w:pStyle w:val="TableText0"/>
              <w:keepNext/>
              <w:jc w:val="center"/>
              <w:rPr>
                <w:szCs w:val="20"/>
              </w:rPr>
            </w:pPr>
            <w:r w:rsidRPr="00F81DB6">
              <w:rPr>
                <w:szCs w:val="20"/>
              </w:rPr>
              <w:t>12 (3.1)</w:t>
            </w:r>
          </w:p>
        </w:tc>
        <w:tc>
          <w:tcPr>
            <w:tcW w:w="601" w:type="pct"/>
            <w:vAlign w:val="center"/>
          </w:tcPr>
          <w:p w14:paraId="273D01B7" w14:textId="77777777" w:rsidR="00B84A8C" w:rsidRPr="00F81DB6" w:rsidRDefault="00B84A8C" w:rsidP="00A86627">
            <w:pPr>
              <w:pStyle w:val="TableText0"/>
              <w:keepNext/>
              <w:jc w:val="center"/>
              <w:rPr>
                <w:szCs w:val="20"/>
              </w:rPr>
            </w:pPr>
            <w:r w:rsidRPr="00F81DB6">
              <w:rPr>
                <w:szCs w:val="20"/>
              </w:rPr>
              <w:t>34 (26.2)</w:t>
            </w:r>
          </w:p>
        </w:tc>
      </w:tr>
    </w:tbl>
    <w:p w14:paraId="0720F33D" w14:textId="7FA14BE4" w:rsidR="00B84A8C" w:rsidRPr="009F57D8" w:rsidRDefault="00B84A8C" w:rsidP="00A86627">
      <w:pPr>
        <w:pStyle w:val="TableFigureFooter"/>
        <w:keepNext/>
      </w:pPr>
      <w:r w:rsidRPr="009F57D8">
        <w:t>Source: Table 2.5-15 p88 of submission; Table 2.5-16 p89, Table 2.5-26 p95, Table 2.8-3 p144 of the submission, Table 12-4 P003 CSR</w:t>
      </w:r>
    </w:p>
    <w:p w14:paraId="16202FDF" w14:textId="6934A6AF" w:rsidR="00B84A8C" w:rsidRPr="009F57D8" w:rsidRDefault="00B84A8C" w:rsidP="00A86627">
      <w:pPr>
        <w:pStyle w:val="TableFigureFooter"/>
        <w:keepNext/>
      </w:pPr>
      <w:r w:rsidRPr="009F57D8">
        <w:t xml:space="preserve">20vPCV = pneumococcal 20-valent conjugate vaccine; </w:t>
      </w:r>
      <w:r w:rsidR="00B229D8" w:rsidRPr="009F57D8">
        <w:t>21vPCV</w:t>
      </w:r>
      <w:r w:rsidRPr="009F57D8">
        <w:t xml:space="preserve"> = pneumococcal 2</w:t>
      </w:r>
      <w:r w:rsidR="00B229D8" w:rsidRPr="009F57D8">
        <w:t>1</w:t>
      </w:r>
      <w:r w:rsidRPr="009F57D8">
        <w:t>-valent conjugate vaccine</w:t>
      </w:r>
    </w:p>
    <w:p w14:paraId="6BD94724" w14:textId="77777777" w:rsidR="00B84A8C" w:rsidRPr="009F57D8" w:rsidRDefault="00B84A8C" w:rsidP="00A86627">
      <w:pPr>
        <w:pStyle w:val="TableFigureFooter"/>
        <w:keepNext/>
      </w:pPr>
      <w:r w:rsidRPr="009F57D8">
        <w:rPr>
          <w:vertAlign w:val="superscript"/>
        </w:rPr>
        <w:t>a</w:t>
      </w:r>
      <w:r w:rsidRPr="009F57D8">
        <w:t xml:space="preserve"> Determined by the investigator to be related to the vaccine.</w:t>
      </w:r>
    </w:p>
    <w:p w14:paraId="098B14B6" w14:textId="17F9850C" w:rsidR="00B84A8C" w:rsidRPr="009F57D8" w:rsidRDefault="004B6A10" w:rsidP="00A86627">
      <w:pPr>
        <w:pStyle w:val="TableFigureFooter"/>
        <w:keepNext/>
      </w:pPr>
      <w:r w:rsidRPr="009F57D8">
        <w:t xml:space="preserve">Notes: </w:t>
      </w:r>
      <w:r w:rsidR="002F6AD4" w:rsidRPr="009F57D8">
        <w:t xml:space="preserve"> </w:t>
      </w:r>
      <w:r w:rsidR="00B84A8C" w:rsidRPr="009F57D8">
        <w:t>Reported adverse events include nonserious adverse events within 30 days of vaccination and serious adverse events occurring day 1 through the duration of participation in the study</w:t>
      </w:r>
    </w:p>
    <w:p w14:paraId="37A63B7F" w14:textId="77777777" w:rsidR="00B84A8C" w:rsidRPr="009F57D8" w:rsidRDefault="00B84A8C" w:rsidP="00A86627">
      <w:pPr>
        <w:pStyle w:val="TableFigureFooter"/>
        <w:keepNext/>
      </w:pPr>
      <w:r w:rsidRPr="009F57D8">
        <w:t>MedDRA version 26.0 was used in the reporting of this study</w:t>
      </w:r>
    </w:p>
    <w:p w14:paraId="7F454582" w14:textId="77777777" w:rsidR="00B84A8C" w:rsidRPr="009F57D8" w:rsidRDefault="00B84A8C" w:rsidP="00A86627">
      <w:pPr>
        <w:pStyle w:val="TableFigureFooter"/>
        <w:keepNext/>
      </w:pPr>
      <w:r w:rsidRPr="009F57D8">
        <w:t>Every subject is counted a single time for each applicable row and column.</w:t>
      </w:r>
    </w:p>
    <w:p w14:paraId="19F0BD66" w14:textId="0E16285D" w:rsidR="00A86627" w:rsidRDefault="00B84A8C" w:rsidP="008F4A72">
      <w:pPr>
        <w:pStyle w:val="TableFigureFooter"/>
        <w:keepNext/>
      </w:pPr>
      <w:r w:rsidRPr="009F57D8">
        <w:t>Injection site erythema, injection site pain, and injection site swelling, fatigue, headache, and myalgia were solicited from Day 1 to Day 5 following vaccination. Pyrexia was defined as maximum temperature ≥100.4F</w:t>
      </w:r>
      <w:r w:rsidR="00F26D65" w:rsidRPr="009F57D8">
        <w:t xml:space="preserve"> </w:t>
      </w:r>
      <w:r w:rsidRPr="009F57D8">
        <w:t>(38.0C) solicited from Day 1 through Day 5 postvaccination.</w:t>
      </w:r>
      <w:bookmarkStart w:id="61" w:name="_Toc22897643"/>
      <w:bookmarkStart w:id="62" w:name="_Toc177070740"/>
      <w:bookmarkStart w:id="63" w:name="_Toc209004908"/>
    </w:p>
    <w:p w14:paraId="547A69F7" w14:textId="066CE097" w:rsidR="00B84A8C" w:rsidRPr="009F57D8" w:rsidRDefault="00B84A8C" w:rsidP="00062F10">
      <w:pPr>
        <w:pStyle w:val="4-SubsectionHeading"/>
        <w:keepLines/>
      </w:pPr>
      <w:r w:rsidRPr="009F57D8">
        <w:t>Benefits/harms</w:t>
      </w:r>
      <w:bookmarkEnd w:id="61"/>
      <w:bookmarkEnd w:id="62"/>
      <w:bookmarkEnd w:id="63"/>
    </w:p>
    <w:p w14:paraId="77401154" w14:textId="77777777" w:rsidR="00B84A8C" w:rsidRPr="009F57D8" w:rsidRDefault="00B84A8C" w:rsidP="00062F10">
      <w:pPr>
        <w:pStyle w:val="3-BodyText"/>
        <w:keepNext/>
        <w:keepLines/>
        <w:numPr>
          <w:ilvl w:val="1"/>
          <w:numId w:val="1"/>
        </w:numPr>
        <w:rPr>
          <w:color w:val="000000" w:themeColor="text1"/>
        </w:rPr>
      </w:pPr>
      <w:r w:rsidRPr="009F57D8">
        <w:rPr>
          <w:color w:val="000000" w:themeColor="text1"/>
        </w:rPr>
        <w:lastRenderedPageBreak/>
        <w:t xml:space="preserve">Given the submission's claim was based on immunogenicity data, a comparative benefits and harms table has not been provided. </w:t>
      </w:r>
    </w:p>
    <w:p w14:paraId="6FE5B33B" w14:textId="77777777" w:rsidR="00B84A8C" w:rsidRPr="009F57D8" w:rsidRDefault="00B84A8C" w:rsidP="000925DD">
      <w:pPr>
        <w:pStyle w:val="4-SubsectionHeading"/>
      </w:pPr>
      <w:bookmarkStart w:id="64" w:name="_Toc22897644"/>
      <w:bookmarkStart w:id="65" w:name="_Toc177070741"/>
      <w:bookmarkStart w:id="66" w:name="_Toc209004909"/>
      <w:r w:rsidRPr="009F57D8">
        <w:t>Clinical claim</w:t>
      </w:r>
      <w:bookmarkEnd w:id="64"/>
      <w:bookmarkEnd w:id="65"/>
      <w:bookmarkEnd w:id="66"/>
    </w:p>
    <w:p w14:paraId="74B1E0F8" w14:textId="2CB42881" w:rsidR="00FF2923" w:rsidRPr="009F57D8" w:rsidRDefault="00B84A8C">
      <w:pPr>
        <w:pStyle w:val="3-BodyText"/>
        <w:numPr>
          <w:ilvl w:val="1"/>
          <w:numId w:val="1"/>
        </w:numPr>
        <w:tabs>
          <w:tab w:val="num" w:pos="2257"/>
        </w:tabs>
        <w:rPr>
          <w:color w:val="000000" w:themeColor="text1"/>
        </w:rPr>
      </w:pPr>
      <w:r w:rsidRPr="009F57D8">
        <w:rPr>
          <w:color w:val="000000" w:themeColor="text1"/>
        </w:rPr>
        <w:t xml:space="preserve">The submission claimed that in </w:t>
      </w:r>
      <w:r w:rsidRPr="009F57D8">
        <w:rPr>
          <w:iCs/>
        </w:rPr>
        <w:t xml:space="preserve">adults </w:t>
      </w:r>
      <w:r w:rsidRPr="009F57D8">
        <w:rPr>
          <w:rFonts w:ascii="Times New Roman" w:hAnsi="Times New Roman" w:cs="Times New Roman"/>
          <w:iCs/>
        </w:rPr>
        <w:t xml:space="preserve">≥ </w:t>
      </w:r>
      <w:r w:rsidRPr="009F57D8">
        <w:rPr>
          <w:iCs/>
        </w:rPr>
        <w:t xml:space="preserve">18 years, </w:t>
      </w:r>
      <w:r w:rsidR="00B229D8" w:rsidRPr="009F57D8">
        <w:rPr>
          <w:iCs/>
        </w:rPr>
        <w:t>21vPCV</w:t>
      </w:r>
      <w:r w:rsidRPr="009F57D8">
        <w:rPr>
          <w:iCs/>
        </w:rPr>
        <w:t xml:space="preserve"> has superior effectiveness against</w:t>
      </w:r>
      <w:r w:rsidR="004066BA" w:rsidRPr="009F57D8">
        <w:rPr>
          <w:iCs/>
        </w:rPr>
        <w:t xml:space="preserve"> pneumococcal disease</w:t>
      </w:r>
      <w:r w:rsidRPr="009F57D8">
        <w:rPr>
          <w:iCs/>
        </w:rPr>
        <w:t xml:space="preserve"> compared to 13vPCV and 20vPCV in current NIP populations and non-inferior effectiveness in </w:t>
      </w:r>
      <w:r w:rsidR="00D04DE7" w:rsidRPr="009F57D8">
        <w:rPr>
          <w:iCs/>
        </w:rPr>
        <w:t>Aboriginal and Torres Strait Islander adults</w:t>
      </w:r>
      <w:r w:rsidRPr="009F57D8">
        <w:rPr>
          <w:iCs/>
        </w:rPr>
        <w:t xml:space="preserve"> aged 25-49 years</w:t>
      </w:r>
      <w:r w:rsidRPr="009F57D8">
        <w:rPr>
          <w:iCs/>
          <w:color w:val="000000" w:themeColor="text1"/>
        </w:rPr>
        <w:t>.</w:t>
      </w:r>
      <w:r w:rsidRPr="009F57D8">
        <w:rPr>
          <w:color w:val="000000" w:themeColor="text1"/>
        </w:rPr>
        <w:t xml:space="preserve"> The claims for superiority should be interpreted with caution as they were not supported by evidence demonstrating clinical effectiveness. </w:t>
      </w:r>
      <w:r w:rsidR="006E3143" w:rsidRPr="009F57D8">
        <w:rPr>
          <w:color w:val="000000" w:themeColor="text1"/>
        </w:rPr>
        <w:t xml:space="preserve"> </w:t>
      </w:r>
      <w:r w:rsidR="006E3143" w:rsidRPr="009F57D8">
        <w:t>For all populations, the ESC considered there was uncertainty with respect to significance of immunogenicity results for non-shared serotypes, and uncertainty with respect to linking immunogenicity results with clinical outcomes.</w:t>
      </w:r>
    </w:p>
    <w:p w14:paraId="6B5221D7" w14:textId="306B4546" w:rsidR="00FF2923" w:rsidRPr="009F57D8" w:rsidRDefault="00FF2923" w:rsidP="00FF2923">
      <w:pPr>
        <w:pStyle w:val="3-BodyText"/>
        <w:numPr>
          <w:ilvl w:val="0"/>
          <w:numId w:val="0"/>
        </w:numPr>
        <w:ind w:left="360"/>
        <w:outlineLvl w:val="2"/>
        <w:rPr>
          <w:b/>
          <w:bCs/>
          <w:i/>
          <w:iCs/>
          <w:color w:val="000000" w:themeColor="text1"/>
          <w:u w:val="single"/>
        </w:rPr>
      </w:pPr>
      <w:r w:rsidRPr="009F57D8">
        <w:rPr>
          <w:b/>
          <w:bCs/>
          <w:i/>
          <w:iCs/>
          <w:color w:val="000000" w:themeColor="text1"/>
          <w:u w:val="single"/>
        </w:rPr>
        <w:t>Comparison of immunogenicity outcomes</w:t>
      </w:r>
    </w:p>
    <w:p w14:paraId="5A19D80A" w14:textId="23F0E371" w:rsidR="00B84A8C" w:rsidRPr="009F57D8" w:rsidRDefault="00B84A8C" w:rsidP="00690874">
      <w:pPr>
        <w:pStyle w:val="3-BodyText"/>
      </w:pPr>
      <w:r w:rsidRPr="009F57D8">
        <w:t xml:space="preserve">The specific efficacy claims </w:t>
      </w:r>
      <w:r w:rsidR="00AF3121" w:rsidRPr="009F57D8">
        <w:t xml:space="preserve">(based on immunogenicity outcomes) </w:t>
      </w:r>
      <w:r w:rsidRPr="009F57D8">
        <w:t xml:space="preserve">were: </w:t>
      </w:r>
    </w:p>
    <w:p w14:paraId="2C81F058" w14:textId="77777777" w:rsidR="00B84A8C" w:rsidRPr="009F57D8" w:rsidRDefault="00B84A8C" w:rsidP="00B84A8C">
      <w:pPr>
        <w:pStyle w:val="3-BodyText"/>
        <w:numPr>
          <w:ilvl w:val="0"/>
          <w:numId w:val="0"/>
        </w:numPr>
        <w:tabs>
          <w:tab w:val="num" w:pos="2257"/>
        </w:tabs>
        <w:ind w:left="720"/>
        <w:rPr>
          <w:color w:val="000000" w:themeColor="text1"/>
        </w:rPr>
      </w:pPr>
      <w:r w:rsidRPr="009F57D8">
        <w:rPr>
          <w:u w:val="single"/>
        </w:rPr>
        <w:t xml:space="preserve">Non-Indigenous 70+: </w:t>
      </w:r>
    </w:p>
    <w:p w14:paraId="0FEE2B5A" w14:textId="53762FC5" w:rsidR="00B84A8C" w:rsidRPr="009F57D8" w:rsidRDefault="00B84A8C" w:rsidP="00B84A8C">
      <w:pPr>
        <w:pStyle w:val="ListBullet"/>
        <w:tabs>
          <w:tab w:val="clear" w:pos="360"/>
          <w:tab w:val="num" w:pos="1080"/>
          <w:tab w:val="num" w:pos="2257"/>
        </w:tabs>
        <w:ind w:left="1440"/>
      </w:pPr>
      <w:r w:rsidRPr="009F57D8">
        <w:t xml:space="preserve">For the 4 common serotypes compared to 13vPCV, </w:t>
      </w:r>
      <w:r w:rsidR="00690874" w:rsidRPr="009F57D8">
        <w:t>21vPCV</w:t>
      </w:r>
      <w:r w:rsidRPr="009F57D8">
        <w:t xml:space="preserve"> has a higher immune response for serotype 3, and no different immune response for 7F. </w:t>
      </w:r>
      <w:r w:rsidR="00AF3121" w:rsidRPr="009F57D8">
        <w:t xml:space="preserve"> The submission did not establish non</w:t>
      </w:r>
      <w:r w:rsidR="00AF3121" w:rsidRPr="009F57D8">
        <w:noBreakHyphen/>
        <w:t>inferiority for 2 of the 4 common serotypes (6A and 19A).</w:t>
      </w:r>
    </w:p>
    <w:p w14:paraId="3F01C4D5" w14:textId="5EE27FB1" w:rsidR="00B84A8C" w:rsidRPr="009F57D8" w:rsidRDefault="00B84A8C" w:rsidP="00B84A8C">
      <w:pPr>
        <w:pStyle w:val="ListBullet"/>
        <w:tabs>
          <w:tab w:val="clear" w:pos="360"/>
          <w:tab w:val="num" w:pos="720"/>
          <w:tab w:val="num" w:pos="2257"/>
        </w:tabs>
        <w:ind w:left="1440"/>
      </w:pPr>
      <w:r w:rsidRPr="009F57D8">
        <w:t xml:space="preserve">For the 10 common serotypes, </w:t>
      </w:r>
      <w:r w:rsidR="00690874" w:rsidRPr="009F57D8">
        <w:t>21vPCV</w:t>
      </w:r>
      <w:r w:rsidRPr="009F57D8">
        <w:t xml:space="preserve"> is non-inferior to 20vPCV. </w:t>
      </w:r>
    </w:p>
    <w:p w14:paraId="41E8EE81" w14:textId="1585FFB9" w:rsidR="00B84A8C" w:rsidRPr="009F57D8" w:rsidRDefault="00B84A8C" w:rsidP="00B84A8C">
      <w:pPr>
        <w:pStyle w:val="ListBullet"/>
        <w:tabs>
          <w:tab w:val="clear" w:pos="360"/>
          <w:tab w:val="num" w:pos="720"/>
          <w:tab w:val="num" w:pos="2257"/>
        </w:tabs>
        <w:ind w:left="1440"/>
      </w:pPr>
      <w:r w:rsidRPr="009F57D8">
        <w:t xml:space="preserve">For 10 of the 11 unique serotypes </w:t>
      </w:r>
      <w:r w:rsidR="00B229D8" w:rsidRPr="009F57D8">
        <w:t>21vPCV</w:t>
      </w:r>
      <w:r w:rsidRPr="009F57D8">
        <w:t xml:space="preserve"> is superior to 20vPCV (15C did not achieve superiority due to likely cross reactivity with 15B from 20vPCV).</w:t>
      </w:r>
      <w:r w:rsidR="00AF3121" w:rsidRPr="009F57D8">
        <w:t xml:space="preserve"> The submission did not establish superiority for 1 of the 11 unique serotypes.</w:t>
      </w:r>
    </w:p>
    <w:p w14:paraId="20129D83" w14:textId="4030F2D1" w:rsidR="00B84A8C" w:rsidRPr="009F57D8" w:rsidRDefault="00D04DE7" w:rsidP="000858CF">
      <w:pPr>
        <w:pStyle w:val="3-BodyText"/>
        <w:numPr>
          <w:ilvl w:val="0"/>
          <w:numId w:val="0"/>
        </w:numPr>
        <w:tabs>
          <w:tab w:val="num" w:pos="2257"/>
        </w:tabs>
        <w:ind w:left="720"/>
      </w:pPr>
      <w:r w:rsidRPr="009F57D8">
        <w:rPr>
          <w:u w:val="single"/>
        </w:rPr>
        <w:t>Aboriginal and Torres Strait Islander adults</w:t>
      </w:r>
      <w:r w:rsidR="00B84A8C" w:rsidRPr="009F57D8">
        <w:rPr>
          <w:u w:val="single"/>
        </w:rPr>
        <w:t xml:space="preserve"> ≥ 50 years and MaR aged ≥18 years: </w:t>
      </w:r>
    </w:p>
    <w:p w14:paraId="05316B7B" w14:textId="0AB30720" w:rsidR="00B84A8C" w:rsidRPr="009F57D8" w:rsidRDefault="00B84A8C" w:rsidP="00B84A8C">
      <w:pPr>
        <w:pStyle w:val="ListBullet"/>
        <w:tabs>
          <w:tab w:val="clear" w:pos="360"/>
          <w:tab w:val="num" w:pos="720"/>
          <w:tab w:val="num" w:pos="2257"/>
        </w:tabs>
        <w:ind w:left="1440"/>
      </w:pPr>
      <w:r w:rsidRPr="009F57D8">
        <w:t xml:space="preserve">For the 13 common serotypes </w:t>
      </w:r>
      <w:r w:rsidR="00690874" w:rsidRPr="009F57D8">
        <w:t>21vPCV</w:t>
      </w:r>
      <w:r w:rsidRPr="009F57D8">
        <w:t xml:space="preserve"> is non-inferior to 15vPCV followed by 23vPPV. </w:t>
      </w:r>
    </w:p>
    <w:p w14:paraId="53F50CB3" w14:textId="3B74D61D" w:rsidR="00B84A8C" w:rsidRPr="009F57D8" w:rsidRDefault="00B84A8C" w:rsidP="00B84A8C">
      <w:pPr>
        <w:pStyle w:val="ListBullet"/>
        <w:tabs>
          <w:tab w:val="clear" w:pos="360"/>
          <w:tab w:val="num" w:pos="720"/>
          <w:tab w:val="num" w:pos="2257"/>
        </w:tabs>
        <w:ind w:left="1440"/>
      </w:pPr>
      <w:r w:rsidRPr="009F57D8">
        <w:t xml:space="preserve">For 8 unique serotypes </w:t>
      </w:r>
      <w:r w:rsidR="00690874" w:rsidRPr="009F57D8">
        <w:t>21vPCV</w:t>
      </w:r>
      <w:r w:rsidRPr="009F57D8">
        <w:t xml:space="preserve"> is superior to 15vPCV, except for 15C in study P007 due to likely cross reactivity with 15B from 23vPPV. </w:t>
      </w:r>
      <w:r w:rsidR="00AF3121" w:rsidRPr="009F57D8">
        <w:t xml:space="preserve"> The submission did not establish superiority for 1 of the 8 unique serotypes.</w:t>
      </w:r>
    </w:p>
    <w:p w14:paraId="7AF4FFA6" w14:textId="1D798B5B" w:rsidR="00B84A8C" w:rsidRPr="009F57D8" w:rsidRDefault="00D04DE7" w:rsidP="00EA6937">
      <w:pPr>
        <w:pStyle w:val="3-BodyText"/>
        <w:numPr>
          <w:ilvl w:val="0"/>
          <w:numId w:val="0"/>
        </w:numPr>
        <w:tabs>
          <w:tab w:val="num" w:pos="2257"/>
        </w:tabs>
        <w:ind w:left="720"/>
        <w:rPr>
          <w:u w:val="single"/>
        </w:rPr>
      </w:pPr>
      <w:r w:rsidRPr="009F57D8">
        <w:rPr>
          <w:u w:val="single"/>
        </w:rPr>
        <w:t>Aboriginal and Torres Strait Islander adults</w:t>
      </w:r>
      <w:r w:rsidR="00B84A8C" w:rsidRPr="009F57D8">
        <w:rPr>
          <w:u w:val="single"/>
        </w:rPr>
        <w:t xml:space="preserve"> 25 to 49 years:</w:t>
      </w:r>
    </w:p>
    <w:p w14:paraId="24006E3B" w14:textId="11A64C97" w:rsidR="00B84A8C" w:rsidRPr="009F57D8" w:rsidRDefault="00B84A8C" w:rsidP="00B84A8C">
      <w:pPr>
        <w:pStyle w:val="ListBullet"/>
        <w:tabs>
          <w:tab w:val="clear" w:pos="360"/>
          <w:tab w:val="num" w:pos="720"/>
          <w:tab w:val="num" w:pos="2257"/>
        </w:tabs>
        <w:ind w:left="1440"/>
      </w:pPr>
      <w:r w:rsidRPr="009F57D8">
        <w:t xml:space="preserve">For the 10 common serotypes, </w:t>
      </w:r>
      <w:r w:rsidR="00B229D8" w:rsidRPr="009F57D8">
        <w:t>21vPCV</w:t>
      </w:r>
      <w:r w:rsidRPr="009F57D8">
        <w:t xml:space="preserve"> is non-inferior to 20vPCV. </w:t>
      </w:r>
    </w:p>
    <w:p w14:paraId="47B38F19" w14:textId="3E9F9EC5" w:rsidR="00AF3121" w:rsidRPr="009F57D8" w:rsidRDefault="00B84A8C" w:rsidP="00AF3121">
      <w:pPr>
        <w:pStyle w:val="ListBullet"/>
        <w:tabs>
          <w:tab w:val="clear" w:pos="360"/>
          <w:tab w:val="num" w:pos="720"/>
          <w:tab w:val="num" w:pos="2257"/>
        </w:tabs>
        <w:ind w:left="1440"/>
        <w:rPr>
          <w:iCs/>
        </w:rPr>
      </w:pPr>
      <w:r w:rsidRPr="009F57D8">
        <w:t xml:space="preserve">For the 11 unique serotypes </w:t>
      </w:r>
      <w:r w:rsidR="00690874" w:rsidRPr="009F57D8">
        <w:t>21vPCV</w:t>
      </w:r>
      <w:r w:rsidRPr="009F57D8">
        <w:t xml:space="preserve"> is superior to 20vPCV.</w:t>
      </w:r>
      <w:r w:rsidR="00AF3121" w:rsidRPr="009F57D8">
        <w:br/>
      </w:r>
      <w:r w:rsidR="00AF3121" w:rsidRPr="009F57D8">
        <w:rPr>
          <w:iCs/>
        </w:rPr>
        <w:t xml:space="preserve">The submission presented a comparison of </w:t>
      </w:r>
      <w:r w:rsidR="00690874" w:rsidRPr="009F57D8">
        <w:t>21vPCV</w:t>
      </w:r>
      <w:r w:rsidR="00690874" w:rsidRPr="009F57D8" w:rsidDel="00690874">
        <w:rPr>
          <w:iCs/>
        </w:rPr>
        <w:t xml:space="preserve"> </w:t>
      </w:r>
      <w:r w:rsidR="00AF3121" w:rsidRPr="009F57D8">
        <w:rPr>
          <w:iCs/>
        </w:rPr>
        <w:t xml:space="preserve">with 20vPCV alone in this </w:t>
      </w:r>
      <w:r w:rsidR="00F26D65" w:rsidRPr="009F57D8">
        <w:rPr>
          <w:iCs/>
        </w:rPr>
        <w:t>population and</w:t>
      </w:r>
      <w:r w:rsidR="00AF3121" w:rsidRPr="009F57D8">
        <w:rPr>
          <w:iCs/>
        </w:rPr>
        <w:t xml:space="preserve"> did not present a comparison of </w:t>
      </w:r>
      <w:r w:rsidR="00B229D8" w:rsidRPr="009F57D8">
        <w:rPr>
          <w:iCs/>
        </w:rPr>
        <w:t>21vPCV</w:t>
      </w:r>
      <w:r w:rsidR="00AF3121" w:rsidRPr="009F57D8">
        <w:rPr>
          <w:iCs/>
        </w:rPr>
        <w:t xml:space="preserve"> with the comparator regimen recommended previously by the PBAC in November 2022, which included 20vPCV plus 23vPPV booster doses.  </w:t>
      </w:r>
      <w:r w:rsidR="00AF3121" w:rsidRPr="009F57D8">
        <w:t xml:space="preserve">There are 11 additional serotypes in the </w:t>
      </w:r>
      <w:r w:rsidR="00AF3121" w:rsidRPr="009F57D8">
        <w:rPr>
          <w:color w:val="000000" w:themeColor="text1"/>
        </w:rPr>
        <w:t xml:space="preserve">comparator regimen that are not found in </w:t>
      </w:r>
      <w:r w:rsidR="00B229D8" w:rsidRPr="009F57D8">
        <w:rPr>
          <w:color w:val="000000" w:themeColor="text1"/>
        </w:rPr>
        <w:t>21vPCV</w:t>
      </w:r>
      <w:r w:rsidR="00AF3121" w:rsidRPr="009F57D8">
        <w:rPr>
          <w:color w:val="000000" w:themeColor="text1"/>
        </w:rPr>
        <w:t>.</w:t>
      </w:r>
      <w:r w:rsidR="00AF3121" w:rsidRPr="009F57D8">
        <w:rPr>
          <w:iCs/>
          <w:color w:val="000000" w:themeColor="text1"/>
        </w:rPr>
        <w:t xml:space="preserve">  </w:t>
      </w:r>
      <w:r w:rsidR="00AF3121" w:rsidRPr="009F57D8">
        <w:t xml:space="preserve">The ESC noted ATAGI’s advice to remove the 23vPPV doses from the recommendation for 20vPCV.  </w:t>
      </w:r>
    </w:p>
    <w:p w14:paraId="3F9188B4" w14:textId="4E858B9F" w:rsidR="00B84A8C" w:rsidRPr="009F57D8" w:rsidRDefault="00B84A8C" w:rsidP="00AF3121">
      <w:pPr>
        <w:pStyle w:val="ListBullet"/>
        <w:numPr>
          <w:ilvl w:val="0"/>
          <w:numId w:val="0"/>
        </w:numPr>
        <w:tabs>
          <w:tab w:val="num" w:pos="2257"/>
        </w:tabs>
        <w:ind w:left="1440"/>
      </w:pPr>
    </w:p>
    <w:p w14:paraId="4D362EDE" w14:textId="5013F376" w:rsidR="00B84A8C" w:rsidRPr="009F57D8" w:rsidRDefault="00B84A8C">
      <w:pPr>
        <w:pStyle w:val="3-BodyText"/>
        <w:numPr>
          <w:ilvl w:val="1"/>
          <w:numId w:val="1"/>
        </w:numPr>
        <w:tabs>
          <w:tab w:val="num" w:pos="2257"/>
        </w:tabs>
        <w:rPr>
          <w:color w:val="000000" w:themeColor="text1"/>
        </w:rPr>
      </w:pPr>
      <w:r w:rsidRPr="009F57D8">
        <w:lastRenderedPageBreak/>
        <w:t xml:space="preserve">The </w:t>
      </w:r>
      <w:r w:rsidR="004B44D1" w:rsidRPr="009F57D8">
        <w:t xml:space="preserve">ESC agreed with the </w:t>
      </w:r>
      <w:r w:rsidR="008C70D8" w:rsidRPr="009F57D8">
        <w:t xml:space="preserve">evaluation </w:t>
      </w:r>
      <w:r w:rsidR="004B44D1" w:rsidRPr="009F57D8">
        <w:t>that</w:t>
      </w:r>
      <w:r w:rsidR="008C70D8" w:rsidRPr="009F57D8">
        <w:t xml:space="preserve"> </w:t>
      </w:r>
      <w:r w:rsidR="00EE7F41" w:rsidRPr="009F57D8">
        <w:t xml:space="preserve">based on the ITC for the 4 shared serotypes, </w:t>
      </w:r>
      <w:r w:rsidR="008C70D8" w:rsidRPr="009F57D8">
        <w:t xml:space="preserve">the </w:t>
      </w:r>
      <w:r w:rsidRPr="009F57D8">
        <w:t xml:space="preserve">claim of superior efficacy of </w:t>
      </w:r>
      <w:r w:rsidR="00690874" w:rsidRPr="009F57D8">
        <w:t>21vPCV</w:t>
      </w:r>
      <w:r w:rsidRPr="009F57D8">
        <w:t xml:space="preserve"> compared to 13vPCV was not reasonable as it was only met for 1 out of 4 serotypes shared with 13vPCV. </w:t>
      </w:r>
      <w:r w:rsidRPr="009F57D8">
        <w:rPr>
          <w:rFonts w:eastAsiaTheme="minorEastAsia"/>
        </w:rPr>
        <w:t xml:space="preserve">The submission’s claim assumed the immunogenicity to efficacy bridge will hold for all serotypes, however, </w:t>
      </w:r>
      <w:r w:rsidR="00EE7F41" w:rsidRPr="009F57D8">
        <w:rPr>
          <w:rFonts w:eastAsiaTheme="minorEastAsia"/>
        </w:rPr>
        <w:t xml:space="preserve">21vPCV </w:t>
      </w:r>
      <w:r w:rsidRPr="009F57D8">
        <w:rPr>
          <w:rFonts w:eastAsiaTheme="minorEastAsia"/>
        </w:rPr>
        <w:t xml:space="preserve">shares only 4 serotypes with 13vPCV, for which there are efficacy data, noting that 2 out of 4 serotypes had lower immune response with </w:t>
      </w:r>
      <w:r w:rsidR="00EE7F41" w:rsidRPr="009F57D8">
        <w:rPr>
          <w:rFonts w:eastAsiaTheme="minorEastAsia"/>
        </w:rPr>
        <w:t>21vPCV</w:t>
      </w:r>
      <w:r w:rsidRPr="009F57D8">
        <w:rPr>
          <w:rFonts w:eastAsiaTheme="minorEastAsia"/>
        </w:rPr>
        <w:t xml:space="preserve"> compared to 13vPCV. The future contribution of these serotypes to disease across the whole population is highly uncertain (ATAGI Pre-submission Advice, May 2024). </w:t>
      </w:r>
    </w:p>
    <w:p w14:paraId="32B0CD72" w14:textId="28CA0C9C" w:rsidR="00B84A8C" w:rsidRPr="009F57D8" w:rsidRDefault="004B44D1" w:rsidP="00B84A8C">
      <w:pPr>
        <w:pStyle w:val="3-BodyText"/>
        <w:numPr>
          <w:ilvl w:val="1"/>
          <w:numId w:val="1"/>
        </w:numPr>
        <w:tabs>
          <w:tab w:val="num" w:pos="2257"/>
        </w:tabs>
        <w:rPr>
          <w:rFonts w:eastAsiaTheme="minorEastAsia"/>
        </w:rPr>
      </w:pPr>
      <w:bookmarkStart w:id="67" w:name="_Ref214615863"/>
      <w:r w:rsidRPr="009F57D8">
        <w:t xml:space="preserve">The ESC agreed with the evaluation that on </w:t>
      </w:r>
      <w:r w:rsidR="00B84A8C" w:rsidRPr="009F57D8">
        <w:t xml:space="preserve">the basis of the comparisons presented, the claim of non-inferiority of </w:t>
      </w:r>
      <w:r w:rsidR="00B229D8" w:rsidRPr="009F57D8">
        <w:t>21vPCV</w:t>
      </w:r>
      <w:r w:rsidR="00B84A8C" w:rsidRPr="009F57D8">
        <w:t xml:space="preserve"> against 20vPCV and 15vPCV appears reasonable in the context of shared serotypes. ATAGI raised concerns about the incrementally lower immune responses (i.e.</w:t>
      </w:r>
      <w:r w:rsidR="00B4064C" w:rsidRPr="009F57D8">
        <w:t>,</w:t>
      </w:r>
      <w:r w:rsidR="00B84A8C" w:rsidRPr="009F57D8">
        <w:t xml:space="preserve"> downward drift) when comparing between PCVs from 13vPCV to 20vPCV/15vPCV to 21vPCV for shared serotypes</w:t>
      </w:r>
      <w:r w:rsidR="00CE2800" w:rsidRPr="009F57D8">
        <w:t>;</w:t>
      </w:r>
      <w:r w:rsidR="00B84A8C" w:rsidRPr="009F57D8">
        <w:t xml:space="preserve"> it is uncertain whether the</w:t>
      </w:r>
      <w:r w:rsidR="000B2E3A" w:rsidRPr="009F57D8">
        <w:t xml:space="preserve"> observed</w:t>
      </w:r>
      <w:r w:rsidR="00B84A8C" w:rsidRPr="009F57D8">
        <w:t xml:space="preserve"> immunogenicity findings will translate into differences in clinical protection between vaccines (p8, ATAGI: Optimum Schedule for pneumococcal vaccination for Australian adults, July 2025). The ATAGI Advice noted that the clinical claim of </w:t>
      </w:r>
      <w:r w:rsidR="00D5559E" w:rsidRPr="009F57D8">
        <w:rPr>
          <w:rFonts w:eastAsiaTheme="minorEastAsia"/>
        </w:rPr>
        <w:t>21vPCV</w:t>
      </w:r>
      <w:r w:rsidR="00D5559E" w:rsidRPr="009F57D8" w:rsidDel="00D5559E">
        <w:t xml:space="preserve"> </w:t>
      </w:r>
      <w:r w:rsidR="00B84A8C" w:rsidRPr="009F57D8">
        <w:t xml:space="preserve"> superiority compared to 20vPCV in non-Indigenous adults ≥ 65 years and 20vPCV in MaR adults ≥ 18 years made by the submission was based on vaccine serotype coverage only, not on non-inferiority/superiority of </w:t>
      </w:r>
      <w:r w:rsidR="00D5559E" w:rsidRPr="009F57D8">
        <w:rPr>
          <w:rFonts w:eastAsiaTheme="minorEastAsia"/>
        </w:rPr>
        <w:t>21vPCV</w:t>
      </w:r>
      <w:r w:rsidR="00B84A8C" w:rsidRPr="009F57D8">
        <w:t xml:space="preserve"> immunogenicity, although predefined immunogenicity criteria were specified in the pivotal trial P003</w:t>
      </w:r>
      <w:r w:rsidR="00BD0365" w:rsidRPr="009F57D8">
        <w:t xml:space="preserve"> comparing </w:t>
      </w:r>
      <w:r w:rsidR="00F23840" w:rsidRPr="009F57D8">
        <w:rPr>
          <w:rFonts w:eastAsiaTheme="minorEastAsia"/>
        </w:rPr>
        <w:t>21vPCV</w:t>
      </w:r>
      <w:r w:rsidR="00BD0365" w:rsidRPr="009F57D8">
        <w:t xml:space="preserve"> and 20vPCV (see paragraphs </w:t>
      </w:r>
      <w:r w:rsidR="00BD0365" w:rsidRPr="009F57D8">
        <w:fldChar w:fldCharType="begin"/>
      </w:r>
      <w:r w:rsidR="00BD0365" w:rsidRPr="009F57D8">
        <w:instrText xml:space="preserve"> REF _Ref211274164 \r \h </w:instrText>
      </w:r>
      <w:r w:rsidR="00BD0365" w:rsidRPr="009F57D8">
        <w:fldChar w:fldCharType="separate"/>
      </w:r>
      <w:r w:rsidR="00581386">
        <w:t>6.14</w:t>
      </w:r>
      <w:r w:rsidR="00BD0365" w:rsidRPr="009F57D8">
        <w:fldChar w:fldCharType="end"/>
      </w:r>
      <w:r w:rsidR="00BD0365" w:rsidRPr="009F57D8">
        <w:t xml:space="preserve"> and </w:t>
      </w:r>
      <w:r w:rsidR="00BD0365" w:rsidRPr="009F57D8">
        <w:fldChar w:fldCharType="begin"/>
      </w:r>
      <w:r w:rsidR="00BD0365" w:rsidRPr="009F57D8">
        <w:instrText xml:space="preserve"> REF _Ref211274168 \r \h </w:instrText>
      </w:r>
      <w:r w:rsidR="00BD0365" w:rsidRPr="009F57D8">
        <w:fldChar w:fldCharType="separate"/>
      </w:r>
      <w:r w:rsidR="00581386">
        <w:t>6.15</w:t>
      </w:r>
      <w:r w:rsidR="00BD0365" w:rsidRPr="009F57D8">
        <w:fldChar w:fldCharType="end"/>
      </w:r>
      <w:r w:rsidR="00BD0365" w:rsidRPr="009F57D8">
        <w:t>)</w:t>
      </w:r>
      <w:r w:rsidR="00B84A8C" w:rsidRPr="009F57D8">
        <w:t>.</w:t>
      </w:r>
      <w:bookmarkEnd w:id="67"/>
      <w:r w:rsidR="00B84A8C" w:rsidRPr="009F57D8">
        <w:t xml:space="preserve"> </w:t>
      </w:r>
    </w:p>
    <w:p w14:paraId="43C65D3D" w14:textId="33AC2CDF" w:rsidR="00B84A8C" w:rsidRPr="009F57D8" w:rsidRDefault="00B84A8C" w:rsidP="00B84A8C">
      <w:pPr>
        <w:pStyle w:val="3-BodyText"/>
        <w:numPr>
          <w:ilvl w:val="1"/>
          <w:numId w:val="1"/>
        </w:numPr>
        <w:tabs>
          <w:tab w:val="num" w:pos="2257"/>
        </w:tabs>
        <w:rPr>
          <w:rFonts w:eastAsiaTheme="minorEastAsia"/>
        </w:rPr>
      </w:pPr>
      <w:r w:rsidRPr="009F57D8">
        <w:t xml:space="preserve">For the non-shared serotypes, the ATAGI Advice noted that while a clinical claim of non-inferiority of shared serotypes, based on trial data, may be acceptable, any claim of superiority </w:t>
      </w:r>
      <w:r w:rsidRPr="009F57D8">
        <w:rPr>
          <w:rFonts w:eastAsiaTheme="minorEastAsia"/>
        </w:rPr>
        <w:t xml:space="preserve">for additional serotypes is subject to uncertainty, as correlates of protection are different for different serotypes </w:t>
      </w:r>
      <w:r w:rsidRPr="009F57D8">
        <w:t>(ATAGI Pre-submission Advice, May 2024)</w:t>
      </w:r>
      <w:r w:rsidRPr="009F57D8">
        <w:rPr>
          <w:rFonts w:eastAsiaTheme="minorEastAsia"/>
        </w:rPr>
        <w:t>.</w:t>
      </w:r>
      <w:r w:rsidRPr="009F57D8" w:rsidDel="00BC2A1B">
        <w:rPr>
          <w:rFonts w:eastAsiaTheme="minorEastAsia"/>
        </w:rPr>
        <w:t xml:space="preserve"> </w:t>
      </w:r>
      <w:r w:rsidR="00532646" w:rsidRPr="009F57D8">
        <w:rPr>
          <w:rFonts w:eastAsiaTheme="minorEastAsia"/>
        </w:rPr>
        <w:t>The ESC agreed with the evaluation, that</w:t>
      </w:r>
      <w:r w:rsidRPr="009F57D8">
        <w:rPr>
          <w:rFonts w:eastAsiaTheme="minorEastAsia"/>
        </w:rPr>
        <w:t xml:space="preserve"> the claim of superiority of </w:t>
      </w:r>
      <w:r w:rsidR="00F23840" w:rsidRPr="009F57D8">
        <w:rPr>
          <w:rFonts w:eastAsiaTheme="minorEastAsia"/>
        </w:rPr>
        <w:t>21vPCV</w:t>
      </w:r>
      <w:r w:rsidRPr="009F57D8">
        <w:rPr>
          <w:rFonts w:eastAsiaTheme="minorEastAsia"/>
        </w:rPr>
        <w:t xml:space="preserve"> against </w:t>
      </w:r>
      <w:r w:rsidR="00F23840" w:rsidRPr="009F57D8">
        <w:rPr>
          <w:rFonts w:eastAsiaTheme="minorEastAsia"/>
        </w:rPr>
        <w:t xml:space="preserve">13vPCV, </w:t>
      </w:r>
      <w:r w:rsidRPr="009F57D8">
        <w:rPr>
          <w:rFonts w:eastAsiaTheme="minorEastAsia"/>
        </w:rPr>
        <w:t xml:space="preserve">20vPCV and 15vPCV for non-shared serotypes was not adequately supported. </w:t>
      </w:r>
      <w:r w:rsidRPr="009F57D8">
        <w:rPr>
          <w:bCs/>
        </w:rPr>
        <w:t>The ATAGI Advice stated that comparing serotype specific responses with a vaccine that does not contain those serotypes is problematic (</w:t>
      </w:r>
      <w:r w:rsidRPr="009F57D8">
        <w:t>ATAGI pre-submission Advice, May 2024</w:t>
      </w:r>
      <w:r w:rsidRPr="009F57D8">
        <w:rPr>
          <w:rFonts w:eastAsiaTheme="minorEastAsia"/>
        </w:rPr>
        <w:t>)</w:t>
      </w:r>
      <w:r w:rsidRPr="009F57D8">
        <w:rPr>
          <w:bCs/>
        </w:rPr>
        <w:t>.</w:t>
      </w:r>
      <w:r w:rsidRPr="009F57D8">
        <w:t xml:space="preserve"> In addition, the ATAGI Advice noted that some of the </w:t>
      </w:r>
      <w:r w:rsidR="00F23840" w:rsidRPr="009F57D8">
        <w:rPr>
          <w:rFonts w:eastAsiaTheme="minorEastAsia"/>
        </w:rPr>
        <w:t>21vPCV</w:t>
      </w:r>
      <w:r w:rsidRPr="009F57D8">
        <w:t xml:space="preserve"> individual serotypes do not match </w:t>
      </w:r>
      <w:r w:rsidRPr="009F57D8">
        <w:rPr>
          <w:rFonts w:eastAsiaTheme="minorEastAsia"/>
        </w:rPr>
        <w:t>the summary VE of 75% for IPD and 45% for pneumococcal CAP, and the serotype distribution in CAP in Australia is not known (</w:t>
      </w:r>
      <w:r w:rsidRPr="009F57D8">
        <w:t>ATAGI Pre-submission Advice, May 2024)</w:t>
      </w:r>
      <w:r w:rsidRPr="009F57D8">
        <w:rPr>
          <w:rFonts w:eastAsiaTheme="minorEastAsia"/>
        </w:rPr>
        <w:t xml:space="preserve">. </w:t>
      </w:r>
      <w:r w:rsidR="00682A35" w:rsidRPr="009F57D8">
        <w:rPr>
          <w:rFonts w:eastAsiaTheme="minorEastAsia"/>
        </w:rPr>
        <w:t xml:space="preserve">The submission included sensitivity analyses in the economic evaluation in which </w:t>
      </w:r>
      <w:r w:rsidR="00682A35" w:rsidRPr="009F57D8">
        <w:t>VE for non-13vPCV serotypes in 21vPCV were decreased by 45% (relative reduction) as recommended by the ATAGI.</w:t>
      </w:r>
      <w:r w:rsidR="006740D4" w:rsidRPr="009F57D8">
        <w:t xml:space="preserve">  For those sensitivity analyses, the assumed VE for 21vPCV was 41.3% for IPD (compared with 75% in the base case), and 24.8% for CAP (compared with 45% in the base case).</w:t>
      </w:r>
    </w:p>
    <w:p w14:paraId="2BF3CA4C" w14:textId="46DD797D" w:rsidR="00B84A8C" w:rsidRPr="009F57D8" w:rsidRDefault="00B84A8C" w:rsidP="00B84A8C">
      <w:pPr>
        <w:pStyle w:val="3-BodyText"/>
        <w:numPr>
          <w:ilvl w:val="1"/>
          <w:numId w:val="1"/>
        </w:numPr>
        <w:tabs>
          <w:tab w:val="num" w:pos="2257"/>
        </w:tabs>
        <w:rPr>
          <w:rStyle w:val="normaltextrun"/>
          <w:rFonts w:eastAsiaTheme="minorEastAsia"/>
        </w:rPr>
      </w:pPr>
      <w:r w:rsidRPr="009F57D8">
        <w:rPr>
          <w:rFonts w:eastAsiaTheme="minorEastAsia"/>
        </w:rPr>
        <w:t xml:space="preserve">The OPA GMTs for non-shared serotypes were higher with </w:t>
      </w:r>
      <w:r w:rsidR="00F23840" w:rsidRPr="009F57D8">
        <w:rPr>
          <w:rFonts w:eastAsiaTheme="minorEastAsia"/>
        </w:rPr>
        <w:t>21</w:t>
      </w:r>
      <w:r w:rsidR="00F26D65" w:rsidRPr="009F57D8">
        <w:rPr>
          <w:rFonts w:eastAsiaTheme="minorEastAsia"/>
        </w:rPr>
        <w:t>vPCV</w:t>
      </w:r>
      <w:r w:rsidR="00F26D65" w:rsidRPr="009F57D8" w:rsidDel="00F23840">
        <w:rPr>
          <w:rFonts w:eastAsiaTheme="minorEastAsia"/>
        </w:rPr>
        <w:t xml:space="preserve"> </w:t>
      </w:r>
      <w:r w:rsidR="00F26D65" w:rsidRPr="009F57D8">
        <w:rPr>
          <w:rFonts w:eastAsiaTheme="minorEastAsia"/>
        </w:rPr>
        <w:t>than</w:t>
      </w:r>
      <w:r w:rsidRPr="009F57D8">
        <w:rPr>
          <w:rFonts w:eastAsiaTheme="minorEastAsia"/>
        </w:rPr>
        <w:t xml:space="preserve"> the comparator vaccines. </w:t>
      </w:r>
      <w:r w:rsidRPr="009F57D8">
        <w:rPr>
          <w:rFonts w:cs="Calibri"/>
          <w:color w:val="000000" w:themeColor="text1"/>
          <w:shd w:val="clear" w:color="auto" w:fill="FFFFFF"/>
        </w:rPr>
        <w:t xml:space="preserve">It is possible that having higher GMTs may confer a longer duration of protection, but without data on waning, this is hard to confirm. Therefore, </w:t>
      </w:r>
      <w:r w:rsidRPr="009F57D8">
        <w:rPr>
          <w:rStyle w:val="normaltextrun"/>
          <w:rFonts w:cs="Calibri"/>
          <w:color w:val="000000" w:themeColor="text1"/>
          <w:shd w:val="clear" w:color="auto" w:fill="FFFFFF"/>
        </w:rPr>
        <w:t>a higher immune response may not necessarily result in increased disease protection.</w:t>
      </w:r>
    </w:p>
    <w:p w14:paraId="2BB5E624" w14:textId="7A4C80D1" w:rsidR="00AF3121" w:rsidRPr="009F57D8" w:rsidRDefault="00AF3121" w:rsidP="00AF3121">
      <w:pPr>
        <w:pStyle w:val="3-BodyText"/>
        <w:numPr>
          <w:ilvl w:val="0"/>
          <w:numId w:val="0"/>
        </w:numPr>
        <w:ind w:left="360"/>
        <w:outlineLvl w:val="2"/>
        <w:rPr>
          <w:b/>
          <w:bCs/>
          <w:i/>
          <w:iCs/>
          <w:color w:val="000000" w:themeColor="text1"/>
          <w:u w:val="single"/>
        </w:rPr>
      </w:pPr>
      <w:r w:rsidRPr="009F57D8">
        <w:rPr>
          <w:b/>
          <w:bCs/>
          <w:i/>
          <w:iCs/>
          <w:color w:val="000000" w:themeColor="text1"/>
          <w:u w:val="single"/>
        </w:rPr>
        <w:t>Comparison of serotype coverage</w:t>
      </w:r>
    </w:p>
    <w:p w14:paraId="1D579002" w14:textId="2D21262A" w:rsidR="00723061" w:rsidRPr="009F57D8" w:rsidRDefault="00723061" w:rsidP="00723061">
      <w:pPr>
        <w:pStyle w:val="3-BodyText"/>
      </w:pPr>
      <w:r w:rsidRPr="009F57D8">
        <w:lastRenderedPageBreak/>
        <w:t xml:space="preserve">For the current NIP populations (non-Indigenous adults aged ≥ 70 years; MaR aged </w:t>
      </w:r>
      <w:r w:rsidRPr="009F57D8">
        <w:rPr>
          <w:rFonts w:cstheme="minorHAnsi"/>
        </w:rPr>
        <w:t>≥</w:t>
      </w:r>
      <w:r w:rsidRPr="009F57D8">
        <w:t xml:space="preserve"> 18 years; and Aboriginal and Torres Strait Islander adults aged ≥ 50 years), the submission claimed that </w:t>
      </w:r>
      <w:r w:rsidR="006D7236" w:rsidRPr="009F57D8">
        <w:rPr>
          <w:rFonts w:eastAsiaTheme="minorEastAsia"/>
        </w:rPr>
        <w:t>21vPCV</w:t>
      </w:r>
      <w:r w:rsidRPr="009F57D8">
        <w:t xml:space="preserve"> was superior in clinical effectiveness against</w:t>
      </w:r>
      <w:r w:rsidR="004066BA" w:rsidRPr="009F57D8">
        <w:t xml:space="preserve"> pneumococcal disease</w:t>
      </w:r>
      <w:r w:rsidRPr="009F57D8">
        <w:t xml:space="preserve"> compared to 13vPCV and 20vPCV, based on increased serotype coverage with </w:t>
      </w:r>
      <w:r w:rsidR="006D7236" w:rsidRPr="009F57D8">
        <w:rPr>
          <w:rFonts w:eastAsiaTheme="minorEastAsia"/>
        </w:rPr>
        <w:t>21vPCV</w:t>
      </w:r>
      <w:r w:rsidRPr="009F57D8">
        <w:t xml:space="preserve"> and its translation to a reduction in IPD and CAP. The ESC considered the claim of overall superior effectiveness uncertain, noting that serotype coverage varied between populations as discussed below:</w:t>
      </w:r>
    </w:p>
    <w:p w14:paraId="0AFD7CE9" w14:textId="37F0A44A" w:rsidR="00485297" w:rsidRPr="009F57D8" w:rsidRDefault="00723061" w:rsidP="00475B47">
      <w:pPr>
        <w:pStyle w:val="ListParagraph"/>
        <w:numPr>
          <w:ilvl w:val="0"/>
          <w:numId w:val="27"/>
        </w:numPr>
        <w:jc w:val="both"/>
      </w:pPr>
      <w:r w:rsidRPr="009F57D8">
        <w:t>For the Non-Indigenous ≥70</w:t>
      </w:r>
      <w:r w:rsidR="00485297" w:rsidRPr="009F57D8">
        <w:t xml:space="preserve"> </w:t>
      </w:r>
      <w:r w:rsidRPr="009F57D8">
        <w:t xml:space="preserve">years population, the assumed increase in disease coverage for </w:t>
      </w:r>
      <w:r w:rsidR="00B229D8" w:rsidRPr="009F57D8">
        <w:t>21vPCV</w:t>
      </w:r>
      <w:r w:rsidRPr="009F57D8">
        <w:t xml:space="preserve"> was 43.5% compared with 13vPCV and 22.6% compared with 20vPCV.  Based on these estimates, the ESC considered there was likely greater serotype disease coverage with </w:t>
      </w:r>
      <w:r w:rsidR="00B229D8" w:rsidRPr="009F57D8">
        <w:t>21vPCV</w:t>
      </w:r>
      <w:r w:rsidRPr="009F57D8">
        <w:t xml:space="preserve"> than</w:t>
      </w:r>
      <w:r w:rsidR="006E3143" w:rsidRPr="009F57D8">
        <w:t xml:space="preserve"> either 13vPCV or 20vPCV alone</w:t>
      </w:r>
      <w:r w:rsidRPr="009F57D8">
        <w:t>.</w:t>
      </w:r>
    </w:p>
    <w:p w14:paraId="2412853C" w14:textId="691AA4A7" w:rsidR="00485297" w:rsidRPr="009F57D8" w:rsidRDefault="00723061" w:rsidP="00475B47">
      <w:pPr>
        <w:pStyle w:val="ListParagraph"/>
        <w:numPr>
          <w:ilvl w:val="0"/>
          <w:numId w:val="27"/>
        </w:numPr>
        <w:jc w:val="both"/>
      </w:pPr>
      <w:r w:rsidRPr="009F57D8">
        <w:t xml:space="preserve">For the MaR aged ≥18 years population, the assumed increase in disease coverage for </w:t>
      </w:r>
      <w:r w:rsidR="00B229D8" w:rsidRPr="009F57D8">
        <w:t>21vPCV</w:t>
      </w:r>
      <w:r w:rsidRPr="009F57D8">
        <w:t xml:space="preserve"> was 6.0% when </w:t>
      </w:r>
      <w:r w:rsidR="00DB6EA6" w:rsidRPr="009F57D8">
        <w:rPr>
          <w:rFonts w:eastAsiaTheme="minorEastAsia"/>
        </w:rPr>
        <w:t>21vPCV</w:t>
      </w:r>
      <w:r w:rsidRPr="009F57D8">
        <w:t xml:space="preserve"> was compared with 13vPCV (or 20vPCV) plus 23vPPV booster doses.  The submission estimated equal coverage for both </w:t>
      </w:r>
      <w:r w:rsidR="006E3143" w:rsidRPr="009F57D8">
        <w:t>regimens</w:t>
      </w:r>
      <w:r w:rsidRPr="009F57D8">
        <w:t xml:space="preserve"> after additional coverage associated with the booster was considered.  Based on these estimates, the ESC considered there was a slight increase in serotype disease coverage with </w:t>
      </w:r>
      <w:r w:rsidR="00DB6EA6" w:rsidRPr="009F57D8">
        <w:rPr>
          <w:rFonts w:eastAsiaTheme="minorEastAsia"/>
        </w:rPr>
        <w:t>21vPCV</w:t>
      </w:r>
      <w:r w:rsidRPr="009F57D8">
        <w:t xml:space="preserve"> over the</w:t>
      </w:r>
      <w:r w:rsidR="006E3143" w:rsidRPr="009F57D8">
        <w:t>se</w:t>
      </w:r>
      <w:r w:rsidRPr="009F57D8">
        <w:t xml:space="preserve"> </w:t>
      </w:r>
      <w:r w:rsidR="006E3143" w:rsidRPr="009F57D8">
        <w:t>regimen</w:t>
      </w:r>
      <w:r w:rsidRPr="009F57D8">
        <w:t>s, but the significance was unclear as it was modest based on these estimates and likely to change over time.</w:t>
      </w:r>
      <w:r w:rsidR="006E3143" w:rsidRPr="009F57D8">
        <w:t xml:space="preserve"> The ESC noted ATAGI’s recommendation to remove the booster </w:t>
      </w:r>
      <w:r w:rsidR="006652B2" w:rsidRPr="009F57D8">
        <w:t>doses and</w:t>
      </w:r>
      <w:r w:rsidR="006E3143" w:rsidRPr="009F57D8">
        <w:t xml:space="preserve"> considered there was likely greater serotype disease coverage with </w:t>
      </w:r>
      <w:r w:rsidR="00DB6EA6" w:rsidRPr="009F57D8">
        <w:rPr>
          <w:rFonts w:eastAsiaTheme="minorEastAsia"/>
        </w:rPr>
        <w:t>21vPCV</w:t>
      </w:r>
      <w:r w:rsidR="006E3143" w:rsidRPr="009F57D8">
        <w:t xml:space="preserve"> than either 13vPCV or 20vPCV alone.  </w:t>
      </w:r>
    </w:p>
    <w:p w14:paraId="0A36B873" w14:textId="0BFF5F21" w:rsidR="00723061" w:rsidRPr="009F57D8" w:rsidRDefault="00723061" w:rsidP="00475B47">
      <w:pPr>
        <w:pStyle w:val="ListParagraph"/>
        <w:numPr>
          <w:ilvl w:val="0"/>
          <w:numId w:val="27"/>
        </w:numPr>
        <w:jc w:val="both"/>
      </w:pPr>
      <w:r w:rsidRPr="009F57D8">
        <w:t xml:space="preserve">For the Indigenous ≥50 years population, the assumed increase in disease coverage for </w:t>
      </w:r>
      <w:r w:rsidR="00B229D8" w:rsidRPr="009F57D8">
        <w:t>21vPCV</w:t>
      </w:r>
      <w:r w:rsidRPr="009F57D8">
        <w:t xml:space="preserve"> was 8.9% when </w:t>
      </w:r>
      <w:r w:rsidR="00DB6EA6" w:rsidRPr="009F57D8">
        <w:rPr>
          <w:rFonts w:eastAsiaTheme="minorEastAsia"/>
        </w:rPr>
        <w:t>21vPCV</w:t>
      </w:r>
      <w:r w:rsidRPr="009F57D8">
        <w:t xml:space="preserve"> was compared with 13vPCV (or 20vPCV) plus 23vPPV booster doses.  The submission estimated equal coverage for both </w:t>
      </w:r>
      <w:r w:rsidR="006E3143" w:rsidRPr="009F57D8">
        <w:t>regimens</w:t>
      </w:r>
      <w:r w:rsidRPr="009F57D8">
        <w:t xml:space="preserve"> after additional coverage associated with the booster was considered.  Based on these estimates, the ESC considered there was a slight increase in serotype disease coverage </w:t>
      </w:r>
      <w:r w:rsidR="006652B2" w:rsidRPr="009F57D8">
        <w:t>with 21</w:t>
      </w:r>
      <w:r w:rsidR="00AC689E" w:rsidRPr="009F57D8">
        <w:rPr>
          <w:rFonts w:eastAsiaTheme="minorEastAsia"/>
        </w:rPr>
        <w:t>vPCV</w:t>
      </w:r>
      <w:r w:rsidR="00AC689E" w:rsidRPr="009F57D8">
        <w:t xml:space="preserve"> </w:t>
      </w:r>
      <w:r w:rsidRPr="009F57D8">
        <w:t>over the</w:t>
      </w:r>
      <w:r w:rsidR="006E3143" w:rsidRPr="009F57D8">
        <w:t>se regimens</w:t>
      </w:r>
      <w:r w:rsidRPr="009F57D8">
        <w:t>, but the significance was unclear as it was modest based on these estimates and likely to change over time.</w:t>
      </w:r>
    </w:p>
    <w:p w14:paraId="5D8BA6C2" w14:textId="2277F15A" w:rsidR="00723061" w:rsidRPr="009F57D8" w:rsidRDefault="00723061">
      <w:pPr>
        <w:pStyle w:val="3-BodyText"/>
      </w:pPr>
      <w:r w:rsidRPr="009F57D8">
        <w:t xml:space="preserve">For the Indigenous 25 to 49 years population, </w:t>
      </w:r>
      <w:r w:rsidR="00485297" w:rsidRPr="009F57D8">
        <w:t xml:space="preserve">the submission claimed that </w:t>
      </w:r>
      <w:r w:rsidR="00AC689E" w:rsidRPr="009F57D8">
        <w:rPr>
          <w:rFonts w:eastAsiaTheme="minorEastAsia"/>
        </w:rPr>
        <w:t>21vPCV</w:t>
      </w:r>
      <w:r w:rsidR="00485297" w:rsidRPr="009F57D8">
        <w:t xml:space="preserve"> was non-inferior in clinical effectiveness against</w:t>
      </w:r>
      <w:r w:rsidR="004066BA" w:rsidRPr="009F57D8">
        <w:t xml:space="preserve"> pneumococcal disease</w:t>
      </w:r>
      <w:r w:rsidR="00485297" w:rsidRPr="009F57D8">
        <w:t xml:space="preserve"> compared to 13vPCV and 20vPCV, based on serotype coverage.  The </w:t>
      </w:r>
      <w:r w:rsidRPr="009F57D8">
        <w:t xml:space="preserve">change in disease coverage for </w:t>
      </w:r>
      <w:r w:rsidR="00AC689E" w:rsidRPr="009F57D8">
        <w:rPr>
          <w:rFonts w:eastAsiaTheme="minorEastAsia"/>
        </w:rPr>
        <w:t>21vPCV</w:t>
      </w:r>
      <w:r w:rsidRPr="009F57D8">
        <w:t xml:space="preserve"> was negative, with a change of 0.3% compared with 20vPCV alone, and -8.7% when </w:t>
      </w:r>
      <w:r w:rsidR="00AC689E" w:rsidRPr="009F57D8">
        <w:rPr>
          <w:rFonts w:eastAsiaTheme="minorEastAsia"/>
        </w:rPr>
        <w:t>21</w:t>
      </w:r>
      <w:r w:rsidR="006652B2" w:rsidRPr="009F57D8">
        <w:rPr>
          <w:rFonts w:eastAsiaTheme="minorEastAsia"/>
        </w:rPr>
        <w:t>vPCV</w:t>
      </w:r>
      <w:r w:rsidR="006652B2" w:rsidRPr="009F57D8" w:rsidDel="00AC689E">
        <w:t xml:space="preserve"> </w:t>
      </w:r>
      <w:r w:rsidR="006652B2" w:rsidRPr="009F57D8">
        <w:t>was</w:t>
      </w:r>
      <w:r w:rsidRPr="009F57D8">
        <w:t xml:space="preserve"> compared with 20vPCV plus 23vPPV booster doses.  Based on these estimates, the ESC considered there was similar serotype coverage compared with 20vPCV alone, but </w:t>
      </w:r>
      <w:r w:rsidR="00485297" w:rsidRPr="009F57D8">
        <w:t>if</w:t>
      </w:r>
      <w:r w:rsidRPr="009F57D8">
        <w:t xml:space="preserve"> the booster is considered then serotype coverage is lower with </w:t>
      </w:r>
      <w:r w:rsidR="00B229D8" w:rsidRPr="009F57D8">
        <w:t>21vPCV</w:t>
      </w:r>
      <w:r w:rsidRPr="009F57D8">
        <w:t xml:space="preserve">.  </w:t>
      </w:r>
      <w:r w:rsidR="00485297" w:rsidRPr="009F57D8">
        <w:t xml:space="preserve">The ESC noted ATAGI’s recommendation to remove the booster </w:t>
      </w:r>
      <w:r w:rsidR="006652B2" w:rsidRPr="009F57D8">
        <w:t>doses and</w:t>
      </w:r>
      <w:r w:rsidR="00485297" w:rsidRPr="009F57D8">
        <w:t xml:space="preserve"> considered the coverage of </w:t>
      </w:r>
      <w:r w:rsidR="00B229D8" w:rsidRPr="009F57D8">
        <w:t>21vPCV</w:t>
      </w:r>
      <w:r w:rsidR="00485297" w:rsidRPr="009F57D8">
        <w:t xml:space="preserve"> and 20vPCV were similar.  As for the other populations, there may be a change in the estimates over time. </w:t>
      </w:r>
    </w:p>
    <w:p w14:paraId="5BE12776" w14:textId="783B31FE" w:rsidR="00722516" w:rsidRPr="009F57D8" w:rsidRDefault="0093471A" w:rsidP="00722516">
      <w:pPr>
        <w:pStyle w:val="3-BodyText"/>
      </w:pPr>
      <w:r w:rsidRPr="009F57D8">
        <w:t xml:space="preserve">The PSCR argued that the broader direct and indirect protection with </w:t>
      </w:r>
      <w:r w:rsidR="002D6950" w:rsidRPr="009F57D8">
        <w:rPr>
          <w:rFonts w:eastAsiaTheme="minorEastAsia"/>
        </w:rPr>
        <w:t>21</w:t>
      </w:r>
      <w:r w:rsidR="006652B2" w:rsidRPr="009F57D8">
        <w:rPr>
          <w:rFonts w:eastAsiaTheme="minorEastAsia"/>
        </w:rPr>
        <w:t>vPCV</w:t>
      </w:r>
      <w:r w:rsidR="006652B2" w:rsidRPr="009F57D8" w:rsidDel="002D6950">
        <w:t xml:space="preserve"> </w:t>
      </w:r>
      <w:r w:rsidR="006652B2" w:rsidRPr="009F57D8">
        <w:t>compared</w:t>
      </w:r>
      <w:r w:rsidRPr="009F57D8">
        <w:t xml:space="preserve"> to both </w:t>
      </w:r>
      <w:r w:rsidR="001D2EB2" w:rsidRPr="009F57D8">
        <w:t>13v</w:t>
      </w:r>
      <w:r w:rsidRPr="009F57D8">
        <w:t xml:space="preserve">PCV and </w:t>
      </w:r>
      <w:r w:rsidR="001D2EB2" w:rsidRPr="009F57D8">
        <w:t>20v</w:t>
      </w:r>
      <w:r w:rsidRPr="009F57D8">
        <w:t>PCV, as acknowledged by ATAGI, should constitute sufficient evidence to support a claim of superiority in clinical effectiveness.</w:t>
      </w:r>
    </w:p>
    <w:p w14:paraId="0C19E13D" w14:textId="659A047C" w:rsidR="00647B88" w:rsidRPr="009F57D8" w:rsidRDefault="00647B88" w:rsidP="00062F10">
      <w:pPr>
        <w:pStyle w:val="3-BodyText"/>
        <w:numPr>
          <w:ilvl w:val="0"/>
          <w:numId w:val="0"/>
        </w:numPr>
        <w:ind w:left="357"/>
        <w:outlineLvl w:val="2"/>
        <w:rPr>
          <w:b/>
          <w:bCs/>
          <w:i/>
          <w:iCs/>
          <w:color w:val="000000" w:themeColor="text1"/>
          <w:u w:val="single"/>
        </w:rPr>
      </w:pPr>
      <w:r w:rsidRPr="009F57D8">
        <w:rPr>
          <w:b/>
          <w:bCs/>
          <w:i/>
          <w:iCs/>
          <w:color w:val="000000" w:themeColor="text1"/>
          <w:u w:val="single"/>
        </w:rPr>
        <w:t>Overall interpretation</w:t>
      </w:r>
    </w:p>
    <w:p w14:paraId="13D67D93" w14:textId="73055B90" w:rsidR="00FA1BA9" w:rsidRPr="009F57D8" w:rsidRDefault="00B7288D">
      <w:pPr>
        <w:pStyle w:val="3-BodyText"/>
      </w:pPr>
      <w:bookmarkStart w:id="68" w:name="_Ref211406772"/>
      <w:r w:rsidRPr="009F57D8">
        <w:lastRenderedPageBreak/>
        <w:t xml:space="preserve">In terms of comparative effectiveness, the </w:t>
      </w:r>
      <w:r w:rsidR="005C08A2" w:rsidRPr="009F57D8">
        <w:t xml:space="preserve">ESC considered </w:t>
      </w:r>
      <w:r w:rsidRPr="009F57D8">
        <w:t xml:space="preserve">that </w:t>
      </w:r>
      <w:r w:rsidR="005C08A2" w:rsidRPr="009F57D8">
        <w:t xml:space="preserve">there was significant uncertainty regarding prevalence of disease serotypes over time, the impact of herd immunity afforded by paediatric vaccines, and the relative vaccine efficacy. </w:t>
      </w:r>
      <w:r w:rsidR="00B81923" w:rsidRPr="009F57D8">
        <w:t>The pre-PBAC response noted ATAGI’s preferential recommendation for 21vPCV and suggested this was consistent with a claim of superior public health outcomes for 21vPCV over 13vPCV and 20vPCV, as 21vPCV will prevent more cases of pneumococcal disease than the alternatives, especially given 20vPCV is now the incumbent paediatric vaccine.  The pre-PBAC response stated that 21vPCV would provide a significant improvement over alternatives in terms of a reduction in</w:t>
      </w:r>
      <w:r w:rsidR="004066BA" w:rsidRPr="009F57D8">
        <w:t xml:space="preserve"> pneumococcal disease</w:t>
      </w:r>
      <w:r w:rsidR="00B81923" w:rsidRPr="009F57D8">
        <w:t xml:space="preserve">, including reductions in hospitalisations and deaths. </w:t>
      </w:r>
    </w:p>
    <w:p w14:paraId="68132C10" w14:textId="4E558271" w:rsidR="00EE07E2" w:rsidRPr="009F57D8" w:rsidRDefault="003117DC">
      <w:pPr>
        <w:pStyle w:val="3-BodyText"/>
      </w:pPr>
      <w:r w:rsidRPr="009F57D8">
        <w:t xml:space="preserve">The PBAC considered the claim of superior comparative effectiveness was partly supported by the data, noting that 21vPCV has higher serotype coverage compared with 13vPCV and 20vPCV based on current data, however the magnitude of the translation from immunogenicity outcomes to clinical effectiveness was uncertain. </w:t>
      </w:r>
      <w:r w:rsidR="00084059" w:rsidRPr="009F57D8">
        <w:t xml:space="preserve">The </w:t>
      </w:r>
      <w:r w:rsidR="00B44023" w:rsidRPr="009F57D8">
        <w:t xml:space="preserve">PBAC </w:t>
      </w:r>
      <w:r w:rsidR="00084059" w:rsidRPr="009F57D8">
        <w:t xml:space="preserve">noted ATAGI’s advice that a 21vPCV program will provide the greatest impact on pneumococcal disease compared to other currently available pneumococcal vaccines. This advice was based on 21vPCV providing the broadest serotype coverage, particularly in the context of the existing 20vPCV program for children (implemented on 1 Sep 2025), and ATAGI acknowledged uncertainties associated with this. The PBAC </w:t>
      </w:r>
      <w:r w:rsidR="007B6BB7" w:rsidRPr="009F57D8">
        <w:t xml:space="preserve">agreed with ATAGI that it was reasonable to accept that </w:t>
      </w:r>
      <w:r w:rsidR="00B51501" w:rsidRPr="009F57D8">
        <w:t xml:space="preserve">21vPCV </w:t>
      </w:r>
      <w:r w:rsidR="007B6BB7" w:rsidRPr="009F57D8">
        <w:t xml:space="preserve">will </w:t>
      </w:r>
      <w:r w:rsidR="00084059" w:rsidRPr="009F57D8">
        <w:t xml:space="preserve">provide a significant improvement in efficacy </w:t>
      </w:r>
      <w:r w:rsidR="007B6BB7" w:rsidRPr="009F57D8">
        <w:t xml:space="preserve">if implemented on the NIP as proposed.  The PBAC agreed with the ESC </w:t>
      </w:r>
      <w:r w:rsidR="00084059" w:rsidRPr="009F57D8">
        <w:t xml:space="preserve">that the uncertainties described above relating to serotype coverage and immunobridging evidence, could </w:t>
      </w:r>
      <w:r w:rsidR="007B6BB7" w:rsidRPr="009F57D8">
        <w:t xml:space="preserve">be </w:t>
      </w:r>
      <w:r w:rsidR="00084059" w:rsidRPr="009F57D8">
        <w:t xml:space="preserve">explored with relevant sensitivity analyses and managed </w:t>
      </w:r>
      <w:r w:rsidR="007B6BB7" w:rsidRPr="009F57D8">
        <w:t xml:space="preserve">with </w:t>
      </w:r>
      <w:r w:rsidR="00084059" w:rsidRPr="009F57D8">
        <w:t>a conservative approach in the economic model (e.g. lower vaccine efficacy for non-shared serotypes, and shorter time horizon,</w:t>
      </w:r>
      <w:r w:rsidR="00EE07E2" w:rsidRPr="009F57D8">
        <w:t xml:space="preserve"> see paragraph </w:t>
      </w:r>
      <w:r w:rsidR="00B504B2" w:rsidRPr="009F57D8">
        <w:fldChar w:fldCharType="begin"/>
      </w:r>
      <w:r w:rsidR="00B504B2" w:rsidRPr="009F57D8">
        <w:instrText xml:space="preserve"> REF _Ref211434214 \r \h </w:instrText>
      </w:r>
      <w:r w:rsidR="003B565C" w:rsidRPr="009F57D8">
        <w:instrText xml:space="preserve"> \* MERGEFORMAT </w:instrText>
      </w:r>
      <w:r w:rsidR="00B504B2" w:rsidRPr="009F57D8">
        <w:fldChar w:fldCharType="separate"/>
      </w:r>
      <w:r w:rsidR="00581386">
        <w:t>6.62</w:t>
      </w:r>
      <w:r w:rsidR="00B504B2" w:rsidRPr="009F57D8">
        <w:fldChar w:fldCharType="end"/>
      </w:r>
      <w:r w:rsidR="00EE07E2" w:rsidRPr="009F57D8">
        <w:t>).</w:t>
      </w:r>
      <w:bookmarkEnd w:id="68"/>
      <w:r w:rsidR="006E4F1E" w:rsidRPr="009F57D8">
        <w:t xml:space="preserve">  </w:t>
      </w:r>
    </w:p>
    <w:p w14:paraId="42A496FB" w14:textId="66ED46DC" w:rsidR="00B84A8C" w:rsidRPr="009F57D8" w:rsidRDefault="00B84A8C" w:rsidP="00B84A8C">
      <w:pPr>
        <w:pStyle w:val="3-BodyText"/>
      </w:pPr>
      <w:r w:rsidRPr="009F57D8">
        <w:t xml:space="preserve">In terms of safety, the submission described </w:t>
      </w:r>
      <w:r w:rsidR="00B7288D" w:rsidRPr="009F57D8">
        <w:rPr>
          <w:rFonts w:eastAsiaTheme="minorEastAsia"/>
        </w:rPr>
        <w:t>21vPCV</w:t>
      </w:r>
      <w:r w:rsidRPr="009F57D8">
        <w:t xml:space="preserve"> as non-inferior to 13vPCV, 15vPCV, 20vPCV and 23vPPV. Th</w:t>
      </w:r>
      <w:r w:rsidR="005C01CC" w:rsidRPr="009F57D8">
        <w:t xml:space="preserve">e </w:t>
      </w:r>
      <w:r w:rsidR="00B7288D" w:rsidRPr="009F57D8">
        <w:t xml:space="preserve">PBAC agreed with the ESC that </w:t>
      </w:r>
      <w:r w:rsidR="005C01CC" w:rsidRPr="009F57D8">
        <w:t>th</w:t>
      </w:r>
      <w:r w:rsidRPr="009F57D8">
        <w:t xml:space="preserve">is was reasonable. </w:t>
      </w:r>
    </w:p>
    <w:p w14:paraId="74A1172E" w14:textId="1A096CC1" w:rsidR="00B60939" w:rsidRPr="009F57D8" w:rsidRDefault="00B60939" w:rsidP="000925DD">
      <w:pPr>
        <w:pStyle w:val="4-SubsectionHeading"/>
      </w:pPr>
      <w:bookmarkStart w:id="69" w:name="_Toc209004910"/>
      <w:r w:rsidRPr="009F57D8">
        <w:t>Economic analysis</w:t>
      </w:r>
      <w:bookmarkEnd w:id="5"/>
      <w:bookmarkEnd w:id="69"/>
      <w:r w:rsidR="00491B3A" w:rsidRPr="009F57D8">
        <w:t xml:space="preserve"> </w:t>
      </w:r>
    </w:p>
    <w:p w14:paraId="19CC2B11" w14:textId="60FEF6F8" w:rsidR="00F650F4" w:rsidRPr="009F57D8" w:rsidRDefault="00F650F4" w:rsidP="00A73668">
      <w:pPr>
        <w:pStyle w:val="3-BodyText"/>
        <w:numPr>
          <w:ilvl w:val="1"/>
          <w:numId w:val="1"/>
        </w:numPr>
      </w:pPr>
      <w:bookmarkStart w:id="70" w:name="_Hlk207034379"/>
      <w:r w:rsidRPr="009F57D8">
        <w:t xml:space="preserve">The submission presented results from a separate CUA with results expressed as the cost per quality-adjusted life year (QALY) gained ($/QALY) for the current NIP populations for 13vPCV </w:t>
      </w:r>
      <w:r w:rsidRPr="009F57D8">
        <w:rPr>
          <w:rFonts w:cs="Calibri"/>
        </w:rPr>
        <w:t xml:space="preserve">± </w:t>
      </w:r>
      <w:r w:rsidRPr="009F57D8">
        <w:t>23vPPV and the near-market comparator 20vPCV</w:t>
      </w:r>
      <w:r w:rsidR="00175F3B" w:rsidRPr="009F57D8">
        <w:t xml:space="preserve">.  </w:t>
      </w:r>
      <w:r w:rsidR="00175F3B" w:rsidRPr="009F57D8">
        <w:rPr>
          <w:iCs/>
        </w:rPr>
        <w:t xml:space="preserve">The PBAC considered that </w:t>
      </w:r>
      <w:r w:rsidR="00175F3B" w:rsidRPr="009F57D8">
        <w:t xml:space="preserve">13vPCV </w:t>
      </w:r>
      <w:r w:rsidR="00175F3B" w:rsidRPr="009F57D8">
        <w:rPr>
          <w:rFonts w:cs="Calibri"/>
        </w:rPr>
        <w:t xml:space="preserve">± </w:t>
      </w:r>
      <w:r w:rsidR="00175F3B" w:rsidRPr="009F57D8">
        <w:t xml:space="preserve">23vPPV was the appropriate main comparator for the current NIP populations (paragraph </w:t>
      </w:r>
      <w:r w:rsidR="00175F3B" w:rsidRPr="009F57D8">
        <w:fldChar w:fldCharType="begin"/>
      </w:r>
      <w:r w:rsidR="00175F3B" w:rsidRPr="009F57D8">
        <w:instrText xml:space="preserve"> REF _Ref214540279 \r \h </w:instrText>
      </w:r>
      <w:r w:rsidR="00175F3B" w:rsidRPr="009F57D8">
        <w:fldChar w:fldCharType="separate"/>
      </w:r>
      <w:r w:rsidR="00581386">
        <w:t>5.1</w:t>
      </w:r>
      <w:r w:rsidR="00175F3B" w:rsidRPr="009F57D8">
        <w:fldChar w:fldCharType="end"/>
      </w:r>
      <w:r w:rsidR="00175F3B" w:rsidRPr="009F57D8">
        <w:t>)</w:t>
      </w:r>
      <w:r w:rsidR="00175F3B" w:rsidRPr="009F57D8">
        <w:rPr>
          <w:iCs/>
        </w:rPr>
        <w:t xml:space="preserve">.  </w:t>
      </w:r>
      <w:r w:rsidR="00451A78" w:rsidRPr="009F57D8">
        <w:t>T</w:t>
      </w:r>
      <w:r w:rsidR="00175F3B" w:rsidRPr="009F57D8">
        <w:t>he submission presented</w:t>
      </w:r>
      <w:r w:rsidRPr="009F57D8">
        <w:t xml:space="preserve"> a CMA for the Indigenous population aged 25 to 49. </w:t>
      </w:r>
      <w:bookmarkEnd w:id="70"/>
      <w:r w:rsidRPr="009F57D8">
        <w:t xml:space="preserve">The submission relied on the superior efficacy claim to justify the CUA. The submission stated that there is no bridge to efficacy for non-13vPCV serotypes in </w:t>
      </w:r>
      <w:r w:rsidR="00175F3B" w:rsidRPr="009F57D8">
        <w:t>21vPCV</w:t>
      </w:r>
      <w:r w:rsidRPr="009F57D8">
        <w:t xml:space="preserve">, but it is likely that the immune responses observed with </w:t>
      </w:r>
      <w:r w:rsidR="00175F3B" w:rsidRPr="009F57D8">
        <w:t xml:space="preserve">21vPCV </w:t>
      </w:r>
      <w:r w:rsidRPr="009F57D8">
        <w:t>for non-13vPCV serotypes will translate to clinical protection. There was no evidence presented in the submission that translated the comparative treatment effects for immunogenicity (a surrogate outcome) to</w:t>
      </w:r>
      <w:r w:rsidR="004066BA" w:rsidRPr="009F57D8">
        <w:t xml:space="preserve"> pneumococcal disease</w:t>
      </w:r>
      <w:r w:rsidRPr="009F57D8">
        <w:t xml:space="preserve"> cases avoided. </w:t>
      </w:r>
    </w:p>
    <w:p w14:paraId="37C48A0D" w14:textId="7D2DAFF1" w:rsidR="00D15B87" w:rsidRPr="009F57D8" w:rsidRDefault="00D15B87" w:rsidP="00D15B87">
      <w:pPr>
        <w:pStyle w:val="4-SubsectionHeading"/>
      </w:pPr>
      <w:r w:rsidRPr="009F57D8">
        <w:lastRenderedPageBreak/>
        <w:t>Cost</w:t>
      </w:r>
      <w:r w:rsidR="00506D54" w:rsidRPr="009F57D8">
        <w:t>-</w:t>
      </w:r>
      <w:r w:rsidRPr="009F57D8">
        <w:t>utility analysis</w:t>
      </w:r>
      <w:r w:rsidR="00506D54" w:rsidRPr="009F57D8">
        <w:t xml:space="preserve"> </w:t>
      </w:r>
    </w:p>
    <w:p w14:paraId="489CFA13" w14:textId="0E8C5FDD" w:rsidR="00F650F4" w:rsidRPr="009F57D8" w:rsidRDefault="00F650F4" w:rsidP="00F650F4">
      <w:pPr>
        <w:pStyle w:val="3-BodyText"/>
        <w:numPr>
          <w:ilvl w:val="1"/>
          <w:numId w:val="1"/>
        </w:numPr>
      </w:pPr>
      <w:bookmarkStart w:id="71" w:name="_Ref174796681"/>
      <w:bookmarkStart w:id="72" w:name="_Ref207141630"/>
      <w:bookmarkStart w:id="73" w:name="_Ref176777673"/>
      <w:bookmarkStart w:id="74" w:name="_Ref174537714"/>
      <w:r w:rsidRPr="009F57D8">
        <w:t xml:space="preserve">The submission presented a Markov model that was not informed by the clinical studies presented in </w:t>
      </w:r>
      <w:r w:rsidR="00FD0785" w:rsidRPr="009F57D8">
        <w:t>the submission</w:t>
      </w:r>
      <w:r w:rsidRPr="009F57D8">
        <w:t xml:space="preserve">. The CAPiTA study, a double-blind RCT of 13vPCV vs no vaccine, was used to model VE and the subsequent impact on prevention of IPD and CAP of the additional vaccine-specific serotype coverage for </w:t>
      </w:r>
      <w:r w:rsidR="00E43F69" w:rsidRPr="009F57D8">
        <w:t>21</w:t>
      </w:r>
      <w:r w:rsidR="006652B2" w:rsidRPr="009F57D8">
        <w:t>vPCV</w:t>
      </w:r>
      <w:r w:rsidR="006652B2" w:rsidRPr="009F57D8" w:rsidDel="00E43F69">
        <w:t xml:space="preserve"> </w:t>
      </w:r>
      <w:r w:rsidR="006652B2" w:rsidRPr="009F57D8">
        <w:t>versus</w:t>
      </w:r>
      <w:r w:rsidRPr="009F57D8">
        <w:t xml:space="preserve"> 13vPCV or 20vPCV. This approach aligned with the methodology reviewed by the PBAC for 20vPCV, where VE for 20vPCV was based on the CAPiTA study for serotypes shared with 13vPCV and the additional serotypes in 20vPCV (para</w:t>
      </w:r>
      <w:r w:rsidR="006501B4" w:rsidRPr="009F57D8">
        <w:t>graph</w:t>
      </w:r>
      <w:r w:rsidRPr="009F57D8">
        <w:t xml:space="preserve"> 7.6, 20vPCV PSD, November 2022 PBAC meeting). However, 13vPCV and 20vPCV increased the number of serotypes offered by 7vPCV and 13vPCV respectively, unlike </w:t>
      </w:r>
      <w:r w:rsidR="00B02D83" w:rsidRPr="009F57D8">
        <w:t>21vPCV</w:t>
      </w:r>
      <w:r w:rsidRPr="009F57D8">
        <w:t xml:space="preserve">, where the majority of serotypes shared with 13vPCV have been dropped and new serotypes are proposed (4 and 10 serotypes are shared between </w:t>
      </w:r>
      <w:r w:rsidR="00B02D83" w:rsidRPr="009F57D8">
        <w:t>21</w:t>
      </w:r>
      <w:r w:rsidR="006652B2" w:rsidRPr="009F57D8">
        <w:t>vPCV</w:t>
      </w:r>
      <w:r w:rsidR="006652B2" w:rsidRPr="009F57D8" w:rsidDel="00E43F69">
        <w:t xml:space="preserve"> </w:t>
      </w:r>
      <w:r w:rsidR="006652B2" w:rsidRPr="009F57D8">
        <w:t>and</w:t>
      </w:r>
      <w:r w:rsidRPr="009F57D8">
        <w:t xml:space="preserve"> 13vPCV and 20vPCV, respectively). Therefore, as noted by ATAGI, ‘there is uncertainty as to whether the immunogenicity to efficacy bridge (</w:t>
      </w:r>
      <w:r w:rsidR="00B02D83" w:rsidRPr="009F57D8">
        <w:t>21vPCV</w:t>
      </w:r>
      <w:r w:rsidR="00B02D83" w:rsidRPr="009F57D8" w:rsidDel="00E43F69">
        <w:t xml:space="preserve"> </w:t>
      </w:r>
      <w:r w:rsidRPr="009F57D8">
        <w:t>immunogenicity was compared to 20vPCV, which was compared to 13vPCV, which has efficacy data) will result in meaningful clinical protection for all unmatched serotypes’ (ATAGI Pre-submission Advice, April 2024).</w:t>
      </w:r>
      <w:bookmarkEnd w:id="71"/>
      <w:r w:rsidRPr="009F57D8">
        <w:t xml:space="preserve"> </w:t>
      </w:r>
      <w:bookmarkEnd w:id="72"/>
    </w:p>
    <w:p w14:paraId="49328F02" w14:textId="77D975F3" w:rsidR="00F650F4" w:rsidRPr="009F57D8" w:rsidRDefault="00F650F4" w:rsidP="00F650F4">
      <w:pPr>
        <w:pStyle w:val="3-BodyText"/>
        <w:numPr>
          <w:ilvl w:val="1"/>
          <w:numId w:val="1"/>
        </w:numPr>
      </w:pPr>
      <w:r w:rsidRPr="009F57D8">
        <w:t xml:space="preserve">Additionally, the CAPiTA study included individuals that were not fully representative of the broader population included in the CUA, particularly relevant when considering the MaR population. The MaR population in the CUA encompassed younger individuals who were immune compromised due to </w:t>
      </w:r>
      <w:r w:rsidR="006501B4" w:rsidRPr="009F57D8">
        <w:t xml:space="preserve">one or more </w:t>
      </w:r>
      <w:r w:rsidRPr="009F57D8">
        <w:t xml:space="preserve">severe </w:t>
      </w:r>
      <w:r w:rsidR="006A25A3" w:rsidRPr="009F57D8">
        <w:t>co</w:t>
      </w:r>
      <w:r w:rsidRPr="009F57D8">
        <w:t xml:space="preserve">morbidities. In contrast, the older adult population included in CAPiTA generally had less serious underlying health </w:t>
      </w:r>
      <w:r w:rsidR="006652B2" w:rsidRPr="009F57D8">
        <w:t>issues and</w:t>
      </w:r>
      <w:r w:rsidRPr="009F57D8">
        <w:t xml:space="preserve"> specifically excluded immune deficient individuals.</w:t>
      </w:r>
      <w:bookmarkEnd w:id="73"/>
      <w:r w:rsidRPr="009F57D8">
        <w:t xml:space="preserve">  </w:t>
      </w:r>
      <w:bookmarkEnd w:id="74"/>
    </w:p>
    <w:p w14:paraId="33A50CFB" w14:textId="5A4FAF95" w:rsidR="00F650F4" w:rsidRPr="009F57D8" w:rsidRDefault="00F650F4" w:rsidP="00F650F4">
      <w:pPr>
        <w:pStyle w:val="3-BodyText"/>
        <w:numPr>
          <w:ilvl w:val="1"/>
          <w:numId w:val="1"/>
        </w:numPr>
        <w:rPr>
          <w:b/>
          <w:bCs/>
        </w:rPr>
      </w:pPr>
      <w:r w:rsidRPr="009F57D8">
        <w:t xml:space="preserve">The key components of the economic evaluation are presented in </w:t>
      </w:r>
      <w:r w:rsidRPr="009F57D8">
        <w:fldChar w:fldCharType="begin"/>
      </w:r>
      <w:r w:rsidRPr="009F57D8">
        <w:instrText xml:space="preserve"> REF _Ref173935681 \h </w:instrText>
      </w:r>
      <w:r w:rsidRPr="009F57D8">
        <w:fldChar w:fldCharType="separate"/>
      </w:r>
      <w:r w:rsidR="00581386" w:rsidRPr="009F57D8">
        <w:t xml:space="preserve">Table </w:t>
      </w:r>
      <w:r w:rsidR="00581386">
        <w:rPr>
          <w:noProof/>
        </w:rPr>
        <w:t>9</w:t>
      </w:r>
      <w:r w:rsidRPr="009F57D8">
        <w:fldChar w:fldCharType="end"/>
      </w:r>
      <w:r w:rsidRPr="009F57D8">
        <w:t>.</w:t>
      </w:r>
    </w:p>
    <w:p w14:paraId="7D4012CF" w14:textId="4416182A" w:rsidR="006571C4" w:rsidRPr="009F57D8" w:rsidRDefault="006571C4">
      <w:pPr>
        <w:jc w:val="left"/>
        <w:rPr>
          <w:rFonts w:asciiTheme="minorHAnsi" w:eastAsiaTheme="minorHAnsi" w:hAnsiTheme="minorHAnsi" w:cstheme="minorBidi"/>
          <w:b/>
          <w:bCs/>
          <w:szCs w:val="22"/>
        </w:rPr>
      </w:pPr>
      <w:r w:rsidRPr="009F57D8">
        <w:rPr>
          <w:b/>
          <w:bCs/>
        </w:rPr>
        <w:br w:type="page"/>
      </w:r>
    </w:p>
    <w:p w14:paraId="5DEFB713" w14:textId="2CDA68D1" w:rsidR="00F650F4" w:rsidRPr="009F57D8" w:rsidRDefault="00F650F4" w:rsidP="00F650F4">
      <w:pPr>
        <w:pStyle w:val="TableFigureHeading"/>
      </w:pPr>
      <w:bookmarkStart w:id="75" w:name="_Ref173935681"/>
      <w:r w:rsidRPr="009F57D8">
        <w:lastRenderedPageBreak/>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9</w:t>
      </w:r>
      <w:r w:rsidR="00FA4640" w:rsidRPr="009F57D8">
        <w:fldChar w:fldCharType="end"/>
      </w:r>
      <w:bookmarkEnd w:id="75"/>
      <w:r w:rsidRPr="009F57D8">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Summary of model structure, key inputs and rationale"/>
      </w:tblPr>
      <w:tblGrid>
        <w:gridCol w:w="1405"/>
        <w:gridCol w:w="7612"/>
      </w:tblGrid>
      <w:tr w:rsidR="00F650F4" w:rsidRPr="006D4064" w14:paraId="707A2F15" w14:textId="77777777" w:rsidTr="006D4064">
        <w:trPr>
          <w:cantSplit/>
          <w:tblHeader/>
        </w:trPr>
        <w:tc>
          <w:tcPr>
            <w:tcW w:w="779" w:type="pct"/>
            <w:vAlign w:val="center"/>
          </w:tcPr>
          <w:p w14:paraId="504F2F17" w14:textId="77777777" w:rsidR="00F650F4" w:rsidRPr="006D4064" w:rsidRDefault="00F650F4">
            <w:pPr>
              <w:pStyle w:val="TableText0"/>
              <w:jc w:val="center"/>
              <w:rPr>
                <w:b/>
                <w:bCs w:val="0"/>
                <w:szCs w:val="20"/>
              </w:rPr>
            </w:pPr>
            <w:r w:rsidRPr="006D4064">
              <w:rPr>
                <w:b/>
                <w:bCs w:val="0"/>
                <w:szCs w:val="20"/>
              </w:rPr>
              <w:t>Component</w:t>
            </w:r>
          </w:p>
        </w:tc>
        <w:tc>
          <w:tcPr>
            <w:tcW w:w="4221" w:type="pct"/>
            <w:vAlign w:val="center"/>
          </w:tcPr>
          <w:p w14:paraId="08CE615F" w14:textId="77777777" w:rsidR="00F650F4" w:rsidRPr="006D4064" w:rsidRDefault="00F650F4">
            <w:pPr>
              <w:pStyle w:val="TableText0"/>
              <w:jc w:val="center"/>
              <w:rPr>
                <w:b/>
                <w:bCs w:val="0"/>
                <w:szCs w:val="20"/>
              </w:rPr>
            </w:pPr>
            <w:r w:rsidRPr="006D4064">
              <w:rPr>
                <w:b/>
                <w:bCs w:val="0"/>
                <w:szCs w:val="20"/>
              </w:rPr>
              <w:t>Summary</w:t>
            </w:r>
          </w:p>
        </w:tc>
      </w:tr>
      <w:tr w:rsidR="00F650F4" w:rsidRPr="006D4064" w14:paraId="489B49F6" w14:textId="77777777" w:rsidTr="006D4064">
        <w:trPr>
          <w:cantSplit/>
        </w:trPr>
        <w:tc>
          <w:tcPr>
            <w:tcW w:w="779" w:type="pct"/>
            <w:vAlign w:val="center"/>
          </w:tcPr>
          <w:p w14:paraId="1A6D33F7" w14:textId="77777777" w:rsidR="00F650F4" w:rsidRPr="006D4064" w:rsidRDefault="00F650F4">
            <w:pPr>
              <w:pStyle w:val="TableText0"/>
              <w:rPr>
                <w:szCs w:val="20"/>
              </w:rPr>
            </w:pPr>
            <w:r w:rsidRPr="006D4064">
              <w:rPr>
                <w:szCs w:val="20"/>
              </w:rPr>
              <w:t>Treatments</w:t>
            </w:r>
          </w:p>
        </w:tc>
        <w:tc>
          <w:tcPr>
            <w:tcW w:w="4221" w:type="pct"/>
          </w:tcPr>
          <w:p w14:paraId="6A6F3D9B" w14:textId="21231314" w:rsidR="00F650F4" w:rsidRPr="006D4064" w:rsidRDefault="00500367">
            <w:pPr>
              <w:pStyle w:val="TableText0"/>
              <w:rPr>
                <w:szCs w:val="20"/>
              </w:rPr>
            </w:pPr>
            <w:r w:rsidRPr="006D4064">
              <w:rPr>
                <w:szCs w:val="20"/>
              </w:rPr>
              <w:t>21</w:t>
            </w:r>
            <w:r w:rsidR="006652B2" w:rsidRPr="006D4064">
              <w:rPr>
                <w:szCs w:val="20"/>
              </w:rPr>
              <w:t>vPCV</w:t>
            </w:r>
            <w:r w:rsidR="006652B2" w:rsidRPr="006D4064" w:rsidDel="00E43F69">
              <w:rPr>
                <w:szCs w:val="20"/>
              </w:rPr>
              <w:t xml:space="preserve"> </w:t>
            </w:r>
            <w:r w:rsidR="006652B2" w:rsidRPr="006D4064">
              <w:rPr>
                <w:szCs w:val="20"/>
              </w:rPr>
              <w:t>vs</w:t>
            </w:r>
            <w:r w:rsidR="00F650F4" w:rsidRPr="006D4064">
              <w:rPr>
                <w:szCs w:val="20"/>
              </w:rPr>
              <w:t xml:space="preserve"> 13vPCV ± 23vPPV</w:t>
            </w:r>
            <w:r w:rsidR="00F650F4" w:rsidRPr="006D4064">
              <w:rPr>
                <w:szCs w:val="20"/>
                <w:vertAlign w:val="superscript"/>
              </w:rPr>
              <w:t>a</w:t>
            </w:r>
            <w:r w:rsidR="00F650F4" w:rsidRPr="006D4064">
              <w:rPr>
                <w:szCs w:val="20"/>
              </w:rPr>
              <w:t>.</w:t>
            </w:r>
          </w:p>
        </w:tc>
      </w:tr>
      <w:tr w:rsidR="00F650F4" w:rsidRPr="006D4064" w14:paraId="6B46B003" w14:textId="77777777" w:rsidTr="006D4064">
        <w:trPr>
          <w:cantSplit/>
        </w:trPr>
        <w:tc>
          <w:tcPr>
            <w:tcW w:w="779" w:type="pct"/>
            <w:vAlign w:val="center"/>
          </w:tcPr>
          <w:p w14:paraId="0871365E" w14:textId="77777777" w:rsidR="00F650F4" w:rsidRPr="006D4064" w:rsidRDefault="00F650F4">
            <w:pPr>
              <w:pStyle w:val="TableText0"/>
              <w:rPr>
                <w:szCs w:val="20"/>
              </w:rPr>
            </w:pPr>
            <w:r w:rsidRPr="006D4064">
              <w:rPr>
                <w:szCs w:val="20"/>
              </w:rPr>
              <w:t>Time horizon</w:t>
            </w:r>
          </w:p>
        </w:tc>
        <w:tc>
          <w:tcPr>
            <w:tcW w:w="4221" w:type="pct"/>
          </w:tcPr>
          <w:p w14:paraId="7A3F5903" w14:textId="77777777" w:rsidR="00F650F4" w:rsidRPr="006D4064" w:rsidRDefault="00F650F4">
            <w:pPr>
              <w:pStyle w:val="TableText0"/>
              <w:rPr>
                <w:szCs w:val="20"/>
              </w:rPr>
            </w:pPr>
            <w:r w:rsidRPr="006D4064">
              <w:rPr>
                <w:szCs w:val="20"/>
              </w:rPr>
              <w:t>Lifetime (ranging from 30 years for non-Indigenous adults ≥ 70 years, to 70 years for MaR adults ≥ 18 years) in the model base case versus 4 years in the CAPiTA trial.</w:t>
            </w:r>
          </w:p>
        </w:tc>
      </w:tr>
      <w:tr w:rsidR="00F650F4" w:rsidRPr="006D4064" w14:paraId="168E8522" w14:textId="77777777" w:rsidTr="006D4064">
        <w:trPr>
          <w:cantSplit/>
        </w:trPr>
        <w:tc>
          <w:tcPr>
            <w:tcW w:w="779" w:type="pct"/>
            <w:vAlign w:val="center"/>
          </w:tcPr>
          <w:p w14:paraId="11DB60E6" w14:textId="77777777" w:rsidR="00F650F4" w:rsidRPr="006D4064" w:rsidRDefault="00F650F4">
            <w:pPr>
              <w:pStyle w:val="TableText0"/>
              <w:rPr>
                <w:szCs w:val="20"/>
              </w:rPr>
            </w:pPr>
            <w:r w:rsidRPr="006D4064">
              <w:rPr>
                <w:szCs w:val="20"/>
              </w:rPr>
              <w:t>Outcomes</w:t>
            </w:r>
          </w:p>
        </w:tc>
        <w:tc>
          <w:tcPr>
            <w:tcW w:w="4221" w:type="pct"/>
          </w:tcPr>
          <w:p w14:paraId="28210A22" w14:textId="77777777" w:rsidR="00F650F4" w:rsidRPr="006D4064" w:rsidRDefault="00F650F4">
            <w:pPr>
              <w:pStyle w:val="TableText0"/>
              <w:rPr>
                <w:szCs w:val="20"/>
              </w:rPr>
            </w:pPr>
            <w:r w:rsidRPr="006D4064">
              <w:rPr>
                <w:szCs w:val="20"/>
              </w:rPr>
              <w:t>IPD cases, CAP inpatient and outpatient cases, PMS cases, IPD and CAP inpatient deaths, LYs and QALYs.</w:t>
            </w:r>
          </w:p>
        </w:tc>
      </w:tr>
      <w:tr w:rsidR="00F650F4" w:rsidRPr="006D4064" w14:paraId="04346FCE" w14:textId="77777777" w:rsidTr="006D4064">
        <w:trPr>
          <w:cantSplit/>
        </w:trPr>
        <w:tc>
          <w:tcPr>
            <w:tcW w:w="779" w:type="pct"/>
            <w:vAlign w:val="center"/>
          </w:tcPr>
          <w:p w14:paraId="74962777" w14:textId="77777777" w:rsidR="00F650F4" w:rsidRPr="006D4064" w:rsidRDefault="00F650F4">
            <w:pPr>
              <w:pStyle w:val="TableText0"/>
              <w:rPr>
                <w:szCs w:val="20"/>
              </w:rPr>
            </w:pPr>
            <w:r w:rsidRPr="006D4064">
              <w:rPr>
                <w:szCs w:val="20"/>
              </w:rPr>
              <w:t>Methods used to generate results</w:t>
            </w:r>
          </w:p>
        </w:tc>
        <w:tc>
          <w:tcPr>
            <w:tcW w:w="4221" w:type="pct"/>
            <w:vAlign w:val="center"/>
          </w:tcPr>
          <w:p w14:paraId="3F74F053" w14:textId="77777777" w:rsidR="00F650F4" w:rsidRPr="006D4064" w:rsidRDefault="00F650F4">
            <w:pPr>
              <w:pStyle w:val="TableText0"/>
              <w:rPr>
                <w:szCs w:val="20"/>
              </w:rPr>
            </w:pPr>
            <w:r w:rsidRPr="006D4064">
              <w:rPr>
                <w:szCs w:val="20"/>
              </w:rPr>
              <w:t>Static Markov model</w:t>
            </w:r>
          </w:p>
        </w:tc>
      </w:tr>
      <w:tr w:rsidR="00F650F4" w:rsidRPr="006D4064" w14:paraId="3DD7E1E1" w14:textId="77777777" w:rsidTr="006D4064">
        <w:trPr>
          <w:cantSplit/>
        </w:trPr>
        <w:tc>
          <w:tcPr>
            <w:tcW w:w="779" w:type="pct"/>
            <w:vAlign w:val="center"/>
          </w:tcPr>
          <w:p w14:paraId="6AB1E888" w14:textId="77777777" w:rsidR="00F650F4" w:rsidRPr="006D4064" w:rsidRDefault="00F650F4">
            <w:pPr>
              <w:pStyle w:val="TableText0"/>
              <w:rPr>
                <w:szCs w:val="20"/>
              </w:rPr>
            </w:pPr>
            <w:r w:rsidRPr="006D4064">
              <w:rPr>
                <w:szCs w:val="20"/>
              </w:rPr>
              <w:t>Health states</w:t>
            </w:r>
          </w:p>
        </w:tc>
        <w:tc>
          <w:tcPr>
            <w:tcW w:w="4221" w:type="pct"/>
          </w:tcPr>
          <w:p w14:paraId="46329A2C" w14:textId="77777777" w:rsidR="00F650F4" w:rsidRPr="006D4064" w:rsidRDefault="00F650F4">
            <w:pPr>
              <w:pStyle w:val="TableText0"/>
              <w:rPr>
                <w:szCs w:val="20"/>
              </w:rPr>
            </w:pPr>
            <w:r w:rsidRPr="006D4064">
              <w:rPr>
                <w:szCs w:val="20"/>
              </w:rPr>
              <w:t>A total of 3 health states and four infection events resolved within 1 model cycle.</w:t>
            </w:r>
          </w:p>
          <w:p w14:paraId="1E5171FD" w14:textId="77777777" w:rsidR="00F650F4" w:rsidRPr="006D4064" w:rsidRDefault="00F650F4">
            <w:pPr>
              <w:pStyle w:val="TableText0"/>
              <w:rPr>
                <w:szCs w:val="20"/>
              </w:rPr>
            </w:pPr>
            <w:r w:rsidRPr="006D4064">
              <w:rPr>
                <w:szCs w:val="20"/>
              </w:rPr>
              <w:t>Health states: (1) No PD; (2) PMS; (3) Death.</w:t>
            </w:r>
          </w:p>
          <w:p w14:paraId="358EAEE2" w14:textId="77777777" w:rsidR="00F650F4" w:rsidRPr="006D4064" w:rsidRDefault="00F650F4">
            <w:pPr>
              <w:pStyle w:val="TableText0"/>
              <w:rPr>
                <w:szCs w:val="20"/>
              </w:rPr>
            </w:pPr>
            <w:r w:rsidRPr="006D4064">
              <w:rPr>
                <w:szCs w:val="20"/>
              </w:rPr>
              <w:t>Infection events: (1) IPD meningitis; (2) IPD non-meningitis (includes bacteraemia, invasive pneumonia, other, and unknown); (3) Inpatient CAP; (4) Outpatient CAP.</w:t>
            </w:r>
          </w:p>
        </w:tc>
      </w:tr>
      <w:tr w:rsidR="00F650F4" w:rsidRPr="006D4064" w14:paraId="13EDB8AA" w14:textId="77777777" w:rsidTr="006D4064">
        <w:trPr>
          <w:cantSplit/>
        </w:trPr>
        <w:tc>
          <w:tcPr>
            <w:tcW w:w="779" w:type="pct"/>
            <w:vAlign w:val="center"/>
          </w:tcPr>
          <w:p w14:paraId="1E013D0C" w14:textId="77777777" w:rsidR="00F650F4" w:rsidRPr="006D4064" w:rsidRDefault="00F650F4">
            <w:pPr>
              <w:pStyle w:val="TableText0"/>
              <w:rPr>
                <w:szCs w:val="20"/>
              </w:rPr>
            </w:pPr>
            <w:r w:rsidRPr="006D4064">
              <w:rPr>
                <w:szCs w:val="20"/>
              </w:rPr>
              <w:t>Cycle length</w:t>
            </w:r>
          </w:p>
        </w:tc>
        <w:tc>
          <w:tcPr>
            <w:tcW w:w="4221" w:type="pct"/>
          </w:tcPr>
          <w:p w14:paraId="308FB3B3" w14:textId="77777777" w:rsidR="00F650F4" w:rsidRPr="006D4064" w:rsidRDefault="00F650F4">
            <w:pPr>
              <w:pStyle w:val="TableText0"/>
              <w:rPr>
                <w:szCs w:val="20"/>
              </w:rPr>
            </w:pPr>
            <w:r w:rsidRPr="006D4064">
              <w:rPr>
                <w:szCs w:val="20"/>
              </w:rPr>
              <w:t>1 year</w:t>
            </w:r>
          </w:p>
        </w:tc>
      </w:tr>
      <w:tr w:rsidR="00F650F4" w:rsidRPr="006D4064" w14:paraId="767E468D" w14:textId="77777777" w:rsidTr="006D4064">
        <w:trPr>
          <w:cantSplit/>
        </w:trPr>
        <w:tc>
          <w:tcPr>
            <w:tcW w:w="779" w:type="pct"/>
            <w:vAlign w:val="center"/>
          </w:tcPr>
          <w:p w14:paraId="21D2150C" w14:textId="77777777" w:rsidR="00F650F4" w:rsidRPr="006D4064" w:rsidRDefault="00F650F4">
            <w:pPr>
              <w:pStyle w:val="TableText0"/>
              <w:rPr>
                <w:szCs w:val="20"/>
              </w:rPr>
            </w:pPr>
            <w:r w:rsidRPr="006D4064">
              <w:rPr>
                <w:szCs w:val="20"/>
              </w:rPr>
              <w:t>Transition probabilities and event rates</w:t>
            </w:r>
          </w:p>
        </w:tc>
        <w:tc>
          <w:tcPr>
            <w:tcW w:w="4221" w:type="pct"/>
            <w:vAlign w:val="center"/>
          </w:tcPr>
          <w:p w14:paraId="137E252F" w14:textId="5C0CFEA0" w:rsidR="00F650F4" w:rsidRPr="006D4064" w:rsidRDefault="00F650F4">
            <w:pPr>
              <w:pStyle w:val="TableText0"/>
              <w:rPr>
                <w:szCs w:val="20"/>
              </w:rPr>
            </w:pPr>
            <w:r w:rsidRPr="006D4064">
              <w:rPr>
                <w:szCs w:val="20"/>
              </w:rPr>
              <w:t xml:space="preserve">The model assumed a fixed distribution of serotypes </w:t>
            </w:r>
            <w:r w:rsidR="008159DF" w:rsidRPr="006D4064">
              <w:rPr>
                <w:szCs w:val="20"/>
              </w:rPr>
              <w:t xml:space="preserve">based on </w:t>
            </w:r>
            <w:r w:rsidRPr="006D4064">
              <w:rPr>
                <w:szCs w:val="20"/>
              </w:rPr>
              <w:t>NNDSS</w:t>
            </w:r>
            <w:r w:rsidR="000D11CA" w:rsidRPr="006D4064">
              <w:rPr>
                <w:szCs w:val="20"/>
              </w:rPr>
              <w:t xml:space="preserve"> data</w:t>
            </w:r>
            <w:r w:rsidRPr="006D4064">
              <w:rPr>
                <w:szCs w:val="20"/>
              </w:rPr>
              <w:t xml:space="preserve">. </w:t>
            </w:r>
          </w:p>
          <w:p w14:paraId="69653BE9" w14:textId="6B6860F2" w:rsidR="00F650F4" w:rsidRPr="006D4064" w:rsidRDefault="00F650F4">
            <w:pPr>
              <w:pStyle w:val="TableText0"/>
              <w:rPr>
                <w:szCs w:val="20"/>
              </w:rPr>
            </w:pPr>
            <w:r w:rsidRPr="006D4064">
              <w:rPr>
                <w:szCs w:val="20"/>
              </w:rPr>
              <w:t>The incidence of IPD events by patient population were derived from IPD notifications 2016-2019 NNDSS</w:t>
            </w:r>
            <w:r w:rsidR="00C13F6A" w:rsidRPr="006D4064">
              <w:rPr>
                <w:szCs w:val="20"/>
              </w:rPr>
              <w:t xml:space="preserve"> data</w:t>
            </w:r>
            <w:r w:rsidRPr="006D4064">
              <w:rPr>
                <w:szCs w:val="20"/>
              </w:rPr>
              <w:t>.</w:t>
            </w:r>
          </w:p>
          <w:p w14:paraId="18F73B8B" w14:textId="2595FDB0" w:rsidR="00F650F4" w:rsidRPr="006D4064" w:rsidRDefault="00F650F4">
            <w:pPr>
              <w:pStyle w:val="TableText0"/>
              <w:rPr>
                <w:szCs w:val="20"/>
              </w:rPr>
            </w:pPr>
            <w:r w:rsidRPr="006D4064">
              <w:rPr>
                <w:szCs w:val="20"/>
              </w:rPr>
              <w:t xml:space="preserve">The incidence of CAP inpatient events was derived from reported pneumonia cases using ICD hospital codes J12-J18 from 2018-2019 AIHW, with a fraction attributable to </w:t>
            </w:r>
            <w:r w:rsidRPr="006D4064">
              <w:rPr>
                <w:i/>
                <w:iCs/>
                <w:szCs w:val="20"/>
              </w:rPr>
              <w:t>S. pneumoniae</w:t>
            </w:r>
            <w:r w:rsidRPr="006D4064">
              <w:rPr>
                <w:szCs w:val="20"/>
              </w:rPr>
              <w:t xml:space="preserve"> (20.6%) as advised by ATAGI.</w:t>
            </w:r>
            <w:r w:rsidR="00391C2F" w:rsidRPr="006D4064">
              <w:rPr>
                <w:szCs w:val="20"/>
              </w:rPr>
              <w:t xml:space="preserve"> </w:t>
            </w:r>
            <w:r w:rsidRPr="006D4064">
              <w:rPr>
                <w:szCs w:val="20"/>
              </w:rPr>
              <w:t xml:space="preserve">The incidence of CAP events managed by GPs was from an Australian economic model of 13vPCV versus no vaccination (Dirmesropian et al. (2017)), with a fraction attributable to </w:t>
            </w:r>
            <w:r w:rsidRPr="006D4064">
              <w:rPr>
                <w:i/>
                <w:iCs/>
                <w:szCs w:val="20"/>
              </w:rPr>
              <w:t>S. pneumoniae</w:t>
            </w:r>
            <w:r w:rsidRPr="006D4064">
              <w:rPr>
                <w:szCs w:val="20"/>
              </w:rPr>
              <w:t xml:space="preserve"> (20.6%) as advised by ATAGI.</w:t>
            </w:r>
          </w:p>
          <w:p w14:paraId="5FB402F5" w14:textId="77777777" w:rsidR="00F650F4" w:rsidRPr="006D4064" w:rsidRDefault="00F650F4">
            <w:pPr>
              <w:pStyle w:val="TableText0"/>
              <w:rPr>
                <w:szCs w:val="20"/>
              </w:rPr>
            </w:pPr>
            <w:r w:rsidRPr="006D4064">
              <w:rPr>
                <w:szCs w:val="20"/>
              </w:rPr>
              <w:t xml:space="preserve">Probability of sequelae or fatality from </w:t>
            </w:r>
            <w:r w:rsidRPr="006D4064">
              <w:rPr>
                <w:i/>
                <w:iCs/>
                <w:szCs w:val="20"/>
              </w:rPr>
              <w:t>S. pneumoniae</w:t>
            </w:r>
            <w:r w:rsidRPr="006D4064">
              <w:rPr>
                <w:szCs w:val="20"/>
              </w:rPr>
              <w:t xml:space="preserve"> events (Dirmesropian et al. (2019)).</w:t>
            </w:r>
          </w:p>
          <w:p w14:paraId="17E26B71" w14:textId="77777777" w:rsidR="00F650F4" w:rsidRPr="006D4064" w:rsidRDefault="00F650F4">
            <w:pPr>
              <w:pStyle w:val="TableText0"/>
              <w:rPr>
                <w:szCs w:val="20"/>
              </w:rPr>
            </w:pPr>
            <w:r w:rsidRPr="006D4064">
              <w:rPr>
                <w:szCs w:val="20"/>
              </w:rPr>
              <w:t>IPD fatality rates were based on NNDSS combined death data (2008-2019 – longer time frame used due to small number of cases).</w:t>
            </w:r>
          </w:p>
          <w:p w14:paraId="644079E2" w14:textId="77777777" w:rsidR="00F650F4" w:rsidRPr="006D4064" w:rsidRDefault="00F650F4">
            <w:pPr>
              <w:pStyle w:val="TableText0"/>
              <w:rPr>
                <w:szCs w:val="20"/>
              </w:rPr>
            </w:pPr>
            <w:r w:rsidRPr="006D4064">
              <w:rPr>
                <w:szCs w:val="20"/>
              </w:rPr>
              <w:t xml:space="preserve">CAP fatality rates are derived from data reported in Dirmesropian et al. (2019). </w:t>
            </w:r>
          </w:p>
          <w:p w14:paraId="1890B6E9" w14:textId="77777777" w:rsidR="00F650F4" w:rsidRPr="006D4064" w:rsidRDefault="00F650F4">
            <w:pPr>
              <w:pStyle w:val="TableText0"/>
              <w:rPr>
                <w:szCs w:val="20"/>
              </w:rPr>
            </w:pPr>
            <w:r w:rsidRPr="006D4064">
              <w:rPr>
                <w:szCs w:val="20"/>
              </w:rPr>
              <w:t>Permanent disability (modelled as hearing loss and neurological disorder) associated with meningitis was derived from Rubin et al. (2010).</w:t>
            </w:r>
          </w:p>
          <w:p w14:paraId="02C5BA07" w14:textId="77777777" w:rsidR="00F650F4" w:rsidRPr="006D4064" w:rsidRDefault="00F650F4">
            <w:pPr>
              <w:pStyle w:val="TableText0"/>
              <w:rPr>
                <w:szCs w:val="20"/>
              </w:rPr>
            </w:pPr>
            <w:r w:rsidRPr="006D4064">
              <w:rPr>
                <w:szCs w:val="20"/>
              </w:rPr>
              <w:t>Background mortality: ABS 2019.</w:t>
            </w:r>
          </w:p>
        </w:tc>
      </w:tr>
      <w:tr w:rsidR="00F650F4" w:rsidRPr="006D4064" w14:paraId="37AE46F9" w14:textId="77777777" w:rsidTr="006D4064">
        <w:trPr>
          <w:cantSplit/>
        </w:trPr>
        <w:tc>
          <w:tcPr>
            <w:tcW w:w="779" w:type="pct"/>
            <w:vAlign w:val="center"/>
          </w:tcPr>
          <w:p w14:paraId="65658F47" w14:textId="77777777" w:rsidR="00F650F4" w:rsidRPr="006D4064" w:rsidRDefault="00F650F4">
            <w:pPr>
              <w:pStyle w:val="TableText0"/>
              <w:rPr>
                <w:szCs w:val="20"/>
              </w:rPr>
            </w:pPr>
            <w:r w:rsidRPr="006D4064">
              <w:rPr>
                <w:szCs w:val="20"/>
              </w:rPr>
              <w:t>Extrapolation</w:t>
            </w:r>
          </w:p>
        </w:tc>
        <w:tc>
          <w:tcPr>
            <w:tcW w:w="4221" w:type="pct"/>
          </w:tcPr>
          <w:p w14:paraId="04367189" w14:textId="1A040C96" w:rsidR="00F650F4" w:rsidRPr="006D4064" w:rsidRDefault="00F650F4">
            <w:pPr>
              <w:pStyle w:val="TableText0"/>
              <w:rPr>
                <w:szCs w:val="20"/>
              </w:rPr>
            </w:pPr>
            <w:r w:rsidRPr="006D4064">
              <w:rPr>
                <w:szCs w:val="20"/>
              </w:rPr>
              <w:t>The waning profiles of all PCVs and 23vPPV were based on assumptions used for 20vPCV (paragraph 6.60, 20vPCV PSD, November 2022 PBAC meeting) that were deemed acceptable by ATAGI (ATAGI Pre-submission Advice).</w:t>
            </w:r>
          </w:p>
        </w:tc>
      </w:tr>
      <w:tr w:rsidR="00F650F4" w:rsidRPr="006D4064" w14:paraId="1E282ED9" w14:textId="77777777" w:rsidTr="006D4064">
        <w:trPr>
          <w:cantSplit/>
        </w:trPr>
        <w:tc>
          <w:tcPr>
            <w:tcW w:w="779" w:type="pct"/>
            <w:vAlign w:val="center"/>
          </w:tcPr>
          <w:p w14:paraId="33E58CC2" w14:textId="77777777" w:rsidR="00F650F4" w:rsidRPr="006D4064" w:rsidRDefault="00F650F4">
            <w:pPr>
              <w:pStyle w:val="TableText0"/>
              <w:rPr>
                <w:szCs w:val="20"/>
              </w:rPr>
            </w:pPr>
            <w:r w:rsidRPr="006D4064">
              <w:rPr>
                <w:szCs w:val="20"/>
              </w:rPr>
              <w:t>Health related quality of life</w:t>
            </w:r>
          </w:p>
        </w:tc>
        <w:tc>
          <w:tcPr>
            <w:tcW w:w="4221" w:type="pct"/>
          </w:tcPr>
          <w:p w14:paraId="0855C133" w14:textId="77777777" w:rsidR="00F650F4" w:rsidRPr="006D4064" w:rsidRDefault="00F650F4">
            <w:pPr>
              <w:pStyle w:val="TableText0"/>
              <w:rPr>
                <w:szCs w:val="20"/>
              </w:rPr>
            </w:pPr>
            <w:r w:rsidRPr="006D4064">
              <w:rPr>
                <w:szCs w:val="20"/>
              </w:rPr>
              <w:t>Literature-based utility values.</w:t>
            </w:r>
          </w:p>
          <w:p w14:paraId="5CE18962" w14:textId="77777777" w:rsidR="00F650F4" w:rsidRPr="006D4064" w:rsidRDefault="00F650F4">
            <w:pPr>
              <w:pStyle w:val="TableText0"/>
              <w:rPr>
                <w:szCs w:val="20"/>
              </w:rPr>
            </w:pPr>
            <w:r w:rsidRPr="006D4064">
              <w:rPr>
                <w:szCs w:val="20"/>
              </w:rPr>
              <w:t xml:space="preserve">Utility values: </w:t>
            </w:r>
          </w:p>
          <w:p w14:paraId="536055DC" w14:textId="77777777" w:rsidR="00F650F4" w:rsidRPr="006D4064" w:rsidRDefault="00F650F4">
            <w:pPr>
              <w:pStyle w:val="TableText0"/>
              <w:rPr>
                <w:szCs w:val="20"/>
              </w:rPr>
            </w:pPr>
            <w:r w:rsidRPr="006D4064">
              <w:rPr>
                <w:szCs w:val="20"/>
              </w:rPr>
              <w:t>No PD: 0.84-0.7 (based on Hawthorne 2013)</w:t>
            </w:r>
          </w:p>
          <w:p w14:paraId="31CAA9EC" w14:textId="77777777" w:rsidR="00F650F4" w:rsidRPr="006D4064" w:rsidRDefault="00F650F4">
            <w:pPr>
              <w:pStyle w:val="TableText0"/>
              <w:rPr>
                <w:szCs w:val="20"/>
              </w:rPr>
            </w:pPr>
            <w:r w:rsidRPr="006D4064">
              <w:rPr>
                <w:szCs w:val="20"/>
              </w:rPr>
              <w:t>Neurological disorder: 0.68 (based on Rubin 2010)</w:t>
            </w:r>
          </w:p>
          <w:p w14:paraId="46E583C6" w14:textId="77777777" w:rsidR="00F650F4" w:rsidRPr="006D4064" w:rsidRDefault="00F650F4">
            <w:pPr>
              <w:pStyle w:val="TableText0"/>
              <w:rPr>
                <w:szCs w:val="20"/>
              </w:rPr>
            </w:pPr>
            <w:r w:rsidRPr="006D4064">
              <w:rPr>
                <w:szCs w:val="20"/>
              </w:rPr>
              <w:t>Hearing loss: 0.73 (based on Rubin 2010)</w:t>
            </w:r>
          </w:p>
          <w:p w14:paraId="6DFD0FE1" w14:textId="77777777" w:rsidR="00F650F4" w:rsidRPr="006D4064" w:rsidRDefault="00F650F4">
            <w:pPr>
              <w:pStyle w:val="TableText0"/>
              <w:rPr>
                <w:szCs w:val="20"/>
              </w:rPr>
            </w:pPr>
            <w:r w:rsidRPr="006D4064">
              <w:rPr>
                <w:szCs w:val="20"/>
              </w:rPr>
              <w:t>Utility decrements (based on Mangen 2015):</w:t>
            </w:r>
          </w:p>
          <w:p w14:paraId="2057197C" w14:textId="77777777" w:rsidR="00F650F4" w:rsidRPr="006D4064" w:rsidRDefault="00F650F4">
            <w:pPr>
              <w:pStyle w:val="TableText0"/>
              <w:rPr>
                <w:szCs w:val="20"/>
              </w:rPr>
            </w:pPr>
            <w:r w:rsidRPr="006D4064">
              <w:rPr>
                <w:szCs w:val="20"/>
              </w:rPr>
              <w:t>IPD: 0.0709</w:t>
            </w:r>
          </w:p>
          <w:p w14:paraId="48796F81" w14:textId="77777777" w:rsidR="00F650F4" w:rsidRPr="006D4064" w:rsidRDefault="00F650F4">
            <w:pPr>
              <w:pStyle w:val="TableText0"/>
              <w:rPr>
                <w:szCs w:val="20"/>
              </w:rPr>
            </w:pPr>
            <w:r w:rsidRPr="006D4064">
              <w:rPr>
                <w:szCs w:val="20"/>
              </w:rPr>
              <w:t>CAP inpatient: 0.0709</w:t>
            </w:r>
          </w:p>
          <w:p w14:paraId="74E9A432" w14:textId="77777777" w:rsidR="00F650F4" w:rsidRPr="006D4064" w:rsidRDefault="00F650F4">
            <w:pPr>
              <w:pStyle w:val="TableText0"/>
              <w:rPr>
                <w:szCs w:val="20"/>
              </w:rPr>
            </w:pPr>
            <w:r w:rsidRPr="006D4064">
              <w:rPr>
                <w:szCs w:val="20"/>
              </w:rPr>
              <w:t>CAP outpatient: 0.0045</w:t>
            </w:r>
          </w:p>
          <w:p w14:paraId="6925980F" w14:textId="77777777" w:rsidR="003B565C" w:rsidRPr="006D4064" w:rsidRDefault="003B565C" w:rsidP="00EB05E6">
            <w:pPr>
              <w:pStyle w:val="TableText0"/>
              <w:rPr>
                <w:szCs w:val="20"/>
              </w:rPr>
            </w:pPr>
          </w:p>
          <w:p w14:paraId="75B7904F" w14:textId="67119676" w:rsidR="00EB05E6" w:rsidRPr="006D4064" w:rsidRDefault="00EB05E6" w:rsidP="00EB05E6">
            <w:pPr>
              <w:pStyle w:val="TableText0"/>
              <w:rPr>
                <w:szCs w:val="20"/>
              </w:rPr>
            </w:pPr>
            <w:r w:rsidRPr="006D4064">
              <w:rPr>
                <w:szCs w:val="20"/>
              </w:rPr>
              <w:t xml:space="preserve">The ESC considered that the submission’s approach potentially overestimated the disutility for post-meningitis sequalae (PMS), as the source was an economic evaluation (Rubin 2010) which used data from other studies using methods that are considered less reliable (e.g. proxy reporting by clinicians), however due to the low number of meningitis cases predicted in the model, this input </w:t>
            </w:r>
            <w:r w:rsidR="00FC1C76" w:rsidRPr="006D4064">
              <w:rPr>
                <w:szCs w:val="20"/>
              </w:rPr>
              <w:t>ha</w:t>
            </w:r>
            <w:r w:rsidR="00724BB7" w:rsidRPr="006D4064">
              <w:rPr>
                <w:szCs w:val="20"/>
              </w:rPr>
              <w:t>d</w:t>
            </w:r>
            <w:r w:rsidRPr="006D4064">
              <w:rPr>
                <w:szCs w:val="20"/>
              </w:rPr>
              <w:t xml:space="preserve"> a small  impact on the model's results.</w:t>
            </w:r>
          </w:p>
        </w:tc>
      </w:tr>
      <w:tr w:rsidR="00F650F4" w:rsidRPr="006D4064" w14:paraId="7B9F157E" w14:textId="77777777" w:rsidTr="006D4064">
        <w:trPr>
          <w:cantSplit/>
        </w:trPr>
        <w:tc>
          <w:tcPr>
            <w:tcW w:w="779" w:type="pct"/>
            <w:vAlign w:val="center"/>
          </w:tcPr>
          <w:p w14:paraId="0699EFF6" w14:textId="77777777" w:rsidR="00F650F4" w:rsidRPr="006D4064" w:rsidRDefault="00F650F4">
            <w:pPr>
              <w:pStyle w:val="TableText0"/>
              <w:rPr>
                <w:szCs w:val="20"/>
              </w:rPr>
            </w:pPr>
            <w:r w:rsidRPr="006D4064">
              <w:rPr>
                <w:szCs w:val="20"/>
              </w:rPr>
              <w:t>Costs</w:t>
            </w:r>
          </w:p>
        </w:tc>
        <w:tc>
          <w:tcPr>
            <w:tcW w:w="4221" w:type="pct"/>
          </w:tcPr>
          <w:p w14:paraId="02FFA8DF" w14:textId="1BB2A123" w:rsidR="00F650F4" w:rsidRPr="006D4064" w:rsidRDefault="00F650F4">
            <w:pPr>
              <w:pStyle w:val="TableText0"/>
              <w:rPr>
                <w:szCs w:val="20"/>
              </w:rPr>
            </w:pPr>
            <w:r w:rsidRPr="006D4064">
              <w:rPr>
                <w:szCs w:val="20"/>
              </w:rPr>
              <w:t>Vaccines (</w:t>
            </w:r>
            <w:r w:rsidR="002E7301" w:rsidRPr="006D4064">
              <w:rPr>
                <w:szCs w:val="20"/>
              </w:rPr>
              <w:t>21vPCV</w:t>
            </w:r>
            <w:r w:rsidRPr="006D4064">
              <w:rPr>
                <w:szCs w:val="20"/>
              </w:rPr>
              <w:t>, 13vPCV, 20vPCV, 23vPPV), vaccine administration (MBS item 3), Hospitalisations related to bacteraemia, meningitis, invasive pneumonia, and CAP. CAP outpatient cost (MBS item 44), PMS costs (Rubin et al. (2010))</w:t>
            </w:r>
          </w:p>
          <w:p w14:paraId="2A968552" w14:textId="77777777" w:rsidR="003B565C" w:rsidRPr="006D4064" w:rsidRDefault="003B565C" w:rsidP="003B565C">
            <w:pPr>
              <w:pStyle w:val="TableText0"/>
              <w:rPr>
                <w:szCs w:val="20"/>
              </w:rPr>
            </w:pPr>
          </w:p>
          <w:p w14:paraId="5A975B86" w14:textId="6E9AB155" w:rsidR="00AF441A" w:rsidRPr="006D4064" w:rsidRDefault="00AF441A" w:rsidP="003B565C">
            <w:pPr>
              <w:pStyle w:val="TableText0"/>
              <w:rPr>
                <w:i/>
                <w:iCs/>
                <w:szCs w:val="20"/>
              </w:rPr>
            </w:pPr>
            <w:r w:rsidRPr="006D4064">
              <w:rPr>
                <w:szCs w:val="20"/>
              </w:rPr>
              <w:t>The ESC considered that the submission’s approach potentially overestimated the costs of post-</w:t>
            </w:r>
            <w:r w:rsidR="00EB05E6" w:rsidRPr="006D4064">
              <w:rPr>
                <w:szCs w:val="20"/>
              </w:rPr>
              <w:t xml:space="preserve"> </w:t>
            </w:r>
            <w:r w:rsidRPr="006D4064">
              <w:rPr>
                <w:szCs w:val="20"/>
              </w:rPr>
              <w:t xml:space="preserve">PMS, however due to the low number of meningitis cases predicted in the model, this </w:t>
            </w:r>
            <w:r w:rsidR="00EB05E6" w:rsidRPr="006D4064">
              <w:rPr>
                <w:szCs w:val="20"/>
              </w:rPr>
              <w:t>input</w:t>
            </w:r>
            <w:r w:rsidRPr="006D4064">
              <w:rPr>
                <w:szCs w:val="20"/>
              </w:rPr>
              <w:t xml:space="preserve"> </w:t>
            </w:r>
            <w:r w:rsidR="00724BB7" w:rsidRPr="006D4064">
              <w:rPr>
                <w:szCs w:val="20"/>
              </w:rPr>
              <w:t>had</w:t>
            </w:r>
            <w:r w:rsidRPr="006D4064">
              <w:rPr>
                <w:szCs w:val="20"/>
              </w:rPr>
              <w:t xml:space="preserve"> a </w:t>
            </w:r>
            <w:r w:rsidR="002E7301" w:rsidRPr="006D4064">
              <w:rPr>
                <w:szCs w:val="20"/>
              </w:rPr>
              <w:t>small impact</w:t>
            </w:r>
            <w:r w:rsidRPr="006D4064">
              <w:rPr>
                <w:szCs w:val="20"/>
              </w:rPr>
              <w:t xml:space="preserve"> on the model's results.</w:t>
            </w:r>
          </w:p>
        </w:tc>
      </w:tr>
      <w:tr w:rsidR="00F650F4" w:rsidRPr="006D4064" w14:paraId="466117D3" w14:textId="77777777" w:rsidTr="006D4064">
        <w:trPr>
          <w:cantSplit/>
        </w:trPr>
        <w:tc>
          <w:tcPr>
            <w:tcW w:w="779" w:type="pct"/>
            <w:vAlign w:val="center"/>
          </w:tcPr>
          <w:p w14:paraId="21087F9B" w14:textId="77777777" w:rsidR="00F650F4" w:rsidRPr="006D4064" w:rsidRDefault="00F650F4">
            <w:pPr>
              <w:pStyle w:val="TableText0"/>
              <w:rPr>
                <w:szCs w:val="20"/>
              </w:rPr>
            </w:pPr>
            <w:r w:rsidRPr="006D4064">
              <w:rPr>
                <w:szCs w:val="20"/>
              </w:rPr>
              <w:lastRenderedPageBreak/>
              <w:t>Serotype distribution</w:t>
            </w:r>
          </w:p>
        </w:tc>
        <w:tc>
          <w:tcPr>
            <w:tcW w:w="4221" w:type="pct"/>
          </w:tcPr>
          <w:p w14:paraId="5E142876" w14:textId="77777777" w:rsidR="00F650F4" w:rsidRPr="006D4064" w:rsidRDefault="00F650F4">
            <w:pPr>
              <w:pStyle w:val="TableText0"/>
              <w:rPr>
                <w:szCs w:val="20"/>
              </w:rPr>
            </w:pPr>
            <w:r w:rsidRPr="006D4064">
              <w:rPr>
                <w:szCs w:val="20"/>
              </w:rPr>
              <w:t>Fixed serotype distribution throughout the time horizon</w:t>
            </w:r>
          </w:p>
        </w:tc>
      </w:tr>
    </w:tbl>
    <w:p w14:paraId="15DBD525" w14:textId="77777777" w:rsidR="00F650F4" w:rsidRPr="009F57D8" w:rsidRDefault="00F650F4" w:rsidP="00F650F4">
      <w:pPr>
        <w:pStyle w:val="FooterTableFigure"/>
      </w:pPr>
      <w:r w:rsidRPr="009F57D8">
        <w:t>Source: Table 3.1-1, pp153-154 of the submission.</w:t>
      </w:r>
    </w:p>
    <w:p w14:paraId="2D8C979A" w14:textId="61E56D4C" w:rsidR="00F650F4" w:rsidRPr="009F57D8" w:rsidRDefault="00F650F4" w:rsidP="00F650F4">
      <w:pPr>
        <w:pStyle w:val="FooterTableFigure"/>
      </w:pPr>
      <w:r w:rsidRPr="009F57D8">
        <w:t xml:space="preserve">13vPCV = 13-valent pneumococcal conjugate vaccine; 23vPPV = 23-valent pneumococcal polysaccharide vaccine; ABS = Australian Bureau of Statistics; AIHW = Australian Institute of Health and Welfare; ATAGI = Australian Technical Advisory Group on Immunisation; CAP = community-acquired pneumonia; GP = general practitioner; ICD = International Classification of Diseases; IPD = invasive pneumococcal disease; LY = life year; MaR = </w:t>
      </w:r>
      <w:r w:rsidR="006571C4" w:rsidRPr="009F57D8">
        <w:t>m</w:t>
      </w:r>
      <w:r w:rsidRPr="009F57D8">
        <w:t xml:space="preserve">edically at-risk; NNDSS = National Notifiable Diseases Surveillance System; PBAC = Pharmaceutical Benefits Advisory Committee; PCV = pneumococcal conjugate vaccine; PD = pneumococcal disease; PMS = post meningitis sequelae; QALY = quality-adjusted life year; </w:t>
      </w:r>
      <w:r w:rsidR="002E7301" w:rsidRPr="009F57D8">
        <w:t>21vPCV</w:t>
      </w:r>
      <w:r w:rsidR="002E7301" w:rsidRPr="009F57D8" w:rsidDel="00E43F69">
        <w:t xml:space="preserve"> </w:t>
      </w:r>
      <w:r w:rsidRPr="009F57D8">
        <w:t xml:space="preserve"> = 21-valent pneumococcal conjugate vaccine.</w:t>
      </w:r>
    </w:p>
    <w:p w14:paraId="05A0BA67" w14:textId="77777777" w:rsidR="00F650F4" w:rsidRPr="009F57D8" w:rsidRDefault="00F650F4" w:rsidP="00F650F4">
      <w:pPr>
        <w:pStyle w:val="FooterTableFigure"/>
      </w:pPr>
      <w:r w:rsidRPr="009F57D8">
        <w:rPr>
          <w:vertAlign w:val="superscript"/>
        </w:rPr>
        <w:t xml:space="preserve">a </w:t>
      </w:r>
      <w:r w:rsidRPr="009F57D8">
        <w:t xml:space="preserve">The model assumed 80% of the alive cohort of Indigenous and MaR population receive 2 doses of 23vPPV with a 5-years gap between 1st and 2nd dose. </w:t>
      </w:r>
    </w:p>
    <w:p w14:paraId="021BB187" w14:textId="1E84C88A" w:rsidR="00F650F4" w:rsidRPr="009F57D8" w:rsidRDefault="00F650F4" w:rsidP="00F650F4">
      <w:pPr>
        <w:pStyle w:val="3-BodyText"/>
        <w:numPr>
          <w:ilvl w:val="1"/>
          <w:numId w:val="1"/>
        </w:numPr>
      </w:pPr>
      <w:bookmarkStart w:id="76" w:name="_Hlk206764994"/>
      <w:r w:rsidRPr="009F57D8">
        <w:t xml:space="preserve">The submission adopted a 3-step approach to assess the comparative benefits of </w:t>
      </w:r>
      <w:r w:rsidR="00971C8F" w:rsidRPr="009F57D8">
        <w:t xml:space="preserve">21vPCV </w:t>
      </w:r>
      <w:r w:rsidRPr="009F57D8">
        <w:t xml:space="preserve">against 13vPCV </w:t>
      </w:r>
      <w:r w:rsidRPr="009F57D8">
        <w:rPr>
          <w:rFonts w:cstheme="minorHAnsi"/>
        </w:rPr>
        <w:t>±</w:t>
      </w:r>
      <w:r w:rsidRPr="009F57D8">
        <w:t xml:space="preserve"> 23vPPV or 20vPCV: </w:t>
      </w:r>
    </w:p>
    <w:p w14:paraId="7B762CAE" w14:textId="77777777" w:rsidR="00F650F4" w:rsidRPr="009F57D8" w:rsidRDefault="00F650F4" w:rsidP="00572866">
      <w:pPr>
        <w:pStyle w:val="3-BodyText"/>
        <w:numPr>
          <w:ilvl w:val="1"/>
          <w:numId w:val="7"/>
        </w:numPr>
        <w:ind w:left="1134"/>
      </w:pPr>
      <w:r w:rsidRPr="009F57D8">
        <w:t>Identify prevalent serotypes in Australia that cause IPD and CAP.</w:t>
      </w:r>
    </w:p>
    <w:p w14:paraId="7F9D0898" w14:textId="77777777" w:rsidR="00F650F4" w:rsidRPr="009F57D8" w:rsidRDefault="00F650F4" w:rsidP="00572866">
      <w:pPr>
        <w:pStyle w:val="3-BodyText"/>
        <w:numPr>
          <w:ilvl w:val="1"/>
          <w:numId w:val="7"/>
        </w:numPr>
        <w:ind w:left="1134"/>
      </w:pPr>
      <w:r w:rsidRPr="009F57D8">
        <w:t xml:space="preserve">Compare the serotype coverage of all vaccines being considered. </w:t>
      </w:r>
    </w:p>
    <w:p w14:paraId="465FAA07" w14:textId="77777777" w:rsidR="00F650F4" w:rsidRPr="009F57D8" w:rsidRDefault="00F650F4" w:rsidP="00572866">
      <w:pPr>
        <w:pStyle w:val="3-BodyText"/>
        <w:numPr>
          <w:ilvl w:val="1"/>
          <w:numId w:val="7"/>
        </w:numPr>
        <w:ind w:left="1134"/>
      </w:pPr>
      <w:r w:rsidRPr="009F57D8">
        <w:t xml:space="preserve">Estimate the efficacy of each vaccine in preventing IPD and CAP cases by serotype. </w:t>
      </w:r>
    </w:p>
    <w:p w14:paraId="0680CA79" w14:textId="69696E8B" w:rsidR="00CD2AAD" w:rsidRPr="00062F10" w:rsidRDefault="00F650F4" w:rsidP="00062F10">
      <w:pPr>
        <w:pStyle w:val="3-BodyText"/>
        <w:numPr>
          <w:ilvl w:val="1"/>
          <w:numId w:val="1"/>
        </w:numPr>
        <w:rPr>
          <w:rFonts w:eastAsia="Arial"/>
          <w:lang w:eastAsia="en-US"/>
        </w:rPr>
      </w:pPr>
      <w:bookmarkStart w:id="77" w:name="_Ref207295458"/>
      <w:bookmarkStart w:id="78" w:name="_Ref211430802"/>
      <w:r w:rsidRPr="009F57D8">
        <w:t xml:space="preserve">The submission </w:t>
      </w:r>
      <w:r w:rsidR="00DC7BC5" w:rsidRPr="009F57D8">
        <w:t>applied</w:t>
      </w:r>
      <w:r w:rsidRPr="009F57D8">
        <w:t xml:space="preserve"> serotype-specific VE as a percentage reduction in baseline incidence of IPD and CAP due to administration of a vaccine as</w:t>
      </w:r>
      <w:r w:rsidRPr="009F57D8">
        <w:rPr>
          <w:rFonts w:eastAsia="Arial"/>
          <w:lang w:eastAsia="en-US"/>
        </w:rPr>
        <w:t xml:space="preserve"> summarised in </w:t>
      </w:r>
      <w:r w:rsidRPr="009F57D8">
        <w:rPr>
          <w:rFonts w:eastAsia="Arial"/>
          <w:lang w:eastAsia="en-US"/>
        </w:rPr>
        <w:fldChar w:fldCharType="begin"/>
      </w:r>
      <w:r w:rsidRPr="009F57D8">
        <w:rPr>
          <w:rFonts w:eastAsia="Arial"/>
          <w:lang w:eastAsia="en-US"/>
        </w:rPr>
        <w:instrText xml:space="preserve"> REF _Ref206765191 \h </w:instrText>
      </w:r>
      <w:r w:rsidRPr="009F57D8">
        <w:rPr>
          <w:rFonts w:eastAsia="Arial"/>
          <w:lang w:eastAsia="en-US"/>
        </w:rPr>
      </w:r>
      <w:r w:rsidRPr="009F57D8">
        <w:rPr>
          <w:rFonts w:eastAsia="Arial"/>
          <w:lang w:eastAsia="en-US"/>
        </w:rPr>
        <w:fldChar w:fldCharType="separate"/>
      </w:r>
      <w:r w:rsidR="00581386" w:rsidRPr="009F57D8">
        <w:t xml:space="preserve">Table </w:t>
      </w:r>
      <w:r w:rsidR="00581386">
        <w:rPr>
          <w:noProof/>
        </w:rPr>
        <w:t>10</w:t>
      </w:r>
      <w:r w:rsidRPr="009F57D8">
        <w:rPr>
          <w:rFonts w:eastAsia="Arial"/>
          <w:lang w:eastAsia="en-US"/>
        </w:rPr>
        <w:fldChar w:fldCharType="end"/>
      </w:r>
      <w:r w:rsidRPr="009F57D8">
        <w:rPr>
          <w:rFonts w:eastAsia="Arial"/>
          <w:lang w:eastAsia="en-US"/>
        </w:rPr>
        <w:t>.</w:t>
      </w:r>
      <w:r w:rsidRPr="009F57D8">
        <w:t xml:space="preserve"> For both </w:t>
      </w:r>
      <w:r w:rsidR="00451A78" w:rsidRPr="009F57D8">
        <w:t xml:space="preserve">21vPCV </w:t>
      </w:r>
      <w:r w:rsidRPr="009F57D8">
        <w:t>and the comparator(s), the base case analysis assumed 0% effectiveness for serotypes they did not cover, and 0% effectiveness for non-vaccine serotypes (i.e., NVTs). Th</w:t>
      </w:r>
      <w:r w:rsidR="00FD0785" w:rsidRPr="009F57D8">
        <w:t>e ESC considered th</w:t>
      </w:r>
      <w:r w:rsidRPr="009F57D8">
        <w:t>is was reasonable. Serotype-specific VE as reported by the CAPiTA study was assumed to be the same across all PCV vaccines. This approach was consistent with the ATAGI advice (ATAGI Pre-submission advice, April 2024). For 23vPPV, ATAGI accepted VE of 61.0% for IPD as ‘these values are consistent with previous PCV models’ and 5.6% for CAP</w:t>
      </w:r>
      <w:r w:rsidRPr="009F57D8">
        <w:rPr>
          <w:b/>
          <w:bCs/>
        </w:rPr>
        <w:t xml:space="preserve"> </w:t>
      </w:r>
      <w:r w:rsidRPr="009F57D8">
        <w:t xml:space="preserve">(ATAGI Pre-submission Advice, April 2024). </w:t>
      </w:r>
      <w:r w:rsidR="00CA15CF" w:rsidRPr="009F57D8">
        <w:t>T</w:t>
      </w:r>
      <w:r w:rsidRPr="009F57D8">
        <w:t>he ESC noted the VE estimates remain uncertain, noting there was no evidence to support the estimates of VE against IPD and CAP for non-shared 13vPCV STs</w:t>
      </w:r>
      <w:bookmarkEnd w:id="77"/>
      <w:bookmarkEnd w:id="78"/>
      <w:r w:rsidR="00062F10">
        <w:t>.</w:t>
      </w:r>
    </w:p>
    <w:p w14:paraId="35411C6A" w14:textId="5E77BD58" w:rsidR="00F650F4" w:rsidRPr="009F57D8" w:rsidRDefault="00F650F4" w:rsidP="00D80101">
      <w:pPr>
        <w:pStyle w:val="TableFigureHeading"/>
      </w:pPr>
      <w:bookmarkStart w:id="79" w:name="_Ref206765191"/>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10</w:t>
      </w:r>
      <w:r w:rsidR="00FA4640" w:rsidRPr="009F57D8">
        <w:fldChar w:fldCharType="end"/>
      </w:r>
      <w:bookmarkEnd w:id="79"/>
      <w:r w:rsidRPr="009F57D8">
        <w:t xml:space="preserve">: Serotype-specific VE inputs used in the economic model  </w:t>
      </w:r>
    </w:p>
    <w:tbl>
      <w:tblPr>
        <w:tblStyle w:val="TableGrid"/>
        <w:tblW w:w="5000" w:type="pct"/>
        <w:tblLook w:val="04A0" w:firstRow="1" w:lastRow="0" w:firstColumn="1" w:lastColumn="0" w:noHBand="0" w:noVBand="1"/>
        <w:tblCaption w:val="Table 10: Serotype-specific VE inputs used in the economic model  "/>
      </w:tblPr>
      <w:tblGrid>
        <w:gridCol w:w="3003"/>
        <w:gridCol w:w="1470"/>
        <w:gridCol w:w="1729"/>
        <w:gridCol w:w="1181"/>
        <w:gridCol w:w="1634"/>
      </w:tblGrid>
      <w:tr w:rsidR="00F650F4" w:rsidRPr="009F57D8" w14:paraId="5BFCACB7" w14:textId="77777777" w:rsidTr="00D80101">
        <w:trPr>
          <w:cantSplit/>
          <w:tblHeader/>
        </w:trPr>
        <w:tc>
          <w:tcPr>
            <w:tcW w:w="1665" w:type="pct"/>
          </w:tcPr>
          <w:p w14:paraId="1DEBE401" w14:textId="77777777" w:rsidR="00F650F4" w:rsidRPr="009F57D8" w:rsidRDefault="00F650F4" w:rsidP="00D80101">
            <w:pPr>
              <w:pStyle w:val="In-tableHeading"/>
              <w:keepLines w:val="0"/>
              <w:widowControl w:val="0"/>
              <w:rPr>
                <w:lang w:val="en-AU"/>
              </w:rPr>
            </w:pPr>
          </w:p>
        </w:tc>
        <w:tc>
          <w:tcPr>
            <w:tcW w:w="815" w:type="pct"/>
          </w:tcPr>
          <w:p w14:paraId="7D96B780" w14:textId="035D312A" w:rsidR="00F650F4" w:rsidRPr="009F57D8" w:rsidRDefault="00451A78" w:rsidP="00D80101">
            <w:pPr>
              <w:pStyle w:val="In-tableHeading"/>
              <w:keepLines w:val="0"/>
              <w:widowControl w:val="0"/>
              <w:jc w:val="center"/>
              <w:rPr>
                <w:lang w:val="en-AU"/>
              </w:rPr>
            </w:pPr>
            <w:r w:rsidRPr="009F57D8">
              <w:rPr>
                <w:lang w:val="en-AU"/>
              </w:rPr>
              <w:t>21vPCV</w:t>
            </w:r>
            <w:r w:rsidRPr="009F57D8" w:rsidDel="00451A78">
              <w:rPr>
                <w:lang w:val="en-AU"/>
              </w:rPr>
              <w:t xml:space="preserve"> </w:t>
            </w:r>
          </w:p>
        </w:tc>
        <w:tc>
          <w:tcPr>
            <w:tcW w:w="959" w:type="pct"/>
          </w:tcPr>
          <w:p w14:paraId="1A0AB219" w14:textId="77777777" w:rsidR="00F650F4" w:rsidRPr="009F57D8" w:rsidRDefault="00F650F4" w:rsidP="00D80101">
            <w:pPr>
              <w:pStyle w:val="In-tableHeading"/>
              <w:keepLines w:val="0"/>
              <w:widowControl w:val="0"/>
              <w:jc w:val="center"/>
              <w:rPr>
                <w:lang w:val="en-AU"/>
              </w:rPr>
            </w:pPr>
            <w:r w:rsidRPr="009F57D8">
              <w:rPr>
                <w:lang w:val="en-AU"/>
              </w:rPr>
              <w:t>13vPCV</w:t>
            </w:r>
          </w:p>
        </w:tc>
        <w:tc>
          <w:tcPr>
            <w:tcW w:w="655" w:type="pct"/>
          </w:tcPr>
          <w:p w14:paraId="275F21A8" w14:textId="77777777" w:rsidR="00F650F4" w:rsidRPr="009F57D8" w:rsidRDefault="00F650F4" w:rsidP="00D80101">
            <w:pPr>
              <w:pStyle w:val="In-tableHeading"/>
              <w:keepLines w:val="0"/>
              <w:widowControl w:val="0"/>
              <w:jc w:val="center"/>
              <w:rPr>
                <w:lang w:val="en-AU"/>
              </w:rPr>
            </w:pPr>
            <w:r w:rsidRPr="009F57D8">
              <w:rPr>
                <w:lang w:val="en-AU"/>
              </w:rPr>
              <w:t>20vPCV</w:t>
            </w:r>
          </w:p>
        </w:tc>
        <w:tc>
          <w:tcPr>
            <w:tcW w:w="906" w:type="pct"/>
          </w:tcPr>
          <w:p w14:paraId="079AE2D5" w14:textId="77777777" w:rsidR="00F650F4" w:rsidRPr="009F57D8" w:rsidRDefault="00F650F4" w:rsidP="00D80101">
            <w:pPr>
              <w:pStyle w:val="In-tableHeading"/>
              <w:keepLines w:val="0"/>
              <w:widowControl w:val="0"/>
              <w:jc w:val="center"/>
              <w:rPr>
                <w:lang w:val="en-AU"/>
              </w:rPr>
            </w:pPr>
            <w:r w:rsidRPr="009F57D8">
              <w:rPr>
                <w:lang w:val="en-AU"/>
              </w:rPr>
              <w:t>23vPPV</w:t>
            </w:r>
          </w:p>
        </w:tc>
      </w:tr>
      <w:tr w:rsidR="00F650F4" w:rsidRPr="009F57D8" w14:paraId="0D915D8A" w14:textId="77777777" w:rsidTr="00D80101">
        <w:trPr>
          <w:cantSplit/>
          <w:tblHeader/>
        </w:trPr>
        <w:tc>
          <w:tcPr>
            <w:tcW w:w="5000" w:type="pct"/>
            <w:gridSpan w:val="5"/>
          </w:tcPr>
          <w:p w14:paraId="077AD02F" w14:textId="77777777" w:rsidR="00F650F4" w:rsidRPr="009F57D8" w:rsidRDefault="00F650F4" w:rsidP="00D80101">
            <w:pPr>
              <w:pStyle w:val="TableText0"/>
              <w:keepNext/>
              <w:keepLines w:val="0"/>
              <w:rPr>
                <w:b/>
                <w:bCs w:val="0"/>
              </w:rPr>
            </w:pPr>
            <w:r w:rsidRPr="009F57D8">
              <w:rPr>
                <w:b/>
              </w:rPr>
              <w:t>IPD</w:t>
            </w:r>
          </w:p>
        </w:tc>
      </w:tr>
      <w:tr w:rsidR="00F650F4" w:rsidRPr="009F57D8" w14:paraId="624D62E8" w14:textId="77777777" w:rsidTr="00D80101">
        <w:trPr>
          <w:cantSplit/>
          <w:tblHeader/>
        </w:trPr>
        <w:tc>
          <w:tcPr>
            <w:tcW w:w="1665" w:type="pct"/>
          </w:tcPr>
          <w:p w14:paraId="1CBE2F08" w14:textId="77777777" w:rsidR="00F650F4" w:rsidRPr="009F57D8" w:rsidRDefault="00F650F4" w:rsidP="00D80101">
            <w:pPr>
              <w:pStyle w:val="TableText0"/>
              <w:keepNext/>
              <w:keepLines w:val="0"/>
            </w:pPr>
            <w:r w:rsidRPr="009F57D8">
              <w:t>Shared 13vPCV STs (excl. ST3)</w:t>
            </w:r>
          </w:p>
        </w:tc>
        <w:tc>
          <w:tcPr>
            <w:tcW w:w="815" w:type="pct"/>
          </w:tcPr>
          <w:p w14:paraId="471F0CB7" w14:textId="77777777" w:rsidR="00F650F4" w:rsidRPr="009F57D8" w:rsidRDefault="00F650F4" w:rsidP="00D80101">
            <w:pPr>
              <w:pStyle w:val="TableText0"/>
              <w:keepNext/>
              <w:keepLines w:val="0"/>
              <w:jc w:val="center"/>
            </w:pPr>
            <w:r w:rsidRPr="009F57D8">
              <w:t>75.0%</w:t>
            </w:r>
          </w:p>
        </w:tc>
        <w:tc>
          <w:tcPr>
            <w:tcW w:w="959" w:type="pct"/>
          </w:tcPr>
          <w:p w14:paraId="0D3794E9" w14:textId="77777777" w:rsidR="00F650F4" w:rsidRPr="009F57D8" w:rsidRDefault="00F650F4" w:rsidP="00D80101">
            <w:pPr>
              <w:pStyle w:val="TableText0"/>
              <w:keepNext/>
              <w:keepLines w:val="0"/>
              <w:jc w:val="center"/>
            </w:pPr>
            <w:r w:rsidRPr="009F57D8">
              <w:t>75.0%</w:t>
            </w:r>
          </w:p>
        </w:tc>
        <w:tc>
          <w:tcPr>
            <w:tcW w:w="655" w:type="pct"/>
          </w:tcPr>
          <w:p w14:paraId="28586C9D" w14:textId="77777777" w:rsidR="00F650F4" w:rsidRPr="009F57D8" w:rsidRDefault="00F650F4" w:rsidP="00D80101">
            <w:pPr>
              <w:pStyle w:val="TableText0"/>
              <w:keepNext/>
              <w:keepLines w:val="0"/>
              <w:jc w:val="center"/>
            </w:pPr>
            <w:r w:rsidRPr="009F57D8">
              <w:t>75.0%</w:t>
            </w:r>
          </w:p>
        </w:tc>
        <w:tc>
          <w:tcPr>
            <w:tcW w:w="906" w:type="pct"/>
          </w:tcPr>
          <w:p w14:paraId="634B7ED3" w14:textId="77777777" w:rsidR="00F650F4" w:rsidRPr="009F57D8" w:rsidRDefault="00F650F4" w:rsidP="00D80101">
            <w:pPr>
              <w:pStyle w:val="TableText0"/>
              <w:keepNext/>
              <w:keepLines w:val="0"/>
              <w:jc w:val="center"/>
            </w:pPr>
            <w:r w:rsidRPr="009F57D8">
              <w:t>61.0%</w:t>
            </w:r>
          </w:p>
        </w:tc>
      </w:tr>
      <w:tr w:rsidR="00F650F4" w:rsidRPr="009F57D8" w14:paraId="6D8C2165" w14:textId="77777777" w:rsidTr="00D80101">
        <w:trPr>
          <w:cantSplit/>
          <w:tblHeader/>
        </w:trPr>
        <w:tc>
          <w:tcPr>
            <w:tcW w:w="1665" w:type="pct"/>
          </w:tcPr>
          <w:p w14:paraId="4DD83A98" w14:textId="77777777" w:rsidR="00F650F4" w:rsidRPr="009F57D8" w:rsidRDefault="00F650F4" w:rsidP="00D80101">
            <w:pPr>
              <w:pStyle w:val="TableText0"/>
              <w:keepNext/>
              <w:keepLines w:val="0"/>
            </w:pPr>
            <w:r w:rsidRPr="009F57D8">
              <w:t>ST 3</w:t>
            </w:r>
          </w:p>
        </w:tc>
        <w:tc>
          <w:tcPr>
            <w:tcW w:w="815" w:type="pct"/>
          </w:tcPr>
          <w:p w14:paraId="7B4CAAAA" w14:textId="77777777" w:rsidR="00F650F4" w:rsidRPr="009F57D8" w:rsidRDefault="00F650F4" w:rsidP="00D80101">
            <w:pPr>
              <w:pStyle w:val="TableText0"/>
              <w:keepNext/>
              <w:keepLines w:val="0"/>
              <w:jc w:val="center"/>
            </w:pPr>
            <w:r w:rsidRPr="009F57D8">
              <w:t>26.0%</w:t>
            </w:r>
          </w:p>
        </w:tc>
        <w:tc>
          <w:tcPr>
            <w:tcW w:w="959" w:type="pct"/>
          </w:tcPr>
          <w:p w14:paraId="473C269B" w14:textId="77777777" w:rsidR="00F650F4" w:rsidRPr="009F57D8" w:rsidRDefault="00F650F4" w:rsidP="00D80101">
            <w:pPr>
              <w:pStyle w:val="TableText0"/>
              <w:keepNext/>
              <w:keepLines w:val="0"/>
              <w:jc w:val="center"/>
            </w:pPr>
            <w:r w:rsidRPr="009F57D8">
              <w:t>26.0%</w:t>
            </w:r>
          </w:p>
        </w:tc>
        <w:tc>
          <w:tcPr>
            <w:tcW w:w="655" w:type="pct"/>
          </w:tcPr>
          <w:p w14:paraId="69A1E30B" w14:textId="77777777" w:rsidR="00F650F4" w:rsidRPr="009F57D8" w:rsidRDefault="00F650F4" w:rsidP="00D80101">
            <w:pPr>
              <w:pStyle w:val="TableText0"/>
              <w:keepNext/>
              <w:keepLines w:val="0"/>
              <w:jc w:val="center"/>
            </w:pPr>
            <w:r w:rsidRPr="009F57D8">
              <w:t>26.0%</w:t>
            </w:r>
          </w:p>
        </w:tc>
        <w:tc>
          <w:tcPr>
            <w:tcW w:w="906" w:type="pct"/>
          </w:tcPr>
          <w:p w14:paraId="02901BEE" w14:textId="77777777" w:rsidR="00F650F4" w:rsidRPr="009F57D8" w:rsidRDefault="00F650F4" w:rsidP="00D80101">
            <w:pPr>
              <w:pStyle w:val="TableText0"/>
              <w:keepNext/>
              <w:keepLines w:val="0"/>
              <w:jc w:val="center"/>
            </w:pPr>
            <w:r w:rsidRPr="009F57D8">
              <w:t>61.0%</w:t>
            </w:r>
          </w:p>
        </w:tc>
      </w:tr>
      <w:tr w:rsidR="00F650F4" w:rsidRPr="009F57D8" w14:paraId="4ABDF18C" w14:textId="77777777" w:rsidTr="00D80101">
        <w:trPr>
          <w:cantSplit/>
          <w:tblHeader/>
        </w:trPr>
        <w:tc>
          <w:tcPr>
            <w:tcW w:w="1665" w:type="pct"/>
          </w:tcPr>
          <w:p w14:paraId="33EA18C7" w14:textId="77777777" w:rsidR="00F650F4" w:rsidRPr="009F57D8" w:rsidRDefault="00F650F4" w:rsidP="00D80101">
            <w:pPr>
              <w:pStyle w:val="TableText0"/>
              <w:keepNext/>
              <w:keepLines w:val="0"/>
            </w:pPr>
            <w:r w:rsidRPr="009F57D8">
              <w:t>Non-shared 13vPCV STs (excl. ST3)</w:t>
            </w:r>
          </w:p>
        </w:tc>
        <w:tc>
          <w:tcPr>
            <w:tcW w:w="815" w:type="pct"/>
          </w:tcPr>
          <w:p w14:paraId="36C5693A" w14:textId="77777777" w:rsidR="00F650F4" w:rsidRPr="009F57D8" w:rsidRDefault="00F650F4" w:rsidP="00D80101">
            <w:pPr>
              <w:pStyle w:val="TableText0"/>
              <w:keepNext/>
              <w:keepLines w:val="0"/>
              <w:jc w:val="center"/>
            </w:pPr>
            <w:r w:rsidRPr="009F57D8">
              <w:t>75.0%</w:t>
            </w:r>
          </w:p>
        </w:tc>
        <w:tc>
          <w:tcPr>
            <w:tcW w:w="959" w:type="pct"/>
          </w:tcPr>
          <w:p w14:paraId="4E62B53B" w14:textId="77777777" w:rsidR="00F650F4" w:rsidRPr="009F57D8" w:rsidRDefault="00F650F4" w:rsidP="00D80101">
            <w:pPr>
              <w:pStyle w:val="TableText0"/>
              <w:keepNext/>
              <w:keepLines w:val="0"/>
              <w:jc w:val="center"/>
            </w:pPr>
            <w:r w:rsidRPr="009F57D8">
              <w:t>-</w:t>
            </w:r>
          </w:p>
        </w:tc>
        <w:tc>
          <w:tcPr>
            <w:tcW w:w="655" w:type="pct"/>
          </w:tcPr>
          <w:p w14:paraId="3BCF6623" w14:textId="77777777" w:rsidR="00F650F4" w:rsidRPr="009F57D8" w:rsidRDefault="00F650F4" w:rsidP="00D80101">
            <w:pPr>
              <w:pStyle w:val="TableText0"/>
              <w:keepNext/>
              <w:keepLines w:val="0"/>
              <w:jc w:val="center"/>
            </w:pPr>
            <w:r w:rsidRPr="009F57D8">
              <w:t>75.0%</w:t>
            </w:r>
          </w:p>
        </w:tc>
        <w:tc>
          <w:tcPr>
            <w:tcW w:w="906" w:type="pct"/>
          </w:tcPr>
          <w:p w14:paraId="1E8E0E0E" w14:textId="77777777" w:rsidR="00F650F4" w:rsidRPr="009F57D8" w:rsidRDefault="00F650F4" w:rsidP="00D80101">
            <w:pPr>
              <w:pStyle w:val="TableText0"/>
              <w:keepNext/>
              <w:keepLines w:val="0"/>
              <w:jc w:val="center"/>
            </w:pPr>
            <w:r w:rsidRPr="009F57D8">
              <w:t>61.0%</w:t>
            </w:r>
          </w:p>
        </w:tc>
      </w:tr>
      <w:tr w:rsidR="00F650F4" w:rsidRPr="009F57D8" w14:paraId="35A27A12" w14:textId="77777777" w:rsidTr="00D80101">
        <w:trPr>
          <w:cantSplit/>
          <w:tblHeader/>
        </w:trPr>
        <w:tc>
          <w:tcPr>
            <w:tcW w:w="5000" w:type="pct"/>
            <w:gridSpan w:val="5"/>
          </w:tcPr>
          <w:p w14:paraId="73E8661E" w14:textId="77777777" w:rsidR="00F650F4" w:rsidRPr="009F57D8" w:rsidRDefault="00F650F4" w:rsidP="00D80101">
            <w:pPr>
              <w:pStyle w:val="TableText0"/>
              <w:keepNext/>
              <w:keepLines w:val="0"/>
              <w:rPr>
                <w:b/>
                <w:bCs w:val="0"/>
              </w:rPr>
            </w:pPr>
            <w:r w:rsidRPr="009F57D8">
              <w:rPr>
                <w:b/>
              </w:rPr>
              <w:t>CAP</w:t>
            </w:r>
          </w:p>
        </w:tc>
      </w:tr>
      <w:tr w:rsidR="00F650F4" w:rsidRPr="009F57D8" w14:paraId="2BA98B76" w14:textId="77777777" w:rsidTr="00D80101">
        <w:trPr>
          <w:cantSplit/>
          <w:tblHeader/>
        </w:trPr>
        <w:tc>
          <w:tcPr>
            <w:tcW w:w="1665" w:type="pct"/>
          </w:tcPr>
          <w:p w14:paraId="3531D10B" w14:textId="77777777" w:rsidR="00F650F4" w:rsidRPr="009F57D8" w:rsidRDefault="00F650F4" w:rsidP="00D80101">
            <w:pPr>
              <w:pStyle w:val="TableText0"/>
              <w:keepNext/>
              <w:keepLines w:val="0"/>
            </w:pPr>
            <w:r w:rsidRPr="009F57D8">
              <w:t>Shared 13vPCV STs (excl. ST3)</w:t>
            </w:r>
          </w:p>
        </w:tc>
        <w:tc>
          <w:tcPr>
            <w:tcW w:w="815" w:type="pct"/>
          </w:tcPr>
          <w:p w14:paraId="532D57EE" w14:textId="77777777" w:rsidR="00F650F4" w:rsidRPr="009F57D8" w:rsidRDefault="00F650F4" w:rsidP="00D80101">
            <w:pPr>
              <w:pStyle w:val="TableText0"/>
              <w:keepNext/>
              <w:keepLines w:val="0"/>
              <w:jc w:val="center"/>
            </w:pPr>
            <w:r w:rsidRPr="009F57D8">
              <w:t>45.0%</w:t>
            </w:r>
          </w:p>
        </w:tc>
        <w:tc>
          <w:tcPr>
            <w:tcW w:w="959" w:type="pct"/>
          </w:tcPr>
          <w:p w14:paraId="0D932380" w14:textId="77777777" w:rsidR="00F650F4" w:rsidRPr="009F57D8" w:rsidRDefault="00F650F4" w:rsidP="00D80101">
            <w:pPr>
              <w:pStyle w:val="TableText0"/>
              <w:keepNext/>
              <w:keepLines w:val="0"/>
              <w:jc w:val="center"/>
            </w:pPr>
            <w:r w:rsidRPr="009F57D8">
              <w:t>45.0%</w:t>
            </w:r>
          </w:p>
        </w:tc>
        <w:tc>
          <w:tcPr>
            <w:tcW w:w="655" w:type="pct"/>
          </w:tcPr>
          <w:p w14:paraId="60C59767" w14:textId="77777777" w:rsidR="00F650F4" w:rsidRPr="009F57D8" w:rsidRDefault="00F650F4" w:rsidP="00D80101">
            <w:pPr>
              <w:pStyle w:val="TableText0"/>
              <w:keepNext/>
              <w:keepLines w:val="0"/>
              <w:jc w:val="center"/>
            </w:pPr>
            <w:r w:rsidRPr="009F57D8">
              <w:t>45.0%</w:t>
            </w:r>
          </w:p>
        </w:tc>
        <w:tc>
          <w:tcPr>
            <w:tcW w:w="906" w:type="pct"/>
          </w:tcPr>
          <w:p w14:paraId="174E2336" w14:textId="77777777" w:rsidR="00F650F4" w:rsidRPr="009F57D8" w:rsidRDefault="00F650F4" w:rsidP="00D80101">
            <w:pPr>
              <w:pStyle w:val="TableText0"/>
              <w:keepNext/>
              <w:keepLines w:val="0"/>
              <w:jc w:val="center"/>
            </w:pPr>
            <w:r w:rsidRPr="009F57D8">
              <w:t>5.6%</w:t>
            </w:r>
          </w:p>
        </w:tc>
      </w:tr>
      <w:tr w:rsidR="00F650F4" w:rsidRPr="009F57D8" w14:paraId="78AE0FE5" w14:textId="77777777" w:rsidTr="00D80101">
        <w:trPr>
          <w:cantSplit/>
          <w:tblHeader/>
        </w:trPr>
        <w:tc>
          <w:tcPr>
            <w:tcW w:w="1665" w:type="pct"/>
          </w:tcPr>
          <w:p w14:paraId="2257F43A" w14:textId="77777777" w:rsidR="00F650F4" w:rsidRPr="009F57D8" w:rsidRDefault="00F650F4" w:rsidP="00D80101">
            <w:pPr>
              <w:pStyle w:val="TableText0"/>
              <w:keepNext/>
              <w:keepLines w:val="0"/>
            </w:pPr>
            <w:r w:rsidRPr="009F57D8">
              <w:t>ST 3</w:t>
            </w:r>
          </w:p>
        </w:tc>
        <w:tc>
          <w:tcPr>
            <w:tcW w:w="815" w:type="pct"/>
          </w:tcPr>
          <w:p w14:paraId="23411E0D" w14:textId="77777777" w:rsidR="00F650F4" w:rsidRPr="009F57D8" w:rsidRDefault="00F650F4" w:rsidP="00D80101">
            <w:pPr>
              <w:pStyle w:val="TableText0"/>
              <w:keepNext/>
              <w:keepLines w:val="0"/>
              <w:jc w:val="center"/>
            </w:pPr>
            <w:r w:rsidRPr="009F57D8">
              <w:t>15.6%</w:t>
            </w:r>
          </w:p>
        </w:tc>
        <w:tc>
          <w:tcPr>
            <w:tcW w:w="959" w:type="pct"/>
          </w:tcPr>
          <w:p w14:paraId="142AAF6B" w14:textId="77777777" w:rsidR="00F650F4" w:rsidRPr="009F57D8" w:rsidRDefault="00F650F4" w:rsidP="00D80101">
            <w:pPr>
              <w:pStyle w:val="TableText0"/>
              <w:keepNext/>
              <w:keepLines w:val="0"/>
              <w:jc w:val="center"/>
            </w:pPr>
            <w:r w:rsidRPr="009F57D8">
              <w:t>15.6%</w:t>
            </w:r>
          </w:p>
        </w:tc>
        <w:tc>
          <w:tcPr>
            <w:tcW w:w="655" w:type="pct"/>
          </w:tcPr>
          <w:p w14:paraId="4498556B" w14:textId="77777777" w:rsidR="00F650F4" w:rsidRPr="009F57D8" w:rsidRDefault="00F650F4" w:rsidP="00D80101">
            <w:pPr>
              <w:pStyle w:val="TableText0"/>
              <w:keepNext/>
              <w:keepLines w:val="0"/>
              <w:jc w:val="center"/>
            </w:pPr>
            <w:r w:rsidRPr="009F57D8">
              <w:t>15.6%</w:t>
            </w:r>
          </w:p>
        </w:tc>
        <w:tc>
          <w:tcPr>
            <w:tcW w:w="906" w:type="pct"/>
          </w:tcPr>
          <w:p w14:paraId="2311B088" w14:textId="77777777" w:rsidR="00F650F4" w:rsidRPr="009F57D8" w:rsidRDefault="00F650F4" w:rsidP="00D80101">
            <w:pPr>
              <w:pStyle w:val="TableText0"/>
              <w:keepNext/>
              <w:keepLines w:val="0"/>
              <w:jc w:val="center"/>
            </w:pPr>
            <w:r w:rsidRPr="009F57D8">
              <w:t>5.6%</w:t>
            </w:r>
          </w:p>
        </w:tc>
      </w:tr>
      <w:tr w:rsidR="00F650F4" w:rsidRPr="009F57D8" w14:paraId="2DBE5064" w14:textId="77777777" w:rsidTr="00D80101">
        <w:trPr>
          <w:cantSplit/>
          <w:tblHeader/>
        </w:trPr>
        <w:tc>
          <w:tcPr>
            <w:tcW w:w="1665" w:type="pct"/>
          </w:tcPr>
          <w:p w14:paraId="48A4B0C3" w14:textId="77777777" w:rsidR="00F650F4" w:rsidRPr="009F57D8" w:rsidRDefault="00F650F4" w:rsidP="00D80101">
            <w:pPr>
              <w:pStyle w:val="TableText0"/>
              <w:keepNext/>
              <w:keepLines w:val="0"/>
            </w:pPr>
            <w:r w:rsidRPr="009F57D8">
              <w:t>Non-shared 13vPCV STs (excl. ST3)</w:t>
            </w:r>
          </w:p>
        </w:tc>
        <w:tc>
          <w:tcPr>
            <w:tcW w:w="815" w:type="pct"/>
          </w:tcPr>
          <w:p w14:paraId="711E0A52" w14:textId="77777777" w:rsidR="00F650F4" w:rsidRPr="009F57D8" w:rsidRDefault="00F650F4" w:rsidP="00D80101">
            <w:pPr>
              <w:pStyle w:val="TableText0"/>
              <w:keepNext/>
              <w:keepLines w:val="0"/>
              <w:jc w:val="center"/>
            </w:pPr>
            <w:r w:rsidRPr="009F57D8">
              <w:t>45.0%</w:t>
            </w:r>
          </w:p>
        </w:tc>
        <w:tc>
          <w:tcPr>
            <w:tcW w:w="959" w:type="pct"/>
          </w:tcPr>
          <w:p w14:paraId="287ED1B1" w14:textId="77777777" w:rsidR="00F650F4" w:rsidRPr="009F57D8" w:rsidRDefault="00F650F4" w:rsidP="00D80101">
            <w:pPr>
              <w:pStyle w:val="TableText0"/>
              <w:keepNext/>
              <w:keepLines w:val="0"/>
              <w:jc w:val="center"/>
            </w:pPr>
            <w:r w:rsidRPr="009F57D8">
              <w:t>-</w:t>
            </w:r>
          </w:p>
        </w:tc>
        <w:tc>
          <w:tcPr>
            <w:tcW w:w="655" w:type="pct"/>
          </w:tcPr>
          <w:p w14:paraId="243F4E57" w14:textId="77777777" w:rsidR="00F650F4" w:rsidRPr="009F57D8" w:rsidRDefault="00F650F4" w:rsidP="00D80101">
            <w:pPr>
              <w:pStyle w:val="TableText0"/>
              <w:keepNext/>
              <w:keepLines w:val="0"/>
              <w:jc w:val="center"/>
            </w:pPr>
            <w:r w:rsidRPr="009F57D8">
              <w:t>45.0%</w:t>
            </w:r>
          </w:p>
        </w:tc>
        <w:tc>
          <w:tcPr>
            <w:tcW w:w="906" w:type="pct"/>
          </w:tcPr>
          <w:p w14:paraId="2BAD2DAF" w14:textId="77777777" w:rsidR="00F650F4" w:rsidRPr="009F57D8" w:rsidRDefault="00F650F4" w:rsidP="00D80101">
            <w:pPr>
              <w:pStyle w:val="TableText0"/>
              <w:keepNext/>
              <w:keepLines w:val="0"/>
              <w:jc w:val="center"/>
            </w:pPr>
            <w:r w:rsidRPr="009F57D8">
              <w:t>5.6%</w:t>
            </w:r>
          </w:p>
        </w:tc>
      </w:tr>
    </w:tbl>
    <w:p w14:paraId="791EE08B" w14:textId="77777777" w:rsidR="00F650F4" w:rsidRPr="009F57D8" w:rsidRDefault="00F650F4" w:rsidP="00D80101">
      <w:pPr>
        <w:pStyle w:val="FooterTableFigure"/>
        <w:keepNext/>
      </w:pPr>
      <w:r w:rsidRPr="009F57D8">
        <w:t xml:space="preserve">Source: Table 3.4-17, p181 of the submission. </w:t>
      </w:r>
    </w:p>
    <w:p w14:paraId="30993AFE" w14:textId="4A970D4E" w:rsidR="00F650F4" w:rsidRPr="009F57D8" w:rsidRDefault="00F650F4" w:rsidP="00D80101">
      <w:pPr>
        <w:pStyle w:val="FooterTableFigure"/>
        <w:keepNext/>
      </w:pPr>
      <w:r w:rsidRPr="009F57D8">
        <w:t xml:space="preserve">13vPCV = 13-valent pneumococcal conjugate vaccine; 20vPCV = 20-valent pneumococcal conjugate vaccine; 23vPPV = 23-valent pneumococcal polysaccharide vaccine; CAP = community acquired pneumonia; IPD = invasive pneumococcal disease; ST = serotype; </w:t>
      </w:r>
      <w:r w:rsidR="00F24018" w:rsidRPr="009F57D8">
        <w:t>21vPCV (</w:t>
      </w:r>
      <w:r w:rsidRPr="009F57D8">
        <w:t>V116</w:t>
      </w:r>
      <w:r w:rsidR="00F24018" w:rsidRPr="009F57D8">
        <w:t>)</w:t>
      </w:r>
      <w:r w:rsidRPr="009F57D8">
        <w:t xml:space="preserve"> = 21-valent pneumococcal conjugate vaccine; VE = vaccine effectiveness.</w:t>
      </w:r>
    </w:p>
    <w:p w14:paraId="50663C76" w14:textId="68E46A72" w:rsidR="00DE03DC" w:rsidRPr="009F57D8" w:rsidRDefault="00F650F4" w:rsidP="00062F10">
      <w:pPr>
        <w:pStyle w:val="3-BodyText"/>
        <w:numPr>
          <w:ilvl w:val="1"/>
          <w:numId w:val="1"/>
        </w:numPr>
      </w:pPr>
      <w:bookmarkStart w:id="80" w:name="_Ref207109743"/>
      <w:bookmarkEnd w:id="76"/>
      <w:r w:rsidRPr="009F57D8">
        <w:t xml:space="preserve">The coverage of IPD and CAP cases across vaccine-specific serotypes by population, as detailed in </w:t>
      </w:r>
      <w:r w:rsidRPr="009F57D8">
        <w:fldChar w:fldCharType="begin"/>
      </w:r>
      <w:r w:rsidRPr="009F57D8">
        <w:instrText xml:space="preserve"> REF _Ref206765395 \h </w:instrText>
      </w:r>
      <w:r w:rsidRPr="009F57D8">
        <w:fldChar w:fldCharType="separate"/>
      </w:r>
      <w:r w:rsidR="00581386" w:rsidRPr="009F57D8">
        <w:t xml:space="preserve">Table </w:t>
      </w:r>
      <w:r w:rsidR="00581386">
        <w:rPr>
          <w:noProof/>
        </w:rPr>
        <w:t>11</w:t>
      </w:r>
      <w:r w:rsidRPr="009F57D8">
        <w:fldChar w:fldCharType="end"/>
      </w:r>
      <w:r w:rsidRPr="009F57D8">
        <w:t xml:space="preserve">, was based on the serotypes covered in each vaccine (see </w:t>
      </w:r>
      <w:r w:rsidRPr="009F57D8">
        <w:fldChar w:fldCharType="begin"/>
      </w:r>
      <w:r w:rsidRPr="009F57D8">
        <w:instrText xml:space="preserve"> REF _Ref175044796 \h  \* MERGEFORMAT </w:instrText>
      </w:r>
      <w:r w:rsidRPr="009F57D8">
        <w:fldChar w:fldCharType="separate"/>
      </w:r>
      <w:r w:rsidR="00581386" w:rsidRPr="00581386">
        <w:t>Figure 1</w:t>
      </w:r>
      <w:r w:rsidRPr="009F57D8">
        <w:fldChar w:fldCharType="end"/>
      </w:r>
      <w:r w:rsidRPr="009F57D8">
        <w:t xml:space="preserve">) and the distribution of IPD and CAP cases by serotypes. </w:t>
      </w:r>
      <w:r w:rsidRPr="009F57D8">
        <w:rPr>
          <w:rFonts w:cs="Calibri"/>
          <w:color w:val="000000" w:themeColor="text1"/>
        </w:rPr>
        <w:t xml:space="preserve">The distribution of IPD cases </w:t>
      </w:r>
      <w:r w:rsidRPr="009F57D8">
        <w:rPr>
          <w:rFonts w:cs="Calibri"/>
          <w:color w:val="000000" w:themeColor="text1"/>
        </w:rPr>
        <w:lastRenderedPageBreak/>
        <w:t xml:space="preserve">by serotypes was directly obtained from NNDSS (2016-2019) data. </w:t>
      </w:r>
      <w:r w:rsidRPr="009F57D8">
        <w:t>The submission presented a sensitivity analysis using data from the NNDSS from 2022-2023</w:t>
      </w:r>
      <w:r w:rsidR="00051C5F" w:rsidRPr="009F57D8">
        <w:t xml:space="preserve"> (</w:t>
      </w:r>
      <w:r w:rsidR="00051C5F" w:rsidRPr="009F57D8">
        <w:fldChar w:fldCharType="begin"/>
      </w:r>
      <w:r w:rsidR="00051C5F" w:rsidRPr="009F57D8">
        <w:instrText xml:space="preserve"> REF _Ref206770052 \h  \* MERGEFORMAT </w:instrText>
      </w:r>
      <w:r w:rsidR="00051C5F" w:rsidRPr="009F57D8">
        <w:fldChar w:fldCharType="separate"/>
      </w:r>
      <w:r w:rsidR="00581386" w:rsidRPr="009F57D8">
        <w:t xml:space="preserve">Table </w:t>
      </w:r>
      <w:r w:rsidR="00581386">
        <w:t>14</w:t>
      </w:r>
      <w:r w:rsidR="00051C5F" w:rsidRPr="009F57D8">
        <w:fldChar w:fldCharType="end"/>
      </w:r>
      <w:r w:rsidR="00051C5F" w:rsidRPr="009F57D8">
        <w:t>)</w:t>
      </w:r>
      <w:r w:rsidRPr="009F57D8">
        <w:t xml:space="preserve">. </w:t>
      </w:r>
      <w:bookmarkEnd w:id="80"/>
    </w:p>
    <w:p w14:paraId="19B1B31B" w14:textId="19311BA6" w:rsidR="00F650F4" w:rsidRPr="009F57D8" w:rsidRDefault="00F650F4" w:rsidP="00F650F4">
      <w:pPr>
        <w:pStyle w:val="Caption"/>
      </w:pPr>
      <w:bookmarkStart w:id="81" w:name="_Ref206765395"/>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11</w:t>
      </w:r>
      <w:r w:rsidR="00FA4640" w:rsidRPr="009F57D8">
        <w:fldChar w:fldCharType="end"/>
      </w:r>
      <w:bookmarkEnd w:id="81"/>
      <w:r w:rsidRPr="009F57D8">
        <w:t>: Vaccine serotype coverage (NNDSS 2016-2019) attributed to IPD and CAP by population</w:t>
      </w:r>
    </w:p>
    <w:tbl>
      <w:tblPr>
        <w:tblStyle w:val="TableGrid"/>
        <w:tblW w:w="5000" w:type="pct"/>
        <w:tblLook w:val="04A0" w:firstRow="1" w:lastRow="0" w:firstColumn="1" w:lastColumn="0" w:noHBand="0" w:noVBand="1"/>
        <w:tblCaption w:val="Table 11: Vaccine serotype coverage (NNDSS 2016-2019) attributed to IPD and CAP by population"/>
      </w:tblPr>
      <w:tblGrid>
        <w:gridCol w:w="2513"/>
        <w:gridCol w:w="1161"/>
        <w:gridCol w:w="1161"/>
        <w:gridCol w:w="1045"/>
        <w:gridCol w:w="1047"/>
        <w:gridCol w:w="1045"/>
        <w:gridCol w:w="1045"/>
      </w:tblGrid>
      <w:tr w:rsidR="00F650F4" w:rsidRPr="009F57D8" w14:paraId="419D1D0A" w14:textId="77777777" w:rsidTr="00D80101">
        <w:trPr>
          <w:cantSplit/>
          <w:tblHeader/>
        </w:trPr>
        <w:tc>
          <w:tcPr>
            <w:tcW w:w="1412" w:type="pct"/>
            <w:vMerge w:val="restart"/>
            <w:noWrap/>
            <w:vAlign w:val="center"/>
            <w:hideMark/>
          </w:tcPr>
          <w:p w14:paraId="5130D605" w14:textId="77777777" w:rsidR="00F650F4" w:rsidRPr="009F57D8" w:rsidRDefault="00F650F4">
            <w:pPr>
              <w:pStyle w:val="In-tableHeading"/>
              <w:keepNext w:val="0"/>
              <w:keepLines w:val="0"/>
              <w:widowControl w:val="0"/>
              <w:jc w:val="center"/>
              <w:rPr>
                <w:lang w:val="en-AU"/>
              </w:rPr>
            </w:pPr>
            <w:r w:rsidRPr="009F57D8">
              <w:rPr>
                <w:lang w:val="en-AU"/>
              </w:rPr>
              <w:t>Vaccine comparison</w:t>
            </w:r>
          </w:p>
        </w:tc>
        <w:tc>
          <w:tcPr>
            <w:tcW w:w="1196" w:type="pct"/>
            <w:gridSpan w:val="2"/>
            <w:noWrap/>
            <w:vAlign w:val="center"/>
            <w:hideMark/>
          </w:tcPr>
          <w:p w14:paraId="598F6088" w14:textId="77777777" w:rsidR="00F650F4" w:rsidRPr="009F57D8" w:rsidRDefault="00F650F4">
            <w:pPr>
              <w:pStyle w:val="In-tableHeading"/>
              <w:keepNext w:val="0"/>
              <w:keepLines w:val="0"/>
              <w:widowControl w:val="0"/>
              <w:jc w:val="center"/>
              <w:rPr>
                <w:lang w:val="en-AU"/>
              </w:rPr>
            </w:pPr>
            <w:r w:rsidRPr="009F57D8">
              <w:rPr>
                <w:lang w:val="en-AU"/>
              </w:rPr>
              <w:t>Non-Indigenous ≥ 70 years</w:t>
            </w:r>
          </w:p>
        </w:tc>
        <w:tc>
          <w:tcPr>
            <w:tcW w:w="1197" w:type="pct"/>
            <w:gridSpan w:val="2"/>
            <w:vAlign w:val="center"/>
          </w:tcPr>
          <w:p w14:paraId="6C773A57" w14:textId="77777777" w:rsidR="00F650F4" w:rsidRPr="009F57D8" w:rsidRDefault="00F650F4">
            <w:pPr>
              <w:pStyle w:val="In-tableHeading"/>
              <w:keepNext w:val="0"/>
              <w:keepLines w:val="0"/>
              <w:widowControl w:val="0"/>
              <w:jc w:val="center"/>
              <w:rPr>
                <w:lang w:val="en-AU"/>
              </w:rPr>
            </w:pPr>
            <w:r w:rsidRPr="009F57D8">
              <w:rPr>
                <w:lang w:val="en-AU"/>
              </w:rPr>
              <w:t>Indigenous ≥ 50 years</w:t>
            </w:r>
          </w:p>
        </w:tc>
        <w:tc>
          <w:tcPr>
            <w:tcW w:w="1195" w:type="pct"/>
            <w:gridSpan w:val="2"/>
            <w:vAlign w:val="center"/>
          </w:tcPr>
          <w:p w14:paraId="3505FBE4" w14:textId="77777777" w:rsidR="00F650F4" w:rsidRPr="009F57D8" w:rsidRDefault="00F650F4">
            <w:pPr>
              <w:pStyle w:val="In-tableHeading"/>
              <w:keepNext w:val="0"/>
              <w:keepLines w:val="0"/>
              <w:widowControl w:val="0"/>
              <w:jc w:val="center"/>
              <w:rPr>
                <w:lang w:val="en-AU"/>
              </w:rPr>
            </w:pPr>
            <w:r w:rsidRPr="009F57D8">
              <w:rPr>
                <w:lang w:val="en-AU"/>
              </w:rPr>
              <w:t>MaR 18 to 69</w:t>
            </w:r>
            <w:r w:rsidRPr="009F57D8">
              <w:rPr>
                <w:vertAlign w:val="superscript"/>
                <w:lang w:val="en-AU"/>
              </w:rPr>
              <w:t>a</w:t>
            </w:r>
            <w:r w:rsidRPr="009F57D8">
              <w:rPr>
                <w:lang w:val="en-AU"/>
              </w:rPr>
              <w:t xml:space="preserve"> </w:t>
            </w:r>
            <w:r w:rsidRPr="009F57D8">
              <w:rPr>
                <w:lang w:val="en-AU"/>
              </w:rPr>
              <w:br/>
              <w:t>years</w:t>
            </w:r>
          </w:p>
        </w:tc>
      </w:tr>
      <w:tr w:rsidR="00F650F4" w:rsidRPr="009F57D8" w14:paraId="435C7406" w14:textId="77777777" w:rsidTr="00D80101">
        <w:trPr>
          <w:cantSplit/>
          <w:tblHeader/>
        </w:trPr>
        <w:tc>
          <w:tcPr>
            <w:tcW w:w="1412" w:type="pct"/>
            <w:vMerge/>
            <w:vAlign w:val="center"/>
            <w:hideMark/>
          </w:tcPr>
          <w:p w14:paraId="436FDFD9" w14:textId="77777777" w:rsidR="00F650F4" w:rsidRPr="009F57D8" w:rsidRDefault="00F650F4">
            <w:pPr>
              <w:pStyle w:val="TableText0"/>
              <w:keepLines w:val="0"/>
              <w:jc w:val="center"/>
            </w:pPr>
          </w:p>
        </w:tc>
        <w:tc>
          <w:tcPr>
            <w:tcW w:w="598" w:type="pct"/>
            <w:noWrap/>
            <w:vAlign w:val="center"/>
            <w:hideMark/>
          </w:tcPr>
          <w:p w14:paraId="35EB7228" w14:textId="77777777" w:rsidR="00F650F4" w:rsidRPr="009F57D8" w:rsidRDefault="00F650F4">
            <w:pPr>
              <w:pStyle w:val="In-tableHeading"/>
              <w:keepNext w:val="0"/>
              <w:keepLines w:val="0"/>
              <w:widowControl w:val="0"/>
              <w:jc w:val="center"/>
              <w:rPr>
                <w:lang w:val="en-AU"/>
              </w:rPr>
            </w:pPr>
            <w:r w:rsidRPr="009F57D8">
              <w:rPr>
                <w:lang w:val="en-AU"/>
              </w:rPr>
              <w:t>n</w:t>
            </w:r>
          </w:p>
        </w:tc>
        <w:tc>
          <w:tcPr>
            <w:tcW w:w="598" w:type="pct"/>
            <w:noWrap/>
            <w:vAlign w:val="center"/>
            <w:hideMark/>
          </w:tcPr>
          <w:p w14:paraId="248738B5" w14:textId="77777777" w:rsidR="00F650F4" w:rsidRPr="009F57D8" w:rsidRDefault="00F650F4">
            <w:pPr>
              <w:pStyle w:val="In-tableHeading"/>
              <w:keepNext w:val="0"/>
              <w:keepLines w:val="0"/>
              <w:widowControl w:val="0"/>
              <w:jc w:val="center"/>
              <w:rPr>
                <w:lang w:val="en-AU"/>
              </w:rPr>
            </w:pPr>
            <w:r w:rsidRPr="009F57D8">
              <w:rPr>
                <w:lang w:val="en-AU"/>
              </w:rPr>
              <w:t>%</w:t>
            </w:r>
          </w:p>
        </w:tc>
        <w:tc>
          <w:tcPr>
            <w:tcW w:w="598" w:type="pct"/>
            <w:vAlign w:val="center"/>
          </w:tcPr>
          <w:p w14:paraId="729738DD" w14:textId="77777777" w:rsidR="00F650F4" w:rsidRPr="009F57D8" w:rsidRDefault="00F650F4">
            <w:pPr>
              <w:pStyle w:val="In-tableHeading"/>
              <w:keepNext w:val="0"/>
              <w:keepLines w:val="0"/>
              <w:widowControl w:val="0"/>
              <w:jc w:val="center"/>
              <w:rPr>
                <w:lang w:val="en-AU"/>
              </w:rPr>
            </w:pPr>
            <w:r w:rsidRPr="009F57D8">
              <w:rPr>
                <w:lang w:val="en-AU"/>
              </w:rPr>
              <w:t>n</w:t>
            </w:r>
          </w:p>
        </w:tc>
        <w:tc>
          <w:tcPr>
            <w:tcW w:w="599" w:type="pct"/>
            <w:vAlign w:val="center"/>
          </w:tcPr>
          <w:p w14:paraId="2E6D7092" w14:textId="77777777" w:rsidR="00F650F4" w:rsidRPr="009F57D8" w:rsidRDefault="00F650F4">
            <w:pPr>
              <w:pStyle w:val="In-tableHeading"/>
              <w:keepNext w:val="0"/>
              <w:keepLines w:val="0"/>
              <w:widowControl w:val="0"/>
              <w:jc w:val="center"/>
              <w:rPr>
                <w:lang w:val="en-AU"/>
              </w:rPr>
            </w:pPr>
            <w:r w:rsidRPr="009F57D8">
              <w:rPr>
                <w:lang w:val="en-AU"/>
              </w:rPr>
              <w:t>%</w:t>
            </w:r>
          </w:p>
        </w:tc>
        <w:tc>
          <w:tcPr>
            <w:tcW w:w="598" w:type="pct"/>
            <w:vAlign w:val="center"/>
          </w:tcPr>
          <w:p w14:paraId="3784554D" w14:textId="77777777" w:rsidR="00F650F4" w:rsidRPr="009F57D8" w:rsidRDefault="00F650F4">
            <w:pPr>
              <w:pStyle w:val="In-tableHeading"/>
              <w:keepNext w:val="0"/>
              <w:keepLines w:val="0"/>
              <w:widowControl w:val="0"/>
              <w:jc w:val="center"/>
              <w:rPr>
                <w:lang w:val="en-AU"/>
              </w:rPr>
            </w:pPr>
            <w:r w:rsidRPr="009F57D8">
              <w:rPr>
                <w:lang w:val="en-AU"/>
              </w:rPr>
              <w:t>n</w:t>
            </w:r>
          </w:p>
        </w:tc>
        <w:tc>
          <w:tcPr>
            <w:tcW w:w="597" w:type="pct"/>
            <w:vAlign w:val="center"/>
          </w:tcPr>
          <w:p w14:paraId="6AC930A7" w14:textId="77777777" w:rsidR="00F650F4" w:rsidRPr="009F57D8" w:rsidRDefault="00F650F4">
            <w:pPr>
              <w:pStyle w:val="In-tableHeading"/>
              <w:keepNext w:val="0"/>
              <w:keepLines w:val="0"/>
              <w:widowControl w:val="0"/>
              <w:jc w:val="center"/>
              <w:rPr>
                <w:lang w:val="en-AU"/>
              </w:rPr>
            </w:pPr>
            <w:r w:rsidRPr="009F57D8">
              <w:rPr>
                <w:lang w:val="en-AU"/>
              </w:rPr>
              <w:t>%</w:t>
            </w:r>
          </w:p>
        </w:tc>
      </w:tr>
      <w:tr w:rsidR="00F650F4" w:rsidRPr="009F57D8" w14:paraId="2A20ACFE" w14:textId="77777777" w:rsidTr="00D80101">
        <w:trPr>
          <w:cantSplit/>
          <w:tblHeader/>
        </w:trPr>
        <w:tc>
          <w:tcPr>
            <w:tcW w:w="5000" w:type="pct"/>
            <w:gridSpan w:val="7"/>
            <w:noWrap/>
          </w:tcPr>
          <w:p w14:paraId="4CDBDFAC" w14:textId="1FE64307" w:rsidR="00F650F4" w:rsidRPr="009F57D8" w:rsidRDefault="0063124B">
            <w:pPr>
              <w:pStyle w:val="TableText0"/>
              <w:keepLines w:val="0"/>
              <w:rPr>
                <w:b/>
                <w:bCs w:val="0"/>
              </w:rPr>
            </w:pPr>
            <w:r w:rsidRPr="009F57D8">
              <w:rPr>
                <w:b/>
                <w:bCs w:val="0"/>
              </w:rPr>
              <w:t>21vPCV</w:t>
            </w:r>
            <w:r w:rsidR="00F650F4" w:rsidRPr="009F57D8">
              <w:rPr>
                <w:b/>
                <w:bCs w:val="0"/>
              </w:rPr>
              <w:t xml:space="preserve"> vs. 13vPCV ± 23vPPV</w:t>
            </w:r>
          </w:p>
        </w:tc>
      </w:tr>
      <w:tr w:rsidR="00F650F4" w:rsidRPr="009F57D8" w14:paraId="120A4F8C" w14:textId="77777777" w:rsidTr="00D80101">
        <w:trPr>
          <w:cantSplit/>
          <w:tblHeader/>
        </w:trPr>
        <w:tc>
          <w:tcPr>
            <w:tcW w:w="1412" w:type="pct"/>
            <w:noWrap/>
          </w:tcPr>
          <w:p w14:paraId="42994824" w14:textId="043DB06E" w:rsidR="00F650F4" w:rsidRPr="009F57D8" w:rsidRDefault="00F24018">
            <w:pPr>
              <w:pStyle w:val="TableText0"/>
              <w:keepLines w:val="0"/>
              <w:rPr>
                <w:b/>
                <w:bCs w:val="0"/>
              </w:rPr>
            </w:pPr>
            <w:r w:rsidRPr="009F57D8">
              <w:t>21vPCV</w:t>
            </w:r>
            <w:r w:rsidR="00F650F4" w:rsidRPr="009F57D8">
              <w:t xml:space="preserve"> only</w:t>
            </w:r>
            <w:r w:rsidR="00F650F4" w:rsidRPr="009F57D8">
              <w:rPr>
                <w:vertAlign w:val="superscript"/>
              </w:rPr>
              <w:t>b</w:t>
            </w:r>
            <w:r w:rsidR="00F650F4" w:rsidRPr="009F57D8">
              <w:t xml:space="preserve"> </w:t>
            </w:r>
          </w:p>
        </w:tc>
        <w:tc>
          <w:tcPr>
            <w:tcW w:w="598" w:type="pct"/>
            <w:noWrap/>
            <w:vAlign w:val="center"/>
          </w:tcPr>
          <w:p w14:paraId="0D716BF1" w14:textId="77777777" w:rsidR="00F650F4" w:rsidRPr="009F57D8" w:rsidRDefault="00F650F4">
            <w:pPr>
              <w:pStyle w:val="TableText0"/>
              <w:keepLines w:val="0"/>
              <w:jc w:val="center"/>
              <w:rPr>
                <w:b/>
                <w:bCs w:val="0"/>
              </w:rPr>
            </w:pPr>
            <w:r w:rsidRPr="009F57D8">
              <w:t>274</w:t>
            </w:r>
          </w:p>
        </w:tc>
        <w:tc>
          <w:tcPr>
            <w:tcW w:w="598" w:type="pct"/>
            <w:noWrap/>
            <w:vAlign w:val="center"/>
          </w:tcPr>
          <w:p w14:paraId="5346AE61" w14:textId="77777777" w:rsidR="00F650F4" w:rsidRPr="009F57D8" w:rsidRDefault="00F650F4">
            <w:pPr>
              <w:pStyle w:val="TableText0"/>
              <w:keepLines w:val="0"/>
              <w:jc w:val="center"/>
              <w:rPr>
                <w:b/>
                <w:bCs w:val="0"/>
              </w:rPr>
            </w:pPr>
            <w:r w:rsidRPr="009F57D8">
              <w:t>53.0%</w:t>
            </w:r>
          </w:p>
        </w:tc>
        <w:tc>
          <w:tcPr>
            <w:tcW w:w="598" w:type="pct"/>
            <w:vAlign w:val="center"/>
          </w:tcPr>
          <w:p w14:paraId="599C910F" w14:textId="77777777" w:rsidR="00F650F4" w:rsidRPr="009F57D8" w:rsidRDefault="00F650F4">
            <w:pPr>
              <w:pStyle w:val="TableText0"/>
              <w:keepLines w:val="0"/>
              <w:jc w:val="center"/>
              <w:rPr>
                <w:b/>
                <w:bCs w:val="0"/>
              </w:rPr>
            </w:pPr>
            <w:r w:rsidRPr="009F57D8">
              <w:t>14</w:t>
            </w:r>
          </w:p>
        </w:tc>
        <w:tc>
          <w:tcPr>
            <w:tcW w:w="599" w:type="pct"/>
            <w:vAlign w:val="center"/>
          </w:tcPr>
          <w:p w14:paraId="6675D3C6" w14:textId="77777777" w:rsidR="00F650F4" w:rsidRPr="009F57D8" w:rsidRDefault="00F650F4">
            <w:pPr>
              <w:pStyle w:val="TableText0"/>
              <w:keepLines w:val="0"/>
              <w:jc w:val="center"/>
              <w:rPr>
                <w:b/>
                <w:bCs w:val="0"/>
              </w:rPr>
            </w:pPr>
            <w:r w:rsidRPr="009F57D8">
              <w:t>16.9%</w:t>
            </w:r>
          </w:p>
        </w:tc>
        <w:tc>
          <w:tcPr>
            <w:tcW w:w="598" w:type="pct"/>
            <w:vAlign w:val="center"/>
          </w:tcPr>
          <w:p w14:paraId="514A3F46" w14:textId="77777777" w:rsidR="00F650F4" w:rsidRPr="009F57D8" w:rsidRDefault="00F650F4">
            <w:pPr>
              <w:pStyle w:val="TableText0"/>
              <w:keepLines w:val="0"/>
              <w:jc w:val="center"/>
              <w:rPr>
                <w:b/>
                <w:bCs w:val="0"/>
              </w:rPr>
            </w:pPr>
            <w:r w:rsidRPr="009F57D8">
              <w:t>132</w:t>
            </w:r>
          </w:p>
        </w:tc>
        <w:tc>
          <w:tcPr>
            <w:tcW w:w="597" w:type="pct"/>
            <w:vAlign w:val="center"/>
          </w:tcPr>
          <w:p w14:paraId="286A534C" w14:textId="77777777" w:rsidR="00F650F4" w:rsidRPr="009F57D8" w:rsidRDefault="00F650F4">
            <w:pPr>
              <w:pStyle w:val="TableText0"/>
              <w:keepLines w:val="0"/>
              <w:jc w:val="center"/>
              <w:rPr>
                <w:b/>
                <w:bCs w:val="0"/>
              </w:rPr>
            </w:pPr>
            <w:r w:rsidRPr="009F57D8">
              <w:t>19.5%</w:t>
            </w:r>
          </w:p>
        </w:tc>
      </w:tr>
      <w:tr w:rsidR="00F650F4" w:rsidRPr="009F57D8" w14:paraId="57118727" w14:textId="77777777" w:rsidTr="00D80101">
        <w:trPr>
          <w:cantSplit/>
          <w:tblHeader/>
        </w:trPr>
        <w:tc>
          <w:tcPr>
            <w:tcW w:w="1412" w:type="pct"/>
            <w:noWrap/>
          </w:tcPr>
          <w:p w14:paraId="309A6588" w14:textId="77777777" w:rsidR="00F650F4" w:rsidRPr="009F57D8" w:rsidRDefault="00F650F4">
            <w:pPr>
              <w:pStyle w:val="TableText0"/>
              <w:keepLines w:val="0"/>
              <w:rPr>
                <w:b/>
                <w:bCs w:val="0"/>
              </w:rPr>
            </w:pPr>
            <w:r w:rsidRPr="009F57D8">
              <w:t xml:space="preserve">In both </w:t>
            </w:r>
          </w:p>
        </w:tc>
        <w:tc>
          <w:tcPr>
            <w:tcW w:w="598" w:type="pct"/>
            <w:noWrap/>
            <w:vAlign w:val="center"/>
          </w:tcPr>
          <w:p w14:paraId="2E35EAAC" w14:textId="77777777" w:rsidR="00F650F4" w:rsidRPr="009F57D8" w:rsidRDefault="00F650F4">
            <w:pPr>
              <w:pStyle w:val="TableText0"/>
              <w:keepLines w:val="0"/>
              <w:jc w:val="center"/>
              <w:rPr>
                <w:b/>
                <w:bCs w:val="0"/>
              </w:rPr>
            </w:pPr>
            <w:r w:rsidRPr="009F57D8">
              <w:t>113</w:t>
            </w:r>
          </w:p>
        </w:tc>
        <w:tc>
          <w:tcPr>
            <w:tcW w:w="598" w:type="pct"/>
            <w:noWrap/>
            <w:vAlign w:val="center"/>
          </w:tcPr>
          <w:p w14:paraId="6578A146" w14:textId="77777777" w:rsidR="00F650F4" w:rsidRPr="009F57D8" w:rsidRDefault="00F650F4">
            <w:pPr>
              <w:pStyle w:val="TableText0"/>
              <w:keepLines w:val="0"/>
              <w:jc w:val="center"/>
              <w:rPr>
                <w:b/>
                <w:bCs w:val="0"/>
              </w:rPr>
            </w:pPr>
            <w:r w:rsidRPr="009F57D8">
              <w:t>21.9%</w:t>
            </w:r>
          </w:p>
        </w:tc>
        <w:tc>
          <w:tcPr>
            <w:tcW w:w="598" w:type="pct"/>
            <w:vAlign w:val="center"/>
          </w:tcPr>
          <w:p w14:paraId="5FCFDDA2" w14:textId="77777777" w:rsidR="00F650F4" w:rsidRPr="009F57D8" w:rsidRDefault="00F650F4">
            <w:pPr>
              <w:pStyle w:val="TableText0"/>
              <w:keepLines w:val="0"/>
              <w:jc w:val="center"/>
              <w:rPr>
                <w:b/>
                <w:bCs w:val="0"/>
              </w:rPr>
            </w:pPr>
            <w:r w:rsidRPr="009F57D8">
              <w:t>47</w:t>
            </w:r>
          </w:p>
        </w:tc>
        <w:tc>
          <w:tcPr>
            <w:tcW w:w="599" w:type="pct"/>
            <w:vAlign w:val="center"/>
          </w:tcPr>
          <w:p w14:paraId="44767C93" w14:textId="77777777" w:rsidR="00F650F4" w:rsidRPr="009F57D8" w:rsidRDefault="00F650F4">
            <w:pPr>
              <w:pStyle w:val="TableText0"/>
              <w:keepLines w:val="0"/>
              <w:jc w:val="center"/>
              <w:rPr>
                <w:b/>
                <w:bCs w:val="0"/>
              </w:rPr>
            </w:pPr>
            <w:r w:rsidRPr="009F57D8">
              <w:t>57.1%</w:t>
            </w:r>
          </w:p>
        </w:tc>
        <w:tc>
          <w:tcPr>
            <w:tcW w:w="598" w:type="pct"/>
            <w:vAlign w:val="center"/>
          </w:tcPr>
          <w:p w14:paraId="1095DC63" w14:textId="77777777" w:rsidR="00F650F4" w:rsidRPr="009F57D8" w:rsidRDefault="00F650F4">
            <w:pPr>
              <w:pStyle w:val="TableText0"/>
              <w:keepLines w:val="0"/>
              <w:jc w:val="center"/>
              <w:rPr>
                <w:b/>
                <w:bCs w:val="0"/>
              </w:rPr>
            </w:pPr>
            <w:r w:rsidRPr="009F57D8">
              <w:t>399</w:t>
            </w:r>
          </w:p>
        </w:tc>
        <w:tc>
          <w:tcPr>
            <w:tcW w:w="597" w:type="pct"/>
            <w:vAlign w:val="center"/>
          </w:tcPr>
          <w:p w14:paraId="6034724B" w14:textId="77777777" w:rsidR="00F650F4" w:rsidRPr="009F57D8" w:rsidRDefault="00F650F4">
            <w:pPr>
              <w:pStyle w:val="TableText0"/>
              <w:keepLines w:val="0"/>
              <w:jc w:val="center"/>
              <w:rPr>
                <w:b/>
                <w:bCs w:val="0"/>
              </w:rPr>
            </w:pPr>
            <w:r w:rsidRPr="009F57D8">
              <w:t>58.9%</w:t>
            </w:r>
          </w:p>
        </w:tc>
      </w:tr>
      <w:tr w:rsidR="00F650F4" w:rsidRPr="009F57D8" w14:paraId="350238F6" w14:textId="77777777" w:rsidTr="00D80101">
        <w:trPr>
          <w:cantSplit/>
          <w:tblHeader/>
        </w:trPr>
        <w:tc>
          <w:tcPr>
            <w:tcW w:w="1412" w:type="pct"/>
            <w:noWrap/>
          </w:tcPr>
          <w:p w14:paraId="567AD030" w14:textId="77777777" w:rsidR="00F650F4" w:rsidRPr="009F57D8" w:rsidRDefault="00F650F4">
            <w:pPr>
              <w:pStyle w:val="TableText0"/>
              <w:keepLines w:val="0"/>
              <w:rPr>
                <w:b/>
                <w:bCs w:val="0"/>
              </w:rPr>
            </w:pPr>
            <w:r w:rsidRPr="009F57D8">
              <w:t>In 13vPCV ± 23vPPV only</w:t>
            </w:r>
          </w:p>
        </w:tc>
        <w:tc>
          <w:tcPr>
            <w:tcW w:w="598" w:type="pct"/>
            <w:noWrap/>
            <w:vAlign w:val="center"/>
          </w:tcPr>
          <w:p w14:paraId="4091A64B" w14:textId="77777777" w:rsidR="00F650F4" w:rsidRPr="009F57D8" w:rsidRDefault="00F650F4">
            <w:pPr>
              <w:pStyle w:val="TableText0"/>
              <w:keepLines w:val="0"/>
              <w:jc w:val="center"/>
              <w:rPr>
                <w:b/>
                <w:bCs w:val="0"/>
              </w:rPr>
            </w:pPr>
            <w:r w:rsidRPr="009F57D8">
              <w:t>49</w:t>
            </w:r>
          </w:p>
        </w:tc>
        <w:tc>
          <w:tcPr>
            <w:tcW w:w="598" w:type="pct"/>
            <w:noWrap/>
            <w:vAlign w:val="center"/>
          </w:tcPr>
          <w:p w14:paraId="2EA55175" w14:textId="77777777" w:rsidR="00F650F4" w:rsidRPr="009F57D8" w:rsidRDefault="00F650F4">
            <w:pPr>
              <w:pStyle w:val="TableText0"/>
              <w:keepLines w:val="0"/>
              <w:jc w:val="center"/>
              <w:rPr>
                <w:b/>
                <w:bCs w:val="0"/>
              </w:rPr>
            </w:pPr>
            <w:r w:rsidRPr="009F57D8">
              <w:t>9.5%</w:t>
            </w:r>
          </w:p>
        </w:tc>
        <w:tc>
          <w:tcPr>
            <w:tcW w:w="598" w:type="pct"/>
            <w:vAlign w:val="center"/>
          </w:tcPr>
          <w:p w14:paraId="1732B08D" w14:textId="77777777" w:rsidR="00F650F4" w:rsidRPr="009F57D8" w:rsidRDefault="00F650F4">
            <w:pPr>
              <w:pStyle w:val="TableText0"/>
              <w:keepLines w:val="0"/>
              <w:jc w:val="center"/>
              <w:rPr>
                <w:b/>
                <w:bCs w:val="0"/>
              </w:rPr>
            </w:pPr>
            <w:r w:rsidRPr="009F57D8">
              <w:t>7</w:t>
            </w:r>
          </w:p>
        </w:tc>
        <w:tc>
          <w:tcPr>
            <w:tcW w:w="599" w:type="pct"/>
            <w:vAlign w:val="center"/>
          </w:tcPr>
          <w:p w14:paraId="0EABC9CC" w14:textId="77777777" w:rsidR="00F650F4" w:rsidRPr="009F57D8" w:rsidRDefault="00F650F4">
            <w:pPr>
              <w:pStyle w:val="TableText0"/>
              <w:keepLines w:val="0"/>
              <w:jc w:val="center"/>
              <w:rPr>
                <w:b/>
                <w:bCs w:val="0"/>
              </w:rPr>
            </w:pPr>
            <w:r w:rsidRPr="009F57D8">
              <w:t>8.0%</w:t>
            </w:r>
          </w:p>
        </w:tc>
        <w:tc>
          <w:tcPr>
            <w:tcW w:w="598" w:type="pct"/>
            <w:vAlign w:val="center"/>
          </w:tcPr>
          <w:p w14:paraId="6F694FE7" w14:textId="77777777" w:rsidR="00F650F4" w:rsidRPr="009F57D8" w:rsidRDefault="00F650F4">
            <w:pPr>
              <w:pStyle w:val="TableText0"/>
              <w:keepLines w:val="0"/>
              <w:jc w:val="center"/>
              <w:rPr>
                <w:b/>
                <w:bCs w:val="0"/>
              </w:rPr>
            </w:pPr>
            <w:r w:rsidRPr="009F57D8">
              <w:t>91</w:t>
            </w:r>
          </w:p>
        </w:tc>
        <w:tc>
          <w:tcPr>
            <w:tcW w:w="597" w:type="pct"/>
            <w:vAlign w:val="center"/>
          </w:tcPr>
          <w:p w14:paraId="362B44FC" w14:textId="77777777" w:rsidR="00F650F4" w:rsidRPr="009F57D8" w:rsidRDefault="00F650F4">
            <w:pPr>
              <w:pStyle w:val="TableText0"/>
              <w:keepLines w:val="0"/>
              <w:jc w:val="center"/>
              <w:rPr>
                <w:b/>
                <w:bCs w:val="0"/>
              </w:rPr>
            </w:pPr>
            <w:r w:rsidRPr="009F57D8">
              <w:t>13.5%</w:t>
            </w:r>
          </w:p>
        </w:tc>
      </w:tr>
      <w:tr w:rsidR="00F650F4" w:rsidRPr="009F57D8" w14:paraId="7B49D997" w14:textId="77777777" w:rsidTr="00D80101">
        <w:trPr>
          <w:cantSplit/>
          <w:tblHeader/>
        </w:trPr>
        <w:tc>
          <w:tcPr>
            <w:tcW w:w="1412" w:type="pct"/>
            <w:noWrap/>
          </w:tcPr>
          <w:p w14:paraId="314FFECC" w14:textId="77777777" w:rsidR="00F650F4" w:rsidRPr="009F57D8" w:rsidRDefault="00F650F4">
            <w:pPr>
              <w:pStyle w:val="TableText0"/>
              <w:keepLines w:val="0"/>
              <w:rPr>
                <w:b/>
                <w:bCs w:val="0"/>
              </w:rPr>
            </w:pPr>
            <w:r w:rsidRPr="009F57D8">
              <w:t>In neither (NVTs)</w:t>
            </w:r>
          </w:p>
        </w:tc>
        <w:tc>
          <w:tcPr>
            <w:tcW w:w="598" w:type="pct"/>
            <w:noWrap/>
            <w:vAlign w:val="center"/>
          </w:tcPr>
          <w:p w14:paraId="64EEB23F" w14:textId="77777777" w:rsidR="00F650F4" w:rsidRPr="009F57D8" w:rsidRDefault="00F650F4">
            <w:pPr>
              <w:pStyle w:val="TableText0"/>
              <w:keepLines w:val="0"/>
              <w:jc w:val="center"/>
              <w:rPr>
                <w:b/>
                <w:bCs w:val="0"/>
              </w:rPr>
            </w:pPr>
            <w:r w:rsidRPr="009F57D8">
              <w:t>81</w:t>
            </w:r>
          </w:p>
        </w:tc>
        <w:tc>
          <w:tcPr>
            <w:tcW w:w="598" w:type="pct"/>
            <w:noWrap/>
            <w:vAlign w:val="center"/>
          </w:tcPr>
          <w:p w14:paraId="3439086F" w14:textId="77777777" w:rsidR="00F650F4" w:rsidRPr="009F57D8" w:rsidRDefault="00F650F4">
            <w:pPr>
              <w:pStyle w:val="TableText0"/>
              <w:keepLines w:val="0"/>
              <w:jc w:val="center"/>
              <w:rPr>
                <w:b/>
                <w:bCs w:val="0"/>
              </w:rPr>
            </w:pPr>
            <w:r w:rsidRPr="009F57D8">
              <w:t>15.6%</w:t>
            </w:r>
          </w:p>
        </w:tc>
        <w:tc>
          <w:tcPr>
            <w:tcW w:w="598" w:type="pct"/>
            <w:vAlign w:val="center"/>
          </w:tcPr>
          <w:p w14:paraId="0B05533C" w14:textId="77777777" w:rsidR="00F650F4" w:rsidRPr="009F57D8" w:rsidRDefault="00F650F4">
            <w:pPr>
              <w:pStyle w:val="TableText0"/>
              <w:keepLines w:val="0"/>
              <w:jc w:val="center"/>
              <w:rPr>
                <w:b/>
                <w:bCs w:val="0"/>
              </w:rPr>
            </w:pPr>
            <w:r w:rsidRPr="009F57D8">
              <w:t>15</w:t>
            </w:r>
          </w:p>
        </w:tc>
        <w:tc>
          <w:tcPr>
            <w:tcW w:w="599" w:type="pct"/>
            <w:vAlign w:val="center"/>
          </w:tcPr>
          <w:p w14:paraId="6656CE28" w14:textId="77777777" w:rsidR="00F650F4" w:rsidRPr="009F57D8" w:rsidRDefault="00F650F4">
            <w:pPr>
              <w:pStyle w:val="TableText0"/>
              <w:keepLines w:val="0"/>
              <w:jc w:val="center"/>
              <w:rPr>
                <w:b/>
                <w:bCs w:val="0"/>
              </w:rPr>
            </w:pPr>
            <w:r w:rsidRPr="009F57D8">
              <w:t>18.1%</w:t>
            </w:r>
          </w:p>
        </w:tc>
        <w:tc>
          <w:tcPr>
            <w:tcW w:w="598" w:type="pct"/>
            <w:vAlign w:val="center"/>
          </w:tcPr>
          <w:p w14:paraId="2B2FB890" w14:textId="77777777" w:rsidR="00F650F4" w:rsidRPr="009F57D8" w:rsidRDefault="00F650F4">
            <w:pPr>
              <w:pStyle w:val="TableText0"/>
              <w:keepLines w:val="0"/>
              <w:jc w:val="center"/>
              <w:rPr>
                <w:b/>
                <w:bCs w:val="0"/>
              </w:rPr>
            </w:pPr>
            <w:r w:rsidRPr="009F57D8">
              <w:t>56</w:t>
            </w:r>
          </w:p>
        </w:tc>
        <w:tc>
          <w:tcPr>
            <w:tcW w:w="597" w:type="pct"/>
            <w:vAlign w:val="center"/>
          </w:tcPr>
          <w:p w14:paraId="60C83298" w14:textId="77777777" w:rsidR="00F650F4" w:rsidRPr="009F57D8" w:rsidRDefault="00F650F4">
            <w:pPr>
              <w:pStyle w:val="TableText0"/>
              <w:keepLines w:val="0"/>
              <w:jc w:val="center"/>
              <w:rPr>
                <w:b/>
                <w:bCs w:val="0"/>
              </w:rPr>
            </w:pPr>
            <w:r w:rsidRPr="009F57D8">
              <w:t>8.2%</w:t>
            </w:r>
          </w:p>
        </w:tc>
      </w:tr>
      <w:tr w:rsidR="00F650F4" w:rsidRPr="009F57D8" w14:paraId="2AF34494" w14:textId="77777777" w:rsidTr="00D80101">
        <w:trPr>
          <w:cantSplit/>
          <w:tblHeader/>
        </w:trPr>
        <w:tc>
          <w:tcPr>
            <w:tcW w:w="1412" w:type="pct"/>
            <w:noWrap/>
          </w:tcPr>
          <w:p w14:paraId="5B2D7708" w14:textId="77777777" w:rsidR="00F650F4" w:rsidRPr="009F57D8" w:rsidRDefault="00F650F4">
            <w:pPr>
              <w:pStyle w:val="TableText0"/>
              <w:keepLines w:val="0"/>
              <w:rPr>
                <w:b/>
                <w:bCs w:val="0"/>
              </w:rPr>
            </w:pPr>
            <w:r w:rsidRPr="009F57D8">
              <w:t>Total</w:t>
            </w:r>
          </w:p>
        </w:tc>
        <w:tc>
          <w:tcPr>
            <w:tcW w:w="598" w:type="pct"/>
            <w:noWrap/>
            <w:vAlign w:val="center"/>
          </w:tcPr>
          <w:p w14:paraId="7A3C4D70" w14:textId="77777777" w:rsidR="00F650F4" w:rsidRPr="009F57D8" w:rsidRDefault="00F650F4">
            <w:pPr>
              <w:pStyle w:val="TableText0"/>
              <w:keepLines w:val="0"/>
              <w:jc w:val="center"/>
              <w:rPr>
                <w:b/>
                <w:bCs w:val="0"/>
              </w:rPr>
            </w:pPr>
            <w:r w:rsidRPr="009F57D8">
              <w:t>517</w:t>
            </w:r>
          </w:p>
        </w:tc>
        <w:tc>
          <w:tcPr>
            <w:tcW w:w="598" w:type="pct"/>
            <w:noWrap/>
            <w:vAlign w:val="center"/>
          </w:tcPr>
          <w:p w14:paraId="7673B23A" w14:textId="77777777" w:rsidR="00F650F4" w:rsidRPr="009F57D8" w:rsidRDefault="00F650F4">
            <w:pPr>
              <w:pStyle w:val="TableText0"/>
              <w:keepLines w:val="0"/>
              <w:jc w:val="center"/>
              <w:rPr>
                <w:b/>
                <w:bCs w:val="0"/>
              </w:rPr>
            </w:pPr>
            <w:r w:rsidRPr="009F57D8">
              <w:t>100%</w:t>
            </w:r>
          </w:p>
        </w:tc>
        <w:tc>
          <w:tcPr>
            <w:tcW w:w="598" w:type="pct"/>
            <w:vAlign w:val="center"/>
          </w:tcPr>
          <w:p w14:paraId="4F8954AE" w14:textId="77777777" w:rsidR="00F650F4" w:rsidRPr="009F57D8" w:rsidRDefault="00F650F4">
            <w:pPr>
              <w:pStyle w:val="TableText0"/>
              <w:keepLines w:val="0"/>
              <w:jc w:val="center"/>
              <w:rPr>
                <w:b/>
                <w:bCs w:val="0"/>
              </w:rPr>
            </w:pPr>
            <w:r w:rsidRPr="009F57D8">
              <w:t>82</w:t>
            </w:r>
          </w:p>
        </w:tc>
        <w:tc>
          <w:tcPr>
            <w:tcW w:w="599" w:type="pct"/>
            <w:vAlign w:val="center"/>
          </w:tcPr>
          <w:p w14:paraId="6282698E" w14:textId="77777777" w:rsidR="00F650F4" w:rsidRPr="009F57D8" w:rsidRDefault="00F650F4">
            <w:pPr>
              <w:pStyle w:val="TableText0"/>
              <w:keepLines w:val="0"/>
              <w:jc w:val="center"/>
              <w:rPr>
                <w:b/>
                <w:bCs w:val="0"/>
              </w:rPr>
            </w:pPr>
            <w:r w:rsidRPr="009F57D8">
              <w:t>100.0%</w:t>
            </w:r>
          </w:p>
        </w:tc>
        <w:tc>
          <w:tcPr>
            <w:tcW w:w="598" w:type="pct"/>
            <w:vAlign w:val="center"/>
          </w:tcPr>
          <w:p w14:paraId="40185E54" w14:textId="77777777" w:rsidR="00F650F4" w:rsidRPr="009F57D8" w:rsidRDefault="00F650F4">
            <w:pPr>
              <w:pStyle w:val="TableText0"/>
              <w:keepLines w:val="0"/>
              <w:jc w:val="center"/>
              <w:rPr>
                <w:b/>
                <w:bCs w:val="0"/>
              </w:rPr>
            </w:pPr>
            <w:r w:rsidRPr="009F57D8">
              <w:t>678</w:t>
            </w:r>
          </w:p>
        </w:tc>
        <w:tc>
          <w:tcPr>
            <w:tcW w:w="597" w:type="pct"/>
            <w:vAlign w:val="center"/>
          </w:tcPr>
          <w:p w14:paraId="01E78C05" w14:textId="77777777" w:rsidR="00F650F4" w:rsidRPr="009F57D8" w:rsidRDefault="00F650F4">
            <w:pPr>
              <w:pStyle w:val="TableText0"/>
              <w:keepLines w:val="0"/>
              <w:jc w:val="center"/>
              <w:rPr>
                <w:b/>
                <w:bCs w:val="0"/>
              </w:rPr>
            </w:pPr>
            <w:r w:rsidRPr="009F57D8">
              <w:t>100.0%</w:t>
            </w:r>
          </w:p>
        </w:tc>
      </w:tr>
      <w:tr w:rsidR="00F650F4" w:rsidRPr="009F57D8" w14:paraId="37081E66" w14:textId="77777777" w:rsidTr="00D80101">
        <w:trPr>
          <w:cantSplit/>
          <w:tblHeader/>
        </w:trPr>
        <w:tc>
          <w:tcPr>
            <w:tcW w:w="5000" w:type="pct"/>
            <w:gridSpan w:val="7"/>
            <w:noWrap/>
            <w:vAlign w:val="center"/>
          </w:tcPr>
          <w:p w14:paraId="519AB46A" w14:textId="65971699" w:rsidR="00F650F4" w:rsidRPr="009F57D8" w:rsidRDefault="0063124B">
            <w:pPr>
              <w:pStyle w:val="TableText0"/>
              <w:keepLines w:val="0"/>
              <w:rPr>
                <w:b/>
                <w:bCs w:val="0"/>
              </w:rPr>
            </w:pPr>
            <w:r w:rsidRPr="009F57D8">
              <w:rPr>
                <w:b/>
                <w:bCs w:val="0"/>
              </w:rPr>
              <w:t>21</w:t>
            </w:r>
            <w:r w:rsidR="006652B2" w:rsidRPr="009F57D8">
              <w:rPr>
                <w:b/>
                <w:bCs w:val="0"/>
              </w:rPr>
              <w:t>vPCV</w:t>
            </w:r>
            <w:r w:rsidR="006652B2" w:rsidRPr="009F57D8" w:rsidDel="0063124B">
              <w:rPr>
                <w:b/>
                <w:bCs w:val="0"/>
              </w:rPr>
              <w:t xml:space="preserve"> </w:t>
            </w:r>
            <w:r w:rsidR="006652B2" w:rsidRPr="009F57D8">
              <w:rPr>
                <w:b/>
                <w:bCs w:val="0"/>
              </w:rPr>
              <w:t>vs.</w:t>
            </w:r>
            <w:r w:rsidR="00F650F4" w:rsidRPr="009F57D8">
              <w:rPr>
                <w:b/>
                <w:bCs w:val="0"/>
              </w:rPr>
              <w:t xml:space="preserve"> 20vPCV</w:t>
            </w:r>
          </w:p>
        </w:tc>
      </w:tr>
      <w:tr w:rsidR="00F650F4" w:rsidRPr="009F57D8" w14:paraId="71F3F4A7" w14:textId="77777777" w:rsidTr="00D80101">
        <w:trPr>
          <w:cantSplit/>
          <w:tblHeader/>
        </w:trPr>
        <w:tc>
          <w:tcPr>
            <w:tcW w:w="1412" w:type="pct"/>
            <w:noWrap/>
          </w:tcPr>
          <w:p w14:paraId="4D830B5E" w14:textId="773692B2" w:rsidR="00F650F4" w:rsidRPr="009F57D8" w:rsidRDefault="00F650F4">
            <w:pPr>
              <w:pStyle w:val="TableText0"/>
              <w:keepLines w:val="0"/>
              <w:rPr>
                <w:b/>
                <w:bCs w:val="0"/>
              </w:rPr>
            </w:pPr>
            <w:r w:rsidRPr="009F57D8">
              <w:t xml:space="preserve">In </w:t>
            </w:r>
            <w:r w:rsidR="00F24018" w:rsidRPr="009F57D8">
              <w:t>21vPCV</w:t>
            </w:r>
            <w:r w:rsidRPr="009F57D8">
              <w:t xml:space="preserve"> only</w:t>
            </w:r>
            <w:r w:rsidRPr="009F57D8">
              <w:rPr>
                <w:vertAlign w:val="superscript"/>
              </w:rPr>
              <w:t>b</w:t>
            </w:r>
            <w:r w:rsidRPr="009F57D8">
              <w:t xml:space="preserve"> </w:t>
            </w:r>
          </w:p>
        </w:tc>
        <w:tc>
          <w:tcPr>
            <w:tcW w:w="598" w:type="pct"/>
            <w:noWrap/>
            <w:vAlign w:val="center"/>
          </w:tcPr>
          <w:p w14:paraId="3757E699" w14:textId="77777777" w:rsidR="00F650F4" w:rsidRPr="009F57D8" w:rsidRDefault="00F650F4">
            <w:pPr>
              <w:pStyle w:val="TableText0"/>
              <w:keepLines w:val="0"/>
              <w:jc w:val="center"/>
              <w:rPr>
                <w:b/>
                <w:bCs w:val="0"/>
              </w:rPr>
            </w:pPr>
            <w:r w:rsidRPr="009F57D8">
              <w:t>176</w:t>
            </w:r>
          </w:p>
        </w:tc>
        <w:tc>
          <w:tcPr>
            <w:tcW w:w="598" w:type="pct"/>
            <w:noWrap/>
            <w:vAlign w:val="center"/>
          </w:tcPr>
          <w:p w14:paraId="42364011" w14:textId="77777777" w:rsidR="00F650F4" w:rsidRPr="009F57D8" w:rsidRDefault="00F650F4">
            <w:pPr>
              <w:pStyle w:val="TableText0"/>
              <w:keepLines w:val="0"/>
              <w:jc w:val="center"/>
              <w:rPr>
                <w:b/>
                <w:bCs w:val="0"/>
              </w:rPr>
            </w:pPr>
            <w:r w:rsidRPr="009F57D8">
              <w:t>34.0%</w:t>
            </w:r>
          </w:p>
        </w:tc>
        <w:tc>
          <w:tcPr>
            <w:tcW w:w="598" w:type="pct"/>
            <w:vAlign w:val="center"/>
          </w:tcPr>
          <w:p w14:paraId="3644A6C4" w14:textId="77777777" w:rsidR="00F650F4" w:rsidRPr="009F57D8" w:rsidRDefault="00F650F4">
            <w:pPr>
              <w:pStyle w:val="TableText0"/>
              <w:keepLines w:val="0"/>
              <w:jc w:val="center"/>
              <w:rPr>
                <w:b/>
                <w:bCs w:val="0"/>
              </w:rPr>
            </w:pPr>
            <w:r w:rsidRPr="009F57D8">
              <w:t>21</w:t>
            </w:r>
          </w:p>
        </w:tc>
        <w:tc>
          <w:tcPr>
            <w:tcW w:w="599" w:type="pct"/>
            <w:vAlign w:val="center"/>
          </w:tcPr>
          <w:p w14:paraId="02BE77D6" w14:textId="77777777" w:rsidR="00F650F4" w:rsidRPr="009F57D8" w:rsidRDefault="00F650F4">
            <w:pPr>
              <w:pStyle w:val="TableText0"/>
              <w:keepLines w:val="0"/>
              <w:jc w:val="center"/>
              <w:rPr>
                <w:b/>
                <w:bCs w:val="0"/>
              </w:rPr>
            </w:pPr>
            <w:r w:rsidRPr="009F57D8">
              <w:t>25.5%</w:t>
            </w:r>
          </w:p>
        </w:tc>
        <w:tc>
          <w:tcPr>
            <w:tcW w:w="598" w:type="pct"/>
            <w:vAlign w:val="center"/>
          </w:tcPr>
          <w:p w14:paraId="6007FCEB" w14:textId="77777777" w:rsidR="00F650F4" w:rsidRPr="009F57D8" w:rsidRDefault="00F650F4">
            <w:pPr>
              <w:pStyle w:val="TableText0"/>
              <w:keepLines w:val="0"/>
              <w:jc w:val="center"/>
              <w:rPr>
                <w:b/>
                <w:bCs w:val="0"/>
              </w:rPr>
            </w:pPr>
            <w:r w:rsidRPr="009F57D8">
              <w:t>211</w:t>
            </w:r>
          </w:p>
        </w:tc>
        <w:tc>
          <w:tcPr>
            <w:tcW w:w="597" w:type="pct"/>
            <w:vAlign w:val="center"/>
          </w:tcPr>
          <w:p w14:paraId="2D7EBBB6" w14:textId="77777777" w:rsidR="00F650F4" w:rsidRPr="009F57D8" w:rsidRDefault="00F650F4">
            <w:pPr>
              <w:pStyle w:val="TableText0"/>
              <w:keepLines w:val="0"/>
              <w:jc w:val="center"/>
              <w:rPr>
                <w:b/>
                <w:bCs w:val="0"/>
              </w:rPr>
            </w:pPr>
            <w:r w:rsidRPr="009F57D8">
              <w:t>31.1%</w:t>
            </w:r>
          </w:p>
        </w:tc>
      </w:tr>
      <w:tr w:rsidR="00F650F4" w:rsidRPr="009F57D8" w14:paraId="7709919F" w14:textId="77777777" w:rsidTr="00D80101">
        <w:trPr>
          <w:cantSplit/>
          <w:tblHeader/>
        </w:trPr>
        <w:tc>
          <w:tcPr>
            <w:tcW w:w="1412" w:type="pct"/>
            <w:noWrap/>
          </w:tcPr>
          <w:p w14:paraId="36FDAC12" w14:textId="77777777" w:rsidR="00F650F4" w:rsidRPr="009F57D8" w:rsidRDefault="00F650F4">
            <w:pPr>
              <w:pStyle w:val="TableText0"/>
              <w:keepLines w:val="0"/>
              <w:rPr>
                <w:b/>
                <w:bCs w:val="0"/>
              </w:rPr>
            </w:pPr>
            <w:r w:rsidRPr="009F57D8">
              <w:t xml:space="preserve">In both </w:t>
            </w:r>
          </w:p>
        </w:tc>
        <w:tc>
          <w:tcPr>
            <w:tcW w:w="598" w:type="pct"/>
            <w:noWrap/>
            <w:vAlign w:val="center"/>
          </w:tcPr>
          <w:p w14:paraId="3CBEFCB1" w14:textId="77777777" w:rsidR="00F650F4" w:rsidRPr="009F57D8" w:rsidRDefault="00F650F4">
            <w:pPr>
              <w:pStyle w:val="TableText0"/>
              <w:keepLines w:val="0"/>
              <w:jc w:val="center"/>
              <w:rPr>
                <w:b/>
                <w:bCs w:val="0"/>
              </w:rPr>
            </w:pPr>
            <w:r w:rsidRPr="009F57D8">
              <w:t>211</w:t>
            </w:r>
          </w:p>
        </w:tc>
        <w:tc>
          <w:tcPr>
            <w:tcW w:w="598" w:type="pct"/>
            <w:noWrap/>
            <w:vAlign w:val="center"/>
          </w:tcPr>
          <w:p w14:paraId="05F0D717" w14:textId="77777777" w:rsidR="00F650F4" w:rsidRPr="009F57D8" w:rsidRDefault="00F650F4">
            <w:pPr>
              <w:pStyle w:val="TableText0"/>
              <w:keepLines w:val="0"/>
              <w:jc w:val="center"/>
              <w:rPr>
                <w:b/>
                <w:bCs w:val="0"/>
              </w:rPr>
            </w:pPr>
            <w:r w:rsidRPr="009F57D8">
              <w:t>40.8%</w:t>
            </w:r>
          </w:p>
        </w:tc>
        <w:tc>
          <w:tcPr>
            <w:tcW w:w="598" w:type="pct"/>
            <w:vAlign w:val="center"/>
          </w:tcPr>
          <w:p w14:paraId="03783718" w14:textId="77777777" w:rsidR="00F650F4" w:rsidRPr="009F57D8" w:rsidRDefault="00F650F4">
            <w:pPr>
              <w:pStyle w:val="TableText0"/>
              <w:keepLines w:val="0"/>
              <w:jc w:val="center"/>
              <w:rPr>
                <w:b/>
                <w:bCs w:val="0"/>
              </w:rPr>
            </w:pPr>
            <w:r w:rsidRPr="009F57D8">
              <w:t>40</w:t>
            </w:r>
          </w:p>
        </w:tc>
        <w:tc>
          <w:tcPr>
            <w:tcW w:w="599" w:type="pct"/>
            <w:vAlign w:val="center"/>
          </w:tcPr>
          <w:p w14:paraId="35E64DDD" w14:textId="77777777" w:rsidR="00F650F4" w:rsidRPr="009F57D8" w:rsidRDefault="00F650F4">
            <w:pPr>
              <w:pStyle w:val="TableText0"/>
              <w:keepLines w:val="0"/>
              <w:jc w:val="center"/>
              <w:rPr>
                <w:b/>
                <w:bCs w:val="0"/>
              </w:rPr>
            </w:pPr>
            <w:r w:rsidRPr="009F57D8">
              <w:t>48.5%</w:t>
            </w:r>
          </w:p>
        </w:tc>
        <w:tc>
          <w:tcPr>
            <w:tcW w:w="598" w:type="pct"/>
            <w:vAlign w:val="center"/>
          </w:tcPr>
          <w:p w14:paraId="5F45EF53" w14:textId="77777777" w:rsidR="00F650F4" w:rsidRPr="009F57D8" w:rsidRDefault="00F650F4">
            <w:pPr>
              <w:pStyle w:val="TableText0"/>
              <w:keepLines w:val="0"/>
              <w:jc w:val="center"/>
              <w:rPr>
                <w:b/>
                <w:bCs w:val="0"/>
              </w:rPr>
            </w:pPr>
            <w:r w:rsidRPr="009F57D8">
              <w:t>320</w:t>
            </w:r>
          </w:p>
        </w:tc>
        <w:tc>
          <w:tcPr>
            <w:tcW w:w="597" w:type="pct"/>
            <w:vAlign w:val="center"/>
          </w:tcPr>
          <w:p w14:paraId="18FB2D67" w14:textId="77777777" w:rsidR="00F650F4" w:rsidRPr="009F57D8" w:rsidRDefault="00F650F4">
            <w:pPr>
              <w:pStyle w:val="TableText0"/>
              <w:keepLines w:val="0"/>
              <w:jc w:val="center"/>
              <w:rPr>
                <w:b/>
                <w:bCs w:val="0"/>
              </w:rPr>
            </w:pPr>
            <w:r w:rsidRPr="009F57D8">
              <w:t>47.3%</w:t>
            </w:r>
          </w:p>
        </w:tc>
      </w:tr>
      <w:tr w:rsidR="00F650F4" w:rsidRPr="009F57D8" w14:paraId="326438D1" w14:textId="77777777" w:rsidTr="00D80101">
        <w:trPr>
          <w:cantSplit/>
          <w:tblHeader/>
        </w:trPr>
        <w:tc>
          <w:tcPr>
            <w:tcW w:w="1412" w:type="pct"/>
            <w:noWrap/>
          </w:tcPr>
          <w:p w14:paraId="45246C5C" w14:textId="77777777" w:rsidR="00F650F4" w:rsidRPr="009F57D8" w:rsidRDefault="00F650F4">
            <w:pPr>
              <w:pStyle w:val="TableText0"/>
              <w:keepLines w:val="0"/>
              <w:rPr>
                <w:b/>
                <w:bCs w:val="0"/>
              </w:rPr>
            </w:pPr>
            <w:r w:rsidRPr="009F57D8">
              <w:t xml:space="preserve">In 20vPCV only </w:t>
            </w:r>
          </w:p>
        </w:tc>
        <w:tc>
          <w:tcPr>
            <w:tcW w:w="598" w:type="pct"/>
            <w:noWrap/>
            <w:vAlign w:val="center"/>
          </w:tcPr>
          <w:p w14:paraId="215DD8F8" w14:textId="77777777" w:rsidR="00F650F4" w:rsidRPr="009F57D8" w:rsidRDefault="00F650F4">
            <w:pPr>
              <w:pStyle w:val="TableText0"/>
              <w:keepLines w:val="0"/>
              <w:jc w:val="center"/>
              <w:rPr>
                <w:b/>
                <w:bCs w:val="0"/>
              </w:rPr>
            </w:pPr>
            <w:r w:rsidRPr="009F57D8">
              <w:t>59</w:t>
            </w:r>
          </w:p>
        </w:tc>
        <w:tc>
          <w:tcPr>
            <w:tcW w:w="598" w:type="pct"/>
            <w:noWrap/>
            <w:vAlign w:val="center"/>
          </w:tcPr>
          <w:p w14:paraId="285969E0" w14:textId="77777777" w:rsidR="00F650F4" w:rsidRPr="009F57D8" w:rsidRDefault="00F650F4">
            <w:pPr>
              <w:pStyle w:val="TableText0"/>
              <w:keepLines w:val="0"/>
              <w:jc w:val="center"/>
              <w:rPr>
                <w:b/>
                <w:bCs w:val="0"/>
              </w:rPr>
            </w:pPr>
            <w:r w:rsidRPr="009F57D8">
              <w:t>11.4%</w:t>
            </w:r>
          </w:p>
        </w:tc>
        <w:tc>
          <w:tcPr>
            <w:tcW w:w="598" w:type="pct"/>
            <w:vAlign w:val="center"/>
          </w:tcPr>
          <w:p w14:paraId="093F90AB" w14:textId="77777777" w:rsidR="00F650F4" w:rsidRPr="009F57D8" w:rsidRDefault="00F650F4">
            <w:pPr>
              <w:pStyle w:val="TableText0"/>
              <w:keepLines w:val="0"/>
              <w:jc w:val="center"/>
              <w:rPr>
                <w:b/>
                <w:bCs w:val="0"/>
              </w:rPr>
            </w:pPr>
            <w:r w:rsidRPr="009F57D8">
              <w:t>7</w:t>
            </w:r>
          </w:p>
        </w:tc>
        <w:tc>
          <w:tcPr>
            <w:tcW w:w="599" w:type="pct"/>
            <w:vAlign w:val="center"/>
          </w:tcPr>
          <w:p w14:paraId="669D9EE0" w14:textId="77777777" w:rsidR="00F650F4" w:rsidRPr="009F57D8" w:rsidRDefault="00F650F4">
            <w:pPr>
              <w:pStyle w:val="TableText0"/>
              <w:keepLines w:val="0"/>
              <w:jc w:val="center"/>
              <w:rPr>
                <w:b/>
                <w:bCs w:val="0"/>
              </w:rPr>
            </w:pPr>
            <w:r w:rsidRPr="009F57D8">
              <w:t>8.0%</w:t>
            </w:r>
          </w:p>
        </w:tc>
        <w:tc>
          <w:tcPr>
            <w:tcW w:w="598" w:type="pct"/>
            <w:vAlign w:val="center"/>
          </w:tcPr>
          <w:p w14:paraId="47E4DE67" w14:textId="77777777" w:rsidR="00F650F4" w:rsidRPr="009F57D8" w:rsidRDefault="00F650F4">
            <w:pPr>
              <w:pStyle w:val="TableText0"/>
              <w:keepLines w:val="0"/>
              <w:jc w:val="center"/>
              <w:rPr>
                <w:b/>
                <w:bCs w:val="0"/>
              </w:rPr>
            </w:pPr>
            <w:r w:rsidRPr="009F57D8">
              <w:t>91</w:t>
            </w:r>
          </w:p>
        </w:tc>
        <w:tc>
          <w:tcPr>
            <w:tcW w:w="597" w:type="pct"/>
            <w:vAlign w:val="center"/>
          </w:tcPr>
          <w:p w14:paraId="3234E5E4" w14:textId="77777777" w:rsidR="00F650F4" w:rsidRPr="009F57D8" w:rsidRDefault="00F650F4">
            <w:pPr>
              <w:pStyle w:val="TableText0"/>
              <w:keepLines w:val="0"/>
              <w:jc w:val="center"/>
              <w:rPr>
                <w:b/>
                <w:bCs w:val="0"/>
              </w:rPr>
            </w:pPr>
            <w:r w:rsidRPr="009F57D8">
              <w:t>13.4%</w:t>
            </w:r>
          </w:p>
        </w:tc>
      </w:tr>
      <w:tr w:rsidR="00F650F4" w:rsidRPr="009F57D8" w14:paraId="0909807B" w14:textId="77777777" w:rsidTr="00D80101">
        <w:trPr>
          <w:cantSplit/>
          <w:tblHeader/>
        </w:trPr>
        <w:tc>
          <w:tcPr>
            <w:tcW w:w="1412" w:type="pct"/>
            <w:noWrap/>
          </w:tcPr>
          <w:p w14:paraId="49E46D5C" w14:textId="77777777" w:rsidR="00F650F4" w:rsidRPr="009F57D8" w:rsidRDefault="00F650F4">
            <w:pPr>
              <w:pStyle w:val="TableText0"/>
              <w:keepLines w:val="0"/>
              <w:rPr>
                <w:b/>
                <w:bCs w:val="0"/>
              </w:rPr>
            </w:pPr>
            <w:r w:rsidRPr="009F57D8">
              <w:t>In neither (NVTs)</w:t>
            </w:r>
          </w:p>
        </w:tc>
        <w:tc>
          <w:tcPr>
            <w:tcW w:w="598" w:type="pct"/>
            <w:noWrap/>
            <w:vAlign w:val="center"/>
          </w:tcPr>
          <w:p w14:paraId="5B444E8B" w14:textId="77777777" w:rsidR="00F650F4" w:rsidRPr="009F57D8" w:rsidRDefault="00F650F4">
            <w:pPr>
              <w:pStyle w:val="TableText0"/>
              <w:keepLines w:val="0"/>
              <w:jc w:val="center"/>
              <w:rPr>
                <w:b/>
                <w:bCs w:val="0"/>
              </w:rPr>
            </w:pPr>
            <w:r w:rsidRPr="009F57D8">
              <w:t>71</w:t>
            </w:r>
          </w:p>
        </w:tc>
        <w:tc>
          <w:tcPr>
            <w:tcW w:w="598" w:type="pct"/>
            <w:noWrap/>
            <w:vAlign w:val="center"/>
          </w:tcPr>
          <w:p w14:paraId="66860874" w14:textId="77777777" w:rsidR="00F650F4" w:rsidRPr="009F57D8" w:rsidRDefault="00F650F4">
            <w:pPr>
              <w:pStyle w:val="TableText0"/>
              <w:keepLines w:val="0"/>
              <w:jc w:val="center"/>
              <w:rPr>
                <w:b/>
                <w:bCs w:val="0"/>
              </w:rPr>
            </w:pPr>
            <w:r w:rsidRPr="009F57D8">
              <w:t>13.7%</w:t>
            </w:r>
          </w:p>
        </w:tc>
        <w:tc>
          <w:tcPr>
            <w:tcW w:w="598" w:type="pct"/>
            <w:vAlign w:val="center"/>
          </w:tcPr>
          <w:p w14:paraId="3EFF41CD" w14:textId="77777777" w:rsidR="00F650F4" w:rsidRPr="009F57D8" w:rsidRDefault="00F650F4">
            <w:pPr>
              <w:pStyle w:val="TableText0"/>
              <w:keepLines w:val="0"/>
              <w:jc w:val="center"/>
              <w:rPr>
                <w:b/>
                <w:bCs w:val="0"/>
              </w:rPr>
            </w:pPr>
            <w:r w:rsidRPr="009F57D8">
              <w:t>15</w:t>
            </w:r>
          </w:p>
        </w:tc>
        <w:tc>
          <w:tcPr>
            <w:tcW w:w="599" w:type="pct"/>
            <w:vAlign w:val="center"/>
          </w:tcPr>
          <w:p w14:paraId="618C3262" w14:textId="77777777" w:rsidR="00F650F4" w:rsidRPr="009F57D8" w:rsidRDefault="00F650F4">
            <w:pPr>
              <w:pStyle w:val="TableText0"/>
              <w:keepLines w:val="0"/>
              <w:jc w:val="center"/>
              <w:rPr>
                <w:b/>
                <w:bCs w:val="0"/>
              </w:rPr>
            </w:pPr>
            <w:r w:rsidRPr="009F57D8">
              <w:t>18.1%</w:t>
            </w:r>
          </w:p>
        </w:tc>
        <w:tc>
          <w:tcPr>
            <w:tcW w:w="598" w:type="pct"/>
            <w:vAlign w:val="center"/>
          </w:tcPr>
          <w:p w14:paraId="5A75BC6E" w14:textId="77777777" w:rsidR="00F650F4" w:rsidRPr="009F57D8" w:rsidRDefault="00F650F4">
            <w:pPr>
              <w:pStyle w:val="TableText0"/>
              <w:keepLines w:val="0"/>
              <w:jc w:val="center"/>
              <w:rPr>
                <w:b/>
                <w:bCs w:val="0"/>
              </w:rPr>
            </w:pPr>
            <w:r w:rsidRPr="009F57D8">
              <w:t>56</w:t>
            </w:r>
          </w:p>
        </w:tc>
        <w:tc>
          <w:tcPr>
            <w:tcW w:w="597" w:type="pct"/>
            <w:vAlign w:val="center"/>
          </w:tcPr>
          <w:p w14:paraId="71CAB833" w14:textId="77777777" w:rsidR="00F650F4" w:rsidRPr="009F57D8" w:rsidRDefault="00F650F4">
            <w:pPr>
              <w:pStyle w:val="TableText0"/>
              <w:keepLines w:val="0"/>
              <w:jc w:val="center"/>
              <w:rPr>
                <w:b/>
                <w:bCs w:val="0"/>
              </w:rPr>
            </w:pPr>
            <w:r w:rsidRPr="009F57D8">
              <w:t>8.3%</w:t>
            </w:r>
          </w:p>
        </w:tc>
      </w:tr>
      <w:tr w:rsidR="00F650F4" w:rsidRPr="009F57D8" w14:paraId="2D778CD9" w14:textId="77777777" w:rsidTr="00D80101">
        <w:trPr>
          <w:cantSplit/>
          <w:tblHeader/>
        </w:trPr>
        <w:tc>
          <w:tcPr>
            <w:tcW w:w="1412" w:type="pct"/>
            <w:noWrap/>
          </w:tcPr>
          <w:p w14:paraId="4C929D37" w14:textId="77777777" w:rsidR="00F650F4" w:rsidRPr="009F57D8" w:rsidRDefault="00F650F4">
            <w:pPr>
              <w:pStyle w:val="TableText0"/>
              <w:keepLines w:val="0"/>
              <w:rPr>
                <w:b/>
                <w:bCs w:val="0"/>
              </w:rPr>
            </w:pPr>
            <w:r w:rsidRPr="009F57D8">
              <w:t>Total</w:t>
            </w:r>
          </w:p>
        </w:tc>
        <w:tc>
          <w:tcPr>
            <w:tcW w:w="598" w:type="pct"/>
            <w:noWrap/>
            <w:vAlign w:val="center"/>
          </w:tcPr>
          <w:p w14:paraId="2FA6191A" w14:textId="77777777" w:rsidR="00F650F4" w:rsidRPr="009F57D8" w:rsidRDefault="00F650F4">
            <w:pPr>
              <w:pStyle w:val="TableText0"/>
              <w:keepLines w:val="0"/>
              <w:jc w:val="center"/>
              <w:rPr>
                <w:b/>
                <w:bCs w:val="0"/>
              </w:rPr>
            </w:pPr>
            <w:r w:rsidRPr="009F57D8">
              <w:t>517</w:t>
            </w:r>
          </w:p>
        </w:tc>
        <w:tc>
          <w:tcPr>
            <w:tcW w:w="598" w:type="pct"/>
            <w:noWrap/>
            <w:vAlign w:val="center"/>
          </w:tcPr>
          <w:p w14:paraId="121DD749" w14:textId="77777777" w:rsidR="00F650F4" w:rsidRPr="009F57D8" w:rsidRDefault="00F650F4">
            <w:pPr>
              <w:pStyle w:val="TableText0"/>
              <w:keepLines w:val="0"/>
              <w:jc w:val="center"/>
              <w:rPr>
                <w:b/>
                <w:bCs w:val="0"/>
              </w:rPr>
            </w:pPr>
            <w:r w:rsidRPr="009F57D8">
              <w:t>100%</w:t>
            </w:r>
          </w:p>
        </w:tc>
        <w:tc>
          <w:tcPr>
            <w:tcW w:w="598" w:type="pct"/>
            <w:vAlign w:val="center"/>
          </w:tcPr>
          <w:p w14:paraId="1DD8C105" w14:textId="77777777" w:rsidR="00F650F4" w:rsidRPr="009F57D8" w:rsidRDefault="00F650F4">
            <w:pPr>
              <w:pStyle w:val="TableText0"/>
              <w:keepLines w:val="0"/>
              <w:jc w:val="center"/>
              <w:rPr>
                <w:b/>
                <w:bCs w:val="0"/>
              </w:rPr>
            </w:pPr>
            <w:r w:rsidRPr="009F57D8">
              <w:t>82</w:t>
            </w:r>
          </w:p>
        </w:tc>
        <w:tc>
          <w:tcPr>
            <w:tcW w:w="599" w:type="pct"/>
            <w:vAlign w:val="center"/>
          </w:tcPr>
          <w:p w14:paraId="1F71AAD2" w14:textId="77777777" w:rsidR="00F650F4" w:rsidRPr="009F57D8" w:rsidRDefault="00F650F4">
            <w:pPr>
              <w:pStyle w:val="TableText0"/>
              <w:keepLines w:val="0"/>
              <w:jc w:val="center"/>
              <w:rPr>
                <w:b/>
                <w:bCs w:val="0"/>
              </w:rPr>
            </w:pPr>
            <w:r w:rsidRPr="009F57D8">
              <w:t>100%</w:t>
            </w:r>
          </w:p>
        </w:tc>
        <w:tc>
          <w:tcPr>
            <w:tcW w:w="598" w:type="pct"/>
            <w:vAlign w:val="center"/>
          </w:tcPr>
          <w:p w14:paraId="66B2F122" w14:textId="77777777" w:rsidR="00F650F4" w:rsidRPr="009F57D8" w:rsidRDefault="00F650F4">
            <w:pPr>
              <w:pStyle w:val="TableText0"/>
              <w:keepLines w:val="0"/>
              <w:jc w:val="center"/>
              <w:rPr>
                <w:b/>
                <w:bCs w:val="0"/>
              </w:rPr>
            </w:pPr>
            <w:r w:rsidRPr="009F57D8">
              <w:t>678</w:t>
            </w:r>
          </w:p>
        </w:tc>
        <w:tc>
          <w:tcPr>
            <w:tcW w:w="597" w:type="pct"/>
            <w:vAlign w:val="center"/>
          </w:tcPr>
          <w:p w14:paraId="79D9A40D" w14:textId="77777777" w:rsidR="00F650F4" w:rsidRPr="009F57D8" w:rsidRDefault="00F650F4">
            <w:pPr>
              <w:pStyle w:val="TableText0"/>
              <w:keepLines w:val="0"/>
              <w:jc w:val="center"/>
              <w:rPr>
                <w:b/>
                <w:bCs w:val="0"/>
              </w:rPr>
            </w:pPr>
            <w:r w:rsidRPr="009F57D8">
              <w:t>100.0%</w:t>
            </w:r>
          </w:p>
        </w:tc>
      </w:tr>
    </w:tbl>
    <w:p w14:paraId="5E6319B3" w14:textId="7CAA1EB1" w:rsidR="00F650F4" w:rsidRPr="009F57D8" w:rsidRDefault="00F650F4" w:rsidP="000E6454">
      <w:pPr>
        <w:pStyle w:val="TableFigureFooter"/>
      </w:pPr>
      <w:r w:rsidRPr="009F57D8">
        <w:t xml:space="preserve">Source: Table 3.4-14, p176 of the submission; estimated in the evaluation from Attachment 3 </w:t>
      </w:r>
      <w:r w:rsidR="00D07B4F" w:rsidRPr="009F57D8">
        <w:t>to the submission (</w:t>
      </w:r>
      <w:r w:rsidRPr="009F57D8">
        <w:t xml:space="preserve">Model inputs and </w:t>
      </w:r>
      <w:r w:rsidR="00D07B4F" w:rsidRPr="009F57D8">
        <w:t>calculations)</w:t>
      </w:r>
      <w:r w:rsidRPr="009F57D8">
        <w:t>.</w:t>
      </w:r>
    </w:p>
    <w:p w14:paraId="1ADDE310" w14:textId="294431D2" w:rsidR="00F650F4" w:rsidRPr="009F57D8" w:rsidRDefault="00F650F4" w:rsidP="000E6454">
      <w:pPr>
        <w:pStyle w:val="TableFigureFooter"/>
      </w:pPr>
      <w:r w:rsidRPr="009F57D8">
        <w:t xml:space="preserve">13vPCV = 13-valent pneumococcal conjugate vaccine; 20vPCV = 20-valent pneumococcal conjugate vaccine; CAP = community acquired pneumonia; IPD = invasive pneumococcal disease; MaR = Medically at-risk; NNDSS = National Notifiable Diseases Surveillance System; NVT = non-vaccine type; </w:t>
      </w:r>
      <w:r w:rsidR="00D07B4F" w:rsidRPr="009F57D8">
        <w:t>21</w:t>
      </w:r>
      <w:r w:rsidR="004C21FB" w:rsidRPr="009F57D8">
        <w:t>vPCV =</w:t>
      </w:r>
      <w:r w:rsidRPr="009F57D8">
        <w:t xml:space="preserve"> 21-valent pneumococcal conjugate vaccine.</w:t>
      </w:r>
      <w:r w:rsidRPr="009F57D8">
        <w:br/>
      </w:r>
      <w:r w:rsidRPr="009F57D8">
        <w:rPr>
          <w:vertAlign w:val="superscript"/>
        </w:rPr>
        <w:t>a</w:t>
      </w:r>
      <w:r w:rsidRPr="009F57D8">
        <w:t xml:space="preserve"> non-Indigenous population aged 20 to 69 years used as a proxy for the MaR population.</w:t>
      </w:r>
    </w:p>
    <w:p w14:paraId="4D5C9A07" w14:textId="11D99503" w:rsidR="00F650F4" w:rsidRPr="009F57D8" w:rsidRDefault="00F650F4" w:rsidP="000E6454">
      <w:pPr>
        <w:pStyle w:val="TableFigureFooter"/>
      </w:pPr>
      <w:r w:rsidRPr="009F57D8">
        <w:rPr>
          <w:vertAlign w:val="superscript"/>
        </w:rPr>
        <w:t>b</w:t>
      </w:r>
      <w:r w:rsidRPr="009F57D8">
        <w:t xml:space="preserve"> Excluding potential cross reactivity to 15B serotypes. </w:t>
      </w:r>
    </w:p>
    <w:p w14:paraId="091328BF" w14:textId="3634AF0D" w:rsidR="000502F2" w:rsidRPr="009F57D8" w:rsidRDefault="00F650F4">
      <w:pPr>
        <w:pStyle w:val="3-BodyText"/>
        <w:numPr>
          <w:ilvl w:val="1"/>
          <w:numId w:val="1"/>
        </w:numPr>
      </w:pPr>
      <w:r w:rsidRPr="009F57D8">
        <w:t>As the serotype distribution for CAP events in Australia is not known, the submission assumed the same distribution as for IPD events. The non-Indigenous population aged 20 to 69 years was used as a proxy for the MaR population given the lack of data in this population.</w:t>
      </w:r>
      <w:r w:rsidR="0066501B" w:rsidRPr="009F57D8">
        <w:t xml:space="preserve"> </w:t>
      </w:r>
      <w:r w:rsidRPr="009F57D8">
        <w:t>Th</w:t>
      </w:r>
      <w:r w:rsidR="000502F2" w:rsidRPr="009F57D8">
        <w:t>e ESC considered th</w:t>
      </w:r>
      <w:r w:rsidRPr="009F57D8">
        <w:t>ese assumptions were reasonable</w:t>
      </w:r>
      <w:r w:rsidR="000502F2" w:rsidRPr="009F57D8">
        <w:t xml:space="preserve">.  </w:t>
      </w:r>
    </w:p>
    <w:p w14:paraId="5D72DFB9" w14:textId="3C9F236C" w:rsidR="001C3BD9" w:rsidRPr="009F57D8" w:rsidRDefault="000502F2" w:rsidP="00F650F4">
      <w:pPr>
        <w:pStyle w:val="3-BodyText"/>
        <w:numPr>
          <w:ilvl w:val="1"/>
          <w:numId w:val="1"/>
        </w:numPr>
      </w:pPr>
      <w:r w:rsidRPr="009F57D8">
        <w:t>CAP rates used in the model were based on hospitalisation rates for all-cause pneumonia (International Classification of Diseases, ICD-10-AM codes, ICD-10-AM codes J12-J18) from the National Hospital Morbidity Database (NHMD) in 2018-2019. T</w:t>
      </w:r>
      <w:r w:rsidR="008B7774" w:rsidRPr="009F57D8">
        <w:t xml:space="preserve">he ESC </w:t>
      </w:r>
      <w:r w:rsidRPr="009F57D8">
        <w:t xml:space="preserve">considered </w:t>
      </w:r>
      <w:r w:rsidR="008B7774" w:rsidRPr="009F57D8">
        <w:t>that CAP incidence was potentially overestimated</w:t>
      </w:r>
      <w:r w:rsidRPr="009F57D8">
        <w:t xml:space="preserve"> as the submission included codes J12 and J14-J18 which also capture viral pneumonia and non-PD bacterial pneumonia. The ATAGI Advice recommended the use of principally coded</w:t>
      </w:r>
      <w:r w:rsidR="004066BA" w:rsidRPr="009F57D8">
        <w:t xml:space="preserve"> pneumococcal disease</w:t>
      </w:r>
      <w:r w:rsidRPr="009F57D8">
        <w:t xml:space="preserve"> pneumonia (J13) plus lobar pneumonia (J18.1) plus 11.1% of unspecified pneumonia (J18 minus J18.1) to estimate true CAP incidence due to</w:t>
      </w:r>
      <w:r w:rsidR="004066BA" w:rsidRPr="009F57D8">
        <w:t xml:space="preserve"> pneumococcal disease</w:t>
      </w:r>
      <w:r w:rsidRPr="009F57D8">
        <w:t xml:space="preserve">. The submission provided only aggregated NHMD data, </w:t>
      </w:r>
      <w:r w:rsidR="00B53BAF" w:rsidRPr="009F57D8">
        <w:t xml:space="preserve">preventing </w:t>
      </w:r>
      <w:r w:rsidRPr="009F57D8">
        <w:t>assessment of this alternative estimate.</w:t>
      </w:r>
      <w:bookmarkStart w:id="82" w:name="_Hlk211414921"/>
    </w:p>
    <w:p w14:paraId="03003EC4" w14:textId="7AEF1883" w:rsidR="00F650F4" w:rsidRPr="009F57D8" w:rsidRDefault="00954546">
      <w:pPr>
        <w:pStyle w:val="3-BodyText"/>
      </w:pPr>
      <w:bookmarkStart w:id="83" w:name="_Hlk211437080"/>
      <w:bookmarkEnd w:id="82"/>
      <w:r w:rsidRPr="009F57D8">
        <w:t xml:space="preserve">The ESC noted the submission’s </w:t>
      </w:r>
      <w:bookmarkStart w:id="84" w:name="_Hlk211414930"/>
      <w:r w:rsidRPr="009F57D8">
        <w:t xml:space="preserve">estimates reflected NNDSS 2016-2019 data, </w:t>
      </w:r>
      <w:bookmarkEnd w:id="84"/>
      <w:r w:rsidRPr="009F57D8">
        <w:t>and that more recent data yielded somewhat different estimates (</w:t>
      </w:r>
      <w:r w:rsidRPr="009F57D8">
        <w:rPr>
          <w:i/>
          <w:iCs/>
        </w:rPr>
        <w:fldChar w:fldCharType="begin"/>
      </w:r>
      <w:r w:rsidRPr="009F57D8">
        <w:rPr>
          <w:i/>
          <w:iCs/>
        </w:rPr>
        <w:instrText xml:space="preserve"> REF _Ref206970942 \h </w:instrText>
      </w:r>
      <w:r w:rsidRPr="009F57D8">
        <w:rPr>
          <w:i/>
          <w:iCs/>
        </w:rPr>
      </w:r>
      <w:r w:rsidRPr="009F57D8">
        <w:rPr>
          <w:i/>
          <w:iCs/>
        </w:rPr>
        <w:fldChar w:fldCharType="separate"/>
      </w:r>
      <w:r w:rsidR="00581386" w:rsidRPr="009F57D8">
        <w:t xml:space="preserve">Table </w:t>
      </w:r>
      <w:r w:rsidR="00581386">
        <w:rPr>
          <w:noProof/>
        </w:rPr>
        <w:t>2</w:t>
      </w:r>
      <w:r w:rsidRPr="009F57D8">
        <w:rPr>
          <w:i/>
          <w:iCs/>
        </w:rPr>
        <w:fldChar w:fldCharType="end"/>
      </w:r>
      <w:r w:rsidRPr="009F57D8">
        <w:t xml:space="preserve">).  </w:t>
      </w:r>
      <w:bookmarkEnd w:id="83"/>
      <w:r w:rsidRPr="009F57D8">
        <w:t>The ESC considered it was reasonable to apply the</w:t>
      </w:r>
      <w:r w:rsidR="00F52309" w:rsidRPr="009F57D8">
        <w:t xml:space="preserve"> 2016-2019</w:t>
      </w:r>
      <w:r w:rsidRPr="009F57D8">
        <w:t xml:space="preserve"> estimates in the base case, however it was important to</w:t>
      </w:r>
      <w:r w:rsidR="00BE1CDE" w:rsidRPr="009F57D8">
        <w:t xml:space="preserve"> consider the impact of</w:t>
      </w:r>
      <w:r w:rsidRPr="009F57D8">
        <w:t xml:space="preserve"> </w:t>
      </w:r>
      <w:r w:rsidR="00FF2923" w:rsidRPr="009F57D8">
        <w:t>reduc</w:t>
      </w:r>
      <w:r w:rsidR="00BE1CDE" w:rsidRPr="009F57D8">
        <w:t>ing</w:t>
      </w:r>
      <w:r w:rsidRPr="009F57D8">
        <w:t xml:space="preserve"> </w:t>
      </w:r>
      <w:r w:rsidR="00FF2923" w:rsidRPr="009F57D8">
        <w:t xml:space="preserve">the time horizon </w:t>
      </w:r>
      <w:r w:rsidRPr="009F57D8">
        <w:t xml:space="preserve">to </w:t>
      </w:r>
      <w:r w:rsidR="00BE1CDE" w:rsidRPr="009F57D8">
        <w:t>mitigate the impact of potentially significant rates of</w:t>
      </w:r>
      <w:r w:rsidRPr="009F57D8">
        <w:t xml:space="preserve"> serotype replacement (discussed further in paragraph </w:t>
      </w:r>
      <w:r w:rsidRPr="009F57D8">
        <w:fldChar w:fldCharType="begin"/>
      </w:r>
      <w:r w:rsidRPr="009F57D8">
        <w:instrText xml:space="preserve"> REF _Ref211414906 \r \h </w:instrText>
      </w:r>
      <w:r w:rsidRPr="009F57D8">
        <w:fldChar w:fldCharType="separate"/>
      </w:r>
      <w:r w:rsidR="00581386">
        <w:t>6.54</w:t>
      </w:r>
      <w:r w:rsidRPr="009F57D8">
        <w:fldChar w:fldCharType="end"/>
      </w:r>
      <w:r w:rsidRPr="009F57D8">
        <w:t>)</w:t>
      </w:r>
      <w:r w:rsidR="00B92D82" w:rsidRPr="009F57D8">
        <w:t xml:space="preserve">.   The ESC noted that ATAGI recommended the use of a 5-year or 10-year time horizon to mitigate the impact of serotype shift. The ESC considered that a </w:t>
      </w:r>
      <w:r w:rsidR="00B92D82" w:rsidRPr="009F57D8">
        <w:lastRenderedPageBreak/>
        <w:t>ten-year time horizon may be reasonable, noting that changes were observed in the distribution of disease by vaccine serotype between 2009/18 and 2023/24.</w:t>
      </w:r>
    </w:p>
    <w:p w14:paraId="3B74977B" w14:textId="49C33F0A" w:rsidR="00F650F4" w:rsidRPr="009F57D8" w:rsidRDefault="00F650F4" w:rsidP="00F650F4">
      <w:pPr>
        <w:pStyle w:val="3-BodyText"/>
        <w:numPr>
          <w:ilvl w:val="1"/>
          <w:numId w:val="1"/>
        </w:numPr>
      </w:pPr>
      <w:bookmarkStart w:id="85" w:name="_Ref174521023"/>
      <w:r w:rsidRPr="009F57D8">
        <w:t>For the PCV vaccines</w:t>
      </w:r>
      <w:r w:rsidR="00803F2B" w:rsidRPr="009F57D8">
        <w:t>,</w:t>
      </w:r>
      <w:r w:rsidRPr="009F57D8">
        <w:t xml:space="preserve"> the waning profile (reduction in VE) in the submission was assumed to be 0% for the first 5 years, 5% per annum for the next 5 years (years 6-10), 10% per annum for the next 5 years (years 11-15) and 15% per annum thereafter until no VE remains (years 16+). For the 23vPPV booster vaccine, </w:t>
      </w:r>
      <w:r w:rsidR="00EB2C82" w:rsidRPr="009F57D8">
        <w:t xml:space="preserve">the </w:t>
      </w:r>
      <w:r w:rsidRPr="009F57D8">
        <w:t>waning profile</w:t>
      </w:r>
      <w:r w:rsidR="00EB2C82" w:rsidRPr="009F57D8">
        <w:t xml:space="preserve"> was assumed to be</w:t>
      </w:r>
      <w:r w:rsidRPr="009F57D8">
        <w:t xml:space="preserve"> 0% for the first 2 years, and linear waning to 100% over the next 3 years (years 3-5). The waning profiles were based on the assumptions used for 20vPCV (para</w:t>
      </w:r>
      <w:r w:rsidR="00573CAB" w:rsidRPr="009F57D8">
        <w:t>graph</w:t>
      </w:r>
      <w:r w:rsidRPr="009F57D8">
        <w:t xml:space="preserve"> 6.60, 20vPCV PSD, November 2022 PBAC meeting) that were deemed acceptable by ATAGI (ATAGI Pre-submission Advice). Conjugated pneumococcal vaccines </w:t>
      </w:r>
      <w:r w:rsidR="00803F2B" w:rsidRPr="009F57D8">
        <w:t>21</w:t>
      </w:r>
      <w:r w:rsidR="004C21FB" w:rsidRPr="009F57D8">
        <w:t>vPCV,</w:t>
      </w:r>
      <w:r w:rsidRPr="009F57D8">
        <w:t xml:space="preserve"> 13vPCV and 20vPCV use the common CRM197 carrier protein designed to elicit immune response and production of memory B cells and long-lasting antibodies. Given the similarities in production and mechanism of action between these vaccines, similar immunogenicity and waning profiles could be expected. However, data presented in the submission showed differences in immunogenicity responses, even for shared serotypes. This suggests the waning profile may not be equivalent across vaccines, particularly for non-shared serotypes where comparative data is lacking. </w:t>
      </w:r>
      <w:bookmarkStart w:id="86" w:name="_Hlk207109629"/>
      <w:r w:rsidRPr="009F57D8">
        <w:t xml:space="preserve">A sensitivity analysis </w:t>
      </w:r>
      <w:r w:rsidR="00803F2B" w:rsidRPr="009F57D8">
        <w:t xml:space="preserve">was conducted </w:t>
      </w:r>
      <w:r w:rsidRPr="009F57D8">
        <w:t xml:space="preserve">using waning values previously used in the 20vPCV evaluation </w:t>
      </w:r>
      <w:bookmarkStart w:id="87" w:name="_Hlk207277276"/>
      <w:r w:rsidRPr="009F57D8">
        <w:t>(paragraph 6.75, 20vPCV PSD, November 2022, PBAC Meeting)</w:t>
      </w:r>
      <w:bookmarkEnd w:id="87"/>
      <w:r w:rsidRPr="009F57D8">
        <w:t xml:space="preserve"> of 0% in years 0-5, 50% in years 6-10, and 100% in years &gt; 10</w:t>
      </w:r>
      <w:bookmarkEnd w:id="86"/>
      <w:r w:rsidR="003F2E0A" w:rsidRPr="009F57D8">
        <w:t xml:space="preserve"> </w:t>
      </w:r>
      <w:r w:rsidRPr="009F57D8">
        <w:t>(</w:t>
      </w:r>
      <w:r w:rsidRPr="009F57D8">
        <w:fldChar w:fldCharType="begin"/>
      </w:r>
      <w:r w:rsidRPr="009F57D8">
        <w:instrText xml:space="preserve"> REF _Ref206770052 \h  \* MERGEFORMAT </w:instrText>
      </w:r>
      <w:r w:rsidRPr="009F57D8">
        <w:fldChar w:fldCharType="separate"/>
      </w:r>
      <w:r w:rsidR="00581386" w:rsidRPr="009F57D8">
        <w:t xml:space="preserve">Table </w:t>
      </w:r>
      <w:r w:rsidR="00581386">
        <w:t>14</w:t>
      </w:r>
      <w:r w:rsidRPr="009F57D8">
        <w:fldChar w:fldCharType="end"/>
      </w:r>
      <w:r w:rsidRPr="009F57D8">
        <w:t xml:space="preserve">).   </w:t>
      </w:r>
    </w:p>
    <w:p w14:paraId="36C99452" w14:textId="5F1276A7" w:rsidR="00AE0839" w:rsidRPr="009F57D8" w:rsidRDefault="00204B2D">
      <w:pPr>
        <w:pStyle w:val="3-BodyText"/>
        <w:numPr>
          <w:ilvl w:val="1"/>
          <w:numId w:val="1"/>
        </w:numPr>
      </w:pPr>
      <w:r w:rsidRPr="009F57D8">
        <w:t>The ESC noted that the model was sensitive to the waning assumptions applied.</w:t>
      </w:r>
      <w:r w:rsidR="00327DF4" w:rsidRPr="009F57D8">
        <w:t xml:space="preserve">  The ESC noted that greater waning was assumed for 23vPPV (0% benefit at 5 years) compared with PCVs (0% benefit at 17 years</w:t>
      </w:r>
      <w:r w:rsidR="004C21FB" w:rsidRPr="009F57D8">
        <w:t>) and</w:t>
      </w:r>
      <w:r w:rsidR="00327DF4" w:rsidRPr="009F57D8">
        <w:t xml:space="preserve"> noted this was consistent with earlier PBAC considerations of PCVs.  However</w:t>
      </w:r>
      <w:r w:rsidR="002F6507" w:rsidRPr="009F57D8">
        <w:t>,</w:t>
      </w:r>
      <w:r w:rsidR="00327DF4" w:rsidRPr="009F57D8">
        <w:t xml:space="preserve"> the ESC considered that the waning profile of </w:t>
      </w:r>
      <w:r w:rsidR="002F6507" w:rsidRPr="009F57D8">
        <w:t xml:space="preserve">21vPCV </w:t>
      </w:r>
      <w:r w:rsidR="00327DF4" w:rsidRPr="009F57D8">
        <w:t xml:space="preserve">remained uncertain, as there was no evidence provided to support this. The ESC noted that differences were noted in </w:t>
      </w:r>
      <w:r w:rsidRPr="009F57D8">
        <w:t xml:space="preserve">immunogenicity responses </w:t>
      </w:r>
      <w:r w:rsidR="00327DF4" w:rsidRPr="009F57D8">
        <w:t>for common serotypes in the PCVs</w:t>
      </w:r>
      <w:r w:rsidRPr="009F57D8">
        <w:t xml:space="preserve">, </w:t>
      </w:r>
      <w:r w:rsidR="00327DF4" w:rsidRPr="009F57D8">
        <w:t>and this</w:t>
      </w:r>
      <w:r w:rsidRPr="009F57D8">
        <w:t xml:space="preserve"> may flow into longevity of effect</w:t>
      </w:r>
      <w:r w:rsidR="00327DF4" w:rsidRPr="009F57D8">
        <w:t xml:space="preserve">.  The ATAGI </w:t>
      </w:r>
      <w:r w:rsidR="00BB6DBC" w:rsidRPr="009F57D8">
        <w:t xml:space="preserve">advice indicated </w:t>
      </w:r>
      <w:r w:rsidR="00327DF4" w:rsidRPr="009F57D8">
        <w:t xml:space="preserve">this remained uncertain, however it would be reasonable to assume that waning would be similar for </w:t>
      </w:r>
      <w:r w:rsidR="002F6507" w:rsidRPr="009F57D8">
        <w:t xml:space="preserve">21vPCV </w:t>
      </w:r>
      <w:r w:rsidR="00327DF4" w:rsidRPr="009F57D8">
        <w:t>and other PCVs, in the absence of data to the contrary.  The ESC considered it was reasonable to apply these estimates in the base case, however considered that the sensitivity analyses of waning were informative.</w:t>
      </w:r>
      <w:bookmarkStart w:id="88" w:name="_Ref211414906"/>
      <w:bookmarkEnd w:id="85"/>
    </w:p>
    <w:p w14:paraId="1A1DFBF7" w14:textId="5CB6AB3E" w:rsidR="000502F2" w:rsidRPr="009F57D8" w:rsidRDefault="00F650F4">
      <w:pPr>
        <w:pStyle w:val="3-BodyText"/>
        <w:numPr>
          <w:ilvl w:val="1"/>
          <w:numId w:val="1"/>
        </w:numPr>
      </w:pPr>
      <w:r w:rsidRPr="009F57D8">
        <w:t xml:space="preserve">Serotype distribution was assumed to remain constant over time, </w:t>
      </w:r>
      <w:r w:rsidR="00FD0785" w:rsidRPr="009F57D8">
        <w:t xml:space="preserve">although ATAGI noted </w:t>
      </w:r>
      <w:r w:rsidRPr="009F57D8">
        <w:t xml:space="preserve">that serotype distribution will likely change over time and sensitivity analyses </w:t>
      </w:r>
      <w:bookmarkStart w:id="89" w:name="_Hlk207110767"/>
      <w:r w:rsidRPr="009F57D8">
        <w:t xml:space="preserve">(5-10 year time horizon) </w:t>
      </w:r>
      <w:bookmarkEnd w:id="89"/>
      <w:r w:rsidRPr="009F57D8">
        <w:t>were required to test this uncertainty (ATAGI Pre-submission Advice, April 2024). The submission presented a sensitivity analysis using a 10-year time horizon as advised by ATAGI to address serotype shift (</w:t>
      </w:r>
      <w:r w:rsidRPr="009F57D8">
        <w:fldChar w:fldCharType="begin"/>
      </w:r>
      <w:r w:rsidRPr="009F57D8">
        <w:instrText xml:space="preserve"> REF _Ref206770052 \h </w:instrText>
      </w:r>
      <w:r w:rsidR="00951987" w:rsidRPr="009F57D8">
        <w:instrText xml:space="preserve"> \* MERGEFORMAT </w:instrText>
      </w:r>
      <w:r w:rsidRPr="009F57D8">
        <w:fldChar w:fldCharType="separate"/>
      </w:r>
      <w:r w:rsidR="00581386" w:rsidRPr="009F57D8">
        <w:t xml:space="preserve">Table </w:t>
      </w:r>
      <w:r w:rsidR="00581386">
        <w:t>14</w:t>
      </w:r>
      <w:r w:rsidRPr="009F57D8">
        <w:fldChar w:fldCharType="end"/>
      </w:r>
      <w:r w:rsidRPr="009F57D8">
        <w:t xml:space="preserve">). </w:t>
      </w:r>
      <w:r w:rsidR="00CA15CF" w:rsidRPr="009F57D8">
        <w:t>T</w:t>
      </w:r>
      <w:r w:rsidRPr="009F57D8">
        <w:t xml:space="preserve">he ESC considered it unlikely that serotype distribution would remain unchanged over time as assumed by the submission. The potential for serotype replacement </w:t>
      </w:r>
      <w:r w:rsidR="003D3922" w:rsidRPr="009F57D8">
        <w:t>(</w:t>
      </w:r>
      <w:r w:rsidRPr="009F57D8">
        <w:t>where non-vaccine serotypes may increase in prevalence following widespread vaccination</w:t>
      </w:r>
      <w:r w:rsidR="003D3922" w:rsidRPr="009F57D8">
        <w:t>)</w:t>
      </w:r>
      <w:r w:rsidRPr="009F57D8">
        <w:t xml:space="preserve"> could substantially alter the effectiveness and cost-effectiveness of vaccination strategies over time. As noted in paragraph </w:t>
      </w:r>
      <w:r w:rsidRPr="009F57D8">
        <w:fldChar w:fldCharType="begin"/>
      </w:r>
      <w:r w:rsidRPr="009F57D8">
        <w:instrText xml:space="preserve"> REF _Ref207109743 \r \h </w:instrText>
      </w:r>
      <w:r w:rsidR="00951987" w:rsidRPr="009F57D8">
        <w:instrText xml:space="preserve"> \* MERGEFORMAT </w:instrText>
      </w:r>
      <w:r w:rsidRPr="009F57D8">
        <w:fldChar w:fldCharType="separate"/>
      </w:r>
      <w:r w:rsidR="00581386">
        <w:t>6.49</w:t>
      </w:r>
      <w:r w:rsidRPr="009F57D8">
        <w:fldChar w:fldCharType="end"/>
      </w:r>
      <w:r w:rsidRPr="009F57D8">
        <w:t xml:space="preserve">, the model was sensitive to using </w:t>
      </w:r>
      <w:bookmarkStart w:id="90" w:name="_Hlk207273174"/>
      <w:r w:rsidRPr="009F57D8">
        <w:t xml:space="preserve">NNDSS 2022-2023 values, which was post </w:t>
      </w:r>
      <w:bookmarkEnd w:id="90"/>
      <w:r w:rsidRPr="009F57D8">
        <w:t xml:space="preserve">the expansion in July 2020 of 13vPCV NIP eligibility for non-Indigenous adults </w:t>
      </w:r>
      <w:r w:rsidRPr="009F57D8">
        <w:rPr>
          <w:rFonts w:cstheme="minorHAnsi"/>
        </w:rPr>
        <w:t>≥</w:t>
      </w:r>
      <w:r w:rsidRPr="009F57D8">
        <w:t xml:space="preserve"> 70 years, </w:t>
      </w:r>
      <w:r w:rsidR="00D04DE7" w:rsidRPr="009F57D8">
        <w:t>Aboriginal and Torres Strait Islander adults</w:t>
      </w:r>
      <w:r w:rsidRPr="009F57D8">
        <w:t xml:space="preserve"> </w:t>
      </w:r>
      <w:r w:rsidRPr="009F57D8">
        <w:rPr>
          <w:rFonts w:cstheme="minorHAnsi"/>
        </w:rPr>
        <w:t>≥</w:t>
      </w:r>
      <w:r w:rsidRPr="009F57D8">
        <w:t xml:space="preserve"> 50, and </w:t>
      </w:r>
      <w:r w:rsidRPr="009F57D8">
        <w:lastRenderedPageBreak/>
        <w:t>MaR adults 18-69 years showing the potential effect of serotype replacement. A further sensitivity analysis conducted in the evaluation based on the experience after the introduction of 13vPCV into Sweden's national-immunisation program in 2009</w:t>
      </w:r>
      <w:r w:rsidRPr="009F57D8">
        <w:rPr>
          <w:rStyle w:val="FootnoteReference"/>
        </w:rPr>
        <w:footnoteReference w:id="8"/>
      </w:r>
      <w:r w:rsidRPr="009F57D8">
        <w:t>.</w:t>
      </w:r>
      <w:bookmarkEnd w:id="88"/>
      <w:r w:rsidRPr="009F57D8">
        <w:t xml:space="preserve"> </w:t>
      </w:r>
      <w:r w:rsidR="000502F2" w:rsidRPr="009F57D8">
        <w:t>The ESC considered this analysis was informative as it showed</w:t>
      </w:r>
      <w:r w:rsidR="000502F2" w:rsidRPr="009F57D8">
        <w:rPr>
          <w:rFonts w:cstheme="minorHAnsi"/>
        </w:rPr>
        <w:t xml:space="preserve"> that after the introduction of 13vPCV there was considerable serotype shift and if a similar situation occurred in Austral</w:t>
      </w:r>
      <w:r w:rsidR="00FF2923" w:rsidRPr="009F57D8">
        <w:rPr>
          <w:rFonts w:cstheme="minorHAnsi"/>
        </w:rPr>
        <w:t>i</w:t>
      </w:r>
      <w:r w:rsidR="000502F2" w:rsidRPr="009F57D8">
        <w:rPr>
          <w:rFonts w:cstheme="minorHAnsi"/>
        </w:rPr>
        <w:t xml:space="preserve">a after introduction of </w:t>
      </w:r>
      <w:r w:rsidR="00423A38" w:rsidRPr="009F57D8">
        <w:rPr>
          <w:rFonts w:cstheme="minorHAnsi"/>
        </w:rPr>
        <w:t>21vPCV</w:t>
      </w:r>
      <w:r w:rsidR="000502F2" w:rsidRPr="009F57D8">
        <w:rPr>
          <w:rFonts w:cstheme="minorHAnsi"/>
        </w:rPr>
        <w:t xml:space="preserve">, this would </w:t>
      </w:r>
      <w:r w:rsidR="00015A55" w:rsidRPr="009F57D8">
        <w:rPr>
          <w:rFonts w:cstheme="minorHAnsi"/>
        </w:rPr>
        <w:t xml:space="preserve">reduce the </w:t>
      </w:r>
      <w:r w:rsidR="000502F2" w:rsidRPr="009F57D8">
        <w:rPr>
          <w:rFonts w:cstheme="minorHAnsi"/>
        </w:rPr>
        <w:t xml:space="preserve">cost-effectiveness of </w:t>
      </w:r>
      <w:r w:rsidR="00423A38" w:rsidRPr="009F57D8">
        <w:rPr>
          <w:rFonts w:cstheme="minorHAnsi"/>
        </w:rPr>
        <w:t>21vPCV</w:t>
      </w:r>
      <w:r w:rsidR="000502F2" w:rsidRPr="009F57D8">
        <w:rPr>
          <w:rFonts w:cstheme="minorHAnsi"/>
        </w:rPr>
        <w:t>.</w:t>
      </w:r>
    </w:p>
    <w:p w14:paraId="04845C3F" w14:textId="7E7EF032" w:rsidR="00F650F4" w:rsidRPr="009F57D8" w:rsidRDefault="00F650F4" w:rsidP="00F650F4">
      <w:pPr>
        <w:pStyle w:val="3-BodyText"/>
        <w:numPr>
          <w:ilvl w:val="1"/>
          <w:numId w:val="1"/>
        </w:numPr>
        <w:rPr>
          <w:color w:val="0066FF"/>
        </w:rPr>
      </w:pPr>
      <w:r w:rsidRPr="009F57D8">
        <w:t xml:space="preserve">The key drivers of the results of the economic model are summarised in </w:t>
      </w:r>
      <w:r w:rsidRPr="009F57D8">
        <w:fldChar w:fldCharType="begin"/>
      </w:r>
      <w:r w:rsidRPr="009F57D8">
        <w:instrText xml:space="preserve"> REF _Ref206765839 \h </w:instrText>
      </w:r>
      <w:r w:rsidR="00951987" w:rsidRPr="009F57D8">
        <w:instrText xml:space="preserve"> \* MERGEFORMAT </w:instrText>
      </w:r>
      <w:r w:rsidRPr="009F57D8">
        <w:fldChar w:fldCharType="separate"/>
      </w:r>
      <w:r w:rsidR="00581386" w:rsidRPr="009F57D8">
        <w:t xml:space="preserve">Table </w:t>
      </w:r>
      <w:r w:rsidR="00581386">
        <w:t>12</w:t>
      </w:r>
      <w:r w:rsidRPr="009F57D8">
        <w:fldChar w:fldCharType="end"/>
      </w:r>
      <w:r w:rsidRPr="009F57D8">
        <w:t>.</w:t>
      </w:r>
    </w:p>
    <w:p w14:paraId="64D39C0D" w14:textId="5763DC28" w:rsidR="00F650F4" w:rsidRPr="009F57D8" w:rsidRDefault="00F650F4" w:rsidP="00C10B12">
      <w:pPr>
        <w:pStyle w:val="Caption"/>
      </w:pPr>
      <w:bookmarkStart w:id="91" w:name="_Ref206765839"/>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12</w:t>
      </w:r>
      <w:r w:rsidR="00FA4640" w:rsidRPr="009F57D8">
        <w:fldChar w:fldCharType="end"/>
      </w:r>
      <w:bookmarkEnd w:id="91"/>
      <w:r w:rsidRPr="009F57D8">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Key drivers of the model"/>
      </w:tblPr>
      <w:tblGrid>
        <w:gridCol w:w="1272"/>
        <w:gridCol w:w="1558"/>
        <w:gridCol w:w="6187"/>
      </w:tblGrid>
      <w:tr w:rsidR="00F650F4" w:rsidRPr="009F57D8" w14:paraId="07060FC8" w14:textId="77777777" w:rsidTr="00D80101">
        <w:trPr>
          <w:cantSplit/>
          <w:tblHeader/>
        </w:trPr>
        <w:tc>
          <w:tcPr>
            <w:tcW w:w="705" w:type="pct"/>
            <w:vAlign w:val="center"/>
          </w:tcPr>
          <w:p w14:paraId="25169447" w14:textId="77777777" w:rsidR="00F650F4" w:rsidRPr="009F57D8" w:rsidRDefault="00F650F4" w:rsidP="00C10B12">
            <w:pPr>
              <w:pStyle w:val="In-tableHeading"/>
              <w:jc w:val="center"/>
              <w:rPr>
                <w:lang w:val="en-AU"/>
              </w:rPr>
            </w:pPr>
            <w:r w:rsidRPr="009F57D8">
              <w:rPr>
                <w:lang w:val="en-AU"/>
              </w:rPr>
              <w:t>Description</w:t>
            </w:r>
          </w:p>
        </w:tc>
        <w:tc>
          <w:tcPr>
            <w:tcW w:w="864" w:type="pct"/>
            <w:vAlign w:val="center"/>
          </w:tcPr>
          <w:p w14:paraId="6E43321F" w14:textId="77777777" w:rsidR="00F650F4" w:rsidRPr="009F57D8" w:rsidRDefault="00F650F4" w:rsidP="00C10B12">
            <w:pPr>
              <w:pStyle w:val="In-tableHeading"/>
              <w:jc w:val="center"/>
              <w:rPr>
                <w:lang w:val="en-AU"/>
              </w:rPr>
            </w:pPr>
            <w:r w:rsidRPr="009F57D8">
              <w:rPr>
                <w:lang w:val="en-AU"/>
              </w:rPr>
              <w:t>Method/Value</w:t>
            </w:r>
          </w:p>
        </w:tc>
        <w:tc>
          <w:tcPr>
            <w:tcW w:w="3431" w:type="pct"/>
            <w:vAlign w:val="center"/>
          </w:tcPr>
          <w:p w14:paraId="22E6B04C" w14:textId="77777777" w:rsidR="00F650F4" w:rsidRPr="009F57D8" w:rsidRDefault="00F650F4" w:rsidP="00C10B12">
            <w:pPr>
              <w:pStyle w:val="In-tableHeading"/>
              <w:jc w:val="center"/>
              <w:rPr>
                <w:vertAlign w:val="superscript"/>
                <w:lang w:val="en-AU"/>
              </w:rPr>
            </w:pPr>
            <w:r w:rsidRPr="009F57D8">
              <w:rPr>
                <w:lang w:val="en-AU"/>
              </w:rPr>
              <w:t>Impact</w:t>
            </w:r>
            <w:r w:rsidRPr="009F57D8">
              <w:rPr>
                <w:vertAlign w:val="superscript"/>
                <w:lang w:val="en-AU"/>
              </w:rPr>
              <w:t>a</w:t>
            </w:r>
          </w:p>
        </w:tc>
      </w:tr>
      <w:tr w:rsidR="00F650F4" w:rsidRPr="009F57D8" w14:paraId="5DB8E74A" w14:textId="77777777" w:rsidTr="00D80101">
        <w:trPr>
          <w:cantSplit/>
          <w:tblHeader/>
        </w:trPr>
        <w:tc>
          <w:tcPr>
            <w:tcW w:w="705" w:type="pct"/>
            <w:vAlign w:val="center"/>
          </w:tcPr>
          <w:p w14:paraId="0E9819AA" w14:textId="77777777" w:rsidR="00F650F4" w:rsidRPr="009F57D8" w:rsidRDefault="00F650F4" w:rsidP="00C10B12">
            <w:pPr>
              <w:pStyle w:val="In-tableHeading"/>
              <w:rPr>
                <w:lang w:val="en-AU"/>
              </w:rPr>
            </w:pPr>
            <w:r w:rsidRPr="009F57D8">
              <w:rPr>
                <w:lang w:val="en-AU"/>
              </w:rPr>
              <w:t>Base case</w:t>
            </w:r>
          </w:p>
        </w:tc>
        <w:tc>
          <w:tcPr>
            <w:tcW w:w="864" w:type="pct"/>
            <w:vAlign w:val="center"/>
          </w:tcPr>
          <w:p w14:paraId="7C1D5676" w14:textId="77777777" w:rsidR="00F650F4" w:rsidRPr="009F57D8" w:rsidRDefault="00F650F4" w:rsidP="00C10B12">
            <w:pPr>
              <w:pStyle w:val="In-tableHeading"/>
              <w:rPr>
                <w:lang w:val="en-AU"/>
              </w:rPr>
            </w:pPr>
            <w:r w:rsidRPr="009F57D8">
              <w:rPr>
                <w:lang w:val="en-AU"/>
              </w:rPr>
              <w:t>-</w:t>
            </w:r>
          </w:p>
        </w:tc>
        <w:tc>
          <w:tcPr>
            <w:tcW w:w="3431" w:type="pct"/>
            <w:vAlign w:val="center"/>
          </w:tcPr>
          <w:p w14:paraId="3D00AB50" w14:textId="1C887BF8" w:rsidR="00F650F4" w:rsidRPr="009F57D8" w:rsidRDefault="00F650F4" w:rsidP="00452EDA">
            <w:pPr>
              <w:pStyle w:val="In-tableHeading"/>
              <w:rPr>
                <w:lang w:val="en-AU"/>
              </w:rPr>
            </w:pPr>
            <w:r w:rsidRPr="009F57D8">
              <w:rPr>
                <w:lang w:val="en-AU"/>
              </w:rPr>
              <w:t xml:space="preserve">ICER vs </w:t>
            </w:r>
            <w:r w:rsidR="00452EDA" w:rsidRPr="009F57D8">
              <w:rPr>
                <w:lang w:val="en-AU"/>
              </w:rPr>
              <w:t xml:space="preserve">13vPCV, </w:t>
            </w:r>
            <w:r w:rsidR="00582B8F" w:rsidRPr="009F57D8">
              <w:rPr>
                <w:lang w:val="en-AU"/>
              </w:rPr>
              <w:t xml:space="preserve">21vPCV </w:t>
            </w:r>
            <w:r w:rsidRPr="009F57D8">
              <w:rPr>
                <w:lang w:val="en-AU"/>
              </w:rPr>
              <w:t>was dominant for all populations</w:t>
            </w:r>
            <w:r w:rsidR="00452EDA" w:rsidRPr="009F57D8">
              <w:rPr>
                <w:lang w:val="en-AU"/>
              </w:rPr>
              <w:t>)</w:t>
            </w:r>
          </w:p>
        </w:tc>
      </w:tr>
      <w:tr w:rsidR="00F650F4" w:rsidRPr="009F57D8" w14:paraId="0973986A" w14:textId="77777777" w:rsidTr="00D80101">
        <w:trPr>
          <w:cantSplit/>
          <w:tblHeader/>
        </w:trPr>
        <w:tc>
          <w:tcPr>
            <w:tcW w:w="705" w:type="pct"/>
            <w:vAlign w:val="center"/>
          </w:tcPr>
          <w:p w14:paraId="198DF546" w14:textId="7FE50361" w:rsidR="00F650F4" w:rsidRPr="009F57D8" w:rsidRDefault="00F650F4" w:rsidP="00C10B12">
            <w:pPr>
              <w:pStyle w:val="TableText0"/>
              <w:keepNext/>
            </w:pPr>
            <w:r w:rsidRPr="009F57D8">
              <w:t>Vaccine waning</w:t>
            </w:r>
            <w:r w:rsidR="009039A4" w:rsidRPr="009F57D8">
              <w:t xml:space="preserve"> for PCVs</w:t>
            </w:r>
          </w:p>
        </w:tc>
        <w:tc>
          <w:tcPr>
            <w:tcW w:w="864" w:type="pct"/>
            <w:vAlign w:val="center"/>
          </w:tcPr>
          <w:p w14:paraId="76074DC7" w14:textId="77777777" w:rsidR="00F650F4" w:rsidRPr="009F57D8" w:rsidRDefault="00F650F4" w:rsidP="00C10B12">
            <w:pPr>
              <w:pStyle w:val="TableText0"/>
              <w:keepNext/>
            </w:pPr>
            <w:r w:rsidRPr="009F57D8">
              <w:t>Years 0-5: 0%</w:t>
            </w:r>
          </w:p>
          <w:p w14:paraId="113FB2D9" w14:textId="77777777" w:rsidR="00F650F4" w:rsidRPr="009F57D8" w:rsidRDefault="00F650F4" w:rsidP="00C10B12">
            <w:pPr>
              <w:pStyle w:val="TableText0"/>
              <w:keepNext/>
            </w:pPr>
            <w:r w:rsidRPr="009F57D8">
              <w:t>Years 6-10: 5%</w:t>
            </w:r>
          </w:p>
          <w:p w14:paraId="53BCE381" w14:textId="05BA4151" w:rsidR="00F650F4" w:rsidRPr="009F57D8" w:rsidRDefault="00F650F4" w:rsidP="00C10B12">
            <w:pPr>
              <w:pStyle w:val="TableText0"/>
              <w:keepNext/>
            </w:pPr>
            <w:r w:rsidRPr="009F57D8">
              <w:t>Years</w:t>
            </w:r>
            <w:r w:rsidR="00F3048B">
              <w:t xml:space="preserve"> </w:t>
            </w:r>
            <w:r w:rsidRPr="009F57D8">
              <w:t>11-15: 10%</w:t>
            </w:r>
          </w:p>
          <w:p w14:paraId="1070C04E" w14:textId="77777777" w:rsidR="00F650F4" w:rsidRPr="009F57D8" w:rsidRDefault="00F650F4" w:rsidP="00C10B12">
            <w:pPr>
              <w:pStyle w:val="TableText0"/>
              <w:keepNext/>
            </w:pPr>
            <w:r w:rsidRPr="009F57D8">
              <w:t>Years 16+: 15%</w:t>
            </w:r>
          </w:p>
        </w:tc>
        <w:tc>
          <w:tcPr>
            <w:tcW w:w="3431" w:type="pct"/>
            <w:vAlign w:val="center"/>
          </w:tcPr>
          <w:p w14:paraId="508E2E27" w14:textId="5536776B" w:rsidR="00F650F4" w:rsidRPr="009F57D8" w:rsidRDefault="00F650F4" w:rsidP="00C10B12">
            <w:pPr>
              <w:pStyle w:val="TableText0"/>
              <w:keepNext/>
            </w:pPr>
            <w:r w:rsidRPr="009F57D8">
              <w:t xml:space="preserve">High, favoured </w:t>
            </w:r>
            <w:r w:rsidR="00582B8F" w:rsidRPr="009F57D8">
              <w:t>21vPCV</w:t>
            </w:r>
            <w:r w:rsidRPr="009F57D8">
              <w:t>.</w:t>
            </w:r>
          </w:p>
          <w:p w14:paraId="798D6262" w14:textId="36D2271D" w:rsidR="00F650F4" w:rsidRPr="009F57D8" w:rsidRDefault="00F650F4" w:rsidP="00C10B12">
            <w:pPr>
              <w:pStyle w:val="TableText0"/>
              <w:keepNext/>
            </w:pPr>
            <w:r w:rsidRPr="009F57D8">
              <w:t>Using waning values previously recommended by ATAGI</w:t>
            </w:r>
            <w:r w:rsidR="00FE233D" w:rsidRPr="009F57D8">
              <w:t>,</w:t>
            </w:r>
            <w:r w:rsidRPr="009F57D8">
              <w:t xml:space="preserve"> </w:t>
            </w:r>
            <w:r w:rsidR="00FE233D" w:rsidRPr="009F57D8">
              <w:t xml:space="preserve">for use in sensitivity analyses, </w:t>
            </w:r>
            <w:r w:rsidRPr="009F57D8">
              <w:t>of 0% in years 0-5, 50% in years 6-10, and 100% in years &gt; 10</w:t>
            </w:r>
            <w:r w:rsidR="00452EDA" w:rsidRPr="009F57D8">
              <w:t xml:space="preserve"> worsened cost-effectiveness:</w:t>
            </w:r>
          </w:p>
          <w:p w14:paraId="3E597894" w14:textId="77777777" w:rsidR="00F650F4" w:rsidRPr="009F57D8" w:rsidRDefault="00F650F4" w:rsidP="00C10B12">
            <w:pPr>
              <w:pStyle w:val="TableText0"/>
              <w:keepNext/>
            </w:pPr>
            <w:r w:rsidRPr="009F57D8">
              <w:t>13vPCV - Remained dominant for all populations</w:t>
            </w:r>
          </w:p>
        </w:tc>
      </w:tr>
      <w:tr w:rsidR="00F650F4" w:rsidRPr="009F57D8" w14:paraId="10C61085" w14:textId="77777777" w:rsidTr="00D80101">
        <w:trPr>
          <w:cantSplit/>
          <w:tblHeader/>
        </w:trPr>
        <w:tc>
          <w:tcPr>
            <w:tcW w:w="705" w:type="pct"/>
            <w:vAlign w:val="center"/>
          </w:tcPr>
          <w:p w14:paraId="32AADB66" w14:textId="77777777" w:rsidR="00F650F4" w:rsidRPr="009F57D8" w:rsidRDefault="00F650F4" w:rsidP="00C10B12">
            <w:pPr>
              <w:pStyle w:val="TableText0"/>
              <w:keepNext/>
            </w:pPr>
            <w:r w:rsidRPr="009F57D8">
              <w:t>Serotype distribution</w:t>
            </w:r>
          </w:p>
        </w:tc>
        <w:tc>
          <w:tcPr>
            <w:tcW w:w="864" w:type="pct"/>
            <w:vAlign w:val="center"/>
          </w:tcPr>
          <w:p w14:paraId="5FAF9711" w14:textId="77777777" w:rsidR="00F650F4" w:rsidRPr="009F57D8" w:rsidRDefault="00F650F4" w:rsidP="00C10B12">
            <w:pPr>
              <w:pStyle w:val="TableText0"/>
              <w:keepNext/>
            </w:pPr>
            <w:r w:rsidRPr="009F57D8">
              <w:t>NNDSS (2016-2019)</w:t>
            </w:r>
          </w:p>
        </w:tc>
        <w:tc>
          <w:tcPr>
            <w:tcW w:w="3431" w:type="pct"/>
            <w:vAlign w:val="center"/>
          </w:tcPr>
          <w:p w14:paraId="6E435E29" w14:textId="0FA44154" w:rsidR="00F650F4" w:rsidRPr="009F57D8" w:rsidRDefault="00F650F4" w:rsidP="00C10B12">
            <w:pPr>
              <w:pStyle w:val="TableText0"/>
              <w:keepNext/>
            </w:pPr>
            <w:r w:rsidRPr="009F57D8">
              <w:t xml:space="preserve">High, favoured </w:t>
            </w:r>
            <w:r w:rsidR="00582B8F" w:rsidRPr="009F57D8">
              <w:t>21vPCV</w:t>
            </w:r>
            <w:r w:rsidRPr="009F57D8">
              <w:t>.</w:t>
            </w:r>
          </w:p>
          <w:p w14:paraId="298035D2" w14:textId="7008E137" w:rsidR="00F650F4" w:rsidRPr="009F57D8" w:rsidRDefault="00F650F4" w:rsidP="00C10B12">
            <w:pPr>
              <w:pStyle w:val="TableText0"/>
              <w:keepNext/>
            </w:pPr>
            <w:r w:rsidRPr="009F57D8">
              <w:t xml:space="preserve">Sensitivity analysis presented by the submission using 2022-2023 data </w:t>
            </w:r>
            <w:r w:rsidR="00452EDA" w:rsidRPr="009F57D8">
              <w:t>worsened cost-effectiveness</w:t>
            </w:r>
            <w:r w:rsidRPr="009F57D8">
              <w:t>:</w:t>
            </w:r>
          </w:p>
          <w:p w14:paraId="3792AB65" w14:textId="77777777" w:rsidR="00F650F4" w:rsidRPr="009F57D8" w:rsidRDefault="00F650F4" w:rsidP="00C10B12">
            <w:pPr>
              <w:pStyle w:val="TableText0"/>
              <w:keepNext/>
              <w:ind w:left="-45"/>
            </w:pPr>
            <w:r w:rsidRPr="009F57D8">
              <w:t>13vPCV - Remained dominant for all populations.</w:t>
            </w:r>
          </w:p>
        </w:tc>
      </w:tr>
      <w:tr w:rsidR="00F650F4" w:rsidRPr="009F57D8" w14:paraId="7B22ECB9" w14:textId="77777777" w:rsidTr="00D80101">
        <w:trPr>
          <w:cantSplit/>
          <w:tblHeader/>
        </w:trPr>
        <w:tc>
          <w:tcPr>
            <w:tcW w:w="705" w:type="pct"/>
            <w:vAlign w:val="center"/>
          </w:tcPr>
          <w:p w14:paraId="19747517" w14:textId="20C02720" w:rsidR="00F650F4" w:rsidRPr="009F57D8" w:rsidRDefault="00F650F4" w:rsidP="00C10B12">
            <w:pPr>
              <w:pStyle w:val="TableText0"/>
              <w:keepNext/>
            </w:pPr>
            <w:r w:rsidRPr="009F57D8">
              <w:t xml:space="preserve">Vaccine effectiveness </w:t>
            </w:r>
          </w:p>
        </w:tc>
        <w:tc>
          <w:tcPr>
            <w:tcW w:w="864" w:type="pct"/>
            <w:vAlign w:val="center"/>
          </w:tcPr>
          <w:p w14:paraId="23BCC4BB" w14:textId="77777777" w:rsidR="00F650F4" w:rsidRPr="009F57D8" w:rsidRDefault="00F650F4" w:rsidP="00C10B12">
            <w:pPr>
              <w:pStyle w:val="TableText0"/>
              <w:keepNext/>
            </w:pPr>
            <w:r w:rsidRPr="009F57D8">
              <w:t>IPD: 75%</w:t>
            </w:r>
          </w:p>
          <w:p w14:paraId="1BD3F774" w14:textId="77777777" w:rsidR="00F650F4" w:rsidRPr="009F57D8" w:rsidRDefault="00F650F4" w:rsidP="00C10B12">
            <w:pPr>
              <w:pStyle w:val="TableText0"/>
              <w:keepNext/>
            </w:pPr>
            <w:r w:rsidRPr="009F57D8">
              <w:t xml:space="preserve">CAP: 45% </w:t>
            </w:r>
          </w:p>
          <w:p w14:paraId="2DC8D57D" w14:textId="77777777" w:rsidR="00F650F4" w:rsidRPr="009F57D8" w:rsidRDefault="00F650F4" w:rsidP="00C10B12">
            <w:pPr>
              <w:pStyle w:val="TableText0"/>
              <w:keepNext/>
            </w:pPr>
            <w:r w:rsidRPr="009F57D8">
              <w:t xml:space="preserve">Assumed same efficacy as 13vPCV in the CAPiTA for non-shared ST. </w:t>
            </w:r>
          </w:p>
        </w:tc>
        <w:tc>
          <w:tcPr>
            <w:tcW w:w="3431" w:type="pct"/>
            <w:vAlign w:val="center"/>
          </w:tcPr>
          <w:p w14:paraId="0CB2E6AB" w14:textId="6CC9288B" w:rsidR="00F650F4" w:rsidRPr="009F57D8" w:rsidRDefault="00F650F4" w:rsidP="00C10B12">
            <w:pPr>
              <w:pStyle w:val="TableText0"/>
              <w:keepNext/>
            </w:pPr>
            <w:r w:rsidRPr="009F57D8">
              <w:t xml:space="preserve">High, favoured </w:t>
            </w:r>
            <w:r w:rsidR="006F55D0" w:rsidRPr="009F57D8">
              <w:t>21vPCV</w:t>
            </w:r>
            <w:r w:rsidRPr="009F57D8">
              <w:t xml:space="preserve">. </w:t>
            </w:r>
          </w:p>
          <w:p w14:paraId="4647E1D2" w14:textId="69EC35EE" w:rsidR="00F650F4" w:rsidRPr="009F57D8" w:rsidRDefault="00F650F4" w:rsidP="00C10B12">
            <w:pPr>
              <w:pStyle w:val="TableText0"/>
              <w:keepNext/>
              <w:rPr>
                <w:rFonts w:eastAsia="Arial"/>
              </w:rPr>
            </w:pPr>
            <w:r w:rsidRPr="009F57D8">
              <w:t>Decreasing</w:t>
            </w:r>
            <w:r w:rsidRPr="009F57D8">
              <w:rPr>
                <w:rFonts w:eastAsia="Arial"/>
              </w:rPr>
              <w:t xml:space="preserve"> </w:t>
            </w:r>
            <w:r w:rsidR="002256DC" w:rsidRPr="009F57D8">
              <w:rPr>
                <w:rFonts w:eastAsia="Arial"/>
              </w:rPr>
              <w:t xml:space="preserve">21vPCV </w:t>
            </w:r>
            <w:r w:rsidRPr="009F57D8">
              <w:rPr>
                <w:rFonts w:eastAsia="Arial"/>
              </w:rPr>
              <w:t>VE to prevent IPD and CAP cases of non-shared 13vPCV STs by 45%</w:t>
            </w:r>
            <w:r w:rsidR="0070233D" w:rsidRPr="009F57D8">
              <w:rPr>
                <w:rFonts w:eastAsia="Arial"/>
              </w:rPr>
              <w:t xml:space="preserve"> (relative reduction)</w:t>
            </w:r>
            <w:r w:rsidRPr="009F57D8">
              <w:rPr>
                <w:rFonts w:eastAsia="Arial"/>
              </w:rPr>
              <w:t xml:space="preserve">, </w:t>
            </w:r>
            <w:r w:rsidR="00452EDA" w:rsidRPr="009F57D8">
              <w:rPr>
                <w:rFonts w:eastAsia="Arial"/>
              </w:rPr>
              <w:t>worsened cost-effectiveness</w:t>
            </w:r>
            <w:r w:rsidRPr="009F57D8">
              <w:rPr>
                <w:rFonts w:eastAsia="Arial"/>
              </w:rPr>
              <w:t>:</w:t>
            </w:r>
          </w:p>
          <w:p w14:paraId="3FC4F45E" w14:textId="77777777" w:rsidR="00F650F4" w:rsidRPr="009F57D8" w:rsidRDefault="00F650F4" w:rsidP="00572866">
            <w:pPr>
              <w:pStyle w:val="TableText0"/>
              <w:keepNext/>
              <w:numPr>
                <w:ilvl w:val="0"/>
                <w:numId w:val="15"/>
              </w:numPr>
              <w:ind w:left="-45"/>
            </w:pPr>
            <w:r w:rsidRPr="009F57D8">
              <w:t xml:space="preserve">13vPCV </w:t>
            </w:r>
          </w:p>
          <w:p w14:paraId="5F658587" w14:textId="121D1B88" w:rsidR="00F650F4" w:rsidRPr="009F57D8" w:rsidRDefault="00F650F4" w:rsidP="00572866">
            <w:pPr>
              <w:pStyle w:val="TableText0"/>
              <w:keepNext/>
              <w:numPr>
                <w:ilvl w:val="0"/>
                <w:numId w:val="15"/>
              </w:numPr>
              <w:ind w:left="460"/>
            </w:pPr>
            <w:r w:rsidRPr="009F57D8">
              <w:t>non-Indigenous adults ≥ 70 years: $</w:t>
            </w:r>
            <w:r w:rsidR="00FD08E9" w:rsidRPr="00FD08E9">
              <w:rPr>
                <w:highlight w:val="black"/>
              </w:rPr>
              <w:t>&amp;&amp;&amp;&amp;</w:t>
            </w:r>
            <w:r w:rsidRPr="009F57D8">
              <w:t>/QALY</w:t>
            </w:r>
          </w:p>
          <w:p w14:paraId="01DFA0A8" w14:textId="7F2776E2" w:rsidR="000F62AF" w:rsidRPr="009F57D8" w:rsidRDefault="000F62AF" w:rsidP="00572866">
            <w:pPr>
              <w:pStyle w:val="TableText0"/>
              <w:keepNext/>
              <w:numPr>
                <w:ilvl w:val="0"/>
                <w:numId w:val="15"/>
              </w:numPr>
              <w:ind w:left="460"/>
            </w:pPr>
            <w:r w:rsidRPr="009F57D8">
              <w:t xml:space="preserve">Remained dominant for Aboriginal and Torres Strait Islander adults </w:t>
            </w:r>
            <w:r w:rsidRPr="009F57D8">
              <w:rPr>
                <w:rFonts w:cstheme="minorHAnsi"/>
              </w:rPr>
              <w:t>≥</w:t>
            </w:r>
            <w:r w:rsidRPr="009F57D8">
              <w:t xml:space="preserve"> 50, and MaR adults 18-69 years.</w:t>
            </w:r>
          </w:p>
        </w:tc>
      </w:tr>
      <w:tr w:rsidR="00F650F4" w:rsidRPr="009F57D8" w14:paraId="357A9645" w14:textId="77777777" w:rsidTr="00D80101">
        <w:trPr>
          <w:cantSplit/>
          <w:tblHeader/>
        </w:trPr>
        <w:tc>
          <w:tcPr>
            <w:tcW w:w="705" w:type="pct"/>
            <w:vAlign w:val="center"/>
          </w:tcPr>
          <w:p w14:paraId="05E06F0C" w14:textId="77777777" w:rsidR="00F650F4" w:rsidRPr="009F57D8" w:rsidRDefault="00F650F4" w:rsidP="00C10B12">
            <w:pPr>
              <w:pStyle w:val="TableText0"/>
              <w:keepNext/>
            </w:pPr>
            <w:r w:rsidRPr="009F57D8">
              <w:t>Time horizon</w:t>
            </w:r>
          </w:p>
        </w:tc>
        <w:tc>
          <w:tcPr>
            <w:tcW w:w="864" w:type="pct"/>
            <w:vAlign w:val="center"/>
          </w:tcPr>
          <w:p w14:paraId="0E10D0E4" w14:textId="23011EDF" w:rsidR="00F650F4" w:rsidRPr="009F57D8" w:rsidRDefault="00F650F4" w:rsidP="00C10B12">
            <w:pPr>
              <w:pStyle w:val="TableText0"/>
              <w:keepNext/>
            </w:pPr>
            <w:r w:rsidRPr="009F57D8">
              <w:t>Lifetime</w:t>
            </w:r>
            <w:r w:rsidR="000F215E">
              <w:rPr>
                <w:vertAlign w:val="superscript"/>
              </w:rPr>
              <w:t>b</w:t>
            </w:r>
            <w:r w:rsidRPr="009F57D8">
              <w:t xml:space="preserve"> </w:t>
            </w:r>
          </w:p>
        </w:tc>
        <w:tc>
          <w:tcPr>
            <w:tcW w:w="3431" w:type="pct"/>
            <w:vAlign w:val="center"/>
          </w:tcPr>
          <w:p w14:paraId="362A70C7" w14:textId="779AFFF5" w:rsidR="00F650F4" w:rsidRPr="009F57D8" w:rsidRDefault="00F650F4" w:rsidP="00C10B12">
            <w:pPr>
              <w:pStyle w:val="TableText0"/>
              <w:keepNext/>
            </w:pPr>
            <w:r w:rsidRPr="009F57D8">
              <w:t xml:space="preserve">Moderate, favoured </w:t>
            </w:r>
            <w:r w:rsidR="002256DC" w:rsidRPr="009F57D8">
              <w:t>21vPCV</w:t>
            </w:r>
            <w:r w:rsidRPr="009F57D8">
              <w:t xml:space="preserve">. </w:t>
            </w:r>
          </w:p>
          <w:p w14:paraId="153553BE" w14:textId="4BD65223" w:rsidR="00F650F4" w:rsidRPr="009F57D8" w:rsidRDefault="00F650F4" w:rsidP="00C10B12">
            <w:pPr>
              <w:pStyle w:val="TableText0"/>
              <w:keepNext/>
            </w:pPr>
            <w:r w:rsidRPr="009F57D8">
              <w:t>Decreasing the time horizon to 10 years decreased incremental QALYs and increased incremental cost</w:t>
            </w:r>
            <w:r w:rsidR="008E7034" w:rsidRPr="009F57D8">
              <w:t>s</w:t>
            </w:r>
            <w:r w:rsidRPr="009F57D8">
              <w:t xml:space="preserve"> for all populations and comparators. </w:t>
            </w:r>
          </w:p>
          <w:p w14:paraId="43C9F2F6" w14:textId="77777777" w:rsidR="00F650F4" w:rsidRPr="009F57D8" w:rsidRDefault="00F650F4" w:rsidP="00C10B12">
            <w:pPr>
              <w:pStyle w:val="TableText0"/>
              <w:keepNext/>
            </w:pPr>
            <w:r w:rsidRPr="009F57D8">
              <w:t>13vPCV - Remained dominant for all populations.</w:t>
            </w:r>
          </w:p>
        </w:tc>
      </w:tr>
    </w:tbl>
    <w:p w14:paraId="3AE392CF" w14:textId="4015BC51" w:rsidR="00F650F4" w:rsidRPr="009F57D8" w:rsidRDefault="00F650F4" w:rsidP="000E6454">
      <w:pPr>
        <w:pStyle w:val="TableFigureFooter"/>
        <w:rPr>
          <w:lang w:eastAsia="en-GB"/>
        </w:rPr>
      </w:pPr>
      <w:r w:rsidRPr="009F57D8">
        <w:t>Source: Compiled during evaluation</w:t>
      </w:r>
      <w:r w:rsidRPr="009F57D8">
        <w:rPr>
          <w:lang w:eastAsia="en-GB"/>
        </w:rPr>
        <w:t>.</w:t>
      </w:r>
    </w:p>
    <w:p w14:paraId="4783DC73" w14:textId="749E743D" w:rsidR="00F650F4" w:rsidRPr="009F57D8" w:rsidRDefault="00F650F4" w:rsidP="000E6454">
      <w:pPr>
        <w:pStyle w:val="TableFigureFooter"/>
      </w:pPr>
      <w:r w:rsidRPr="009F57D8">
        <w:rPr>
          <w:lang w:eastAsia="en-GB"/>
        </w:rPr>
        <w:t>13vPCV = 13-valent pneumococcal conjugate vaccine; CAP = community acquired pneumonia; CFR = case fatality rate;</w:t>
      </w:r>
      <w:r w:rsidRPr="009F57D8">
        <w:t xml:space="preserve"> ICER = incremental cost-effectiveness ratio</w:t>
      </w:r>
      <w:r w:rsidRPr="009F57D8">
        <w:rPr>
          <w:lang w:eastAsia="en-GB"/>
        </w:rPr>
        <w:t>; IPD = invasive pneumococcal disease; PCV = pneumococcal conjugate vaccine; QALY = quality-adjusted life year; VE = vaccine efficacy;</w:t>
      </w:r>
      <w:r w:rsidRPr="009F57D8">
        <w:t xml:space="preserve"> ST = serotypes; </w:t>
      </w:r>
      <w:r w:rsidR="00EE2417" w:rsidRPr="009F57D8">
        <w:rPr>
          <w:rFonts w:cstheme="minorHAnsi"/>
        </w:rPr>
        <w:t>21vPCV</w:t>
      </w:r>
      <w:r w:rsidRPr="009F57D8">
        <w:t xml:space="preserve"> = 21-valent pneumococcal conjugate vaccine. </w:t>
      </w:r>
    </w:p>
    <w:p w14:paraId="28AD0C08" w14:textId="77777777" w:rsidR="00F650F4" w:rsidRPr="009F57D8" w:rsidRDefault="00F650F4" w:rsidP="000E6454">
      <w:pPr>
        <w:pStyle w:val="TableFigureFooter"/>
      </w:pPr>
      <w:r w:rsidRPr="009F57D8">
        <w:rPr>
          <w:vertAlign w:val="superscript"/>
        </w:rPr>
        <w:t xml:space="preserve">a </w:t>
      </w:r>
      <w:r w:rsidRPr="009F57D8">
        <w:t xml:space="preserve">ICERs shown are those for the populations with the greatest impact. </w:t>
      </w:r>
    </w:p>
    <w:p w14:paraId="143E0779" w14:textId="440AA365" w:rsidR="00865CBB" w:rsidRDefault="000C76D0" w:rsidP="000E6454">
      <w:pPr>
        <w:pStyle w:val="TableFigureFooter"/>
        <w:rPr>
          <w:i/>
          <w:szCs w:val="18"/>
        </w:rPr>
      </w:pPr>
      <w:r>
        <w:rPr>
          <w:vertAlign w:val="superscript"/>
        </w:rPr>
        <w:t>b</w:t>
      </w:r>
      <w:r w:rsidR="00F650F4" w:rsidRPr="009F57D8">
        <w:t xml:space="preserve"> As per Section 5.1, p64 of ATAGI Pre-submission Advice, a 10-year time horizon could minimise the likely effects of serotype replacement.</w:t>
      </w:r>
      <w:r w:rsidR="00865CBB" w:rsidRPr="00865CBB">
        <w:rPr>
          <w:i/>
          <w:szCs w:val="18"/>
        </w:rPr>
        <w:t xml:space="preserve"> </w:t>
      </w:r>
    </w:p>
    <w:p w14:paraId="2BF83C2E" w14:textId="014D7995" w:rsidR="00865CBB" w:rsidRPr="006E5F12" w:rsidRDefault="00865CBB" w:rsidP="000E6454">
      <w:pPr>
        <w:pStyle w:val="TableFigureFooter"/>
        <w:rPr>
          <w:i/>
          <w:iCs/>
        </w:rPr>
      </w:pPr>
      <w:r w:rsidRPr="006E5F12">
        <w:rPr>
          <w:i/>
          <w:iCs/>
        </w:rPr>
        <w:t xml:space="preserve">The redacted values correspond to the following ranges: </w:t>
      </w:r>
    </w:p>
    <w:p w14:paraId="2AF9F6BB" w14:textId="5A02173C" w:rsidR="00F650F4" w:rsidRPr="006E5F12" w:rsidRDefault="00865CBB" w:rsidP="000E6454">
      <w:pPr>
        <w:pStyle w:val="TableFigureFooter"/>
        <w:rPr>
          <w:i/>
          <w:iCs/>
        </w:rPr>
      </w:pPr>
      <w:r w:rsidRPr="006E5F12">
        <w:rPr>
          <w:i/>
          <w:iCs/>
          <w:vertAlign w:val="superscript"/>
        </w:rPr>
        <w:t>1</w:t>
      </w:r>
      <w:r w:rsidRPr="006E5F12">
        <w:rPr>
          <w:i/>
          <w:iCs/>
        </w:rPr>
        <w:t xml:space="preserve"> </w:t>
      </w:r>
      <w:r w:rsidR="007716CA" w:rsidRPr="006E5F12">
        <w:rPr>
          <w:i/>
          <w:iCs/>
        </w:rPr>
        <w:t>$5,000 to &lt; $15,000</w:t>
      </w:r>
    </w:p>
    <w:p w14:paraId="1B364B80" w14:textId="46D50F3F" w:rsidR="00DE03DC" w:rsidRDefault="00F650F4" w:rsidP="00062F10">
      <w:pPr>
        <w:pStyle w:val="3-BodyText"/>
        <w:numPr>
          <w:ilvl w:val="1"/>
          <w:numId w:val="1"/>
        </w:numPr>
      </w:pPr>
      <w:r w:rsidRPr="009F57D8">
        <w:t>The model base case results presented in the submission (</w:t>
      </w:r>
      <w:r w:rsidRPr="009F57D8">
        <w:fldChar w:fldCharType="begin"/>
      </w:r>
      <w:r w:rsidRPr="009F57D8">
        <w:instrText xml:space="preserve"> REF _Ref206768201 \h </w:instrText>
      </w:r>
      <w:r w:rsidR="00951987" w:rsidRPr="009F57D8">
        <w:instrText xml:space="preserve"> \* MERGEFORMAT </w:instrText>
      </w:r>
      <w:r w:rsidRPr="009F57D8">
        <w:fldChar w:fldCharType="separate"/>
      </w:r>
      <w:r w:rsidR="00581386" w:rsidRPr="009F57D8">
        <w:t xml:space="preserve">Table </w:t>
      </w:r>
      <w:r w:rsidR="00581386">
        <w:t>13</w:t>
      </w:r>
      <w:r w:rsidRPr="009F57D8">
        <w:fldChar w:fldCharType="end"/>
      </w:r>
      <w:r w:rsidRPr="009F57D8">
        <w:t xml:space="preserve">) showed </w:t>
      </w:r>
      <w:r w:rsidR="00D146DB" w:rsidRPr="009F57D8">
        <w:t xml:space="preserve">21vPCV </w:t>
      </w:r>
      <w:r w:rsidRPr="009F57D8">
        <w:t xml:space="preserve">was the dominant option across all targeted populations when compared to 13vPCV </w:t>
      </w:r>
      <w:r w:rsidRPr="009F57D8">
        <w:rPr>
          <w:rFonts w:cstheme="minorHAnsi"/>
        </w:rPr>
        <w:t>±</w:t>
      </w:r>
      <w:r w:rsidRPr="009F57D8">
        <w:t xml:space="preserve"> 23vPPV. This result should be interpreted with caution as: (1) the model base case assumed a lifetime time horizon, even though ATAGI noted increased uncertainty beyond 5 to 10 years; (2) the model fixed the serotype distributions causing IPD </w:t>
      </w:r>
      <w:r w:rsidRPr="009F57D8">
        <w:lastRenderedPageBreak/>
        <w:t xml:space="preserve">throughout the time horizon, without </w:t>
      </w:r>
      <w:r w:rsidR="00FB2172" w:rsidRPr="009F57D8">
        <w:t>incorporating</w:t>
      </w:r>
      <w:r w:rsidRPr="009F57D8">
        <w:t xml:space="preserve"> the potential for serotype replacement over time; (3) the model base case results assumed that all non-shared serotypes between </w:t>
      </w:r>
      <w:r w:rsidR="00560F5D" w:rsidRPr="009F57D8">
        <w:t xml:space="preserve">21vPCV </w:t>
      </w:r>
      <w:r w:rsidRPr="009F57D8">
        <w:t xml:space="preserve">and 13vPCV would have the same efficacy in avoiding IPD cases, however, there was no immunobridging evidence presented in the submission to support this assumption; and (4) the submission used </w:t>
      </w:r>
      <w:r w:rsidRPr="00D21A3A">
        <w:t>a lower price</w:t>
      </w:r>
      <w:r w:rsidRPr="009F57D8">
        <w:t xml:space="preserve"> ($</w:t>
      </w:r>
      <w:r w:rsidR="00FD08E9" w:rsidRPr="00FD08E9">
        <w:rPr>
          <w:highlight w:val="black"/>
        </w:rPr>
        <w:t>&amp;&amp;&amp;&amp;</w:t>
      </w:r>
      <w:r w:rsidRPr="009F57D8">
        <w:t xml:space="preserve">) in the MaR population to achieve the ICER presented. </w:t>
      </w:r>
    </w:p>
    <w:p w14:paraId="21CC424B" w14:textId="200002F1" w:rsidR="00062F10" w:rsidRPr="009F57D8" w:rsidRDefault="00062F10" w:rsidP="00062F10">
      <w:pPr>
        <w:pStyle w:val="3-BodyText"/>
        <w:numPr>
          <w:ilvl w:val="0"/>
          <w:numId w:val="0"/>
        </w:numPr>
        <w:ind w:left="720"/>
      </w:pPr>
    </w:p>
    <w:p w14:paraId="5D4E22FB" w14:textId="2A1F08F3" w:rsidR="00F650F4" w:rsidRPr="009F57D8" w:rsidRDefault="00F650F4" w:rsidP="00F650F4">
      <w:pPr>
        <w:pStyle w:val="Caption"/>
      </w:pPr>
      <w:bookmarkStart w:id="92" w:name="_Ref206768201"/>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13</w:t>
      </w:r>
      <w:r w:rsidR="00FA4640" w:rsidRPr="009F57D8">
        <w:fldChar w:fldCharType="end"/>
      </w:r>
      <w:bookmarkEnd w:id="92"/>
      <w:r w:rsidRPr="009F57D8">
        <w:t>: Results of the economic evaluation (per 1,000 population)</w:t>
      </w:r>
      <w:r w:rsidR="00C40D0B" w:rsidRPr="009F57D8">
        <w:rPr>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economic evaluation (per 1,000 population)"/>
      </w:tblPr>
      <w:tblGrid>
        <w:gridCol w:w="4088"/>
        <w:gridCol w:w="1380"/>
        <w:gridCol w:w="2352"/>
        <w:gridCol w:w="1197"/>
      </w:tblGrid>
      <w:tr w:rsidR="00E1677F" w:rsidRPr="009F57D8" w14:paraId="3B44DDD4" w14:textId="77777777" w:rsidTr="00D80101">
        <w:trPr>
          <w:cantSplit/>
          <w:trHeight w:val="257"/>
          <w:tblHeader/>
        </w:trPr>
        <w:tc>
          <w:tcPr>
            <w:tcW w:w="5000" w:type="pct"/>
            <w:gridSpan w:val="4"/>
            <w:vAlign w:val="center"/>
          </w:tcPr>
          <w:p w14:paraId="74D9023C" w14:textId="6276B5EC" w:rsidR="00E1677F" w:rsidRPr="009F57D8" w:rsidRDefault="00E1677F" w:rsidP="00E1677F">
            <w:pPr>
              <w:pStyle w:val="TableText0"/>
              <w:rPr>
                <w:b/>
                <w:bCs w:val="0"/>
              </w:rPr>
            </w:pPr>
            <w:r w:rsidRPr="009F57D8">
              <w:rPr>
                <w:b/>
                <w:bCs w:val="0"/>
              </w:rPr>
              <w:t>Non-Indigenous ≥ 70 years</w:t>
            </w:r>
          </w:p>
        </w:tc>
      </w:tr>
      <w:tr w:rsidR="00E1677F" w:rsidRPr="009F57D8" w14:paraId="4350CF30" w14:textId="77777777" w:rsidTr="00D80101">
        <w:trPr>
          <w:cantSplit/>
          <w:trHeight w:val="257"/>
          <w:tblHeader/>
        </w:trPr>
        <w:tc>
          <w:tcPr>
            <w:tcW w:w="2267" w:type="pct"/>
            <w:vAlign w:val="center"/>
          </w:tcPr>
          <w:p w14:paraId="44B47EC7" w14:textId="26EB1686" w:rsidR="00E1677F" w:rsidRPr="009F57D8" w:rsidRDefault="00E1677F" w:rsidP="00E1677F">
            <w:pPr>
              <w:pStyle w:val="TableText0"/>
              <w:jc w:val="center"/>
              <w:rPr>
                <w:b/>
                <w:bCs w:val="0"/>
              </w:rPr>
            </w:pPr>
            <w:r w:rsidRPr="009F57D8">
              <w:rPr>
                <w:b/>
                <w:bCs w:val="0"/>
              </w:rPr>
              <w:t>Component</w:t>
            </w:r>
          </w:p>
        </w:tc>
        <w:tc>
          <w:tcPr>
            <w:tcW w:w="765" w:type="pct"/>
            <w:vAlign w:val="center"/>
          </w:tcPr>
          <w:p w14:paraId="5B706697" w14:textId="23CBD07F" w:rsidR="00E1677F" w:rsidRPr="009F57D8" w:rsidRDefault="00E1677F" w:rsidP="00E1677F">
            <w:pPr>
              <w:pStyle w:val="TableText0"/>
              <w:jc w:val="center"/>
              <w:rPr>
                <w:rFonts w:cstheme="minorHAnsi"/>
                <w:b/>
                <w:bCs w:val="0"/>
              </w:rPr>
            </w:pPr>
            <w:r w:rsidRPr="009F57D8">
              <w:rPr>
                <w:rFonts w:cstheme="minorHAnsi"/>
                <w:b/>
                <w:bCs w:val="0"/>
              </w:rPr>
              <w:t>21vPCV</w:t>
            </w:r>
            <w:r w:rsidRPr="009F57D8" w:rsidDel="00B52669">
              <w:rPr>
                <w:b/>
                <w:bCs w:val="0"/>
              </w:rPr>
              <w:t xml:space="preserve"> </w:t>
            </w:r>
          </w:p>
        </w:tc>
        <w:tc>
          <w:tcPr>
            <w:tcW w:w="1304" w:type="pct"/>
            <w:vAlign w:val="center"/>
          </w:tcPr>
          <w:p w14:paraId="021CA7F2" w14:textId="5D0A6C5B" w:rsidR="00E1677F" w:rsidRPr="009F57D8" w:rsidRDefault="00E1677F" w:rsidP="00E1677F">
            <w:pPr>
              <w:pStyle w:val="TableText0"/>
              <w:jc w:val="center"/>
              <w:rPr>
                <w:b/>
                <w:bCs w:val="0"/>
              </w:rPr>
            </w:pPr>
            <w:r w:rsidRPr="009F57D8">
              <w:rPr>
                <w:b/>
                <w:bCs w:val="0"/>
              </w:rPr>
              <w:t>13vPCV</w:t>
            </w:r>
          </w:p>
        </w:tc>
        <w:tc>
          <w:tcPr>
            <w:tcW w:w="664" w:type="pct"/>
            <w:vAlign w:val="center"/>
          </w:tcPr>
          <w:p w14:paraId="20639069" w14:textId="73EBBF30" w:rsidR="00E1677F" w:rsidRPr="009F57D8" w:rsidRDefault="00E1677F" w:rsidP="00E1677F">
            <w:pPr>
              <w:pStyle w:val="TableText0"/>
              <w:jc w:val="center"/>
              <w:rPr>
                <w:b/>
                <w:bCs w:val="0"/>
              </w:rPr>
            </w:pPr>
            <w:r w:rsidRPr="009F57D8">
              <w:rPr>
                <w:b/>
                <w:bCs w:val="0"/>
              </w:rPr>
              <w:t>Increment</w:t>
            </w:r>
          </w:p>
        </w:tc>
      </w:tr>
      <w:tr w:rsidR="00E1677F" w:rsidRPr="009F57D8" w14:paraId="508D9C04" w14:textId="77777777" w:rsidTr="00D80101">
        <w:trPr>
          <w:cantSplit/>
          <w:trHeight w:val="246"/>
          <w:tblHeader/>
        </w:trPr>
        <w:tc>
          <w:tcPr>
            <w:tcW w:w="2267" w:type="pct"/>
          </w:tcPr>
          <w:p w14:paraId="5BFEE78E" w14:textId="77777777" w:rsidR="00E1677F" w:rsidRPr="009F57D8" w:rsidRDefault="00E1677F" w:rsidP="00E1677F">
            <w:pPr>
              <w:pStyle w:val="TableText0"/>
            </w:pPr>
            <w:r w:rsidRPr="009F57D8">
              <w:t>Costs</w:t>
            </w:r>
          </w:p>
        </w:tc>
        <w:tc>
          <w:tcPr>
            <w:tcW w:w="765" w:type="pct"/>
          </w:tcPr>
          <w:p w14:paraId="5D060EBF" w14:textId="57784D1D" w:rsidR="00E1677F" w:rsidRPr="009F57D8" w:rsidRDefault="00E1677F" w:rsidP="00E1677F">
            <w:pPr>
              <w:pStyle w:val="TableText0"/>
              <w:jc w:val="center"/>
            </w:pPr>
            <w:r w:rsidRPr="009F57D8">
              <w:t>$</w:t>
            </w:r>
            <w:r w:rsidR="00FD08E9" w:rsidRPr="00FD08E9">
              <w:rPr>
                <w:highlight w:val="black"/>
              </w:rPr>
              <w:t>&amp;&amp;&amp;&amp;</w:t>
            </w:r>
          </w:p>
        </w:tc>
        <w:tc>
          <w:tcPr>
            <w:tcW w:w="1304" w:type="pct"/>
          </w:tcPr>
          <w:p w14:paraId="4C709F43" w14:textId="7027C721" w:rsidR="00E1677F" w:rsidRPr="009F57D8" w:rsidRDefault="00E1677F" w:rsidP="00E1677F">
            <w:pPr>
              <w:pStyle w:val="TableText0"/>
              <w:jc w:val="center"/>
            </w:pPr>
            <w:r w:rsidRPr="007F1C5C">
              <w:t>$</w:t>
            </w:r>
            <w:r w:rsidR="00FD08E9" w:rsidRPr="00FD08E9">
              <w:rPr>
                <w:highlight w:val="black"/>
              </w:rPr>
              <w:t>&amp;&amp;&amp;&amp;</w:t>
            </w:r>
          </w:p>
        </w:tc>
        <w:tc>
          <w:tcPr>
            <w:tcW w:w="664" w:type="pct"/>
          </w:tcPr>
          <w:p w14:paraId="179A9A12" w14:textId="7ECE2803" w:rsidR="00E1677F" w:rsidRPr="009F57D8" w:rsidRDefault="00E1677F" w:rsidP="00E1677F">
            <w:pPr>
              <w:pStyle w:val="TableText0"/>
              <w:jc w:val="center"/>
            </w:pPr>
            <w:r w:rsidRPr="009F57D8">
              <w:t>-$</w:t>
            </w:r>
            <w:r w:rsidR="00FD08E9" w:rsidRPr="00FD08E9">
              <w:rPr>
                <w:highlight w:val="black"/>
              </w:rPr>
              <w:t>&amp;&amp;&amp;&amp;</w:t>
            </w:r>
          </w:p>
        </w:tc>
      </w:tr>
      <w:tr w:rsidR="00E1677F" w:rsidRPr="009F57D8" w14:paraId="32B1EAD1" w14:textId="77777777" w:rsidTr="00D80101">
        <w:trPr>
          <w:cantSplit/>
          <w:trHeight w:val="246"/>
          <w:tblHeader/>
        </w:trPr>
        <w:tc>
          <w:tcPr>
            <w:tcW w:w="2267" w:type="pct"/>
          </w:tcPr>
          <w:p w14:paraId="63A713AD" w14:textId="77777777" w:rsidR="00E1677F" w:rsidRPr="009F57D8" w:rsidRDefault="00E1677F" w:rsidP="00E1677F">
            <w:pPr>
              <w:pStyle w:val="TableText0"/>
            </w:pPr>
            <w:r w:rsidRPr="009F57D8">
              <w:t>QALY</w:t>
            </w:r>
          </w:p>
        </w:tc>
        <w:tc>
          <w:tcPr>
            <w:tcW w:w="765" w:type="pct"/>
            <w:vAlign w:val="center"/>
          </w:tcPr>
          <w:p w14:paraId="1BAAC5F7" w14:textId="77777777" w:rsidR="00E1677F" w:rsidRPr="009F57D8" w:rsidRDefault="00E1677F" w:rsidP="00E1677F">
            <w:pPr>
              <w:pStyle w:val="TableText0"/>
              <w:jc w:val="center"/>
            </w:pPr>
            <w:r w:rsidRPr="009F57D8">
              <w:t>8,088</w:t>
            </w:r>
          </w:p>
        </w:tc>
        <w:tc>
          <w:tcPr>
            <w:tcW w:w="1304" w:type="pct"/>
            <w:vAlign w:val="center"/>
          </w:tcPr>
          <w:p w14:paraId="017960B6" w14:textId="77777777" w:rsidR="00E1677F" w:rsidRPr="009F57D8" w:rsidRDefault="00E1677F" w:rsidP="00E1677F">
            <w:pPr>
              <w:pStyle w:val="TableText0"/>
              <w:jc w:val="center"/>
            </w:pPr>
            <w:r w:rsidRPr="009F57D8">
              <w:t>8,085</w:t>
            </w:r>
          </w:p>
        </w:tc>
        <w:tc>
          <w:tcPr>
            <w:tcW w:w="664" w:type="pct"/>
            <w:vAlign w:val="center"/>
          </w:tcPr>
          <w:p w14:paraId="287FE0A3" w14:textId="77777777" w:rsidR="00E1677F" w:rsidRPr="009F57D8" w:rsidRDefault="00E1677F" w:rsidP="00E1677F">
            <w:pPr>
              <w:pStyle w:val="TableText0"/>
              <w:jc w:val="center"/>
            </w:pPr>
            <w:r w:rsidRPr="009F57D8">
              <w:t>2.65</w:t>
            </w:r>
          </w:p>
        </w:tc>
      </w:tr>
      <w:tr w:rsidR="00E1677F" w:rsidRPr="009F57D8" w14:paraId="14F52130" w14:textId="77777777" w:rsidTr="00D80101">
        <w:trPr>
          <w:cantSplit/>
          <w:trHeight w:val="246"/>
          <w:tblHeader/>
        </w:trPr>
        <w:tc>
          <w:tcPr>
            <w:tcW w:w="2267" w:type="pct"/>
          </w:tcPr>
          <w:p w14:paraId="6E8A1EA0" w14:textId="77777777" w:rsidR="00E1677F" w:rsidRPr="009F57D8" w:rsidRDefault="00E1677F" w:rsidP="00E1677F">
            <w:pPr>
              <w:pStyle w:val="TableText0"/>
            </w:pPr>
            <w:r w:rsidRPr="009F57D8">
              <w:t>LY</w:t>
            </w:r>
          </w:p>
        </w:tc>
        <w:tc>
          <w:tcPr>
            <w:tcW w:w="765" w:type="pct"/>
            <w:vAlign w:val="center"/>
          </w:tcPr>
          <w:p w14:paraId="43C5E400" w14:textId="77777777" w:rsidR="00E1677F" w:rsidRPr="009F57D8" w:rsidRDefault="00E1677F" w:rsidP="00E1677F">
            <w:pPr>
              <w:pStyle w:val="TableText0"/>
              <w:jc w:val="center"/>
            </w:pPr>
            <w:r w:rsidRPr="009F57D8">
              <w:t>17,034</w:t>
            </w:r>
          </w:p>
        </w:tc>
        <w:tc>
          <w:tcPr>
            <w:tcW w:w="1304" w:type="pct"/>
            <w:vAlign w:val="center"/>
          </w:tcPr>
          <w:p w14:paraId="19C8A1DA" w14:textId="77777777" w:rsidR="00E1677F" w:rsidRPr="009F57D8" w:rsidRDefault="00E1677F" w:rsidP="00E1677F">
            <w:pPr>
              <w:pStyle w:val="TableText0"/>
              <w:jc w:val="center"/>
            </w:pPr>
            <w:r w:rsidRPr="009F57D8">
              <w:t>17,026</w:t>
            </w:r>
          </w:p>
        </w:tc>
        <w:tc>
          <w:tcPr>
            <w:tcW w:w="664" w:type="pct"/>
            <w:vAlign w:val="center"/>
          </w:tcPr>
          <w:p w14:paraId="40F5F778" w14:textId="77777777" w:rsidR="00E1677F" w:rsidRPr="009F57D8" w:rsidRDefault="00E1677F" w:rsidP="00E1677F">
            <w:pPr>
              <w:pStyle w:val="TableText0"/>
              <w:jc w:val="center"/>
            </w:pPr>
            <w:r w:rsidRPr="009F57D8">
              <w:t>7.09</w:t>
            </w:r>
          </w:p>
        </w:tc>
      </w:tr>
      <w:tr w:rsidR="00E1677F" w:rsidRPr="009F57D8" w14:paraId="4213C9D5" w14:textId="77777777" w:rsidTr="00D80101">
        <w:trPr>
          <w:cantSplit/>
          <w:trHeight w:val="257"/>
          <w:tblHeader/>
        </w:trPr>
        <w:tc>
          <w:tcPr>
            <w:tcW w:w="2267" w:type="pct"/>
          </w:tcPr>
          <w:p w14:paraId="1B06F818" w14:textId="77777777" w:rsidR="00E1677F" w:rsidRPr="009F57D8" w:rsidRDefault="00E1677F" w:rsidP="00E1677F">
            <w:pPr>
              <w:pStyle w:val="TableText0"/>
              <w:rPr>
                <w:b/>
                <w:bCs w:val="0"/>
              </w:rPr>
            </w:pPr>
            <w:r w:rsidRPr="009F57D8">
              <w:rPr>
                <w:b/>
                <w:bCs w:val="0"/>
              </w:rPr>
              <w:t>Incremental cost/extra QALY gained</w:t>
            </w:r>
          </w:p>
        </w:tc>
        <w:tc>
          <w:tcPr>
            <w:tcW w:w="765" w:type="pct"/>
            <w:vAlign w:val="center"/>
          </w:tcPr>
          <w:p w14:paraId="75687965" w14:textId="77777777" w:rsidR="00E1677F" w:rsidRPr="009F57D8" w:rsidRDefault="00E1677F" w:rsidP="00E1677F">
            <w:pPr>
              <w:pStyle w:val="TableText0"/>
              <w:jc w:val="center"/>
              <w:rPr>
                <w:b/>
                <w:bCs w:val="0"/>
              </w:rPr>
            </w:pPr>
          </w:p>
        </w:tc>
        <w:tc>
          <w:tcPr>
            <w:tcW w:w="1968" w:type="pct"/>
            <w:gridSpan w:val="2"/>
            <w:vAlign w:val="center"/>
          </w:tcPr>
          <w:p w14:paraId="44061F3D" w14:textId="77777777" w:rsidR="00E1677F" w:rsidRPr="009F57D8" w:rsidRDefault="00E1677F" w:rsidP="00E1677F">
            <w:pPr>
              <w:pStyle w:val="TableText0"/>
              <w:jc w:val="center"/>
              <w:rPr>
                <w:b/>
                <w:bCs w:val="0"/>
              </w:rPr>
            </w:pPr>
            <w:r w:rsidRPr="009F57D8">
              <w:rPr>
                <w:b/>
                <w:bCs w:val="0"/>
              </w:rPr>
              <w:t>Dominant</w:t>
            </w:r>
          </w:p>
        </w:tc>
      </w:tr>
      <w:tr w:rsidR="00E1677F" w:rsidRPr="009F57D8" w14:paraId="2664C0D0" w14:textId="77777777" w:rsidTr="00D80101">
        <w:trPr>
          <w:cantSplit/>
          <w:trHeight w:val="246"/>
          <w:tblHeader/>
        </w:trPr>
        <w:tc>
          <w:tcPr>
            <w:tcW w:w="2267" w:type="pct"/>
          </w:tcPr>
          <w:p w14:paraId="0C32B8D7" w14:textId="77777777" w:rsidR="00E1677F" w:rsidRPr="009F57D8" w:rsidRDefault="00E1677F" w:rsidP="00E1677F">
            <w:pPr>
              <w:pStyle w:val="TableText0"/>
            </w:pPr>
            <w:r w:rsidRPr="009F57D8">
              <w:t>Incremental cost/extra LY gained</w:t>
            </w:r>
          </w:p>
        </w:tc>
        <w:tc>
          <w:tcPr>
            <w:tcW w:w="765" w:type="pct"/>
            <w:vAlign w:val="center"/>
          </w:tcPr>
          <w:p w14:paraId="10E9B606" w14:textId="77777777" w:rsidR="00E1677F" w:rsidRPr="009F57D8" w:rsidRDefault="00E1677F" w:rsidP="00E1677F">
            <w:pPr>
              <w:pStyle w:val="TableText0"/>
              <w:jc w:val="center"/>
            </w:pPr>
          </w:p>
        </w:tc>
        <w:tc>
          <w:tcPr>
            <w:tcW w:w="1968" w:type="pct"/>
            <w:gridSpan w:val="2"/>
            <w:vAlign w:val="center"/>
          </w:tcPr>
          <w:p w14:paraId="70F8B435" w14:textId="77777777" w:rsidR="00E1677F" w:rsidRPr="009F57D8" w:rsidRDefault="00E1677F" w:rsidP="00E1677F">
            <w:pPr>
              <w:pStyle w:val="TableText0"/>
              <w:jc w:val="center"/>
            </w:pPr>
            <w:r w:rsidRPr="009F57D8">
              <w:t>Dominant</w:t>
            </w:r>
          </w:p>
        </w:tc>
      </w:tr>
      <w:tr w:rsidR="00E1677F" w:rsidRPr="009F57D8" w14:paraId="0B10AFB9" w14:textId="77777777" w:rsidTr="00D80101">
        <w:trPr>
          <w:cantSplit/>
          <w:trHeight w:val="246"/>
          <w:tblHeader/>
        </w:trPr>
        <w:tc>
          <w:tcPr>
            <w:tcW w:w="5000" w:type="pct"/>
            <w:gridSpan w:val="4"/>
          </w:tcPr>
          <w:p w14:paraId="483491B3" w14:textId="0F1A7FEE" w:rsidR="00E1677F" w:rsidRPr="009F57D8" w:rsidRDefault="00E1677F" w:rsidP="00E1677F">
            <w:pPr>
              <w:pStyle w:val="TableText0"/>
            </w:pPr>
            <w:r w:rsidRPr="009F57D8">
              <w:rPr>
                <w:b/>
                <w:bCs w:val="0"/>
              </w:rPr>
              <w:t xml:space="preserve">Indigenous ≥ 50 years </w:t>
            </w:r>
            <w:r w:rsidRPr="009F57D8">
              <w:rPr>
                <w:b/>
                <w:bCs w:val="0"/>
                <w:vertAlign w:val="superscript"/>
              </w:rPr>
              <w:t>b</w:t>
            </w:r>
          </w:p>
        </w:tc>
      </w:tr>
      <w:tr w:rsidR="00E1677F" w:rsidRPr="009F57D8" w14:paraId="0682C686" w14:textId="77777777" w:rsidTr="00D80101">
        <w:trPr>
          <w:cantSplit/>
          <w:trHeight w:val="257"/>
          <w:tblHeader/>
        </w:trPr>
        <w:tc>
          <w:tcPr>
            <w:tcW w:w="2267" w:type="pct"/>
            <w:vAlign w:val="center"/>
          </w:tcPr>
          <w:p w14:paraId="144D55D8" w14:textId="77777777" w:rsidR="00E1677F" w:rsidRPr="009F57D8" w:rsidRDefault="00E1677F" w:rsidP="00E1677F">
            <w:pPr>
              <w:pStyle w:val="TableText0"/>
              <w:jc w:val="center"/>
              <w:rPr>
                <w:b/>
                <w:bCs w:val="0"/>
              </w:rPr>
            </w:pPr>
            <w:r w:rsidRPr="009F57D8">
              <w:rPr>
                <w:b/>
                <w:bCs w:val="0"/>
              </w:rPr>
              <w:t>Component</w:t>
            </w:r>
          </w:p>
        </w:tc>
        <w:tc>
          <w:tcPr>
            <w:tcW w:w="765" w:type="pct"/>
            <w:vAlign w:val="center"/>
          </w:tcPr>
          <w:p w14:paraId="75E3078C" w14:textId="280D31B4" w:rsidR="00E1677F" w:rsidRPr="009F57D8" w:rsidRDefault="00E1677F" w:rsidP="00E1677F">
            <w:pPr>
              <w:pStyle w:val="TableText0"/>
              <w:jc w:val="center"/>
              <w:rPr>
                <w:b/>
                <w:bCs w:val="0"/>
              </w:rPr>
            </w:pPr>
            <w:r w:rsidRPr="009F57D8">
              <w:rPr>
                <w:b/>
                <w:bCs w:val="0"/>
              </w:rPr>
              <w:t>21vPCV</w:t>
            </w:r>
          </w:p>
        </w:tc>
        <w:tc>
          <w:tcPr>
            <w:tcW w:w="1304" w:type="pct"/>
            <w:vAlign w:val="center"/>
          </w:tcPr>
          <w:p w14:paraId="21A57C06" w14:textId="77777777" w:rsidR="00E1677F" w:rsidRPr="009F57D8" w:rsidRDefault="00E1677F" w:rsidP="00E1677F">
            <w:pPr>
              <w:pStyle w:val="TableText0"/>
              <w:jc w:val="center"/>
              <w:rPr>
                <w:b/>
                <w:bCs w:val="0"/>
                <w:vertAlign w:val="superscript"/>
              </w:rPr>
            </w:pPr>
            <w:r w:rsidRPr="009F57D8">
              <w:rPr>
                <w:b/>
                <w:bCs w:val="0"/>
              </w:rPr>
              <w:t>13vPCV ± 2x23vPPV</w:t>
            </w:r>
          </w:p>
        </w:tc>
        <w:tc>
          <w:tcPr>
            <w:tcW w:w="664" w:type="pct"/>
            <w:vAlign w:val="center"/>
          </w:tcPr>
          <w:p w14:paraId="6493B6E3" w14:textId="77777777" w:rsidR="00E1677F" w:rsidRPr="009F57D8" w:rsidRDefault="00E1677F" w:rsidP="00E1677F">
            <w:pPr>
              <w:pStyle w:val="TableText0"/>
              <w:jc w:val="center"/>
              <w:rPr>
                <w:b/>
                <w:bCs w:val="0"/>
              </w:rPr>
            </w:pPr>
            <w:r w:rsidRPr="009F57D8">
              <w:rPr>
                <w:b/>
                <w:bCs w:val="0"/>
              </w:rPr>
              <w:t>Increment</w:t>
            </w:r>
          </w:p>
        </w:tc>
      </w:tr>
      <w:tr w:rsidR="00E1677F" w:rsidRPr="009F57D8" w14:paraId="4BDF7FF0" w14:textId="77777777" w:rsidTr="00D80101">
        <w:trPr>
          <w:cantSplit/>
          <w:trHeight w:val="246"/>
          <w:tblHeader/>
        </w:trPr>
        <w:tc>
          <w:tcPr>
            <w:tcW w:w="2267" w:type="pct"/>
          </w:tcPr>
          <w:p w14:paraId="6206A3B9" w14:textId="77777777" w:rsidR="00E1677F" w:rsidRPr="009F57D8" w:rsidRDefault="00E1677F" w:rsidP="00E1677F">
            <w:pPr>
              <w:pStyle w:val="TableText0"/>
            </w:pPr>
            <w:r w:rsidRPr="009F57D8">
              <w:t>Costs</w:t>
            </w:r>
          </w:p>
        </w:tc>
        <w:tc>
          <w:tcPr>
            <w:tcW w:w="765" w:type="pct"/>
          </w:tcPr>
          <w:p w14:paraId="33C3CE05" w14:textId="09751DCB" w:rsidR="00E1677F" w:rsidRPr="009F57D8" w:rsidRDefault="00E1677F" w:rsidP="00E1677F">
            <w:pPr>
              <w:pStyle w:val="TableText0"/>
              <w:jc w:val="center"/>
            </w:pPr>
            <w:r w:rsidRPr="009F57D8">
              <w:t>$</w:t>
            </w:r>
            <w:r w:rsidR="00FD08E9" w:rsidRPr="00FD08E9">
              <w:rPr>
                <w:highlight w:val="black"/>
              </w:rPr>
              <w:t>&amp;&amp;&amp;&amp;</w:t>
            </w:r>
          </w:p>
        </w:tc>
        <w:tc>
          <w:tcPr>
            <w:tcW w:w="1304" w:type="pct"/>
          </w:tcPr>
          <w:p w14:paraId="79C3592C" w14:textId="66070C44" w:rsidR="00E1677F" w:rsidRPr="009F57D8" w:rsidRDefault="00E1677F" w:rsidP="00E1677F">
            <w:pPr>
              <w:pStyle w:val="TableText0"/>
              <w:jc w:val="center"/>
            </w:pPr>
            <w:r w:rsidRPr="003C48C4">
              <w:t>$</w:t>
            </w:r>
            <w:r w:rsidR="00FD08E9" w:rsidRPr="00FD08E9">
              <w:rPr>
                <w:highlight w:val="black"/>
              </w:rPr>
              <w:t>&amp;&amp;&amp;&amp;</w:t>
            </w:r>
          </w:p>
        </w:tc>
        <w:tc>
          <w:tcPr>
            <w:tcW w:w="664" w:type="pct"/>
          </w:tcPr>
          <w:p w14:paraId="5640F880" w14:textId="247FD038" w:rsidR="00E1677F" w:rsidRPr="009F57D8" w:rsidRDefault="00E1677F" w:rsidP="00E1677F">
            <w:pPr>
              <w:pStyle w:val="TableText0"/>
              <w:jc w:val="center"/>
            </w:pPr>
            <w:r w:rsidRPr="009F57D8">
              <w:t>-$</w:t>
            </w:r>
            <w:r w:rsidR="00FD08E9" w:rsidRPr="00FD08E9">
              <w:rPr>
                <w:highlight w:val="black"/>
              </w:rPr>
              <w:t>&amp;&amp;&amp;&amp;</w:t>
            </w:r>
          </w:p>
        </w:tc>
      </w:tr>
      <w:tr w:rsidR="00E1677F" w:rsidRPr="009F57D8" w14:paraId="418EB035" w14:textId="77777777" w:rsidTr="00D80101">
        <w:trPr>
          <w:cantSplit/>
          <w:trHeight w:val="246"/>
          <w:tblHeader/>
        </w:trPr>
        <w:tc>
          <w:tcPr>
            <w:tcW w:w="2267" w:type="pct"/>
          </w:tcPr>
          <w:p w14:paraId="583BEC15" w14:textId="77777777" w:rsidR="00E1677F" w:rsidRPr="009F57D8" w:rsidRDefault="00E1677F" w:rsidP="00E1677F">
            <w:pPr>
              <w:pStyle w:val="TableText0"/>
            </w:pPr>
            <w:r w:rsidRPr="009F57D8">
              <w:t>QALY</w:t>
            </w:r>
          </w:p>
        </w:tc>
        <w:tc>
          <w:tcPr>
            <w:tcW w:w="765" w:type="pct"/>
            <w:vAlign w:val="center"/>
          </w:tcPr>
          <w:p w14:paraId="0DDCCFED" w14:textId="77777777" w:rsidR="00E1677F" w:rsidRPr="009F57D8" w:rsidRDefault="00E1677F" w:rsidP="00E1677F">
            <w:pPr>
              <w:pStyle w:val="TableText0"/>
              <w:jc w:val="center"/>
            </w:pPr>
            <w:r w:rsidRPr="009F57D8">
              <w:t>7,367</w:t>
            </w:r>
          </w:p>
        </w:tc>
        <w:tc>
          <w:tcPr>
            <w:tcW w:w="1304" w:type="pct"/>
            <w:vAlign w:val="center"/>
          </w:tcPr>
          <w:p w14:paraId="6B2178F5" w14:textId="77777777" w:rsidR="00E1677F" w:rsidRPr="009F57D8" w:rsidRDefault="00E1677F" w:rsidP="00E1677F">
            <w:pPr>
              <w:pStyle w:val="TableText0"/>
              <w:jc w:val="center"/>
            </w:pPr>
            <w:r w:rsidRPr="009F57D8">
              <w:t>7,364</w:t>
            </w:r>
          </w:p>
        </w:tc>
        <w:tc>
          <w:tcPr>
            <w:tcW w:w="664" w:type="pct"/>
            <w:vAlign w:val="center"/>
          </w:tcPr>
          <w:p w14:paraId="7E2A423D" w14:textId="77777777" w:rsidR="00E1677F" w:rsidRPr="009F57D8" w:rsidRDefault="00E1677F" w:rsidP="00E1677F">
            <w:pPr>
              <w:pStyle w:val="TableText0"/>
              <w:jc w:val="center"/>
            </w:pPr>
            <w:r w:rsidRPr="009F57D8">
              <w:t>2.28</w:t>
            </w:r>
          </w:p>
        </w:tc>
      </w:tr>
      <w:tr w:rsidR="00E1677F" w:rsidRPr="009F57D8" w14:paraId="12066F44" w14:textId="77777777" w:rsidTr="00D80101">
        <w:trPr>
          <w:cantSplit/>
          <w:trHeight w:val="246"/>
          <w:tblHeader/>
        </w:trPr>
        <w:tc>
          <w:tcPr>
            <w:tcW w:w="2267" w:type="pct"/>
          </w:tcPr>
          <w:p w14:paraId="1A0ACB6E" w14:textId="77777777" w:rsidR="00E1677F" w:rsidRPr="009F57D8" w:rsidRDefault="00E1677F" w:rsidP="00E1677F">
            <w:pPr>
              <w:pStyle w:val="TableText0"/>
            </w:pPr>
            <w:r w:rsidRPr="009F57D8">
              <w:t>LY</w:t>
            </w:r>
          </w:p>
        </w:tc>
        <w:tc>
          <w:tcPr>
            <w:tcW w:w="765" w:type="pct"/>
            <w:vAlign w:val="center"/>
          </w:tcPr>
          <w:p w14:paraId="2B2AFD33" w14:textId="77777777" w:rsidR="00E1677F" w:rsidRPr="009F57D8" w:rsidRDefault="00E1677F" w:rsidP="00E1677F">
            <w:pPr>
              <w:pStyle w:val="TableText0"/>
              <w:jc w:val="center"/>
            </w:pPr>
            <w:r w:rsidRPr="009F57D8">
              <w:t>13,529</w:t>
            </w:r>
          </w:p>
        </w:tc>
        <w:tc>
          <w:tcPr>
            <w:tcW w:w="1304" w:type="pct"/>
            <w:vAlign w:val="center"/>
          </w:tcPr>
          <w:p w14:paraId="2B4056E2" w14:textId="77777777" w:rsidR="00E1677F" w:rsidRPr="009F57D8" w:rsidRDefault="00E1677F" w:rsidP="00E1677F">
            <w:pPr>
              <w:pStyle w:val="TableText0"/>
              <w:jc w:val="center"/>
            </w:pPr>
            <w:r w:rsidRPr="009F57D8">
              <w:t>13,523</w:t>
            </w:r>
          </w:p>
        </w:tc>
        <w:tc>
          <w:tcPr>
            <w:tcW w:w="664" w:type="pct"/>
            <w:vAlign w:val="center"/>
          </w:tcPr>
          <w:p w14:paraId="5E51EF45" w14:textId="77777777" w:rsidR="00E1677F" w:rsidRPr="009F57D8" w:rsidRDefault="00E1677F" w:rsidP="00E1677F">
            <w:pPr>
              <w:pStyle w:val="TableText0"/>
              <w:jc w:val="center"/>
            </w:pPr>
            <w:r w:rsidRPr="009F57D8">
              <w:t>5.30</w:t>
            </w:r>
          </w:p>
        </w:tc>
      </w:tr>
      <w:tr w:rsidR="00E1677F" w:rsidRPr="009F57D8" w14:paraId="1E96E4FD" w14:textId="77777777" w:rsidTr="00D80101">
        <w:trPr>
          <w:cantSplit/>
          <w:trHeight w:val="257"/>
          <w:tblHeader/>
        </w:trPr>
        <w:tc>
          <w:tcPr>
            <w:tcW w:w="2267" w:type="pct"/>
          </w:tcPr>
          <w:p w14:paraId="1BE72F9D" w14:textId="77777777" w:rsidR="00E1677F" w:rsidRPr="009F57D8" w:rsidRDefault="00E1677F" w:rsidP="00E1677F">
            <w:pPr>
              <w:pStyle w:val="TableText0"/>
              <w:rPr>
                <w:b/>
                <w:bCs w:val="0"/>
              </w:rPr>
            </w:pPr>
            <w:r w:rsidRPr="009F57D8">
              <w:rPr>
                <w:b/>
                <w:bCs w:val="0"/>
              </w:rPr>
              <w:t>Incremental cost/extra QALY gained</w:t>
            </w:r>
          </w:p>
        </w:tc>
        <w:tc>
          <w:tcPr>
            <w:tcW w:w="765" w:type="pct"/>
            <w:vAlign w:val="center"/>
          </w:tcPr>
          <w:p w14:paraId="0F1A5E73" w14:textId="77777777" w:rsidR="00E1677F" w:rsidRPr="009F57D8" w:rsidRDefault="00E1677F" w:rsidP="00E1677F">
            <w:pPr>
              <w:pStyle w:val="TableText0"/>
              <w:jc w:val="center"/>
              <w:rPr>
                <w:b/>
                <w:bCs w:val="0"/>
              </w:rPr>
            </w:pPr>
          </w:p>
        </w:tc>
        <w:tc>
          <w:tcPr>
            <w:tcW w:w="1968" w:type="pct"/>
            <w:gridSpan w:val="2"/>
            <w:vAlign w:val="center"/>
          </w:tcPr>
          <w:p w14:paraId="01A60F0A" w14:textId="77777777" w:rsidR="00E1677F" w:rsidRPr="009F57D8" w:rsidRDefault="00E1677F" w:rsidP="00E1677F">
            <w:pPr>
              <w:pStyle w:val="TableText0"/>
              <w:jc w:val="center"/>
              <w:rPr>
                <w:b/>
                <w:bCs w:val="0"/>
              </w:rPr>
            </w:pPr>
            <w:r w:rsidRPr="009F57D8">
              <w:rPr>
                <w:b/>
                <w:bCs w:val="0"/>
              </w:rPr>
              <w:t>Dominant</w:t>
            </w:r>
          </w:p>
        </w:tc>
      </w:tr>
      <w:tr w:rsidR="00E1677F" w:rsidRPr="009F57D8" w14:paraId="66AAA193" w14:textId="77777777" w:rsidTr="00D80101">
        <w:trPr>
          <w:cantSplit/>
          <w:trHeight w:val="246"/>
          <w:tblHeader/>
        </w:trPr>
        <w:tc>
          <w:tcPr>
            <w:tcW w:w="2267" w:type="pct"/>
          </w:tcPr>
          <w:p w14:paraId="1DDB7882" w14:textId="77777777" w:rsidR="00E1677F" w:rsidRPr="009F57D8" w:rsidRDefault="00E1677F" w:rsidP="00E1677F">
            <w:pPr>
              <w:pStyle w:val="TableText0"/>
            </w:pPr>
            <w:r w:rsidRPr="009F57D8">
              <w:t>Incremental cost/extra LY gained</w:t>
            </w:r>
          </w:p>
        </w:tc>
        <w:tc>
          <w:tcPr>
            <w:tcW w:w="765" w:type="pct"/>
            <w:vAlign w:val="center"/>
          </w:tcPr>
          <w:p w14:paraId="07AAC85B" w14:textId="77777777" w:rsidR="00E1677F" w:rsidRPr="009F57D8" w:rsidRDefault="00E1677F" w:rsidP="00E1677F">
            <w:pPr>
              <w:pStyle w:val="TableText0"/>
              <w:jc w:val="center"/>
            </w:pPr>
          </w:p>
        </w:tc>
        <w:tc>
          <w:tcPr>
            <w:tcW w:w="1968" w:type="pct"/>
            <w:gridSpan w:val="2"/>
            <w:vAlign w:val="center"/>
          </w:tcPr>
          <w:p w14:paraId="3DD4F638" w14:textId="77777777" w:rsidR="00E1677F" w:rsidRPr="009F57D8" w:rsidRDefault="00E1677F" w:rsidP="00E1677F">
            <w:pPr>
              <w:pStyle w:val="TableText0"/>
              <w:jc w:val="center"/>
            </w:pPr>
            <w:r w:rsidRPr="009F57D8">
              <w:t>Dominant</w:t>
            </w:r>
          </w:p>
        </w:tc>
      </w:tr>
      <w:tr w:rsidR="00E1677F" w:rsidRPr="009F57D8" w14:paraId="63D357C2" w14:textId="77777777" w:rsidTr="00D80101">
        <w:trPr>
          <w:cantSplit/>
          <w:trHeight w:val="246"/>
          <w:tblHeader/>
        </w:trPr>
        <w:tc>
          <w:tcPr>
            <w:tcW w:w="5000" w:type="pct"/>
            <w:gridSpan w:val="4"/>
          </w:tcPr>
          <w:p w14:paraId="153E9065" w14:textId="4681F7B6" w:rsidR="00E1677F" w:rsidRPr="009F57D8" w:rsidRDefault="00E1677F" w:rsidP="00E1677F">
            <w:pPr>
              <w:pStyle w:val="TableText0"/>
            </w:pPr>
            <w:r w:rsidRPr="009F57D8">
              <w:rPr>
                <w:b/>
                <w:bCs w:val="0"/>
              </w:rPr>
              <w:t xml:space="preserve">MaR ≥ 18 to 69 years </w:t>
            </w:r>
            <w:r w:rsidRPr="009F57D8">
              <w:rPr>
                <w:b/>
                <w:bCs w:val="0"/>
                <w:vertAlign w:val="superscript"/>
              </w:rPr>
              <w:t>b,c</w:t>
            </w:r>
          </w:p>
        </w:tc>
      </w:tr>
      <w:tr w:rsidR="00E1677F" w:rsidRPr="009F57D8" w14:paraId="48B0E4AC" w14:textId="77777777" w:rsidTr="00D80101">
        <w:trPr>
          <w:cantSplit/>
          <w:trHeight w:val="257"/>
          <w:tblHeader/>
        </w:trPr>
        <w:tc>
          <w:tcPr>
            <w:tcW w:w="2267" w:type="pct"/>
            <w:vAlign w:val="center"/>
          </w:tcPr>
          <w:p w14:paraId="6C3F3338" w14:textId="77777777" w:rsidR="00E1677F" w:rsidRPr="009F57D8" w:rsidRDefault="00E1677F" w:rsidP="00E1677F">
            <w:pPr>
              <w:pStyle w:val="TableText0"/>
              <w:jc w:val="center"/>
              <w:rPr>
                <w:b/>
                <w:bCs w:val="0"/>
              </w:rPr>
            </w:pPr>
            <w:r w:rsidRPr="009F57D8">
              <w:rPr>
                <w:b/>
                <w:bCs w:val="0"/>
              </w:rPr>
              <w:t>Component</w:t>
            </w:r>
          </w:p>
        </w:tc>
        <w:tc>
          <w:tcPr>
            <w:tcW w:w="765" w:type="pct"/>
            <w:vAlign w:val="center"/>
          </w:tcPr>
          <w:p w14:paraId="4F9CE27B" w14:textId="09395766" w:rsidR="00E1677F" w:rsidRPr="009F57D8" w:rsidRDefault="00E1677F" w:rsidP="00E1677F">
            <w:pPr>
              <w:pStyle w:val="TableText0"/>
              <w:jc w:val="center"/>
              <w:rPr>
                <w:b/>
                <w:bCs w:val="0"/>
              </w:rPr>
            </w:pPr>
            <w:r w:rsidRPr="009F57D8">
              <w:rPr>
                <w:b/>
                <w:bCs w:val="0"/>
              </w:rPr>
              <w:t>21vPCV</w:t>
            </w:r>
          </w:p>
        </w:tc>
        <w:tc>
          <w:tcPr>
            <w:tcW w:w="1304" w:type="pct"/>
            <w:vAlign w:val="center"/>
          </w:tcPr>
          <w:p w14:paraId="50A95B54" w14:textId="77777777" w:rsidR="00E1677F" w:rsidRPr="009F57D8" w:rsidRDefault="00E1677F" w:rsidP="00E1677F">
            <w:pPr>
              <w:pStyle w:val="TableText0"/>
              <w:jc w:val="center"/>
              <w:rPr>
                <w:b/>
                <w:bCs w:val="0"/>
              </w:rPr>
            </w:pPr>
            <w:r w:rsidRPr="009F57D8">
              <w:rPr>
                <w:b/>
                <w:bCs w:val="0"/>
              </w:rPr>
              <w:t>13vPCV ± 2x23vPPV</w:t>
            </w:r>
          </w:p>
        </w:tc>
        <w:tc>
          <w:tcPr>
            <w:tcW w:w="664" w:type="pct"/>
            <w:vAlign w:val="center"/>
          </w:tcPr>
          <w:p w14:paraId="0C218CC5" w14:textId="77777777" w:rsidR="00E1677F" w:rsidRPr="009F57D8" w:rsidRDefault="00E1677F" w:rsidP="00E1677F">
            <w:pPr>
              <w:pStyle w:val="TableText0"/>
              <w:jc w:val="center"/>
              <w:rPr>
                <w:b/>
                <w:bCs w:val="0"/>
              </w:rPr>
            </w:pPr>
            <w:r w:rsidRPr="009F57D8">
              <w:rPr>
                <w:b/>
                <w:bCs w:val="0"/>
              </w:rPr>
              <w:t>Increment</w:t>
            </w:r>
          </w:p>
        </w:tc>
      </w:tr>
      <w:tr w:rsidR="00E1677F" w:rsidRPr="009F57D8" w14:paraId="3494349E" w14:textId="77777777" w:rsidTr="00D80101">
        <w:trPr>
          <w:cantSplit/>
          <w:trHeight w:val="246"/>
          <w:tblHeader/>
        </w:trPr>
        <w:tc>
          <w:tcPr>
            <w:tcW w:w="2267" w:type="pct"/>
          </w:tcPr>
          <w:p w14:paraId="45417C1E" w14:textId="77777777" w:rsidR="00E1677F" w:rsidRPr="009F57D8" w:rsidRDefault="00E1677F" w:rsidP="00E1677F">
            <w:pPr>
              <w:pStyle w:val="TableText0"/>
            </w:pPr>
            <w:r w:rsidRPr="009F57D8">
              <w:t>Costs</w:t>
            </w:r>
          </w:p>
        </w:tc>
        <w:tc>
          <w:tcPr>
            <w:tcW w:w="765" w:type="pct"/>
          </w:tcPr>
          <w:p w14:paraId="7C43585F" w14:textId="48E1ECAF" w:rsidR="00E1677F" w:rsidRPr="009F57D8" w:rsidRDefault="00E1677F" w:rsidP="00E1677F">
            <w:pPr>
              <w:pStyle w:val="TableText0"/>
              <w:jc w:val="center"/>
            </w:pPr>
            <w:r w:rsidRPr="009F57D8">
              <w:t>$</w:t>
            </w:r>
            <w:r w:rsidR="00FD08E9" w:rsidRPr="00FD08E9">
              <w:rPr>
                <w:highlight w:val="black"/>
              </w:rPr>
              <w:t>&amp;&amp;&amp;&amp;</w:t>
            </w:r>
          </w:p>
        </w:tc>
        <w:tc>
          <w:tcPr>
            <w:tcW w:w="1304" w:type="pct"/>
          </w:tcPr>
          <w:p w14:paraId="3EA22DAC" w14:textId="5E659FAD" w:rsidR="00E1677F" w:rsidRPr="009F57D8" w:rsidRDefault="00E1677F" w:rsidP="00E1677F">
            <w:pPr>
              <w:pStyle w:val="TableText0"/>
              <w:jc w:val="center"/>
            </w:pPr>
            <w:r w:rsidRPr="003C48C4">
              <w:t>$</w:t>
            </w:r>
            <w:r w:rsidR="00FD08E9" w:rsidRPr="00FD08E9">
              <w:rPr>
                <w:highlight w:val="black"/>
              </w:rPr>
              <w:t>&amp;&amp;&amp;&amp;</w:t>
            </w:r>
          </w:p>
        </w:tc>
        <w:tc>
          <w:tcPr>
            <w:tcW w:w="664" w:type="pct"/>
          </w:tcPr>
          <w:p w14:paraId="6EBEEE62" w14:textId="0329446F" w:rsidR="00E1677F" w:rsidRPr="009F57D8" w:rsidRDefault="00E1677F" w:rsidP="00E1677F">
            <w:pPr>
              <w:pStyle w:val="TableText0"/>
              <w:jc w:val="center"/>
            </w:pPr>
            <w:r w:rsidRPr="009F57D8">
              <w:t>-$</w:t>
            </w:r>
            <w:r w:rsidR="00FD08E9" w:rsidRPr="00FD08E9">
              <w:rPr>
                <w:highlight w:val="black"/>
              </w:rPr>
              <w:t>&amp;&amp;&amp;&amp;</w:t>
            </w:r>
          </w:p>
        </w:tc>
      </w:tr>
      <w:tr w:rsidR="00E1677F" w:rsidRPr="009F57D8" w14:paraId="12A093FC" w14:textId="77777777" w:rsidTr="00D80101">
        <w:trPr>
          <w:cantSplit/>
          <w:trHeight w:val="246"/>
          <w:tblHeader/>
        </w:trPr>
        <w:tc>
          <w:tcPr>
            <w:tcW w:w="2267" w:type="pct"/>
          </w:tcPr>
          <w:p w14:paraId="34B36C96" w14:textId="77777777" w:rsidR="00E1677F" w:rsidRPr="009F57D8" w:rsidRDefault="00E1677F" w:rsidP="00E1677F">
            <w:pPr>
              <w:pStyle w:val="TableText0"/>
            </w:pPr>
            <w:r w:rsidRPr="009F57D8">
              <w:t>QALY</w:t>
            </w:r>
          </w:p>
        </w:tc>
        <w:tc>
          <w:tcPr>
            <w:tcW w:w="765" w:type="pct"/>
            <w:vAlign w:val="center"/>
          </w:tcPr>
          <w:p w14:paraId="62599281" w14:textId="77777777" w:rsidR="00E1677F" w:rsidRPr="009F57D8" w:rsidRDefault="00E1677F" w:rsidP="00E1677F">
            <w:pPr>
              <w:pStyle w:val="TableText0"/>
              <w:jc w:val="center"/>
            </w:pPr>
            <w:r w:rsidRPr="009F57D8">
              <w:t>15,379</w:t>
            </w:r>
          </w:p>
        </w:tc>
        <w:tc>
          <w:tcPr>
            <w:tcW w:w="1304" w:type="pct"/>
            <w:vAlign w:val="center"/>
          </w:tcPr>
          <w:p w14:paraId="21563ACD" w14:textId="77777777" w:rsidR="00E1677F" w:rsidRPr="009F57D8" w:rsidRDefault="00E1677F" w:rsidP="00E1677F">
            <w:pPr>
              <w:pStyle w:val="TableText0"/>
              <w:jc w:val="center"/>
            </w:pPr>
            <w:r w:rsidRPr="009F57D8">
              <w:t>15,378</w:t>
            </w:r>
          </w:p>
        </w:tc>
        <w:tc>
          <w:tcPr>
            <w:tcW w:w="664" w:type="pct"/>
            <w:vAlign w:val="center"/>
          </w:tcPr>
          <w:p w14:paraId="041A9F72" w14:textId="77777777" w:rsidR="00E1677F" w:rsidRPr="009F57D8" w:rsidRDefault="00E1677F" w:rsidP="00E1677F">
            <w:pPr>
              <w:pStyle w:val="TableText0"/>
              <w:jc w:val="center"/>
            </w:pPr>
            <w:r w:rsidRPr="009F57D8">
              <w:t>1.43</w:t>
            </w:r>
          </w:p>
        </w:tc>
      </w:tr>
      <w:tr w:rsidR="00E1677F" w:rsidRPr="009F57D8" w14:paraId="20FF0641" w14:textId="77777777" w:rsidTr="00D80101">
        <w:trPr>
          <w:cantSplit/>
          <w:trHeight w:val="246"/>
          <w:tblHeader/>
        </w:trPr>
        <w:tc>
          <w:tcPr>
            <w:tcW w:w="2267" w:type="pct"/>
          </w:tcPr>
          <w:p w14:paraId="3559F507" w14:textId="77777777" w:rsidR="00E1677F" w:rsidRPr="009F57D8" w:rsidRDefault="00E1677F" w:rsidP="00E1677F">
            <w:pPr>
              <w:pStyle w:val="TableText0"/>
            </w:pPr>
            <w:r w:rsidRPr="009F57D8">
              <w:t>LY</w:t>
            </w:r>
          </w:p>
        </w:tc>
        <w:tc>
          <w:tcPr>
            <w:tcW w:w="765" w:type="pct"/>
            <w:vAlign w:val="center"/>
          </w:tcPr>
          <w:p w14:paraId="5719D626" w14:textId="77777777" w:rsidR="00E1677F" w:rsidRPr="009F57D8" w:rsidRDefault="00E1677F" w:rsidP="00E1677F">
            <w:pPr>
              <w:pStyle w:val="TableText0"/>
              <w:jc w:val="center"/>
            </w:pPr>
            <w:r w:rsidRPr="009F57D8">
              <w:t>48,186</w:t>
            </w:r>
          </w:p>
        </w:tc>
        <w:tc>
          <w:tcPr>
            <w:tcW w:w="1304" w:type="pct"/>
            <w:vAlign w:val="center"/>
          </w:tcPr>
          <w:p w14:paraId="15394A05" w14:textId="77777777" w:rsidR="00E1677F" w:rsidRPr="009F57D8" w:rsidRDefault="00E1677F" w:rsidP="00E1677F">
            <w:pPr>
              <w:pStyle w:val="TableText0"/>
              <w:jc w:val="center"/>
            </w:pPr>
            <w:r w:rsidRPr="009F57D8">
              <w:t>48,180</w:t>
            </w:r>
          </w:p>
        </w:tc>
        <w:tc>
          <w:tcPr>
            <w:tcW w:w="664" w:type="pct"/>
            <w:vAlign w:val="center"/>
          </w:tcPr>
          <w:p w14:paraId="51D96FF7" w14:textId="77777777" w:rsidR="00E1677F" w:rsidRPr="009F57D8" w:rsidRDefault="00E1677F" w:rsidP="00E1677F">
            <w:pPr>
              <w:pStyle w:val="TableText0"/>
              <w:jc w:val="center"/>
            </w:pPr>
            <w:r w:rsidRPr="009F57D8">
              <w:t>5.52</w:t>
            </w:r>
          </w:p>
        </w:tc>
      </w:tr>
      <w:tr w:rsidR="00E1677F" w:rsidRPr="009F57D8" w14:paraId="565B6CA2" w14:textId="77777777" w:rsidTr="00D80101">
        <w:trPr>
          <w:cantSplit/>
          <w:trHeight w:val="257"/>
          <w:tblHeader/>
        </w:trPr>
        <w:tc>
          <w:tcPr>
            <w:tcW w:w="2267" w:type="pct"/>
          </w:tcPr>
          <w:p w14:paraId="729F9D4A" w14:textId="77777777" w:rsidR="00E1677F" w:rsidRPr="009F57D8" w:rsidRDefault="00E1677F" w:rsidP="00E1677F">
            <w:pPr>
              <w:pStyle w:val="TableText0"/>
              <w:rPr>
                <w:b/>
                <w:bCs w:val="0"/>
              </w:rPr>
            </w:pPr>
            <w:r w:rsidRPr="009F57D8">
              <w:rPr>
                <w:b/>
                <w:bCs w:val="0"/>
              </w:rPr>
              <w:t>Incremental cost/extra QALY gained</w:t>
            </w:r>
          </w:p>
        </w:tc>
        <w:tc>
          <w:tcPr>
            <w:tcW w:w="765" w:type="pct"/>
            <w:vAlign w:val="center"/>
          </w:tcPr>
          <w:p w14:paraId="706215A1" w14:textId="77777777" w:rsidR="00E1677F" w:rsidRPr="009F57D8" w:rsidRDefault="00E1677F" w:rsidP="00E1677F">
            <w:pPr>
              <w:pStyle w:val="TableText0"/>
              <w:jc w:val="center"/>
              <w:rPr>
                <w:b/>
                <w:bCs w:val="0"/>
              </w:rPr>
            </w:pPr>
          </w:p>
        </w:tc>
        <w:tc>
          <w:tcPr>
            <w:tcW w:w="1968" w:type="pct"/>
            <w:gridSpan w:val="2"/>
            <w:vAlign w:val="center"/>
          </w:tcPr>
          <w:p w14:paraId="7DE4BFBD" w14:textId="77777777" w:rsidR="00E1677F" w:rsidRPr="009F57D8" w:rsidRDefault="00E1677F" w:rsidP="00E1677F">
            <w:pPr>
              <w:pStyle w:val="TableText0"/>
              <w:jc w:val="center"/>
              <w:rPr>
                <w:b/>
                <w:bCs w:val="0"/>
              </w:rPr>
            </w:pPr>
            <w:r w:rsidRPr="009F57D8">
              <w:rPr>
                <w:b/>
                <w:bCs w:val="0"/>
              </w:rPr>
              <w:t>Dominant</w:t>
            </w:r>
          </w:p>
        </w:tc>
      </w:tr>
      <w:tr w:rsidR="00E1677F" w:rsidRPr="009F57D8" w14:paraId="1ADD22FD" w14:textId="77777777" w:rsidTr="00D80101">
        <w:trPr>
          <w:cantSplit/>
          <w:trHeight w:val="246"/>
          <w:tblHeader/>
        </w:trPr>
        <w:tc>
          <w:tcPr>
            <w:tcW w:w="2267" w:type="pct"/>
          </w:tcPr>
          <w:p w14:paraId="0C63708D" w14:textId="77777777" w:rsidR="00E1677F" w:rsidRPr="009F57D8" w:rsidRDefault="00E1677F" w:rsidP="00E1677F">
            <w:pPr>
              <w:pStyle w:val="TableText0"/>
            </w:pPr>
            <w:r w:rsidRPr="009F57D8">
              <w:t>Incremental cost/extra LY gained</w:t>
            </w:r>
          </w:p>
        </w:tc>
        <w:tc>
          <w:tcPr>
            <w:tcW w:w="765" w:type="pct"/>
            <w:vAlign w:val="center"/>
          </w:tcPr>
          <w:p w14:paraId="5DE181B3" w14:textId="77777777" w:rsidR="00E1677F" w:rsidRPr="009F57D8" w:rsidRDefault="00E1677F" w:rsidP="00E1677F">
            <w:pPr>
              <w:pStyle w:val="TableText0"/>
              <w:jc w:val="center"/>
            </w:pPr>
          </w:p>
        </w:tc>
        <w:tc>
          <w:tcPr>
            <w:tcW w:w="1968" w:type="pct"/>
            <w:gridSpan w:val="2"/>
            <w:vAlign w:val="center"/>
          </w:tcPr>
          <w:p w14:paraId="2F399DE0" w14:textId="77777777" w:rsidR="00E1677F" w:rsidRPr="009F57D8" w:rsidRDefault="00E1677F" w:rsidP="00E1677F">
            <w:pPr>
              <w:pStyle w:val="TableText0"/>
              <w:jc w:val="center"/>
            </w:pPr>
            <w:r w:rsidRPr="009F57D8">
              <w:t>Dominant</w:t>
            </w:r>
          </w:p>
        </w:tc>
      </w:tr>
    </w:tbl>
    <w:p w14:paraId="30940313" w14:textId="77777777" w:rsidR="00F650F4" w:rsidRPr="009F57D8" w:rsidRDefault="00F650F4" w:rsidP="00F650F4">
      <w:pPr>
        <w:pStyle w:val="FooterTableFigure"/>
      </w:pPr>
      <w:r w:rsidRPr="009F57D8">
        <w:t>Source: Compiled in the evaluation using Table 3.8-2, p202, Table 3.8-3, p204 and Table 3.8-4, p206 of the submission.</w:t>
      </w:r>
    </w:p>
    <w:p w14:paraId="3946CE76" w14:textId="3DC35004" w:rsidR="00F650F4" w:rsidRPr="009F57D8" w:rsidRDefault="00F650F4" w:rsidP="00F650F4">
      <w:pPr>
        <w:pStyle w:val="FooterTableFigure"/>
      </w:pPr>
      <w:r w:rsidRPr="009F57D8">
        <w:t xml:space="preserve">13vPCV = 13-valent pneumococcal conjugate vaccine; 23vPPV = 23-valent pneumococcal polysaccharide vaccine; LY = life years; MaR = medical at risk; QALY = quality adjusted life years; </w:t>
      </w:r>
      <w:r w:rsidR="00F24018" w:rsidRPr="009F57D8">
        <w:t>21vPCV</w:t>
      </w:r>
      <w:r w:rsidRPr="009F57D8">
        <w:t xml:space="preserve"> = 21-valent pneumococcal conjugate vaccine.</w:t>
      </w:r>
    </w:p>
    <w:p w14:paraId="59E1109C" w14:textId="77777777" w:rsidR="00C40D0B" w:rsidRPr="009F57D8" w:rsidRDefault="00C40D0B" w:rsidP="00C40D0B">
      <w:pPr>
        <w:pStyle w:val="FooterTableFigure"/>
        <w:rPr>
          <w:lang w:eastAsia="en-GB"/>
        </w:rPr>
      </w:pPr>
      <w:r w:rsidRPr="009F57D8">
        <w:rPr>
          <w:vertAlign w:val="superscript"/>
          <w:lang w:eastAsia="en-GB"/>
        </w:rPr>
        <w:t>a</w:t>
      </w:r>
      <w:r w:rsidRPr="009F57D8">
        <w:rPr>
          <w:lang w:eastAsia="en-GB"/>
        </w:rPr>
        <w:t xml:space="preserve"> All analyses use the comparator prices assumed by the submission.</w:t>
      </w:r>
    </w:p>
    <w:p w14:paraId="6F70482A" w14:textId="4FB9F604" w:rsidR="00F650F4" w:rsidRPr="009F57D8" w:rsidRDefault="00F650F4" w:rsidP="00F650F4">
      <w:pPr>
        <w:pStyle w:val="FooterTableFigure"/>
      </w:pPr>
      <w:r w:rsidRPr="009F57D8">
        <w:rPr>
          <w:vertAlign w:val="superscript"/>
        </w:rPr>
        <w:t>b</w:t>
      </w:r>
      <w:r w:rsidRPr="009F57D8">
        <w:t xml:space="preserve"> Two-doses of 23vPPV were considered after 13vPCV vaccine. The completion rate of individuals in the model who received 13vPCV followed by 23vPPV was 80%. First 23vPPV booster is administered within a year and the second 23vPPV booster after 5 years.</w:t>
      </w:r>
    </w:p>
    <w:p w14:paraId="6BBB353F" w14:textId="77777777" w:rsidR="009A2DF4" w:rsidRPr="009F57D8" w:rsidRDefault="00F650F4" w:rsidP="009A2DF4">
      <w:pPr>
        <w:pStyle w:val="FooterTableFigure"/>
      </w:pPr>
      <w:r w:rsidRPr="009F57D8">
        <w:rPr>
          <w:vertAlign w:val="superscript"/>
        </w:rPr>
        <w:t xml:space="preserve">c  </w:t>
      </w:r>
      <w:r w:rsidRPr="009F57D8">
        <w:t>Non-Indigenous population aged 20 to years used as a proxy for the MaR population.</w:t>
      </w:r>
    </w:p>
    <w:p w14:paraId="50BB5B10" w14:textId="77777777" w:rsidR="009A2DF4" w:rsidRPr="009F57D8" w:rsidRDefault="009A2DF4" w:rsidP="00F650F4">
      <w:pPr>
        <w:pStyle w:val="FooterTableFigure"/>
      </w:pPr>
    </w:p>
    <w:p w14:paraId="669F7522" w14:textId="3851C924" w:rsidR="00F650F4" w:rsidRPr="009F57D8" w:rsidRDefault="00F650F4" w:rsidP="00F650F4">
      <w:pPr>
        <w:pStyle w:val="3-BodyText"/>
        <w:numPr>
          <w:ilvl w:val="1"/>
          <w:numId w:val="1"/>
        </w:numPr>
        <w:rPr>
          <w:color w:val="0066FF"/>
        </w:rPr>
      </w:pPr>
      <w:r w:rsidRPr="009F57D8">
        <w:t xml:space="preserve">The model results indicated that the overall economic impact of the vaccination program was primarily driven by the </w:t>
      </w:r>
      <w:r w:rsidR="00BB20AE" w:rsidRPr="009F57D8">
        <w:t xml:space="preserve">incidence and </w:t>
      </w:r>
      <w:r w:rsidRPr="009F57D8">
        <w:t xml:space="preserve">cost associated with treating CAP inpatients across the current NIP populations. While the efficacy applied against CAP (and IPD) was the same for both vaccines, </w:t>
      </w:r>
      <w:r w:rsidR="003E7D59" w:rsidRPr="009F57D8">
        <w:t xml:space="preserve">21vPCV </w:t>
      </w:r>
      <w:r w:rsidRPr="009F57D8">
        <w:t>was assumed to cover a higher proportion of serotypes causing CAP (and IPD) than 13vPCV, therefore resulting in a higher number of cases avoided (and hence a higher number of QALYs accumulated). A similar pattern was observed with the number of CAP outpatient cases, particularly among the MaR population (</w:t>
      </w:r>
      <w:r w:rsidRPr="009F57D8">
        <w:fldChar w:fldCharType="begin"/>
      </w:r>
      <w:r w:rsidRPr="009F57D8">
        <w:instrText xml:space="preserve"> REF _Ref206768600 \h  \* MERGEFORMAT </w:instrText>
      </w:r>
      <w:r w:rsidRPr="009F57D8">
        <w:fldChar w:fldCharType="separate"/>
      </w:r>
      <w:r w:rsidR="00581386" w:rsidRPr="009F57D8">
        <w:t xml:space="preserve">Figure </w:t>
      </w:r>
      <w:r w:rsidR="00581386">
        <w:t>4</w:t>
      </w:r>
      <w:r w:rsidRPr="009F57D8">
        <w:fldChar w:fldCharType="end"/>
      </w:r>
      <w:r w:rsidRPr="009F57D8">
        <w:t xml:space="preserve">). The MaR population was assumed to be at high risk of developing CAP outpatient events, with an estimated incidence of 4,431 cases per 100,000/year. However, given the relatively low cost of treating CAP outpatient </w:t>
      </w:r>
      <w:r w:rsidRPr="009F57D8">
        <w:lastRenderedPageBreak/>
        <w:t xml:space="preserve">cases ($244.30 per patient) compared to CAP inpatient cases ($8,501 per patient), </w:t>
      </w:r>
      <w:r w:rsidR="00810EFB" w:rsidRPr="009F57D8">
        <w:t xml:space="preserve">the results are not sensitive to the </w:t>
      </w:r>
      <w:r w:rsidRPr="009F57D8">
        <w:t>avoidance of CAP outpatient cases.</w:t>
      </w:r>
    </w:p>
    <w:p w14:paraId="389DD795" w14:textId="7767B055" w:rsidR="006740D4" w:rsidRPr="009F57D8" w:rsidRDefault="006740D4" w:rsidP="00F650F4">
      <w:pPr>
        <w:pStyle w:val="3-BodyText"/>
        <w:numPr>
          <w:ilvl w:val="1"/>
          <w:numId w:val="1"/>
        </w:numPr>
        <w:rPr>
          <w:color w:val="0066FF"/>
        </w:rPr>
      </w:pPr>
      <w:r w:rsidRPr="009F57D8">
        <w:t xml:space="preserve">The comparator for </w:t>
      </w:r>
      <w:r w:rsidR="00E1677F" w:rsidRPr="009F57D8">
        <w:t>non-indigenous</w:t>
      </w:r>
      <w:r w:rsidRPr="009F57D8">
        <w:t xml:space="preserve"> ≥ 70 is 13vPCV.  The comparator for </w:t>
      </w:r>
      <w:r w:rsidR="00E1677F" w:rsidRPr="009F57D8">
        <w:t>Aboriginal and Torres Strait Islander adults</w:t>
      </w:r>
      <w:r w:rsidRPr="009F57D8">
        <w:t xml:space="preserve"> ≥ 50 is 13vPCV ± 23vPPV. The comparator for MaR adults ≥ 18 to 69 years vs 13vPCV ± 23vPPV.  The analyses including 23vPPV boosters assume 80% of patients receive 2 boosters</w:t>
      </w:r>
    </w:p>
    <w:p w14:paraId="6A592CD6" w14:textId="77777777" w:rsidR="00DE03DC" w:rsidRPr="009F57D8" w:rsidRDefault="00DE03DC" w:rsidP="00DE03DC">
      <w:pPr>
        <w:pStyle w:val="3-BodyText"/>
        <w:numPr>
          <w:ilvl w:val="0"/>
          <w:numId w:val="0"/>
        </w:numPr>
        <w:ind w:left="720"/>
        <w:rPr>
          <w:color w:val="0066FF"/>
        </w:rPr>
      </w:pPr>
    </w:p>
    <w:p w14:paraId="0E5D98E2" w14:textId="0B56BFC2" w:rsidR="00F650F4" w:rsidRPr="009F57D8" w:rsidRDefault="00F650F4" w:rsidP="00F650F4">
      <w:pPr>
        <w:pStyle w:val="Caption"/>
      </w:pPr>
      <w:bookmarkStart w:id="93" w:name="_Ref206768600"/>
      <w:r w:rsidRPr="009F57D8">
        <w:t xml:space="preserve">Figure </w:t>
      </w:r>
      <w:r w:rsidR="00FA4640" w:rsidRPr="009F57D8">
        <w:fldChar w:fldCharType="begin"/>
      </w:r>
      <w:r w:rsidR="00FA4640" w:rsidRPr="009F57D8">
        <w:instrText xml:space="preserve"> SEQ Figure \* ARABIC </w:instrText>
      </w:r>
      <w:r w:rsidR="00FA4640" w:rsidRPr="009F57D8">
        <w:fldChar w:fldCharType="separate"/>
      </w:r>
      <w:r w:rsidR="00581386">
        <w:rPr>
          <w:noProof/>
        </w:rPr>
        <w:t>4</w:t>
      </w:r>
      <w:r w:rsidR="00FA4640" w:rsidRPr="009F57D8">
        <w:fldChar w:fldCharType="end"/>
      </w:r>
      <w:bookmarkEnd w:id="93"/>
      <w:r w:rsidRPr="009F57D8">
        <w:t xml:space="preserve">: Difference on health outcomes between </w:t>
      </w:r>
      <w:r w:rsidR="00F24018" w:rsidRPr="009F57D8">
        <w:t>21vPCV</w:t>
      </w:r>
      <w:r w:rsidRPr="009F57D8">
        <w:t xml:space="preserve"> and 13vPCV ± 23vPPV per 1,000 population.</w:t>
      </w:r>
    </w:p>
    <w:p w14:paraId="37BECF6C" w14:textId="77777777" w:rsidR="00F650F4" w:rsidRPr="009F57D8" w:rsidRDefault="00F650F4" w:rsidP="00F650F4">
      <w:r w:rsidRPr="009F57D8">
        <w:rPr>
          <w:noProof/>
        </w:rPr>
        <w:drawing>
          <wp:inline distT="0" distB="0" distL="0" distR="0" wp14:anchorId="29272D67" wp14:editId="005D6564">
            <wp:extent cx="5732145" cy="2979420"/>
            <wp:effectExtent l="0" t="0" r="1905" b="0"/>
            <wp:docPr id="1255398648" name="Picture 1" descr="Figure 4: Difference on health outcomes between 21vPCV and 13vPCV ± 23vPPV per 1,000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98648" name="Picture 1" descr="Figure 4: Difference on health outcomes between 21vPCV and 13vPCV ± 23vPPV per 1,000 population"/>
                    <pic:cNvPicPr/>
                  </pic:nvPicPr>
                  <pic:blipFill>
                    <a:blip r:embed="rId16"/>
                    <a:stretch>
                      <a:fillRect/>
                    </a:stretch>
                  </pic:blipFill>
                  <pic:spPr>
                    <a:xfrm>
                      <a:off x="0" y="0"/>
                      <a:ext cx="5732145" cy="2979420"/>
                    </a:xfrm>
                    <a:prstGeom prst="rect">
                      <a:avLst/>
                    </a:prstGeom>
                  </pic:spPr>
                </pic:pic>
              </a:graphicData>
            </a:graphic>
          </wp:inline>
        </w:drawing>
      </w:r>
    </w:p>
    <w:p w14:paraId="2E283A5A" w14:textId="1B4C21AF" w:rsidR="00F650F4" w:rsidRPr="009F57D8" w:rsidRDefault="00F650F4" w:rsidP="00F650F4">
      <w:pPr>
        <w:pStyle w:val="FooterTableFigure"/>
      </w:pPr>
      <w:r w:rsidRPr="009F57D8">
        <w:t>Source: compiled during the evaluation.</w:t>
      </w:r>
    </w:p>
    <w:p w14:paraId="5853598C" w14:textId="78861698" w:rsidR="00F650F4" w:rsidRPr="009F57D8" w:rsidRDefault="00F650F4" w:rsidP="00F650F4">
      <w:pPr>
        <w:pStyle w:val="FooterTableFigure"/>
      </w:pPr>
      <w:r w:rsidRPr="009F57D8">
        <w:t xml:space="preserve">13vPCV = 13-valent pneumococcal conjugate vaccine; 23vPPV = 23-valent pneumococcal polysaccharide vaccine; CAP = community acquired pneumonia; IP = inpatient; IPD = invasive pneumococcal disease; LY = life-years; MaR = medically at-risk; OP = outpatient; PD = pneumococcal disease; PMS = post-meningitis sequalae; QALY = quality adjusted life-year; </w:t>
      </w:r>
      <w:r w:rsidR="00F24018" w:rsidRPr="009F57D8">
        <w:t>21vPCV</w:t>
      </w:r>
      <w:r w:rsidRPr="009F57D8">
        <w:t xml:space="preserve"> = 21-valent pneumococcal conjugate vaccine.</w:t>
      </w:r>
    </w:p>
    <w:p w14:paraId="109F3B4F" w14:textId="77777777" w:rsidR="00F650F4" w:rsidRPr="009F57D8" w:rsidRDefault="00F650F4" w:rsidP="00F650F4">
      <w:pPr>
        <w:pStyle w:val="FooterTableFigure"/>
      </w:pPr>
      <w:r w:rsidRPr="009F57D8">
        <w:rPr>
          <w:vertAlign w:val="superscript"/>
        </w:rPr>
        <w:t xml:space="preserve">a </w:t>
      </w:r>
      <w:r w:rsidRPr="009F57D8">
        <w:t xml:space="preserve">Disease QALYs correspond to the QALYs accumulated during infectious events (IPD and CAP). </w:t>
      </w:r>
    </w:p>
    <w:p w14:paraId="47B30B4F" w14:textId="54E0FB00" w:rsidR="00F650F4" w:rsidRPr="009F57D8" w:rsidRDefault="00F650F4">
      <w:pPr>
        <w:pStyle w:val="3-BodyText"/>
        <w:rPr>
          <w:color w:val="0066FF"/>
        </w:rPr>
      </w:pPr>
      <w:bookmarkStart w:id="94" w:name="_Ref207141877"/>
      <w:r w:rsidRPr="009F57D8">
        <w:t xml:space="preserve">The results of univariate sensitivity analyses are summarised in </w:t>
      </w:r>
      <w:r w:rsidRPr="009F57D8">
        <w:fldChar w:fldCharType="begin"/>
      </w:r>
      <w:r w:rsidRPr="009F57D8">
        <w:instrText xml:space="preserve"> REF _Ref206770052 \h  \* MERGEFORMAT </w:instrText>
      </w:r>
      <w:r w:rsidRPr="009F57D8">
        <w:fldChar w:fldCharType="separate"/>
      </w:r>
      <w:r w:rsidR="00581386" w:rsidRPr="009F57D8">
        <w:t xml:space="preserve">Table </w:t>
      </w:r>
      <w:r w:rsidR="00581386">
        <w:t>14</w:t>
      </w:r>
      <w:r w:rsidRPr="009F57D8">
        <w:fldChar w:fldCharType="end"/>
      </w:r>
      <w:r w:rsidRPr="009F57D8">
        <w:t xml:space="preserve">. </w:t>
      </w:r>
      <w:r w:rsidR="006740D4" w:rsidRPr="009F57D8">
        <w:t xml:space="preserve"> </w:t>
      </w:r>
      <w:r w:rsidR="006740D4" w:rsidRPr="009F57D8">
        <w:rPr>
          <w:rFonts w:eastAsiaTheme="minorEastAsia"/>
        </w:rPr>
        <w:t xml:space="preserve">The submission included sensitivity analyses in the economic evaluation in which </w:t>
      </w:r>
      <w:r w:rsidR="006740D4" w:rsidRPr="009F57D8">
        <w:t xml:space="preserve">VE for non-13vPCV serotypes in 21vPCV were decreased by 45% (relative reduction) as recommended by the ATAGI.  For those sensitivity analyses, the assumed VE for 21vPCV was 41.3% for IPD (compared with 75% in the base case), and 24.8% for CAP (compared with 45% in the base case).  </w:t>
      </w:r>
      <w:r w:rsidR="002B0503" w:rsidRPr="009F57D8">
        <w:rPr>
          <w:rFonts w:eastAsiaTheme="minorEastAsia"/>
        </w:rPr>
        <w:t>The results from the ITC did not support the non-inferiority for two) of the 4 serotypes</w:t>
      </w:r>
      <w:r w:rsidR="00F21B34" w:rsidRPr="009F57D8">
        <w:rPr>
          <w:rFonts w:eastAsiaTheme="minorEastAsia"/>
        </w:rPr>
        <w:t xml:space="preserve"> shared between 21vPCV and 13vPCV (6A and 19A favoured 13vPCV.  </w:t>
      </w:r>
      <w:r w:rsidRPr="009F57D8">
        <w:t xml:space="preserve">A multi-way sensitivity analysis conducted in the evaluation was tested </w:t>
      </w:r>
      <w:r w:rsidR="00B94FE7" w:rsidRPr="009F57D8">
        <w:t>incorporating</w:t>
      </w:r>
      <w:r w:rsidRPr="009F57D8">
        <w:t xml:space="preserve"> lower VE</w:t>
      </w:r>
      <w:r w:rsidR="00A75341" w:rsidRPr="009F57D8">
        <w:t xml:space="preserve"> for 21vPCV</w:t>
      </w:r>
      <w:r w:rsidRPr="009F57D8">
        <w:t xml:space="preserve"> </w:t>
      </w:r>
      <w:r w:rsidR="0070233D" w:rsidRPr="009F57D8">
        <w:t xml:space="preserve">for </w:t>
      </w:r>
      <w:r w:rsidR="0070233D" w:rsidRPr="009F57D8">
        <w:rPr>
          <w:lang w:eastAsia="en-US"/>
        </w:rPr>
        <w:t>non-shared 13vPCV STs (excl. ST3), and reduction for shared serotypes 6A and 19A</w:t>
      </w:r>
      <w:r w:rsidR="002B0503" w:rsidRPr="009F57D8">
        <w:rPr>
          <w:lang w:eastAsia="en-US"/>
        </w:rPr>
        <w:t xml:space="preserve"> </w:t>
      </w:r>
      <w:r w:rsidRPr="009F57D8">
        <w:t>(45%</w:t>
      </w:r>
      <w:r w:rsidR="00694BB3" w:rsidRPr="009F57D8">
        <w:t xml:space="preserve"> relative reduction</w:t>
      </w:r>
      <w:r w:rsidRPr="009F57D8">
        <w:t>) and a shorter time horizon (10 years).</w:t>
      </w:r>
      <w:bookmarkEnd w:id="94"/>
      <w:r w:rsidR="003A7E11" w:rsidRPr="009F57D8">
        <w:t xml:space="preserve">  </w:t>
      </w:r>
      <w:r w:rsidR="003A7E11" w:rsidRPr="009F57D8">
        <w:rPr>
          <w:lang w:eastAsia="en-GB"/>
        </w:rPr>
        <w:t xml:space="preserve">All analyses use the comparator prices assumed by the submission.  </w:t>
      </w:r>
    </w:p>
    <w:p w14:paraId="3AC5A5B9" w14:textId="77777777" w:rsidR="00F650F4" w:rsidRPr="009F57D8" w:rsidRDefault="00F650F4" w:rsidP="00F650F4">
      <w:pPr>
        <w:pStyle w:val="3-BodyText"/>
        <w:numPr>
          <w:ilvl w:val="0"/>
          <w:numId w:val="0"/>
        </w:numPr>
        <w:rPr>
          <w:color w:val="0066FF"/>
        </w:rPr>
      </w:pPr>
    </w:p>
    <w:p w14:paraId="4B7383BF" w14:textId="17040826" w:rsidR="00F650F4" w:rsidRPr="009F57D8" w:rsidRDefault="00F650F4" w:rsidP="00E1677F">
      <w:pPr>
        <w:pStyle w:val="Caption"/>
        <w:keepLines w:val="0"/>
        <w:widowControl w:val="0"/>
      </w:pPr>
      <w:bookmarkStart w:id="95" w:name="_Ref206770052"/>
      <w:bookmarkStart w:id="96" w:name="_Hlk211543710"/>
      <w:r w:rsidRPr="009F57D8">
        <w:lastRenderedPageBreak/>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14</w:t>
      </w:r>
      <w:r w:rsidR="00FA4640" w:rsidRPr="009F57D8">
        <w:fldChar w:fldCharType="end"/>
      </w:r>
      <w:bookmarkEnd w:id="95"/>
      <w:r w:rsidRPr="009F57D8">
        <w:t xml:space="preserve">: Economic evaluation </w:t>
      </w:r>
      <w:r w:rsidR="0020188E" w:rsidRPr="009F57D8">
        <w:t xml:space="preserve">21vPCV vs 13vPCV ± 23vPPV </w:t>
      </w:r>
      <w:r w:rsidRPr="009F57D8">
        <w:t>sensitivity analyses (per total population)</w:t>
      </w:r>
      <w:r w:rsidR="00814D1A" w:rsidRPr="009F57D8">
        <w:rPr>
          <w:vertAlign w:val="superscript"/>
        </w:rPr>
        <w:t>b</w:t>
      </w:r>
    </w:p>
    <w:tbl>
      <w:tblPr>
        <w:tblStyle w:val="TableGrid"/>
        <w:tblW w:w="5000" w:type="pct"/>
        <w:tblLook w:val="04A0" w:firstRow="1" w:lastRow="0" w:firstColumn="1" w:lastColumn="0" w:noHBand="0" w:noVBand="1"/>
        <w:tblCaption w:val="Table 14: Economic evaluation 21vPCV vs 13vPCV ± 23vPPV sensitivity analyses (per total population)"/>
      </w:tblPr>
      <w:tblGrid>
        <w:gridCol w:w="3581"/>
        <w:gridCol w:w="1026"/>
        <w:gridCol w:w="1125"/>
        <w:gridCol w:w="1145"/>
        <w:gridCol w:w="1137"/>
        <w:gridCol w:w="1003"/>
      </w:tblGrid>
      <w:tr w:rsidR="00D80101" w:rsidRPr="009F57D8" w14:paraId="6E01BCB5" w14:textId="77777777" w:rsidTr="00D80101">
        <w:trPr>
          <w:cantSplit/>
          <w:tblHeader/>
        </w:trPr>
        <w:tc>
          <w:tcPr>
            <w:tcW w:w="1986" w:type="pct"/>
            <w:vAlign w:val="center"/>
          </w:tcPr>
          <w:p w14:paraId="2992128D" w14:textId="77777777" w:rsidR="00F650F4" w:rsidRPr="009F57D8" w:rsidRDefault="00F650F4" w:rsidP="00D80101">
            <w:pPr>
              <w:pStyle w:val="TableText0"/>
              <w:keepNext/>
            </w:pPr>
            <w:r w:rsidRPr="009F57D8">
              <w:rPr>
                <w:b/>
                <w:bCs w:val="0"/>
                <w:lang w:eastAsia="en-US"/>
              </w:rPr>
              <w:t>Variable/ assumption</w:t>
            </w:r>
          </w:p>
        </w:tc>
        <w:tc>
          <w:tcPr>
            <w:tcW w:w="569" w:type="pct"/>
            <w:vAlign w:val="center"/>
          </w:tcPr>
          <w:p w14:paraId="63DE6EBB" w14:textId="77777777" w:rsidR="00F650F4" w:rsidRPr="009F57D8" w:rsidRDefault="00F650F4" w:rsidP="00D80101">
            <w:pPr>
              <w:pStyle w:val="TableText0"/>
              <w:keepNext/>
            </w:pPr>
            <w:r w:rsidRPr="009F57D8">
              <w:rPr>
                <w:b/>
                <w:bCs w:val="0"/>
                <w:lang w:eastAsia="en-US"/>
              </w:rPr>
              <w:t>Base-case value</w:t>
            </w:r>
          </w:p>
        </w:tc>
        <w:tc>
          <w:tcPr>
            <w:tcW w:w="624" w:type="pct"/>
            <w:vAlign w:val="center"/>
          </w:tcPr>
          <w:p w14:paraId="674AEF05" w14:textId="77777777" w:rsidR="00F650F4" w:rsidRPr="009F57D8" w:rsidRDefault="00F650F4" w:rsidP="00D80101">
            <w:pPr>
              <w:pStyle w:val="TableText0"/>
              <w:keepNext/>
            </w:pPr>
            <w:r w:rsidRPr="009F57D8">
              <w:rPr>
                <w:b/>
                <w:bCs w:val="0"/>
                <w:lang w:eastAsia="en-US"/>
              </w:rPr>
              <w:t>Sensitivity value</w:t>
            </w:r>
          </w:p>
        </w:tc>
        <w:tc>
          <w:tcPr>
            <w:tcW w:w="635" w:type="pct"/>
            <w:vAlign w:val="center"/>
          </w:tcPr>
          <w:p w14:paraId="40C09305" w14:textId="77777777" w:rsidR="00F650F4" w:rsidRPr="009F57D8" w:rsidRDefault="00F650F4" w:rsidP="00D80101">
            <w:pPr>
              <w:pStyle w:val="TableText0"/>
              <w:keepNext/>
              <w:keepLines w:val="0"/>
              <w:widowControl w:val="0"/>
              <w:rPr>
                <w:b/>
                <w:bCs w:val="0"/>
                <w:lang w:eastAsia="en-US"/>
              </w:rPr>
            </w:pPr>
            <w:r w:rsidRPr="009F57D8">
              <w:rPr>
                <w:b/>
                <w:bCs w:val="0"/>
                <w:lang w:eastAsia="en-US"/>
              </w:rPr>
              <w:t>Incremental</w:t>
            </w:r>
          </w:p>
          <w:p w14:paraId="36D4F87D" w14:textId="77777777" w:rsidR="00F650F4" w:rsidRPr="009F57D8" w:rsidRDefault="00F650F4" w:rsidP="00D80101">
            <w:pPr>
              <w:pStyle w:val="TableText0"/>
              <w:keepNext/>
            </w:pPr>
            <w:r w:rsidRPr="009F57D8">
              <w:rPr>
                <w:b/>
                <w:bCs w:val="0"/>
                <w:lang w:eastAsia="en-US"/>
              </w:rPr>
              <w:t>cost ($)</w:t>
            </w:r>
          </w:p>
        </w:tc>
        <w:tc>
          <w:tcPr>
            <w:tcW w:w="630" w:type="pct"/>
            <w:vAlign w:val="center"/>
          </w:tcPr>
          <w:p w14:paraId="234DACCD" w14:textId="77777777" w:rsidR="00F650F4" w:rsidRPr="009F57D8" w:rsidRDefault="00F650F4" w:rsidP="00D80101">
            <w:pPr>
              <w:pStyle w:val="TableText0"/>
              <w:keepNext/>
              <w:keepLines w:val="0"/>
              <w:widowControl w:val="0"/>
              <w:rPr>
                <w:b/>
                <w:bCs w:val="0"/>
                <w:lang w:eastAsia="en-US"/>
              </w:rPr>
            </w:pPr>
            <w:r w:rsidRPr="009F57D8">
              <w:rPr>
                <w:b/>
                <w:bCs w:val="0"/>
                <w:lang w:eastAsia="en-US"/>
              </w:rPr>
              <w:t>Incremental</w:t>
            </w:r>
          </w:p>
          <w:p w14:paraId="75EB02B2" w14:textId="77777777" w:rsidR="00F650F4" w:rsidRPr="009F57D8" w:rsidRDefault="00F650F4" w:rsidP="00D80101">
            <w:pPr>
              <w:pStyle w:val="TableText0"/>
              <w:keepNext/>
            </w:pPr>
            <w:r w:rsidRPr="009F57D8">
              <w:rPr>
                <w:b/>
                <w:bCs w:val="0"/>
                <w:lang w:eastAsia="en-US"/>
              </w:rPr>
              <w:t>QALY</w:t>
            </w:r>
          </w:p>
        </w:tc>
        <w:tc>
          <w:tcPr>
            <w:tcW w:w="555" w:type="pct"/>
            <w:vAlign w:val="center"/>
          </w:tcPr>
          <w:p w14:paraId="53D358C7" w14:textId="77777777" w:rsidR="00F650F4" w:rsidRPr="009F57D8" w:rsidRDefault="00F650F4" w:rsidP="00D80101">
            <w:pPr>
              <w:pStyle w:val="TableText0"/>
              <w:keepNext/>
            </w:pPr>
            <w:r w:rsidRPr="009F57D8">
              <w:rPr>
                <w:b/>
                <w:bCs w:val="0"/>
                <w:lang w:eastAsia="en-US"/>
              </w:rPr>
              <w:t>ICER ($/QALY)</w:t>
            </w:r>
          </w:p>
        </w:tc>
      </w:tr>
      <w:tr w:rsidR="00F650F4" w:rsidRPr="009F57D8" w14:paraId="54E131DB" w14:textId="77777777" w:rsidTr="00D80101">
        <w:trPr>
          <w:cantSplit/>
        </w:trPr>
        <w:tc>
          <w:tcPr>
            <w:tcW w:w="5000" w:type="pct"/>
            <w:gridSpan w:val="6"/>
            <w:vAlign w:val="center"/>
          </w:tcPr>
          <w:p w14:paraId="53B1539B" w14:textId="7FD7BA73" w:rsidR="00F650F4" w:rsidRPr="009F57D8" w:rsidRDefault="00F650F4" w:rsidP="00D80101">
            <w:pPr>
              <w:pStyle w:val="TableText0"/>
              <w:keepNext/>
            </w:pPr>
            <w:r w:rsidRPr="009F57D8">
              <w:rPr>
                <w:b/>
                <w:bCs w:val="0"/>
                <w:lang w:eastAsia="en-US"/>
              </w:rPr>
              <w:t>Non-Indigenous ≥ 70 vs 13vPCV</w:t>
            </w:r>
            <w:r w:rsidR="00341D3B" w:rsidRPr="009F57D8">
              <w:rPr>
                <w:b/>
                <w:bCs w:val="0"/>
                <w:lang w:eastAsia="en-US"/>
              </w:rPr>
              <w:t xml:space="preserve"> (requested price = $</w:t>
            </w:r>
            <w:r w:rsidR="00FD08E9" w:rsidRPr="00FD08E9">
              <w:rPr>
                <w:b/>
                <w:bCs w:val="0"/>
                <w:highlight w:val="black"/>
                <w:lang w:eastAsia="en-US"/>
              </w:rPr>
              <w:t>&amp;&amp;&amp;&amp;</w:t>
            </w:r>
            <w:r w:rsidR="00341D3B" w:rsidRPr="009F57D8">
              <w:rPr>
                <w:b/>
                <w:bCs w:val="0"/>
                <w:lang w:eastAsia="en-US"/>
              </w:rPr>
              <w:t>)</w:t>
            </w:r>
          </w:p>
        </w:tc>
      </w:tr>
      <w:tr w:rsidR="00D80101" w:rsidRPr="009F57D8" w14:paraId="1F12FF0F" w14:textId="77777777" w:rsidTr="00D80101">
        <w:trPr>
          <w:cantSplit/>
        </w:trPr>
        <w:tc>
          <w:tcPr>
            <w:tcW w:w="1986" w:type="pct"/>
            <w:vAlign w:val="center"/>
          </w:tcPr>
          <w:p w14:paraId="5E428283" w14:textId="77777777" w:rsidR="00F650F4" w:rsidRPr="009F57D8" w:rsidRDefault="00F650F4" w:rsidP="00D80101">
            <w:pPr>
              <w:pStyle w:val="TableText0"/>
              <w:keepNext/>
            </w:pPr>
            <w:r w:rsidRPr="009F57D8">
              <w:rPr>
                <w:lang w:eastAsia="en-US"/>
              </w:rPr>
              <w:t>Base-case</w:t>
            </w:r>
          </w:p>
        </w:tc>
        <w:tc>
          <w:tcPr>
            <w:tcW w:w="569" w:type="pct"/>
            <w:vAlign w:val="center"/>
          </w:tcPr>
          <w:p w14:paraId="3895C145" w14:textId="77777777" w:rsidR="00F650F4" w:rsidRPr="009F57D8" w:rsidRDefault="00F650F4" w:rsidP="00D80101">
            <w:pPr>
              <w:pStyle w:val="TableText0"/>
              <w:keepNext/>
            </w:pPr>
            <w:r w:rsidRPr="009F57D8">
              <w:rPr>
                <w:lang w:eastAsia="en-US"/>
              </w:rPr>
              <w:t>-</w:t>
            </w:r>
          </w:p>
        </w:tc>
        <w:tc>
          <w:tcPr>
            <w:tcW w:w="624" w:type="pct"/>
            <w:vAlign w:val="center"/>
          </w:tcPr>
          <w:p w14:paraId="64243A33" w14:textId="77777777" w:rsidR="00F650F4" w:rsidRPr="009F57D8" w:rsidRDefault="00F650F4" w:rsidP="00D80101">
            <w:pPr>
              <w:pStyle w:val="TableText0"/>
              <w:keepNext/>
            </w:pPr>
            <w:r w:rsidRPr="009F57D8">
              <w:rPr>
                <w:lang w:eastAsia="en-US"/>
              </w:rPr>
              <w:t>-</w:t>
            </w:r>
          </w:p>
        </w:tc>
        <w:tc>
          <w:tcPr>
            <w:tcW w:w="635" w:type="pct"/>
            <w:vAlign w:val="center"/>
          </w:tcPr>
          <w:p w14:paraId="5CD990F7" w14:textId="5EF02D58" w:rsidR="00F650F4" w:rsidRPr="009F57D8" w:rsidRDefault="00F650F4" w:rsidP="00D80101">
            <w:pPr>
              <w:pStyle w:val="TableText0"/>
              <w:keepNext/>
            </w:pPr>
            <w:r w:rsidRPr="009F57D8">
              <w:rPr>
                <w:lang w:eastAsia="en-US"/>
              </w:rPr>
              <w:t>-$</w:t>
            </w:r>
            <w:r w:rsidR="00FD08E9" w:rsidRPr="00FD08E9">
              <w:rPr>
                <w:highlight w:val="black"/>
                <w:lang w:eastAsia="en-US"/>
              </w:rPr>
              <w:t>&amp;&amp;&amp;&amp;</w:t>
            </w:r>
          </w:p>
        </w:tc>
        <w:tc>
          <w:tcPr>
            <w:tcW w:w="630" w:type="pct"/>
            <w:vAlign w:val="center"/>
          </w:tcPr>
          <w:p w14:paraId="219B36CA" w14:textId="77777777" w:rsidR="00F650F4" w:rsidRPr="009F57D8" w:rsidRDefault="00F650F4" w:rsidP="00D80101">
            <w:pPr>
              <w:pStyle w:val="TableText0"/>
              <w:keepNext/>
            </w:pPr>
            <w:r w:rsidRPr="009F57D8">
              <w:rPr>
                <w:lang w:eastAsia="en-US"/>
              </w:rPr>
              <w:t>554</w:t>
            </w:r>
          </w:p>
        </w:tc>
        <w:tc>
          <w:tcPr>
            <w:tcW w:w="555" w:type="pct"/>
            <w:vAlign w:val="center"/>
          </w:tcPr>
          <w:p w14:paraId="5A919BCD" w14:textId="77777777" w:rsidR="00F650F4" w:rsidRPr="009F57D8" w:rsidRDefault="00F650F4" w:rsidP="00D80101">
            <w:pPr>
              <w:pStyle w:val="TableText0"/>
              <w:keepNext/>
            </w:pPr>
            <w:r w:rsidRPr="009F57D8">
              <w:rPr>
                <w:lang w:eastAsia="en-US"/>
              </w:rPr>
              <w:t>Dominant</w:t>
            </w:r>
          </w:p>
        </w:tc>
      </w:tr>
      <w:tr w:rsidR="00D80101" w:rsidRPr="009F57D8" w14:paraId="2AA8ACEB" w14:textId="77777777" w:rsidTr="00D80101">
        <w:trPr>
          <w:cantSplit/>
        </w:trPr>
        <w:tc>
          <w:tcPr>
            <w:tcW w:w="1986" w:type="pct"/>
            <w:vAlign w:val="center"/>
          </w:tcPr>
          <w:p w14:paraId="36CFB865" w14:textId="412D6B7B" w:rsidR="003A7E11" w:rsidRPr="009F57D8" w:rsidRDefault="003A7E11" w:rsidP="00D80101">
            <w:pPr>
              <w:pStyle w:val="TableText0"/>
              <w:keepNext/>
            </w:pPr>
            <w:r w:rsidRPr="009F57D8">
              <w:t>Age at vaccination</w:t>
            </w:r>
          </w:p>
        </w:tc>
        <w:tc>
          <w:tcPr>
            <w:tcW w:w="569" w:type="pct"/>
            <w:vAlign w:val="center"/>
          </w:tcPr>
          <w:p w14:paraId="43DA82A9" w14:textId="06812474" w:rsidR="003A7E11" w:rsidRPr="009F57D8" w:rsidRDefault="003A7E11" w:rsidP="00D80101">
            <w:pPr>
              <w:pStyle w:val="TableText0"/>
              <w:keepNext/>
            </w:pPr>
            <w:r w:rsidRPr="009F57D8">
              <w:t>70 years</w:t>
            </w:r>
          </w:p>
        </w:tc>
        <w:tc>
          <w:tcPr>
            <w:tcW w:w="624" w:type="pct"/>
            <w:vAlign w:val="center"/>
          </w:tcPr>
          <w:p w14:paraId="397A0661" w14:textId="384AD27C" w:rsidR="003A7E11" w:rsidRPr="009F57D8" w:rsidRDefault="003A7E11" w:rsidP="00D80101">
            <w:pPr>
              <w:pStyle w:val="TableText0"/>
              <w:keepNext/>
            </w:pPr>
            <w:r w:rsidRPr="009F57D8">
              <w:t>65 years</w:t>
            </w:r>
            <w:r w:rsidR="00FD4FC4" w:rsidRPr="009F57D8">
              <w:rPr>
                <w:vertAlign w:val="superscript"/>
                <w:lang w:eastAsia="en-US"/>
              </w:rPr>
              <w:t xml:space="preserve"> a</w:t>
            </w:r>
          </w:p>
        </w:tc>
        <w:tc>
          <w:tcPr>
            <w:tcW w:w="635" w:type="pct"/>
            <w:vAlign w:val="center"/>
          </w:tcPr>
          <w:p w14:paraId="2669F17A" w14:textId="3F929312" w:rsidR="003A7E11" w:rsidRPr="009F57D8" w:rsidRDefault="003A7E11" w:rsidP="00D80101">
            <w:pPr>
              <w:pStyle w:val="TableText0"/>
              <w:keepNext/>
            </w:pPr>
            <w:r w:rsidRPr="009F57D8">
              <w:t>-$</w:t>
            </w:r>
            <w:r w:rsidR="00FD08E9" w:rsidRPr="00FD08E9">
              <w:rPr>
                <w:highlight w:val="black"/>
              </w:rPr>
              <w:t>&amp;&amp;&amp;&amp;</w:t>
            </w:r>
          </w:p>
        </w:tc>
        <w:tc>
          <w:tcPr>
            <w:tcW w:w="630" w:type="pct"/>
            <w:vAlign w:val="center"/>
          </w:tcPr>
          <w:p w14:paraId="6528638C" w14:textId="31CCD8E8" w:rsidR="003A7E11" w:rsidRPr="009F57D8" w:rsidRDefault="003A7E11" w:rsidP="00D80101">
            <w:pPr>
              <w:pStyle w:val="TableText0"/>
              <w:keepNext/>
            </w:pPr>
            <w:r w:rsidRPr="009F57D8">
              <w:t>520</w:t>
            </w:r>
          </w:p>
        </w:tc>
        <w:tc>
          <w:tcPr>
            <w:tcW w:w="555" w:type="pct"/>
            <w:vAlign w:val="center"/>
          </w:tcPr>
          <w:p w14:paraId="67EA82CC" w14:textId="1AA9FEF8" w:rsidR="003A7E11" w:rsidRPr="009F57D8" w:rsidRDefault="003A7E11" w:rsidP="00D80101">
            <w:pPr>
              <w:pStyle w:val="TableText0"/>
              <w:keepNext/>
            </w:pPr>
            <w:r w:rsidRPr="009F57D8">
              <w:t>Dominant</w:t>
            </w:r>
          </w:p>
        </w:tc>
      </w:tr>
      <w:tr w:rsidR="00D80101" w:rsidRPr="009F57D8" w14:paraId="58EC0EEC" w14:textId="77777777" w:rsidTr="00D80101">
        <w:trPr>
          <w:cantSplit/>
        </w:trPr>
        <w:tc>
          <w:tcPr>
            <w:tcW w:w="1986" w:type="pct"/>
            <w:vAlign w:val="center"/>
          </w:tcPr>
          <w:p w14:paraId="23FE80ED" w14:textId="32C4BB10" w:rsidR="00313EED" w:rsidRPr="009F57D8" w:rsidRDefault="00CE31E3" w:rsidP="00D80101">
            <w:pPr>
              <w:pStyle w:val="TableText0"/>
              <w:rPr>
                <w:vertAlign w:val="superscript"/>
                <w:lang w:eastAsia="en-US"/>
              </w:rPr>
            </w:pPr>
            <w:r w:rsidRPr="009F57D8">
              <w:rPr>
                <w:lang w:eastAsia="en-US"/>
              </w:rPr>
              <w:t xml:space="preserve">Evaluation </w:t>
            </w:r>
            <w:r w:rsidR="003A7E11" w:rsidRPr="009F57D8">
              <w:rPr>
                <w:lang w:eastAsia="en-US"/>
              </w:rPr>
              <w:t xml:space="preserve">MSA: VE reduction </w:t>
            </w:r>
            <w:r w:rsidR="008C3573" w:rsidRPr="009F57D8">
              <w:rPr>
                <w:lang w:eastAsia="en-US"/>
              </w:rPr>
              <w:t xml:space="preserve">(-45% relative reduction) </w:t>
            </w:r>
            <w:r w:rsidR="003A7E11" w:rsidRPr="009F57D8">
              <w:rPr>
                <w:lang w:eastAsia="en-US"/>
              </w:rPr>
              <w:t>for non-shared 13vPCV STs (excl. ST3)</w:t>
            </w:r>
            <w:r w:rsidR="00782B11" w:rsidRPr="009F57D8">
              <w:rPr>
                <w:lang w:eastAsia="en-US"/>
              </w:rPr>
              <w:t xml:space="preserve">, and reduction for shared serotypes 6A and 19A, </w:t>
            </w:r>
            <w:r w:rsidR="003A7E11" w:rsidRPr="009F57D8">
              <w:rPr>
                <w:lang w:eastAsia="en-US"/>
              </w:rPr>
              <w:t>and time horizon</w:t>
            </w:r>
            <w:r w:rsidR="00814D1A" w:rsidRPr="009F57D8">
              <w:rPr>
                <w:vertAlign w:val="superscript"/>
                <w:lang w:eastAsia="en-US"/>
              </w:rPr>
              <w:t>c</w:t>
            </w:r>
          </w:p>
        </w:tc>
        <w:tc>
          <w:tcPr>
            <w:tcW w:w="569" w:type="pct"/>
            <w:vAlign w:val="center"/>
          </w:tcPr>
          <w:p w14:paraId="75A4B77F" w14:textId="77777777" w:rsidR="003A7E11" w:rsidRPr="009F57D8" w:rsidRDefault="003A7E11" w:rsidP="00D80101">
            <w:pPr>
              <w:pStyle w:val="TableText0"/>
              <w:keepLines w:val="0"/>
              <w:widowControl w:val="0"/>
              <w:rPr>
                <w:lang w:eastAsia="en-US"/>
              </w:rPr>
            </w:pPr>
            <w:r w:rsidRPr="009F57D8">
              <w:rPr>
                <w:lang w:eastAsia="en-US"/>
              </w:rPr>
              <w:t>IPD: 75%</w:t>
            </w:r>
          </w:p>
          <w:p w14:paraId="4B207434" w14:textId="77777777" w:rsidR="003A7E11" w:rsidRPr="009F57D8" w:rsidRDefault="003A7E11" w:rsidP="00D80101">
            <w:pPr>
              <w:pStyle w:val="TableText0"/>
              <w:keepLines w:val="0"/>
              <w:widowControl w:val="0"/>
              <w:rPr>
                <w:lang w:eastAsia="en-US"/>
              </w:rPr>
            </w:pPr>
            <w:r w:rsidRPr="009F57D8">
              <w:rPr>
                <w:lang w:eastAsia="en-US"/>
              </w:rPr>
              <w:t>CAP: 45%</w:t>
            </w:r>
          </w:p>
          <w:p w14:paraId="3716CC7A" w14:textId="77777777" w:rsidR="003A7E11" w:rsidRPr="009F57D8" w:rsidRDefault="003A7E11" w:rsidP="00D80101">
            <w:pPr>
              <w:pStyle w:val="TableText0"/>
            </w:pPr>
            <w:r w:rsidRPr="009F57D8">
              <w:rPr>
                <w:lang w:eastAsia="en-US"/>
              </w:rPr>
              <w:t>30 years</w:t>
            </w:r>
          </w:p>
        </w:tc>
        <w:tc>
          <w:tcPr>
            <w:tcW w:w="624" w:type="pct"/>
            <w:vAlign w:val="center"/>
          </w:tcPr>
          <w:p w14:paraId="00AF3925" w14:textId="1631ABEF" w:rsidR="003A7E11" w:rsidRPr="009F57D8" w:rsidRDefault="003A7E11" w:rsidP="00D80101">
            <w:pPr>
              <w:pStyle w:val="TableText0"/>
              <w:keepLines w:val="0"/>
              <w:widowControl w:val="0"/>
              <w:rPr>
                <w:lang w:eastAsia="en-US"/>
              </w:rPr>
            </w:pPr>
            <w:r w:rsidRPr="009F57D8">
              <w:rPr>
                <w:lang w:eastAsia="en-US"/>
              </w:rPr>
              <w:t>-45%</w:t>
            </w:r>
            <w:r w:rsidR="00FD4FC4" w:rsidRPr="009F57D8">
              <w:rPr>
                <w:lang w:eastAsia="en-US"/>
              </w:rPr>
              <w:t xml:space="preserve"> </w:t>
            </w:r>
            <w:r w:rsidR="00FD4FC4" w:rsidRPr="009F57D8">
              <w:rPr>
                <w:vertAlign w:val="superscript"/>
                <w:lang w:eastAsia="en-US"/>
              </w:rPr>
              <w:t>a</w:t>
            </w:r>
            <w:r w:rsidR="008C3573" w:rsidRPr="009F57D8">
              <w:rPr>
                <w:lang w:eastAsia="en-US"/>
              </w:rPr>
              <w:t xml:space="preserve"> </w:t>
            </w:r>
          </w:p>
          <w:p w14:paraId="5D2FE53B" w14:textId="65958D11" w:rsidR="003A7E11" w:rsidRPr="009F57D8" w:rsidRDefault="003A7E11" w:rsidP="00D80101">
            <w:pPr>
              <w:pStyle w:val="TableText0"/>
              <w:keepLines w:val="0"/>
              <w:widowControl w:val="0"/>
              <w:rPr>
                <w:lang w:eastAsia="en-US"/>
              </w:rPr>
            </w:pPr>
            <w:r w:rsidRPr="009F57D8">
              <w:rPr>
                <w:lang w:eastAsia="en-US"/>
              </w:rPr>
              <w:t>-45%</w:t>
            </w:r>
            <w:r w:rsidR="00FD4FC4" w:rsidRPr="009F57D8">
              <w:rPr>
                <w:vertAlign w:val="superscript"/>
                <w:lang w:eastAsia="en-US"/>
              </w:rPr>
              <w:t xml:space="preserve"> a</w:t>
            </w:r>
          </w:p>
          <w:p w14:paraId="1179E965" w14:textId="1C41D518" w:rsidR="003A7E11" w:rsidRPr="009F57D8" w:rsidRDefault="003A7E11" w:rsidP="00D80101">
            <w:pPr>
              <w:pStyle w:val="TableText0"/>
            </w:pPr>
            <w:r w:rsidRPr="009F57D8">
              <w:rPr>
                <w:lang w:eastAsia="en-US"/>
              </w:rPr>
              <w:t>10 years</w:t>
            </w:r>
            <w:r w:rsidR="00FD4FC4" w:rsidRPr="009F57D8">
              <w:rPr>
                <w:vertAlign w:val="superscript"/>
                <w:lang w:eastAsia="en-US"/>
              </w:rPr>
              <w:t xml:space="preserve"> a</w:t>
            </w:r>
          </w:p>
        </w:tc>
        <w:tc>
          <w:tcPr>
            <w:tcW w:w="635" w:type="pct"/>
            <w:vAlign w:val="center"/>
          </w:tcPr>
          <w:p w14:paraId="0CFB8848" w14:textId="0B148E33" w:rsidR="003A7E11" w:rsidRPr="009F57D8" w:rsidRDefault="003A7E11" w:rsidP="00D80101">
            <w:pPr>
              <w:pStyle w:val="TableText0"/>
            </w:pPr>
            <w:r w:rsidRPr="009F57D8">
              <w:rPr>
                <w:lang w:eastAsia="en-US"/>
              </w:rPr>
              <w:t>$</w:t>
            </w:r>
            <w:r w:rsidR="00FD08E9" w:rsidRPr="00FD08E9">
              <w:rPr>
                <w:highlight w:val="black"/>
                <w:lang w:eastAsia="en-US"/>
              </w:rPr>
              <w:t>&amp;&amp;&amp;&amp;</w:t>
            </w:r>
          </w:p>
        </w:tc>
        <w:tc>
          <w:tcPr>
            <w:tcW w:w="630" w:type="pct"/>
            <w:vAlign w:val="center"/>
          </w:tcPr>
          <w:p w14:paraId="28A7FBAA" w14:textId="77777777" w:rsidR="003A7E11" w:rsidRPr="009F57D8" w:rsidRDefault="003A7E11" w:rsidP="00D80101">
            <w:pPr>
              <w:pStyle w:val="TableText0"/>
            </w:pPr>
            <w:r w:rsidRPr="009F57D8">
              <w:rPr>
                <w:lang w:eastAsia="en-US"/>
              </w:rPr>
              <w:t>77</w:t>
            </w:r>
          </w:p>
        </w:tc>
        <w:tc>
          <w:tcPr>
            <w:tcW w:w="555" w:type="pct"/>
            <w:vAlign w:val="center"/>
          </w:tcPr>
          <w:p w14:paraId="4F6E6380" w14:textId="4999E11A" w:rsidR="00447759" w:rsidRPr="00A0760C" w:rsidRDefault="003A7E11" w:rsidP="00D80101">
            <w:pPr>
              <w:pStyle w:val="TableText0"/>
              <w:rPr>
                <w:vertAlign w:val="superscript"/>
                <w:lang w:eastAsia="en-US"/>
              </w:rPr>
            </w:pPr>
            <w:r w:rsidRPr="009F57D8">
              <w:rPr>
                <w:lang w:eastAsia="en-US"/>
              </w:rPr>
              <w:t>$</w:t>
            </w:r>
            <w:r w:rsidR="00FD08E9" w:rsidRPr="00FD08E9">
              <w:rPr>
                <w:highlight w:val="black"/>
                <w:lang w:eastAsia="en-US"/>
              </w:rPr>
              <w:t>&amp;&amp;&amp;&amp;</w:t>
            </w:r>
            <w:r w:rsidR="00A0760C">
              <w:rPr>
                <w:vertAlign w:val="superscript"/>
                <w:lang w:eastAsia="en-US"/>
              </w:rPr>
              <w:t>1</w:t>
            </w:r>
          </w:p>
        </w:tc>
      </w:tr>
      <w:tr w:rsidR="00D80101" w:rsidRPr="009F57D8" w14:paraId="58E7277F" w14:textId="77777777" w:rsidTr="00D80101">
        <w:trPr>
          <w:cantSplit/>
        </w:trPr>
        <w:tc>
          <w:tcPr>
            <w:tcW w:w="1986" w:type="pct"/>
            <w:vAlign w:val="center"/>
          </w:tcPr>
          <w:p w14:paraId="27CB1CA5" w14:textId="52EB8A33" w:rsidR="00313EED" w:rsidRPr="009F57D8" w:rsidRDefault="00CE31E3" w:rsidP="00D80101">
            <w:pPr>
              <w:pStyle w:val="TableText0"/>
              <w:rPr>
                <w:lang w:eastAsia="en-US"/>
              </w:rPr>
            </w:pPr>
            <w:r w:rsidRPr="009F57D8">
              <w:rPr>
                <w:lang w:eastAsia="en-US"/>
              </w:rPr>
              <w:t>Alternative MSA</w:t>
            </w:r>
            <w:r w:rsidR="00C74298" w:rsidRPr="009F57D8">
              <w:rPr>
                <w:lang w:eastAsia="en-US"/>
              </w:rPr>
              <w:t>: VE reduction for non-shared 13vPCV STs (excl. ST3) and time horizon</w:t>
            </w:r>
            <w:r w:rsidR="00814D1A" w:rsidRPr="009F57D8">
              <w:rPr>
                <w:vertAlign w:val="superscript"/>
                <w:lang w:eastAsia="en-US"/>
              </w:rPr>
              <w:t>c</w:t>
            </w:r>
            <w:r w:rsidR="00DC770E" w:rsidRPr="009F57D8">
              <w:rPr>
                <w:vertAlign w:val="superscript"/>
                <w:lang w:eastAsia="en-US"/>
              </w:rPr>
              <w:t xml:space="preserve"> </w:t>
            </w:r>
            <w:r w:rsidR="00C74298" w:rsidRPr="009F57D8">
              <w:rPr>
                <w:szCs w:val="20"/>
                <w:lang w:eastAsia="en-US"/>
              </w:rPr>
              <w:t>(45% reduction on 6A and 19A removed)</w:t>
            </w:r>
          </w:p>
        </w:tc>
        <w:tc>
          <w:tcPr>
            <w:tcW w:w="569" w:type="pct"/>
            <w:vAlign w:val="center"/>
          </w:tcPr>
          <w:p w14:paraId="06D7F531" w14:textId="77777777" w:rsidR="00313EED" w:rsidRPr="009F57D8" w:rsidRDefault="00313EED" w:rsidP="00D80101">
            <w:pPr>
              <w:pStyle w:val="TableText0"/>
              <w:widowControl w:val="0"/>
              <w:rPr>
                <w:szCs w:val="20"/>
                <w:lang w:eastAsia="en-US"/>
              </w:rPr>
            </w:pPr>
            <w:r w:rsidRPr="009F57D8">
              <w:rPr>
                <w:szCs w:val="20"/>
                <w:lang w:eastAsia="en-US"/>
              </w:rPr>
              <w:t>IPD: 75%</w:t>
            </w:r>
          </w:p>
          <w:p w14:paraId="25E60BAE" w14:textId="77777777" w:rsidR="00313EED" w:rsidRPr="009F57D8" w:rsidRDefault="00313EED" w:rsidP="00D80101">
            <w:pPr>
              <w:pStyle w:val="TableText0"/>
              <w:widowControl w:val="0"/>
              <w:rPr>
                <w:szCs w:val="20"/>
                <w:lang w:eastAsia="en-US"/>
              </w:rPr>
            </w:pPr>
            <w:r w:rsidRPr="009F57D8">
              <w:rPr>
                <w:szCs w:val="20"/>
                <w:lang w:eastAsia="en-US"/>
              </w:rPr>
              <w:t>CAP: 45%</w:t>
            </w:r>
          </w:p>
          <w:p w14:paraId="055AD281" w14:textId="77777777" w:rsidR="00313EED" w:rsidRPr="009F57D8" w:rsidRDefault="00313EED" w:rsidP="00D80101">
            <w:pPr>
              <w:pStyle w:val="TableText0"/>
              <w:widowControl w:val="0"/>
              <w:rPr>
                <w:szCs w:val="20"/>
                <w:lang w:eastAsia="en-US"/>
              </w:rPr>
            </w:pPr>
            <w:r w:rsidRPr="009F57D8">
              <w:rPr>
                <w:szCs w:val="20"/>
                <w:lang w:eastAsia="en-US"/>
              </w:rPr>
              <w:t>30 years</w:t>
            </w:r>
          </w:p>
          <w:p w14:paraId="3616B118" w14:textId="084A4C80" w:rsidR="00313EED" w:rsidRPr="009F57D8" w:rsidRDefault="00313EED" w:rsidP="00D80101">
            <w:pPr>
              <w:pStyle w:val="TableText0"/>
              <w:keepLines w:val="0"/>
              <w:widowControl w:val="0"/>
              <w:rPr>
                <w:lang w:eastAsia="en-US"/>
              </w:rPr>
            </w:pPr>
            <w:r w:rsidRPr="009F57D8">
              <w:rPr>
                <w:szCs w:val="20"/>
                <w:lang w:eastAsia="en-US"/>
              </w:rPr>
              <w:t>Decrease 45%</w:t>
            </w:r>
          </w:p>
        </w:tc>
        <w:tc>
          <w:tcPr>
            <w:tcW w:w="624" w:type="pct"/>
            <w:vAlign w:val="center"/>
          </w:tcPr>
          <w:p w14:paraId="25656F5E" w14:textId="13C2A01A" w:rsidR="00313EED" w:rsidRPr="009F57D8" w:rsidRDefault="00313EED" w:rsidP="00D80101">
            <w:pPr>
              <w:pStyle w:val="TableText0"/>
              <w:widowControl w:val="0"/>
              <w:rPr>
                <w:szCs w:val="20"/>
                <w:lang w:eastAsia="en-US"/>
              </w:rPr>
            </w:pPr>
            <w:r w:rsidRPr="009F57D8">
              <w:rPr>
                <w:szCs w:val="20"/>
                <w:lang w:eastAsia="en-US"/>
              </w:rPr>
              <w:t>-45%</w:t>
            </w:r>
            <w:r w:rsidR="00FD4FC4" w:rsidRPr="009F57D8">
              <w:rPr>
                <w:vertAlign w:val="superscript"/>
                <w:lang w:eastAsia="en-US"/>
              </w:rPr>
              <w:t xml:space="preserve"> a</w:t>
            </w:r>
          </w:p>
          <w:p w14:paraId="3F6E2AB6" w14:textId="7B945D72" w:rsidR="00313EED" w:rsidRPr="009F57D8" w:rsidRDefault="00313EED" w:rsidP="00D80101">
            <w:pPr>
              <w:pStyle w:val="TableText0"/>
              <w:widowControl w:val="0"/>
              <w:rPr>
                <w:szCs w:val="20"/>
                <w:lang w:eastAsia="en-US"/>
              </w:rPr>
            </w:pPr>
            <w:r w:rsidRPr="009F57D8">
              <w:rPr>
                <w:szCs w:val="20"/>
                <w:lang w:eastAsia="en-US"/>
              </w:rPr>
              <w:t>-45%</w:t>
            </w:r>
            <w:r w:rsidR="00FD4FC4" w:rsidRPr="009F57D8">
              <w:rPr>
                <w:vertAlign w:val="superscript"/>
                <w:lang w:eastAsia="en-US"/>
              </w:rPr>
              <w:t xml:space="preserve"> a</w:t>
            </w:r>
          </w:p>
          <w:p w14:paraId="00695F7D" w14:textId="5DB557F9" w:rsidR="00313EED" w:rsidRPr="009F57D8" w:rsidRDefault="00313EED" w:rsidP="00D80101">
            <w:pPr>
              <w:pStyle w:val="TableText0"/>
              <w:widowControl w:val="0"/>
              <w:rPr>
                <w:szCs w:val="20"/>
                <w:lang w:eastAsia="en-US"/>
              </w:rPr>
            </w:pPr>
            <w:r w:rsidRPr="009F57D8">
              <w:rPr>
                <w:szCs w:val="20"/>
                <w:lang w:eastAsia="en-US"/>
              </w:rPr>
              <w:t>10 years</w:t>
            </w:r>
            <w:r w:rsidR="00FD4FC4" w:rsidRPr="009F57D8">
              <w:rPr>
                <w:vertAlign w:val="superscript"/>
                <w:lang w:eastAsia="en-US"/>
              </w:rPr>
              <w:t xml:space="preserve"> a</w:t>
            </w:r>
          </w:p>
          <w:p w14:paraId="1F94C6AE" w14:textId="023C0041" w:rsidR="00313EED" w:rsidRPr="009F57D8" w:rsidRDefault="00313EED" w:rsidP="00D80101">
            <w:pPr>
              <w:pStyle w:val="TableText0"/>
              <w:keepLines w:val="0"/>
              <w:widowControl w:val="0"/>
              <w:rPr>
                <w:lang w:eastAsia="en-US"/>
              </w:rPr>
            </w:pPr>
            <w:r w:rsidRPr="009F57D8">
              <w:rPr>
                <w:szCs w:val="20"/>
                <w:lang w:eastAsia="en-US"/>
              </w:rPr>
              <w:t>0%</w:t>
            </w:r>
            <w:r w:rsidR="00FD4FC4" w:rsidRPr="009F57D8">
              <w:rPr>
                <w:vertAlign w:val="superscript"/>
                <w:lang w:eastAsia="en-US"/>
              </w:rPr>
              <w:t xml:space="preserve"> </w:t>
            </w:r>
          </w:p>
        </w:tc>
        <w:tc>
          <w:tcPr>
            <w:tcW w:w="635" w:type="pct"/>
            <w:vAlign w:val="center"/>
          </w:tcPr>
          <w:p w14:paraId="2996B656" w14:textId="31DFFDE6" w:rsidR="00313EED" w:rsidRPr="009F57D8" w:rsidRDefault="00313EED" w:rsidP="00D80101">
            <w:pPr>
              <w:pStyle w:val="TableText0"/>
              <w:rPr>
                <w:lang w:eastAsia="en-US"/>
              </w:rPr>
            </w:pPr>
            <w:r w:rsidRPr="009F57D8">
              <w:rPr>
                <w:rFonts w:cs="Calibri"/>
                <w:color w:val="000000"/>
                <w:szCs w:val="20"/>
              </w:rPr>
              <w:t>$</w:t>
            </w:r>
            <w:r w:rsidR="00FD08E9" w:rsidRPr="00FD08E9">
              <w:rPr>
                <w:rFonts w:cs="Calibri"/>
                <w:color w:val="000000"/>
                <w:szCs w:val="20"/>
                <w:highlight w:val="black"/>
              </w:rPr>
              <w:t>&amp;&amp;&amp;&amp;</w:t>
            </w:r>
          </w:p>
        </w:tc>
        <w:tc>
          <w:tcPr>
            <w:tcW w:w="630" w:type="pct"/>
            <w:vAlign w:val="center"/>
          </w:tcPr>
          <w:p w14:paraId="15DDD2C4" w14:textId="78DC4514" w:rsidR="00313EED" w:rsidRPr="009F57D8" w:rsidRDefault="00313EED" w:rsidP="00D80101">
            <w:pPr>
              <w:pStyle w:val="TableText0"/>
              <w:rPr>
                <w:lang w:eastAsia="en-US"/>
              </w:rPr>
            </w:pPr>
            <w:r w:rsidRPr="009F57D8">
              <w:rPr>
                <w:rFonts w:cs="Calibri"/>
                <w:color w:val="000000"/>
                <w:szCs w:val="20"/>
              </w:rPr>
              <w:t>89</w:t>
            </w:r>
          </w:p>
        </w:tc>
        <w:tc>
          <w:tcPr>
            <w:tcW w:w="555" w:type="pct"/>
            <w:vAlign w:val="center"/>
          </w:tcPr>
          <w:p w14:paraId="79EB74A7" w14:textId="47D42A93" w:rsidR="00313EED" w:rsidRPr="008B5922" w:rsidRDefault="00313EED" w:rsidP="00D80101">
            <w:pPr>
              <w:pStyle w:val="TableText0"/>
              <w:rPr>
                <w:rFonts w:cs="Calibri"/>
                <w:color w:val="000000"/>
                <w:szCs w:val="20"/>
                <w:vertAlign w:val="superscript"/>
              </w:rPr>
            </w:pPr>
            <w:r w:rsidRPr="009F57D8">
              <w:rPr>
                <w:rFonts w:cs="Calibri"/>
                <w:color w:val="000000"/>
                <w:szCs w:val="20"/>
              </w:rPr>
              <w:t>$</w:t>
            </w:r>
            <w:r w:rsidR="00FD08E9" w:rsidRPr="00FD08E9">
              <w:rPr>
                <w:rFonts w:cs="Calibri"/>
                <w:color w:val="000000"/>
                <w:szCs w:val="20"/>
                <w:highlight w:val="black"/>
              </w:rPr>
              <w:t>&amp;&amp;&amp;&amp;</w:t>
            </w:r>
            <w:r w:rsidR="008B5922">
              <w:rPr>
                <w:rFonts w:cs="Calibri"/>
                <w:color w:val="000000"/>
                <w:szCs w:val="20"/>
                <w:vertAlign w:val="superscript"/>
              </w:rPr>
              <w:t>2</w:t>
            </w:r>
          </w:p>
        </w:tc>
      </w:tr>
      <w:tr w:rsidR="00D80101" w:rsidRPr="009F57D8" w14:paraId="07404460" w14:textId="77777777" w:rsidTr="00D80101">
        <w:trPr>
          <w:cantSplit/>
        </w:trPr>
        <w:tc>
          <w:tcPr>
            <w:tcW w:w="1986" w:type="pct"/>
            <w:vAlign w:val="center"/>
          </w:tcPr>
          <w:p w14:paraId="5B24D5EF" w14:textId="6A99720C" w:rsidR="00313EED" w:rsidRPr="009F57D8" w:rsidRDefault="00CE31E3" w:rsidP="00D80101">
            <w:pPr>
              <w:pStyle w:val="TableText0"/>
              <w:rPr>
                <w:lang w:eastAsia="en-US"/>
              </w:rPr>
            </w:pPr>
            <w:r w:rsidRPr="009F57D8">
              <w:rPr>
                <w:b/>
                <w:bCs w:val="0"/>
                <w:lang w:eastAsia="en-US"/>
              </w:rPr>
              <w:t>PBAC Scenario</w:t>
            </w:r>
            <w:r w:rsidR="00E64D18" w:rsidRPr="009F57D8">
              <w:rPr>
                <w:b/>
                <w:bCs w:val="0"/>
                <w:lang w:eastAsia="en-US"/>
              </w:rPr>
              <w:t xml:space="preserve"> 1</w:t>
            </w:r>
            <w:r w:rsidRPr="009F57D8">
              <w:rPr>
                <w:lang w:eastAsia="en-US"/>
              </w:rPr>
              <w:t xml:space="preserve"> </w:t>
            </w:r>
            <w:r w:rsidRPr="009F57D8">
              <w:rPr>
                <w:lang w:eastAsia="en-US"/>
              </w:rPr>
              <w:br/>
              <w:t xml:space="preserve">(reflects Evaluation MSA with </w:t>
            </w:r>
            <w:r w:rsidR="004C21FB" w:rsidRPr="009F57D8">
              <w:rPr>
                <w:lang w:eastAsia="en-US"/>
              </w:rPr>
              <w:t>65-year</w:t>
            </w:r>
            <w:r w:rsidR="00313EED" w:rsidRPr="009F57D8">
              <w:rPr>
                <w:lang w:eastAsia="en-US"/>
              </w:rPr>
              <w:t xml:space="preserve"> threshold</w:t>
            </w:r>
            <w:r w:rsidRPr="009F57D8">
              <w:rPr>
                <w:lang w:eastAsia="en-US"/>
              </w:rPr>
              <w:t>)</w:t>
            </w:r>
            <w:r w:rsidR="00313EED" w:rsidRPr="009F57D8">
              <w:rPr>
                <w:lang w:eastAsia="en-US"/>
              </w:rPr>
              <w:t>: VE reduction for non-shared 13vPCV STs (excl. ST3)</w:t>
            </w:r>
            <w:r w:rsidR="00782B11" w:rsidRPr="009F57D8">
              <w:rPr>
                <w:lang w:eastAsia="en-US"/>
              </w:rPr>
              <w:t>, and reduction for shared serotypes 6A and 19A,</w:t>
            </w:r>
            <w:r w:rsidR="00313EED" w:rsidRPr="009F57D8">
              <w:rPr>
                <w:lang w:eastAsia="en-US"/>
              </w:rPr>
              <w:t xml:space="preserve"> time horizon</w:t>
            </w:r>
            <w:r w:rsidR="00814D1A" w:rsidRPr="009F57D8">
              <w:rPr>
                <w:vertAlign w:val="superscript"/>
                <w:lang w:eastAsia="en-US"/>
              </w:rPr>
              <w:t>c</w:t>
            </w:r>
            <w:r w:rsidR="00313EED" w:rsidRPr="009F57D8">
              <w:rPr>
                <w:lang w:eastAsia="en-US"/>
              </w:rPr>
              <w:t xml:space="preserve"> and age 65</w:t>
            </w:r>
          </w:p>
        </w:tc>
        <w:tc>
          <w:tcPr>
            <w:tcW w:w="569" w:type="pct"/>
            <w:vAlign w:val="center"/>
          </w:tcPr>
          <w:p w14:paraId="64DEA5EB" w14:textId="77777777" w:rsidR="00313EED" w:rsidRPr="009F57D8" w:rsidRDefault="00313EED" w:rsidP="00D80101">
            <w:pPr>
              <w:pStyle w:val="TableText0"/>
              <w:widowControl w:val="0"/>
              <w:rPr>
                <w:szCs w:val="20"/>
                <w:lang w:eastAsia="en-US"/>
              </w:rPr>
            </w:pPr>
            <w:r w:rsidRPr="009F57D8">
              <w:rPr>
                <w:szCs w:val="20"/>
                <w:lang w:eastAsia="en-US"/>
              </w:rPr>
              <w:t>IPD: 75%</w:t>
            </w:r>
          </w:p>
          <w:p w14:paraId="4C902128" w14:textId="77777777" w:rsidR="00313EED" w:rsidRPr="009F57D8" w:rsidRDefault="00313EED" w:rsidP="00D80101">
            <w:pPr>
              <w:pStyle w:val="TableText0"/>
              <w:widowControl w:val="0"/>
              <w:rPr>
                <w:szCs w:val="20"/>
                <w:lang w:eastAsia="en-US"/>
              </w:rPr>
            </w:pPr>
            <w:r w:rsidRPr="009F57D8">
              <w:rPr>
                <w:szCs w:val="20"/>
                <w:lang w:eastAsia="en-US"/>
              </w:rPr>
              <w:t>CAP: 45%</w:t>
            </w:r>
          </w:p>
          <w:p w14:paraId="5054CDE0" w14:textId="77777777" w:rsidR="00313EED" w:rsidRPr="009F57D8" w:rsidRDefault="00313EED" w:rsidP="00D80101">
            <w:pPr>
              <w:pStyle w:val="TableText0"/>
              <w:widowControl w:val="0"/>
              <w:rPr>
                <w:szCs w:val="20"/>
                <w:lang w:eastAsia="en-US"/>
              </w:rPr>
            </w:pPr>
            <w:r w:rsidRPr="009F57D8">
              <w:rPr>
                <w:szCs w:val="20"/>
                <w:lang w:eastAsia="en-US"/>
              </w:rPr>
              <w:t>30 years</w:t>
            </w:r>
          </w:p>
          <w:p w14:paraId="2F30199A" w14:textId="606AFC1D" w:rsidR="00313EED" w:rsidRPr="009F57D8" w:rsidRDefault="00313EED" w:rsidP="00D80101">
            <w:pPr>
              <w:pStyle w:val="TableText0"/>
              <w:keepLines w:val="0"/>
              <w:widowControl w:val="0"/>
              <w:rPr>
                <w:lang w:eastAsia="en-US"/>
              </w:rPr>
            </w:pPr>
            <w:r w:rsidRPr="009F57D8">
              <w:rPr>
                <w:szCs w:val="20"/>
                <w:lang w:eastAsia="en-US"/>
              </w:rPr>
              <w:t>70 years</w:t>
            </w:r>
          </w:p>
        </w:tc>
        <w:tc>
          <w:tcPr>
            <w:tcW w:w="624" w:type="pct"/>
            <w:vAlign w:val="center"/>
          </w:tcPr>
          <w:p w14:paraId="0356DA67" w14:textId="4BBF6B11" w:rsidR="00313EED" w:rsidRPr="009F57D8" w:rsidRDefault="00313EED" w:rsidP="00D80101">
            <w:pPr>
              <w:pStyle w:val="TableText0"/>
              <w:widowControl w:val="0"/>
              <w:rPr>
                <w:szCs w:val="20"/>
                <w:lang w:eastAsia="en-US"/>
              </w:rPr>
            </w:pPr>
            <w:r w:rsidRPr="009F57D8">
              <w:rPr>
                <w:szCs w:val="20"/>
                <w:lang w:eastAsia="en-US"/>
              </w:rPr>
              <w:t>-45%</w:t>
            </w:r>
            <w:r w:rsidR="00FD4FC4" w:rsidRPr="009F57D8">
              <w:rPr>
                <w:vertAlign w:val="superscript"/>
                <w:lang w:eastAsia="en-US"/>
              </w:rPr>
              <w:t xml:space="preserve"> a</w:t>
            </w:r>
          </w:p>
          <w:p w14:paraId="36054A2E" w14:textId="58DCDE95" w:rsidR="00313EED" w:rsidRPr="009F57D8" w:rsidRDefault="00313EED" w:rsidP="00D80101">
            <w:pPr>
              <w:pStyle w:val="TableText0"/>
              <w:widowControl w:val="0"/>
              <w:rPr>
                <w:szCs w:val="20"/>
                <w:lang w:eastAsia="en-US"/>
              </w:rPr>
            </w:pPr>
            <w:r w:rsidRPr="009F57D8">
              <w:rPr>
                <w:szCs w:val="20"/>
                <w:lang w:eastAsia="en-US"/>
              </w:rPr>
              <w:t>-45%</w:t>
            </w:r>
            <w:r w:rsidR="00FD4FC4" w:rsidRPr="009F57D8">
              <w:rPr>
                <w:vertAlign w:val="superscript"/>
                <w:lang w:eastAsia="en-US"/>
              </w:rPr>
              <w:t xml:space="preserve"> a</w:t>
            </w:r>
          </w:p>
          <w:p w14:paraId="03FB995C" w14:textId="2722C0D4" w:rsidR="00313EED" w:rsidRPr="009F57D8" w:rsidRDefault="00313EED" w:rsidP="00D80101">
            <w:pPr>
              <w:pStyle w:val="TableText0"/>
              <w:widowControl w:val="0"/>
              <w:rPr>
                <w:szCs w:val="20"/>
                <w:lang w:eastAsia="en-US"/>
              </w:rPr>
            </w:pPr>
            <w:r w:rsidRPr="009F57D8">
              <w:rPr>
                <w:szCs w:val="20"/>
                <w:lang w:eastAsia="en-US"/>
              </w:rPr>
              <w:t>10 years</w:t>
            </w:r>
            <w:r w:rsidR="00FD4FC4" w:rsidRPr="009F57D8">
              <w:rPr>
                <w:vertAlign w:val="superscript"/>
                <w:lang w:eastAsia="en-US"/>
              </w:rPr>
              <w:t xml:space="preserve"> a</w:t>
            </w:r>
          </w:p>
          <w:p w14:paraId="6352F260" w14:textId="5594BFF5" w:rsidR="00313EED" w:rsidRPr="009F57D8" w:rsidRDefault="00313EED" w:rsidP="00D80101">
            <w:pPr>
              <w:pStyle w:val="TableText0"/>
              <w:keepLines w:val="0"/>
              <w:widowControl w:val="0"/>
              <w:rPr>
                <w:lang w:eastAsia="en-US"/>
              </w:rPr>
            </w:pPr>
            <w:r w:rsidRPr="009F57D8">
              <w:rPr>
                <w:szCs w:val="20"/>
                <w:lang w:eastAsia="en-US"/>
              </w:rPr>
              <w:t>65 years</w:t>
            </w:r>
            <w:r w:rsidR="00FD4FC4" w:rsidRPr="009F57D8">
              <w:rPr>
                <w:vertAlign w:val="superscript"/>
                <w:lang w:eastAsia="en-US"/>
              </w:rPr>
              <w:t xml:space="preserve"> a</w:t>
            </w:r>
          </w:p>
        </w:tc>
        <w:tc>
          <w:tcPr>
            <w:tcW w:w="635" w:type="pct"/>
            <w:vAlign w:val="center"/>
          </w:tcPr>
          <w:p w14:paraId="00292705" w14:textId="03264E8B" w:rsidR="00313EED" w:rsidRPr="009F57D8" w:rsidRDefault="00313EED" w:rsidP="00D80101">
            <w:pPr>
              <w:pStyle w:val="TableText0"/>
              <w:rPr>
                <w:lang w:eastAsia="en-US"/>
              </w:rPr>
            </w:pPr>
            <w:r w:rsidRPr="009F57D8">
              <w:rPr>
                <w:rFonts w:cs="Calibri"/>
                <w:color w:val="000000"/>
                <w:szCs w:val="20"/>
              </w:rPr>
              <w:t>$</w:t>
            </w:r>
            <w:r w:rsidR="00FD08E9" w:rsidRPr="00FD08E9">
              <w:rPr>
                <w:rFonts w:cs="Calibri"/>
                <w:color w:val="000000"/>
                <w:szCs w:val="20"/>
                <w:highlight w:val="black"/>
              </w:rPr>
              <w:t>&amp;&amp;&amp;&amp;</w:t>
            </w:r>
          </w:p>
        </w:tc>
        <w:tc>
          <w:tcPr>
            <w:tcW w:w="630" w:type="pct"/>
            <w:vAlign w:val="center"/>
          </w:tcPr>
          <w:p w14:paraId="45CA8BA3" w14:textId="331E72E4" w:rsidR="00313EED" w:rsidRPr="009F57D8" w:rsidRDefault="00313EED" w:rsidP="00D80101">
            <w:pPr>
              <w:pStyle w:val="TableText0"/>
              <w:rPr>
                <w:lang w:eastAsia="en-US"/>
              </w:rPr>
            </w:pPr>
            <w:r w:rsidRPr="009F57D8">
              <w:rPr>
                <w:rFonts w:cs="Calibri"/>
                <w:color w:val="000000"/>
                <w:szCs w:val="20"/>
              </w:rPr>
              <w:t>51</w:t>
            </w:r>
          </w:p>
        </w:tc>
        <w:tc>
          <w:tcPr>
            <w:tcW w:w="555" w:type="pct"/>
            <w:vAlign w:val="center"/>
          </w:tcPr>
          <w:p w14:paraId="065BB520" w14:textId="63C5A31C" w:rsidR="00313EED" w:rsidRPr="001D079D" w:rsidRDefault="00313EED" w:rsidP="00D80101">
            <w:pPr>
              <w:pStyle w:val="TableText0"/>
              <w:rPr>
                <w:rFonts w:cs="Calibri"/>
                <w:color w:val="000000"/>
                <w:szCs w:val="20"/>
                <w:vertAlign w:val="superscript"/>
              </w:rPr>
            </w:pPr>
            <w:r w:rsidRPr="009F57D8">
              <w:rPr>
                <w:rFonts w:cs="Calibri"/>
                <w:color w:val="000000"/>
                <w:szCs w:val="20"/>
              </w:rPr>
              <w:t>$</w:t>
            </w:r>
            <w:r w:rsidR="00FD08E9" w:rsidRPr="00FD08E9">
              <w:rPr>
                <w:rFonts w:cs="Calibri"/>
                <w:color w:val="000000"/>
                <w:szCs w:val="20"/>
                <w:highlight w:val="black"/>
              </w:rPr>
              <w:t>&amp;&amp;&amp;&amp;</w:t>
            </w:r>
            <w:r w:rsidR="001D079D">
              <w:rPr>
                <w:rFonts w:cs="Calibri"/>
                <w:color w:val="000000"/>
                <w:szCs w:val="20"/>
                <w:vertAlign w:val="superscript"/>
              </w:rPr>
              <w:t>3</w:t>
            </w:r>
          </w:p>
        </w:tc>
      </w:tr>
      <w:tr w:rsidR="00313EED" w:rsidRPr="009F57D8" w14:paraId="5A2C58D0" w14:textId="77777777" w:rsidTr="00D80101">
        <w:trPr>
          <w:cantSplit/>
        </w:trPr>
        <w:tc>
          <w:tcPr>
            <w:tcW w:w="5000" w:type="pct"/>
            <w:gridSpan w:val="6"/>
            <w:vAlign w:val="center"/>
          </w:tcPr>
          <w:p w14:paraId="4CF7D17C" w14:textId="59E2DE34" w:rsidR="00313EED" w:rsidRPr="009F57D8" w:rsidRDefault="00313EED" w:rsidP="00D80101">
            <w:pPr>
              <w:pStyle w:val="TableFigureHeading"/>
            </w:pPr>
            <w:r w:rsidRPr="009F57D8">
              <w:rPr>
                <w:bCs w:val="0"/>
                <w:lang w:eastAsia="en-US"/>
              </w:rPr>
              <w:t xml:space="preserve">Indigenous ≥ 50 vs </w:t>
            </w:r>
            <w:r w:rsidRPr="009F57D8">
              <w:t>13vPCV ± 23vPPV</w:t>
            </w:r>
            <w:r w:rsidR="00341D3B" w:rsidRPr="009F57D8">
              <w:t xml:space="preserve"> (requested price = $</w:t>
            </w:r>
            <w:r w:rsidR="00FD08E9" w:rsidRPr="00FD08E9">
              <w:rPr>
                <w:highlight w:val="black"/>
              </w:rPr>
              <w:t>&amp;&amp;&amp;&amp;</w:t>
            </w:r>
            <w:r w:rsidR="00341D3B" w:rsidRPr="009F57D8">
              <w:t>)</w:t>
            </w:r>
          </w:p>
        </w:tc>
      </w:tr>
      <w:tr w:rsidR="00D80101" w:rsidRPr="009F57D8" w14:paraId="36EC122E" w14:textId="77777777" w:rsidTr="00D80101">
        <w:trPr>
          <w:cantSplit/>
        </w:trPr>
        <w:tc>
          <w:tcPr>
            <w:tcW w:w="1986" w:type="pct"/>
            <w:vAlign w:val="center"/>
          </w:tcPr>
          <w:p w14:paraId="72580A70" w14:textId="7840D8F2" w:rsidR="00313EED" w:rsidRPr="009F57D8" w:rsidRDefault="00313EED" w:rsidP="00D80101">
            <w:pPr>
              <w:pStyle w:val="TableText0"/>
            </w:pPr>
            <w:r w:rsidRPr="009F57D8">
              <w:t>Base-case</w:t>
            </w:r>
          </w:p>
        </w:tc>
        <w:tc>
          <w:tcPr>
            <w:tcW w:w="569" w:type="pct"/>
            <w:vAlign w:val="center"/>
          </w:tcPr>
          <w:p w14:paraId="36955397" w14:textId="3EACF9DB" w:rsidR="00313EED" w:rsidRPr="009F57D8" w:rsidRDefault="00313EED" w:rsidP="00D80101">
            <w:pPr>
              <w:pStyle w:val="TableText0"/>
            </w:pPr>
            <w:r w:rsidRPr="009F57D8">
              <w:t>-</w:t>
            </w:r>
          </w:p>
        </w:tc>
        <w:tc>
          <w:tcPr>
            <w:tcW w:w="624" w:type="pct"/>
            <w:vAlign w:val="center"/>
          </w:tcPr>
          <w:p w14:paraId="19B486B9" w14:textId="7132CC50" w:rsidR="00313EED" w:rsidRPr="009F57D8" w:rsidRDefault="00313EED" w:rsidP="00D80101">
            <w:pPr>
              <w:pStyle w:val="TableText0"/>
            </w:pPr>
            <w:r w:rsidRPr="009F57D8">
              <w:t>-</w:t>
            </w:r>
          </w:p>
        </w:tc>
        <w:tc>
          <w:tcPr>
            <w:tcW w:w="635" w:type="pct"/>
            <w:vAlign w:val="center"/>
          </w:tcPr>
          <w:p w14:paraId="3DA129E5" w14:textId="3432032D" w:rsidR="00313EED" w:rsidRPr="009F57D8" w:rsidRDefault="00313EED" w:rsidP="00D80101">
            <w:pPr>
              <w:pStyle w:val="TableText0"/>
            </w:pPr>
            <w:r w:rsidRPr="009F57D8">
              <w:t>-$</w:t>
            </w:r>
            <w:r w:rsidR="00FD08E9" w:rsidRPr="00FD08E9">
              <w:rPr>
                <w:highlight w:val="black"/>
              </w:rPr>
              <w:t>&amp;&amp;&amp;&amp;</w:t>
            </w:r>
          </w:p>
        </w:tc>
        <w:tc>
          <w:tcPr>
            <w:tcW w:w="630" w:type="pct"/>
            <w:vAlign w:val="center"/>
          </w:tcPr>
          <w:p w14:paraId="6AD102FE" w14:textId="73FDBA0C" w:rsidR="00313EED" w:rsidRPr="009F57D8" w:rsidRDefault="00313EED" w:rsidP="00D80101">
            <w:pPr>
              <w:pStyle w:val="TableText0"/>
            </w:pPr>
            <w:r w:rsidRPr="009F57D8">
              <w:t>19</w:t>
            </w:r>
          </w:p>
        </w:tc>
        <w:tc>
          <w:tcPr>
            <w:tcW w:w="555" w:type="pct"/>
            <w:vAlign w:val="center"/>
          </w:tcPr>
          <w:p w14:paraId="6F6CAB14" w14:textId="49C149C0" w:rsidR="00313EED" w:rsidRPr="009F57D8" w:rsidRDefault="00313EED" w:rsidP="00D80101">
            <w:pPr>
              <w:pStyle w:val="TableText0"/>
            </w:pPr>
            <w:r w:rsidRPr="009F57D8">
              <w:t>Dominant</w:t>
            </w:r>
          </w:p>
        </w:tc>
      </w:tr>
      <w:tr w:rsidR="00D80101" w:rsidRPr="009F57D8" w14:paraId="3B56C62C" w14:textId="77777777" w:rsidTr="00D80101">
        <w:trPr>
          <w:cantSplit/>
        </w:trPr>
        <w:tc>
          <w:tcPr>
            <w:tcW w:w="1986" w:type="pct"/>
            <w:vAlign w:val="center"/>
          </w:tcPr>
          <w:p w14:paraId="2AA840ED" w14:textId="00018A67" w:rsidR="000F0889" w:rsidRPr="009F57D8" w:rsidRDefault="000F0889" w:rsidP="00D80101">
            <w:pPr>
              <w:pStyle w:val="TableText0"/>
              <w:rPr>
                <w:lang w:eastAsia="en-US"/>
              </w:rPr>
            </w:pPr>
            <w:r w:rsidRPr="009F57D8">
              <w:rPr>
                <w:b/>
                <w:bCs w:val="0"/>
                <w:szCs w:val="20"/>
                <w:lang w:eastAsia="en-US"/>
              </w:rPr>
              <w:t>PBAC Scenario</w:t>
            </w:r>
            <w:r w:rsidR="00E64D18" w:rsidRPr="009F57D8">
              <w:rPr>
                <w:b/>
                <w:bCs w:val="0"/>
                <w:szCs w:val="20"/>
                <w:lang w:eastAsia="en-US"/>
              </w:rPr>
              <w:t xml:space="preserve"> 2</w:t>
            </w:r>
          </w:p>
          <w:p w14:paraId="4695CEA1" w14:textId="48A926B1" w:rsidR="004839B7" w:rsidRPr="009F57D8" w:rsidRDefault="000F0889" w:rsidP="00D80101">
            <w:pPr>
              <w:pStyle w:val="TableText0"/>
            </w:pPr>
            <w:r w:rsidRPr="009F57D8">
              <w:rPr>
                <w:lang w:eastAsia="en-US"/>
              </w:rPr>
              <w:t xml:space="preserve">(reflects </w:t>
            </w:r>
            <w:r w:rsidR="00CE31E3" w:rsidRPr="009F57D8">
              <w:rPr>
                <w:lang w:eastAsia="en-US"/>
              </w:rPr>
              <w:t>Evaluation MSA</w:t>
            </w:r>
            <w:r w:rsidRPr="009F57D8">
              <w:rPr>
                <w:lang w:eastAsia="en-US"/>
              </w:rPr>
              <w:t>)</w:t>
            </w:r>
            <w:r w:rsidR="00CE31E3" w:rsidRPr="009F57D8">
              <w:rPr>
                <w:lang w:eastAsia="en-US"/>
              </w:rPr>
              <w:t xml:space="preserve">: </w:t>
            </w:r>
            <w:r w:rsidR="004839B7" w:rsidRPr="009F57D8">
              <w:rPr>
                <w:lang w:eastAsia="en-US"/>
              </w:rPr>
              <w:t>Evaluation MSA: VE reduction (-45% relative reduction) for non-shared 13vPCV STs (excl. ST3), and reduction for shared serotypes 6A and 19A, and time horizon</w:t>
            </w:r>
            <w:r w:rsidR="00814D1A" w:rsidRPr="009F57D8">
              <w:rPr>
                <w:vertAlign w:val="superscript"/>
                <w:lang w:eastAsia="en-US"/>
              </w:rPr>
              <w:t>c</w:t>
            </w:r>
          </w:p>
        </w:tc>
        <w:tc>
          <w:tcPr>
            <w:tcW w:w="569" w:type="pct"/>
            <w:vAlign w:val="center"/>
          </w:tcPr>
          <w:p w14:paraId="730D7568" w14:textId="77777777" w:rsidR="00313EED" w:rsidRPr="009F57D8" w:rsidRDefault="00313EED" w:rsidP="00D80101">
            <w:pPr>
              <w:pStyle w:val="TableText0"/>
              <w:keepLines w:val="0"/>
              <w:widowControl w:val="0"/>
              <w:rPr>
                <w:lang w:eastAsia="en-US"/>
              </w:rPr>
            </w:pPr>
            <w:r w:rsidRPr="009F57D8">
              <w:rPr>
                <w:lang w:eastAsia="en-US"/>
              </w:rPr>
              <w:t>IPD: 75%</w:t>
            </w:r>
          </w:p>
          <w:p w14:paraId="665E1256" w14:textId="77777777" w:rsidR="00313EED" w:rsidRPr="009F57D8" w:rsidRDefault="00313EED" w:rsidP="00D80101">
            <w:pPr>
              <w:pStyle w:val="TableText0"/>
              <w:keepLines w:val="0"/>
              <w:widowControl w:val="0"/>
              <w:rPr>
                <w:lang w:eastAsia="en-US"/>
              </w:rPr>
            </w:pPr>
            <w:r w:rsidRPr="009F57D8">
              <w:rPr>
                <w:lang w:eastAsia="en-US"/>
              </w:rPr>
              <w:t>CAP: 45%</w:t>
            </w:r>
          </w:p>
          <w:p w14:paraId="7C24CDED" w14:textId="41F25B50" w:rsidR="00313EED" w:rsidRPr="009F57D8" w:rsidRDefault="00313EED" w:rsidP="00D80101">
            <w:pPr>
              <w:pStyle w:val="TableText0"/>
              <w:keepLines w:val="0"/>
              <w:widowControl w:val="0"/>
            </w:pPr>
            <w:r w:rsidRPr="009F57D8">
              <w:rPr>
                <w:lang w:eastAsia="en-US"/>
              </w:rPr>
              <w:t>30 years</w:t>
            </w:r>
          </w:p>
        </w:tc>
        <w:tc>
          <w:tcPr>
            <w:tcW w:w="624" w:type="pct"/>
            <w:vAlign w:val="center"/>
          </w:tcPr>
          <w:p w14:paraId="09A5DF63" w14:textId="5DB43C1C" w:rsidR="00313EED" w:rsidRPr="009F57D8" w:rsidRDefault="00313EED" w:rsidP="00D80101">
            <w:pPr>
              <w:pStyle w:val="TableText0"/>
              <w:keepLines w:val="0"/>
              <w:widowControl w:val="0"/>
              <w:rPr>
                <w:lang w:eastAsia="en-US"/>
              </w:rPr>
            </w:pPr>
            <w:r w:rsidRPr="009F57D8">
              <w:rPr>
                <w:lang w:eastAsia="en-US"/>
              </w:rPr>
              <w:t>-45%</w:t>
            </w:r>
            <w:r w:rsidR="00FD4FC4" w:rsidRPr="009F57D8">
              <w:rPr>
                <w:vertAlign w:val="superscript"/>
                <w:lang w:eastAsia="en-US"/>
              </w:rPr>
              <w:t xml:space="preserve"> a</w:t>
            </w:r>
          </w:p>
          <w:p w14:paraId="3B778BD7" w14:textId="61EC3932" w:rsidR="00313EED" w:rsidRPr="009F57D8" w:rsidRDefault="00313EED" w:rsidP="00D80101">
            <w:pPr>
              <w:pStyle w:val="TableText0"/>
              <w:keepLines w:val="0"/>
              <w:widowControl w:val="0"/>
              <w:rPr>
                <w:lang w:eastAsia="en-US"/>
              </w:rPr>
            </w:pPr>
            <w:r w:rsidRPr="009F57D8">
              <w:rPr>
                <w:lang w:eastAsia="en-US"/>
              </w:rPr>
              <w:t>-45%</w:t>
            </w:r>
            <w:r w:rsidR="00FD4FC4" w:rsidRPr="009F57D8">
              <w:rPr>
                <w:vertAlign w:val="superscript"/>
                <w:lang w:eastAsia="en-US"/>
              </w:rPr>
              <w:t xml:space="preserve"> a</w:t>
            </w:r>
          </w:p>
          <w:p w14:paraId="2AFCFC54" w14:textId="48A0F36B" w:rsidR="00313EED" w:rsidRPr="009F57D8" w:rsidRDefault="00313EED" w:rsidP="00D80101">
            <w:pPr>
              <w:pStyle w:val="TableText0"/>
              <w:keepLines w:val="0"/>
              <w:widowControl w:val="0"/>
            </w:pPr>
            <w:r w:rsidRPr="009F57D8">
              <w:rPr>
                <w:lang w:eastAsia="en-US"/>
              </w:rPr>
              <w:t>10 years</w:t>
            </w:r>
            <w:r w:rsidR="00FD4FC4" w:rsidRPr="009F57D8">
              <w:rPr>
                <w:vertAlign w:val="superscript"/>
                <w:lang w:eastAsia="en-US"/>
              </w:rPr>
              <w:t xml:space="preserve"> a</w:t>
            </w:r>
          </w:p>
        </w:tc>
        <w:tc>
          <w:tcPr>
            <w:tcW w:w="635" w:type="pct"/>
            <w:vAlign w:val="center"/>
          </w:tcPr>
          <w:p w14:paraId="4668E67A" w14:textId="7DE19A3F" w:rsidR="00313EED" w:rsidRPr="009F57D8" w:rsidRDefault="00313EED" w:rsidP="00D80101">
            <w:pPr>
              <w:pStyle w:val="TableText0"/>
            </w:pPr>
            <w:r w:rsidRPr="009F57D8">
              <w:t>-$</w:t>
            </w:r>
            <w:r w:rsidR="00FD08E9" w:rsidRPr="00FD08E9">
              <w:rPr>
                <w:highlight w:val="black"/>
              </w:rPr>
              <w:t>&amp;&amp;&amp;&amp;</w:t>
            </w:r>
          </w:p>
        </w:tc>
        <w:tc>
          <w:tcPr>
            <w:tcW w:w="630" w:type="pct"/>
            <w:vAlign w:val="center"/>
          </w:tcPr>
          <w:p w14:paraId="415EA67E" w14:textId="57FBC042" w:rsidR="00313EED" w:rsidRPr="009F57D8" w:rsidRDefault="00313EED" w:rsidP="00D80101">
            <w:pPr>
              <w:pStyle w:val="TableText0"/>
            </w:pPr>
            <w:r w:rsidRPr="009F57D8">
              <w:t>3</w:t>
            </w:r>
          </w:p>
        </w:tc>
        <w:tc>
          <w:tcPr>
            <w:tcW w:w="555" w:type="pct"/>
            <w:vAlign w:val="center"/>
          </w:tcPr>
          <w:p w14:paraId="6726173F" w14:textId="476B8397" w:rsidR="005C77B8" w:rsidRPr="009F57D8" w:rsidRDefault="00313EED" w:rsidP="00D80101">
            <w:pPr>
              <w:pStyle w:val="TableText0"/>
            </w:pPr>
            <w:r w:rsidRPr="009F57D8">
              <w:t>Dominant</w:t>
            </w:r>
          </w:p>
        </w:tc>
      </w:tr>
      <w:tr w:rsidR="00D80101" w:rsidRPr="009F57D8" w14:paraId="6CE38E0E" w14:textId="77777777" w:rsidTr="00D80101">
        <w:trPr>
          <w:cantSplit/>
        </w:trPr>
        <w:tc>
          <w:tcPr>
            <w:tcW w:w="1986" w:type="pct"/>
            <w:vAlign w:val="center"/>
          </w:tcPr>
          <w:p w14:paraId="50CC71D4" w14:textId="1812918A" w:rsidR="000426F0" w:rsidRPr="009F57D8" w:rsidRDefault="000426F0" w:rsidP="00D80101">
            <w:pPr>
              <w:pStyle w:val="TableText0"/>
              <w:rPr>
                <w:highlight w:val="yellow"/>
              </w:rPr>
            </w:pPr>
            <w:r w:rsidRPr="009F57D8">
              <w:rPr>
                <w:lang w:eastAsia="en-US"/>
              </w:rPr>
              <w:t>Alternative MSA: VE reduction for non-shared 13vPCV STs (excl. ST3) and time horizon</w:t>
            </w:r>
            <w:r w:rsidR="00814D1A" w:rsidRPr="009F57D8">
              <w:rPr>
                <w:vertAlign w:val="superscript"/>
                <w:lang w:eastAsia="en-US"/>
              </w:rPr>
              <w:t>c</w:t>
            </w:r>
            <w:r w:rsidR="00DC770E" w:rsidRPr="009F57D8">
              <w:rPr>
                <w:vertAlign w:val="superscript"/>
                <w:lang w:eastAsia="en-US"/>
              </w:rPr>
              <w:t xml:space="preserve"> </w:t>
            </w:r>
            <w:r w:rsidR="00782B11" w:rsidRPr="009F57D8">
              <w:rPr>
                <w:szCs w:val="20"/>
                <w:lang w:eastAsia="en-US"/>
              </w:rPr>
              <w:t>(45% reduction on 6A and 19A removed)</w:t>
            </w:r>
          </w:p>
        </w:tc>
        <w:tc>
          <w:tcPr>
            <w:tcW w:w="569" w:type="pct"/>
            <w:vAlign w:val="center"/>
          </w:tcPr>
          <w:p w14:paraId="16169918" w14:textId="77777777" w:rsidR="000426F0" w:rsidRPr="009F57D8" w:rsidRDefault="000426F0" w:rsidP="00D80101">
            <w:pPr>
              <w:pStyle w:val="TableText0"/>
              <w:keepLines w:val="0"/>
              <w:widowControl w:val="0"/>
              <w:rPr>
                <w:szCs w:val="20"/>
                <w:lang w:eastAsia="en-US"/>
              </w:rPr>
            </w:pPr>
            <w:r w:rsidRPr="009F57D8">
              <w:rPr>
                <w:szCs w:val="20"/>
                <w:lang w:eastAsia="en-US"/>
              </w:rPr>
              <w:t>IPD: 75%</w:t>
            </w:r>
          </w:p>
          <w:p w14:paraId="7BFBFB44" w14:textId="77777777" w:rsidR="000426F0" w:rsidRPr="009F57D8" w:rsidRDefault="000426F0" w:rsidP="00D80101">
            <w:pPr>
              <w:pStyle w:val="TableText0"/>
              <w:keepLines w:val="0"/>
              <w:widowControl w:val="0"/>
              <w:rPr>
                <w:szCs w:val="20"/>
                <w:lang w:eastAsia="en-US"/>
              </w:rPr>
            </w:pPr>
            <w:r w:rsidRPr="009F57D8">
              <w:rPr>
                <w:szCs w:val="20"/>
                <w:lang w:eastAsia="en-US"/>
              </w:rPr>
              <w:t>CAP: 45%</w:t>
            </w:r>
          </w:p>
          <w:p w14:paraId="0CE35FD5" w14:textId="77777777" w:rsidR="000426F0" w:rsidRPr="009F57D8" w:rsidRDefault="000426F0" w:rsidP="00D80101">
            <w:pPr>
              <w:pStyle w:val="TableText0"/>
              <w:keepLines w:val="0"/>
              <w:widowControl w:val="0"/>
              <w:rPr>
                <w:szCs w:val="20"/>
                <w:lang w:eastAsia="en-US"/>
              </w:rPr>
            </w:pPr>
            <w:r w:rsidRPr="009F57D8">
              <w:rPr>
                <w:szCs w:val="20"/>
                <w:lang w:eastAsia="en-US"/>
              </w:rPr>
              <w:t>30 years</w:t>
            </w:r>
          </w:p>
          <w:p w14:paraId="4E37B538" w14:textId="09E0393C" w:rsidR="000426F0" w:rsidRPr="009F57D8" w:rsidRDefault="000426F0" w:rsidP="00D80101">
            <w:pPr>
              <w:pStyle w:val="TableText0"/>
              <w:rPr>
                <w:highlight w:val="yellow"/>
              </w:rPr>
            </w:pPr>
            <w:r w:rsidRPr="009F57D8">
              <w:rPr>
                <w:szCs w:val="20"/>
                <w:lang w:eastAsia="en-US"/>
              </w:rPr>
              <w:t>Decrease 45%</w:t>
            </w:r>
          </w:p>
        </w:tc>
        <w:tc>
          <w:tcPr>
            <w:tcW w:w="624" w:type="pct"/>
            <w:vAlign w:val="center"/>
          </w:tcPr>
          <w:p w14:paraId="7A0077E1" w14:textId="6734030D" w:rsidR="000426F0" w:rsidRPr="009F57D8" w:rsidRDefault="000426F0" w:rsidP="00D80101">
            <w:pPr>
              <w:pStyle w:val="TableText0"/>
              <w:keepLines w:val="0"/>
              <w:widowControl w:val="0"/>
              <w:rPr>
                <w:szCs w:val="20"/>
                <w:lang w:eastAsia="en-US"/>
              </w:rPr>
            </w:pPr>
            <w:r w:rsidRPr="009F57D8">
              <w:rPr>
                <w:szCs w:val="20"/>
                <w:lang w:eastAsia="en-US"/>
              </w:rPr>
              <w:t>-45%</w:t>
            </w:r>
            <w:r w:rsidR="00FD4FC4" w:rsidRPr="009F57D8">
              <w:rPr>
                <w:vertAlign w:val="superscript"/>
                <w:lang w:eastAsia="en-US"/>
              </w:rPr>
              <w:t xml:space="preserve"> a</w:t>
            </w:r>
          </w:p>
          <w:p w14:paraId="7F03DEB5" w14:textId="505B9481" w:rsidR="000426F0" w:rsidRPr="009F57D8" w:rsidRDefault="000426F0" w:rsidP="00D80101">
            <w:pPr>
              <w:pStyle w:val="TableText0"/>
              <w:keepLines w:val="0"/>
              <w:widowControl w:val="0"/>
              <w:rPr>
                <w:szCs w:val="20"/>
                <w:lang w:eastAsia="en-US"/>
              </w:rPr>
            </w:pPr>
            <w:r w:rsidRPr="009F57D8">
              <w:rPr>
                <w:szCs w:val="20"/>
                <w:lang w:eastAsia="en-US"/>
              </w:rPr>
              <w:t>-45%</w:t>
            </w:r>
            <w:r w:rsidR="00FD4FC4" w:rsidRPr="009F57D8">
              <w:rPr>
                <w:vertAlign w:val="superscript"/>
                <w:lang w:eastAsia="en-US"/>
              </w:rPr>
              <w:t xml:space="preserve"> a</w:t>
            </w:r>
          </w:p>
          <w:p w14:paraId="5283BC37" w14:textId="5EF13CE1" w:rsidR="000426F0" w:rsidRPr="009F57D8" w:rsidRDefault="000426F0" w:rsidP="00D80101">
            <w:pPr>
              <w:pStyle w:val="TableText0"/>
              <w:keepLines w:val="0"/>
              <w:widowControl w:val="0"/>
              <w:rPr>
                <w:szCs w:val="20"/>
                <w:lang w:eastAsia="en-US"/>
              </w:rPr>
            </w:pPr>
            <w:r w:rsidRPr="009F57D8">
              <w:rPr>
                <w:szCs w:val="20"/>
                <w:lang w:eastAsia="en-US"/>
              </w:rPr>
              <w:t>10 years</w:t>
            </w:r>
            <w:r w:rsidR="00FD4FC4" w:rsidRPr="009F57D8">
              <w:rPr>
                <w:vertAlign w:val="superscript"/>
                <w:lang w:eastAsia="en-US"/>
              </w:rPr>
              <w:t xml:space="preserve"> a</w:t>
            </w:r>
          </w:p>
          <w:p w14:paraId="4A301210" w14:textId="22D86A91" w:rsidR="000426F0" w:rsidRPr="009F57D8" w:rsidRDefault="000426F0" w:rsidP="00D80101">
            <w:pPr>
              <w:pStyle w:val="TableText0"/>
              <w:rPr>
                <w:highlight w:val="yellow"/>
              </w:rPr>
            </w:pPr>
            <w:r w:rsidRPr="009F57D8">
              <w:rPr>
                <w:szCs w:val="20"/>
                <w:lang w:eastAsia="en-US"/>
              </w:rPr>
              <w:t>0%</w:t>
            </w:r>
          </w:p>
        </w:tc>
        <w:tc>
          <w:tcPr>
            <w:tcW w:w="635" w:type="pct"/>
            <w:vAlign w:val="center"/>
          </w:tcPr>
          <w:p w14:paraId="3131DF28" w14:textId="0E89E0DE" w:rsidR="000426F0" w:rsidRPr="009F57D8" w:rsidRDefault="000426F0" w:rsidP="00D80101">
            <w:pPr>
              <w:pStyle w:val="TableText0"/>
              <w:rPr>
                <w:highlight w:val="yellow"/>
              </w:rPr>
            </w:pPr>
            <w:r w:rsidRPr="009F57D8">
              <w:rPr>
                <w:rFonts w:cs="Calibri"/>
                <w:color w:val="000000"/>
                <w:szCs w:val="20"/>
              </w:rPr>
              <w:t>-$</w:t>
            </w:r>
            <w:r w:rsidR="00FD08E9" w:rsidRPr="00FD08E9">
              <w:rPr>
                <w:rFonts w:cs="Calibri"/>
                <w:color w:val="000000"/>
                <w:szCs w:val="20"/>
                <w:highlight w:val="black"/>
              </w:rPr>
              <w:t>&amp;&amp;&amp;&amp;</w:t>
            </w:r>
          </w:p>
        </w:tc>
        <w:tc>
          <w:tcPr>
            <w:tcW w:w="630" w:type="pct"/>
            <w:vAlign w:val="center"/>
          </w:tcPr>
          <w:p w14:paraId="614AD839" w14:textId="4BDC30EA" w:rsidR="000426F0" w:rsidRPr="009F57D8" w:rsidRDefault="000426F0" w:rsidP="00D80101">
            <w:pPr>
              <w:pStyle w:val="TableText0"/>
              <w:rPr>
                <w:highlight w:val="yellow"/>
              </w:rPr>
            </w:pPr>
            <w:r w:rsidRPr="009F57D8">
              <w:rPr>
                <w:rFonts w:cs="Calibri"/>
                <w:color w:val="000000"/>
                <w:szCs w:val="20"/>
              </w:rPr>
              <w:t>3</w:t>
            </w:r>
          </w:p>
        </w:tc>
        <w:tc>
          <w:tcPr>
            <w:tcW w:w="555" w:type="pct"/>
            <w:vAlign w:val="center"/>
          </w:tcPr>
          <w:p w14:paraId="0F55E29E" w14:textId="594D70F3" w:rsidR="000426F0" w:rsidRPr="009F57D8" w:rsidRDefault="000426F0" w:rsidP="00D80101">
            <w:pPr>
              <w:pStyle w:val="TableText0"/>
              <w:rPr>
                <w:highlight w:val="yellow"/>
              </w:rPr>
            </w:pPr>
            <w:r w:rsidRPr="009F57D8">
              <w:rPr>
                <w:rFonts w:cs="Calibri"/>
                <w:color w:val="000000"/>
                <w:szCs w:val="20"/>
              </w:rPr>
              <w:t>Dominant</w:t>
            </w:r>
          </w:p>
        </w:tc>
      </w:tr>
      <w:tr w:rsidR="000426F0" w:rsidRPr="009F57D8" w14:paraId="04CFDDA2" w14:textId="77777777" w:rsidTr="00D80101">
        <w:trPr>
          <w:cantSplit/>
        </w:trPr>
        <w:tc>
          <w:tcPr>
            <w:tcW w:w="5000" w:type="pct"/>
            <w:gridSpan w:val="6"/>
            <w:vAlign w:val="center"/>
          </w:tcPr>
          <w:p w14:paraId="62D0F18F" w14:textId="254C11BC" w:rsidR="000426F0" w:rsidRPr="009F57D8" w:rsidRDefault="000426F0" w:rsidP="00D80101">
            <w:pPr>
              <w:pStyle w:val="TableFigureHeading"/>
              <w:keepNext w:val="0"/>
            </w:pPr>
            <w:r w:rsidRPr="009F57D8">
              <w:rPr>
                <w:bCs w:val="0"/>
                <w:lang w:eastAsia="en-US"/>
              </w:rPr>
              <w:t xml:space="preserve">MaR adults ≥ 18 to 69 years vs </w:t>
            </w:r>
            <w:r w:rsidRPr="009F57D8">
              <w:t>13vPCV ± 23vPPV</w:t>
            </w:r>
            <w:r w:rsidR="00341D3B" w:rsidRPr="009F57D8">
              <w:t xml:space="preserve"> (requested price = $</w:t>
            </w:r>
            <w:r w:rsidR="00FD08E9" w:rsidRPr="00FD08E9">
              <w:rPr>
                <w:highlight w:val="black"/>
              </w:rPr>
              <w:t>&amp;&amp;&amp;&amp;</w:t>
            </w:r>
            <w:r w:rsidR="00341D3B" w:rsidRPr="009F57D8">
              <w:t>)</w:t>
            </w:r>
          </w:p>
        </w:tc>
      </w:tr>
      <w:tr w:rsidR="00D80101" w:rsidRPr="009F57D8" w14:paraId="7CA2D72F" w14:textId="77777777" w:rsidTr="00D80101">
        <w:trPr>
          <w:cantSplit/>
        </w:trPr>
        <w:tc>
          <w:tcPr>
            <w:tcW w:w="1986" w:type="pct"/>
            <w:vAlign w:val="center"/>
          </w:tcPr>
          <w:p w14:paraId="1237D91C" w14:textId="626A546C" w:rsidR="000426F0" w:rsidRPr="009F57D8" w:rsidRDefault="000426F0" w:rsidP="00D80101">
            <w:pPr>
              <w:pStyle w:val="TableText0"/>
              <w:rPr>
                <w:lang w:eastAsia="en-US"/>
              </w:rPr>
            </w:pPr>
            <w:r w:rsidRPr="009F57D8">
              <w:t xml:space="preserve">Base-case </w:t>
            </w:r>
          </w:p>
        </w:tc>
        <w:tc>
          <w:tcPr>
            <w:tcW w:w="569" w:type="pct"/>
            <w:vAlign w:val="center"/>
          </w:tcPr>
          <w:p w14:paraId="0390BBDA" w14:textId="24359FF5" w:rsidR="000426F0" w:rsidRPr="009F57D8" w:rsidRDefault="000426F0" w:rsidP="00D80101">
            <w:pPr>
              <w:pStyle w:val="TableText0"/>
              <w:keepLines w:val="0"/>
              <w:widowControl w:val="0"/>
              <w:rPr>
                <w:lang w:eastAsia="en-US"/>
              </w:rPr>
            </w:pPr>
            <w:r w:rsidRPr="009F57D8">
              <w:t>-</w:t>
            </w:r>
          </w:p>
        </w:tc>
        <w:tc>
          <w:tcPr>
            <w:tcW w:w="624" w:type="pct"/>
            <w:vAlign w:val="center"/>
          </w:tcPr>
          <w:p w14:paraId="628341E8" w14:textId="384642FC" w:rsidR="000426F0" w:rsidRPr="009F57D8" w:rsidRDefault="000426F0" w:rsidP="00D80101">
            <w:pPr>
              <w:pStyle w:val="TableText0"/>
              <w:keepLines w:val="0"/>
              <w:widowControl w:val="0"/>
              <w:rPr>
                <w:lang w:eastAsia="en-US"/>
              </w:rPr>
            </w:pPr>
            <w:r w:rsidRPr="009F57D8">
              <w:t>-</w:t>
            </w:r>
          </w:p>
        </w:tc>
        <w:tc>
          <w:tcPr>
            <w:tcW w:w="635" w:type="pct"/>
            <w:vAlign w:val="center"/>
          </w:tcPr>
          <w:p w14:paraId="60844575" w14:textId="2CF61BFD" w:rsidR="000426F0" w:rsidRPr="009F57D8" w:rsidRDefault="000426F0" w:rsidP="00D80101">
            <w:pPr>
              <w:pStyle w:val="TableText0"/>
            </w:pPr>
            <w:r w:rsidRPr="009F57D8">
              <w:t>-$</w:t>
            </w:r>
            <w:r w:rsidR="00FD08E9" w:rsidRPr="00FD08E9">
              <w:rPr>
                <w:highlight w:val="black"/>
              </w:rPr>
              <w:t>&amp;&amp;&amp;&amp;</w:t>
            </w:r>
          </w:p>
        </w:tc>
        <w:tc>
          <w:tcPr>
            <w:tcW w:w="630" w:type="pct"/>
            <w:vAlign w:val="center"/>
          </w:tcPr>
          <w:p w14:paraId="4D699416" w14:textId="16CD62D8" w:rsidR="000426F0" w:rsidRPr="009F57D8" w:rsidRDefault="000426F0" w:rsidP="00D80101">
            <w:pPr>
              <w:pStyle w:val="TableText0"/>
            </w:pPr>
            <w:r w:rsidRPr="009F57D8">
              <w:t>482</w:t>
            </w:r>
          </w:p>
        </w:tc>
        <w:tc>
          <w:tcPr>
            <w:tcW w:w="555" w:type="pct"/>
            <w:vAlign w:val="center"/>
          </w:tcPr>
          <w:p w14:paraId="6662F020" w14:textId="52E2E6E0" w:rsidR="000426F0" w:rsidRPr="009F57D8" w:rsidRDefault="000426F0" w:rsidP="00D80101">
            <w:pPr>
              <w:pStyle w:val="TableText0"/>
            </w:pPr>
            <w:r w:rsidRPr="009F57D8">
              <w:t>Dominant</w:t>
            </w:r>
          </w:p>
        </w:tc>
      </w:tr>
      <w:tr w:rsidR="00D80101" w:rsidRPr="009F57D8" w14:paraId="12D359B4" w14:textId="77777777" w:rsidTr="00D80101">
        <w:trPr>
          <w:cantSplit/>
        </w:trPr>
        <w:tc>
          <w:tcPr>
            <w:tcW w:w="1986" w:type="pct"/>
            <w:vAlign w:val="center"/>
          </w:tcPr>
          <w:p w14:paraId="615FA28A" w14:textId="739E31C9" w:rsidR="000F0889" w:rsidRPr="009F57D8" w:rsidRDefault="000F0889" w:rsidP="00D80101">
            <w:pPr>
              <w:pStyle w:val="TableText0"/>
              <w:rPr>
                <w:lang w:eastAsia="en-US"/>
              </w:rPr>
            </w:pPr>
            <w:r w:rsidRPr="009F57D8">
              <w:rPr>
                <w:b/>
                <w:bCs w:val="0"/>
                <w:szCs w:val="20"/>
                <w:lang w:eastAsia="en-US"/>
              </w:rPr>
              <w:t>PBAC Scenario</w:t>
            </w:r>
            <w:r w:rsidR="00E64D18" w:rsidRPr="009F57D8">
              <w:rPr>
                <w:b/>
                <w:bCs w:val="0"/>
                <w:szCs w:val="20"/>
                <w:lang w:eastAsia="en-US"/>
              </w:rPr>
              <w:t xml:space="preserve"> 3</w:t>
            </w:r>
          </w:p>
          <w:p w14:paraId="0F6F0915" w14:textId="0C67F124" w:rsidR="000426F0" w:rsidRPr="009F57D8" w:rsidRDefault="000F0889" w:rsidP="00D80101">
            <w:pPr>
              <w:pStyle w:val="TableText0"/>
              <w:rPr>
                <w:lang w:eastAsia="en-US"/>
              </w:rPr>
            </w:pPr>
            <w:r w:rsidRPr="009F57D8">
              <w:rPr>
                <w:lang w:eastAsia="en-US"/>
              </w:rPr>
              <w:t xml:space="preserve">(reflects </w:t>
            </w:r>
            <w:r w:rsidR="00D15B87" w:rsidRPr="009F57D8">
              <w:rPr>
                <w:lang w:eastAsia="en-US"/>
              </w:rPr>
              <w:t>Evaluation MSA</w:t>
            </w:r>
            <w:r w:rsidRPr="009F57D8">
              <w:rPr>
                <w:lang w:eastAsia="en-US"/>
              </w:rPr>
              <w:t>)</w:t>
            </w:r>
            <w:r w:rsidR="00D15B87" w:rsidRPr="009F57D8">
              <w:rPr>
                <w:lang w:eastAsia="en-US"/>
              </w:rPr>
              <w:t xml:space="preserve">: </w:t>
            </w:r>
            <w:r w:rsidR="004839B7" w:rsidRPr="009F57D8">
              <w:rPr>
                <w:lang w:eastAsia="en-US"/>
              </w:rPr>
              <w:t xml:space="preserve">Evaluation MSA: VE reduction (-45% relative reduction) for non-shared 13vPCV STs (excl. ST3), and reduction for shared serotypes 6A and 19A, and time </w:t>
            </w:r>
            <w:r w:rsidR="00814D1A" w:rsidRPr="009F57D8">
              <w:rPr>
                <w:lang w:eastAsia="en-US"/>
              </w:rPr>
              <w:t>horizon</w:t>
            </w:r>
            <w:r w:rsidR="00814D1A" w:rsidRPr="009F57D8">
              <w:rPr>
                <w:vertAlign w:val="superscript"/>
                <w:lang w:eastAsia="en-US"/>
              </w:rPr>
              <w:t>c</w:t>
            </w:r>
          </w:p>
        </w:tc>
        <w:tc>
          <w:tcPr>
            <w:tcW w:w="569" w:type="pct"/>
            <w:vAlign w:val="center"/>
          </w:tcPr>
          <w:p w14:paraId="0DE5DFF1" w14:textId="77777777" w:rsidR="000426F0" w:rsidRPr="009F57D8" w:rsidRDefault="000426F0" w:rsidP="00D80101">
            <w:pPr>
              <w:pStyle w:val="TableText0"/>
              <w:keepLines w:val="0"/>
              <w:widowControl w:val="0"/>
              <w:rPr>
                <w:lang w:eastAsia="en-US"/>
              </w:rPr>
            </w:pPr>
            <w:r w:rsidRPr="009F57D8">
              <w:rPr>
                <w:lang w:eastAsia="en-US"/>
              </w:rPr>
              <w:t>IPD: 75%</w:t>
            </w:r>
          </w:p>
          <w:p w14:paraId="46CCD2E7" w14:textId="77777777" w:rsidR="000426F0" w:rsidRPr="009F57D8" w:rsidRDefault="000426F0" w:rsidP="00D80101">
            <w:pPr>
              <w:pStyle w:val="TableText0"/>
              <w:keepLines w:val="0"/>
              <w:widowControl w:val="0"/>
              <w:rPr>
                <w:lang w:eastAsia="en-US"/>
              </w:rPr>
            </w:pPr>
            <w:r w:rsidRPr="009F57D8">
              <w:rPr>
                <w:lang w:eastAsia="en-US"/>
              </w:rPr>
              <w:t>CAP: 45%</w:t>
            </w:r>
          </w:p>
          <w:p w14:paraId="31BC1723" w14:textId="3AC3C428" w:rsidR="000426F0" w:rsidRPr="009F57D8" w:rsidRDefault="000426F0" w:rsidP="00D80101">
            <w:pPr>
              <w:pStyle w:val="TableText0"/>
              <w:keepLines w:val="0"/>
              <w:widowControl w:val="0"/>
              <w:rPr>
                <w:lang w:eastAsia="en-US"/>
              </w:rPr>
            </w:pPr>
            <w:r w:rsidRPr="009F57D8">
              <w:rPr>
                <w:lang w:eastAsia="en-US"/>
              </w:rPr>
              <w:t>30 years</w:t>
            </w:r>
          </w:p>
        </w:tc>
        <w:tc>
          <w:tcPr>
            <w:tcW w:w="624" w:type="pct"/>
            <w:vAlign w:val="center"/>
          </w:tcPr>
          <w:p w14:paraId="0348FD04" w14:textId="4CB52F08" w:rsidR="000426F0" w:rsidRPr="009F57D8" w:rsidRDefault="000426F0" w:rsidP="00D80101">
            <w:pPr>
              <w:pStyle w:val="TableText0"/>
              <w:keepLines w:val="0"/>
              <w:widowControl w:val="0"/>
              <w:rPr>
                <w:lang w:eastAsia="en-US"/>
              </w:rPr>
            </w:pPr>
            <w:r w:rsidRPr="009F57D8">
              <w:rPr>
                <w:lang w:eastAsia="en-US"/>
              </w:rPr>
              <w:t>-45%</w:t>
            </w:r>
            <w:r w:rsidR="00FD4FC4" w:rsidRPr="009F57D8">
              <w:rPr>
                <w:vertAlign w:val="superscript"/>
                <w:lang w:eastAsia="en-US"/>
              </w:rPr>
              <w:t xml:space="preserve"> a</w:t>
            </w:r>
          </w:p>
          <w:p w14:paraId="221F24B3" w14:textId="16AFB527" w:rsidR="000426F0" w:rsidRPr="009F57D8" w:rsidRDefault="000426F0" w:rsidP="00D80101">
            <w:pPr>
              <w:pStyle w:val="TableText0"/>
              <w:keepLines w:val="0"/>
              <w:widowControl w:val="0"/>
              <w:rPr>
                <w:lang w:eastAsia="en-US"/>
              </w:rPr>
            </w:pPr>
            <w:r w:rsidRPr="009F57D8">
              <w:rPr>
                <w:lang w:eastAsia="en-US"/>
              </w:rPr>
              <w:t>-45%</w:t>
            </w:r>
            <w:r w:rsidR="00FD4FC4" w:rsidRPr="009F57D8">
              <w:rPr>
                <w:vertAlign w:val="superscript"/>
                <w:lang w:eastAsia="en-US"/>
              </w:rPr>
              <w:t xml:space="preserve"> a</w:t>
            </w:r>
          </w:p>
          <w:p w14:paraId="17D06F83" w14:textId="46E8F2CB" w:rsidR="000426F0" w:rsidRPr="009F57D8" w:rsidRDefault="000426F0" w:rsidP="00D80101">
            <w:pPr>
              <w:pStyle w:val="TableText0"/>
              <w:keepLines w:val="0"/>
              <w:widowControl w:val="0"/>
              <w:rPr>
                <w:lang w:eastAsia="en-US"/>
              </w:rPr>
            </w:pPr>
            <w:r w:rsidRPr="009F57D8">
              <w:rPr>
                <w:lang w:eastAsia="en-US"/>
              </w:rPr>
              <w:t>10 years</w:t>
            </w:r>
            <w:r w:rsidR="00FD4FC4" w:rsidRPr="009F57D8">
              <w:rPr>
                <w:vertAlign w:val="superscript"/>
                <w:lang w:eastAsia="en-US"/>
              </w:rPr>
              <w:t xml:space="preserve"> a</w:t>
            </w:r>
          </w:p>
        </w:tc>
        <w:tc>
          <w:tcPr>
            <w:tcW w:w="635" w:type="pct"/>
            <w:vAlign w:val="center"/>
          </w:tcPr>
          <w:p w14:paraId="3252A73E" w14:textId="2635C9C6" w:rsidR="000426F0" w:rsidRPr="009F57D8" w:rsidRDefault="000426F0" w:rsidP="00D80101">
            <w:pPr>
              <w:pStyle w:val="TableText0"/>
            </w:pPr>
            <w:r w:rsidRPr="009F57D8">
              <w:t>-$</w:t>
            </w:r>
            <w:r w:rsidR="00FD08E9" w:rsidRPr="00FD08E9">
              <w:rPr>
                <w:highlight w:val="black"/>
              </w:rPr>
              <w:t>&amp;&amp;&amp;&amp;</w:t>
            </w:r>
          </w:p>
        </w:tc>
        <w:tc>
          <w:tcPr>
            <w:tcW w:w="630" w:type="pct"/>
            <w:vAlign w:val="center"/>
          </w:tcPr>
          <w:p w14:paraId="27E6C746" w14:textId="0AF7A2EA" w:rsidR="000426F0" w:rsidRPr="009F57D8" w:rsidRDefault="000426F0" w:rsidP="00D80101">
            <w:pPr>
              <w:pStyle w:val="TableText0"/>
            </w:pPr>
            <w:r w:rsidRPr="009F57D8">
              <w:t>3</w:t>
            </w:r>
          </w:p>
        </w:tc>
        <w:tc>
          <w:tcPr>
            <w:tcW w:w="555" w:type="pct"/>
            <w:vAlign w:val="center"/>
          </w:tcPr>
          <w:p w14:paraId="5B77826C" w14:textId="2F7D0919" w:rsidR="005C77B8" w:rsidRPr="009F57D8" w:rsidRDefault="000426F0" w:rsidP="00D80101">
            <w:pPr>
              <w:pStyle w:val="TableText0"/>
            </w:pPr>
            <w:r w:rsidRPr="009F57D8">
              <w:t>Dominant</w:t>
            </w:r>
          </w:p>
        </w:tc>
      </w:tr>
      <w:tr w:rsidR="00D80101" w:rsidRPr="009F57D8" w14:paraId="43740BFD" w14:textId="77777777" w:rsidTr="00D80101">
        <w:trPr>
          <w:cantSplit/>
        </w:trPr>
        <w:tc>
          <w:tcPr>
            <w:tcW w:w="1986" w:type="pct"/>
            <w:vAlign w:val="center"/>
          </w:tcPr>
          <w:p w14:paraId="6C4BA45C" w14:textId="6B075C29" w:rsidR="00D15B87" w:rsidRPr="009F57D8" w:rsidRDefault="00D15B87" w:rsidP="00D80101">
            <w:pPr>
              <w:pStyle w:val="TableText0"/>
            </w:pPr>
            <w:r w:rsidRPr="009F57D8">
              <w:rPr>
                <w:lang w:eastAsia="en-US"/>
              </w:rPr>
              <w:t>Alternative MSA: VE reduction for non-shared 13vPCV STs (excl. ST3) and time horizon</w:t>
            </w:r>
            <w:r w:rsidR="00814D1A" w:rsidRPr="009F57D8">
              <w:rPr>
                <w:vertAlign w:val="superscript"/>
                <w:lang w:eastAsia="en-US"/>
              </w:rPr>
              <w:t>c</w:t>
            </w:r>
            <w:r w:rsidR="00DC770E" w:rsidRPr="009F57D8">
              <w:rPr>
                <w:vertAlign w:val="superscript"/>
                <w:lang w:eastAsia="en-US"/>
              </w:rPr>
              <w:t xml:space="preserve"> </w:t>
            </w:r>
            <w:r w:rsidR="00DC770E" w:rsidRPr="009F57D8">
              <w:rPr>
                <w:szCs w:val="20"/>
                <w:lang w:eastAsia="en-US"/>
              </w:rPr>
              <w:t>(45% reduction on 6A and 19A removed)</w:t>
            </w:r>
          </w:p>
        </w:tc>
        <w:tc>
          <w:tcPr>
            <w:tcW w:w="569" w:type="pct"/>
            <w:vAlign w:val="center"/>
          </w:tcPr>
          <w:p w14:paraId="08C5B6D1" w14:textId="77777777" w:rsidR="00D15B87" w:rsidRPr="009F57D8" w:rsidRDefault="00D15B87" w:rsidP="00D80101">
            <w:pPr>
              <w:pStyle w:val="TableText0"/>
              <w:keepLines w:val="0"/>
              <w:widowControl w:val="0"/>
              <w:rPr>
                <w:szCs w:val="20"/>
                <w:lang w:eastAsia="en-US"/>
              </w:rPr>
            </w:pPr>
            <w:r w:rsidRPr="009F57D8">
              <w:rPr>
                <w:szCs w:val="20"/>
                <w:lang w:eastAsia="en-US"/>
              </w:rPr>
              <w:t>IPD: 75%</w:t>
            </w:r>
          </w:p>
          <w:p w14:paraId="24031B03" w14:textId="77777777" w:rsidR="00D15B87" w:rsidRPr="009F57D8" w:rsidRDefault="00D15B87" w:rsidP="00D80101">
            <w:pPr>
              <w:pStyle w:val="TableText0"/>
              <w:keepLines w:val="0"/>
              <w:widowControl w:val="0"/>
              <w:rPr>
                <w:szCs w:val="20"/>
                <w:lang w:eastAsia="en-US"/>
              </w:rPr>
            </w:pPr>
            <w:r w:rsidRPr="009F57D8">
              <w:rPr>
                <w:szCs w:val="20"/>
                <w:lang w:eastAsia="en-US"/>
              </w:rPr>
              <w:t>CAP: 45%</w:t>
            </w:r>
          </w:p>
          <w:p w14:paraId="26300694" w14:textId="77777777" w:rsidR="00D15B87" w:rsidRPr="009F57D8" w:rsidRDefault="00D15B87" w:rsidP="00D80101">
            <w:pPr>
              <w:pStyle w:val="TableText0"/>
              <w:keepLines w:val="0"/>
              <w:widowControl w:val="0"/>
              <w:rPr>
                <w:szCs w:val="20"/>
                <w:lang w:eastAsia="en-US"/>
              </w:rPr>
            </w:pPr>
            <w:r w:rsidRPr="009F57D8">
              <w:rPr>
                <w:szCs w:val="20"/>
                <w:lang w:eastAsia="en-US"/>
              </w:rPr>
              <w:t>30 years</w:t>
            </w:r>
          </w:p>
          <w:p w14:paraId="2CED4067" w14:textId="1B790FFE" w:rsidR="00D15B87" w:rsidRPr="009F57D8" w:rsidRDefault="00D15B87" w:rsidP="00D80101">
            <w:pPr>
              <w:pStyle w:val="TableText0"/>
            </w:pPr>
            <w:r w:rsidRPr="009F57D8">
              <w:rPr>
                <w:szCs w:val="20"/>
                <w:lang w:eastAsia="en-US"/>
              </w:rPr>
              <w:t>Decrease 45%</w:t>
            </w:r>
          </w:p>
        </w:tc>
        <w:tc>
          <w:tcPr>
            <w:tcW w:w="624" w:type="pct"/>
            <w:vAlign w:val="center"/>
          </w:tcPr>
          <w:p w14:paraId="0E674DE8" w14:textId="19E8F357" w:rsidR="00D15B87" w:rsidRPr="009F57D8" w:rsidRDefault="00D15B87" w:rsidP="00D80101">
            <w:pPr>
              <w:pStyle w:val="TableText0"/>
              <w:keepLines w:val="0"/>
              <w:widowControl w:val="0"/>
              <w:rPr>
                <w:szCs w:val="20"/>
                <w:lang w:eastAsia="en-US"/>
              </w:rPr>
            </w:pPr>
            <w:r w:rsidRPr="009F57D8">
              <w:rPr>
                <w:szCs w:val="20"/>
                <w:lang w:eastAsia="en-US"/>
              </w:rPr>
              <w:t>-45%</w:t>
            </w:r>
            <w:r w:rsidR="00FD4FC4" w:rsidRPr="009F57D8">
              <w:rPr>
                <w:vertAlign w:val="superscript"/>
                <w:lang w:eastAsia="en-US"/>
              </w:rPr>
              <w:t xml:space="preserve"> a</w:t>
            </w:r>
          </w:p>
          <w:p w14:paraId="2C246D76" w14:textId="6A1539A3" w:rsidR="00D15B87" w:rsidRPr="009F57D8" w:rsidRDefault="00D15B87" w:rsidP="00D80101">
            <w:pPr>
              <w:pStyle w:val="TableText0"/>
              <w:keepLines w:val="0"/>
              <w:widowControl w:val="0"/>
              <w:rPr>
                <w:szCs w:val="20"/>
                <w:lang w:eastAsia="en-US"/>
              </w:rPr>
            </w:pPr>
            <w:r w:rsidRPr="009F57D8">
              <w:rPr>
                <w:szCs w:val="20"/>
                <w:lang w:eastAsia="en-US"/>
              </w:rPr>
              <w:t>-45%</w:t>
            </w:r>
            <w:r w:rsidR="00FD4FC4" w:rsidRPr="009F57D8">
              <w:rPr>
                <w:vertAlign w:val="superscript"/>
                <w:lang w:eastAsia="en-US"/>
              </w:rPr>
              <w:t xml:space="preserve"> a</w:t>
            </w:r>
          </w:p>
          <w:p w14:paraId="0C8819D8" w14:textId="012105E0" w:rsidR="00D15B87" w:rsidRPr="009F57D8" w:rsidRDefault="00D15B87" w:rsidP="00D80101">
            <w:pPr>
              <w:pStyle w:val="TableText0"/>
              <w:keepLines w:val="0"/>
              <w:widowControl w:val="0"/>
              <w:rPr>
                <w:szCs w:val="20"/>
                <w:lang w:eastAsia="en-US"/>
              </w:rPr>
            </w:pPr>
            <w:r w:rsidRPr="009F57D8">
              <w:rPr>
                <w:szCs w:val="20"/>
                <w:lang w:eastAsia="en-US"/>
              </w:rPr>
              <w:t>10 years</w:t>
            </w:r>
            <w:r w:rsidR="00FD4FC4" w:rsidRPr="009F57D8">
              <w:rPr>
                <w:vertAlign w:val="superscript"/>
                <w:lang w:eastAsia="en-US"/>
              </w:rPr>
              <w:t xml:space="preserve"> a</w:t>
            </w:r>
          </w:p>
          <w:p w14:paraId="24CC8750" w14:textId="5C541C01" w:rsidR="00D15B87" w:rsidRPr="009F57D8" w:rsidRDefault="00D15B87" w:rsidP="00D80101">
            <w:pPr>
              <w:pStyle w:val="TableText0"/>
            </w:pPr>
            <w:r w:rsidRPr="009F57D8">
              <w:rPr>
                <w:szCs w:val="20"/>
                <w:lang w:eastAsia="en-US"/>
              </w:rPr>
              <w:t>0%</w:t>
            </w:r>
          </w:p>
        </w:tc>
        <w:tc>
          <w:tcPr>
            <w:tcW w:w="635" w:type="pct"/>
            <w:vAlign w:val="center"/>
          </w:tcPr>
          <w:p w14:paraId="556FBE03" w14:textId="732619D3" w:rsidR="00D15B87" w:rsidRPr="009F57D8" w:rsidRDefault="00D15B87" w:rsidP="00D80101">
            <w:pPr>
              <w:pStyle w:val="TableText0"/>
            </w:pPr>
            <w:r w:rsidRPr="009F57D8">
              <w:rPr>
                <w:rFonts w:cs="Calibri"/>
                <w:color w:val="000000"/>
                <w:szCs w:val="20"/>
              </w:rPr>
              <w:t>-$</w:t>
            </w:r>
            <w:r w:rsidR="00FD08E9" w:rsidRPr="00FD08E9">
              <w:rPr>
                <w:rFonts w:cs="Calibri"/>
                <w:color w:val="000000"/>
                <w:szCs w:val="20"/>
                <w:highlight w:val="black"/>
              </w:rPr>
              <w:t>&amp;&amp;&amp;&amp;</w:t>
            </w:r>
          </w:p>
        </w:tc>
        <w:tc>
          <w:tcPr>
            <w:tcW w:w="630" w:type="pct"/>
            <w:vAlign w:val="center"/>
          </w:tcPr>
          <w:p w14:paraId="3AD94A8A" w14:textId="590D66D8" w:rsidR="00D15B87" w:rsidRPr="009F57D8" w:rsidRDefault="00D15B87" w:rsidP="00D80101">
            <w:pPr>
              <w:pStyle w:val="TableText0"/>
            </w:pPr>
            <w:r w:rsidRPr="009F57D8">
              <w:rPr>
                <w:rFonts w:cs="Calibri"/>
                <w:color w:val="000000"/>
                <w:szCs w:val="20"/>
              </w:rPr>
              <w:t>11</w:t>
            </w:r>
          </w:p>
        </w:tc>
        <w:tc>
          <w:tcPr>
            <w:tcW w:w="555" w:type="pct"/>
            <w:vAlign w:val="center"/>
          </w:tcPr>
          <w:p w14:paraId="3D0D549E" w14:textId="722F50B8" w:rsidR="00D15B87" w:rsidRPr="009F57D8" w:rsidRDefault="00D15B87" w:rsidP="00D80101">
            <w:pPr>
              <w:pStyle w:val="TableText0"/>
            </w:pPr>
            <w:r w:rsidRPr="009F57D8">
              <w:rPr>
                <w:rFonts w:cs="Calibri"/>
                <w:color w:val="000000"/>
                <w:szCs w:val="20"/>
              </w:rPr>
              <w:t>Dominant</w:t>
            </w:r>
          </w:p>
        </w:tc>
      </w:tr>
    </w:tbl>
    <w:p w14:paraId="1ED6A0DE" w14:textId="77777777" w:rsidR="00F650F4" w:rsidRPr="009F57D8" w:rsidRDefault="00F650F4" w:rsidP="000E6454">
      <w:pPr>
        <w:pStyle w:val="TableFigureFooter"/>
        <w:rPr>
          <w:rFonts w:eastAsia="MS PGothic"/>
          <w:lang w:eastAsia="en-US"/>
        </w:rPr>
      </w:pPr>
      <w:r w:rsidRPr="009F57D8">
        <w:rPr>
          <w:rFonts w:eastAsia="MS PGothic"/>
          <w:lang w:eastAsia="en-US"/>
        </w:rPr>
        <w:t>Source: Table 3.9-1, p212 of the submission.</w:t>
      </w:r>
    </w:p>
    <w:p w14:paraId="2AE618BA" w14:textId="1B4377E6" w:rsidR="00F650F4" w:rsidRPr="009F57D8" w:rsidRDefault="00F650F4" w:rsidP="000E6454">
      <w:pPr>
        <w:pStyle w:val="TableFigureFooter"/>
        <w:rPr>
          <w:rFonts w:eastAsia="MS PGothic"/>
          <w:lang w:eastAsia="en-US"/>
        </w:rPr>
      </w:pPr>
      <w:r w:rsidRPr="009F57D8">
        <w:rPr>
          <w:rFonts w:eastAsia="MS PGothic"/>
          <w:lang w:eastAsia="en-US"/>
        </w:rPr>
        <w:t xml:space="preserve">13vPCV = 13-valent pneumococcal conjugate vaccine; CAP = community acquired pneumonia; CFR = case fatality rate; ICER = incremental cost-effectiveness ratio; IPD = invasive pneumococcal disease; PCV = pneumococcal conjugate vaccine; QALY = quality-adjusted life year; VE = vaccine efficacy; ST = serotypes; </w:t>
      </w:r>
      <w:r w:rsidR="00D15B87" w:rsidRPr="009F57D8">
        <w:rPr>
          <w:rFonts w:eastAsia="MS PGothic"/>
          <w:lang w:eastAsia="en-US"/>
        </w:rPr>
        <w:t>21vPCV</w:t>
      </w:r>
      <w:r w:rsidRPr="009F57D8">
        <w:rPr>
          <w:rFonts w:eastAsia="MS PGothic"/>
          <w:lang w:eastAsia="en-US"/>
        </w:rPr>
        <w:t xml:space="preserve"> = 21-valent pneumococcal conjugate vaccine. </w:t>
      </w:r>
    </w:p>
    <w:p w14:paraId="584F5443" w14:textId="48B60663" w:rsidR="00F650F4" w:rsidRPr="009F57D8" w:rsidRDefault="00F650F4" w:rsidP="000E6454">
      <w:pPr>
        <w:pStyle w:val="TableFigureFooter"/>
        <w:rPr>
          <w:lang w:eastAsia="en-GB"/>
        </w:rPr>
      </w:pPr>
      <w:r w:rsidRPr="009F57D8">
        <w:rPr>
          <w:vertAlign w:val="superscript"/>
          <w:lang w:eastAsia="en-GB"/>
        </w:rPr>
        <w:t>a</w:t>
      </w:r>
      <w:r w:rsidRPr="009F57D8">
        <w:rPr>
          <w:lang w:eastAsia="en-GB"/>
        </w:rPr>
        <w:t xml:space="preserve"> Recommended by ATAGI. </w:t>
      </w:r>
      <w:r w:rsidR="00814D1A" w:rsidRPr="009F57D8">
        <w:rPr>
          <w:lang w:eastAsia="en-GB"/>
        </w:rPr>
        <w:t xml:space="preserve">Note, </w:t>
      </w:r>
      <w:r w:rsidR="00814D1A" w:rsidRPr="009F57D8">
        <w:t>45% relative reduction in assumed VE corresponds to VE of 41.3% for IPD (compared with 75% in the base case), and VE of 24.8% for CAP (compared with 45% in the base case).</w:t>
      </w:r>
    </w:p>
    <w:p w14:paraId="0C4DA694" w14:textId="77777777" w:rsidR="00814D1A" w:rsidRPr="009F57D8" w:rsidRDefault="00814D1A" w:rsidP="000E6454">
      <w:pPr>
        <w:pStyle w:val="TableFigureFooter"/>
        <w:rPr>
          <w:lang w:eastAsia="en-GB"/>
        </w:rPr>
      </w:pPr>
      <w:r w:rsidRPr="009F57D8">
        <w:rPr>
          <w:vertAlign w:val="superscript"/>
          <w:lang w:eastAsia="en-GB"/>
        </w:rPr>
        <w:t>b</w:t>
      </w:r>
      <w:r w:rsidRPr="009F57D8">
        <w:rPr>
          <w:lang w:eastAsia="en-GB"/>
        </w:rPr>
        <w:t xml:space="preserve"> all analyses use the comparator prices assumed by the submission.</w:t>
      </w:r>
    </w:p>
    <w:p w14:paraId="145AF2B9" w14:textId="77777777" w:rsidR="002753DA" w:rsidRDefault="00814D1A" w:rsidP="000E6454">
      <w:pPr>
        <w:pStyle w:val="TableFigureFooter"/>
        <w:rPr>
          <w:i/>
          <w:szCs w:val="18"/>
        </w:rPr>
      </w:pPr>
      <w:r w:rsidRPr="009F57D8">
        <w:rPr>
          <w:vertAlign w:val="superscript"/>
          <w:lang w:eastAsia="en-GB"/>
        </w:rPr>
        <w:lastRenderedPageBreak/>
        <w:t>c</w:t>
      </w:r>
      <w:r w:rsidR="004F0948" w:rsidRPr="009F57D8">
        <w:rPr>
          <w:lang w:eastAsia="en-GB"/>
        </w:rPr>
        <w:t xml:space="preserve"> M16, M17, and N16, ‘Inputs - Efficacy_waning’ all set to 45%, and F37, ‘Model Settings’ set to 10</w:t>
      </w:r>
      <w:bookmarkStart w:id="97" w:name="_Hlk218761266"/>
      <w:r w:rsidR="002753DA" w:rsidRPr="002753DA">
        <w:rPr>
          <w:i/>
          <w:szCs w:val="18"/>
        </w:rPr>
        <w:t xml:space="preserve"> </w:t>
      </w:r>
    </w:p>
    <w:p w14:paraId="52231A12" w14:textId="1D02ED6B" w:rsidR="002753DA" w:rsidRPr="0009792F" w:rsidRDefault="002753DA" w:rsidP="000E6454">
      <w:pPr>
        <w:pStyle w:val="TableFigureFooter"/>
        <w:rPr>
          <w:i/>
          <w:iCs/>
          <w:lang w:eastAsia="en-GB"/>
        </w:rPr>
      </w:pPr>
      <w:r w:rsidRPr="0009792F">
        <w:rPr>
          <w:i/>
          <w:iCs/>
          <w:lang w:eastAsia="en-GB"/>
        </w:rPr>
        <w:t xml:space="preserve">The redacted values correspond to the following ranges: </w:t>
      </w:r>
    </w:p>
    <w:p w14:paraId="27ABF83C" w14:textId="6B63BF67" w:rsidR="002753DA" w:rsidRPr="0009792F" w:rsidRDefault="002753DA" w:rsidP="000E6454">
      <w:pPr>
        <w:pStyle w:val="TableFigureFooter"/>
        <w:rPr>
          <w:i/>
          <w:iCs/>
          <w:lang w:eastAsia="en-GB"/>
        </w:rPr>
      </w:pPr>
      <w:r w:rsidRPr="0009792F">
        <w:rPr>
          <w:i/>
          <w:iCs/>
          <w:vertAlign w:val="superscript"/>
          <w:lang w:eastAsia="en-GB"/>
        </w:rPr>
        <w:t>1</w:t>
      </w:r>
      <w:r w:rsidRPr="0009792F">
        <w:rPr>
          <w:i/>
          <w:iCs/>
          <w:lang w:eastAsia="en-GB"/>
        </w:rPr>
        <w:t xml:space="preserve"> </w:t>
      </w:r>
      <w:r w:rsidR="00A0760C" w:rsidRPr="0009792F">
        <w:rPr>
          <w:i/>
          <w:iCs/>
          <w:lang w:eastAsia="en-GB"/>
        </w:rPr>
        <w:t xml:space="preserve">$55,000 to &lt; $75,000 </w:t>
      </w:r>
    </w:p>
    <w:bookmarkEnd w:id="97"/>
    <w:p w14:paraId="0B5EEB85" w14:textId="31407C85" w:rsidR="002753DA" w:rsidRPr="0009792F" w:rsidRDefault="002753DA" w:rsidP="000E6454">
      <w:pPr>
        <w:pStyle w:val="TableFigureFooter"/>
        <w:rPr>
          <w:i/>
          <w:iCs/>
          <w:lang w:eastAsia="en-GB"/>
        </w:rPr>
      </w:pPr>
      <w:r w:rsidRPr="0009792F">
        <w:rPr>
          <w:i/>
          <w:iCs/>
          <w:vertAlign w:val="superscript"/>
          <w:lang w:eastAsia="en-GB"/>
        </w:rPr>
        <w:t>2</w:t>
      </w:r>
      <w:r w:rsidRPr="0009792F">
        <w:rPr>
          <w:i/>
          <w:iCs/>
          <w:lang w:eastAsia="en-GB"/>
        </w:rPr>
        <w:t xml:space="preserve"> </w:t>
      </w:r>
      <w:r w:rsidR="008B5922" w:rsidRPr="0009792F">
        <w:rPr>
          <w:i/>
          <w:iCs/>
          <w:lang w:eastAsia="en-GB"/>
        </w:rPr>
        <w:t>$45,000 to &lt; $55,000</w:t>
      </w:r>
    </w:p>
    <w:p w14:paraId="56F4D45F" w14:textId="5AE7AAAB" w:rsidR="009A2DF4" w:rsidRPr="0009792F" w:rsidRDefault="002753DA" w:rsidP="000E6454">
      <w:pPr>
        <w:pStyle w:val="TableFigureFooter"/>
        <w:rPr>
          <w:i/>
          <w:iCs/>
          <w:lang w:eastAsia="en-GB"/>
        </w:rPr>
      </w:pPr>
      <w:r w:rsidRPr="0009792F">
        <w:rPr>
          <w:i/>
          <w:iCs/>
          <w:vertAlign w:val="superscript"/>
          <w:lang w:eastAsia="en-GB"/>
        </w:rPr>
        <w:t>3</w:t>
      </w:r>
      <w:r w:rsidRPr="0009792F">
        <w:rPr>
          <w:i/>
          <w:iCs/>
          <w:lang w:eastAsia="en-GB"/>
        </w:rPr>
        <w:t xml:space="preserve"> </w:t>
      </w:r>
      <w:r w:rsidR="001D079D" w:rsidRPr="0009792F">
        <w:rPr>
          <w:i/>
          <w:iCs/>
          <w:lang w:eastAsia="en-GB"/>
        </w:rPr>
        <w:t>$115,000 to &lt; $135,000</w:t>
      </w:r>
    </w:p>
    <w:p w14:paraId="3FDA38B7" w14:textId="29BA17A5" w:rsidR="0013530D" w:rsidRPr="009F57D8" w:rsidRDefault="0013530D" w:rsidP="00F650F4">
      <w:pPr>
        <w:pStyle w:val="3-BodyText"/>
        <w:numPr>
          <w:ilvl w:val="1"/>
          <w:numId w:val="1"/>
        </w:numPr>
        <w:rPr>
          <w:color w:val="0066FF"/>
        </w:rPr>
      </w:pPr>
      <w:bookmarkStart w:id="98" w:name="_Ref208904762"/>
      <w:bookmarkEnd w:id="96"/>
      <w:r w:rsidRPr="009F57D8">
        <w:t>The submission presented a sensitivity analysis changing the age of vaccination of the non-Indigenous population from 70 years to 65</w:t>
      </w:r>
      <w:r w:rsidR="00500131" w:rsidRPr="009F57D8">
        <w:t xml:space="preserve"> consistent with ATAGI’s recommendation</w:t>
      </w:r>
      <w:r w:rsidRPr="009F57D8">
        <w:t xml:space="preserve">. </w:t>
      </w:r>
      <w:r w:rsidR="00BF1E83" w:rsidRPr="009F57D8">
        <w:t>For the submission base case, t</w:t>
      </w:r>
      <w:r w:rsidR="003C5D77" w:rsidRPr="009F57D8">
        <w:t xml:space="preserve">he model was not sensitive to changing the age threshold for </w:t>
      </w:r>
      <w:r w:rsidR="00500131" w:rsidRPr="009F57D8">
        <w:t xml:space="preserve">non-Indigenous </w:t>
      </w:r>
      <w:r w:rsidR="00EE58A1" w:rsidRPr="009F57D8">
        <w:t xml:space="preserve">adults </w:t>
      </w:r>
      <w:r w:rsidR="00500131" w:rsidRPr="009F57D8">
        <w:rPr>
          <w:rFonts w:cstheme="minorHAnsi"/>
        </w:rPr>
        <w:t>≥</w:t>
      </w:r>
      <w:r w:rsidR="00500131" w:rsidRPr="009F57D8">
        <w:t xml:space="preserve"> 70 to </w:t>
      </w:r>
      <w:r w:rsidR="00500131" w:rsidRPr="009F57D8">
        <w:rPr>
          <w:rFonts w:cstheme="minorHAnsi"/>
        </w:rPr>
        <w:t xml:space="preserve">≥ </w:t>
      </w:r>
      <w:r w:rsidR="004C21FB" w:rsidRPr="009F57D8">
        <w:t>65 and</w:t>
      </w:r>
      <w:r w:rsidR="00500131" w:rsidRPr="009F57D8">
        <w:t xml:space="preserve"> was also not sensitive when changing the MaR age range from 69 to 64</w:t>
      </w:r>
      <w:r w:rsidR="002418C7" w:rsidRPr="009F57D8">
        <w:t xml:space="preserve"> as a consequence of changing the age threshold for non-Indigenous adults</w:t>
      </w:r>
      <w:r w:rsidR="00500131" w:rsidRPr="009F57D8">
        <w:t>.</w:t>
      </w:r>
      <w:bookmarkEnd w:id="98"/>
      <w:r w:rsidR="00BF1E83" w:rsidRPr="009F57D8">
        <w:t xml:space="preserve">  </w:t>
      </w:r>
    </w:p>
    <w:p w14:paraId="2659F40F" w14:textId="77777777" w:rsidR="00083693" w:rsidRPr="009F57D8" w:rsidRDefault="00E80D09" w:rsidP="00083693">
      <w:pPr>
        <w:pStyle w:val="3-BodyText"/>
      </w:pPr>
      <w:bookmarkStart w:id="99" w:name="_Ref211434214"/>
      <w:r w:rsidRPr="009F57D8">
        <w:t xml:space="preserve">The ESC considered that the submission’s estimates were optimistic and advised that revisions to the assumed VE and time horizon would be appropriate to inform the PBAC’s consideration of the cost-effectiveness of </w:t>
      </w:r>
      <w:r w:rsidR="00831585" w:rsidRPr="009F57D8">
        <w:t>21vPCV</w:t>
      </w:r>
      <w:r w:rsidRPr="009F57D8">
        <w:t xml:space="preserve">.  </w:t>
      </w:r>
      <w:r w:rsidR="00647E0F" w:rsidRPr="009F57D8">
        <w:t>The ESC considered that the evaluation’s m</w:t>
      </w:r>
      <w:r w:rsidR="00647E0F" w:rsidRPr="009F57D8">
        <w:rPr>
          <w:lang w:eastAsia="en-US"/>
        </w:rPr>
        <w:t xml:space="preserve">ulti-way sensitivity analyses which </w:t>
      </w:r>
      <w:r w:rsidR="00647E0F" w:rsidRPr="009F57D8">
        <w:t>tested the impact of reduced VE</w:t>
      </w:r>
      <w:r w:rsidR="00AD6FA7" w:rsidRPr="009F57D8">
        <w:t xml:space="preserve"> for </w:t>
      </w:r>
      <w:r w:rsidR="00B025BB" w:rsidRPr="009F57D8">
        <w:t>21vPCV</w:t>
      </w:r>
      <w:r w:rsidR="00647E0F" w:rsidRPr="009F57D8">
        <w:t xml:space="preserve"> </w:t>
      </w:r>
      <w:r w:rsidR="00647E0F" w:rsidRPr="009F57D8">
        <w:rPr>
          <w:lang w:eastAsia="en-US"/>
        </w:rPr>
        <w:t xml:space="preserve">(45% </w:t>
      </w:r>
      <w:r w:rsidR="00C41842" w:rsidRPr="009F57D8">
        <w:rPr>
          <w:lang w:eastAsia="en-US"/>
        </w:rPr>
        <w:t>relative reduction in</w:t>
      </w:r>
      <w:r w:rsidR="00647E0F" w:rsidRPr="009F57D8">
        <w:rPr>
          <w:lang w:eastAsia="en-US"/>
        </w:rPr>
        <w:t xml:space="preserve"> VE for non-shared serotypes as there is no direct clinical efficacy data) and reduced time horizon to 10 years </w:t>
      </w:r>
      <w:r w:rsidR="00750F45" w:rsidRPr="009F57D8">
        <w:rPr>
          <w:lang w:eastAsia="en-US"/>
        </w:rPr>
        <w:t>(</w:t>
      </w:r>
      <w:r w:rsidR="00647E0F" w:rsidRPr="009F57D8">
        <w:rPr>
          <w:lang w:eastAsia="en-US"/>
        </w:rPr>
        <w:t>to limit the impact of serotype shift</w:t>
      </w:r>
      <w:r w:rsidR="00750F45" w:rsidRPr="009F57D8">
        <w:rPr>
          <w:lang w:eastAsia="en-US"/>
        </w:rPr>
        <w:t xml:space="preserve">) </w:t>
      </w:r>
      <w:r w:rsidR="00647E0F" w:rsidRPr="009F57D8">
        <w:rPr>
          <w:lang w:eastAsia="en-US"/>
        </w:rPr>
        <w:t>were informative</w:t>
      </w:r>
      <w:r w:rsidR="00750F45" w:rsidRPr="009F57D8">
        <w:rPr>
          <w:lang w:eastAsia="en-US"/>
        </w:rPr>
        <w:t xml:space="preserve">. </w:t>
      </w:r>
      <w:r w:rsidR="00E53A48" w:rsidRPr="009F57D8">
        <w:rPr>
          <w:lang w:eastAsia="en-US"/>
        </w:rPr>
        <w:t xml:space="preserve">The pre-PBAC response </w:t>
      </w:r>
      <w:r w:rsidR="002C45F9" w:rsidRPr="009F57D8">
        <w:rPr>
          <w:lang w:eastAsia="en-US"/>
        </w:rPr>
        <w:t xml:space="preserve">disagreed with </w:t>
      </w:r>
      <w:r w:rsidR="00E53A48" w:rsidRPr="009F57D8">
        <w:rPr>
          <w:lang w:eastAsia="en-US"/>
        </w:rPr>
        <w:t>this analysis</w:t>
      </w:r>
      <w:r w:rsidR="002C45F9" w:rsidRPr="009F57D8">
        <w:rPr>
          <w:lang w:eastAsia="en-US"/>
        </w:rPr>
        <w:t xml:space="preserve">, noting that </w:t>
      </w:r>
      <w:r w:rsidR="002C45F9" w:rsidRPr="009F57D8">
        <w:t xml:space="preserve">lower VE (45% reduction) was also applied to the shared 13vPCV serotypes 6A and 19A in the 21vPCV arm. </w:t>
      </w:r>
      <w:r w:rsidR="00E53A48" w:rsidRPr="009F57D8">
        <w:rPr>
          <w:lang w:eastAsia="en-US"/>
        </w:rPr>
        <w:t xml:space="preserve"> </w:t>
      </w:r>
      <w:r w:rsidR="00E53A48" w:rsidRPr="009F57D8">
        <w:t xml:space="preserve">The evaluators </w:t>
      </w:r>
      <w:r w:rsidR="005F2A80" w:rsidRPr="009F57D8">
        <w:t>clarified</w:t>
      </w:r>
      <w:r w:rsidR="00E53A48" w:rsidRPr="009F57D8">
        <w:t xml:space="preserve"> that in this analysis, IPD and CAP efficacy was reduced by 45% for</w:t>
      </w:r>
      <w:r w:rsidR="00CE68D2" w:rsidRPr="009F57D8">
        <w:t xml:space="preserve"> </w:t>
      </w:r>
      <w:r w:rsidR="00521127" w:rsidRPr="009F57D8">
        <w:t>21vPCV, on the basis that the submission did not establish non</w:t>
      </w:r>
      <w:r w:rsidR="00521127" w:rsidRPr="009F57D8">
        <w:noBreakHyphen/>
        <w:t>inferiority for 2 of the 4 common serotypes (6A and 19A).</w:t>
      </w:r>
    </w:p>
    <w:p w14:paraId="2E830A14" w14:textId="1007AEAD" w:rsidR="00C449CB" w:rsidRPr="009F57D8" w:rsidRDefault="00FC25D0" w:rsidP="00CE68D2">
      <w:pPr>
        <w:pStyle w:val="3-BodyText"/>
        <w:rPr>
          <w:lang w:eastAsia="en-US"/>
        </w:rPr>
      </w:pPr>
      <w:r w:rsidRPr="009F57D8">
        <w:rPr>
          <w:lang w:eastAsia="en-US"/>
        </w:rPr>
        <w:t xml:space="preserve">The pre-PBAC response disagreed with the reduction in time horizon to ten years, stating that </w:t>
      </w:r>
      <w:r w:rsidRPr="009F57D8">
        <w:rPr>
          <w:rFonts w:eastAsia="Times New Roman"/>
        </w:rPr>
        <w:t>the inclusion of 20vPCV on the NIP for children would create serotype shift towards, rather than away from, the serotypes unique to 21vPCV</w:t>
      </w:r>
      <w:bookmarkStart w:id="100" w:name="_Hlk211543636"/>
      <w:bookmarkEnd w:id="99"/>
      <w:r w:rsidR="001A1557" w:rsidRPr="009F57D8">
        <w:rPr>
          <w:rFonts w:eastAsia="Times New Roman"/>
        </w:rPr>
        <w:t>.</w:t>
      </w:r>
    </w:p>
    <w:bookmarkEnd w:id="100"/>
    <w:p w14:paraId="7ACDCBF7" w14:textId="77777777" w:rsidR="00A42D39" w:rsidRPr="009F57D8" w:rsidRDefault="00A42D39" w:rsidP="00A42D39">
      <w:pPr>
        <w:pStyle w:val="3-BodyText"/>
        <w:numPr>
          <w:ilvl w:val="0"/>
          <w:numId w:val="0"/>
        </w:numPr>
        <w:ind w:left="720"/>
      </w:pPr>
    </w:p>
    <w:p w14:paraId="3AF4FC6E" w14:textId="77777777" w:rsidR="00F650F4" w:rsidRPr="009F57D8" w:rsidRDefault="00F650F4" w:rsidP="00F650F4">
      <w:pPr>
        <w:keepNext/>
        <w:rPr>
          <w:u w:val="single"/>
        </w:rPr>
      </w:pPr>
      <w:r w:rsidRPr="009F57D8">
        <w:rPr>
          <w:u w:val="single"/>
        </w:rPr>
        <w:t>Additional populations</w:t>
      </w:r>
    </w:p>
    <w:p w14:paraId="6384E745" w14:textId="53D5F443" w:rsidR="00F650F4" w:rsidRPr="009F57D8" w:rsidRDefault="00F650F4" w:rsidP="00F650F4">
      <w:pPr>
        <w:pStyle w:val="3-BodyText"/>
        <w:numPr>
          <w:ilvl w:val="1"/>
          <w:numId w:val="1"/>
        </w:numPr>
      </w:pPr>
      <w:bookmarkStart w:id="101" w:name="_Ref177502179"/>
      <w:r w:rsidRPr="009F57D8">
        <w:t xml:space="preserve">The submission proposed </w:t>
      </w:r>
      <w:r w:rsidR="00054F60" w:rsidRPr="009F57D8">
        <w:t xml:space="preserve">21vPCV </w:t>
      </w:r>
      <w:r w:rsidRPr="009F57D8">
        <w:t xml:space="preserve">for </w:t>
      </w:r>
      <w:r w:rsidR="00E90C0C" w:rsidRPr="009F57D8">
        <w:t xml:space="preserve">immunisation of </w:t>
      </w:r>
      <w:r w:rsidRPr="009F57D8">
        <w:t>additional populations not covered by the NIP as follows:</w:t>
      </w:r>
      <w:bookmarkEnd w:id="101"/>
      <w:r w:rsidRPr="009F57D8">
        <w:t xml:space="preserve"> </w:t>
      </w:r>
    </w:p>
    <w:p w14:paraId="02EC01E4" w14:textId="05528F0B" w:rsidR="00054F60" w:rsidRPr="009F57D8" w:rsidRDefault="00D04DE7" w:rsidP="00054F60">
      <w:pPr>
        <w:pStyle w:val="ListParagraph"/>
        <w:numPr>
          <w:ilvl w:val="0"/>
          <w:numId w:val="8"/>
        </w:numPr>
        <w:jc w:val="both"/>
        <w:rPr>
          <w:rFonts w:eastAsiaTheme="minorHAnsi"/>
        </w:rPr>
      </w:pPr>
      <w:r w:rsidRPr="009F57D8">
        <w:rPr>
          <w:rFonts w:eastAsiaTheme="minorHAnsi"/>
        </w:rPr>
        <w:t>Aboriginal and Torres Strait Islander adults</w:t>
      </w:r>
      <w:r w:rsidR="00054F60" w:rsidRPr="009F57D8">
        <w:rPr>
          <w:rFonts w:eastAsiaTheme="minorHAnsi"/>
        </w:rPr>
        <w:t xml:space="preserve"> 25 to 49 years</w:t>
      </w:r>
      <w:r w:rsidR="00636E59" w:rsidRPr="009F57D8">
        <w:rPr>
          <w:rFonts w:eastAsiaTheme="minorHAnsi"/>
        </w:rPr>
        <w:t>,</w:t>
      </w:r>
      <w:r w:rsidR="00054F60" w:rsidRPr="009F57D8">
        <w:rPr>
          <w:rFonts w:eastAsiaTheme="minorHAnsi"/>
        </w:rPr>
        <w:t xml:space="preserve"> noting 20vPCV is the only PCV that has been recommended by the PBAC for this population (the submission presented a CMA against 20vPCV). </w:t>
      </w:r>
    </w:p>
    <w:p w14:paraId="7CA91DB3" w14:textId="3189F977" w:rsidR="00F650F4" w:rsidRPr="009F57D8" w:rsidRDefault="00F650F4">
      <w:pPr>
        <w:pStyle w:val="ListParagraph"/>
        <w:numPr>
          <w:ilvl w:val="0"/>
          <w:numId w:val="8"/>
        </w:numPr>
        <w:jc w:val="both"/>
        <w:rPr>
          <w:rFonts w:eastAsiaTheme="minorHAnsi"/>
        </w:rPr>
      </w:pPr>
      <w:r w:rsidRPr="009F57D8">
        <w:rPr>
          <w:rFonts w:eastAsiaTheme="minorHAnsi"/>
        </w:rPr>
        <w:t xml:space="preserve">Catch-up program </w:t>
      </w:r>
      <w:r w:rsidR="00054F60" w:rsidRPr="009F57D8">
        <w:rPr>
          <w:rFonts w:eastAsiaTheme="minorHAnsi"/>
        </w:rPr>
        <w:t xml:space="preserve">for individuals within the requested populations that were vaccinated prior to implementation of 21vPCV on the NIP (see paragraph </w:t>
      </w:r>
      <w:r w:rsidR="00054F60" w:rsidRPr="009F57D8">
        <w:rPr>
          <w:rFonts w:eastAsiaTheme="minorHAnsi"/>
        </w:rPr>
        <w:fldChar w:fldCharType="begin"/>
      </w:r>
      <w:r w:rsidR="00054F60" w:rsidRPr="009F57D8">
        <w:rPr>
          <w:rFonts w:eastAsiaTheme="minorHAnsi"/>
        </w:rPr>
        <w:instrText xml:space="preserve"> REF _Ref208497503 \r \h </w:instrText>
      </w:r>
      <w:r w:rsidR="00054F60" w:rsidRPr="009F57D8">
        <w:rPr>
          <w:rFonts w:eastAsiaTheme="minorHAnsi"/>
        </w:rPr>
      </w:r>
      <w:r w:rsidR="00054F60" w:rsidRPr="009F57D8">
        <w:rPr>
          <w:rFonts w:eastAsiaTheme="minorHAnsi"/>
        </w:rPr>
        <w:fldChar w:fldCharType="separate"/>
      </w:r>
      <w:r w:rsidR="00581386">
        <w:rPr>
          <w:rFonts w:eastAsiaTheme="minorHAnsi"/>
        </w:rPr>
        <w:t>3.7</w:t>
      </w:r>
      <w:r w:rsidR="00054F60" w:rsidRPr="009F57D8">
        <w:rPr>
          <w:rFonts w:eastAsiaTheme="minorHAnsi"/>
        </w:rPr>
        <w:fldChar w:fldCharType="end"/>
      </w:r>
      <w:r w:rsidR="00054F60" w:rsidRPr="009F57D8">
        <w:rPr>
          <w:rFonts w:eastAsiaTheme="minorHAnsi"/>
        </w:rPr>
        <w:t xml:space="preserve">). </w:t>
      </w:r>
      <w:r w:rsidRPr="009F57D8">
        <w:rPr>
          <w:rFonts w:eastAsiaTheme="minorHAnsi"/>
        </w:rPr>
        <w:t>The submission provided scenario analyses assessing the impact of catch-up doses for non-Indigenous adults aged &gt; 70, but not for any of the other proposed populations.</w:t>
      </w:r>
    </w:p>
    <w:p w14:paraId="1A953EFA" w14:textId="54983B19" w:rsidR="00ED060F" w:rsidRPr="009F57D8" w:rsidRDefault="00F650F4" w:rsidP="00572866">
      <w:pPr>
        <w:pStyle w:val="ListParagraph"/>
        <w:numPr>
          <w:ilvl w:val="0"/>
          <w:numId w:val="8"/>
        </w:numPr>
        <w:jc w:val="both"/>
      </w:pPr>
      <w:r w:rsidRPr="009F57D8">
        <w:rPr>
          <w:rFonts w:eastAsiaTheme="minorHAnsi"/>
        </w:rPr>
        <w:t xml:space="preserve">Non-funded NIP at-risk conditions: MaR adults aged ≥ 18 to 69 years with chronic disease not currently NIP funded (COPD and CLD). </w:t>
      </w:r>
    </w:p>
    <w:p w14:paraId="12AD4BD1" w14:textId="2EE77185" w:rsidR="00F650F4" w:rsidRPr="009F57D8" w:rsidRDefault="00CE68D2">
      <w:pPr>
        <w:pStyle w:val="3-BodyText"/>
        <w:numPr>
          <w:ilvl w:val="1"/>
          <w:numId w:val="1"/>
        </w:numPr>
      </w:pPr>
      <w:r w:rsidRPr="009F57D8">
        <w:t xml:space="preserve">In the </w:t>
      </w:r>
      <w:r w:rsidR="00636E59" w:rsidRPr="009F57D8">
        <w:t>scenario analys</w:t>
      </w:r>
      <w:r w:rsidRPr="009F57D8">
        <w:t>i</w:t>
      </w:r>
      <w:r w:rsidR="00636E59" w:rsidRPr="009F57D8">
        <w:t xml:space="preserve">s for the </w:t>
      </w:r>
      <w:r w:rsidR="00F650F4" w:rsidRPr="009F57D8">
        <w:t xml:space="preserve">catch-up program proposed in non-Indigenous adults aged &gt; 70 years, the submission assumed they were previously vaccinated with either a dose of 13vPCV or 23vPPV at 70 years followed by </w:t>
      </w:r>
      <w:r w:rsidR="00636E59" w:rsidRPr="009F57D8">
        <w:t>21vPCV</w:t>
      </w:r>
      <w:r w:rsidR="00F650F4" w:rsidRPr="009F57D8">
        <w:t xml:space="preserve"> at 73 and 75 years, </w:t>
      </w:r>
      <w:r w:rsidR="00F650F4" w:rsidRPr="009F57D8">
        <w:lastRenderedPageBreak/>
        <w:t xml:space="preserve">respectively (i.e. 3 and 5 years after the previous vaccine, respectively). Therefore, the comparator was ‘no additional vaccination’ (the effectiveness of the prior vaccine remained according to </w:t>
      </w:r>
      <w:r w:rsidR="00636E59" w:rsidRPr="009F57D8">
        <w:t>its</w:t>
      </w:r>
      <w:r w:rsidR="00F650F4" w:rsidRPr="009F57D8">
        <w:t xml:space="preserve"> waning profile). </w:t>
      </w:r>
      <w:r w:rsidR="00337F06" w:rsidRPr="009F57D8">
        <w:t xml:space="preserve">The evaluation considered this </w:t>
      </w:r>
      <w:r w:rsidR="00F650F4" w:rsidRPr="009F57D8">
        <w:t xml:space="preserve">was reasonable. Results are presented in </w:t>
      </w:r>
      <w:r w:rsidR="00F650F4" w:rsidRPr="009F57D8">
        <w:fldChar w:fldCharType="begin"/>
      </w:r>
      <w:r w:rsidR="00F650F4" w:rsidRPr="009F57D8">
        <w:instrText xml:space="preserve"> REF _Ref206770501 \h </w:instrText>
      </w:r>
      <w:r w:rsidR="00632A23" w:rsidRPr="009F57D8">
        <w:instrText xml:space="preserve"> \* MERGEFORMAT </w:instrText>
      </w:r>
      <w:r w:rsidR="00F650F4" w:rsidRPr="009F57D8">
        <w:fldChar w:fldCharType="separate"/>
      </w:r>
      <w:r w:rsidR="00581386" w:rsidRPr="009F57D8">
        <w:t xml:space="preserve">Table </w:t>
      </w:r>
      <w:r w:rsidR="00581386">
        <w:t>15</w:t>
      </w:r>
      <w:r w:rsidR="00F650F4" w:rsidRPr="009F57D8">
        <w:fldChar w:fldCharType="end"/>
      </w:r>
      <w:r w:rsidR="00F650F4" w:rsidRPr="009F57D8">
        <w:t xml:space="preserve">. </w:t>
      </w:r>
    </w:p>
    <w:p w14:paraId="1D42539D" w14:textId="646CA453" w:rsidR="00F650F4" w:rsidRPr="009F57D8" w:rsidRDefault="00F650F4" w:rsidP="00F650F4">
      <w:pPr>
        <w:pStyle w:val="TableFigureHeading"/>
      </w:pPr>
      <w:bookmarkStart w:id="102" w:name="_Ref206770501"/>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15</w:t>
      </w:r>
      <w:r w:rsidR="00FA4640" w:rsidRPr="009F57D8">
        <w:fldChar w:fldCharType="end"/>
      </w:r>
      <w:bookmarkEnd w:id="102"/>
      <w:r w:rsidRPr="009F57D8">
        <w:t>: Results of the model for the catch-up program for non-Indigenous adults aged &gt;70 years (per population)</w:t>
      </w:r>
    </w:p>
    <w:tbl>
      <w:tblPr>
        <w:tblStyle w:val="TableGrid"/>
        <w:tblW w:w="5000" w:type="pct"/>
        <w:tblCellMar>
          <w:left w:w="113" w:type="dxa"/>
          <w:right w:w="113" w:type="dxa"/>
        </w:tblCellMar>
        <w:tblLook w:val="04A0" w:firstRow="1" w:lastRow="0" w:firstColumn="1" w:lastColumn="0" w:noHBand="0" w:noVBand="1"/>
        <w:tblCaption w:val="Table 15: Results of the model for the catch-up program for non-Indigenous adults aged &gt;70 years (per population)"/>
      </w:tblPr>
      <w:tblGrid>
        <w:gridCol w:w="1836"/>
        <w:gridCol w:w="1591"/>
        <w:gridCol w:w="905"/>
        <w:gridCol w:w="1082"/>
        <w:gridCol w:w="1616"/>
        <w:gridCol w:w="905"/>
        <w:gridCol w:w="1082"/>
      </w:tblGrid>
      <w:tr w:rsidR="00F650F4" w:rsidRPr="009F57D8" w14:paraId="05B7552C" w14:textId="77777777" w:rsidTr="000A7964">
        <w:trPr>
          <w:cantSplit/>
          <w:tblHeader/>
        </w:trPr>
        <w:tc>
          <w:tcPr>
            <w:tcW w:w="979" w:type="pct"/>
            <w:noWrap/>
            <w:vAlign w:val="center"/>
            <w:hideMark/>
          </w:tcPr>
          <w:p w14:paraId="148E7AD7" w14:textId="3DCFBC3D" w:rsidR="00F650F4" w:rsidRPr="009F57D8" w:rsidRDefault="002E0890">
            <w:pPr>
              <w:pStyle w:val="In-tableHeading"/>
              <w:jc w:val="center"/>
              <w:rPr>
                <w:lang w:val="en-AU"/>
              </w:rPr>
            </w:pPr>
            <w:r w:rsidRPr="009F57D8">
              <w:rPr>
                <w:lang w:val="en-AU"/>
              </w:rPr>
              <w:t>21vPCV</w:t>
            </w:r>
            <w:r w:rsidR="00F650F4" w:rsidRPr="009F57D8">
              <w:rPr>
                <w:lang w:val="en-AU"/>
              </w:rPr>
              <w:t xml:space="preserve"> vs no vaccine</w:t>
            </w:r>
          </w:p>
        </w:tc>
        <w:tc>
          <w:tcPr>
            <w:tcW w:w="848" w:type="pct"/>
            <w:noWrap/>
            <w:vAlign w:val="center"/>
            <w:hideMark/>
          </w:tcPr>
          <w:p w14:paraId="390B448D" w14:textId="5D3ABDDD" w:rsidR="00F650F4" w:rsidRPr="009F57D8" w:rsidRDefault="00F650F4">
            <w:pPr>
              <w:pStyle w:val="In-tableHeading"/>
              <w:jc w:val="center"/>
              <w:rPr>
                <w:lang w:val="en-AU"/>
              </w:rPr>
            </w:pPr>
            <w:r w:rsidRPr="009F57D8">
              <w:rPr>
                <w:lang w:val="en-AU"/>
              </w:rPr>
              <w:t xml:space="preserve">13vPCV + </w:t>
            </w:r>
            <w:r w:rsidR="002E0890" w:rsidRPr="009F57D8">
              <w:rPr>
                <w:lang w:val="en-AU"/>
              </w:rPr>
              <w:t>21vPCV</w:t>
            </w:r>
            <w:r w:rsidRPr="009F57D8">
              <w:rPr>
                <w:vertAlign w:val="superscript"/>
                <w:lang w:val="en-AU"/>
              </w:rPr>
              <w:t>a</w:t>
            </w:r>
          </w:p>
        </w:tc>
        <w:tc>
          <w:tcPr>
            <w:tcW w:w="576" w:type="pct"/>
            <w:vAlign w:val="center"/>
          </w:tcPr>
          <w:p w14:paraId="0051A2C7" w14:textId="77777777" w:rsidR="00F650F4" w:rsidRPr="009F57D8" w:rsidRDefault="00F650F4">
            <w:pPr>
              <w:pStyle w:val="In-tableHeading"/>
              <w:jc w:val="center"/>
              <w:rPr>
                <w:lang w:val="en-AU"/>
              </w:rPr>
            </w:pPr>
            <w:r w:rsidRPr="009F57D8">
              <w:rPr>
                <w:lang w:val="en-AU"/>
              </w:rPr>
              <w:t>13vPCV</w:t>
            </w:r>
          </w:p>
        </w:tc>
        <w:tc>
          <w:tcPr>
            <w:tcW w:w="579" w:type="pct"/>
            <w:vAlign w:val="center"/>
          </w:tcPr>
          <w:p w14:paraId="56DE5FB1" w14:textId="77777777" w:rsidR="00F650F4" w:rsidRPr="009F57D8" w:rsidRDefault="00F650F4">
            <w:pPr>
              <w:pStyle w:val="In-tableHeading"/>
              <w:jc w:val="center"/>
              <w:rPr>
                <w:lang w:val="en-AU"/>
              </w:rPr>
            </w:pPr>
            <w:r w:rsidRPr="009F57D8">
              <w:rPr>
                <w:lang w:val="en-AU"/>
              </w:rPr>
              <w:t>Incremental</w:t>
            </w:r>
          </w:p>
        </w:tc>
        <w:tc>
          <w:tcPr>
            <w:tcW w:w="862" w:type="pct"/>
            <w:noWrap/>
            <w:vAlign w:val="center"/>
            <w:hideMark/>
          </w:tcPr>
          <w:p w14:paraId="2C09FA5F" w14:textId="0CAAEB30" w:rsidR="00F650F4" w:rsidRPr="009F57D8" w:rsidRDefault="00F650F4">
            <w:pPr>
              <w:pStyle w:val="In-tableHeading"/>
              <w:jc w:val="center"/>
              <w:rPr>
                <w:lang w:val="en-AU"/>
              </w:rPr>
            </w:pPr>
            <w:r w:rsidRPr="009F57D8">
              <w:rPr>
                <w:lang w:val="en-AU"/>
              </w:rPr>
              <w:t>23</w:t>
            </w:r>
            <w:r w:rsidR="003F4F72" w:rsidRPr="009F57D8">
              <w:rPr>
                <w:lang w:val="en-AU"/>
              </w:rPr>
              <w:t>v</w:t>
            </w:r>
            <w:r w:rsidRPr="009F57D8">
              <w:rPr>
                <w:lang w:val="en-AU"/>
              </w:rPr>
              <w:t xml:space="preserve">PPV + </w:t>
            </w:r>
            <w:r w:rsidR="002E0890" w:rsidRPr="009F57D8">
              <w:rPr>
                <w:lang w:val="en-AU"/>
              </w:rPr>
              <w:t>21vPCV</w:t>
            </w:r>
            <w:r w:rsidRPr="009F57D8">
              <w:rPr>
                <w:vertAlign w:val="superscript"/>
                <w:lang w:val="en-AU"/>
              </w:rPr>
              <w:t xml:space="preserve"> b</w:t>
            </w:r>
          </w:p>
        </w:tc>
        <w:tc>
          <w:tcPr>
            <w:tcW w:w="576" w:type="pct"/>
            <w:vAlign w:val="center"/>
          </w:tcPr>
          <w:p w14:paraId="15D6D40C" w14:textId="07CF5200" w:rsidR="00F650F4" w:rsidRPr="009F57D8" w:rsidRDefault="00F650F4">
            <w:pPr>
              <w:pStyle w:val="In-tableHeading"/>
              <w:jc w:val="center"/>
              <w:rPr>
                <w:lang w:val="en-AU"/>
              </w:rPr>
            </w:pPr>
            <w:r w:rsidRPr="009F57D8">
              <w:rPr>
                <w:lang w:val="en-AU"/>
              </w:rPr>
              <w:t>23</w:t>
            </w:r>
            <w:r w:rsidR="003F4F72" w:rsidRPr="009F57D8">
              <w:rPr>
                <w:lang w:val="en-AU"/>
              </w:rPr>
              <w:t>v</w:t>
            </w:r>
            <w:r w:rsidRPr="009F57D8">
              <w:rPr>
                <w:lang w:val="en-AU"/>
              </w:rPr>
              <w:t>PPV</w:t>
            </w:r>
          </w:p>
        </w:tc>
        <w:tc>
          <w:tcPr>
            <w:tcW w:w="579" w:type="pct"/>
            <w:vAlign w:val="center"/>
          </w:tcPr>
          <w:p w14:paraId="6D919969" w14:textId="77777777" w:rsidR="00F650F4" w:rsidRPr="009F57D8" w:rsidRDefault="00F650F4">
            <w:pPr>
              <w:pStyle w:val="In-tableHeading"/>
              <w:jc w:val="center"/>
              <w:rPr>
                <w:lang w:val="en-AU"/>
              </w:rPr>
            </w:pPr>
            <w:r w:rsidRPr="009F57D8">
              <w:rPr>
                <w:lang w:val="en-AU"/>
              </w:rPr>
              <w:t>Incremental</w:t>
            </w:r>
          </w:p>
        </w:tc>
      </w:tr>
      <w:tr w:rsidR="00F650F4" w:rsidRPr="009F57D8" w14:paraId="328A2702" w14:textId="77777777" w:rsidTr="000A7964">
        <w:trPr>
          <w:cantSplit/>
          <w:tblHeader/>
        </w:trPr>
        <w:tc>
          <w:tcPr>
            <w:tcW w:w="979" w:type="pct"/>
            <w:noWrap/>
            <w:vAlign w:val="center"/>
            <w:hideMark/>
          </w:tcPr>
          <w:p w14:paraId="654B2E8E" w14:textId="77777777" w:rsidR="00F650F4" w:rsidRPr="009F57D8" w:rsidRDefault="00F650F4">
            <w:pPr>
              <w:pStyle w:val="TableText0"/>
            </w:pPr>
            <w:r w:rsidRPr="009F57D8">
              <w:t>QALYs</w:t>
            </w:r>
          </w:p>
        </w:tc>
        <w:tc>
          <w:tcPr>
            <w:tcW w:w="848" w:type="pct"/>
            <w:noWrap/>
            <w:vAlign w:val="center"/>
            <w:hideMark/>
          </w:tcPr>
          <w:p w14:paraId="1045F8EC" w14:textId="77777777" w:rsidR="00F650F4" w:rsidRPr="009F57D8" w:rsidRDefault="00F650F4">
            <w:pPr>
              <w:pStyle w:val="TableText0"/>
              <w:jc w:val="center"/>
            </w:pPr>
            <w:r w:rsidRPr="009F57D8">
              <w:t>1,692,833</w:t>
            </w:r>
          </w:p>
        </w:tc>
        <w:tc>
          <w:tcPr>
            <w:tcW w:w="576" w:type="pct"/>
            <w:vAlign w:val="center"/>
          </w:tcPr>
          <w:p w14:paraId="676B2875" w14:textId="77777777" w:rsidR="00F650F4" w:rsidRPr="009F57D8" w:rsidRDefault="00F650F4">
            <w:pPr>
              <w:pStyle w:val="TableText0"/>
              <w:jc w:val="center"/>
            </w:pPr>
            <w:r w:rsidRPr="009F57D8">
              <w:t>1,692,164</w:t>
            </w:r>
          </w:p>
        </w:tc>
        <w:tc>
          <w:tcPr>
            <w:tcW w:w="579" w:type="pct"/>
            <w:vAlign w:val="center"/>
          </w:tcPr>
          <w:p w14:paraId="14FC0F96" w14:textId="77777777" w:rsidR="00F650F4" w:rsidRPr="009F57D8" w:rsidRDefault="00F650F4">
            <w:pPr>
              <w:pStyle w:val="TableText0"/>
              <w:jc w:val="center"/>
            </w:pPr>
            <w:r w:rsidRPr="009F57D8">
              <w:t>670</w:t>
            </w:r>
          </w:p>
        </w:tc>
        <w:tc>
          <w:tcPr>
            <w:tcW w:w="862" w:type="pct"/>
            <w:noWrap/>
            <w:vAlign w:val="center"/>
            <w:hideMark/>
          </w:tcPr>
          <w:p w14:paraId="24EEA35E" w14:textId="77777777" w:rsidR="00F650F4" w:rsidRPr="009F57D8" w:rsidRDefault="00F650F4">
            <w:pPr>
              <w:pStyle w:val="TableText0"/>
              <w:jc w:val="center"/>
            </w:pPr>
            <w:r w:rsidRPr="009F57D8">
              <w:t>1,692,720</w:t>
            </w:r>
          </w:p>
        </w:tc>
        <w:tc>
          <w:tcPr>
            <w:tcW w:w="576" w:type="pct"/>
            <w:vAlign w:val="center"/>
          </w:tcPr>
          <w:p w14:paraId="71FE17A0" w14:textId="77777777" w:rsidR="00F650F4" w:rsidRPr="009F57D8" w:rsidRDefault="00F650F4">
            <w:pPr>
              <w:pStyle w:val="TableText0"/>
              <w:jc w:val="center"/>
            </w:pPr>
            <w:r w:rsidRPr="009F57D8">
              <w:t>1,691,952</w:t>
            </w:r>
          </w:p>
        </w:tc>
        <w:tc>
          <w:tcPr>
            <w:tcW w:w="579" w:type="pct"/>
            <w:vAlign w:val="center"/>
          </w:tcPr>
          <w:p w14:paraId="3BDD4418" w14:textId="77777777" w:rsidR="00F650F4" w:rsidRPr="009F57D8" w:rsidRDefault="00F650F4">
            <w:pPr>
              <w:pStyle w:val="TableText0"/>
              <w:jc w:val="center"/>
            </w:pPr>
            <w:r w:rsidRPr="009F57D8">
              <w:t>767</w:t>
            </w:r>
          </w:p>
        </w:tc>
      </w:tr>
      <w:tr w:rsidR="00F650F4" w:rsidRPr="009F57D8" w14:paraId="5AC0520D" w14:textId="77777777" w:rsidTr="000A7964">
        <w:trPr>
          <w:cantSplit/>
          <w:tblHeader/>
        </w:trPr>
        <w:tc>
          <w:tcPr>
            <w:tcW w:w="979" w:type="pct"/>
            <w:noWrap/>
            <w:vAlign w:val="center"/>
          </w:tcPr>
          <w:p w14:paraId="79074CD8" w14:textId="77777777" w:rsidR="00F650F4" w:rsidRPr="009F57D8" w:rsidRDefault="00F650F4">
            <w:pPr>
              <w:pStyle w:val="TableText0"/>
            </w:pPr>
            <w:r w:rsidRPr="009F57D8">
              <w:t>Total costs</w:t>
            </w:r>
          </w:p>
        </w:tc>
        <w:tc>
          <w:tcPr>
            <w:tcW w:w="848" w:type="pct"/>
            <w:noWrap/>
            <w:vAlign w:val="center"/>
          </w:tcPr>
          <w:p w14:paraId="281BE17F" w14:textId="4A91A62B" w:rsidR="00F650F4" w:rsidRPr="009F57D8" w:rsidRDefault="00F650F4">
            <w:pPr>
              <w:pStyle w:val="TableText0"/>
              <w:jc w:val="center"/>
            </w:pPr>
            <w:r w:rsidRPr="009F57D8">
              <w:t>$</w:t>
            </w:r>
            <w:r w:rsidR="00FD08E9" w:rsidRPr="00FD08E9">
              <w:rPr>
                <w:highlight w:val="black"/>
              </w:rPr>
              <w:t>&amp;&amp;&amp;&amp;</w:t>
            </w:r>
          </w:p>
        </w:tc>
        <w:tc>
          <w:tcPr>
            <w:tcW w:w="576" w:type="pct"/>
            <w:vAlign w:val="center"/>
          </w:tcPr>
          <w:p w14:paraId="50A695AF" w14:textId="3AA24742" w:rsidR="00F650F4" w:rsidRPr="009F57D8" w:rsidRDefault="00F650F4">
            <w:pPr>
              <w:pStyle w:val="TableText0"/>
              <w:jc w:val="center"/>
            </w:pPr>
            <w:r w:rsidRPr="009F57D8">
              <w:t>$</w:t>
            </w:r>
            <w:r w:rsidR="00FD08E9" w:rsidRPr="00FD08E9">
              <w:rPr>
                <w:highlight w:val="black"/>
              </w:rPr>
              <w:t>&amp;&amp;&amp;&amp;</w:t>
            </w:r>
          </w:p>
        </w:tc>
        <w:tc>
          <w:tcPr>
            <w:tcW w:w="579" w:type="pct"/>
            <w:vAlign w:val="center"/>
          </w:tcPr>
          <w:p w14:paraId="21C93E88" w14:textId="219F7F21" w:rsidR="00F650F4" w:rsidRPr="009F57D8" w:rsidRDefault="00F650F4">
            <w:pPr>
              <w:pStyle w:val="TableText0"/>
              <w:jc w:val="center"/>
            </w:pPr>
            <w:r w:rsidRPr="009F57D8">
              <w:t>$</w:t>
            </w:r>
            <w:r w:rsidR="00FD08E9" w:rsidRPr="00FD08E9">
              <w:rPr>
                <w:highlight w:val="black"/>
              </w:rPr>
              <w:t>&amp;&amp;&amp;&amp;</w:t>
            </w:r>
          </w:p>
        </w:tc>
        <w:tc>
          <w:tcPr>
            <w:tcW w:w="862" w:type="pct"/>
            <w:noWrap/>
            <w:vAlign w:val="center"/>
          </w:tcPr>
          <w:p w14:paraId="4070A6B9" w14:textId="7839C0EF" w:rsidR="00F650F4" w:rsidRPr="009F57D8" w:rsidRDefault="00F650F4">
            <w:pPr>
              <w:pStyle w:val="TableText0"/>
              <w:jc w:val="center"/>
            </w:pPr>
            <w:r w:rsidRPr="009F57D8">
              <w:t>$</w:t>
            </w:r>
            <w:r w:rsidR="00FD08E9" w:rsidRPr="00FD08E9">
              <w:rPr>
                <w:highlight w:val="black"/>
              </w:rPr>
              <w:t>&amp;&amp;&amp;&amp;</w:t>
            </w:r>
          </w:p>
        </w:tc>
        <w:tc>
          <w:tcPr>
            <w:tcW w:w="576" w:type="pct"/>
            <w:vAlign w:val="center"/>
          </w:tcPr>
          <w:p w14:paraId="3CB8CD57" w14:textId="7F66B3A3" w:rsidR="00F650F4" w:rsidRPr="009F57D8" w:rsidRDefault="004E7CC2">
            <w:pPr>
              <w:pStyle w:val="TableText0"/>
              <w:jc w:val="center"/>
            </w:pPr>
            <w:r>
              <w:t>$</w:t>
            </w:r>
            <w:r w:rsidR="00FD08E9" w:rsidRPr="00FD08E9">
              <w:rPr>
                <w:highlight w:val="black"/>
              </w:rPr>
              <w:t>&amp;&amp;&amp;&amp;</w:t>
            </w:r>
          </w:p>
        </w:tc>
        <w:tc>
          <w:tcPr>
            <w:tcW w:w="579" w:type="pct"/>
            <w:vAlign w:val="center"/>
          </w:tcPr>
          <w:p w14:paraId="18AA5D0C" w14:textId="6ADE3383" w:rsidR="00F650F4" w:rsidRPr="009F57D8" w:rsidRDefault="00F650F4">
            <w:pPr>
              <w:pStyle w:val="TableText0"/>
              <w:jc w:val="center"/>
            </w:pPr>
            <w:r w:rsidRPr="009F57D8">
              <w:t>-$</w:t>
            </w:r>
            <w:r w:rsidR="00FD08E9" w:rsidRPr="00FD08E9">
              <w:rPr>
                <w:highlight w:val="black"/>
              </w:rPr>
              <w:t>&amp;&amp;&amp;&amp;</w:t>
            </w:r>
          </w:p>
        </w:tc>
      </w:tr>
      <w:tr w:rsidR="00F650F4" w:rsidRPr="009F57D8" w14:paraId="360E2C8D" w14:textId="77777777" w:rsidTr="000A7964">
        <w:trPr>
          <w:cantSplit/>
          <w:trHeight w:val="53"/>
          <w:tblHeader/>
        </w:trPr>
        <w:tc>
          <w:tcPr>
            <w:tcW w:w="979" w:type="pct"/>
            <w:noWrap/>
            <w:vAlign w:val="center"/>
          </w:tcPr>
          <w:p w14:paraId="1F189B82" w14:textId="77777777" w:rsidR="00F650F4" w:rsidRPr="009F57D8" w:rsidRDefault="00F650F4">
            <w:pPr>
              <w:pStyle w:val="TableText0"/>
              <w:rPr>
                <w:b/>
                <w:bCs w:val="0"/>
              </w:rPr>
            </w:pPr>
            <w:r w:rsidRPr="009F57D8">
              <w:rPr>
                <w:b/>
                <w:bCs w:val="0"/>
              </w:rPr>
              <w:t>ICER ($/QALY)</w:t>
            </w:r>
          </w:p>
        </w:tc>
        <w:tc>
          <w:tcPr>
            <w:tcW w:w="848" w:type="pct"/>
            <w:noWrap/>
            <w:vAlign w:val="center"/>
          </w:tcPr>
          <w:p w14:paraId="0E129B74" w14:textId="77777777" w:rsidR="00F650F4" w:rsidRPr="009F57D8" w:rsidRDefault="00F650F4">
            <w:pPr>
              <w:pStyle w:val="TableText0"/>
              <w:jc w:val="center"/>
              <w:rPr>
                <w:b/>
                <w:bCs w:val="0"/>
              </w:rPr>
            </w:pPr>
          </w:p>
        </w:tc>
        <w:tc>
          <w:tcPr>
            <w:tcW w:w="576" w:type="pct"/>
            <w:vAlign w:val="center"/>
          </w:tcPr>
          <w:p w14:paraId="7AE260B8" w14:textId="77777777" w:rsidR="00F650F4" w:rsidRPr="009F57D8" w:rsidRDefault="00F650F4">
            <w:pPr>
              <w:pStyle w:val="TableText0"/>
              <w:jc w:val="center"/>
              <w:rPr>
                <w:b/>
                <w:bCs w:val="0"/>
              </w:rPr>
            </w:pPr>
          </w:p>
        </w:tc>
        <w:tc>
          <w:tcPr>
            <w:tcW w:w="579" w:type="pct"/>
            <w:vAlign w:val="center"/>
          </w:tcPr>
          <w:p w14:paraId="59A559CB" w14:textId="4D007CFA" w:rsidR="00F650F4" w:rsidRPr="00A263C1" w:rsidRDefault="00F650F4">
            <w:pPr>
              <w:pStyle w:val="TableText0"/>
              <w:jc w:val="center"/>
              <w:rPr>
                <w:b/>
                <w:bCs w:val="0"/>
                <w:vertAlign w:val="superscript"/>
              </w:rPr>
            </w:pPr>
            <w:r w:rsidRPr="009F57D8">
              <w:rPr>
                <w:b/>
                <w:bCs w:val="0"/>
              </w:rPr>
              <w:t>$</w:t>
            </w:r>
            <w:r w:rsidR="00FD08E9" w:rsidRPr="00FD08E9">
              <w:rPr>
                <w:b/>
                <w:bCs w:val="0"/>
                <w:highlight w:val="black"/>
              </w:rPr>
              <w:t>&amp;&amp;&amp;&amp;</w:t>
            </w:r>
            <w:r w:rsidR="00A263C1">
              <w:rPr>
                <w:b/>
                <w:bCs w:val="0"/>
                <w:vertAlign w:val="superscript"/>
              </w:rPr>
              <w:t>1</w:t>
            </w:r>
          </w:p>
        </w:tc>
        <w:tc>
          <w:tcPr>
            <w:tcW w:w="862" w:type="pct"/>
            <w:noWrap/>
            <w:vAlign w:val="center"/>
          </w:tcPr>
          <w:p w14:paraId="3772B0C4" w14:textId="77777777" w:rsidR="00F650F4" w:rsidRPr="009F57D8" w:rsidRDefault="00F650F4">
            <w:pPr>
              <w:pStyle w:val="TableText0"/>
              <w:jc w:val="center"/>
              <w:rPr>
                <w:b/>
                <w:bCs w:val="0"/>
              </w:rPr>
            </w:pPr>
          </w:p>
        </w:tc>
        <w:tc>
          <w:tcPr>
            <w:tcW w:w="576" w:type="pct"/>
            <w:vAlign w:val="center"/>
          </w:tcPr>
          <w:p w14:paraId="45F417E2" w14:textId="77777777" w:rsidR="00F650F4" w:rsidRPr="009F57D8" w:rsidRDefault="00F650F4">
            <w:pPr>
              <w:pStyle w:val="TableText0"/>
              <w:jc w:val="center"/>
              <w:rPr>
                <w:b/>
                <w:bCs w:val="0"/>
              </w:rPr>
            </w:pPr>
          </w:p>
        </w:tc>
        <w:tc>
          <w:tcPr>
            <w:tcW w:w="579" w:type="pct"/>
            <w:vAlign w:val="center"/>
          </w:tcPr>
          <w:p w14:paraId="40451A49" w14:textId="77777777" w:rsidR="00F650F4" w:rsidRPr="009F57D8" w:rsidRDefault="00F650F4">
            <w:pPr>
              <w:pStyle w:val="TableText0"/>
              <w:jc w:val="center"/>
              <w:rPr>
                <w:b/>
                <w:bCs w:val="0"/>
              </w:rPr>
            </w:pPr>
            <w:r w:rsidRPr="009F57D8">
              <w:rPr>
                <w:b/>
                <w:bCs w:val="0"/>
              </w:rPr>
              <w:t>Dominant</w:t>
            </w:r>
          </w:p>
        </w:tc>
      </w:tr>
    </w:tbl>
    <w:p w14:paraId="051E45AF" w14:textId="5009B404" w:rsidR="00F650F4" w:rsidRPr="009F57D8" w:rsidRDefault="00F650F4" w:rsidP="00F650F4">
      <w:pPr>
        <w:pStyle w:val="FooterTableFigure"/>
      </w:pPr>
      <w:r w:rsidRPr="009F57D8">
        <w:t xml:space="preserve">Source: compiled during evaluation. </w:t>
      </w:r>
    </w:p>
    <w:p w14:paraId="75640CCF" w14:textId="65BA3B51" w:rsidR="00F650F4" w:rsidRPr="009F57D8" w:rsidRDefault="00F650F4" w:rsidP="00F650F4">
      <w:pPr>
        <w:pStyle w:val="FooterTableFigure"/>
        <w:rPr>
          <w:u w:val="single"/>
        </w:rPr>
      </w:pPr>
      <w:r w:rsidRPr="009F57D8">
        <w:t xml:space="preserve">13vPCV = 13-valent pneumococcal conjugate vaccine; 23vPPV = 23-valent pneumococcal polysaccharide vaccine; ICER = incremental cost-effectiveness ratio; QALY = quality adjusted life year; </w:t>
      </w:r>
      <w:r w:rsidR="002E0890" w:rsidRPr="009F57D8">
        <w:t>21vPCV</w:t>
      </w:r>
      <w:r w:rsidRPr="009F57D8">
        <w:t xml:space="preserve"> = 21-valent pneumococcal conjugate vaccine.</w:t>
      </w:r>
    </w:p>
    <w:p w14:paraId="1A4C50EC" w14:textId="0BA29151" w:rsidR="00F650F4" w:rsidRPr="009F57D8" w:rsidRDefault="00F650F4" w:rsidP="00F650F4">
      <w:pPr>
        <w:pStyle w:val="FooterTableFigure"/>
      </w:pPr>
      <w:r w:rsidRPr="009F57D8">
        <w:rPr>
          <w:vertAlign w:val="superscript"/>
        </w:rPr>
        <w:t>a</w:t>
      </w:r>
      <w:r w:rsidRPr="009F57D8">
        <w:t xml:space="preserve"> Patients were vaccinated with 13vPCV at 70 years and followed by </w:t>
      </w:r>
      <w:r w:rsidR="002E0890" w:rsidRPr="009F57D8">
        <w:t>21vPCV</w:t>
      </w:r>
      <w:r w:rsidRPr="009F57D8">
        <w:t xml:space="preserve"> after 3 years.</w:t>
      </w:r>
    </w:p>
    <w:p w14:paraId="7F5D776D" w14:textId="77777777" w:rsidR="00A263C1" w:rsidRDefault="00F650F4" w:rsidP="00A263C1">
      <w:pPr>
        <w:pStyle w:val="FooterTableFigure"/>
      </w:pPr>
      <w:r w:rsidRPr="009F57D8">
        <w:rPr>
          <w:vertAlign w:val="superscript"/>
        </w:rPr>
        <w:t>b</w:t>
      </w:r>
      <w:r w:rsidRPr="009F57D8">
        <w:t xml:space="preserve"> Patients were previously vaccinated with 23vPPV at 70 years and followed by </w:t>
      </w:r>
      <w:r w:rsidR="002E0890" w:rsidRPr="009F57D8">
        <w:t>21vPCV</w:t>
      </w:r>
      <w:r w:rsidRPr="009F57D8">
        <w:t xml:space="preserve"> after 5 years. </w:t>
      </w:r>
    </w:p>
    <w:p w14:paraId="79A810C0" w14:textId="51E5FE66" w:rsidR="00A263C1" w:rsidRPr="00A263C1" w:rsidRDefault="00A263C1" w:rsidP="00A263C1">
      <w:pPr>
        <w:pStyle w:val="FooterTableFigure"/>
        <w:rPr>
          <w:i/>
        </w:rPr>
      </w:pPr>
      <w:r w:rsidRPr="00A263C1">
        <w:rPr>
          <w:i/>
        </w:rPr>
        <w:t xml:space="preserve">The redacted values correspond to the following ranges: </w:t>
      </w:r>
    </w:p>
    <w:p w14:paraId="3F97944E" w14:textId="3AE3668D" w:rsidR="00A263C1" w:rsidRPr="00A263C1" w:rsidRDefault="00A263C1" w:rsidP="00A263C1">
      <w:pPr>
        <w:pStyle w:val="FooterTableFigure"/>
        <w:rPr>
          <w:i/>
        </w:rPr>
      </w:pPr>
      <w:r w:rsidRPr="00A263C1">
        <w:rPr>
          <w:i/>
          <w:vertAlign w:val="superscript"/>
        </w:rPr>
        <w:t>1</w:t>
      </w:r>
      <w:r w:rsidRPr="00A263C1">
        <w:rPr>
          <w:i/>
        </w:rPr>
        <w:t xml:space="preserve"> </w:t>
      </w:r>
      <w:r w:rsidR="00145F83" w:rsidRPr="00145F83">
        <w:rPr>
          <w:i/>
        </w:rPr>
        <w:t>$0 to &lt; $5,000</w:t>
      </w:r>
    </w:p>
    <w:p w14:paraId="7CC91A9D" w14:textId="3521463C" w:rsidR="00F650F4" w:rsidRPr="009F57D8" w:rsidRDefault="00F650F4" w:rsidP="00F650F4">
      <w:pPr>
        <w:pStyle w:val="FooterTableFigure"/>
      </w:pPr>
    </w:p>
    <w:p w14:paraId="3A5A180B" w14:textId="66A17E18" w:rsidR="00F650F4" w:rsidRPr="009F57D8" w:rsidRDefault="00F650F4" w:rsidP="00F650F4">
      <w:pPr>
        <w:pStyle w:val="3-BodyText"/>
        <w:numPr>
          <w:ilvl w:val="1"/>
          <w:numId w:val="1"/>
        </w:numPr>
      </w:pPr>
      <w:bookmarkStart w:id="103" w:name="_Ref208497555"/>
      <w:r w:rsidRPr="009F57D8">
        <w:t xml:space="preserve">Catch-up results were driven by the additional disease coverage provided by </w:t>
      </w:r>
      <w:r w:rsidR="002E0890" w:rsidRPr="009F57D8">
        <w:t>21vPCV</w:t>
      </w:r>
      <w:r w:rsidRPr="009F57D8">
        <w:t xml:space="preserve"> among older adults (</w:t>
      </w:r>
      <w:r w:rsidR="002E0890" w:rsidRPr="009F57D8">
        <w:t>21vPCV</w:t>
      </w:r>
      <w:r w:rsidRPr="009F57D8">
        <w:t>: 74.9%; 13vPCV: 31.4%; 23vPPV: 59.2%</w:t>
      </w:r>
      <w:r w:rsidR="00F65FE2" w:rsidRPr="009F57D8">
        <w:t xml:space="preserve">; see </w:t>
      </w:r>
      <w:r w:rsidR="00F65FE2" w:rsidRPr="009F57D8">
        <w:fldChar w:fldCharType="begin"/>
      </w:r>
      <w:r w:rsidR="00F65FE2" w:rsidRPr="009F57D8">
        <w:instrText xml:space="preserve"> REF _Ref174254422 \h </w:instrText>
      </w:r>
      <w:r w:rsidR="00326EC5" w:rsidRPr="009F57D8">
        <w:instrText xml:space="preserve"> \* MERGEFORMAT </w:instrText>
      </w:r>
      <w:r w:rsidR="00F65FE2" w:rsidRPr="009F57D8">
        <w:fldChar w:fldCharType="separate"/>
      </w:r>
      <w:r w:rsidR="00581386" w:rsidRPr="009F57D8">
        <w:t xml:space="preserve">Table </w:t>
      </w:r>
      <w:r w:rsidR="00581386">
        <w:t>3</w:t>
      </w:r>
      <w:r w:rsidR="00F65FE2" w:rsidRPr="009F57D8">
        <w:fldChar w:fldCharType="end"/>
      </w:r>
      <w:r w:rsidRPr="009F57D8">
        <w:t xml:space="preserve">) coupled with the assumption that 23vPPV effectiveness was fully waned after 5 years. </w:t>
      </w:r>
      <w:bookmarkEnd w:id="103"/>
      <w:r w:rsidR="00CA15CF" w:rsidRPr="009F57D8">
        <w:t>T</w:t>
      </w:r>
      <w:r w:rsidR="003C5D77" w:rsidRPr="009F57D8">
        <w:t xml:space="preserve">he </w:t>
      </w:r>
      <w:r w:rsidR="00CA15CF" w:rsidRPr="009F57D8">
        <w:t>evaluation noted</w:t>
      </w:r>
      <w:r w:rsidR="003C5D77" w:rsidRPr="009F57D8">
        <w:t xml:space="preserve"> it was a simplified approach to the question of cost-effectiveness of the proposed catch-up program given that each comparison assumed vaccination at a single point in time (3 years after 13vPCV or five years after 23vPPV) and had a baseline age, which may not reflect the proposed population</w:t>
      </w:r>
      <w:r w:rsidR="00FF7AEF" w:rsidRPr="009F57D8">
        <w:t>.</w:t>
      </w:r>
    </w:p>
    <w:p w14:paraId="2D593F8E" w14:textId="73FEAA75" w:rsidR="00F650F4" w:rsidRPr="009F57D8" w:rsidRDefault="00F650F4" w:rsidP="00F650F4">
      <w:pPr>
        <w:pStyle w:val="3-BodyText"/>
        <w:numPr>
          <w:ilvl w:val="1"/>
          <w:numId w:val="1"/>
        </w:numPr>
      </w:pPr>
      <w:r w:rsidRPr="009F57D8">
        <w:t xml:space="preserve">The submission did not present results for catch-up programs for </w:t>
      </w:r>
      <w:r w:rsidR="00D04DE7" w:rsidRPr="009F57D8">
        <w:t>Aboriginal and Torres Strait Islander adults</w:t>
      </w:r>
      <w:r w:rsidRPr="009F57D8">
        <w:t xml:space="preserve"> </w:t>
      </w:r>
      <w:r w:rsidRPr="009F57D8">
        <w:rPr>
          <w:rFonts w:cstheme="minorHAnsi"/>
        </w:rPr>
        <w:t>and MaR adults</w:t>
      </w:r>
      <w:r w:rsidRPr="009F57D8">
        <w:t xml:space="preserve">, yet they were accounted for in the financial estimates.   </w:t>
      </w:r>
    </w:p>
    <w:p w14:paraId="2FD2BF3F" w14:textId="5E1AB1A1" w:rsidR="00880586" w:rsidRPr="009F57D8" w:rsidRDefault="00F650F4">
      <w:pPr>
        <w:pStyle w:val="3-BodyText"/>
        <w:numPr>
          <w:ilvl w:val="1"/>
          <w:numId w:val="1"/>
        </w:numPr>
      </w:pPr>
      <w:bookmarkStart w:id="104" w:name="_Ref214956196"/>
      <w:r w:rsidRPr="009F57D8">
        <w:t xml:space="preserve">For non-NIP funded MaR conditions, the submission applied population specific risk factors to baseline IPD and CAP incidence rates. </w:t>
      </w:r>
      <w:r w:rsidR="00D828C6" w:rsidRPr="009F57D8">
        <w:t xml:space="preserve">21vPCV </w:t>
      </w:r>
      <w:r w:rsidRPr="009F57D8">
        <w:t xml:space="preserve">was dominant over no vaccine in adults aged 50 to 64 years with COPD and CLD. The ICER for </w:t>
      </w:r>
      <w:r w:rsidR="00D828C6" w:rsidRPr="009F57D8">
        <w:t xml:space="preserve">21vPCV </w:t>
      </w:r>
      <w:r w:rsidRPr="009F57D8">
        <w:t>in younger adults aged 18 to 49 years with CLD was $</w:t>
      </w:r>
      <w:r w:rsidR="000F01CB" w:rsidRPr="000F01CB">
        <w:t>5,000 to &lt; $15,000</w:t>
      </w:r>
      <w:r w:rsidRPr="009F57D8">
        <w:t xml:space="preserve">. The submission did not present results for adults aged 18 to 49 years with COPD, yet they were accounted for in the financial estimates.   </w:t>
      </w:r>
      <w:r w:rsidR="00FA623A" w:rsidRPr="009F57D8">
        <w:t xml:space="preserve">The more favourable results in the 50 to 64 years cohorts were driven by the higher IPD and CAP incidence risks </w:t>
      </w:r>
      <w:r w:rsidR="00092351" w:rsidRPr="009F57D8">
        <w:t xml:space="preserve">of this age group </w:t>
      </w:r>
      <w:r w:rsidR="00FA623A" w:rsidRPr="009F57D8">
        <w:t xml:space="preserve">compared to </w:t>
      </w:r>
      <w:r w:rsidR="00092351" w:rsidRPr="009F57D8">
        <w:t xml:space="preserve">the younger cohort </w:t>
      </w:r>
      <w:r w:rsidR="000B2711" w:rsidRPr="009F57D8">
        <w:t xml:space="preserve">aged </w:t>
      </w:r>
      <w:r w:rsidR="00092351" w:rsidRPr="009F57D8">
        <w:t>18 to 49 years.</w:t>
      </w:r>
      <w:r w:rsidR="009F3D14" w:rsidRPr="009F57D8">
        <w:t xml:space="preserve">  The ESC </w:t>
      </w:r>
      <w:r w:rsidR="00F65FE2" w:rsidRPr="009F57D8">
        <w:t xml:space="preserve">noted this </w:t>
      </w:r>
      <w:r w:rsidR="009F3D14" w:rsidRPr="009F57D8">
        <w:t xml:space="preserve">was a simplified approach to the question of cost-effectiveness of the proposed expansion to include COPD and CLD, </w:t>
      </w:r>
      <w:r w:rsidR="00705DAF" w:rsidRPr="009F57D8">
        <w:t xml:space="preserve">that </w:t>
      </w:r>
      <w:r w:rsidR="009F3D14" w:rsidRPr="009F57D8">
        <w:t xml:space="preserve">relied on </w:t>
      </w:r>
      <w:r w:rsidR="00F65FE2" w:rsidRPr="009F57D8">
        <w:t>estimates of</w:t>
      </w:r>
      <w:r w:rsidR="009F3D14" w:rsidRPr="009F57D8">
        <w:t xml:space="preserve"> increased risk in the proposed cohorts</w:t>
      </w:r>
      <w:r w:rsidR="00705DAF" w:rsidRPr="009F57D8">
        <w:t xml:space="preserve"> drawn from previous ATAGI advice</w:t>
      </w:r>
      <w:r w:rsidR="009F3D14" w:rsidRPr="009F57D8">
        <w:t xml:space="preserve"> (</w:t>
      </w:r>
      <w:r w:rsidR="009F3D14" w:rsidRPr="009F57D8">
        <w:rPr>
          <w:i/>
        </w:rPr>
        <w:fldChar w:fldCharType="begin"/>
      </w:r>
      <w:r w:rsidR="009F3D14" w:rsidRPr="009F57D8">
        <w:rPr>
          <w:i/>
        </w:rPr>
        <w:instrText xml:space="preserve"> REF _Ref206770501 \h </w:instrText>
      </w:r>
      <w:r w:rsidR="009F3D14" w:rsidRPr="009F57D8">
        <w:rPr>
          <w:i/>
        </w:rPr>
      </w:r>
      <w:r w:rsidR="009F3D14" w:rsidRPr="009F57D8">
        <w:rPr>
          <w:i/>
        </w:rPr>
        <w:fldChar w:fldCharType="separate"/>
      </w:r>
      <w:r w:rsidR="00581386" w:rsidRPr="009F57D8">
        <w:t xml:space="preserve">Table </w:t>
      </w:r>
      <w:r w:rsidR="00581386">
        <w:rPr>
          <w:noProof/>
        </w:rPr>
        <w:t>15</w:t>
      </w:r>
      <w:r w:rsidR="009F3D14" w:rsidRPr="009F57D8">
        <w:rPr>
          <w:i/>
        </w:rPr>
        <w:fldChar w:fldCharType="end"/>
      </w:r>
      <w:r w:rsidR="009F3D14" w:rsidRPr="009F57D8">
        <w:t>)</w:t>
      </w:r>
      <w:r w:rsidR="00705DAF" w:rsidRPr="009F57D8">
        <w:t xml:space="preserve">.  </w:t>
      </w:r>
      <w:r w:rsidR="007510A5" w:rsidRPr="009F57D8">
        <w:t xml:space="preserve">The ESC noted that cost-effectiveness scenarios reflecting these conditions resulted in ICERs as shown in </w:t>
      </w:r>
      <w:r w:rsidR="007510A5" w:rsidRPr="009F57D8">
        <w:fldChar w:fldCharType="begin"/>
      </w:r>
      <w:r w:rsidR="007510A5" w:rsidRPr="009F57D8">
        <w:instrText xml:space="preserve"> REF _Ref206770501 \h </w:instrText>
      </w:r>
      <w:r w:rsidR="00F65FE2" w:rsidRPr="009F57D8">
        <w:instrText xml:space="preserve"> \* MERGEFORMAT </w:instrText>
      </w:r>
      <w:r w:rsidR="007510A5" w:rsidRPr="009F57D8">
        <w:fldChar w:fldCharType="separate"/>
      </w:r>
      <w:r w:rsidR="00581386" w:rsidRPr="009F57D8">
        <w:t xml:space="preserve">Table </w:t>
      </w:r>
      <w:r w:rsidR="00581386">
        <w:t>15</w:t>
      </w:r>
      <w:r w:rsidR="007510A5" w:rsidRPr="009F57D8">
        <w:fldChar w:fldCharType="end"/>
      </w:r>
      <w:r w:rsidR="007510A5" w:rsidRPr="009F57D8">
        <w:t xml:space="preserve">, however </w:t>
      </w:r>
      <w:r w:rsidR="00705DAF" w:rsidRPr="009F57D8">
        <w:t xml:space="preserve">the </w:t>
      </w:r>
      <w:r w:rsidR="00E80D09" w:rsidRPr="009F57D8">
        <w:t>scenarios</w:t>
      </w:r>
      <w:r w:rsidR="00705DAF" w:rsidRPr="009F57D8">
        <w:t xml:space="preserve"> applied </w:t>
      </w:r>
      <w:r w:rsidR="007510A5" w:rsidRPr="009F57D8">
        <w:t xml:space="preserve">some optimistic </w:t>
      </w:r>
      <w:r w:rsidR="00705DAF" w:rsidRPr="009F57D8">
        <w:t xml:space="preserve">assumptions </w:t>
      </w:r>
      <w:r w:rsidR="007510A5" w:rsidRPr="009F57D8">
        <w:t>as per</w:t>
      </w:r>
      <w:r w:rsidR="00705DAF" w:rsidRPr="009F57D8">
        <w:t xml:space="preserve"> the submission base case analyses</w:t>
      </w:r>
      <w:r w:rsidR="007510A5" w:rsidRPr="009F57D8">
        <w:t>, and therefore the results should be considered with caution</w:t>
      </w:r>
      <w:r w:rsidR="00705DAF" w:rsidRPr="009F57D8">
        <w:t>.</w:t>
      </w:r>
      <w:bookmarkEnd w:id="104"/>
    </w:p>
    <w:p w14:paraId="6557F8CE" w14:textId="39B780FE" w:rsidR="00FA623A" w:rsidRPr="009F57D8" w:rsidRDefault="00FA623A" w:rsidP="00FA623A">
      <w:pPr>
        <w:pStyle w:val="TableFigureHeading"/>
      </w:pPr>
      <w:bookmarkStart w:id="105" w:name="_Ref214546927"/>
      <w:r w:rsidRPr="009F57D8">
        <w:lastRenderedPageBreak/>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16</w:t>
      </w:r>
      <w:r w:rsidR="00FA4640" w:rsidRPr="009F57D8">
        <w:fldChar w:fldCharType="end"/>
      </w:r>
      <w:bookmarkEnd w:id="105"/>
      <w:r w:rsidRPr="009F57D8">
        <w:t>: Non-funded NIP conditions in MaR population: scenario analyses</w:t>
      </w:r>
    </w:p>
    <w:tbl>
      <w:tblPr>
        <w:tblStyle w:val="TableGrid"/>
        <w:tblW w:w="5000" w:type="pct"/>
        <w:tblLook w:val="04A0" w:firstRow="1" w:lastRow="0" w:firstColumn="1" w:lastColumn="0" w:noHBand="0" w:noVBand="1"/>
        <w:tblCaption w:val="Table 16: Non-funded NIP conditions in MaR population: scenario analyses"/>
      </w:tblPr>
      <w:tblGrid>
        <w:gridCol w:w="4389"/>
        <w:gridCol w:w="1986"/>
        <w:gridCol w:w="2642"/>
      </w:tblGrid>
      <w:tr w:rsidR="00040CED" w:rsidRPr="009F57D8" w14:paraId="55E9A997" w14:textId="77777777" w:rsidTr="000D48A0">
        <w:trPr>
          <w:cantSplit/>
          <w:tblHeader/>
        </w:trPr>
        <w:tc>
          <w:tcPr>
            <w:tcW w:w="2434" w:type="pct"/>
            <w:noWrap/>
            <w:hideMark/>
          </w:tcPr>
          <w:p w14:paraId="7AF0E1AE" w14:textId="77777777" w:rsidR="00040CED" w:rsidRPr="009F57D8" w:rsidRDefault="00040CED">
            <w:pPr>
              <w:pStyle w:val="In-tableHeading"/>
              <w:rPr>
                <w:lang w:val="en-AU"/>
              </w:rPr>
            </w:pPr>
            <w:r w:rsidRPr="009F57D8">
              <w:rPr>
                <w:lang w:val="en-AU"/>
              </w:rPr>
              <w:t xml:space="preserve">Non-NIP funded Condition </w:t>
            </w:r>
          </w:p>
        </w:tc>
        <w:tc>
          <w:tcPr>
            <w:tcW w:w="1101" w:type="pct"/>
            <w:noWrap/>
            <w:hideMark/>
          </w:tcPr>
          <w:p w14:paraId="060ED12B" w14:textId="1BA9E689" w:rsidR="00040CED" w:rsidRPr="009F57D8" w:rsidRDefault="00040CED">
            <w:pPr>
              <w:pStyle w:val="In-tableHeading"/>
              <w:jc w:val="center"/>
              <w:rPr>
                <w:lang w:val="en-AU"/>
              </w:rPr>
            </w:pPr>
            <w:r w:rsidRPr="009F57D8">
              <w:rPr>
                <w:lang w:val="en-AU"/>
              </w:rPr>
              <w:t>Risk factor</w:t>
            </w:r>
          </w:p>
        </w:tc>
        <w:tc>
          <w:tcPr>
            <w:tcW w:w="1465" w:type="pct"/>
          </w:tcPr>
          <w:p w14:paraId="017B02F7" w14:textId="77777777" w:rsidR="00040CED" w:rsidRPr="009F57D8" w:rsidRDefault="00040CED">
            <w:pPr>
              <w:pStyle w:val="In-tableHeading"/>
              <w:jc w:val="center"/>
              <w:rPr>
                <w:vertAlign w:val="superscript"/>
                <w:lang w:val="en-AU"/>
              </w:rPr>
            </w:pPr>
            <w:r w:rsidRPr="009F57D8">
              <w:rPr>
                <w:lang w:val="en-AU"/>
              </w:rPr>
              <w:t>ICER ($/QALY)</w:t>
            </w:r>
            <w:r w:rsidRPr="009F57D8">
              <w:rPr>
                <w:vertAlign w:val="superscript"/>
                <w:lang w:val="en-AU"/>
              </w:rPr>
              <w:t>c</w:t>
            </w:r>
          </w:p>
        </w:tc>
      </w:tr>
      <w:tr w:rsidR="00040CED" w:rsidRPr="009F57D8" w14:paraId="3F088C9E" w14:textId="77777777" w:rsidTr="000D48A0">
        <w:trPr>
          <w:cantSplit/>
          <w:tblHeader/>
        </w:trPr>
        <w:tc>
          <w:tcPr>
            <w:tcW w:w="2434" w:type="pct"/>
            <w:noWrap/>
            <w:hideMark/>
          </w:tcPr>
          <w:p w14:paraId="001BE099" w14:textId="77777777" w:rsidR="00040CED" w:rsidRPr="009F57D8" w:rsidRDefault="00040CED">
            <w:pPr>
              <w:pStyle w:val="TableText0"/>
              <w:rPr>
                <w:b/>
                <w:bCs w:val="0"/>
              </w:rPr>
            </w:pPr>
            <w:r w:rsidRPr="009F57D8">
              <w:rPr>
                <w:b/>
                <w:bCs w:val="0"/>
              </w:rPr>
              <w:t>Adults aged 18 to 49 years</w:t>
            </w:r>
            <w:r w:rsidRPr="009F57D8">
              <w:rPr>
                <w:b/>
                <w:bCs w:val="0"/>
                <w:vertAlign w:val="superscript"/>
              </w:rPr>
              <w:t>a</w:t>
            </w:r>
            <w:r w:rsidRPr="009F57D8">
              <w:rPr>
                <w:b/>
                <w:bCs w:val="0"/>
              </w:rPr>
              <w:t xml:space="preserve"> </w:t>
            </w:r>
          </w:p>
        </w:tc>
        <w:tc>
          <w:tcPr>
            <w:tcW w:w="1101" w:type="pct"/>
            <w:noWrap/>
          </w:tcPr>
          <w:p w14:paraId="4883FFC9" w14:textId="6714024F" w:rsidR="00040CED" w:rsidRPr="009F57D8" w:rsidRDefault="00040CED">
            <w:pPr>
              <w:pStyle w:val="TableText0"/>
              <w:jc w:val="center"/>
            </w:pPr>
          </w:p>
        </w:tc>
        <w:tc>
          <w:tcPr>
            <w:tcW w:w="1465" w:type="pct"/>
          </w:tcPr>
          <w:p w14:paraId="0AF89053" w14:textId="77777777" w:rsidR="00040CED" w:rsidRPr="009F57D8" w:rsidRDefault="00040CED">
            <w:pPr>
              <w:pStyle w:val="TableText0"/>
              <w:jc w:val="center"/>
            </w:pPr>
          </w:p>
        </w:tc>
      </w:tr>
      <w:tr w:rsidR="00040CED" w:rsidRPr="009F57D8" w14:paraId="5130C952" w14:textId="77777777" w:rsidTr="000D48A0">
        <w:trPr>
          <w:cantSplit/>
          <w:tblHeader/>
        </w:trPr>
        <w:tc>
          <w:tcPr>
            <w:tcW w:w="2434" w:type="pct"/>
            <w:noWrap/>
            <w:hideMark/>
          </w:tcPr>
          <w:p w14:paraId="460752C1" w14:textId="77777777" w:rsidR="00040CED" w:rsidRPr="009F57D8" w:rsidRDefault="00040CED">
            <w:pPr>
              <w:pStyle w:val="TableText0"/>
            </w:pPr>
            <w:r w:rsidRPr="009F57D8">
              <w:t xml:space="preserve">Chronic liver disease </w:t>
            </w:r>
          </w:p>
        </w:tc>
        <w:tc>
          <w:tcPr>
            <w:tcW w:w="1101" w:type="pct"/>
            <w:noWrap/>
            <w:hideMark/>
          </w:tcPr>
          <w:p w14:paraId="21FE8949" w14:textId="056D8E88" w:rsidR="00040CED" w:rsidRPr="009F57D8" w:rsidRDefault="00040CED">
            <w:pPr>
              <w:pStyle w:val="TableText0"/>
              <w:jc w:val="center"/>
            </w:pPr>
            <w:r w:rsidRPr="009F57D8">
              <w:t>8.4</w:t>
            </w:r>
          </w:p>
        </w:tc>
        <w:tc>
          <w:tcPr>
            <w:tcW w:w="1465" w:type="pct"/>
          </w:tcPr>
          <w:p w14:paraId="3CE580D3" w14:textId="480CBEA5" w:rsidR="00040CED" w:rsidRPr="009F57D8" w:rsidRDefault="00040CED">
            <w:pPr>
              <w:pStyle w:val="TableText0"/>
              <w:jc w:val="center"/>
            </w:pPr>
            <w:r w:rsidRPr="009F57D8">
              <w:t>$</w:t>
            </w:r>
            <w:r w:rsidR="00FD08E9" w:rsidRPr="00FD08E9">
              <w:rPr>
                <w:highlight w:val="black"/>
              </w:rPr>
              <w:t>&amp;&amp;&amp;&amp;</w:t>
            </w:r>
          </w:p>
        </w:tc>
      </w:tr>
      <w:tr w:rsidR="00040CED" w:rsidRPr="009F57D8" w14:paraId="382148DF" w14:textId="77777777" w:rsidTr="000D48A0">
        <w:trPr>
          <w:cantSplit/>
          <w:tblHeader/>
        </w:trPr>
        <w:tc>
          <w:tcPr>
            <w:tcW w:w="2434" w:type="pct"/>
            <w:noWrap/>
            <w:hideMark/>
          </w:tcPr>
          <w:p w14:paraId="57A8210F" w14:textId="77777777" w:rsidR="00040CED" w:rsidRPr="009F57D8" w:rsidRDefault="00040CED">
            <w:pPr>
              <w:pStyle w:val="TableText0"/>
              <w:rPr>
                <w:b/>
                <w:bCs w:val="0"/>
              </w:rPr>
            </w:pPr>
            <w:r w:rsidRPr="009F57D8">
              <w:rPr>
                <w:b/>
                <w:bCs w:val="0"/>
              </w:rPr>
              <w:t>Adults aged 50 to 64 years</w:t>
            </w:r>
            <w:r w:rsidRPr="009F57D8">
              <w:rPr>
                <w:b/>
                <w:bCs w:val="0"/>
                <w:vertAlign w:val="superscript"/>
              </w:rPr>
              <w:t>b</w:t>
            </w:r>
          </w:p>
        </w:tc>
        <w:tc>
          <w:tcPr>
            <w:tcW w:w="1101" w:type="pct"/>
            <w:noWrap/>
          </w:tcPr>
          <w:p w14:paraId="68092738" w14:textId="51AC8345" w:rsidR="00040CED" w:rsidRPr="009F57D8" w:rsidRDefault="00040CED">
            <w:pPr>
              <w:pStyle w:val="TableText0"/>
              <w:jc w:val="center"/>
            </w:pPr>
          </w:p>
        </w:tc>
        <w:tc>
          <w:tcPr>
            <w:tcW w:w="1465" w:type="pct"/>
          </w:tcPr>
          <w:p w14:paraId="42328954" w14:textId="77777777" w:rsidR="00040CED" w:rsidRPr="009F57D8" w:rsidRDefault="00040CED">
            <w:pPr>
              <w:pStyle w:val="TableText0"/>
              <w:jc w:val="center"/>
            </w:pPr>
          </w:p>
        </w:tc>
      </w:tr>
      <w:tr w:rsidR="00040CED" w:rsidRPr="009F57D8" w14:paraId="3E4D176C" w14:textId="77777777" w:rsidTr="000D48A0">
        <w:trPr>
          <w:cantSplit/>
          <w:tblHeader/>
        </w:trPr>
        <w:tc>
          <w:tcPr>
            <w:tcW w:w="2434" w:type="pct"/>
            <w:noWrap/>
            <w:hideMark/>
          </w:tcPr>
          <w:p w14:paraId="6FF56881" w14:textId="3AE9387B" w:rsidR="00040CED" w:rsidRPr="009F57D8" w:rsidRDefault="00040CED">
            <w:pPr>
              <w:pStyle w:val="TableText0"/>
            </w:pPr>
            <w:r w:rsidRPr="009F57D8">
              <w:t xml:space="preserve">Chronic obstructive pulmonary disease </w:t>
            </w:r>
          </w:p>
        </w:tc>
        <w:tc>
          <w:tcPr>
            <w:tcW w:w="1101" w:type="pct"/>
            <w:noWrap/>
            <w:hideMark/>
          </w:tcPr>
          <w:p w14:paraId="34B7005E" w14:textId="19211B01" w:rsidR="00040CED" w:rsidRPr="009F57D8" w:rsidRDefault="00040CED">
            <w:pPr>
              <w:pStyle w:val="TableText0"/>
              <w:jc w:val="center"/>
            </w:pPr>
            <w:r w:rsidRPr="009F57D8">
              <w:t>3.8</w:t>
            </w:r>
          </w:p>
        </w:tc>
        <w:tc>
          <w:tcPr>
            <w:tcW w:w="1465" w:type="pct"/>
          </w:tcPr>
          <w:p w14:paraId="6B95F861" w14:textId="77777777" w:rsidR="00040CED" w:rsidRPr="009F57D8" w:rsidRDefault="00040CED">
            <w:pPr>
              <w:pStyle w:val="TableText0"/>
              <w:jc w:val="center"/>
            </w:pPr>
            <w:r w:rsidRPr="009F57D8">
              <w:t>Dominant</w:t>
            </w:r>
          </w:p>
        </w:tc>
      </w:tr>
      <w:tr w:rsidR="00040CED" w:rsidRPr="009F57D8" w14:paraId="6414F4BA" w14:textId="77777777" w:rsidTr="000D48A0">
        <w:trPr>
          <w:cantSplit/>
          <w:tblHeader/>
        </w:trPr>
        <w:tc>
          <w:tcPr>
            <w:tcW w:w="2434" w:type="pct"/>
            <w:noWrap/>
            <w:hideMark/>
          </w:tcPr>
          <w:p w14:paraId="2E886A12" w14:textId="77777777" w:rsidR="00040CED" w:rsidRPr="009F57D8" w:rsidRDefault="00040CED">
            <w:pPr>
              <w:pStyle w:val="TableText0"/>
            </w:pPr>
            <w:r w:rsidRPr="009F57D8">
              <w:t>Chronic liver disease</w:t>
            </w:r>
          </w:p>
        </w:tc>
        <w:tc>
          <w:tcPr>
            <w:tcW w:w="1101" w:type="pct"/>
            <w:noWrap/>
            <w:hideMark/>
          </w:tcPr>
          <w:p w14:paraId="4259F43A" w14:textId="69ABC996" w:rsidR="00040CED" w:rsidRPr="009F57D8" w:rsidRDefault="00040CED">
            <w:pPr>
              <w:pStyle w:val="TableText0"/>
              <w:jc w:val="center"/>
            </w:pPr>
            <w:r w:rsidRPr="009F57D8">
              <w:t>3.2</w:t>
            </w:r>
          </w:p>
        </w:tc>
        <w:tc>
          <w:tcPr>
            <w:tcW w:w="1465" w:type="pct"/>
          </w:tcPr>
          <w:p w14:paraId="0FFB3E0C" w14:textId="77777777" w:rsidR="00040CED" w:rsidRPr="009F57D8" w:rsidRDefault="00040CED">
            <w:pPr>
              <w:pStyle w:val="TableText0"/>
              <w:jc w:val="center"/>
            </w:pPr>
            <w:r w:rsidRPr="009F57D8">
              <w:t>Dominant</w:t>
            </w:r>
          </w:p>
        </w:tc>
      </w:tr>
    </w:tbl>
    <w:p w14:paraId="12FD771D" w14:textId="77777777" w:rsidR="00FA623A" w:rsidRPr="009F57D8" w:rsidRDefault="00FA623A" w:rsidP="000E6454">
      <w:pPr>
        <w:pStyle w:val="TableFigureFooter"/>
      </w:pPr>
      <w:r w:rsidRPr="009F57D8">
        <w:t xml:space="preserve">Source: Table 3.8-7, p210 of the submission. </w:t>
      </w:r>
    </w:p>
    <w:p w14:paraId="20CF4A76" w14:textId="78BE7180" w:rsidR="00FA623A" w:rsidRPr="009F57D8" w:rsidRDefault="00FA623A" w:rsidP="000E6454">
      <w:pPr>
        <w:pStyle w:val="TableFigureFooter"/>
      </w:pPr>
      <w:r w:rsidRPr="009F57D8">
        <w:t xml:space="preserve">ICER = incremental cost-effectiveness ratio; MaR = medically at-risk; NIP = National Immunization Program; QALY = quality adjusted life year. </w:t>
      </w:r>
    </w:p>
    <w:p w14:paraId="4B6849D0" w14:textId="77777777" w:rsidR="00FA623A" w:rsidRPr="009F57D8" w:rsidRDefault="00FA623A" w:rsidP="000E6454">
      <w:pPr>
        <w:pStyle w:val="TableFigureFooter"/>
      </w:pPr>
      <w:r w:rsidRPr="009F57D8">
        <w:rPr>
          <w:vertAlign w:val="superscript"/>
        </w:rPr>
        <w:t>a</w:t>
      </w:r>
      <w:r w:rsidRPr="009F57D8">
        <w:t xml:space="preserve"> Age at vaccination: 20 years; Time horizon: 30 years.</w:t>
      </w:r>
    </w:p>
    <w:p w14:paraId="7AE48C32" w14:textId="77777777" w:rsidR="00FA623A" w:rsidRPr="009F57D8" w:rsidRDefault="00FA623A" w:rsidP="000E6454">
      <w:pPr>
        <w:pStyle w:val="TableFigureFooter"/>
      </w:pPr>
      <w:r w:rsidRPr="009F57D8">
        <w:rPr>
          <w:vertAlign w:val="superscript"/>
        </w:rPr>
        <w:t>b</w:t>
      </w:r>
      <w:r w:rsidRPr="009F57D8">
        <w:t xml:space="preserve"> Age at vaccination: 50 years; Time horizon: 15 years.</w:t>
      </w:r>
    </w:p>
    <w:p w14:paraId="09BA8F67" w14:textId="49742D9C" w:rsidR="00FB27D1" w:rsidRDefault="00FA623A" w:rsidP="000E6454">
      <w:pPr>
        <w:pStyle w:val="TableFigureFooter"/>
        <w:rPr>
          <w:i/>
        </w:rPr>
      </w:pPr>
      <w:r w:rsidRPr="009F57D8">
        <w:rPr>
          <w:vertAlign w:val="superscript"/>
        </w:rPr>
        <w:t>c</w:t>
      </w:r>
      <w:r w:rsidRPr="009F57D8">
        <w:t xml:space="preserve"> </w:t>
      </w:r>
      <w:r w:rsidR="00F24018" w:rsidRPr="009F57D8">
        <w:t xml:space="preserve">Applies proposed price for 21vPCV in </w:t>
      </w:r>
      <w:r w:rsidRPr="009F57D8">
        <w:t xml:space="preserve">MaR </w:t>
      </w:r>
      <w:r w:rsidR="00F24018" w:rsidRPr="009F57D8">
        <w:t xml:space="preserve">of </w:t>
      </w:r>
      <w:r w:rsidRPr="009F57D8">
        <w:t>$</w:t>
      </w:r>
      <w:r w:rsidR="00FD08E9" w:rsidRPr="00FD08E9">
        <w:rPr>
          <w:highlight w:val="black"/>
        </w:rPr>
        <w:t>&amp;&amp;&amp;&amp;</w:t>
      </w:r>
      <w:r w:rsidR="00F24018" w:rsidRPr="009F57D8">
        <w:t xml:space="preserve"> per dose</w:t>
      </w:r>
      <w:r w:rsidRPr="009F57D8">
        <w:t>.</w:t>
      </w:r>
      <w:r w:rsidR="00FB27D1" w:rsidRPr="00FB27D1">
        <w:rPr>
          <w:i/>
        </w:rPr>
        <w:t xml:space="preserve"> </w:t>
      </w:r>
    </w:p>
    <w:p w14:paraId="342D68D4" w14:textId="51C18FE8" w:rsidR="00FB27D1" w:rsidRPr="00FB27D1" w:rsidRDefault="00FB27D1" w:rsidP="000E6454">
      <w:pPr>
        <w:pStyle w:val="TableFigureFooter"/>
      </w:pPr>
      <w:r w:rsidRPr="00FB27D1">
        <w:t xml:space="preserve">The redacted values correspond to the following ranges: </w:t>
      </w:r>
    </w:p>
    <w:p w14:paraId="2FF89D5D" w14:textId="110461E5" w:rsidR="00FA623A" w:rsidRPr="009F57D8" w:rsidRDefault="00FB27D1" w:rsidP="00FA623A">
      <w:r w:rsidRPr="00FB27D1">
        <w:rPr>
          <w:rFonts w:ascii="Arial Narrow" w:hAnsi="Arial Narrow"/>
          <w:i/>
          <w:snapToGrid w:val="0"/>
          <w:sz w:val="18"/>
          <w:szCs w:val="22"/>
          <w:vertAlign w:val="superscript"/>
        </w:rPr>
        <w:t>1</w:t>
      </w:r>
      <w:r w:rsidRPr="00FB27D1">
        <w:rPr>
          <w:rFonts w:ascii="Arial Narrow" w:hAnsi="Arial Narrow"/>
          <w:i/>
          <w:snapToGrid w:val="0"/>
          <w:sz w:val="18"/>
          <w:szCs w:val="22"/>
        </w:rPr>
        <w:t xml:space="preserve"> </w:t>
      </w:r>
      <w:r w:rsidR="00A26A61" w:rsidRPr="00A26A61">
        <w:rPr>
          <w:rFonts w:ascii="Arial Narrow" w:hAnsi="Arial Narrow"/>
          <w:i/>
          <w:snapToGrid w:val="0"/>
          <w:sz w:val="18"/>
          <w:szCs w:val="22"/>
        </w:rPr>
        <w:t>$5,000 to &lt; $15,000</w:t>
      </w:r>
    </w:p>
    <w:p w14:paraId="0418FCA4" w14:textId="77777777" w:rsidR="00F650F4" w:rsidRPr="009F57D8" w:rsidRDefault="00F650F4" w:rsidP="000925DD">
      <w:pPr>
        <w:pStyle w:val="4-SubsectionHeading"/>
      </w:pPr>
      <w:bookmarkStart w:id="106" w:name="_Toc177566188"/>
      <w:bookmarkStart w:id="107" w:name="_Toc207113564"/>
      <w:bookmarkStart w:id="108" w:name="_Toc209004911"/>
      <w:bookmarkStart w:id="109" w:name="_Toc22897646"/>
      <w:r w:rsidRPr="009F57D8">
        <w:t>Cost-minimisation approach</w:t>
      </w:r>
      <w:bookmarkEnd w:id="106"/>
      <w:bookmarkEnd w:id="107"/>
      <w:bookmarkEnd w:id="108"/>
    </w:p>
    <w:p w14:paraId="4DA0C7AA" w14:textId="28D2D870" w:rsidR="00F650F4" w:rsidRPr="009F57D8" w:rsidRDefault="00F650F4">
      <w:pPr>
        <w:pStyle w:val="3-BodyText"/>
        <w:numPr>
          <w:ilvl w:val="1"/>
          <w:numId w:val="1"/>
        </w:numPr>
      </w:pPr>
      <w:r w:rsidRPr="009F57D8">
        <w:t xml:space="preserve">On the basis that NNDSS data 2016-2019 for </w:t>
      </w:r>
      <w:r w:rsidR="00D04DE7" w:rsidRPr="009F57D8">
        <w:t>Aboriginal and Torres Strait Islander adults</w:t>
      </w:r>
      <w:r w:rsidRPr="009F57D8">
        <w:t xml:space="preserve"> 25 to 49 years showed </w:t>
      </w:r>
      <w:r w:rsidR="00A65674" w:rsidRPr="009F57D8">
        <w:t>similar</w:t>
      </w:r>
      <w:r w:rsidRPr="009F57D8">
        <w:t xml:space="preserve"> disease coverage for serotypes in </w:t>
      </w:r>
      <w:r w:rsidR="00025051" w:rsidRPr="009F57D8">
        <w:t xml:space="preserve">21vPCV </w:t>
      </w:r>
      <w:r w:rsidRPr="009F57D8">
        <w:t>and 20vPCV (</w:t>
      </w:r>
      <w:r w:rsidRPr="009F57D8">
        <w:fldChar w:fldCharType="begin"/>
      </w:r>
      <w:r w:rsidRPr="009F57D8">
        <w:instrText xml:space="preserve"> REF _Ref206770930 \h </w:instrText>
      </w:r>
      <w:r w:rsidRPr="009F57D8">
        <w:fldChar w:fldCharType="separate"/>
      </w:r>
      <w:r w:rsidR="00581386" w:rsidRPr="009F57D8">
        <w:t xml:space="preserve">Table </w:t>
      </w:r>
      <w:r w:rsidR="00581386">
        <w:rPr>
          <w:noProof/>
        </w:rPr>
        <w:t>17</w:t>
      </w:r>
      <w:r w:rsidRPr="009F57D8">
        <w:fldChar w:fldCharType="end"/>
      </w:r>
      <w:r w:rsidRPr="009F57D8">
        <w:t xml:space="preserve">), the submission presented a CMA for </w:t>
      </w:r>
      <w:r w:rsidR="00025051" w:rsidRPr="009F57D8">
        <w:t>21vPCV</w:t>
      </w:r>
      <w:r w:rsidR="00025051" w:rsidRPr="009F57D8" w:rsidDel="00025051">
        <w:t xml:space="preserve"> </w:t>
      </w:r>
      <w:r w:rsidRPr="009F57D8">
        <w:t xml:space="preserve"> to 20vPCV</w:t>
      </w:r>
      <w:r w:rsidR="002B081D" w:rsidRPr="009F57D8">
        <w:t xml:space="preserve"> for the proposes listing for </w:t>
      </w:r>
      <w:r w:rsidR="00D04DE7" w:rsidRPr="009F57D8">
        <w:t>Aboriginal and Torres Strait Islander adults</w:t>
      </w:r>
      <w:r w:rsidR="002B081D" w:rsidRPr="009F57D8">
        <w:t xml:space="preserve"> 25 to 49 years</w:t>
      </w:r>
      <w:r w:rsidRPr="009F57D8">
        <w:t xml:space="preserve">. </w:t>
      </w:r>
      <w:r w:rsidR="00D67EBC" w:rsidRPr="009F57D8">
        <w:t>The submission requested a price of $</w:t>
      </w:r>
      <w:r w:rsidR="00FD08E9" w:rsidRPr="00FD08E9">
        <w:rPr>
          <w:highlight w:val="black"/>
        </w:rPr>
        <w:t>&amp;&amp;&amp;&amp;</w:t>
      </w:r>
      <w:r w:rsidR="00D67EBC" w:rsidRPr="009F57D8">
        <w:t xml:space="preserve"> per dose for this population.</w:t>
      </w:r>
    </w:p>
    <w:p w14:paraId="2C18A56B" w14:textId="32141F5D" w:rsidR="00F650F4" w:rsidRPr="009F57D8" w:rsidRDefault="00F650F4" w:rsidP="00F650F4">
      <w:pPr>
        <w:pStyle w:val="Caption"/>
      </w:pPr>
      <w:bookmarkStart w:id="110" w:name="_Ref206770930"/>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17</w:t>
      </w:r>
      <w:r w:rsidR="00FA4640" w:rsidRPr="009F57D8">
        <w:fldChar w:fldCharType="end"/>
      </w:r>
      <w:bookmarkEnd w:id="110"/>
      <w:r w:rsidRPr="009F57D8">
        <w:t xml:space="preserve">: ST disease coverage in </w:t>
      </w:r>
      <w:r w:rsidR="00025051" w:rsidRPr="009F57D8">
        <w:t>21vPCV</w:t>
      </w:r>
      <w:r w:rsidRPr="009F57D8">
        <w:t xml:space="preserve"> vs. 20vPCV for </w:t>
      </w:r>
      <w:r w:rsidR="00D04DE7" w:rsidRPr="009F57D8">
        <w:t>Aboriginal and Torres Strait Islander adults</w:t>
      </w:r>
      <w:r w:rsidRPr="009F57D8">
        <w:t xml:space="preserve"> 25 to 49 years</w:t>
      </w:r>
    </w:p>
    <w:tbl>
      <w:tblPr>
        <w:tblStyle w:val="TableGrid"/>
        <w:tblW w:w="5000" w:type="pct"/>
        <w:tblLook w:val="04A0" w:firstRow="1" w:lastRow="0" w:firstColumn="1" w:lastColumn="0" w:noHBand="0" w:noVBand="1"/>
        <w:tblCaption w:val="Table 17: ST disease coverage in 21vPCV vs. 20vPCV for Aboriginal and Torres Strait Islander adults 25 to 49 years"/>
      </w:tblPr>
      <w:tblGrid>
        <w:gridCol w:w="3998"/>
        <w:gridCol w:w="5019"/>
      </w:tblGrid>
      <w:tr w:rsidR="00F650F4" w:rsidRPr="009F57D8" w14:paraId="7ECB5F09" w14:textId="77777777" w:rsidTr="000D48A0">
        <w:trPr>
          <w:cantSplit/>
          <w:tblHeader/>
        </w:trPr>
        <w:tc>
          <w:tcPr>
            <w:tcW w:w="2217" w:type="pct"/>
            <w:vAlign w:val="center"/>
            <w:hideMark/>
          </w:tcPr>
          <w:p w14:paraId="488EB97C" w14:textId="77777777" w:rsidR="00F650F4" w:rsidRPr="009F57D8" w:rsidRDefault="00F650F4">
            <w:pPr>
              <w:pStyle w:val="TableText0"/>
              <w:jc w:val="center"/>
              <w:rPr>
                <w:b/>
                <w:bCs w:val="0"/>
              </w:rPr>
            </w:pPr>
            <w:r w:rsidRPr="009F57D8">
              <w:rPr>
                <w:b/>
                <w:bCs w:val="0"/>
              </w:rPr>
              <w:t>Vaccine</w:t>
            </w:r>
          </w:p>
        </w:tc>
        <w:tc>
          <w:tcPr>
            <w:tcW w:w="2783" w:type="pct"/>
            <w:vAlign w:val="center"/>
            <w:hideMark/>
          </w:tcPr>
          <w:p w14:paraId="266EAC0E" w14:textId="77777777" w:rsidR="00F650F4" w:rsidRPr="009F57D8" w:rsidRDefault="00F650F4">
            <w:pPr>
              <w:pStyle w:val="TableText0"/>
              <w:jc w:val="center"/>
              <w:rPr>
                <w:b/>
                <w:bCs w:val="0"/>
              </w:rPr>
            </w:pPr>
            <w:r w:rsidRPr="009F57D8">
              <w:rPr>
                <w:b/>
                <w:bCs w:val="0"/>
              </w:rPr>
              <w:t>VT serotype coverage % (NNDSS 2016-2019)</w:t>
            </w:r>
          </w:p>
        </w:tc>
      </w:tr>
      <w:tr w:rsidR="00F650F4" w:rsidRPr="009F57D8" w14:paraId="0CF9E2FD" w14:textId="77777777" w:rsidTr="000D48A0">
        <w:trPr>
          <w:cantSplit/>
          <w:tblHeader/>
        </w:trPr>
        <w:tc>
          <w:tcPr>
            <w:tcW w:w="2217" w:type="pct"/>
            <w:vAlign w:val="center"/>
            <w:hideMark/>
          </w:tcPr>
          <w:p w14:paraId="5B09E72F" w14:textId="77777777" w:rsidR="00F650F4" w:rsidRPr="009F57D8" w:rsidRDefault="00F650F4">
            <w:pPr>
              <w:pStyle w:val="TableText0"/>
              <w:jc w:val="center"/>
            </w:pPr>
            <w:r w:rsidRPr="009F57D8">
              <w:t>20vPCV</w:t>
            </w:r>
          </w:p>
        </w:tc>
        <w:tc>
          <w:tcPr>
            <w:tcW w:w="2783" w:type="pct"/>
            <w:vAlign w:val="center"/>
            <w:hideMark/>
          </w:tcPr>
          <w:p w14:paraId="25F6ED49" w14:textId="77777777" w:rsidR="00F650F4" w:rsidRPr="009F57D8" w:rsidRDefault="00F650F4">
            <w:pPr>
              <w:pStyle w:val="TableText0"/>
              <w:jc w:val="center"/>
            </w:pPr>
            <w:r w:rsidRPr="009F57D8">
              <w:t>67.0%</w:t>
            </w:r>
          </w:p>
        </w:tc>
      </w:tr>
      <w:tr w:rsidR="00F650F4" w:rsidRPr="009F57D8" w14:paraId="7504FB61" w14:textId="77777777" w:rsidTr="000D48A0">
        <w:trPr>
          <w:cantSplit/>
          <w:tblHeader/>
        </w:trPr>
        <w:tc>
          <w:tcPr>
            <w:tcW w:w="2217" w:type="pct"/>
            <w:vAlign w:val="center"/>
            <w:hideMark/>
          </w:tcPr>
          <w:p w14:paraId="6985B2BD" w14:textId="5BBCEB31" w:rsidR="00F650F4" w:rsidRPr="009F57D8" w:rsidRDefault="00025051">
            <w:pPr>
              <w:pStyle w:val="TableText0"/>
              <w:jc w:val="center"/>
            </w:pPr>
            <w:r w:rsidRPr="009F57D8">
              <w:t>21vPCV</w:t>
            </w:r>
          </w:p>
        </w:tc>
        <w:tc>
          <w:tcPr>
            <w:tcW w:w="2783" w:type="pct"/>
            <w:vAlign w:val="center"/>
            <w:hideMark/>
          </w:tcPr>
          <w:p w14:paraId="4926EAA8" w14:textId="77777777" w:rsidR="00F650F4" w:rsidRPr="009F57D8" w:rsidRDefault="00F650F4">
            <w:pPr>
              <w:pStyle w:val="TableText0"/>
              <w:jc w:val="center"/>
            </w:pPr>
            <w:r w:rsidRPr="009F57D8">
              <w:t>66.7%</w:t>
            </w:r>
          </w:p>
        </w:tc>
      </w:tr>
    </w:tbl>
    <w:p w14:paraId="5B2CBBF6" w14:textId="77777777" w:rsidR="00F650F4" w:rsidRPr="009F57D8" w:rsidRDefault="00F650F4" w:rsidP="000E6454">
      <w:pPr>
        <w:pStyle w:val="TableFigureFooter"/>
      </w:pPr>
      <w:r w:rsidRPr="009F57D8">
        <w:t>Source: Table 3.8-6, p209 of the submission.</w:t>
      </w:r>
    </w:p>
    <w:p w14:paraId="5E33B2CB" w14:textId="2DE7CC87" w:rsidR="00F650F4" w:rsidRPr="009F57D8" w:rsidRDefault="00F650F4" w:rsidP="000E6454">
      <w:pPr>
        <w:pStyle w:val="TableFigureFooter"/>
        <w:rPr>
          <w:rFonts w:eastAsia="MS PGothic"/>
          <w:lang w:eastAsia="en-US"/>
        </w:rPr>
      </w:pPr>
      <w:r w:rsidRPr="009F57D8">
        <w:t xml:space="preserve">20vPCV = 20-valent pneumococcal conjugate vaccine; NNDSS = National Notifiable Diseases Surveillance System; PCV = pneumococcal conjugate vaccine; ST = serotype; VT = vaccine type; </w:t>
      </w:r>
      <w:r w:rsidR="00F24018" w:rsidRPr="009F57D8">
        <w:t>21vPCV</w:t>
      </w:r>
      <w:r w:rsidRPr="009F57D8">
        <w:rPr>
          <w:rFonts w:eastAsia="MS PGothic"/>
          <w:lang w:eastAsia="en-US"/>
        </w:rPr>
        <w:t xml:space="preserve"> = 21-valent pneumococcal conjugate vaccine. </w:t>
      </w:r>
    </w:p>
    <w:p w14:paraId="005EFB34" w14:textId="3B96985D" w:rsidR="00F650F4" w:rsidRPr="009F57D8" w:rsidRDefault="00F650F4" w:rsidP="00F650F4">
      <w:pPr>
        <w:pStyle w:val="3-BodyText"/>
        <w:numPr>
          <w:ilvl w:val="1"/>
          <w:numId w:val="1"/>
        </w:numPr>
      </w:pPr>
      <w:bookmarkStart w:id="111" w:name="_Ref176897063"/>
      <w:bookmarkStart w:id="112" w:name="_Hlk208564327"/>
      <w:r w:rsidRPr="009F57D8">
        <w:t xml:space="preserve">The submission proposed that </w:t>
      </w:r>
      <w:r w:rsidR="00F632B7" w:rsidRPr="009F57D8">
        <w:t xml:space="preserve">1 </w:t>
      </w:r>
      <w:r w:rsidRPr="009F57D8">
        <w:t xml:space="preserve">dose of </w:t>
      </w:r>
      <w:r w:rsidR="00025051" w:rsidRPr="009F57D8">
        <w:t>21</w:t>
      </w:r>
      <w:r w:rsidR="004C21FB" w:rsidRPr="009F57D8">
        <w:t>vPCV</w:t>
      </w:r>
      <w:r w:rsidR="004C21FB" w:rsidRPr="009F57D8" w:rsidDel="00025051">
        <w:t xml:space="preserve"> </w:t>
      </w:r>
      <w:r w:rsidR="004C21FB" w:rsidRPr="009F57D8">
        <w:t>was</w:t>
      </w:r>
      <w:r w:rsidRPr="009F57D8">
        <w:t xml:space="preserve"> therapeutically equivalent to </w:t>
      </w:r>
      <w:r w:rsidR="00F632B7" w:rsidRPr="009F57D8">
        <w:t xml:space="preserve">1 </w:t>
      </w:r>
      <w:r w:rsidRPr="009F57D8">
        <w:t xml:space="preserve">dose of 20vPCV in Indigenous adults 25 - 49 years. The key components and assumptions used in the CMA are described in </w:t>
      </w:r>
      <w:r w:rsidRPr="009F57D8">
        <w:fldChar w:fldCharType="begin"/>
      </w:r>
      <w:r w:rsidRPr="009F57D8">
        <w:instrText xml:space="preserve"> REF _Ref206770997 \h </w:instrText>
      </w:r>
      <w:r w:rsidR="002B5E57" w:rsidRPr="009F57D8">
        <w:instrText xml:space="preserve"> \* MERGEFORMAT </w:instrText>
      </w:r>
      <w:r w:rsidRPr="009F57D8">
        <w:fldChar w:fldCharType="separate"/>
      </w:r>
      <w:r w:rsidR="00581386" w:rsidRPr="009F57D8">
        <w:t xml:space="preserve">Table </w:t>
      </w:r>
      <w:r w:rsidR="00581386">
        <w:t>18</w:t>
      </w:r>
      <w:r w:rsidRPr="009F57D8">
        <w:fldChar w:fldCharType="end"/>
      </w:r>
      <w:r w:rsidRPr="009F57D8">
        <w:t>.</w:t>
      </w:r>
      <w:bookmarkEnd w:id="111"/>
    </w:p>
    <w:bookmarkEnd w:id="112"/>
    <w:p w14:paraId="2E220170" w14:textId="77777777" w:rsidR="00DE03DC" w:rsidRPr="009F57D8" w:rsidRDefault="00DE03DC" w:rsidP="00DE03DC">
      <w:pPr>
        <w:pStyle w:val="3-BodyText"/>
        <w:numPr>
          <w:ilvl w:val="0"/>
          <w:numId w:val="0"/>
        </w:numPr>
        <w:ind w:left="720"/>
      </w:pPr>
    </w:p>
    <w:p w14:paraId="56D7AB1E" w14:textId="5278FF6D" w:rsidR="00F650F4" w:rsidRPr="009F57D8" w:rsidRDefault="00F650F4" w:rsidP="00F650F4">
      <w:pPr>
        <w:pStyle w:val="Caption"/>
      </w:pPr>
      <w:bookmarkStart w:id="113" w:name="_Ref206770997"/>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18</w:t>
      </w:r>
      <w:r w:rsidR="00FA4640" w:rsidRPr="009F57D8">
        <w:fldChar w:fldCharType="end"/>
      </w:r>
      <w:bookmarkEnd w:id="113"/>
      <w:r w:rsidRPr="009F57D8">
        <w:t>: 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Key components and assumptions of the cost-minimisation approach"/>
      </w:tblPr>
      <w:tblGrid>
        <w:gridCol w:w="2613"/>
        <w:gridCol w:w="6404"/>
      </w:tblGrid>
      <w:tr w:rsidR="00F650F4" w:rsidRPr="009F57D8" w14:paraId="73858F85" w14:textId="77777777" w:rsidTr="000D48A0">
        <w:trPr>
          <w:cantSplit/>
          <w:tblHeader/>
        </w:trPr>
        <w:tc>
          <w:tcPr>
            <w:tcW w:w="1449" w:type="pct"/>
            <w:vAlign w:val="center"/>
          </w:tcPr>
          <w:p w14:paraId="2ACC84B4" w14:textId="77777777" w:rsidR="00F650F4" w:rsidRPr="009F57D8" w:rsidRDefault="00F650F4">
            <w:pPr>
              <w:pStyle w:val="TableText0"/>
              <w:jc w:val="center"/>
              <w:rPr>
                <w:b/>
                <w:bCs w:val="0"/>
              </w:rPr>
            </w:pPr>
            <w:r w:rsidRPr="009F57D8">
              <w:rPr>
                <w:b/>
                <w:bCs w:val="0"/>
              </w:rPr>
              <w:t>Component</w:t>
            </w:r>
          </w:p>
        </w:tc>
        <w:tc>
          <w:tcPr>
            <w:tcW w:w="3551" w:type="pct"/>
            <w:vAlign w:val="center"/>
          </w:tcPr>
          <w:p w14:paraId="030BB759" w14:textId="77777777" w:rsidR="00F650F4" w:rsidRPr="009F57D8" w:rsidRDefault="00F650F4">
            <w:pPr>
              <w:pStyle w:val="TableText0"/>
              <w:jc w:val="center"/>
              <w:rPr>
                <w:b/>
                <w:bCs w:val="0"/>
              </w:rPr>
            </w:pPr>
            <w:r w:rsidRPr="009F57D8">
              <w:rPr>
                <w:b/>
                <w:bCs w:val="0"/>
              </w:rPr>
              <w:t>Claim or assumption</w:t>
            </w:r>
          </w:p>
        </w:tc>
      </w:tr>
      <w:tr w:rsidR="00F650F4" w:rsidRPr="009F57D8" w14:paraId="6D3AD0EF" w14:textId="77777777" w:rsidTr="000D48A0">
        <w:trPr>
          <w:cantSplit/>
          <w:tblHeader/>
        </w:trPr>
        <w:tc>
          <w:tcPr>
            <w:tcW w:w="1449" w:type="pct"/>
            <w:vAlign w:val="center"/>
          </w:tcPr>
          <w:p w14:paraId="65DFD861" w14:textId="77777777" w:rsidR="00F650F4" w:rsidRPr="009F57D8" w:rsidRDefault="00F650F4">
            <w:pPr>
              <w:pStyle w:val="TableText0"/>
            </w:pPr>
            <w:r w:rsidRPr="009F57D8">
              <w:t>Therapeutic claim: effectiveness</w:t>
            </w:r>
          </w:p>
        </w:tc>
        <w:tc>
          <w:tcPr>
            <w:tcW w:w="3551" w:type="pct"/>
            <w:vAlign w:val="center"/>
          </w:tcPr>
          <w:p w14:paraId="577CE3C5" w14:textId="749D8AE7" w:rsidR="00F650F4" w:rsidRPr="009F57D8" w:rsidRDefault="00F650F4">
            <w:pPr>
              <w:pStyle w:val="TableText0"/>
            </w:pPr>
            <w:r w:rsidRPr="009F57D8">
              <w:t xml:space="preserve">Serotype coverage between </w:t>
            </w:r>
            <w:r w:rsidR="00A85AD1" w:rsidRPr="009F57D8">
              <w:t>21vPCV</w:t>
            </w:r>
            <w:r w:rsidR="00A85AD1" w:rsidRPr="009F57D8" w:rsidDel="00A85AD1">
              <w:t xml:space="preserve"> </w:t>
            </w:r>
            <w:r w:rsidRPr="009F57D8">
              <w:t>and 20vPCV are not different among Indigenous 25 to 49 years.</w:t>
            </w:r>
          </w:p>
        </w:tc>
      </w:tr>
      <w:tr w:rsidR="00F650F4" w:rsidRPr="009F57D8" w14:paraId="16CCACB4" w14:textId="77777777" w:rsidTr="000D48A0">
        <w:trPr>
          <w:cantSplit/>
          <w:tblHeader/>
        </w:trPr>
        <w:tc>
          <w:tcPr>
            <w:tcW w:w="1449" w:type="pct"/>
            <w:vAlign w:val="center"/>
          </w:tcPr>
          <w:p w14:paraId="046E4EE6" w14:textId="77777777" w:rsidR="00F650F4" w:rsidRPr="009F57D8" w:rsidRDefault="00F650F4">
            <w:pPr>
              <w:pStyle w:val="TableText0"/>
            </w:pPr>
            <w:r w:rsidRPr="009F57D8">
              <w:t>Therapeutic claim: safety</w:t>
            </w:r>
          </w:p>
        </w:tc>
        <w:tc>
          <w:tcPr>
            <w:tcW w:w="3551" w:type="pct"/>
            <w:vAlign w:val="center"/>
          </w:tcPr>
          <w:p w14:paraId="16D57A97" w14:textId="77777777" w:rsidR="00F650F4" w:rsidRPr="009F57D8" w:rsidRDefault="00F650F4">
            <w:pPr>
              <w:pStyle w:val="TableText0"/>
            </w:pPr>
            <w:r w:rsidRPr="009F57D8">
              <w:t>No safety data was assessed in the CMA</w:t>
            </w:r>
          </w:p>
        </w:tc>
      </w:tr>
      <w:tr w:rsidR="00F650F4" w:rsidRPr="009F57D8" w14:paraId="5684847F" w14:textId="77777777" w:rsidTr="000D48A0">
        <w:trPr>
          <w:cantSplit/>
          <w:tblHeader/>
        </w:trPr>
        <w:tc>
          <w:tcPr>
            <w:tcW w:w="1449" w:type="pct"/>
            <w:vAlign w:val="center"/>
          </w:tcPr>
          <w:p w14:paraId="450A318F" w14:textId="77777777" w:rsidR="00F650F4" w:rsidRPr="009F57D8" w:rsidRDefault="00F650F4">
            <w:pPr>
              <w:pStyle w:val="TableText0"/>
            </w:pPr>
            <w:r w:rsidRPr="009F57D8">
              <w:t>Evidence base</w:t>
            </w:r>
          </w:p>
        </w:tc>
        <w:tc>
          <w:tcPr>
            <w:tcW w:w="3551" w:type="pct"/>
            <w:vAlign w:val="center"/>
          </w:tcPr>
          <w:p w14:paraId="331C0F52" w14:textId="0A56A9A9" w:rsidR="00F650F4" w:rsidRPr="009F57D8" w:rsidRDefault="00F650F4">
            <w:pPr>
              <w:pStyle w:val="TableText0"/>
            </w:pPr>
            <w:r w:rsidRPr="009F57D8">
              <w:t xml:space="preserve">IPD and CAP cases caused by serotypes covered in 20vPCV and </w:t>
            </w:r>
            <w:r w:rsidR="00A85AD1" w:rsidRPr="009F57D8">
              <w:t>21vPCV</w:t>
            </w:r>
            <w:r w:rsidRPr="009F57D8">
              <w:t>.</w:t>
            </w:r>
          </w:p>
        </w:tc>
      </w:tr>
      <w:tr w:rsidR="00F650F4" w:rsidRPr="009F57D8" w14:paraId="310123AD" w14:textId="77777777" w:rsidTr="000D48A0">
        <w:trPr>
          <w:cantSplit/>
          <w:tblHeader/>
        </w:trPr>
        <w:tc>
          <w:tcPr>
            <w:tcW w:w="1449" w:type="pct"/>
            <w:vAlign w:val="center"/>
          </w:tcPr>
          <w:p w14:paraId="34DBCF75" w14:textId="77777777" w:rsidR="00F650F4" w:rsidRPr="009F57D8" w:rsidRDefault="00F650F4">
            <w:pPr>
              <w:pStyle w:val="TableText0"/>
            </w:pPr>
            <w:r w:rsidRPr="009F57D8">
              <w:t>Equi-effective doses</w:t>
            </w:r>
          </w:p>
        </w:tc>
        <w:tc>
          <w:tcPr>
            <w:tcW w:w="3551" w:type="pct"/>
            <w:vAlign w:val="center"/>
          </w:tcPr>
          <w:p w14:paraId="6FB294BE" w14:textId="215FD5E6" w:rsidR="00F650F4" w:rsidRPr="009F57D8" w:rsidRDefault="00F650F4">
            <w:pPr>
              <w:pStyle w:val="TableText0"/>
            </w:pPr>
            <w:r w:rsidRPr="009F57D8">
              <w:t xml:space="preserve">1 dose/lifetime of </w:t>
            </w:r>
            <w:r w:rsidR="00A85AD1" w:rsidRPr="009F57D8">
              <w:t>21vPCV</w:t>
            </w:r>
            <w:r w:rsidRPr="009F57D8">
              <w:t xml:space="preserve"> = 1 dose/lifetime of 20vPCV</w:t>
            </w:r>
          </w:p>
        </w:tc>
      </w:tr>
      <w:tr w:rsidR="00F650F4" w:rsidRPr="009F57D8" w14:paraId="69BCBC5E" w14:textId="77777777" w:rsidTr="000D48A0">
        <w:trPr>
          <w:cantSplit/>
          <w:tblHeader/>
        </w:trPr>
        <w:tc>
          <w:tcPr>
            <w:tcW w:w="1449" w:type="pct"/>
            <w:vAlign w:val="center"/>
          </w:tcPr>
          <w:p w14:paraId="13C277FF" w14:textId="77777777" w:rsidR="00F650F4" w:rsidRPr="009F57D8" w:rsidRDefault="00F650F4">
            <w:pPr>
              <w:pStyle w:val="TableText0"/>
            </w:pPr>
            <w:r w:rsidRPr="009F57D8">
              <w:t>Direct medicine costs</w:t>
            </w:r>
          </w:p>
        </w:tc>
        <w:tc>
          <w:tcPr>
            <w:tcW w:w="3551" w:type="pct"/>
            <w:vAlign w:val="center"/>
          </w:tcPr>
          <w:p w14:paraId="26822471" w14:textId="2CB7C726" w:rsidR="00F650F4" w:rsidRPr="009F57D8" w:rsidRDefault="00F650F4">
            <w:pPr>
              <w:pStyle w:val="TableText0"/>
            </w:pPr>
            <w:r w:rsidRPr="009F57D8">
              <w:t xml:space="preserve">Same cost per dose for </w:t>
            </w:r>
            <w:r w:rsidR="00A85AD1" w:rsidRPr="009F57D8">
              <w:t>21vPCV</w:t>
            </w:r>
            <w:r w:rsidR="00A85AD1" w:rsidRPr="009F57D8" w:rsidDel="00A85AD1">
              <w:t xml:space="preserve"> </w:t>
            </w:r>
            <w:r w:rsidRPr="009F57D8">
              <w:t>and 20vPCV</w:t>
            </w:r>
          </w:p>
        </w:tc>
      </w:tr>
      <w:tr w:rsidR="00F650F4" w:rsidRPr="009F57D8" w14:paraId="1BFBB40E" w14:textId="77777777" w:rsidTr="000D48A0">
        <w:trPr>
          <w:cantSplit/>
          <w:tblHeader/>
        </w:trPr>
        <w:tc>
          <w:tcPr>
            <w:tcW w:w="1449" w:type="pct"/>
            <w:vAlign w:val="center"/>
          </w:tcPr>
          <w:p w14:paraId="089360A2" w14:textId="77777777" w:rsidR="00F650F4" w:rsidRPr="009F57D8" w:rsidRDefault="00F650F4">
            <w:pPr>
              <w:pStyle w:val="TableText0"/>
            </w:pPr>
            <w:r w:rsidRPr="009F57D8">
              <w:t>Other costs or cost offsets</w:t>
            </w:r>
          </w:p>
        </w:tc>
        <w:tc>
          <w:tcPr>
            <w:tcW w:w="3551" w:type="pct"/>
            <w:vAlign w:val="center"/>
          </w:tcPr>
          <w:p w14:paraId="18EECB58" w14:textId="77777777" w:rsidR="00F650F4" w:rsidRPr="009F57D8" w:rsidRDefault="00F650F4">
            <w:pPr>
              <w:pStyle w:val="TableText0"/>
            </w:pPr>
            <w:r w:rsidRPr="009F57D8">
              <w:t>No</w:t>
            </w:r>
          </w:p>
        </w:tc>
      </w:tr>
    </w:tbl>
    <w:p w14:paraId="223742B2" w14:textId="77777777" w:rsidR="00F650F4" w:rsidRPr="009F57D8" w:rsidRDefault="00F650F4" w:rsidP="00F650F4">
      <w:pPr>
        <w:pStyle w:val="FooterTableFigure"/>
      </w:pPr>
      <w:r w:rsidRPr="009F57D8">
        <w:t>Source: p209 of the submission.</w:t>
      </w:r>
    </w:p>
    <w:p w14:paraId="3D0676B0" w14:textId="40197C06" w:rsidR="00F650F4" w:rsidRPr="009F57D8" w:rsidRDefault="00F650F4" w:rsidP="00F650F4">
      <w:pPr>
        <w:pStyle w:val="FooterTableFigure"/>
      </w:pPr>
      <w:r w:rsidRPr="009F57D8">
        <w:t xml:space="preserve">20vPCV = 20-valent pneumococcal conjugate vaccine; CAP = community acquired pneumonia; CMA = cost minimisation approach; IPD = invasive pneumococcal disease; </w:t>
      </w:r>
      <w:r w:rsidR="00F24018" w:rsidRPr="009F57D8">
        <w:t>21vPCV</w:t>
      </w:r>
      <w:r w:rsidRPr="009F57D8">
        <w:t xml:space="preserve"> = 21-valent pneumococcal conjugate vaccine.</w:t>
      </w:r>
    </w:p>
    <w:p w14:paraId="2CD0DBD6" w14:textId="7CEC504E" w:rsidR="00DE03DC" w:rsidRPr="009F57D8" w:rsidRDefault="00F650F4" w:rsidP="00CE68D2">
      <w:pPr>
        <w:pStyle w:val="3-BodyText"/>
        <w:numPr>
          <w:ilvl w:val="1"/>
          <w:numId w:val="1"/>
        </w:numPr>
      </w:pPr>
      <w:bookmarkStart w:id="114" w:name="_Hlk206771013"/>
      <w:r w:rsidRPr="009F57D8">
        <w:t xml:space="preserve">The equi-effective dose estimated in the submission was based on a single dose of </w:t>
      </w:r>
      <w:r w:rsidR="00A85AD1" w:rsidRPr="009F57D8">
        <w:t>21vPCV</w:t>
      </w:r>
      <w:r w:rsidR="00A85AD1" w:rsidRPr="009F57D8" w:rsidDel="00A85AD1">
        <w:t xml:space="preserve"> </w:t>
      </w:r>
      <w:r w:rsidRPr="009F57D8">
        <w:t xml:space="preserve">and 20vPCV per lifetime, which was consistent with the clinical studies presented in </w:t>
      </w:r>
      <w:r w:rsidR="00D34281" w:rsidRPr="009F57D8">
        <w:t>the submission</w:t>
      </w:r>
      <w:r w:rsidRPr="009F57D8">
        <w:t xml:space="preserve">. This approach also aligned with previous PBAC evaluations for other PCVs using a single dose per lifetime. No additional costs or cost </w:t>
      </w:r>
      <w:r w:rsidRPr="009F57D8">
        <w:lastRenderedPageBreak/>
        <w:t xml:space="preserve">offsets were assumed for this population. The result of the CMA is presented in </w:t>
      </w:r>
      <w:r w:rsidRPr="009F57D8">
        <w:fldChar w:fldCharType="begin"/>
      </w:r>
      <w:r w:rsidRPr="009F57D8">
        <w:instrText xml:space="preserve"> REF _Ref206838427 \h </w:instrText>
      </w:r>
      <w:r w:rsidR="002B5E57" w:rsidRPr="009F57D8">
        <w:instrText xml:space="preserve"> \* MERGEFORMAT </w:instrText>
      </w:r>
      <w:r w:rsidRPr="009F57D8">
        <w:fldChar w:fldCharType="separate"/>
      </w:r>
      <w:r w:rsidR="00581386" w:rsidRPr="009F57D8">
        <w:t xml:space="preserve">Table </w:t>
      </w:r>
      <w:r w:rsidR="00581386">
        <w:t>19</w:t>
      </w:r>
      <w:r w:rsidRPr="009F57D8">
        <w:fldChar w:fldCharType="end"/>
      </w:r>
      <w:r w:rsidRPr="009F57D8">
        <w:t>.</w:t>
      </w:r>
    </w:p>
    <w:p w14:paraId="04057F7C" w14:textId="669F1661" w:rsidR="00F650F4" w:rsidRPr="009F57D8" w:rsidRDefault="00F650F4" w:rsidP="00F650F4">
      <w:pPr>
        <w:pStyle w:val="Caption"/>
      </w:pPr>
      <w:bookmarkStart w:id="115" w:name="_Ref206838427"/>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19</w:t>
      </w:r>
      <w:r w:rsidR="00FA4640" w:rsidRPr="009F57D8">
        <w:fldChar w:fldCharType="end"/>
      </w:r>
      <w:bookmarkEnd w:id="114"/>
      <w:bookmarkEnd w:id="115"/>
      <w:r w:rsidRPr="009F57D8">
        <w:t>: Results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9: Results of the cost-minimisation approach"/>
      </w:tblPr>
      <w:tblGrid>
        <w:gridCol w:w="3010"/>
        <w:gridCol w:w="3001"/>
        <w:gridCol w:w="3006"/>
      </w:tblGrid>
      <w:tr w:rsidR="00F650F4" w:rsidRPr="009F57D8" w14:paraId="7D45109B" w14:textId="77777777" w:rsidTr="000D48A0">
        <w:trPr>
          <w:cantSplit/>
          <w:tblHeader/>
        </w:trPr>
        <w:tc>
          <w:tcPr>
            <w:tcW w:w="1669" w:type="pct"/>
            <w:vAlign w:val="center"/>
          </w:tcPr>
          <w:p w14:paraId="61F87B8E" w14:textId="77777777" w:rsidR="00F650F4" w:rsidRPr="009F57D8" w:rsidRDefault="00F650F4">
            <w:pPr>
              <w:pStyle w:val="TableText0"/>
              <w:jc w:val="center"/>
              <w:rPr>
                <w:b/>
                <w:bCs w:val="0"/>
              </w:rPr>
            </w:pPr>
            <w:r w:rsidRPr="009F57D8">
              <w:rPr>
                <w:b/>
                <w:bCs w:val="0"/>
              </w:rPr>
              <w:t>Component</w:t>
            </w:r>
          </w:p>
        </w:tc>
        <w:tc>
          <w:tcPr>
            <w:tcW w:w="1664" w:type="pct"/>
            <w:vAlign w:val="center"/>
          </w:tcPr>
          <w:p w14:paraId="14A8E9AE" w14:textId="77777777" w:rsidR="00F650F4" w:rsidRPr="009F57D8" w:rsidRDefault="00F650F4">
            <w:pPr>
              <w:pStyle w:val="TableText0"/>
              <w:jc w:val="center"/>
              <w:rPr>
                <w:b/>
                <w:bCs w:val="0"/>
              </w:rPr>
            </w:pPr>
            <w:r w:rsidRPr="009F57D8">
              <w:rPr>
                <w:b/>
                <w:bCs w:val="0"/>
              </w:rPr>
              <w:t>Proposed medicine</w:t>
            </w:r>
          </w:p>
        </w:tc>
        <w:tc>
          <w:tcPr>
            <w:tcW w:w="1667" w:type="pct"/>
            <w:vAlign w:val="center"/>
          </w:tcPr>
          <w:p w14:paraId="2F196BB0" w14:textId="77777777" w:rsidR="00F650F4" w:rsidRPr="009F57D8" w:rsidRDefault="00F650F4">
            <w:pPr>
              <w:pStyle w:val="TableText0"/>
              <w:jc w:val="center"/>
              <w:rPr>
                <w:b/>
                <w:bCs w:val="0"/>
              </w:rPr>
            </w:pPr>
            <w:r w:rsidRPr="009F57D8">
              <w:rPr>
                <w:b/>
                <w:bCs w:val="0"/>
              </w:rPr>
              <w:t>Comparator</w:t>
            </w:r>
          </w:p>
        </w:tc>
      </w:tr>
      <w:tr w:rsidR="00F650F4" w:rsidRPr="009F57D8" w14:paraId="72E050D4" w14:textId="77777777" w:rsidTr="000D48A0">
        <w:trPr>
          <w:cantSplit/>
          <w:tblHeader/>
        </w:trPr>
        <w:tc>
          <w:tcPr>
            <w:tcW w:w="1669" w:type="pct"/>
          </w:tcPr>
          <w:p w14:paraId="5D9B0A0F" w14:textId="77777777" w:rsidR="00F650F4" w:rsidRPr="009F57D8" w:rsidRDefault="00F650F4">
            <w:pPr>
              <w:pStyle w:val="TableText0"/>
            </w:pPr>
            <w:r w:rsidRPr="009F57D8">
              <w:t>Cost per dose</w:t>
            </w:r>
          </w:p>
        </w:tc>
        <w:tc>
          <w:tcPr>
            <w:tcW w:w="1664" w:type="pct"/>
            <w:vAlign w:val="center"/>
          </w:tcPr>
          <w:p w14:paraId="1FDDD61D" w14:textId="29F50158" w:rsidR="00F650F4" w:rsidRPr="009F57D8" w:rsidRDefault="00F650F4">
            <w:pPr>
              <w:pStyle w:val="TableText0"/>
              <w:jc w:val="center"/>
            </w:pPr>
            <w:r w:rsidRPr="009F57D8">
              <w:t>$</w:t>
            </w:r>
            <w:r w:rsidR="00FD08E9" w:rsidRPr="00FD08E9">
              <w:rPr>
                <w:highlight w:val="black"/>
              </w:rPr>
              <w:t>&amp;&amp;&amp;&amp;</w:t>
            </w:r>
            <w:r w:rsidR="00783D4A" w:rsidRPr="009F57D8">
              <w:t xml:space="preserve"> (</w:t>
            </w:r>
            <w:r w:rsidR="00D67EBC" w:rsidRPr="009F57D8">
              <w:t>requested</w:t>
            </w:r>
            <w:r w:rsidR="00783D4A" w:rsidRPr="009F57D8">
              <w:t xml:space="preserve"> price)</w:t>
            </w:r>
          </w:p>
        </w:tc>
        <w:tc>
          <w:tcPr>
            <w:tcW w:w="1667" w:type="pct"/>
            <w:vAlign w:val="center"/>
          </w:tcPr>
          <w:p w14:paraId="1C6BE942" w14:textId="62570D47" w:rsidR="00F650F4" w:rsidRPr="009F57D8" w:rsidRDefault="00F650F4">
            <w:pPr>
              <w:pStyle w:val="TableText0"/>
              <w:jc w:val="center"/>
            </w:pPr>
            <w:r w:rsidRPr="009F57D8">
              <w:t>$</w:t>
            </w:r>
            <w:r w:rsidR="00FD08E9" w:rsidRPr="00FD08E9">
              <w:rPr>
                <w:highlight w:val="black"/>
              </w:rPr>
              <w:t>&amp;&amp;&amp;&amp;</w:t>
            </w:r>
            <w:r w:rsidR="004C3E7B" w:rsidRPr="009F57D8">
              <w:t xml:space="preserve"> (assumed by submission)</w:t>
            </w:r>
          </w:p>
        </w:tc>
      </w:tr>
      <w:tr w:rsidR="00F650F4" w:rsidRPr="009F57D8" w14:paraId="31A9FD8D" w14:textId="77777777" w:rsidTr="000D48A0">
        <w:trPr>
          <w:cantSplit/>
          <w:tblHeader/>
        </w:trPr>
        <w:tc>
          <w:tcPr>
            <w:tcW w:w="1669" w:type="pct"/>
          </w:tcPr>
          <w:p w14:paraId="2289DCA3" w14:textId="77777777" w:rsidR="00F650F4" w:rsidRPr="009F57D8" w:rsidRDefault="00F650F4">
            <w:pPr>
              <w:pStyle w:val="TableText0"/>
            </w:pPr>
            <w:r w:rsidRPr="009F57D8">
              <w:t>Dose duration</w:t>
            </w:r>
          </w:p>
        </w:tc>
        <w:tc>
          <w:tcPr>
            <w:tcW w:w="1664" w:type="pct"/>
            <w:vAlign w:val="center"/>
          </w:tcPr>
          <w:p w14:paraId="1DE22A5D" w14:textId="77777777" w:rsidR="00F650F4" w:rsidRPr="009F57D8" w:rsidRDefault="00F650F4">
            <w:pPr>
              <w:pStyle w:val="TableText0"/>
              <w:jc w:val="center"/>
            </w:pPr>
            <w:r w:rsidRPr="009F57D8">
              <w:t>1 per lifetime</w:t>
            </w:r>
          </w:p>
        </w:tc>
        <w:tc>
          <w:tcPr>
            <w:tcW w:w="1667" w:type="pct"/>
            <w:vAlign w:val="center"/>
          </w:tcPr>
          <w:p w14:paraId="088000C3" w14:textId="77777777" w:rsidR="00F650F4" w:rsidRPr="009F57D8" w:rsidRDefault="00F650F4">
            <w:pPr>
              <w:pStyle w:val="TableText0"/>
              <w:jc w:val="center"/>
            </w:pPr>
            <w:r w:rsidRPr="009F57D8">
              <w:t>1 per lifetime</w:t>
            </w:r>
          </w:p>
        </w:tc>
      </w:tr>
      <w:tr w:rsidR="00F650F4" w:rsidRPr="009F57D8" w14:paraId="494452B2" w14:textId="77777777" w:rsidTr="000D48A0">
        <w:trPr>
          <w:cantSplit/>
          <w:tblHeader/>
        </w:trPr>
        <w:tc>
          <w:tcPr>
            <w:tcW w:w="1669" w:type="pct"/>
          </w:tcPr>
          <w:p w14:paraId="6170D35A" w14:textId="77777777" w:rsidR="00F650F4" w:rsidRPr="009F57D8" w:rsidRDefault="00F650F4">
            <w:pPr>
              <w:pStyle w:val="TableText0"/>
            </w:pPr>
            <w:r w:rsidRPr="009F57D8">
              <w:t>Total medicine cost per lifetime</w:t>
            </w:r>
          </w:p>
        </w:tc>
        <w:tc>
          <w:tcPr>
            <w:tcW w:w="1664" w:type="pct"/>
            <w:vAlign w:val="center"/>
          </w:tcPr>
          <w:p w14:paraId="40690853" w14:textId="1D029877" w:rsidR="00F650F4" w:rsidRPr="009F57D8" w:rsidRDefault="00F650F4">
            <w:pPr>
              <w:pStyle w:val="TableText0"/>
              <w:jc w:val="center"/>
            </w:pPr>
            <w:r w:rsidRPr="009F57D8">
              <w:t>$</w:t>
            </w:r>
            <w:r w:rsidR="00FD08E9" w:rsidRPr="00FD08E9">
              <w:rPr>
                <w:highlight w:val="black"/>
              </w:rPr>
              <w:t>&amp;&amp;&amp;&amp;</w:t>
            </w:r>
          </w:p>
        </w:tc>
        <w:tc>
          <w:tcPr>
            <w:tcW w:w="1667" w:type="pct"/>
            <w:vAlign w:val="center"/>
          </w:tcPr>
          <w:p w14:paraId="18712FD2" w14:textId="1A2329BA" w:rsidR="00F650F4" w:rsidRPr="009F57D8" w:rsidRDefault="00F650F4">
            <w:pPr>
              <w:pStyle w:val="TableText0"/>
              <w:jc w:val="center"/>
            </w:pPr>
            <w:r w:rsidRPr="009F57D8">
              <w:t>$</w:t>
            </w:r>
            <w:r w:rsidR="00FD08E9" w:rsidRPr="00FD08E9">
              <w:rPr>
                <w:highlight w:val="black"/>
              </w:rPr>
              <w:t>&amp;&amp;&amp;&amp;</w:t>
            </w:r>
          </w:p>
        </w:tc>
      </w:tr>
      <w:tr w:rsidR="00F650F4" w:rsidRPr="009F57D8" w14:paraId="63EC3104" w14:textId="77777777" w:rsidTr="000D48A0">
        <w:trPr>
          <w:cantSplit/>
          <w:tblHeader/>
        </w:trPr>
        <w:tc>
          <w:tcPr>
            <w:tcW w:w="1669" w:type="pct"/>
          </w:tcPr>
          <w:p w14:paraId="5D255479" w14:textId="77777777" w:rsidR="00F650F4" w:rsidRPr="009F57D8" w:rsidRDefault="00F650F4">
            <w:pPr>
              <w:pStyle w:val="TableText0"/>
            </w:pPr>
            <w:r w:rsidRPr="009F57D8">
              <w:t>Difference in cost per week</w:t>
            </w:r>
          </w:p>
        </w:tc>
        <w:tc>
          <w:tcPr>
            <w:tcW w:w="1664" w:type="pct"/>
            <w:vAlign w:val="center"/>
          </w:tcPr>
          <w:p w14:paraId="7C268FAD" w14:textId="77777777" w:rsidR="00F650F4" w:rsidRPr="009F57D8" w:rsidRDefault="00F650F4">
            <w:pPr>
              <w:pStyle w:val="TableText0"/>
              <w:jc w:val="center"/>
            </w:pPr>
            <w:r w:rsidRPr="009F57D8">
              <w:t>$0</w:t>
            </w:r>
          </w:p>
        </w:tc>
        <w:tc>
          <w:tcPr>
            <w:tcW w:w="1667" w:type="pct"/>
            <w:vAlign w:val="center"/>
          </w:tcPr>
          <w:p w14:paraId="6E62EB5D" w14:textId="77777777" w:rsidR="00F650F4" w:rsidRPr="009F57D8" w:rsidRDefault="00F650F4">
            <w:pPr>
              <w:pStyle w:val="TableText0"/>
              <w:jc w:val="center"/>
            </w:pPr>
            <w:r w:rsidRPr="009F57D8">
              <w:t>$0</w:t>
            </w:r>
          </w:p>
        </w:tc>
      </w:tr>
    </w:tbl>
    <w:p w14:paraId="77214562" w14:textId="1CE57085" w:rsidR="00F650F4" w:rsidRPr="009F57D8" w:rsidRDefault="00F650F4" w:rsidP="000E6454">
      <w:pPr>
        <w:pStyle w:val="TableFigureFooter"/>
      </w:pPr>
      <w:r w:rsidRPr="009F57D8">
        <w:t>Source: compiled during the evaluation.</w:t>
      </w:r>
    </w:p>
    <w:p w14:paraId="2E3E7237" w14:textId="77777777" w:rsidR="00A65358" w:rsidRPr="009F57D8" w:rsidRDefault="00A65358" w:rsidP="00A65358">
      <w:bookmarkStart w:id="116" w:name="_Ref174789756"/>
    </w:p>
    <w:p w14:paraId="7E83E1AC" w14:textId="0E8FA63F" w:rsidR="00A65358" w:rsidRPr="009F57D8" w:rsidRDefault="00A65358" w:rsidP="00A65358">
      <w:pPr>
        <w:pStyle w:val="4-SubsectionHeading"/>
      </w:pPr>
      <w:r w:rsidRPr="009F57D8">
        <w:t>Estimation of the weighted price</w:t>
      </w:r>
    </w:p>
    <w:p w14:paraId="2496488E" w14:textId="14AA1BF0" w:rsidR="00C84BB2" w:rsidRPr="009F57D8" w:rsidRDefault="00C84BB2">
      <w:pPr>
        <w:pStyle w:val="3-BodyText"/>
        <w:numPr>
          <w:ilvl w:val="1"/>
          <w:numId w:val="1"/>
        </w:numPr>
      </w:pPr>
      <w:r w:rsidRPr="009F57D8">
        <w:t xml:space="preserve">The estimation of the </w:t>
      </w:r>
      <w:r w:rsidR="007F5C84" w:rsidRPr="009F57D8">
        <w:t xml:space="preserve">weighted price </w:t>
      </w:r>
      <w:r w:rsidRPr="009F57D8">
        <w:t xml:space="preserve">of 21vPCV based on the requested price per dose for each population </w:t>
      </w:r>
      <w:r w:rsidR="007F5C84" w:rsidRPr="009F57D8">
        <w:t xml:space="preserve">is presented in </w:t>
      </w:r>
      <w:r w:rsidR="007F5C84" w:rsidRPr="009F57D8">
        <w:fldChar w:fldCharType="begin"/>
      </w:r>
      <w:r w:rsidR="007F5C84" w:rsidRPr="009F57D8">
        <w:instrText xml:space="preserve"> REF _Ref214463275 \h </w:instrText>
      </w:r>
      <w:r w:rsidR="00452EDA" w:rsidRPr="009F57D8">
        <w:instrText xml:space="preserve"> \* MERGEFORMAT </w:instrText>
      </w:r>
      <w:r w:rsidR="007F5C84" w:rsidRPr="009F57D8">
        <w:fldChar w:fldCharType="separate"/>
      </w:r>
      <w:r w:rsidR="00581386" w:rsidRPr="009F57D8">
        <w:t xml:space="preserve">Table </w:t>
      </w:r>
      <w:r w:rsidR="00581386">
        <w:t>20</w:t>
      </w:r>
      <w:r w:rsidR="007F5C84" w:rsidRPr="009F57D8">
        <w:fldChar w:fldCharType="end"/>
      </w:r>
      <w:r w:rsidR="007F5C84" w:rsidRPr="009F57D8">
        <w:t>.</w:t>
      </w:r>
      <w:r w:rsidRPr="009F57D8">
        <w:t xml:space="preserve">  </w:t>
      </w:r>
      <w:r w:rsidR="00F650F4" w:rsidRPr="009F57D8">
        <w:t>The weighted price was based on eligible populations and did not consider the uptake rate.</w:t>
      </w:r>
      <w:r w:rsidR="00D34281" w:rsidRPr="009F57D8">
        <w:t xml:space="preserve"> </w:t>
      </w:r>
      <w:r w:rsidR="00F650F4" w:rsidRPr="009F57D8">
        <w:t xml:space="preserve"> </w:t>
      </w:r>
      <w:r w:rsidRPr="009F57D8">
        <w:t>Revised estimates including the proposed expansions of the populations are also shown.</w:t>
      </w:r>
    </w:p>
    <w:p w14:paraId="0136CAD6" w14:textId="4F0DD3B0" w:rsidR="003E64B1" w:rsidRPr="009F57D8" w:rsidRDefault="003E64B1" w:rsidP="003E64B1">
      <w:pPr>
        <w:pStyle w:val="Caption"/>
      </w:pPr>
      <w:bookmarkStart w:id="117" w:name="_Ref214463275"/>
      <w:bookmarkEnd w:id="116"/>
      <w:r w:rsidRPr="009F57D8">
        <w:t xml:space="preserve">Table </w:t>
      </w:r>
      <w:r w:rsidR="00FA4640" w:rsidRPr="009F57D8">
        <w:fldChar w:fldCharType="begin"/>
      </w:r>
      <w:r w:rsidR="00FA4640" w:rsidRPr="009F57D8">
        <w:instrText xml:space="preserve"> SEQ Table \* ARABIC </w:instrText>
      </w:r>
      <w:r w:rsidR="00FA4640" w:rsidRPr="009F57D8">
        <w:fldChar w:fldCharType="separate"/>
      </w:r>
      <w:r w:rsidR="00581386">
        <w:rPr>
          <w:noProof/>
        </w:rPr>
        <w:t>20</w:t>
      </w:r>
      <w:r w:rsidR="00FA4640" w:rsidRPr="009F57D8">
        <w:fldChar w:fldCharType="end"/>
      </w:r>
      <w:bookmarkEnd w:id="117"/>
      <w:r w:rsidRPr="009F57D8">
        <w:t>: Estimation of weighted price</w:t>
      </w:r>
      <w:r w:rsidR="009D7F0A" w:rsidRPr="009F57D8">
        <w:t xml:space="preserve"> of 21vPCV per dose</w:t>
      </w:r>
      <w:r w:rsidR="009C7FE4" w:rsidRPr="009F57D8">
        <w:t xml:space="preserve"> based on requested prices per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0: Estimation of weighted price of 21vPCV per dose based on requested prices per population"/>
      </w:tblPr>
      <w:tblGrid>
        <w:gridCol w:w="3005"/>
        <w:gridCol w:w="3006"/>
        <w:gridCol w:w="3006"/>
      </w:tblGrid>
      <w:tr w:rsidR="00BB20AE" w:rsidRPr="009F57D8" w14:paraId="5E9FE52B" w14:textId="70B40476" w:rsidTr="000D48A0">
        <w:trPr>
          <w:cantSplit/>
          <w:tblHeader/>
        </w:trPr>
        <w:tc>
          <w:tcPr>
            <w:tcW w:w="1666" w:type="pct"/>
          </w:tcPr>
          <w:p w14:paraId="4BEB379C" w14:textId="20981629" w:rsidR="009D7F0A" w:rsidRPr="009F57D8" w:rsidRDefault="009D7F0A" w:rsidP="009D7F0A">
            <w:pPr>
              <w:pStyle w:val="TableText0"/>
              <w:jc w:val="center"/>
              <w:rPr>
                <w:b/>
                <w:bCs w:val="0"/>
              </w:rPr>
            </w:pPr>
            <w:r w:rsidRPr="009F57D8">
              <w:rPr>
                <w:b/>
                <w:bCs w:val="0"/>
              </w:rPr>
              <w:t xml:space="preserve">NIP population </w:t>
            </w:r>
          </w:p>
        </w:tc>
        <w:tc>
          <w:tcPr>
            <w:tcW w:w="1667" w:type="pct"/>
          </w:tcPr>
          <w:p w14:paraId="19C13477" w14:textId="006836D9" w:rsidR="009D7F0A" w:rsidRPr="009F57D8" w:rsidRDefault="009D7F0A" w:rsidP="009D7F0A">
            <w:pPr>
              <w:pStyle w:val="TableText0"/>
              <w:jc w:val="center"/>
              <w:rPr>
                <w:b/>
                <w:bCs w:val="0"/>
              </w:rPr>
            </w:pPr>
            <w:r w:rsidRPr="009F57D8">
              <w:rPr>
                <w:b/>
                <w:bCs w:val="0"/>
              </w:rPr>
              <w:t xml:space="preserve">Requested price per dose </w:t>
            </w:r>
          </w:p>
        </w:tc>
        <w:tc>
          <w:tcPr>
            <w:tcW w:w="1667" w:type="pct"/>
          </w:tcPr>
          <w:p w14:paraId="24067613" w14:textId="658D6B35" w:rsidR="009D7F0A" w:rsidRPr="009F57D8" w:rsidRDefault="00F66BFC" w:rsidP="00F66BFC">
            <w:pPr>
              <w:pStyle w:val="TableText0"/>
              <w:jc w:val="center"/>
              <w:rPr>
                <w:b/>
                <w:bCs w:val="0"/>
              </w:rPr>
            </w:pPr>
            <w:r w:rsidRPr="009F57D8">
              <w:rPr>
                <w:b/>
                <w:bCs w:val="0"/>
              </w:rPr>
              <w:t xml:space="preserve">Weighting </w:t>
            </w:r>
            <w:r w:rsidR="009D7F0A" w:rsidRPr="009F57D8">
              <w:rPr>
                <w:b/>
                <w:bCs w:val="0"/>
              </w:rPr>
              <w:t xml:space="preserve">based on </w:t>
            </w:r>
            <w:r w:rsidR="009F0F42" w:rsidRPr="009F57D8">
              <w:rPr>
                <w:b/>
                <w:bCs w:val="0"/>
              </w:rPr>
              <w:t xml:space="preserve">anticipated population </w:t>
            </w:r>
            <w:r w:rsidR="009D7F0A" w:rsidRPr="009F57D8">
              <w:rPr>
                <w:b/>
                <w:bCs w:val="0"/>
              </w:rPr>
              <w:t>over 6 years</w:t>
            </w:r>
          </w:p>
        </w:tc>
      </w:tr>
      <w:tr w:rsidR="00BB20AE" w:rsidRPr="009F57D8" w14:paraId="5D643D0E" w14:textId="77777777" w:rsidTr="000D48A0">
        <w:trPr>
          <w:cantSplit/>
          <w:tblHeader/>
        </w:trPr>
        <w:tc>
          <w:tcPr>
            <w:tcW w:w="5000" w:type="pct"/>
            <w:gridSpan w:val="3"/>
          </w:tcPr>
          <w:p w14:paraId="5E64D5A0" w14:textId="79F5BB01" w:rsidR="00C84BB2" w:rsidRPr="009F57D8" w:rsidRDefault="00C84BB2" w:rsidP="00C84BB2">
            <w:pPr>
              <w:pStyle w:val="TableText0"/>
              <w:rPr>
                <w:b/>
                <w:bCs w:val="0"/>
              </w:rPr>
            </w:pPr>
            <w:r w:rsidRPr="009F57D8">
              <w:rPr>
                <w:b/>
                <w:bCs w:val="0"/>
              </w:rPr>
              <w:t>Submission Estimates</w:t>
            </w:r>
          </w:p>
        </w:tc>
      </w:tr>
      <w:tr w:rsidR="00BB20AE" w:rsidRPr="009F57D8" w14:paraId="47238F6F" w14:textId="5D83C900" w:rsidTr="000D48A0">
        <w:trPr>
          <w:cantSplit/>
          <w:tblHeader/>
        </w:trPr>
        <w:tc>
          <w:tcPr>
            <w:tcW w:w="1666" w:type="pct"/>
          </w:tcPr>
          <w:p w14:paraId="44F90A98" w14:textId="11CE11D0" w:rsidR="009D7F0A" w:rsidRPr="009F57D8" w:rsidRDefault="009D7F0A" w:rsidP="009D7F0A">
            <w:pPr>
              <w:pStyle w:val="TableText0"/>
            </w:pPr>
            <w:r w:rsidRPr="009F57D8">
              <w:t xml:space="preserve">Non-Indigenous ≥70 years </w:t>
            </w:r>
          </w:p>
        </w:tc>
        <w:tc>
          <w:tcPr>
            <w:tcW w:w="1667" w:type="pct"/>
          </w:tcPr>
          <w:p w14:paraId="21182FE1" w14:textId="108C9563" w:rsidR="009D7F0A" w:rsidRPr="009F57D8" w:rsidRDefault="009D7F0A" w:rsidP="009D7F0A">
            <w:pPr>
              <w:pStyle w:val="TableText0"/>
            </w:pPr>
            <w:r w:rsidRPr="009F57D8">
              <w:t>$</w:t>
            </w:r>
            <w:r w:rsidR="00FD08E9" w:rsidRPr="00FD08E9">
              <w:rPr>
                <w:highlight w:val="black"/>
              </w:rPr>
              <w:t>&amp;&amp;&amp;&amp;</w:t>
            </w:r>
          </w:p>
        </w:tc>
        <w:tc>
          <w:tcPr>
            <w:tcW w:w="1667" w:type="pct"/>
          </w:tcPr>
          <w:p w14:paraId="37F1893B" w14:textId="7F8B5855" w:rsidR="009D7F0A" w:rsidRPr="009F57D8" w:rsidRDefault="009D7F0A" w:rsidP="009D7F0A">
            <w:pPr>
              <w:pStyle w:val="TableText0"/>
            </w:pPr>
            <w:r w:rsidRPr="009F57D8">
              <w:t>83.65%</w:t>
            </w:r>
          </w:p>
        </w:tc>
      </w:tr>
      <w:tr w:rsidR="00BB20AE" w:rsidRPr="009F57D8" w14:paraId="18C020CA" w14:textId="62011B91" w:rsidTr="000D48A0">
        <w:trPr>
          <w:cantSplit/>
          <w:tblHeader/>
        </w:trPr>
        <w:tc>
          <w:tcPr>
            <w:tcW w:w="1666" w:type="pct"/>
          </w:tcPr>
          <w:p w14:paraId="4F0025D8" w14:textId="7CC27C51" w:rsidR="009D7F0A" w:rsidRPr="009F57D8" w:rsidRDefault="009D7F0A" w:rsidP="009D7F0A">
            <w:pPr>
              <w:pStyle w:val="TableText0"/>
            </w:pPr>
            <w:r w:rsidRPr="009F57D8">
              <w:t xml:space="preserve">Indigenous ≥50 years </w:t>
            </w:r>
          </w:p>
        </w:tc>
        <w:tc>
          <w:tcPr>
            <w:tcW w:w="1667" w:type="pct"/>
          </w:tcPr>
          <w:p w14:paraId="53B89D2B" w14:textId="006E84DA" w:rsidR="009D7F0A" w:rsidRPr="009F57D8" w:rsidRDefault="009D7F0A" w:rsidP="009D7F0A">
            <w:pPr>
              <w:pStyle w:val="TableText0"/>
            </w:pPr>
            <w:r w:rsidRPr="009F57D8">
              <w:t>$</w:t>
            </w:r>
            <w:r w:rsidR="00FD08E9" w:rsidRPr="00FD08E9">
              <w:rPr>
                <w:highlight w:val="black"/>
              </w:rPr>
              <w:t>&amp;&amp;&amp;&amp;</w:t>
            </w:r>
          </w:p>
        </w:tc>
        <w:tc>
          <w:tcPr>
            <w:tcW w:w="1667" w:type="pct"/>
          </w:tcPr>
          <w:p w14:paraId="6C726252" w14:textId="44D491F3" w:rsidR="009D7F0A" w:rsidRPr="009F57D8" w:rsidRDefault="009D7F0A" w:rsidP="009D7F0A">
            <w:pPr>
              <w:pStyle w:val="TableText0"/>
            </w:pPr>
            <w:r w:rsidRPr="009F57D8">
              <w:t>2.79%</w:t>
            </w:r>
          </w:p>
        </w:tc>
      </w:tr>
      <w:tr w:rsidR="00BB20AE" w:rsidRPr="009F57D8" w14:paraId="32EA130D" w14:textId="77777777" w:rsidTr="000D48A0">
        <w:trPr>
          <w:cantSplit/>
          <w:tblHeader/>
        </w:trPr>
        <w:tc>
          <w:tcPr>
            <w:tcW w:w="1666" w:type="pct"/>
          </w:tcPr>
          <w:p w14:paraId="586C1FCB" w14:textId="11E5F753" w:rsidR="009F0F42" w:rsidRPr="009F57D8" w:rsidRDefault="009F0F42" w:rsidP="009F0F42">
            <w:pPr>
              <w:pStyle w:val="TableText0"/>
            </w:pPr>
            <w:r w:rsidRPr="009F57D8">
              <w:t>MaR 18-69 years</w:t>
            </w:r>
          </w:p>
        </w:tc>
        <w:tc>
          <w:tcPr>
            <w:tcW w:w="1667" w:type="pct"/>
          </w:tcPr>
          <w:p w14:paraId="470C9E3D" w14:textId="21D21685" w:rsidR="009F0F42" w:rsidRPr="009F57D8" w:rsidRDefault="009F0F42" w:rsidP="009F0F42">
            <w:pPr>
              <w:pStyle w:val="TableText0"/>
            </w:pPr>
            <w:r w:rsidRPr="009F57D8">
              <w:t>$</w:t>
            </w:r>
            <w:r w:rsidR="00FD08E9" w:rsidRPr="00FD08E9">
              <w:rPr>
                <w:highlight w:val="black"/>
              </w:rPr>
              <w:t>&amp;&amp;&amp;&amp;</w:t>
            </w:r>
          </w:p>
        </w:tc>
        <w:tc>
          <w:tcPr>
            <w:tcW w:w="1667" w:type="pct"/>
          </w:tcPr>
          <w:p w14:paraId="4A1F6ECA" w14:textId="67E83FFB" w:rsidR="009F0F42" w:rsidRPr="009F57D8" w:rsidRDefault="009F0F42" w:rsidP="009F0F42">
            <w:pPr>
              <w:pStyle w:val="TableText0"/>
            </w:pPr>
            <w:r w:rsidRPr="009F57D8">
              <w:t>9.37%</w:t>
            </w:r>
          </w:p>
        </w:tc>
      </w:tr>
      <w:tr w:rsidR="00BB20AE" w:rsidRPr="009F57D8" w14:paraId="412F0E2A" w14:textId="7499A928" w:rsidTr="000D48A0">
        <w:trPr>
          <w:cantSplit/>
          <w:tblHeader/>
        </w:trPr>
        <w:tc>
          <w:tcPr>
            <w:tcW w:w="1666" w:type="pct"/>
          </w:tcPr>
          <w:p w14:paraId="3BEBAA0F" w14:textId="184FF1F3" w:rsidR="009F0F42" w:rsidRPr="009F57D8" w:rsidRDefault="009F0F42" w:rsidP="009F0F42">
            <w:pPr>
              <w:pStyle w:val="TableText0"/>
            </w:pPr>
            <w:r w:rsidRPr="009F57D8">
              <w:t>Indigenous 25-49 years</w:t>
            </w:r>
          </w:p>
        </w:tc>
        <w:tc>
          <w:tcPr>
            <w:tcW w:w="1667" w:type="pct"/>
          </w:tcPr>
          <w:p w14:paraId="5AE7E208" w14:textId="63ADA75B" w:rsidR="009F0F42" w:rsidRPr="009F57D8" w:rsidRDefault="009F0F42" w:rsidP="009F0F42">
            <w:pPr>
              <w:pStyle w:val="TableText0"/>
            </w:pPr>
            <w:r w:rsidRPr="009F57D8">
              <w:t>$</w:t>
            </w:r>
            <w:r w:rsidR="00FD08E9" w:rsidRPr="00FD08E9">
              <w:rPr>
                <w:highlight w:val="black"/>
              </w:rPr>
              <w:t>&amp;&amp;&amp;&amp;</w:t>
            </w:r>
          </w:p>
        </w:tc>
        <w:tc>
          <w:tcPr>
            <w:tcW w:w="1667" w:type="pct"/>
          </w:tcPr>
          <w:p w14:paraId="0CD72BEB" w14:textId="29217D42" w:rsidR="009F0F42" w:rsidRPr="009F57D8" w:rsidRDefault="009F0F42" w:rsidP="009F0F42">
            <w:pPr>
              <w:pStyle w:val="TableText0"/>
            </w:pPr>
            <w:r w:rsidRPr="009F57D8">
              <w:t>4.19%</w:t>
            </w:r>
          </w:p>
        </w:tc>
      </w:tr>
      <w:tr w:rsidR="00BB20AE" w:rsidRPr="009F57D8" w14:paraId="15F0055F" w14:textId="77777777" w:rsidTr="000D48A0">
        <w:trPr>
          <w:cantSplit/>
          <w:tblHeader/>
        </w:trPr>
        <w:tc>
          <w:tcPr>
            <w:tcW w:w="1666" w:type="pct"/>
          </w:tcPr>
          <w:p w14:paraId="3D8DE545" w14:textId="340ABEBE" w:rsidR="009F0F42" w:rsidRPr="009F57D8" w:rsidRDefault="009F0F42" w:rsidP="009F0F42">
            <w:pPr>
              <w:pStyle w:val="TableText0"/>
            </w:pPr>
            <w:r w:rsidRPr="009F57D8">
              <w:t xml:space="preserve">Overall price </w:t>
            </w:r>
          </w:p>
        </w:tc>
        <w:tc>
          <w:tcPr>
            <w:tcW w:w="1667" w:type="pct"/>
          </w:tcPr>
          <w:p w14:paraId="07A158EB" w14:textId="750B6AFA" w:rsidR="009F0F42" w:rsidRPr="009F57D8" w:rsidRDefault="009F0F42" w:rsidP="009F0F42">
            <w:pPr>
              <w:pStyle w:val="TableText0"/>
            </w:pPr>
            <w:r w:rsidRPr="009F57D8">
              <w:rPr>
                <w:b/>
              </w:rPr>
              <w:t>$</w:t>
            </w:r>
            <w:r w:rsidR="00FD08E9" w:rsidRPr="00FD08E9">
              <w:rPr>
                <w:b/>
                <w:highlight w:val="black"/>
              </w:rPr>
              <w:t>&amp;&amp;&amp;&amp;</w:t>
            </w:r>
          </w:p>
        </w:tc>
        <w:tc>
          <w:tcPr>
            <w:tcW w:w="1667" w:type="pct"/>
          </w:tcPr>
          <w:p w14:paraId="53DCE279" w14:textId="1AFE3935" w:rsidR="009F0F42" w:rsidRPr="009F57D8" w:rsidRDefault="009F0F42" w:rsidP="009F0F42">
            <w:pPr>
              <w:pStyle w:val="TableText0"/>
            </w:pPr>
            <w:r w:rsidRPr="009F57D8">
              <w:rPr>
                <w:b/>
              </w:rPr>
              <w:t>100%</w:t>
            </w:r>
          </w:p>
        </w:tc>
      </w:tr>
      <w:tr w:rsidR="00BB20AE" w:rsidRPr="009F57D8" w14:paraId="129AC53A" w14:textId="77777777" w:rsidTr="000D48A0">
        <w:trPr>
          <w:cantSplit/>
          <w:tblHeader/>
        </w:trPr>
        <w:tc>
          <w:tcPr>
            <w:tcW w:w="1666" w:type="pct"/>
          </w:tcPr>
          <w:p w14:paraId="5F12D267" w14:textId="2C01B793" w:rsidR="00C8634D" w:rsidRPr="009F57D8" w:rsidRDefault="00C8634D" w:rsidP="009F0F42">
            <w:pPr>
              <w:pStyle w:val="TableText0"/>
            </w:pPr>
            <w:r w:rsidRPr="009F57D8">
              <w:rPr>
                <w:b/>
                <w:bCs w:val="0"/>
              </w:rPr>
              <w:t>Revised Estimates</w:t>
            </w:r>
          </w:p>
        </w:tc>
        <w:tc>
          <w:tcPr>
            <w:tcW w:w="1667" w:type="pct"/>
          </w:tcPr>
          <w:p w14:paraId="701E9EA5" w14:textId="77777777" w:rsidR="00C8634D" w:rsidRPr="009F57D8" w:rsidRDefault="00C8634D" w:rsidP="009F0F42">
            <w:pPr>
              <w:pStyle w:val="TableText0"/>
              <w:rPr>
                <w:b/>
              </w:rPr>
            </w:pPr>
          </w:p>
        </w:tc>
        <w:tc>
          <w:tcPr>
            <w:tcW w:w="1667" w:type="pct"/>
          </w:tcPr>
          <w:p w14:paraId="61B908FD" w14:textId="77777777" w:rsidR="00C8634D" w:rsidRPr="009F57D8" w:rsidRDefault="00C8634D" w:rsidP="009F0F42">
            <w:pPr>
              <w:pStyle w:val="TableText0"/>
              <w:rPr>
                <w:rFonts w:ascii="Calibri" w:eastAsia="Times New Roman" w:hAnsi="Calibri" w:cs="Calibri"/>
                <w:sz w:val="22"/>
                <w:szCs w:val="22"/>
              </w:rPr>
            </w:pPr>
          </w:p>
        </w:tc>
      </w:tr>
      <w:tr w:rsidR="00BB20AE" w:rsidRPr="009F57D8" w14:paraId="24C74351" w14:textId="77777777" w:rsidTr="000D48A0">
        <w:trPr>
          <w:cantSplit/>
          <w:tblHeader/>
        </w:trPr>
        <w:tc>
          <w:tcPr>
            <w:tcW w:w="1666" w:type="pct"/>
          </w:tcPr>
          <w:p w14:paraId="7F7902E9" w14:textId="49D0F89A" w:rsidR="00C8634D" w:rsidRPr="009F57D8" w:rsidRDefault="00C8634D" w:rsidP="00C8634D">
            <w:pPr>
              <w:pStyle w:val="TableText0"/>
            </w:pPr>
            <w:r w:rsidRPr="009F57D8">
              <w:t xml:space="preserve">Non-Indigenous ≥65 years </w:t>
            </w:r>
          </w:p>
        </w:tc>
        <w:tc>
          <w:tcPr>
            <w:tcW w:w="1667" w:type="pct"/>
          </w:tcPr>
          <w:p w14:paraId="6071A824" w14:textId="63B827C0" w:rsidR="00C8634D" w:rsidRPr="009F57D8" w:rsidRDefault="00C41C65" w:rsidP="00C8634D">
            <w:pPr>
              <w:pStyle w:val="TableText0"/>
              <w:rPr>
                <w:b/>
              </w:rPr>
            </w:pPr>
            <w:r w:rsidRPr="009F57D8">
              <w:t>$</w:t>
            </w:r>
            <w:r w:rsidR="00FD08E9" w:rsidRPr="00FD08E9">
              <w:rPr>
                <w:highlight w:val="black"/>
              </w:rPr>
              <w:t>&amp;&amp;&amp;&amp;</w:t>
            </w:r>
            <w:r w:rsidR="00685EC4" w:rsidRPr="009F57D8">
              <w:rPr>
                <w:vertAlign w:val="superscript"/>
              </w:rPr>
              <w:t>a</w:t>
            </w:r>
          </w:p>
        </w:tc>
        <w:tc>
          <w:tcPr>
            <w:tcW w:w="1667" w:type="pct"/>
          </w:tcPr>
          <w:p w14:paraId="034C64E4" w14:textId="1EA3060F" w:rsidR="00C8634D" w:rsidRPr="009F57D8" w:rsidRDefault="00C8634D" w:rsidP="00C8634D">
            <w:pPr>
              <w:pStyle w:val="TableText0"/>
              <w:rPr>
                <w:rFonts w:ascii="Calibri" w:eastAsia="Times New Roman" w:hAnsi="Calibri" w:cs="Calibri"/>
                <w:sz w:val="22"/>
                <w:szCs w:val="22"/>
              </w:rPr>
            </w:pPr>
            <w:r w:rsidRPr="009F57D8">
              <w:t>78.21%</w:t>
            </w:r>
            <w:r w:rsidRPr="009F57D8">
              <w:rPr>
                <w:vertAlign w:val="superscript"/>
              </w:rPr>
              <w:t>a</w:t>
            </w:r>
          </w:p>
        </w:tc>
      </w:tr>
      <w:tr w:rsidR="00BB20AE" w:rsidRPr="009F57D8" w14:paraId="1D4153E2" w14:textId="77777777" w:rsidTr="000D48A0">
        <w:trPr>
          <w:cantSplit/>
          <w:tblHeader/>
        </w:trPr>
        <w:tc>
          <w:tcPr>
            <w:tcW w:w="1666" w:type="pct"/>
          </w:tcPr>
          <w:p w14:paraId="19C4C416" w14:textId="1114FBBF" w:rsidR="00C8634D" w:rsidRPr="009F57D8" w:rsidRDefault="00C8634D" w:rsidP="00C8634D">
            <w:pPr>
              <w:pStyle w:val="TableText0"/>
            </w:pPr>
            <w:r w:rsidRPr="009F57D8">
              <w:t xml:space="preserve">Indigenous ≥50 years </w:t>
            </w:r>
          </w:p>
        </w:tc>
        <w:tc>
          <w:tcPr>
            <w:tcW w:w="1667" w:type="pct"/>
          </w:tcPr>
          <w:p w14:paraId="2CA33D36" w14:textId="0542BAB9" w:rsidR="00C8634D" w:rsidRPr="009F57D8" w:rsidRDefault="00C8634D" w:rsidP="00C8634D">
            <w:pPr>
              <w:pStyle w:val="TableText0"/>
              <w:rPr>
                <w:b/>
              </w:rPr>
            </w:pPr>
            <w:r w:rsidRPr="009F57D8">
              <w:t>$</w:t>
            </w:r>
            <w:r w:rsidR="00FD08E9" w:rsidRPr="00FD08E9">
              <w:rPr>
                <w:highlight w:val="black"/>
              </w:rPr>
              <w:t>&amp;&amp;&amp;&amp;</w:t>
            </w:r>
          </w:p>
        </w:tc>
        <w:tc>
          <w:tcPr>
            <w:tcW w:w="1667" w:type="pct"/>
          </w:tcPr>
          <w:p w14:paraId="0D700375" w14:textId="6F2C3574" w:rsidR="00C8634D" w:rsidRPr="009F57D8" w:rsidRDefault="00C8634D" w:rsidP="00C8634D">
            <w:pPr>
              <w:pStyle w:val="TableText0"/>
              <w:rPr>
                <w:rFonts w:ascii="Calibri" w:eastAsia="Times New Roman" w:hAnsi="Calibri" w:cs="Calibri"/>
                <w:sz w:val="22"/>
                <w:szCs w:val="22"/>
              </w:rPr>
            </w:pPr>
            <w:r w:rsidRPr="009F57D8">
              <w:t>1.09%</w:t>
            </w:r>
          </w:p>
        </w:tc>
      </w:tr>
      <w:tr w:rsidR="00BB20AE" w:rsidRPr="009F57D8" w14:paraId="17F00436" w14:textId="77777777" w:rsidTr="000D48A0">
        <w:trPr>
          <w:cantSplit/>
          <w:tblHeader/>
        </w:trPr>
        <w:tc>
          <w:tcPr>
            <w:tcW w:w="1666" w:type="pct"/>
          </w:tcPr>
          <w:p w14:paraId="1D4CFAB8" w14:textId="6CD359E3" w:rsidR="00C8634D" w:rsidRPr="009F57D8" w:rsidRDefault="00C8634D" w:rsidP="00C8634D">
            <w:pPr>
              <w:pStyle w:val="TableText0"/>
            </w:pPr>
            <w:r w:rsidRPr="009F57D8">
              <w:t xml:space="preserve">MaR </w:t>
            </w:r>
            <w:r w:rsidR="00FB33A0" w:rsidRPr="009F57D8">
              <w:t>≥18</w:t>
            </w:r>
            <w:r w:rsidRPr="009F57D8">
              <w:t xml:space="preserve"> years</w:t>
            </w:r>
          </w:p>
        </w:tc>
        <w:tc>
          <w:tcPr>
            <w:tcW w:w="1667" w:type="pct"/>
          </w:tcPr>
          <w:p w14:paraId="2D3B164C" w14:textId="23693330" w:rsidR="00C8634D" w:rsidRPr="009F57D8" w:rsidRDefault="005A5AEA" w:rsidP="00C8634D">
            <w:pPr>
              <w:pStyle w:val="TableText0"/>
              <w:rPr>
                <w:b/>
              </w:rPr>
            </w:pPr>
            <w:r w:rsidRPr="009F57D8">
              <w:t>$</w:t>
            </w:r>
            <w:r w:rsidR="00FD08E9" w:rsidRPr="00FD08E9">
              <w:rPr>
                <w:highlight w:val="black"/>
              </w:rPr>
              <w:t>&amp;&amp;&amp;&amp;</w:t>
            </w:r>
            <w:r w:rsidRPr="009F57D8">
              <w:rPr>
                <w:vertAlign w:val="superscript"/>
              </w:rPr>
              <w:t>b</w:t>
            </w:r>
          </w:p>
        </w:tc>
        <w:tc>
          <w:tcPr>
            <w:tcW w:w="1667" w:type="pct"/>
          </w:tcPr>
          <w:p w14:paraId="4ED336F4" w14:textId="1A8229A8" w:rsidR="00C8634D" w:rsidRPr="009F57D8" w:rsidRDefault="00C8634D" w:rsidP="00C8634D">
            <w:pPr>
              <w:pStyle w:val="TableText0"/>
              <w:rPr>
                <w:rFonts w:ascii="Calibri" w:eastAsia="Times New Roman" w:hAnsi="Calibri" w:cs="Calibri"/>
                <w:sz w:val="22"/>
                <w:szCs w:val="22"/>
              </w:rPr>
            </w:pPr>
            <w:r w:rsidRPr="009F57D8">
              <w:t>3.65%</w:t>
            </w:r>
            <w:r w:rsidR="00D81033" w:rsidRPr="009F57D8">
              <w:rPr>
                <w:vertAlign w:val="superscript"/>
              </w:rPr>
              <w:t>b</w:t>
            </w:r>
          </w:p>
        </w:tc>
      </w:tr>
      <w:tr w:rsidR="00685EC4" w:rsidRPr="009F57D8" w14:paraId="2B675E0C" w14:textId="77777777" w:rsidTr="000D48A0">
        <w:trPr>
          <w:cantSplit/>
          <w:tblHeader/>
        </w:trPr>
        <w:tc>
          <w:tcPr>
            <w:tcW w:w="1666" w:type="pct"/>
          </w:tcPr>
          <w:p w14:paraId="110D4057" w14:textId="2E8B708A" w:rsidR="00685EC4" w:rsidRPr="009F57D8" w:rsidRDefault="00685EC4" w:rsidP="00685EC4">
            <w:pPr>
              <w:pStyle w:val="TableText0"/>
            </w:pPr>
            <w:r w:rsidRPr="009F57D8">
              <w:t>Additional MaR, COPD and CLD (≥18 years)</w:t>
            </w:r>
          </w:p>
        </w:tc>
        <w:tc>
          <w:tcPr>
            <w:tcW w:w="1667" w:type="pct"/>
          </w:tcPr>
          <w:p w14:paraId="446A1548" w14:textId="6DF719D8" w:rsidR="00685EC4" w:rsidRPr="009F57D8" w:rsidRDefault="00685EC4" w:rsidP="00685EC4">
            <w:pPr>
              <w:pStyle w:val="TableText0"/>
            </w:pPr>
            <w:r w:rsidRPr="009F57D8">
              <w:t>$</w:t>
            </w:r>
            <w:r w:rsidR="00FD08E9" w:rsidRPr="00FD08E9">
              <w:rPr>
                <w:highlight w:val="black"/>
              </w:rPr>
              <w:t>&amp;&amp;&amp;&amp;</w:t>
            </w:r>
            <w:r w:rsidRPr="009F57D8">
              <w:rPr>
                <w:vertAlign w:val="superscript"/>
              </w:rPr>
              <w:t>c</w:t>
            </w:r>
          </w:p>
        </w:tc>
        <w:tc>
          <w:tcPr>
            <w:tcW w:w="1667" w:type="pct"/>
          </w:tcPr>
          <w:p w14:paraId="34BF5688" w14:textId="79289015" w:rsidR="00685EC4" w:rsidRPr="009F57D8" w:rsidRDefault="00685EC4" w:rsidP="00685EC4">
            <w:pPr>
              <w:pStyle w:val="TableText0"/>
            </w:pPr>
            <w:r w:rsidRPr="009F57D8">
              <w:t>15.42%</w:t>
            </w:r>
            <w:r w:rsidRPr="009F57D8">
              <w:rPr>
                <w:vertAlign w:val="superscript"/>
              </w:rPr>
              <w:t>c</w:t>
            </w:r>
          </w:p>
        </w:tc>
      </w:tr>
      <w:tr w:rsidR="00685EC4" w:rsidRPr="009F57D8" w14:paraId="5AB897E6" w14:textId="77777777" w:rsidTr="000D48A0">
        <w:trPr>
          <w:cantSplit/>
          <w:tblHeader/>
        </w:trPr>
        <w:tc>
          <w:tcPr>
            <w:tcW w:w="1666" w:type="pct"/>
          </w:tcPr>
          <w:p w14:paraId="3152CFE8" w14:textId="38D960C3" w:rsidR="00685EC4" w:rsidRPr="009F57D8" w:rsidRDefault="00685EC4" w:rsidP="00685EC4">
            <w:pPr>
              <w:pStyle w:val="TableText0"/>
            </w:pPr>
            <w:r w:rsidRPr="009F57D8">
              <w:t>Indigenous 25-49 years</w:t>
            </w:r>
          </w:p>
        </w:tc>
        <w:tc>
          <w:tcPr>
            <w:tcW w:w="1667" w:type="pct"/>
          </w:tcPr>
          <w:p w14:paraId="50FED205" w14:textId="217DA5B3" w:rsidR="00685EC4" w:rsidRPr="009F57D8" w:rsidRDefault="00685EC4" w:rsidP="00685EC4">
            <w:pPr>
              <w:pStyle w:val="TableText0"/>
              <w:rPr>
                <w:b/>
              </w:rPr>
            </w:pPr>
            <w:r w:rsidRPr="009F57D8">
              <w:t>$</w:t>
            </w:r>
            <w:r w:rsidR="00FD08E9" w:rsidRPr="00FD08E9">
              <w:rPr>
                <w:highlight w:val="black"/>
              </w:rPr>
              <w:t>&amp;&amp;&amp;&amp;</w:t>
            </w:r>
          </w:p>
        </w:tc>
        <w:tc>
          <w:tcPr>
            <w:tcW w:w="1667" w:type="pct"/>
          </w:tcPr>
          <w:p w14:paraId="5ACBE261" w14:textId="42C7DFCA" w:rsidR="00685EC4" w:rsidRPr="009F57D8" w:rsidRDefault="00685EC4" w:rsidP="00685EC4">
            <w:pPr>
              <w:pStyle w:val="TableText0"/>
              <w:rPr>
                <w:rFonts w:ascii="Calibri" w:eastAsia="Times New Roman" w:hAnsi="Calibri" w:cs="Calibri"/>
                <w:sz w:val="22"/>
                <w:szCs w:val="22"/>
              </w:rPr>
            </w:pPr>
            <w:r w:rsidRPr="009F57D8">
              <w:t>1.63%</w:t>
            </w:r>
          </w:p>
        </w:tc>
      </w:tr>
      <w:tr w:rsidR="00685EC4" w:rsidRPr="009F57D8" w14:paraId="41F54C1B" w14:textId="77777777" w:rsidTr="000D48A0">
        <w:trPr>
          <w:cantSplit/>
          <w:tblHeader/>
        </w:trPr>
        <w:tc>
          <w:tcPr>
            <w:tcW w:w="1666" w:type="pct"/>
          </w:tcPr>
          <w:p w14:paraId="362227D8" w14:textId="77A4C380" w:rsidR="00685EC4" w:rsidRPr="009F57D8" w:rsidRDefault="00685EC4" w:rsidP="00685EC4">
            <w:pPr>
              <w:pStyle w:val="TableText0"/>
            </w:pPr>
            <w:r w:rsidRPr="009F57D8">
              <w:t xml:space="preserve">Overall price </w:t>
            </w:r>
          </w:p>
        </w:tc>
        <w:tc>
          <w:tcPr>
            <w:tcW w:w="1667" w:type="pct"/>
          </w:tcPr>
          <w:p w14:paraId="575F627C" w14:textId="71D37FA7" w:rsidR="00685EC4" w:rsidRPr="009F57D8" w:rsidRDefault="00685EC4" w:rsidP="00685EC4">
            <w:pPr>
              <w:pStyle w:val="TableText0"/>
              <w:rPr>
                <w:b/>
              </w:rPr>
            </w:pPr>
            <w:r w:rsidRPr="009F57D8">
              <w:rPr>
                <w:b/>
              </w:rPr>
              <w:t>Not specified</w:t>
            </w:r>
          </w:p>
        </w:tc>
        <w:tc>
          <w:tcPr>
            <w:tcW w:w="1667" w:type="pct"/>
          </w:tcPr>
          <w:p w14:paraId="015200CC" w14:textId="08E10E72" w:rsidR="00685EC4" w:rsidRPr="009F57D8" w:rsidRDefault="00685EC4" w:rsidP="00685EC4">
            <w:pPr>
              <w:pStyle w:val="TableText0"/>
              <w:rPr>
                <w:rFonts w:ascii="Calibri" w:eastAsia="Times New Roman" w:hAnsi="Calibri" w:cs="Calibri"/>
                <w:sz w:val="22"/>
                <w:szCs w:val="22"/>
              </w:rPr>
            </w:pPr>
            <w:r w:rsidRPr="009F57D8">
              <w:rPr>
                <w:b/>
              </w:rPr>
              <w:t>100%</w:t>
            </w:r>
          </w:p>
        </w:tc>
      </w:tr>
    </w:tbl>
    <w:p w14:paraId="45E6C5A1" w14:textId="36825D12" w:rsidR="009D7F0A" w:rsidRPr="009F57D8" w:rsidRDefault="009F0F42" w:rsidP="009F0F42">
      <w:pPr>
        <w:pStyle w:val="FooterTableFigure"/>
      </w:pPr>
      <w:r w:rsidRPr="009F57D8">
        <w:t xml:space="preserve">Source: Table 3.6-2, p189 of the submission, and </w:t>
      </w:r>
      <w:r w:rsidR="009D7F0A" w:rsidRPr="009F57D8">
        <w:t>(Budget Impact tab, Attachment 10</w:t>
      </w:r>
      <w:r w:rsidRPr="009F57D8">
        <w:t xml:space="preserve"> to the submission</w:t>
      </w:r>
      <w:r w:rsidR="00F66BFC" w:rsidRPr="009F57D8">
        <w:t>, cells I10:J15</w:t>
      </w:r>
      <w:r w:rsidRPr="009F57D8">
        <w:t>)</w:t>
      </w:r>
      <w:r w:rsidR="00604A63" w:rsidRPr="009F57D8">
        <w:t>.</w:t>
      </w:r>
    </w:p>
    <w:p w14:paraId="40617EFA" w14:textId="564B5926" w:rsidR="00D81033" w:rsidRPr="009F57D8" w:rsidRDefault="00D1457D" w:rsidP="000E6454">
      <w:pPr>
        <w:pStyle w:val="TableFigureFooter"/>
        <w:numPr>
          <w:ilvl w:val="0"/>
          <w:numId w:val="38"/>
        </w:numPr>
      </w:pPr>
      <w:r w:rsidRPr="009F57D8">
        <w:t xml:space="preserve">The population </w:t>
      </w:r>
      <w:r w:rsidR="00440E46" w:rsidRPr="009F57D8">
        <w:t>size</w:t>
      </w:r>
      <w:r w:rsidRPr="009F57D8">
        <w:t xml:space="preserve"> </w:t>
      </w:r>
      <w:r w:rsidR="00440E46" w:rsidRPr="009F57D8">
        <w:t xml:space="preserve">would </w:t>
      </w:r>
      <w:r w:rsidRPr="009F57D8">
        <w:t>increase by 40% based on data provided</w:t>
      </w:r>
      <w:r w:rsidR="0088181F" w:rsidRPr="009F57D8">
        <w:t xml:space="preserve"> </w:t>
      </w:r>
      <w:r w:rsidR="00440E46" w:rsidRPr="009F57D8">
        <w:t xml:space="preserve">for 2025 to 2027 </w:t>
      </w:r>
      <w:r w:rsidR="0088181F" w:rsidRPr="009F57D8">
        <w:t xml:space="preserve">(V116 Regimen tab, Attachment 10 to the submission, </w:t>
      </w:r>
      <w:r w:rsidR="00440E46" w:rsidRPr="009F57D8">
        <w:t>cells AC161:AF168</w:t>
      </w:r>
      <w:r w:rsidR="0088181F" w:rsidRPr="009F57D8">
        <w:t>)</w:t>
      </w:r>
      <w:r w:rsidR="00440E46" w:rsidRPr="009F57D8">
        <w:t>, calculated from Non-ATSI population, 65-69 cohort as a proportion of summed cohorts corresponding to 70+ population (includes all cohorts from 70 years to 100+ years)</w:t>
      </w:r>
      <w:r w:rsidR="00D81033" w:rsidRPr="009F57D8">
        <w:t xml:space="preserve">.  </w:t>
      </w:r>
      <w:r w:rsidR="00C41C65" w:rsidRPr="009F57D8">
        <w:t xml:space="preserve">The requested price for 65+ population is equal to the price requested for 70+ population consistent with the pre-PBAC response which stated that </w:t>
      </w:r>
      <w:r w:rsidR="00C41C65" w:rsidRPr="009F57D8">
        <w:rPr>
          <w:rFonts w:cstheme="minorHAnsi"/>
        </w:rPr>
        <w:t>lowering the non</w:t>
      </w:r>
      <w:r w:rsidR="00C41C65" w:rsidRPr="009F57D8">
        <w:rPr>
          <w:rFonts w:cstheme="minorHAnsi"/>
        </w:rPr>
        <w:noBreakHyphen/>
        <w:t>indigenous age threshold to 65 has a minimal impact on cost-effectiveness, “thus should not impact the price”</w:t>
      </w:r>
      <w:r w:rsidR="00C41C65" w:rsidRPr="009F57D8">
        <w:t>.</w:t>
      </w:r>
    </w:p>
    <w:p w14:paraId="078A1C0B" w14:textId="51B8D873" w:rsidR="002B32D5" w:rsidRPr="009F57D8" w:rsidRDefault="005A5AEA" w:rsidP="000E6454">
      <w:pPr>
        <w:pStyle w:val="TableFigureFooter"/>
        <w:numPr>
          <w:ilvl w:val="0"/>
          <w:numId w:val="38"/>
        </w:numPr>
      </w:pPr>
      <w:r w:rsidRPr="009F57D8">
        <w:t>Unchanged from submission values.  The p</w:t>
      </w:r>
      <w:r w:rsidR="00D81033" w:rsidRPr="009F57D8">
        <w:t xml:space="preserve">opulation size </w:t>
      </w:r>
      <w:r w:rsidRPr="009F57D8">
        <w:t xml:space="preserve">is </w:t>
      </w:r>
      <w:r w:rsidR="00D81033" w:rsidRPr="009F57D8">
        <w:t>unchanged from the submission estimates for 18-69 cohort</w:t>
      </w:r>
      <w:r w:rsidR="00633C24" w:rsidRPr="009F57D8">
        <w:t xml:space="preserve"> for simplicity</w:t>
      </w:r>
      <w:r w:rsidR="00D81033" w:rsidRPr="009F57D8">
        <w:t>, noting this population is a small proportion of the total, and these individuals would remain eligible for vaccination</w:t>
      </w:r>
      <w:r w:rsidR="00633C24" w:rsidRPr="009F57D8">
        <w:t xml:space="preserve"> with 21vPCV after the change to the age threshold</w:t>
      </w:r>
      <w:r w:rsidR="00D81033" w:rsidRPr="009F57D8">
        <w:t xml:space="preserve">. </w:t>
      </w:r>
    </w:p>
    <w:p w14:paraId="3679C893" w14:textId="02F39DB7" w:rsidR="00440E46" w:rsidRPr="009F57D8" w:rsidRDefault="002B32D5" w:rsidP="000E6454">
      <w:pPr>
        <w:pStyle w:val="TableFigureFooter"/>
        <w:numPr>
          <w:ilvl w:val="0"/>
          <w:numId w:val="38"/>
        </w:numPr>
      </w:pPr>
      <w:r w:rsidRPr="009F57D8">
        <w:t xml:space="preserve">Population estimated to correspond to </w:t>
      </w:r>
      <w:r w:rsidR="00D03DB0" w:rsidRPr="00D03DB0">
        <w:t>700,000 to &lt; 800,000</w:t>
      </w:r>
      <w:r w:rsidRPr="009F57D8">
        <w:t>additional adults (Budget Impact tab, Attachment 10 to the submission, cell I25+ cell I29).</w:t>
      </w:r>
      <w:r w:rsidR="00EA5955" w:rsidRPr="009F57D8">
        <w:t xml:space="preserve">  </w:t>
      </w:r>
      <w:r w:rsidR="00C41C65" w:rsidRPr="009F57D8">
        <w:t>Requested</w:t>
      </w:r>
      <w:r w:rsidR="00EA5955" w:rsidRPr="009F57D8">
        <w:t xml:space="preserve"> price $</w:t>
      </w:r>
      <w:r w:rsidR="00FD08E9" w:rsidRPr="00FD08E9">
        <w:rPr>
          <w:highlight w:val="black"/>
        </w:rPr>
        <w:t>&amp;&amp;&amp;&amp;</w:t>
      </w:r>
      <w:r w:rsidR="00EA5955" w:rsidRPr="009F57D8">
        <w:t xml:space="preserve"> sourced from Table 3.8-7 p 210 of the submission.</w:t>
      </w:r>
    </w:p>
    <w:p w14:paraId="2510877A" w14:textId="77869DCA" w:rsidR="00F650F4" w:rsidRPr="009F57D8" w:rsidRDefault="00B12F6F" w:rsidP="000925DD">
      <w:pPr>
        <w:pStyle w:val="4-SubsectionHeading"/>
      </w:pPr>
      <w:bookmarkStart w:id="118" w:name="_Toc207113565"/>
      <w:bookmarkStart w:id="119" w:name="_Toc209004912"/>
      <w:r w:rsidRPr="009F57D8">
        <w:t>21vPCV</w:t>
      </w:r>
      <w:r w:rsidR="00F650F4" w:rsidRPr="009F57D8">
        <w:t xml:space="preserve"> cost/patient/course</w:t>
      </w:r>
      <w:bookmarkEnd w:id="109"/>
      <w:bookmarkEnd w:id="118"/>
      <w:bookmarkEnd w:id="119"/>
    </w:p>
    <w:p w14:paraId="4E2793A3" w14:textId="3DE70129" w:rsidR="00EE3730" w:rsidRPr="009F57D8" w:rsidRDefault="00EE3730" w:rsidP="00F650F4">
      <w:pPr>
        <w:pStyle w:val="3-BodyText"/>
        <w:numPr>
          <w:ilvl w:val="1"/>
          <w:numId w:val="1"/>
        </w:numPr>
      </w:pPr>
      <w:bookmarkStart w:id="120" w:name="_Ref104805102"/>
      <w:r w:rsidRPr="009F57D8">
        <w:t>The proposed vaccine cost per person was $</w:t>
      </w:r>
      <w:r w:rsidR="00FD08E9" w:rsidRPr="00FD08E9">
        <w:rPr>
          <w:highlight w:val="black"/>
        </w:rPr>
        <w:t>&amp;&amp;&amp;&amp;</w:t>
      </w:r>
      <w:r w:rsidRPr="009F57D8">
        <w:t>, assuming a single dose of 21vPCV per lifetime</w:t>
      </w:r>
      <w:r w:rsidR="00BB20AE" w:rsidRPr="009F57D8">
        <w:t xml:space="preserve"> in the adult schedule</w:t>
      </w:r>
      <w:r w:rsidRPr="009F57D8">
        <w:t>.</w:t>
      </w:r>
    </w:p>
    <w:p w14:paraId="214B9D6A" w14:textId="77777777" w:rsidR="00DE03DC" w:rsidRPr="009F57D8" w:rsidRDefault="00DE03DC" w:rsidP="00DE03DC">
      <w:pPr>
        <w:pStyle w:val="3-BodyText"/>
        <w:numPr>
          <w:ilvl w:val="0"/>
          <w:numId w:val="0"/>
        </w:numPr>
        <w:ind w:left="720"/>
      </w:pPr>
    </w:p>
    <w:p w14:paraId="7C05A32E" w14:textId="34AC2211" w:rsidR="00F650F4" w:rsidRPr="009F57D8" w:rsidRDefault="00F650F4" w:rsidP="000925DD">
      <w:pPr>
        <w:pStyle w:val="4-SubsectionHeading"/>
      </w:pPr>
      <w:bookmarkStart w:id="121" w:name="_Toc22897647"/>
      <w:bookmarkStart w:id="122" w:name="_Toc207113566"/>
      <w:bookmarkStart w:id="123" w:name="_Toc209004913"/>
      <w:bookmarkEnd w:id="120"/>
      <w:r w:rsidRPr="009F57D8">
        <w:lastRenderedPageBreak/>
        <w:t>Estimated PBS usage &amp; financial implications</w:t>
      </w:r>
      <w:bookmarkEnd w:id="121"/>
      <w:bookmarkEnd w:id="122"/>
      <w:bookmarkEnd w:id="123"/>
    </w:p>
    <w:p w14:paraId="7F520EF2" w14:textId="12200F37" w:rsidR="00F650F4" w:rsidRPr="009F57D8" w:rsidRDefault="00F650F4" w:rsidP="00F650F4">
      <w:pPr>
        <w:pStyle w:val="3-BodyText"/>
        <w:numPr>
          <w:ilvl w:val="1"/>
          <w:numId w:val="1"/>
        </w:numPr>
      </w:pPr>
      <w:r w:rsidRPr="009F57D8">
        <w:t xml:space="preserve">This submission </w:t>
      </w:r>
      <w:r w:rsidR="00F603B1" w:rsidRPr="009F57D8">
        <w:t xml:space="preserve">was </w:t>
      </w:r>
      <w:r w:rsidRPr="009F57D8">
        <w:t xml:space="preserve">not considered by </w:t>
      </w:r>
      <w:r w:rsidR="00446895" w:rsidRPr="009F57D8">
        <w:t xml:space="preserve">the </w:t>
      </w:r>
      <w:r w:rsidRPr="009F57D8">
        <w:t>DUSC.</w:t>
      </w:r>
    </w:p>
    <w:p w14:paraId="0A146835" w14:textId="1A653309" w:rsidR="00F650F4" w:rsidRPr="009F57D8" w:rsidRDefault="00F650F4" w:rsidP="00F650F4">
      <w:pPr>
        <w:pStyle w:val="3-BodyText"/>
        <w:numPr>
          <w:ilvl w:val="1"/>
          <w:numId w:val="1"/>
        </w:numPr>
      </w:pPr>
      <w:r w:rsidRPr="009F57D8">
        <w:t xml:space="preserve">The submission used an epidemiological approach in estimating the potential utilisation of </w:t>
      </w:r>
      <w:r w:rsidR="00CD03C5" w:rsidRPr="009F57D8">
        <w:t xml:space="preserve">21vPCV </w:t>
      </w:r>
      <w:r w:rsidRPr="009F57D8">
        <w:t xml:space="preserve">on the NIP. It </w:t>
      </w:r>
      <w:r w:rsidR="00CD03C5" w:rsidRPr="009F57D8">
        <w:t xml:space="preserve">included the three </w:t>
      </w:r>
      <w:r w:rsidRPr="009F57D8">
        <w:t xml:space="preserve">current NIP-funded populations, an expanded Indigenous 25-49 cohort already </w:t>
      </w:r>
      <w:r w:rsidR="00446895" w:rsidRPr="009F57D8">
        <w:t xml:space="preserve">recommended </w:t>
      </w:r>
      <w:r w:rsidRPr="009F57D8">
        <w:t xml:space="preserve">for 20vPCV, and an expansion scenario for currently non-NIP funded MaR conditions, CLD and COPD. The populations for which estimates were presented were mostly consistent with the CUA and CMA in </w:t>
      </w:r>
      <w:r w:rsidR="00C609FC" w:rsidRPr="009F57D8">
        <w:t>the submission</w:t>
      </w:r>
      <w:r w:rsidRPr="009F57D8">
        <w:t xml:space="preserve">, with the exception that </w:t>
      </w:r>
      <w:r w:rsidR="00C609FC" w:rsidRPr="009F57D8">
        <w:t xml:space="preserve">the submission </w:t>
      </w:r>
      <w:r w:rsidRPr="009F57D8">
        <w:t xml:space="preserve">did not present cost-effectiveness results for individuals 18-49 years with COPD (in the MaR population 18 to 69 years), and catch-up programs for </w:t>
      </w:r>
      <w:r w:rsidR="00D04DE7" w:rsidRPr="009F57D8">
        <w:t>Aboriginal and Torres Strait Islander adults</w:t>
      </w:r>
      <w:r w:rsidRPr="009F57D8">
        <w:t xml:space="preserve"> </w:t>
      </w:r>
      <w:r w:rsidRPr="009F57D8">
        <w:rPr>
          <w:rFonts w:cstheme="minorHAnsi"/>
        </w:rPr>
        <w:t xml:space="preserve">≥ </w:t>
      </w:r>
      <w:r w:rsidRPr="009F57D8">
        <w:t>5</w:t>
      </w:r>
      <w:r w:rsidR="00C609FC" w:rsidRPr="009F57D8">
        <w:t>0</w:t>
      </w:r>
      <w:r w:rsidRPr="009F57D8">
        <w:t xml:space="preserve"> and MaR adults.</w:t>
      </w:r>
      <w:r w:rsidR="00CC7CAD" w:rsidRPr="009F57D8">
        <w:t xml:space="preserve"> </w:t>
      </w:r>
      <w:r w:rsidRPr="009F57D8">
        <w:t>The key inputs relied on in the financial estimates are outlined in</w:t>
      </w:r>
      <w:r w:rsidR="00285B68">
        <w:t xml:space="preserve"> Table 21</w:t>
      </w:r>
      <w:r w:rsidRPr="009F57D8">
        <w:t>.</w:t>
      </w:r>
    </w:p>
    <w:p w14:paraId="4DE73AC4" w14:textId="77777777" w:rsidR="00D41D57" w:rsidRPr="009F57D8" w:rsidRDefault="00D41D57" w:rsidP="00D41D57">
      <w:pPr>
        <w:pStyle w:val="3-BodyText"/>
        <w:numPr>
          <w:ilvl w:val="0"/>
          <w:numId w:val="0"/>
        </w:numPr>
        <w:ind w:left="720"/>
      </w:pPr>
    </w:p>
    <w:p w14:paraId="4BEE6A55" w14:textId="685D55F3" w:rsidR="00F650F4" w:rsidRPr="009F57D8" w:rsidRDefault="00F650F4" w:rsidP="00F650F4">
      <w:pPr>
        <w:pStyle w:val="Caption"/>
      </w:pPr>
      <w:bookmarkStart w:id="124" w:name="_Ref206773292"/>
      <w:r w:rsidRPr="009F57D8">
        <w:lastRenderedPageBreak/>
        <w:t xml:space="preserve">Table </w:t>
      </w:r>
      <w:bookmarkEnd w:id="124"/>
      <w:r w:rsidR="00285B68">
        <w:t>21</w:t>
      </w:r>
      <w:r w:rsidRPr="009F57D8">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Key inputs for financial estimates"/>
      </w:tblPr>
      <w:tblGrid>
        <w:gridCol w:w="1837"/>
        <w:gridCol w:w="3261"/>
        <w:gridCol w:w="3919"/>
      </w:tblGrid>
      <w:tr w:rsidR="00F650F4" w:rsidRPr="009F57D8" w14:paraId="347F648F" w14:textId="77777777" w:rsidTr="000D48A0">
        <w:trPr>
          <w:cantSplit/>
          <w:tblHeader/>
        </w:trPr>
        <w:tc>
          <w:tcPr>
            <w:tcW w:w="1019" w:type="pct"/>
            <w:vAlign w:val="center"/>
          </w:tcPr>
          <w:p w14:paraId="147217BF" w14:textId="77777777" w:rsidR="00F650F4" w:rsidRPr="009F57D8" w:rsidRDefault="00F650F4">
            <w:pPr>
              <w:pStyle w:val="TableText0"/>
              <w:jc w:val="center"/>
              <w:rPr>
                <w:b/>
                <w:bCs w:val="0"/>
              </w:rPr>
            </w:pPr>
            <w:r w:rsidRPr="009F57D8">
              <w:rPr>
                <w:b/>
                <w:bCs w:val="0"/>
              </w:rPr>
              <w:t>Parameter</w:t>
            </w:r>
          </w:p>
        </w:tc>
        <w:tc>
          <w:tcPr>
            <w:tcW w:w="1808" w:type="pct"/>
            <w:vAlign w:val="center"/>
          </w:tcPr>
          <w:p w14:paraId="7805BE32" w14:textId="77777777" w:rsidR="00F650F4" w:rsidRPr="009F57D8" w:rsidRDefault="00F650F4">
            <w:pPr>
              <w:pStyle w:val="TableText0"/>
              <w:jc w:val="center"/>
              <w:rPr>
                <w:b/>
                <w:bCs w:val="0"/>
              </w:rPr>
            </w:pPr>
            <w:r w:rsidRPr="009F57D8">
              <w:rPr>
                <w:b/>
                <w:bCs w:val="0"/>
              </w:rPr>
              <w:t>Value applied and source</w:t>
            </w:r>
          </w:p>
        </w:tc>
        <w:tc>
          <w:tcPr>
            <w:tcW w:w="2173" w:type="pct"/>
            <w:vAlign w:val="center"/>
          </w:tcPr>
          <w:p w14:paraId="0F5E6CC4" w14:textId="77777777" w:rsidR="00F650F4" w:rsidRPr="009F57D8" w:rsidRDefault="00F650F4">
            <w:pPr>
              <w:pStyle w:val="TableText0"/>
              <w:jc w:val="center"/>
              <w:rPr>
                <w:b/>
                <w:bCs w:val="0"/>
              </w:rPr>
            </w:pPr>
            <w:r w:rsidRPr="009F57D8">
              <w:rPr>
                <w:b/>
                <w:bCs w:val="0"/>
              </w:rPr>
              <w:t>Comment</w:t>
            </w:r>
          </w:p>
        </w:tc>
      </w:tr>
      <w:tr w:rsidR="00F650F4" w:rsidRPr="009F57D8" w14:paraId="41213480" w14:textId="77777777" w:rsidTr="000D48A0">
        <w:trPr>
          <w:cantSplit/>
          <w:tblHeader/>
        </w:trPr>
        <w:tc>
          <w:tcPr>
            <w:tcW w:w="1019" w:type="pct"/>
            <w:vAlign w:val="center"/>
          </w:tcPr>
          <w:p w14:paraId="1641951F" w14:textId="77777777" w:rsidR="00F650F4" w:rsidRPr="009F57D8" w:rsidRDefault="00F650F4">
            <w:pPr>
              <w:pStyle w:val="TableText0"/>
            </w:pPr>
            <w:r w:rsidRPr="009F57D8">
              <w:t>Incidence/prevalence for Indigenous and non-Indigenous population</w:t>
            </w:r>
          </w:p>
        </w:tc>
        <w:tc>
          <w:tcPr>
            <w:tcW w:w="1808" w:type="pct"/>
            <w:vAlign w:val="center"/>
          </w:tcPr>
          <w:p w14:paraId="6D029190" w14:textId="00B54492" w:rsidR="00F650F4" w:rsidRPr="009F57D8" w:rsidRDefault="00F650F4">
            <w:pPr>
              <w:pStyle w:val="TableText0"/>
            </w:pPr>
            <w:r w:rsidRPr="009F57D8">
              <w:t xml:space="preserve">Based on ABS projections series 3222.0 for non-Indigenous and 3238.0 for </w:t>
            </w:r>
            <w:r w:rsidR="00D04DE7" w:rsidRPr="009F57D8">
              <w:t>Aboriginal and Torres Strait Islander adults</w:t>
            </w:r>
            <w:r w:rsidRPr="009F57D8">
              <w:t>, 2024 and 2023 projections respectively.</w:t>
            </w:r>
          </w:p>
        </w:tc>
        <w:tc>
          <w:tcPr>
            <w:tcW w:w="2173" w:type="pct"/>
            <w:vAlign w:val="center"/>
          </w:tcPr>
          <w:p w14:paraId="16973036" w14:textId="35198A85" w:rsidR="00F650F4" w:rsidRPr="009F57D8" w:rsidRDefault="00EC2B3E">
            <w:pPr>
              <w:pStyle w:val="TableText0"/>
              <w:rPr>
                <w:highlight w:val="yellow"/>
              </w:rPr>
            </w:pPr>
            <w:r w:rsidRPr="009F57D8">
              <w:t>The evaluation considered this was r</w:t>
            </w:r>
            <w:r w:rsidR="00F650F4" w:rsidRPr="009F57D8">
              <w:t>easonable</w:t>
            </w:r>
            <w:r w:rsidRPr="009F57D8">
              <w:t>.</w:t>
            </w:r>
          </w:p>
        </w:tc>
      </w:tr>
      <w:tr w:rsidR="00F650F4" w:rsidRPr="009F57D8" w14:paraId="0AD90949" w14:textId="77777777" w:rsidTr="000D48A0">
        <w:trPr>
          <w:cantSplit/>
          <w:tblHeader/>
        </w:trPr>
        <w:tc>
          <w:tcPr>
            <w:tcW w:w="1019" w:type="pct"/>
            <w:vAlign w:val="center"/>
          </w:tcPr>
          <w:p w14:paraId="31E7E4C6" w14:textId="77777777" w:rsidR="00F650F4" w:rsidRPr="009F57D8" w:rsidRDefault="00F650F4">
            <w:pPr>
              <w:pStyle w:val="TableText0"/>
            </w:pPr>
            <w:r w:rsidRPr="009F57D8">
              <w:t>Incidence/prevalence for MaR population</w:t>
            </w:r>
          </w:p>
        </w:tc>
        <w:tc>
          <w:tcPr>
            <w:tcW w:w="1808" w:type="pct"/>
            <w:vAlign w:val="center"/>
          </w:tcPr>
          <w:p w14:paraId="28404457" w14:textId="77777777" w:rsidR="00F650F4" w:rsidRPr="009F57D8" w:rsidRDefault="00F650F4" w:rsidP="00572866">
            <w:pPr>
              <w:pStyle w:val="TableText0"/>
              <w:numPr>
                <w:ilvl w:val="0"/>
                <w:numId w:val="24"/>
              </w:numPr>
              <w:ind w:left="397"/>
            </w:pPr>
            <w:r w:rsidRPr="009F57D8">
              <w:t xml:space="preserve">Stem cell and solid organ transplant and patients with previous IPD used a 5 x arbitrary conversion factor. </w:t>
            </w:r>
          </w:p>
          <w:p w14:paraId="12F22CD3" w14:textId="77777777" w:rsidR="00F650F4" w:rsidRPr="009F57D8" w:rsidRDefault="00F650F4" w:rsidP="00572866">
            <w:pPr>
              <w:pStyle w:val="TableText0"/>
              <w:keepLines w:val="0"/>
              <w:widowControl w:val="0"/>
              <w:numPr>
                <w:ilvl w:val="0"/>
                <w:numId w:val="24"/>
              </w:numPr>
              <w:ind w:left="397"/>
            </w:pPr>
            <w:r w:rsidRPr="009F57D8">
              <w:t>Asplenia: Dendle et al. (2012)</w:t>
            </w:r>
          </w:p>
          <w:p w14:paraId="0C6B4000" w14:textId="77777777" w:rsidR="00F650F4" w:rsidRPr="009F57D8" w:rsidRDefault="00F650F4" w:rsidP="00572866">
            <w:pPr>
              <w:pStyle w:val="TableText0"/>
              <w:numPr>
                <w:ilvl w:val="0"/>
                <w:numId w:val="24"/>
              </w:numPr>
              <w:ind w:left="397"/>
            </w:pPr>
            <w:r w:rsidRPr="009F57D8">
              <w:t>Cochlear implants: provider website</w:t>
            </w:r>
          </w:p>
          <w:p w14:paraId="052E8F74" w14:textId="3A193856" w:rsidR="00F650F4" w:rsidRPr="009F57D8" w:rsidRDefault="00F650F4" w:rsidP="00572866">
            <w:pPr>
              <w:pStyle w:val="TableText0"/>
              <w:numPr>
                <w:ilvl w:val="0"/>
                <w:numId w:val="24"/>
              </w:numPr>
              <w:ind w:left="397"/>
            </w:pPr>
            <w:r w:rsidRPr="009F57D8">
              <w:t>Incidence and prevalence of COPD and prevalence of CLD consistent with ATAGI advice.</w:t>
            </w:r>
            <w:r w:rsidR="00587DFF" w:rsidRPr="009F57D8">
              <w:t xml:space="preserve"> </w:t>
            </w:r>
            <w:r w:rsidRPr="009F57D8">
              <w:t>CLD prevalence from Wu et al. (2024)</w:t>
            </w:r>
          </w:p>
        </w:tc>
        <w:tc>
          <w:tcPr>
            <w:tcW w:w="2173" w:type="pct"/>
            <w:vAlign w:val="center"/>
          </w:tcPr>
          <w:p w14:paraId="66420757" w14:textId="77777777" w:rsidR="00F650F4" w:rsidRPr="009F57D8" w:rsidRDefault="00F650F4" w:rsidP="00572866">
            <w:pPr>
              <w:pStyle w:val="TableText0"/>
              <w:numPr>
                <w:ilvl w:val="0"/>
                <w:numId w:val="25"/>
              </w:numPr>
              <w:ind w:left="400"/>
            </w:pPr>
            <w:r w:rsidRPr="009F57D8">
              <w:t>ATAGI criticised the arbitrary 5 x conversion factor due to lack of support.</w:t>
            </w:r>
          </w:p>
          <w:p w14:paraId="12F7FCF8" w14:textId="77777777" w:rsidR="00F650F4" w:rsidRPr="009F57D8" w:rsidRDefault="00F650F4" w:rsidP="00572866">
            <w:pPr>
              <w:pStyle w:val="TableText0"/>
              <w:keepLines w:val="0"/>
              <w:widowControl w:val="0"/>
              <w:numPr>
                <w:ilvl w:val="0"/>
                <w:numId w:val="25"/>
              </w:numPr>
              <w:ind w:left="400"/>
            </w:pPr>
            <w:r w:rsidRPr="009F57D8">
              <w:t>Asplenia incidence was uncertain given it was unclear if Dendle et al. (2012) remains valid with data from 1998-2006.</w:t>
            </w:r>
          </w:p>
          <w:p w14:paraId="6449EF9E" w14:textId="77777777" w:rsidR="00F650F4" w:rsidRPr="009F57D8" w:rsidRDefault="00F650F4" w:rsidP="00572866">
            <w:pPr>
              <w:pStyle w:val="TableText0"/>
              <w:numPr>
                <w:ilvl w:val="0"/>
                <w:numId w:val="25"/>
              </w:numPr>
              <w:ind w:left="400"/>
            </w:pPr>
            <w:r w:rsidRPr="009F57D8">
              <w:t xml:space="preserve">The Cochlear implant incidence was underestimated as it used an unreferenced claim from a single provider. </w:t>
            </w:r>
          </w:p>
          <w:p w14:paraId="0BD87A50" w14:textId="48520A76" w:rsidR="00F650F4" w:rsidRPr="009F57D8" w:rsidRDefault="00F650F4" w:rsidP="00572866">
            <w:pPr>
              <w:pStyle w:val="TableText0"/>
              <w:numPr>
                <w:ilvl w:val="0"/>
                <w:numId w:val="25"/>
              </w:numPr>
              <w:ind w:left="400"/>
            </w:pPr>
            <w:r w:rsidRPr="009F57D8">
              <w:t xml:space="preserve">The </w:t>
            </w:r>
            <w:r w:rsidR="00EC2B3E" w:rsidRPr="009F57D8">
              <w:t xml:space="preserve">evaluation considered the </w:t>
            </w:r>
            <w:r w:rsidRPr="009F57D8">
              <w:t>COPD and CLD estimates were reasonable.</w:t>
            </w:r>
          </w:p>
        </w:tc>
      </w:tr>
      <w:tr w:rsidR="00F650F4" w:rsidRPr="009F57D8" w14:paraId="789EC967" w14:textId="77777777" w:rsidTr="000D48A0">
        <w:trPr>
          <w:cantSplit/>
          <w:tblHeader/>
        </w:trPr>
        <w:tc>
          <w:tcPr>
            <w:tcW w:w="1019" w:type="pct"/>
            <w:vAlign w:val="center"/>
          </w:tcPr>
          <w:p w14:paraId="4345EE2A" w14:textId="3EA2D602" w:rsidR="00F650F4" w:rsidRPr="009F57D8" w:rsidRDefault="00F650F4">
            <w:pPr>
              <w:pStyle w:val="TableText0"/>
            </w:pPr>
            <w:r w:rsidRPr="009F57D8">
              <w:t xml:space="preserve">Uptake rate for </w:t>
            </w:r>
            <w:r w:rsidR="00B12F6F" w:rsidRPr="009F57D8">
              <w:t>21vPCV</w:t>
            </w:r>
          </w:p>
        </w:tc>
        <w:tc>
          <w:tcPr>
            <w:tcW w:w="1808" w:type="pct"/>
            <w:vAlign w:val="center"/>
          </w:tcPr>
          <w:p w14:paraId="6CCEA762" w14:textId="26228104" w:rsidR="00F650F4" w:rsidRPr="009F57D8" w:rsidRDefault="00F650F4">
            <w:pPr>
              <w:pStyle w:val="TableText0"/>
            </w:pPr>
            <w:r w:rsidRPr="009F57D8">
              <w:t>Non-Indigenous adults 70 years (</w:t>
            </w:r>
            <w:r w:rsidR="00FD08E9" w:rsidRPr="00FD08E9">
              <w:rPr>
                <w:highlight w:val="black"/>
              </w:rPr>
              <w:t>&amp;&amp;&amp;&amp;</w:t>
            </w:r>
            <w:r w:rsidRPr="009F57D8">
              <w:t>%) sourced from ATAGI advice.</w:t>
            </w:r>
          </w:p>
          <w:p w14:paraId="26509EB9" w14:textId="1455F1C9" w:rsidR="00F650F4" w:rsidRPr="009F57D8" w:rsidRDefault="00F650F4">
            <w:pPr>
              <w:pStyle w:val="TableText0"/>
            </w:pPr>
            <w:r w:rsidRPr="009F57D8">
              <w:t xml:space="preserve">Catch-up: The cumulative uptake rate (over 3 years) was assumed to be </w:t>
            </w:r>
            <w:r w:rsidR="00FD08E9" w:rsidRPr="00FD08E9">
              <w:rPr>
                <w:highlight w:val="black"/>
              </w:rPr>
              <w:t>&amp;&amp;&amp;&amp;</w:t>
            </w:r>
            <w:r w:rsidRPr="009F57D8">
              <w:t xml:space="preserve">%, except for </w:t>
            </w:r>
            <w:r w:rsidR="00D04DE7" w:rsidRPr="009F57D8">
              <w:t>Aboriginal and Torres Strait Islander adults</w:t>
            </w:r>
            <w:r w:rsidRPr="009F57D8">
              <w:t xml:space="preserve"> &gt; 50 years, for whom the rate was assumed to be </w:t>
            </w:r>
            <w:r w:rsidR="00FD08E9" w:rsidRPr="00FD08E9">
              <w:rPr>
                <w:highlight w:val="black"/>
              </w:rPr>
              <w:t>&amp;&amp;&amp;&amp;</w:t>
            </w:r>
            <w:r w:rsidRPr="009F57D8">
              <w:t xml:space="preserve">% over 3 years. The </w:t>
            </w:r>
            <w:r w:rsidR="00FD08E9" w:rsidRPr="00FD08E9">
              <w:rPr>
                <w:highlight w:val="black"/>
              </w:rPr>
              <w:t>&amp;&amp;&amp;&amp;</w:t>
            </w:r>
            <w:r w:rsidRPr="009F57D8">
              <w:t xml:space="preserve">% figure was based on the 13vPCV PSD, while the </w:t>
            </w:r>
            <w:r w:rsidR="00FD08E9" w:rsidRPr="00FD08E9">
              <w:rPr>
                <w:highlight w:val="black"/>
              </w:rPr>
              <w:t>&amp;&amp;&amp;&amp;</w:t>
            </w:r>
            <w:r w:rsidRPr="009F57D8">
              <w:t>% was derived from the uptake rate of the flu vaccine among Indigenous populations.</w:t>
            </w:r>
          </w:p>
        </w:tc>
        <w:tc>
          <w:tcPr>
            <w:tcW w:w="2173" w:type="pct"/>
            <w:vAlign w:val="center"/>
          </w:tcPr>
          <w:p w14:paraId="7DE5EC14" w14:textId="57B18400" w:rsidR="00F650F4" w:rsidRPr="009F57D8" w:rsidRDefault="00EC2B3E">
            <w:pPr>
              <w:pStyle w:val="TableText0"/>
            </w:pPr>
            <w:r w:rsidRPr="009F57D8">
              <w:t>The evaluation considered t</w:t>
            </w:r>
            <w:r w:rsidR="00F650F4" w:rsidRPr="009F57D8">
              <w:t>his was reasonable. Sensitivity analyses suggested by ATAGI were conducted by the submission (</w:t>
            </w:r>
            <w:r w:rsidR="00F650F4" w:rsidRPr="009F57D8">
              <w:fldChar w:fldCharType="begin"/>
            </w:r>
            <w:r w:rsidR="00F650F4" w:rsidRPr="009F57D8">
              <w:instrText xml:space="preserve"> REF _Ref206773335 \h  \* MERGEFORMAT </w:instrText>
            </w:r>
            <w:r w:rsidR="00581386">
              <w:fldChar w:fldCharType="separate"/>
            </w:r>
            <w:r w:rsidR="00581386">
              <w:rPr>
                <w:b/>
                <w:bCs w:val="0"/>
                <w:lang w:val="en-GB"/>
              </w:rPr>
              <w:t>Error! Reference source not found.</w:t>
            </w:r>
            <w:r w:rsidR="00F650F4" w:rsidRPr="009F57D8">
              <w:fldChar w:fldCharType="end"/>
            </w:r>
            <w:r w:rsidR="00487E2F" w:rsidRPr="009F57D8">
              <w:t>.</w:t>
            </w:r>
            <w:r w:rsidR="00F650F4" w:rsidRPr="009F57D8">
              <w:t>)</w:t>
            </w:r>
          </w:p>
        </w:tc>
      </w:tr>
      <w:tr w:rsidR="00F650F4" w:rsidRPr="009F57D8" w14:paraId="24CAB844" w14:textId="77777777" w:rsidTr="000D48A0">
        <w:trPr>
          <w:cantSplit/>
          <w:tblHeader/>
        </w:trPr>
        <w:tc>
          <w:tcPr>
            <w:tcW w:w="1019" w:type="pct"/>
            <w:vAlign w:val="center"/>
          </w:tcPr>
          <w:p w14:paraId="7EA16448" w14:textId="77777777" w:rsidR="00F650F4" w:rsidRPr="009F57D8" w:rsidRDefault="00F650F4">
            <w:pPr>
              <w:pStyle w:val="TableText0"/>
            </w:pPr>
            <w:r w:rsidRPr="009F57D8">
              <w:t>Uptake rate for second dose of the 23vPPV booster</w:t>
            </w:r>
          </w:p>
        </w:tc>
        <w:tc>
          <w:tcPr>
            <w:tcW w:w="1808" w:type="pct"/>
            <w:vAlign w:val="center"/>
          </w:tcPr>
          <w:p w14:paraId="109125B4" w14:textId="77777777" w:rsidR="00F650F4" w:rsidRPr="009F57D8" w:rsidRDefault="00F650F4">
            <w:pPr>
              <w:pStyle w:val="TableText0"/>
            </w:pPr>
            <w:r w:rsidRPr="009F57D8">
              <w:t>80% uptake assumed for second dose of 23vPPV booster dose after 13vPCV (based on 20vPCV PSD).</w:t>
            </w:r>
          </w:p>
        </w:tc>
        <w:tc>
          <w:tcPr>
            <w:tcW w:w="2173" w:type="pct"/>
            <w:vAlign w:val="center"/>
          </w:tcPr>
          <w:p w14:paraId="2B60347F" w14:textId="77777777" w:rsidR="00F650F4" w:rsidRPr="009F57D8" w:rsidRDefault="00F650F4">
            <w:pPr>
              <w:pStyle w:val="TableText0"/>
            </w:pPr>
            <w:r w:rsidRPr="009F57D8">
              <w:t>The financial impact is likely underestimated as the second dose of 23vPPV was assumed to start in Year 1. The estimates in the 20vPCV PSD did not include a second 23vPPV dose (para 6.85, 20vPCV PSD, November 2022, PBAC Meeting) as it was assumed to be received beyond the financial forecast period.</w:t>
            </w:r>
          </w:p>
        </w:tc>
      </w:tr>
      <w:tr w:rsidR="00F650F4" w:rsidRPr="009F57D8" w14:paraId="2ECD9146" w14:textId="77777777" w:rsidTr="000D48A0">
        <w:trPr>
          <w:cantSplit/>
          <w:tblHeader/>
        </w:trPr>
        <w:tc>
          <w:tcPr>
            <w:tcW w:w="1019" w:type="pct"/>
            <w:vAlign w:val="center"/>
          </w:tcPr>
          <w:p w14:paraId="100BD129" w14:textId="77777777" w:rsidR="00F650F4" w:rsidRPr="009F57D8" w:rsidRDefault="00F650F4">
            <w:pPr>
              <w:pStyle w:val="TableText0"/>
            </w:pPr>
            <w:r w:rsidRPr="009F57D8">
              <w:t xml:space="preserve">Administration cost </w:t>
            </w:r>
          </w:p>
        </w:tc>
        <w:tc>
          <w:tcPr>
            <w:tcW w:w="1808" w:type="pct"/>
            <w:vAlign w:val="center"/>
          </w:tcPr>
          <w:p w14:paraId="3063DE2C" w14:textId="77777777" w:rsidR="00F650F4" w:rsidRPr="009F57D8" w:rsidRDefault="00F650F4">
            <w:pPr>
              <w:pStyle w:val="TableText0"/>
            </w:pPr>
            <w:r w:rsidRPr="009F57D8">
              <w:t>MBS item 3</w:t>
            </w:r>
          </w:p>
        </w:tc>
        <w:tc>
          <w:tcPr>
            <w:tcW w:w="2173" w:type="pct"/>
            <w:vAlign w:val="center"/>
          </w:tcPr>
          <w:p w14:paraId="024F1461" w14:textId="77777777" w:rsidR="00F650F4" w:rsidRPr="009F57D8" w:rsidRDefault="00F650F4">
            <w:pPr>
              <w:pStyle w:val="TableText0"/>
            </w:pPr>
            <w:r w:rsidRPr="009F57D8">
              <w:t xml:space="preserve">MBS costs might be overestimated as a proportion of the Indigenous population may receive vaccines through </w:t>
            </w:r>
            <w:bookmarkStart w:id="125" w:name="_Hlk173828995"/>
            <w:r w:rsidRPr="009F57D8">
              <w:t>ACCHO</w:t>
            </w:r>
            <w:bookmarkEnd w:id="125"/>
            <w:r w:rsidRPr="009F57D8">
              <w:t xml:space="preserve">s (para 6.89, 20vPCV PSD, November 2022 PBAC Meeting). </w:t>
            </w:r>
          </w:p>
        </w:tc>
      </w:tr>
    </w:tbl>
    <w:p w14:paraId="1F4B0193" w14:textId="77777777" w:rsidR="00F650F4" w:rsidRPr="009F57D8" w:rsidRDefault="00F650F4" w:rsidP="00F650F4">
      <w:pPr>
        <w:pStyle w:val="FooterTableFigure"/>
      </w:pPr>
      <w:r w:rsidRPr="009F57D8">
        <w:t>Source: Compiled in the evaluation from Section 4.</w:t>
      </w:r>
    </w:p>
    <w:p w14:paraId="1B883866" w14:textId="08FCA344" w:rsidR="00F650F4" w:rsidRPr="009F57D8" w:rsidRDefault="00F650F4" w:rsidP="00F650F4">
      <w:pPr>
        <w:pStyle w:val="FooterTableFigure"/>
      </w:pPr>
      <w:r w:rsidRPr="009F57D8">
        <w:t xml:space="preserve">13vPCV = 13-valent pneumococcal conjugate vaccine; 20vPCV = 20-valent pneumococcal conjugate vaccine; 23vPPV = 23-valent pneumococcal polysaccharide vaccine; ABS = Australia Bureau of Statistics; ACCHO = Aboriginal Community Controlled Health; ATAGI = Australian Technical Advisory Group on Immunisation; MaR = medically at risk; MBS = Medicare Benefits Schedule; PBAC = Pharmaceutical Benefits Advisory Committee; PSD = public summary document; </w:t>
      </w:r>
      <w:r w:rsidR="00B12F6F" w:rsidRPr="009F57D8">
        <w:t>21vPCV</w:t>
      </w:r>
      <w:r w:rsidRPr="009F57D8">
        <w:t xml:space="preserve"> = 21-valent pneumococcal conjugate vaccine.</w:t>
      </w:r>
    </w:p>
    <w:p w14:paraId="6D31A841" w14:textId="7612ABBB" w:rsidR="00D41D57" w:rsidRDefault="00F650F4" w:rsidP="002C4369">
      <w:pPr>
        <w:pStyle w:val="3-BodyText"/>
        <w:numPr>
          <w:ilvl w:val="1"/>
          <w:numId w:val="1"/>
        </w:numPr>
      </w:pPr>
      <w:r w:rsidRPr="009F57D8">
        <w:t xml:space="preserve">The estimated use and financial implication of incorporating </w:t>
      </w:r>
      <w:r w:rsidR="00EC2B3E" w:rsidRPr="009F57D8">
        <w:t xml:space="preserve">21vPCV </w:t>
      </w:r>
      <w:r w:rsidRPr="009F57D8">
        <w:t>in the NIP for the targeted populations</w:t>
      </w:r>
      <w:r w:rsidR="00C65F2D" w:rsidRPr="009F57D8">
        <w:t xml:space="preserve">, as well as populations with CLD and </w:t>
      </w:r>
      <w:r w:rsidRPr="009F57D8">
        <w:t>COPD</w:t>
      </w:r>
      <w:r w:rsidR="00374E6E" w:rsidRPr="009F57D8">
        <w:t>,</w:t>
      </w:r>
      <w:r w:rsidRPr="009F57D8">
        <w:t xml:space="preserve"> </w:t>
      </w:r>
      <w:r w:rsidR="00C65F2D" w:rsidRPr="009F57D8">
        <w:t xml:space="preserve">are outlined in </w:t>
      </w:r>
      <w:r w:rsidR="00285B68">
        <w:t>Table 22</w:t>
      </w:r>
      <w:r w:rsidRPr="009F57D8">
        <w:t>.</w:t>
      </w:r>
      <w:r w:rsidR="00682552" w:rsidRPr="009F57D8">
        <w:t xml:space="preserve">  </w:t>
      </w:r>
      <w:r w:rsidR="002C4369" w:rsidRPr="009F57D8">
        <w:t>All analyses use the comparator prices assumed by the submission.</w:t>
      </w:r>
    </w:p>
    <w:p w14:paraId="1A34C6C3" w14:textId="77777777" w:rsidR="009E6ED8" w:rsidRPr="009F57D8" w:rsidRDefault="009E6ED8" w:rsidP="009E6ED8">
      <w:pPr>
        <w:pStyle w:val="3-BodyText"/>
        <w:numPr>
          <w:ilvl w:val="0"/>
          <w:numId w:val="0"/>
        </w:numPr>
      </w:pPr>
    </w:p>
    <w:p w14:paraId="0085159A" w14:textId="0AAC5245" w:rsidR="00316D59" w:rsidRPr="00C65909" w:rsidRDefault="00E154F8" w:rsidP="00C65909">
      <w:pPr>
        <w:pStyle w:val="Caption"/>
      </w:pPr>
      <w:bookmarkStart w:id="126" w:name="_Ref206772548"/>
      <w:bookmarkStart w:id="127" w:name="_Hlk208432420"/>
      <w:r w:rsidRPr="00C65909">
        <w:t xml:space="preserve">Table </w:t>
      </w:r>
      <w:bookmarkEnd w:id="126"/>
      <w:r w:rsidRPr="00C65909">
        <w:t>22: Estimated use and financial implications of listing 21vPCV in the NIP</w:t>
      </w:r>
    </w:p>
    <w:tbl>
      <w:tblPr>
        <w:tblStyle w:val="TableGrid"/>
        <w:tblpPr w:leftFromText="181" w:rightFromText="181" w:vertAnchor="text" w:horzAnchor="margin" w:tblpY="1"/>
        <w:tblW w:w="5000" w:type="pct"/>
        <w:tblLook w:val="04A0" w:firstRow="1" w:lastRow="0" w:firstColumn="1" w:lastColumn="0" w:noHBand="0" w:noVBand="1"/>
      </w:tblPr>
      <w:tblGrid>
        <w:gridCol w:w="1535"/>
        <w:gridCol w:w="1246"/>
        <w:gridCol w:w="1246"/>
        <w:gridCol w:w="1246"/>
        <w:gridCol w:w="1246"/>
        <w:gridCol w:w="1246"/>
        <w:gridCol w:w="1252"/>
      </w:tblGrid>
      <w:tr w:rsidR="00F650F4" w:rsidRPr="009F57D8" w14:paraId="4FC48DC9" w14:textId="77777777" w:rsidTr="009E6ED8">
        <w:trPr>
          <w:tblHeader/>
        </w:trPr>
        <w:tc>
          <w:tcPr>
            <w:tcW w:w="851" w:type="pct"/>
            <w:vAlign w:val="center"/>
          </w:tcPr>
          <w:p w14:paraId="04507300" w14:textId="77777777" w:rsidR="00F650F4" w:rsidRPr="009F57D8" w:rsidRDefault="00F650F4" w:rsidP="009E6ED8">
            <w:pPr>
              <w:pStyle w:val="TableText0"/>
              <w:keepNext/>
              <w:jc w:val="center"/>
            </w:pPr>
          </w:p>
        </w:tc>
        <w:tc>
          <w:tcPr>
            <w:tcW w:w="691" w:type="pct"/>
          </w:tcPr>
          <w:p w14:paraId="1D587289" w14:textId="77777777" w:rsidR="00F650F4" w:rsidRPr="009F57D8" w:rsidRDefault="00F650F4" w:rsidP="009E6ED8">
            <w:pPr>
              <w:pStyle w:val="TableText0"/>
              <w:keepNext/>
              <w:jc w:val="center"/>
              <w:rPr>
                <w:b/>
                <w:bCs w:val="0"/>
              </w:rPr>
            </w:pPr>
            <w:r w:rsidRPr="009F57D8">
              <w:rPr>
                <w:b/>
                <w:bCs w:val="0"/>
              </w:rPr>
              <w:t>Year 1 (2026)</w:t>
            </w:r>
          </w:p>
        </w:tc>
        <w:tc>
          <w:tcPr>
            <w:tcW w:w="691" w:type="pct"/>
          </w:tcPr>
          <w:p w14:paraId="652EB9B3" w14:textId="77777777" w:rsidR="00F650F4" w:rsidRPr="009F57D8" w:rsidRDefault="00F650F4" w:rsidP="009E6ED8">
            <w:pPr>
              <w:pStyle w:val="TableText0"/>
              <w:keepNext/>
              <w:jc w:val="center"/>
              <w:rPr>
                <w:b/>
                <w:bCs w:val="0"/>
              </w:rPr>
            </w:pPr>
            <w:r w:rsidRPr="009F57D8">
              <w:rPr>
                <w:b/>
                <w:bCs w:val="0"/>
              </w:rPr>
              <w:t>Year 2 (2027)</w:t>
            </w:r>
          </w:p>
        </w:tc>
        <w:tc>
          <w:tcPr>
            <w:tcW w:w="691" w:type="pct"/>
          </w:tcPr>
          <w:p w14:paraId="4C96F041" w14:textId="77777777" w:rsidR="00F650F4" w:rsidRPr="009F57D8" w:rsidRDefault="00F650F4" w:rsidP="009E6ED8">
            <w:pPr>
              <w:pStyle w:val="TableText0"/>
              <w:keepNext/>
              <w:jc w:val="center"/>
              <w:rPr>
                <w:b/>
                <w:bCs w:val="0"/>
              </w:rPr>
            </w:pPr>
            <w:r w:rsidRPr="009F57D8">
              <w:rPr>
                <w:b/>
                <w:bCs w:val="0"/>
              </w:rPr>
              <w:t>Year 3 (2028)</w:t>
            </w:r>
          </w:p>
        </w:tc>
        <w:tc>
          <w:tcPr>
            <w:tcW w:w="691" w:type="pct"/>
          </w:tcPr>
          <w:p w14:paraId="558BBA7D" w14:textId="77777777" w:rsidR="00F650F4" w:rsidRPr="009F57D8" w:rsidRDefault="00F650F4" w:rsidP="009E6ED8">
            <w:pPr>
              <w:pStyle w:val="TableText0"/>
              <w:keepNext/>
              <w:jc w:val="center"/>
              <w:rPr>
                <w:b/>
                <w:bCs w:val="0"/>
              </w:rPr>
            </w:pPr>
            <w:r w:rsidRPr="009F57D8">
              <w:rPr>
                <w:b/>
                <w:bCs w:val="0"/>
              </w:rPr>
              <w:t>Year 4 (2029)</w:t>
            </w:r>
          </w:p>
        </w:tc>
        <w:tc>
          <w:tcPr>
            <w:tcW w:w="691" w:type="pct"/>
          </w:tcPr>
          <w:p w14:paraId="6C7E352F" w14:textId="77777777" w:rsidR="00F650F4" w:rsidRPr="009F57D8" w:rsidRDefault="00F650F4" w:rsidP="009E6ED8">
            <w:pPr>
              <w:pStyle w:val="TableText0"/>
              <w:keepNext/>
              <w:jc w:val="center"/>
              <w:rPr>
                <w:b/>
                <w:bCs w:val="0"/>
              </w:rPr>
            </w:pPr>
            <w:r w:rsidRPr="009F57D8">
              <w:rPr>
                <w:b/>
                <w:bCs w:val="0"/>
              </w:rPr>
              <w:t>Year 5 (2030)</w:t>
            </w:r>
          </w:p>
        </w:tc>
        <w:tc>
          <w:tcPr>
            <w:tcW w:w="691" w:type="pct"/>
          </w:tcPr>
          <w:p w14:paraId="40CB3BDE" w14:textId="77777777" w:rsidR="00F650F4" w:rsidRPr="009F57D8" w:rsidRDefault="00F650F4" w:rsidP="009E6ED8">
            <w:pPr>
              <w:pStyle w:val="TableText0"/>
              <w:keepNext/>
              <w:jc w:val="center"/>
              <w:rPr>
                <w:b/>
                <w:bCs w:val="0"/>
              </w:rPr>
            </w:pPr>
            <w:r w:rsidRPr="009F57D8">
              <w:rPr>
                <w:b/>
                <w:bCs w:val="0"/>
              </w:rPr>
              <w:t>Year 6 (2031)</w:t>
            </w:r>
          </w:p>
        </w:tc>
      </w:tr>
      <w:tr w:rsidR="00F650F4" w:rsidRPr="009F57D8" w14:paraId="4DF99495" w14:textId="77777777" w:rsidTr="009E6ED8">
        <w:tc>
          <w:tcPr>
            <w:tcW w:w="5000" w:type="pct"/>
            <w:gridSpan w:val="7"/>
            <w:vAlign w:val="center"/>
          </w:tcPr>
          <w:p w14:paraId="42804591" w14:textId="77777777" w:rsidR="00F650F4" w:rsidRPr="009F57D8" w:rsidRDefault="00F650F4" w:rsidP="009E6ED8">
            <w:pPr>
              <w:pStyle w:val="TableText0"/>
              <w:keepNext/>
              <w:rPr>
                <w:b/>
              </w:rPr>
            </w:pPr>
            <w:r w:rsidRPr="009F57D8">
              <w:rPr>
                <w:b/>
              </w:rPr>
              <w:t>Estimated extent of use</w:t>
            </w:r>
          </w:p>
        </w:tc>
      </w:tr>
      <w:tr w:rsidR="00F650F4" w:rsidRPr="009F57D8" w14:paraId="155C7A3A" w14:textId="77777777" w:rsidTr="009E6ED8">
        <w:tc>
          <w:tcPr>
            <w:tcW w:w="5000" w:type="pct"/>
            <w:gridSpan w:val="7"/>
            <w:vAlign w:val="center"/>
          </w:tcPr>
          <w:p w14:paraId="7AC5E7D9" w14:textId="77777777" w:rsidR="00F650F4" w:rsidRPr="009F57D8" w:rsidRDefault="00F650F4" w:rsidP="009E6ED8">
            <w:pPr>
              <w:pStyle w:val="TableText0"/>
              <w:keepNext/>
              <w:rPr>
                <w:b/>
              </w:rPr>
            </w:pPr>
            <w:r w:rsidRPr="009F57D8">
              <w:rPr>
                <w:b/>
              </w:rPr>
              <w:t>Naïve</w:t>
            </w:r>
          </w:p>
        </w:tc>
      </w:tr>
      <w:tr w:rsidR="00F650F4" w:rsidRPr="009F57D8" w14:paraId="22455341" w14:textId="77777777" w:rsidTr="009E6ED8">
        <w:tc>
          <w:tcPr>
            <w:tcW w:w="851" w:type="pct"/>
            <w:vAlign w:val="center"/>
          </w:tcPr>
          <w:p w14:paraId="17C9C96E" w14:textId="77777777" w:rsidR="00F650F4" w:rsidRPr="009F57D8" w:rsidRDefault="00F650F4" w:rsidP="009E6ED8">
            <w:pPr>
              <w:pStyle w:val="TableText0"/>
              <w:keepNext/>
            </w:pPr>
            <w:r w:rsidRPr="009F57D8">
              <w:t>Non-Indigenous ≥ 70</w:t>
            </w:r>
          </w:p>
        </w:tc>
        <w:tc>
          <w:tcPr>
            <w:tcW w:w="691" w:type="pct"/>
            <w:vAlign w:val="center"/>
          </w:tcPr>
          <w:p w14:paraId="334149F1" w14:textId="12604D59" w:rsidR="00F650F4" w:rsidRPr="00C7758F" w:rsidRDefault="00FD08E9" w:rsidP="009E6ED8">
            <w:pPr>
              <w:pStyle w:val="TableText0"/>
              <w:keepNext/>
              <w:jc w:val="center"/>
              <w:rPr>
                <w:i/>
                <w:vertAlign w:val="superscript"/>
              </w:rPr>
            </w:pPr>
            <w:r w:rsidRPr="00FD08E9">
              <w:rPr>
                <w:highlight w:val="black"/>
              </w:rPr>
              <w:t>&amp;&amp;&amp;&amp;</w:t>
            </w:r>
            <w:r w:rsidR="00C7758F">
              <w:rPr>
                <w:vertAlign w:val="superscript"/>
              </w:rPr>
              <w:t>1</w:t>
            </w:r>
          </w:p>
        </w:tc>
        <w:tc>
          <w:tcPr>
            <w:tcW w:w="691" w:type="pct"/>
            <w:vAlign w:val="center"/>
          </w:tcPr>
          <w:p w14:paraId="6ABE793E" w14:textId="4DAB4B7F" w:rsidR="00F650F4" w:rsidRPr="00ED6F31" w:rsidRDefault="00FD08E9" w:rsidP="009E6ED8">
            <w:pPr>
              <w:pStyle w:val="TableText0"/>
              <w:keepNext/>
              <w:jc w:val="center"/>
              <w:rPr>
                <w:i/>
                <w:vertAlign w:val="superscript"/>
              </w:rPr>
            </w:pPr>
            <w:r w:rsidRPr="00FD08E9">
              <w:rPr>
                <w:highlight w:val="black"/>
              </w:rPr>
              <w:t>&amp;&amp;&amp;&amp;</w:t>
            </w:r>
            <w:r w:rsidR="00ED6F31">
              <w:rPr>
                <w:vertAlign w:val="superscript"/>
              </w:rPr>
              <w:t>2</w:t>
            </w:r>
          </w:p>
        </w:tc>
        <w:tc>
          <w:tcPr>
            <w:tcW w:w="691" w:type="pct"/>
            <w:vAlign w:val="center"/>
          </w:tcPr>
          <w:p w14:paraId="283E1F6F" w14:textId="17B68C3F" w:rsidR="00F650F4" w:rsidRPr="00ED6F31" w:rsidRDefault="00FD08E9" w:rsidP="009E6ED8">
            <w:pPr>
              <w:pStyle w:val="TableText0"/>
              <w:keepNext/>
              <w:jc w:val="center"/>
              <w:rPr>
                <w:i/>
                <w:vertAlign w:val="superscript"/>
              </w:rPr>
            </w:pPr>
            <w:r w:rsidRPr="00FD08E9">
              <w:rPr>
                <w:highlight w:val="black"/>
              </w:rPr>
              <w:t>&amp;&amp;&amp;&amp;</w:t>
            </w:r>
            <w:r w:rsidR="00ED6F31">
              <w:rPr>
                <w:vertAlign w:val="superscript"/>
              </w:rPr>
              <w:t>2</w:t>
            </w:r>
          </w:p>
        </w:tc>
        <w:tc>
          <w:tcPr>
            <w:tcW w:w="691" w:type="pct"/>
            <w:vAlign w:val="center"/>
          </w:tcPr>
          <w:p w14:paraId="7248ABFB" w14:textId="13C61A9B" w:rsidR="00F650F4" w:rsidRPr="00ED6F31" w:rsidRDefault="00FD08E9" w:rsidP="009E6ED8">
            <w:pPr>
              <w:pStyle w:val="TableText0"/>
              <w:keepNext/>
              <w:jc w:val="center"/>
              <w:rPr>
                <w:i/>
                <w:vertAlign w:val="superscript"/>
              </w:rPr>
            </w:pPr>
            <w:r w:rsidRPr="00FD08E9">
              <w:rPr>
                <w:highlight w:val="black"/>
              </w:rPr>
              <w:t>&amp;&amp;&amp;&amp;</w:t>
            </w:r>
            <w:r w:rsidR="00ED6F31">
              <w:rPr>
                <w:vertAlign w:val="superscript"/>
              </w:rPr>
              <w:t>2</w:t>
            </w:r>
          </w:p>
        </w:tc>
        <w:tc>
          <w:tcPr>
            <w:tcW w:w="691" w:type="pct"/>
            <w:vAlign w:val="center"/>
          </w:tcPr>
          <w:p w14:paraId="68FAA109" w14:textId="7BD48029" w:rsidR="00F650F4" w:rsidRPr="00ED6F31" w:rsidRDefault="00FD08E9" w:rsidP="009E6ED8">
            <w:pPr>
              <w:pStyle w:val="TableText0"/>
              <w:keepNext/>
              <w:jc w:val="center"/>
              <w:rPr>
                <w:i/>
                <w:vertAlign w:val="superscript"/>
              </w:rPr>
            </w:pPr>
            <w:r w:rsidRPr="00FD08E9">
              <w:rPr>
                <w:highlight w:val="black"/>
              </w:rPr>
              <w:t>&amp;&amp;&amp;&amp;</w:t>
            </w:r>
            <w:r w:rsidR="00ED6F31">
              <w:rPr>
                <w:vertAlign w:val="superscript"/>
              </w:rPr>
              <w:t>2</w:t>
            </w:r>
          </w:p>
        </w:tc>
        <w:tc>
          <w:tcPr>
            <w:tcW w:w="691" w:type="pct"/>
            <w:vAlign w:val="center"/>
          </w:tcPr>
          <w:p w14:paraId="7200C2FD" w14:textId="63857124" w:rsidR="00F650F4" w:rsidRPr="00ED6F31" w:rsidRDefault="00FD08E9" w:rsidP="009E6ED8">
            <w:pPr>
              <w:pStyle w:val="TableText0"/>
              <w:keepNext/>
              <w:jc w:val="center"/>
              <w:rPr>
                <w:i/>
                <w:vertAlign w:val="superscript"/>
              </w:rPr>
            </w:pPr>
            <w:r w:rsidRPr="00FD08E9">
              <w:rPr>
                <w:highlight w:val="black"/>
              </w:rPr>
              <w:t>&amp;&amp;&amp;&amp;</w:t>
            </w:r>
            <w:r w:rsidR="00ED6F31">
              <w:rPr>
                <w:vertAlign w:val="superscript"/>
              </w:rPr>
              <w:t>2</w:t>
            </w:r>
          </w:p>
        </w:tc>
      </w:tr>
      <w:tr w:rsidR="00F650F4" w:rsidRPr="009F57D8" w14:paraId="05B59400" w14:textId="77777777" w:rsidTr="009E6ED8">
        <w:tc>
          <w:tcPr>
            <w:tcW w:w="851" w:type="pct"/>
            <w:vAlign w:val="center"/>
          </w:tcPr>
          <w:p w14:paraId="5897BB74" w14:textId="77777777" w:rsidR="00F650F4" w:rsidRPr="009F57D8" w:rsidRDefault="00F650F4" w:rsidP="009E6ED8">
            <w:pPr>
              <w:pStyle w:val="TableText0"/>
              <w:keepNext/>
            </w:pPr>
            <w:r w:rsidRPr="009F57D8">
              <w:lastRenderedPageBreak/>
              <w:t>Indigenous 25 to 49</w:t>
            </w:r>
          </w:p>
        </w:tc>
        <w:tc>
          <w:tcPr>
            <w:tcW w:w="691" w:type="pct"/>
            <w:vAlign w:val="center"/>
          </w:tcPr>
          <w:p w14:paraId="4FFF3EFC" w14:textId="21A6B4F6" w:rsidR="00F650F4" w:rsidRPr="00E7105E" w:rsidRDefault="00FD08E9" w:rsidP="009E6ED8">
            <w:pPr>
              <w:pStyle w:val="TableText0"/>
              <w:keepNext/>
              <w:jc w:val="center"/>
              <w:rPr>
                <w:i/>
                <w:vertAlign w:val="superscript"/>
              </w:rPr>
            </w:pPr>
            <w:r w:rsidRPr="00FD08E9">
              <w:rPr>
                <w:highlight w:val="black"/>
              </w:rPr>
              <w:t>&amp;&amp;&amp;&amp;</w:t>
            </w:r>
            <w:r w:rsidR="00E7105E">
              <w:rPr>
                <w:vertAlign w:val="superscript"/>
              </w:rPr>
              <w:t>3</w:t>
            </w:r>
          </w:p>
        </w:tc>
        <w:tc>
          <w:tcPr>
            <w:tcW w:w="691" w:type="pct"/>
            <w:vAlign w:val="center"/>
          </w:tcPr>
          <w:p w14:paraId="0E202E54" w14:textId="25890F49" w:rsidR="00F650F4" w:rsidRPr="00E7105E" w:rsidRDefault="00FD08E9" w:rsidP="009E6ED8">
            <w:pPr>
              <w:pStyle w:val="TableText0"/>
              <w:keepNext/>
              <w:jc w:val="center"/>
              <w:rPr>
                <w:i/>
                <w:vertAlign w:val="superscript"/>
              </w:rPr>
            </w:pPr>
            <w:r w:rsidRPr="00FD08E9">
              <w:rPr>
                <w:highlight w:val="black"/>
              </w:rPr>
              <w:t>&amp;&amp;&amp;&amp;</w:t>
            </w:r>
            <w:r w:rsidR="00E7105E">
              <w:rPr>
                <w:vertAlign w:val="superscript"/>
              </w:rPr>
              <w:t>3</w:t>
            </w:r>
          </w:p>
        </w:tc>
        <w:tc>
          <w:tcPr>
            <w:tcW w:w="691" w:type="pct"/>
            <w:vAlign w:val="center"/>
          </w:tcPr>
          <w:p w14:paraId="039E0BC2" w14:textId="50D00D9B" w:rsidR="00F650F4" w:rsidRPr="000904E3" w:rsidRDefault="00FD08E9" w:rsidP="009E6ED8">
            <w:pPr>
              <w:pStyle w:val="TableText0"/>
              <w:keepNext/>
              <w:jc w:val="center"/>
              <w:rPr>
                <w:i/>
                <w:vertAlign w:val="superscript"/>
              </w:rPr>
            </w:pPr>
            <w:r w:rsidRPr="00FD08E9">
              <w:rPr>
                <w:highlight w:val="black"/>
              </w:rPr>
              <w:t>&amp;&amp;&amp;&amp;</w:t>
            </w:r>
            <w:r w:rsidR="000904E3">
              <w:rPr>
                <w:vertAlign w:val="superscript"/>
              </w:rPr>
              <w:t>4</w:t>
            </w:r>
          </w:p>
        </w:tc>
        <w:tc>
          <w:tcPr>
            <w:tcW w:w="691" w:type="pct"/>
            <w:vAlign w:val="center"/>
          </w:tcPr>
          <w:p w14:paraId="6135D0A4" w14:textId="14CDBD50"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c>
          <w:tcPr>
            <w:tcW w:w="691" w:type="pct"/>
            <w:vAlign w:val="center"/>
          </w:tcPr>
          <w:p w14:paraId="68920223" w14:textId="5ADE6E35"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c>
          <w:tcPr>
            <w:tcW w:w="691" w:type="pct"/>
            <w:vAlign w:val="center"/>
          </w:tcPr>
          <w:p w14:paraId="4468DB65" w14:textId="2C88C5A3"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r>
      <w:tr w:rsidR="00F650F4" w:rsidRPr="009F57D8" w14:paraId="6E3BB42F" w14:textId="77777777" w:rsidTr="009E6ED8">
        <w:tc>
          <w:tcPr>
            <w:tcW w:w="851" w:type="pct"/>
            <w:vAlign w:val="center"/>
          </w:tcPr>
          <w:p w14:paraId="21FB8377" w14:textId="77777777" w:rsidR="00F650F4" w:rsidRPr="009F57D8" w:rsidRDefault="00F650F4" w:rsidP="009E6ED8">
            <w:pPr>
              <w:pStyle w:val="TableText0"/>
              <w:keepNext/>
            </w:pPr>
            <w:r w:rsidRPr="009F57D8">
              <w:t>Indigenous ≥ 50</w:t>
            </w:r>
          </w:p>
        </w:tc>
        <w:tc>
          <w:tcPr>
            <w:tcW w:w="691" w:type="pct"/>
            <w:vAlign w:val="center"/>
          </w:tcPr>
          <w:p w14:paraId="48EF404D" w14:textId="6BAF85FD" w:rsidR="00F650F4" w:rsidRPr="000904E3" w:rsidRDefault="00FD08E9" w:rsidP="009E6ED8">
            <w:pPr>
              <w:pStyle w:val="TableText0"/>
              <w:keepNext/>
              <w:jc w:val="center"/>
              <w:rPr>
                <w:i/>
                <w:vertAlign w:val="superscript"/>
              </w:rPr>
            </w:pPr>
            <w:r w:rsidRPr="00FD08E9">
              <w:rPr>
                <w:highlight w:val="black"/>
              </w:rPr>
              <w:t>&amp;&amp;&amp;&amp;</w:t>
            </w:r>
            <w:r w:rsidR="000904E3">
              <w:rPr>
                <w:vertAlign w:val="superscript"/>
              </w:rPr>
              <w:t>4</w:t>
            </w:r>
          </w:p>
        </w:tc>
        <w:tc>
          <w:tcPr>
            <w:tcW w:w="691" w:type="pct"/>
            <w:vAlign w:val="center"/>
          </w:tcPr>
          <w:p w14:paraId="1D829C2C" w14:textId="666C8ECD" w:rsidR="00F650F4" w:rsidRPr="000904E3" w:rsidRDefault="00FD08E9" w:rsidP="009E6ED8">
            <w:pPr>
              <w:pStyle w:val="TableText0"/>
              <w:keepNext/>
              <w:jc w:val="center"/>
              <w:rPr>
                <w:i/>
                <w:vertAlign w:val="superscript"/>
              </w:rPr>
            </w:pPr>
            <w:r w:rsidRPr="00FD08E9">
              <w:rPr>
                <w:highlight w:val="black"/>
              </w:rPr>
              <w:t>&amp;&amp;&amp;&amp;</w:t>
            </w:r>
            <w:r w:rsidR="000904E3">
              <w:rPr>
                <w:vertAlign w:val="superscript"/>
              </w:rPr>
              <w:t>4</w:t>
            </w:r>
          </w:p>
        </w:tc>
        <w:tc>
          <w:tcPr>
            <w:tcW w:w="691" w:type="pct"/>
            <w:vAlign w:val="center"/>
          </w:tcPr>
          <w:p w14:paraId="36AE016D" w14:textId="78FFB94D"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c>
          <w:tcPr>
            <w:tcW w:w="691" w:type="pct"/>
            <w:vAlign w:val="center"/>
          </w:tcPr>
          <w:p w14:paraId="4C798A57" w14:textId="6AA3356C"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c>
          <w:tcPr>
            <w:tcW w:w="691" w:type="pct"/>
            <w:vAlign w:val="center"/>
          </w:tcPr>
          <w:p w14:paraId="6DBCF9FA" w14:textId="07CFE5B9"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c>
          <w:tcPr>
            <w:tcW w:w="691" w:type="pct"/>
            <w:vAlign w:val="center"/>
          </w:tcPr>
          <w:p w14:paraId="05CEEBE0" w14:textId="73DC20B7" w:rsidR="00F650F4" w:rsidRPr="00943F5B" w:rsidRDefault="00FD08E9" w:rsidP="009E6ED8">
            <w:pPr>
              <w:pStyle w:val="TableText0"/>
              <w:keepNext/>
              <w:jc w:val="center"/>
              <w:rPr>
                <w:i/>
                <w:vertAlign w:val="superscript"/>
              </w:rPr>
            </w:pPr>
            <w:r w:rsidRPr="00FD08E9">
              <w:rPr>
                <w:highlight w:val="black"/>
              </w:rPr>
              <w:t>&amp;&amp;&amp;&amp;</w:t>
            </w:r>
            <w:r w:rsidR="00943F5B">
              <w:rPr>
                <w:vertAlign w:val="superscript"/>
              </w:rPr>
              <w:t>5</w:t>
            </w:r>
          </w:p>
        </w:tc>
      </w:tr>
      <w:tr w:rsidR="00F650F4" w:rsidRPr="009F57D8" w14:paraId="2FB27074" w14:textId="77777777" w:rsidTr="009E6ED8">
        <w:tc>
          <w:tcPr>
            <w:tcW w:w="851" w:type="pct"/>
            <w:vAlign w:val="center"/>
          </w:tcPr>
          <w:p w14:paraId="037C57AE" w14:textId="77777777" w:rsidR="00F650F4" w:rsidRPr="009F57D8" w:rsidRDefault="00F650F4" w:rsidP="009E6ED8">
            <w:pPr>
              <w:pStyle w:val="TableText0"/>
              <w:keepNext/>
            </w:pPr>
            <w:r w:rsidRPr="009F57D8">
              <w:t>MaR 18+</w:t>
            </w:r>
          </w:p>
        </w:tc>
        <w:tc>
          <w:tcPr>
            <w:tcW w:w="691" w:type="pct"/>
            <w:vAlign w:val="center"/>
          </w:tcPr>
          <w:p w14:paraId="543C5134" w14:textId="52FD56A3" w:rsidR="00F650F4" w:rsidRPr="007B16AA" w:rsidRDefault="00FD08E9" w:rsidP="009E6ED8">
            <w:pPr>
              <w:pStyle w:val="TableText0"/>
              <w:keepNext/>
              <w:jc w:val="center"/>
              <w:rPr>
                <w:vertAlign w:val="superscript"/>
              </w:rPr>
            </w:pPr>
            <w:r w:rsidRPr="00FD08E9">
              <w:rPr>
                <w:highlight w:val="black"/>
              </w:rPr>
              <w:t>&amp;&amp;&amp;&amp;</w:t>
            </w:r>
            <w:r w:rsidR="007B16AA">
              <w:rPr>
                <w:vertAlign w:val="superscript"/>
              </w:rPr>
              <w:t>6</w:t>
            </w:r>
          </w:p>
        </w:tc>
        <w:tc>
          <w:tcPr>
            <w:tcW w:w="691" w:type="pct"/>
            <w:vAlign w:val="center"/>
          </w:tcPr>
          <w:p w14:paraId="29040B10" w14:textId="5A39EAE3" w:rsidR="00F650F4" w:rsidRPr="008C3ECF" w:rsidRDefault="00FD08E9" w:rsidP="009E6ED8">
            <w:pPr>
              <w:pStyle w:val="TableText0"/>
              <w:keepNext/>
              <w:jc w:val="center"/>
              <w:rPr>
                <w:vertAlign w:val="superscript"/>
              </w:rPr>
            </w:pPr>
            <w:r w:rsidRPr="00FD08E9">
              <w:rPr>
                <w:highlight w:val="black"/>
              </w:rPr>
              <w:t>&amp;&amp;&amp;&amp;</w:t>
            </w:r>
            <w:r w:rsidR="008C3ECF">
              <w:rPr>
                <w:vertAlign w:val="superscript"/>
              </w:rPr>
              <w:t>7</w:t>
            </w:r>
          </w:p>
        </w:tc>
        <w:tc>
          <w:tcPr>
            <w:tcW w:w="691" w:type="pct"/>
            <w:vAlign w:val="center"/>
          </w:tcPr>
          <w:p w14:paraId="1B29301E" w14:textId="22811D27" w:rsidR="00F650F4" w:rsidRPr="00E7105E" w:rsidRDefault="00FD08E9" w:rsidP="009E6ED8">
            <w:pPr>
              <w:pStyle w:val="TableText0"/>
              <w:keepNext/>
              <w:jc w:val="center"/>
              <w:rPr>
                <w:vertAlign w:val="superscript"/>
              </w:rPr>
            </w:pPr>
            <w:r w:rsidRPr="00FD08E9">
              <w:rPr>
                <w:highlight w:val="black"/>
              </w:rPr>
              <w:t>&amp;&amp;&amp;&amp;</w:t>
            </w:r>
            <w:r w:rsidR="00E7105E">
              <w:rPr>
                <w:vertAlign w:val="superscript"/>
              </w:rPr>
              <w:t>3</w:t>
            </w:r>
          </w:p>
        </w:tc>
        <w:tc>
          <w:tcPr>
            <w:tcW w:w="691" w:type="pct"/>
            <w:vAlign w:val="center"/>
          </w:tcPr>
          <w:p w14:paraId="1627B76F" w14:textId="4074B6C8" w:rsidR="00F650F4" w:rsidRPr="000904E3" w:rsidRDefault="00FD08E9" w:rsidP="009E6ED8">
            <w:pPr>
              <w:pStyle w:val="TableText0"/>
              <w:keepNext/>
              <w:jc w:val="center"/>
              <w:rPr>
                <w:vertAlign w:val="superscript"/>
              </w:rPr>
            </w:pPr>
            <w:r w:rsidRPr="00FD08E9">
              <w:rPr>
                <w:highlight w:val="black"/>
              </w:rPr>
              <w:t>&amp;&amp;&amp;&amp;</w:t>
            </w:r>
            <w:r w:rsidR="000904E3">
              <w:rPr>
                <w:vertAlign w:val="superscript"/>
              </w:rPr>
              <w:t>4</w:t>
            </w:r>
          </w:p>
        </w:tc>
        <w:tc>
          <w:tcPr>
            <w:tcW w:w="691" w:type="pct"/>
            <w:vAlign w:val="center"/>
          </w:tcPr>
          <w:p w14:paraId="0CB4CA36" w14:textId="66F1B1C0" w:rsidR="00F650F4" w:rsidRPr="000904E3" w:rsidRDefault="00FD08E9" w:rsidP="009E6ED8">
            <w:pPr>
              <w:pStyle w:val="TableText0"/>
              <w:keepNext/>
              <w:jc w:val="center"/>
              <w:rPr>
                <w:vertAlign w:val="superscript"/>
              </w:rPr>
            </w:pPr>
            <w:r w:rsidRPr="00FD08E9">
              <w:rPr>
                <w:highlight w:val="black"/>
              </w:rPr>
              <w:t>&amp;&amp;&amp;&amp;</w:t>
            </w:r>
            <w:r w:rsidR="000904E3">
              <w:rPr>
                <w:vertAlign w:val="superscript"/>
              </w:rPr>
              <w:t>4</w:t>
            </w:r>
          </w:p>
        </w:tc>
        <w:tc>
          <w:tcPr>
            <w:tcW w:w="691" w:type="pct"/>
            <w:vAlign w:val="center"/>
          </w:tcPr>
          <w:p w14:paraId="0EBE2587" w14:textId="7F186BCB" w:rsidR="00F650F4" w:rsidRPr="000904E3" w:rsidRDefault="00FD08E9" w:rsidP="009E6ED8">
            <w:pPr>
              <w:pStyle w:val="TableText0"/>
              <w:keepNext/>
              <w:jc w:val="center"/>
              <w:rPr>
                <w:vertAlign w:val="superscript"/>
              </w:rPr>
            </w:pPr>
            <w:r w:rsidRPr="00FD08E9">
              <w:rPr>
                <w:highlight w:val="black"/>
              </w:rPr>
              <w:t>&amp;&amp;&amp;&amp;</w:t>
            </w:r>
            <w:r w:rsidR="000904E3">
              <w:rPr>
                <w:vertAlign w:val="superscript"/>
              </w:rPr>
              <w:t>4</w:t>
            </w:r>
          </w:p>
        </w:tc>
      </w:tr>
      <w:tr w:rsidR="00F650F4" w:rsidRPr="009F57D8" w14:paraId="0F0FD0B2" w14:textId="77777777" w:rsidTr="009E6ED8">
        <w:tc>
          <w:tcPr>
            <w:tcW w:w="851" w:type="pct"/>
            <w:vAlign w:val="center"/>
          </w:tcPr>
          <w:p w14:paraId="6B90E5C2" w14:textId="77777777" w:rsidR="00F650F4" w:rsidRPr="009F57D8" w:rsidRDefault="00F650F4" w:rsidP="009E6ED8">
            <w:pPr>
              <w:pStyle w:val="TableText0"/>
              <w:keepNext/>
            </w:pPr>
            <w:r w:rsidRPr="009F57D8">
              <w:t>Total Naïve</w:t>
            </w:r>
          </w:p>
        </w:tc>
        <w:tc>
          <w:tcPr>
            <w:tcW w:w="691" w:type="pct"/>
            <w:vAlign w:val="center"/>
          </w:tcPr>
          <w:p w14:paraId="30CB3897" w14:textId="0F7A7B41" w:rsidR="00F650F4" w:rsidRPr="0008414A" w:rsidRDefault="00FD08E9" w:rsidP="009E6ED8">
            <w:pPr>
              <w:pStyle w:val="TableText0"/>
              <w:keepNext/>
              <w:jc w:val="center"/>
              <w:rPr>
                <w:i/>
                <w:vertAlign w:val="superscript"/>
              </w:rPr>
            </w:pPr>
            <w:r w:rsidRPr="00FD08E9">
              <w:rPr>
                <w:highlight w:val="black"/>
              </w:rPr>
              <w:t>&amp;&amp;&amp;&amp;</w:t>
            </w:r>
            <w:r w:rsidR="0008414A">
              <w:rPr>
                <w:vertAlign w:val="superscript"/>
              </w:rPr>
              <w:t>8</w:t>
            </w:r>
          </w:p>
        </w:tc>
        <w:tc>
          <w:tcPr>
            <w:tcW w:w="691" w:type="pct"/>
            <w:vAlign w:val="center"/>
          </w:tcPr>
          <w:p w14:paraId="7F46CF18" w14:textId="2289266A" w:rsidR="00F650F4" w:rsidRPr="00C7758F" w:rsidRDefault="00FD08E9" w:rsidP="009E6ED8">
            <w:pPr>
              <w:pStyle w:val="TableText0"/>
              <w:keepNext/>
              <w:jc w:val="center"/>
              <w:rPr>
                <w:i/>
                <w:vertAlign w:val="superscript"/>
              </w:rPr>
            </w:pPr>
            <w:r w:rsidRPr="00FD08E9">
              <w:rPr>
                <w:highlight w:val="black"/>
              </w:rPr>
              <w:t>&amp;&amp;&amp;&amp;</w:t>
            </w:r>
            <w:r w:rsidR="00C7758F">
              <w:rPr>
                <w:vertAlign w:val="superscript"/>
              </w:rPr>
              <w:t>1</w:t>
            </w:r>
          </w:p>
        </w:tc>
        <w:tc>
          <w:tcPr>
            <w:tcW w:w="691" w:type="pct"/>
            <w:vAlign w:val="center"/>
          </w:tcPr>
          <w:p w14:paraId="5A83CE8B" w14:textId="6DAB927B" w:rsidR="00F650F4" w:rsidRPr="00C7758F" w:rsidRDefault="00FD08E9" w:rsidP="009E6ED8">
            <w:pPr>
              <w:pStyle w:val="TableText0"/>
              <w:keepNext/>
              <w:jc w:val="center"/>
              <w:rPr>
                <w:i/>
                <w:vertAlign w:val="superscript"/>
              </w:rPr>
            </w:pPr>
            <w:r w:rsidRPr="00FD08E9">
              <w:rPr>
                <w:highlight w:val="black"/>
              </w:rPr>
              <w:t>&amp;&amp;&amp;&amp;</w:t>
            </w:r>
            <w:r w:rsidR="00C7758F">
              <w:rPr>
                <w:vertAlign w:val="superscript"/>
              </w:rPr>
              <w:t>1</w:t>
            </w:r>
          </w:p>
        </w:tc>
        <w:tc>
          <w:tcPr>
            <w:tcW w:w="691" w:type="pct"/>
            <w:vAlign w:val="center"/>
          </w:tcPr>
          <w:p w14:paraId="0D978A08" w14:textId="52317EF3" w:rsidR="00F650F4" w:rsidRPr="005A4F5E" w:rsidRDefault="00FD08E9" w:rsidP="009E6ED8">
            <w:pPr>
              <w:pStyle w:val="TableText0"/>
              <w:keepNext/>
              <w:jc w:val="center"/>
              <w:rPr>
                <w:i/>
                <w:vertAlign w:val="superscript"/>
              </w:rPr>
            </w:pPr>
            <w:r w:rsidRPr="00FD08E9">
              <w:rPr>
                <w:highlight w:val="black"/>
              </w:rPr>
              <w:t>&amp;&amp;&amp;&amp;</w:t>
            </w:r>
            <w:r w:rsidR="005A4F5E">
              <w:rPr>
                <w:vertAlign w:val="superscript"/>
              </w:rPr>
              <w:t>9</w:t>
            </w:r>
          </w:p>
        </w:tc>
        <w:tc>
          <w:tcPr>
            <w:tcW w:w="691" w:type="pct"/>
            <w:vAlign w:val="center"/>
          </w:tcPr>
          <w:p w14:paraId="09971F17" w14:textId="62B9FE01" w:rsidR="00F650F4" w:rsidRPr="005A4F5E" w:rsidRDefault="00FD08E9" w:rsidP="009E6ED8">
            <w:pPr>
              <w:pStyle w:val="TableText0"/>
              <w:keepNext/>
              <w:jc w:val="center"/>
              <w:rPr>
                <w:i/>
                <w:vertAlign w:val="superscript"/>
              </w:rPr>
            </w:pPr>
            <w:r w:rsidRPr="00FD08E9">
              <w:rPr>
                <w:highlight w:val="black"/>
              </w:rPr>
              <w:t>&amp;&amp;&amp;&amp;</w:t>
            </w:r>
            <w:r w:rsidR="005A4F5E">
              <w:rPr>
                <w:vertAlign w:val="superscript"/>
              </w:rPr>
              <w:t>9</w:t>
            </w:r>
          </w:p>
        </w:tc>
        <w:tc>
          <w:tcPr>
            <w:tcW w:w="691" w:type="pct"/>
            <w:vAlign w:val="center"/>
          </w:tcPr>
          <w:p w14:paraId="05906217" w14:textId="3894AE6D" w:rsidR="00F650F4" w:rsidRPr="005A4F5E" w:rsidRDefault="00FD08E9" w:rsidP="009E6ED8">
            <w:pPr>
              <w:pStyle w:val="TableText0"/>
              <w:keepNext/>
              <w:jc w:val="center"/>
              <w:rPr>
                <w:i/>
                <w:vertAlign w:val="superscript"/>
              </w:rPr>
            </w:pPr>
            <w:r w:rsidRPr="00FD08E9">
              <w:rPr>
                <w:highlight w:val="black"/>
              </w:rPr>
              <w:t>&amp;&amp;&amp;&amp;</w:t>
            </w:r>
            <w:r w:rsidR="005A4F5E">
              <w:rPr>
                <w:vertAlign w:val="superscript"/>
              </w:rPr>
              <w:t>9</w:t>
            </w:r>
          </w:p>
        </w:tc>
      </w:tr>
      <w:tr w:rsidR="00F650F4" w:rsidRPr="009F57D8" w14:paraId="7EA07D82" w14:textId="77777777" w:rsidTr="009E6ED8">
        <w:tc>
          <w:tcPr>
            <w:tcW w:w="5000" w:type="pct"/>
            <w:gridSpan w:val="7"/>
            <w:vAlign w:val="center"/>
          </w:tcPr>
          <w:p w14:paraId="6CC5E2F3" w14:textId="77777777" w:rsidR="00F650F4" w:rsidRPr="009F57D8" w:rsidRDefault="00F650F4" w:rsidP="009E6ED8">
            <w:pPr>
              <w:pStyle w:val="TableText0"/>
              <w:keepNext/>
              <w:rPr>
                <w:b/>
              </w:rPr>
            </w:pPr>
            <w:r w:rsidRPr="009F57D8">
              <w:rPr>
                <w:b/>
              </w:rPr>
              <w:t>Catch-up</w:t>
            </w:r>
          </w:p>
        </w:tc>
      </w:tr>
      <w:tr w:rsidR="00F650F4" w:rsidRPr="009F57D8" w14:paraId="57944A82" w14:textId="77777777" w:rsidTr="009E6ED8">
        <w:tc>
          <w:tcPr>
            <w:tcW w:w="851" w:type="pct"/>
            <w:vAlign w:val="center"/>
          </w:tcPr>
          <w:p w14:paraId="6DFBE088" w14:textId="77777777" w:rsidR="00F650F4" w:rsidRPr="009F57D8" w:rsidRDefault="00F650F4" w:rsidP="009E6ED8">
            <w:pPr>
              <w:pStyle w:val="TableText0"/>
              <w:keepNext/>
            </w:pPr>
            <w:r w:rsidRPr="009F57D8">
              <w:t>Non-Indigenous ≥ 70</w:t>
            </w:r>
          </w:p>
        </w:tc>
        <w:tc>
          <w:tcPr>
            <w:tcW w:w="691" w:type="pct"/>
            <w:vAlign w:val="center"/>
          </w:tcPr>
          <w:p w14:paraId="72E1A86E" w14:textId="4D1AE8E7" w:rsidR="00F650F4" w:rsidRPr="00891D15" w:rsidRDefault="00FD08E9" w:rsidP="009E6ED8">
            <w:pPr>
              <w:pStyle w:val="TableText0"/>
              <w:keepNext/>
              <w:jc w:val="center"/>
              <w:rPr>
                <w:i/>
                <w:vertAlign w:val="superscript"/>
              </w:rPr>
            </w:pPr>
            <w:r w:rsidRPr="00FD08E9">
              <w:rPr>
                <w:highlight w:val="black"/>
              </w:rPr>
              <w:t>&amp;&amp;&amp;&amp;</w:t>
            </w:r>
            <w:r w:rsidR="00891D15">
              <w:rPr>
                <w:vertAlign w:val="superscript"/>
              </w:rPr>
              <w:t>9</w:t>
            </w:r>
          </w:p>
        </w:tc>
        <w:tc>
          <w:tcPr>
            <w:tcW w:w="691" w:type="pct"/>
            <w:vAlign w:val="center"/>
          </w:tcPr>
          <w:p w14:paraId="56077ADF" w14:textId="062CAAA5" w:rsidR="00F650F4" w:rsidRPr="0016164C" w:rsidRDefault="00FD08E9" w:rsidP="009E6ED8">
            <w:pPr>
              <w:pStyle w:val="TableText0"/>
              <w:keepNext/>
              <w:jc w:val="center"/>
              <w:rPr>
                <w:i/>
                <w:vertAlign w:val="superscript"/>
              </w:rPr>
            </w:pPr>
            <w:r w:rsidRPr="00FD08E9">
              <w:rPr>
                <w:highlight w:val="black"/>
              </w:rPr>
              <w:t>&amp;&amp;&amp;&amp;</w:t>
            </w:r>
            <w:r w:rsidR="0016164C">
              <w:rPr>
                <w:vertAlign w:val="superscript"/>
              </w:rPr>
              <w:t>10</w:t>
            </w:r>
          </w:p>
        </w:tc>
        <w:tc>
          <w:tcPr>
            <w:tcW w:w="691" w:type="pct"/>
            <w:vAlign w:val="center"/>
          </w:tcPr>
          <w:p w14:paraId="7801A10A" w14:textId="2DD314EA" w:rsidR="00F650F4" w:rsidRPr="00944292" w:rsidRDefault="00FD08E9" w:rsidP="009E6ED8">
            <w:pPr>
              <w:pStyle w:val="TableText0"/>
              <w:keepNext/>
              <w:jc w:val="center"/>
              <w:rPr>
                <w:i/>
                <w:vertAlign w:val="superscript"/>
              </w:rPr>
            </w:pPr>
            <w:r w:rsidRPr="00FD08E9">
              <w:rPr>
                <w:highlight w:val="black"/>
              </w:rPr>
              <w:t>&amp;&amp;&amp;&amp;</w:t>
            </w:r>
            <w:r w:rsidR="00944292">
              <w:rPr>
                <w:vertAlign w:val="superscript"/>
              </w:rPr>
              <w:t>11</w:t>
            </w:r>
          </w:p>
        </w:tc>
        <w:tc>
          <w:tcPr>
            <w:tcW w:w="691" w:type="pct"/>
            <w:vAlign w:val="center"/>
          </w:tcPr>
          <w:p w14:paraId="718BE947" w14:textId="77777777" w:rsidR="00F650F4" w:rsidRPr="009F57D8" w:rsidRDefault="00F650F4" w:rsidP="009E6ED8">
            <w:pPr>
              <w:pStyle w:val="TableText0"/>
              <w:keepNext/>
              <w:jc w:val="center"/>
              <w:rPr>
                <w:iCs/>
              </w:rPr>
            </w:pPr>
            <w:r w:rsidRPr="009F57D8">
              <w:rPr>
                <w:iCs/>
              </w:rPr>
              <w:t>0</w:t>
            </w:r>
          </w:p>
        </w:tc>
        <w:tc>
          <w:tcPr>
            <w:tcW w:w="691" w:type="pct"/>
            <w:vAlign w:val="center"/>
          </w:tcPr>
          <w:p w14:paraId="1F813152" w14:textId="77777777" w:rsidR="00F650F4" w:rsidRPr="009F57D8" w:rsidRDefault="00F650F4" w:rsidP="009E6ED8">
            <w:pPr>
              <w:pStyle w:val="TableText0"/>
              <w:keepNext/>
              <w:jc w:val="center"/>
              <w:rPr>
                <w:iCs/>
              </w:rPr>
            </w:pPr>
            <w:r w:rsidRPr="009F57D8">
              <w:rPr>
                <w:iCs/>
              </w:rPr>
              <w:t>0</w:t>
            </w:r>
          </w:p>
        </w:tc>
        <w:tc>
          <w:tcPr>
            <w:tcW w:w="691" w:type="pct"/>
            <w:vAlign w:val="center"/>
          </w:tcPr>
          <w:p w14:paraId="3A4DD940" w14:textId="77777777" w:rsidR="00F650F4" w:rsidRPr="009F57D8" w:rsidRDefault="00F650F4" w:rsidP="009E6ED8">
            <w:pPr>
              <w:pStyle w:val="TableText0"/>
              <w:keepNext/>
              <w:jc w:val="center"/>
              <w:rPr>
                <w:iCs/>
              </w:rPr>
            </w:pPr>
            <w:r w:rsidRPr="009F57D8">
              <w:rPr>
                <w:iCs/>
              </w:rPr>
              <w:t>0</w:t>
            </w:r>
          </w:p>
        </w:tc>
      </w:tr>
      <w:tr w:rsidR="00F650F4" w:rsidRPr="009F57D8" w14:paraId="6874971B" w14:textId="77777777" w:rsidTr="009E6ED8">
        <w:tc>
          <w:tcPr>
            <w:tcW w:w="851" w:type="pct"/>
            <w:vAlign w:val="center"/>
          </w:tcPr>
          <w:p w14:paraId="6EFB4A65" w14:textId="77777777" w:rsidR="00F650F4" w:rsidRPr="009F57D8" w:rsidRDefault="00F650F4" w:rsidP="009E6ED8">
            <w:pPr>
              <w:pStyle w:val="TableText0"/>
              <w:keepNext/>
            </w:pPr>
            <w:r w:rsidRPr="009F57D8">
              <w:t>Indigenous ≥ 50</w:t>
            </w:r>
          </w:p>
        </w:tc>
        <w:tc>
          <w:tcPr>
            <w:tcW w:w="691" w:type="pct"/>
            <w:vAlign w:val="center"/>
          </w:tcPr>
          <w:p w14:paraId="3961F77B" w14:textId="5576C501" w:rsidR="00F650F4" w:rsidRPr="000904E3" w:rsidRDefault="00FD08E9" w:rsidP="009E6ED8">
            <w:pPr>
              <w:pStyle w:val="TableText0"/>
              <w:keepNext/>
              <w:jc w:val="center"/>
              <w:rPr>
                <w:i/>
                <w:vertAlign w:val="superscript"/>
              </w:rPr>
            </w:pPr>
            <w:r w:rsidRPr="00FD08E9">
              <w:rPr>
                <w:highlight w:val="black"/>
              </w:rPr>
              <w:t>&amp;&amp;&amp;&amp;</w:t>
            </w:r>
            <w:r w:rsidR="000904E3">
              <w:rPr>
                <w:vertAlign w:val="superscript"/>
              </w:rPr>
              <w:t>4</w:t>
            </w:r>
          </w:p>
        </w:tc>
        <w:tc>
          <w:tcPr>
            <w:tcW w:w="691" w:type="pct"/>
            <w:vAlign w:val="center"/>
          </w:tcPr>
          <w:p w14:paraId="7E600E02" w14:textId="201AD99A" w:rsidR="00F650F4" w:rsidRPr="000904E3" w:rsidRDefault="00FD08E9" w:rsidP="009E6ED8">
            <w:pPr>
              <w:pStyle w:val="TableText0"/>
              <w:keepNext/>
              <w:jc w:val="center"/>
              <w:rPr>
                <w:i/>
                <w:vertAlign w:val="superscript"/>
              </w:rPr>
            </w:pPr>
            <w:r w:rsidRPr="00FD08E9">
              <w:rPr>
                <w:highlight w:val="black"/>
              </w:rPr>
              <w:t>&amp;&amp;&amp;&amp;</w:t>
            </w:r>
            <w:r w:rsidR="000904E3">
              <w:rPr>
                <w:vertAlign w:val="superscript"/>
              </w:rPr>
              <w:t>4</w:t>
            </w:r>
          </w:p>
        </w:tc>
        <w:tc>
          <w:tcPr>
            <w:tcW w:w="691" w:type="pct"/>
            <w:vAlign w:val="center"/>
          </w:tcPr>
          <w:p w14:paraId="46066B3F" w14:textId="36B5D879" w:rsidR="00F650F4" w:rsidRPr="00CB3440" w:rsidRDefault="00FD08E9" w:rsidP="009E6ED8">
            <w:pPr>
              <w:pStyle w:val="TableText0"/>
              <w:keepNext/>
              <w:jc w:val="center"/>
              <w:rPr>
                <w:i/>
                <w:vertAlign w:val="superscript"/>
              </w:rPr>
            </w:pPr>
            <w:r w:rsidRPr="00FD08E9">
              <w:rPr>
                <w:highlight w:val="black"/>
              </w:rPr>
              <w:t>&amp;&amp;&amp;&amp;</w:t>
            </w:r>
            <w:r w:rsidR="00CB3440">
              <w:rPr>
                <w:vertAlign w:val="superscript"/>
              </w:rPr>
              <w:t>12</w:t>
            </w:r>
          </w:p>
        </w:tc>
        <w:tc>
          <w:tcPr>
            <w:tcW w:w="691" w:type="pct"/>
            <w:vAlign w:val="center"/>
          </w:tcPr>
          <w:p w14:paraId="7F4D27ED" w14:textId="77777777" w:rsidR="00F650F4" w:rsidRPr="009F57D8" w:rsidRDefault="00F650F4" w:rsidP="009E6ED8">
            <w:pPr>
              <w:pStyle w:val="TableText0"/>
              <w:keepNext/>
              <w:jc w:val="center"/>
              <w:rPr>
                <w:iCs/>
              </w:rPr>
            </w:pPr>
            <w:r w:rsidRPr="009F57D8">
              <w:rPr>
                <w:iCs/>
              </w:rPr>
              <w:t>0</w:t>
            </w:r>
          </w:p>
        </w:tc>
        <w:tc>
          <w:tcPr>
            <w:tcW w:w="691" w:type="pct"/>
            <w:vAlign w:val="center"/>
          </w:tcPr>
          <w:p w14:paraId="4E019958" w14:textId="77777777" w:rsidR="00F650F4" w:rsidRPr="009F57D8" w:rsidRDefault="00F650F4" w:rsidP="009E6ED8">
            <w:pPr>
              <w:pStyle w:val="TableText0"/>
              <w:keepNext/>
              <w:jc w:val="center"/>
              <w:rPr>
                <w:iCs/>
              </w:rPr>
            </w:pPr>
            <w:r w:rsidRPr="009F57D8">
              <w:rPr>
                <w:iCs/>
              </w:rPr>
              <w:t>0</w:t>
            </w:r>
          </w:p>
        </w:tc>
        <w:tc>
          <w:tcPr>
            <w:tcW w:w="691" w:type="pct"/>
            <w:vAlign w:val="center"/>
          </w:tcPr>
          <w:p w14:paraId="2E64B4B0" w14:textId="77777777" w:rsidR="00F650F4" w:rsidRPr="009F57D8" w:rsidRDefault="00F650F4" w:rsidP="009E6ED8">
            <w:pPr>
              <w:pStyle w:val="TableText0"/>
              <w:keepNext/>
              <w:jc w:val="center"/>
              <w:rPr>
                <w:iCs/>
              </w:rPr>
            </w:pPr>
            <w:r w:rsidRPr="009F57D8">
              <w:rPr>
                <w:iCs/>
              </w:rPr>
              <w:t>0</w:t>
            </w:r>
          </w:p>
        </w:tc>
      </w:tr>
      <w:tr w:rsidR="00F650F4" w:rsidRPr="009F57D8" w14:paraId="7F650291" w14:textId="77777777" w:rsidTr="009E6ED8">
        <w:tc>
          <w:tcPr>
            <w:tcW w:w="851" w:type="pct"/>
            <w:vAlign w:val="center"/>
          </w:tcPr>
          <w:p w14:paraId="5BD5D879" w14:textId="77777777" w:rsidR="00F650F4" w:rsidRPr="009F57D8" w:rsidRDefault="00F650F4" w:rsidP="009E6ED8">
            <w:pPr>
              <w:pStyle w:val="TableText0"/>
              <w:keepNext/>
            </w:pPr>
            <w:r w:rsidRPr="009F57D8">
              <w:t>MaR 18+</w:t>
            </w:r>
          </w:p>
        </w:tc>
        <w:tc>
          <w:tcPr>
            <w:tcW w:w="691" w:type="pct"/>
            <w:vAlign w:val="center"/>
          </w:tcPr>
          <w:p w14:paraId="35DE88DA" w14:textId="6C0429BF" w:rsidR="00F650F4" w:rsidRPr="00E7105E" w:rsidRDefault="00FD08E9" w:rsidP="009E6ED8">
            <w:pPr>
              <w:pStyle w:val="TableText0"/>
              <w:keepNext/>
              <w:jc w:val="center"/>
              <w:rPr>
                <w:vertAlign w:val="superscript"/>
              </w:rPr>
            </w:pPr>
            <w:r w:rsidRPr="00FD08E9">
              <w:rPr>
                <w:highlight w:val="black"/>
              </w:rPr>
              <w:t>&amp;&amp;&amp;&amp;</w:t>
            </w:r>
            <w:r w:rsidR="00E7105E">
              <w:rPr>
                <w:vertAlign w:val="superscript"/>
              </w:rPr>
              <w:t>3</w:t>
            </w:r>
          </w:p>
        </w:tc>
        <w:tc>
          <w:tcPr>
            <w:tcW w:w="691" w:type="pct"/>
            <w:vAlign w:val="center"/>
          </w:tcPr>
          <w:p w14:paraId="3534E671" w14:textId="1A692007" w:rsidR="00F650F4" w:rsidRPr="008C3ECF" w:rsidRDefault="00FD08E9" w:rsidP="009E6ED8">
            <w:pPr>
              <w:pStyle w:val="TableText0"/>
              <w:keepNext/>
              <w:jc w:val="center"/>
              <w:rPr>
                <w:vertAlign w:val="superscript"/>
              </w:rPr>
            </w:pPr>
            <w:r w:rsidRPr="00FD08E9">
              <w:rPr>
                <w:highlight w:val="black"/>
              </w:rPr>
              <w:t>&amp;&amp;&amp;&amp;</w:t>
            </w:r>
            <w:r w:rsidR="008C3ECF">
              <w:rPr>
                <w:vertAlign w:val="superscript"/>
              </w:rPr>
              <w:t>4</w:t>
            </w:r>
          </w:p>
        </w:tc>
        <w:tc>
          <w:tcPr>
            <w:tcW w:w="691" w:type="pct"/>
            <w:vAlign w:val="center"/>
          </w:tcPr>
          <w:p w14:paraId="49794F52" w14:textId="31F2FA49" w:rsidR="00F650F4" w:rsidRPr="00CB3440" w:rsidRDefault="00FD08E9" w:rsidP="009E6ED8">
            <w:pPr>
              <w:pStyle w:val="TableText0"/>
              <w:keepNext/>
              <w:jc w:val="center"/>
              <w:rPr>
                <w:vertAlign w:val="superscript"/>
              </w:rPr>
            </w:pPr>
            <w:r w:rsidRPr="00FD08E9">
              <w:rPr>
                <w:highlight w:val="black"/>
              </w:rPr>
              <w:t>&amp;&amp;&amp;&amp;</w:t>
            </w:r>
            <w:r w:rsidR="00CB3440">
              <w:rPr>
                <w:vertAlign w:val="superscript"/>
              </w:rPr>
              <w:t>12</w:t>
            </w:r>
          </w:p>
        </w:tc>
        <w:tc>
          <w:tcPr>
            <w:tcW w:w="691" w:type="pct"/>
            <w:vAlign w:val="center"/>
          </w:tcPr>
          <w:p w14:paraId="4DE4E790" w14:textId="77777777" w:rsidR="00F650F4" w:rsidRPr="009F57D8" w:rsidRDefault="00F650F4" w:rsidP="009E6ED8">
            <w:pPr>
              <w:pStyle w:val="TableText0"/>
              <w:keepNext/>
              <w:jc w:val="center"/>
              <w:rPr>
                <w:iCs/>
              </w:rPr>
            </w:pPr>
            <w:r w:rsidRPr="009F57D8">
              <w:rPr>
                <w:iCs/>
              </w:rPr>
              <w:t>0</w:t>
            </w:r>
          </w:p>
        </w:tc>
        <w:tc>
          <w:tcPr>
            <w:tcW w:w="691" w:type="pct"/>
            <w:vAlign w:val="center"/>
          </w:tcPr>
          <w:p w14:paraId="619452EE" w14:textId="77777777" w:rsidR="00F650F4" w:rsidRPr="009F57D8" w:rsidRDefault="00F650F4" w:rsidP="009E6ED8">
            <w:pPr>
              <w:pStyle w:val="TableText0"/>
              <w:keepNext/>
              <w:jc w:val="center"/>
              <w:rPr>
                <w:iCs/>
              </w:rPr>
            </w:pPr>
            <w:r w:rsidRPr="009F57D8">
              <w:rPr>
                <w:iCs/>
              </w:rPr>
              <w:t>0</w:t>
            </w:r>
          </w:p>
        </w:tc>
        <w:tc>
          <w:tcPr>
            <w:tcW w:w="691" w:type="pct"/>
            <w:vAlign w:val="center"/>
          </w:tcPr>
          <w:p w14:paraId="123E6994" w14:textId="77777777" w:rsidR="00F650F4" w:rsidRPr="009F57D8" w:rsidRDefault="00F650F4" w:rsidP="009E6ED8">
            <w:pPr>
              <w:pStyle w:val="TableText0"/>
              <w:keepNext/>
              <w:jc w:val="center"/>
              <w:rPr>
                <w:iCs/>
              </w:rPr>
            </w:pPr>
            <w:r w:rsidRPr="009F57D8">
              <w:rPr>
                <w:iCs/>
              </w:rPr>
              <w:t>0</w:t>
            </w:r>
          </w:p>
        </w:tc>
      </w:tr>
      <w:tr w:rsidR="00F650F4" w:rsidRPr="009F57D8" w14:paraId="48B2C57A" w14:textId="77777777" w:rsidTr="009E6ED8">
        <w:tc>
          <w:tcPr>
            <w:tcW w:w="851" w:type="pct"/>
            <w:vAlign w:val="center"/>
          </w:tcPr>
          <w:p w14:paraId="61207088" w14:textId="77777777" w:rsidR="00F650F4" w:rsidRPr="009F57D8" w:rsidRDefault="00F650F4" w:rsidP="009E6ED8">
            <w:pPr>
              <w:pStyle w:val="TableText0"/>
              <w:keepNext/>
            </w:pPr>
            <w:r w:rsidRPr="009F57D8">
              <w:t>Total Catch-up</w:t>
            </w:r>
          </w:p>
        </w:tc>
        <w:tc>
          <w:tcPr>
            <w:tcW w:w="691" w:type="pct"/>
            <w:vAlign w:val="center"/>
          </w:tcPr>
          <w:p w14:paraId="3489F4FD" w14:textId="1702B5EA" w:rsidR="00F650F4" w:rsidRPr="00E7105E" w:rsidRDefault="00FD08E9" w:rsidP="009E6ED8">
            <w:pPr>
              <w:pStyle w:val="TableText0"/>
              <w:keepNext/>
              <w:jc w:val="center"/>
              <w:rPr>
                <w:i/>
                <w:vertAlign w:val="superscript"/>
              </w:rPr>
            </w:pPr>
            <w:r w:rsidRPr="00FD08E9">
              <w:rPr>
                <w:highlight w:val="black"/>
              </w:rPr>
              <w:t>&amp;&amp;&amp;&amp;</w:t>
            </w:r>
            <w:r w:rsidR="00E7105E">
              <w:rPr>
                <w:vertAlign w:val="superscript"/>
              </w:rPr>
              <w:t>1</w:t>
            </w:r>
          </w:p>
        </w:tc>
        <w:tc>
          <w:tcPr>
            <w:tcW w:w="691" w:type="pct"/>
            <w:vAlign w:val="center"/>
          </w:tcPr>
          <w:p w14:paraId="2B8850BF" w14:textId="2D9ABFFF" w:rsidR="00F650F4" w:rsidRPr="0016164C" w:rsidRDefault="00FD08E9" w:rsidP="009E6ED8">
            <w:pPr>
              <w:pStyle w:val="TableText0"/>
              <w:keepNext/>
              <w:jc w:val="center"/>
              <w:rPr>
                <w:i/>
                <w:vertAlign w:val="superscript"/>
              </w:rPr>
            </w:pPr>
            <w:r w:rsidRPr="00FD08E9">
              <w:rPr>
                <w:highlight w:val="black"/>
              </w:rPr>
              <w:t>&amp;&amp;&amp;&amp;</w:t>
            </w:r>
            <w:r w:rsidR="0016164C">
              <w:rPr>
                <w:vertAlign w:val="superscript"/>
              </w:rPr>
              <w:t>10</w:t>
            </w:r>
          </w:p>
        </w:tc>
        <w:tc>
          <w:tcPr>
            <w:tcW w:w="691" w:type="pct"/>
            <w:vAlign w:val="center"/>
          </w:tcPr>
          <w:p w14:paraId="278E8A20" w14:textId="1EC5AA0C" w:rsidR="00F650F4" w:rsidRPr="00CB3440" w:rsidRDefault="00FD08E9" w:rsidP="009E6ED8">
            <w:pPr>
              <w:pStyle w:val="TableText0"/>
              <w:keepNext/>
              <w:jc w:val="center"/>
              <w:rPr>
                <w:i/>
                <w:vertAlign w:val="superscript"/>
              </w:rPr>
            </w:pPr>
            <w:r w:rsidRPr="00FD08E9">
              <w:rPr>
                <w:highlight w:val="black"/>
              </w:rPr>
              <w:t>&amp;&amp;&amp;&amp;</w:t>
            </w:r>
            <w:r w:rsidR="00CB3440">
              <w:rPr>
                <w:vertAlign w:val="superscript"/>
              </w:rPr>
              <w:t>13</w:t>
            </w:r>
          </w:p>
        </w:tc>
        <w:tc>
          <w:tcPr>
            <w:tcW w:w="691" w:type="pct"/>
            <w:vAlign w:val="center"/>
          </w:tcPr>
          <w:p w14:paraId="2255C631" w14:textId="77777777" w:rsidR="00F650F4" w:rsidRPr="009F57D8" w:rsidRDefault="00F650F4" w:rsidP="009E6ED8">
            <w:pPr>
              <w:pStyle w:val="TableText0"/>
              <w:keepNext/>
              <w:jc w:val="center"/>
              <w:rPr>
                <w:iCs/>
              </w:rPr>
            </w:pPr>
            <w:r w:rsidRPr="009F57D8">
              <w:rPr>
                <w:iCs/>
              </w:rPr>
              <w:t>0</w:t>
            </w:r>
          </w:p>
        </w:tc>
        <w:tc>
          <w:tcPr>
            <w:tcW w:w="691" w:type="pct"/>
            <w:vAlign w:val="center"/>
          </w:tcPr>
          <w:p w14:paraId="4FA1141A" w14:textId="77777777" w:rsidR="00F650F4" w:rsidRPr="009F57D8" w:rsidRDefault="00F650F4" w:rsidP="009E6ED8">
            <w:pPr>
              <w:pStyle w:val="TableText0"/>
              <w:keepNext/>
              <w:jc w:val="center"/>
              <w:rPr>
                <w:iCs/>
              </w:rPr>
            </w:pPr>
            <w:r w:rsidRPr="009F57D8">
              <w:rPr>
                <w:iCs/>
              </w:rPr>
              <w:t>0</w:t>
            </w:r>
          </w:p>
        </w:tc>
        <w:tc>
          <w:tcPr>
            <w:tcW w:w="691" w:type="pct"/>
            <w:vAlign w:val="center"/>
          </w:tcPr>
          <w:p w14:paraId="718CFC2A" w14:textId="77777777" w:rsidR="00F650F4" w:rsidRPr="009F57D8" w:rsidRDefault="00F650F4" w:rsidP="009E6ED8">
            <w:pPr>
              <w:pStyle w:val="TableText0"/>
              <w:keepNext/>
              <w:jc w:val="center"/>
              <w:rPr>
                <w:iCs/>
              </w:rPr>
            </w:pPr>
            <w:r w:rsidRPr="009F57D8">
              <w:rPr>
                <w:iCs/>
              </w:rPr>
              <w:t>0</w:t>
            </w:r>
          </w:p>
        </w:tc>
      </w:tr>
      <w:tr w:rsidR="00F650F4" w:rsidRPr="009F57D8" w14:paraId="20947D1F" w14:textId="77777777" w:rsidTr="009E6ED8">
        <w:tc>
          <w:tcPr>
            <w:tcW w:w="851" w:type="pct"/>
            <w:vAlign w:val="center"/>
          </w:tcPr>
          <w:p w14:paraId="0D4EBAA8" w14:textId="5F1B0D8F" w:rsidR="00F650F4" w:rsidRPr="009F57D8" w:rsidRDefault="00F650F4" w:rsidP="009E6ED8">
            <w:pPr>
              <w:pStyle w:val="TableText0"/>
              <w:keepNext/>
              <w:rPr>
                <w:b/>
              </w:rPr>
            </w:pPr>
            <w:r w:rsidRPr="009F57D8">
              <w:rPr>
                <w:b/>
              </w:rPr>
              <w:t xml:space="preserve">Total estimated doses of </w:t>
            </w:r>
            <w:r w:rsidR="00B12F6F" w:rsidRPr="009F57D8">
              <w:rPr>
                <w:b/>
              </w:rPr>
              <w:t>21vPCV</w:t>
            </w:r>
          </w:p>
        </w:tc>
        <w:tc>
          <w:tcPr>
            <w:tcW w:w="691" w:type="pct"/>
            <w:vAlign w:val="center"/>
          </w:tcPr>
          <w:p w14:paraId="205B70A3" w14:textId="06EADECB" w:rsidR="00F650F4" w:rsidRPr="00D26B05" w:rsidRDefault="00FD08E9" w:rsidP="009E6ED8">
            <w:pPr>
              <w:pStyle w:val="TableText0"/>
              <w:keepNext/>
              <w:jc w:val="center"/>
              <w:rPr>
                <w:b/>
                <w:i/>
                <w:vertAlign w:val="superscript"/>
              </w:rPr>
            </w:pPr>
            <w:r w:rsidRPr="00FD08E9">
              <w:rPr>
                <w:highlight w:val="black"/>
              </w:rPr>
              <w:t>&amp;&amp;&amp;&amp;</w:t>
            </w:r>
            <w:r w:rsidR="00D26B05">
              <w:rPr>
                <w:vertAlign w:val="superscript"/>
              </w:rPr>
              <w:t>14</w:t>
            </w:r>
          </w:p>
        </w:tc>
        <w:tc>
          <w:tcPr>
            <w:tcW w:w="691" w:type="pct"/>
            <w:vAlign w:val="center"/>
          </w:tcPr>
          <w:p w14:paraId="6EFCDA21" w14:textId="56FE297F" w:rsidR="00F650F4" w:rsidRPr="00B64F12" w:rsidRDefault="00FD08E9" w:rsidP="009E6ED8">
            <w:pPr>
              <w:pStyle w:val="TableText0"/>
              <w:keepNext/>
              <w:jc w:val="center"/>
              <w:rPr>
                <w:b/>
                <w:i/>
                <w:vertAlign w:val="superscript"/>
              </w:rPr>
            </w:pPr>
            <w:r w:rsidRPr="00FD08E9">
              <w:rPr>
                <w:highlight w:val="black"/>
              </w:rPr>
              <w:t>&amp;&amp;&amp;&amp;</w:t>
            </w:r>
            <w:r w:rsidR="00B64F12">
              <w:rPr>
                <w:vertAlign w:val="superscript"/>
              </w:rPr>
              <w:t>15</w:t>
            </w:r>
          </w:p>
        </w:tc>
        <w:tc>
          <w:tcPr>
            <w:tcW w:w="691" w:type="pct"/>
            <w:vAlign w:val="center"/>
          </w:tcPr>
          <w:p w14:paraId="754917AD" w14:textId="3E6703CC" w:rsidR="00F650F4" w:rsidRPr="00C7758F" w:rsidRDefault="00FD08E9" w:rsidP="009E6ED8">
            <w:pPr>
              <w:pStyle w:val="TableText0"/>
              <w:keepNext/>
              <w:jc w:val="center"/>
              <w:rPr>
                <w:b/>
                <w:i/>
                <w:vertAlign w:val="superscript"/>
              </w:rPr>
            </w:pPr>
            <w:r w:rsidRPr="00FD08E9">
              <w:rPr>
                <w:highlight w:val="black"/>
              </w:rPr>
              <w:t>&amp;&amp;&amp;&amp;</w:t>
            </w:r>
            <w:r w:rsidR="00C7758F">
              <w:rPr>
                <w:vertAlign w:val="superscript"/>
              </w:rPr>
              <w:t>1</w:t>
            </w:r>
          </w:p>
        </w:tc>
        <w:tc>
          <w:tcPr>
            <w:tcW w:w="691" w:type="pct"/>
            <w:vAlign w:val="center"/>
          </w:tcPr>
          <w:p w14:paraId="101E3313" w14:textId="3444FDB6" w:rsidR="00F650F4" w:rsidRPr="005A4F5E" w:rsidRDefault="00FD08E9" w:rsidP="009E6ED8">
            <w:pPr>
              <w:pStyle w:val="TableText0"/>
              <w:keepNext/>
              <w:jc w:val="center"/>
              <w:rPr>
                <w:b/>
                <w:i/>
                <w:vertAlign w:val="superscript"/>
              </w:rPr>
            </w:pPr>
            <w:r w:rsidRPr="00FD08E9">
              <w:rPr>
                <w:highlight w:val="black"/>
              </w:rPr>
              <w:t>&amp;&amp;&amp;&amp;</w:t>
            </w:r>
            <w:r w:rsidR="005A4F5E">
              <w:rPr>
                <w:vertAlign w:val="superscript"/>
              </w:rPr>
              <w:t>9</w:t>
            </w:r>
          </w:p>
        </w:tc>
        <w:tc>
          <w:tcPr>
            <w:tcW w:w="691" w:type="pct"/>
            <w:vAlign w:val="center"/>
          </w:tcPr>
          <w:p w14:paraId="719A10AE" w14:textId="2610D62F" w:rsidR="00F650F4" w:rsidRPr="005A4F5E" w:rsidRDefault="00FD08E9" w:rsidP="009E6ED8">
            <w:pPr>
              <w:pStyle w:val="TableText0"/>
              <w:keepNext/>
              <w:jc w:val="center"/>
              <w:rPr>
                <w:b/>
                <w:i/>
                <w:vertAlign w:val="superscript"/>
              </w:rPr>
            </w:pPr>
            <w:r w:rsidRPr="00FD08E9">
              <w:rPr>
                <w:highlight w:val="black"/>
              </w:rPr>
              <w:t>&amp;&amp;&amp;&amp;</w:t>
            </w:r>
            <w:r w:rsidR="005A4F5E">
              <w:rPr>
                <w:vertAlign w:val="superscript"/>
              </w:rPr>
              <w:t>9</w:t>
            </w:r>
          </w:p>
        </w:tc>
        <w:tc>
          <w:tcPr>
            <w:tcW w:w="691" w:type="pct"/>
            <w:vAlign w:val="center"/>
          </w:tcPr>
          <w:p w14:paraId="3E7EC691" w14:textId="5B86F595" w:rsidR="00F650F4" w:rsidRPr="005A4F5E" w:rsidRDefault="00FD08E9" w:rsidP="009E6ED8">
            <w:pPr>
              <w:pStyle w:val="TableText0"/>
              <w:keepNext/>
              <w:jc w:val="center"/>
              <w:rPr>
                <w:b/>
                <w:i/>
                <w:vertAlign w:val="superscript"/>
              </w:rPr>
            </w:pPr>
            <w:r w:rsidRPr="00FD08E9">
              <w:rPr>
                <w:highlight w:val="black"/>
              </w:rPr>
              <w:t>&amp;&amp;&amp;&amp;</w:t>
            </w:r>
            <w:r w:rsidR="005A4F5E">
              <w:rPr>
                <w:vertAlign w:val="superscript"/>
              </w:rPr>
              <w:t>9</w:t>
            </w:r>
          </w:p>
        </w:tc>
      </w:tr>
      <w:tr w:rsidR="00F650F4" w:rsidRPr="009F57D8" w14:paraId="7F78B262" w14:textId="77777777" w:rsidTr="009E6ED8">
        <w:tc>
          <w:tcPr>
            <w:tcW w:w="5000" w:type="pct"/>
            <w:gridSpan w:val="7"/>
            <w:vAlign w:val="center"/>
          </w:tcPr>
          <w:p w14:paraId="7B90DCEF" w14:textId="77777777" w:rsidR="00F650F4" w:rsidRPr="009F57D8" w:rsidRDefault="00F650F4" w:rsidP="009E6ED8">
            <w:pPr>
              <w:pStyle w:val="TableText0"/>
              <w:keepNext/>
            </w:pPr>
            <w:r w:rsidRPr="009F57D8">
              <w:rPr>
                <w:b/>
              </w:rPr>
              <w:t>Estimated financial implications</w:t>
            </w:r>
          </w:p>
        </w:tc>
      </w:tr>
      <w:tr w:rsidR="00F650F4" w:rsidRPr="009F57D8" w14:paraId="4B83839D" w14:textId="77777777" w:rsidTr="009E6ED8">
        <w:tc>
          <w:tcPr>
            <w:tcW w:w="851" w:type="pct"/>
          </w:tcPr>
          <w:p w14:paraId="546059A7" w14:textId="77777777" w:rsidR="00F650F4" w:rsidRPr="009F57D8" w:rsidRDefault="00F650F4" w:rsidP="009E6ED8">
            <w:pPr>
              <w:pStyle w:val="TableText0"/>
              <w:keepNext/>
              <w:rPr>
                <w:b/>
              </w:rPr>
            </w:pPr>
            <w:r w:rsidRPr="009F57D8">
              <w:rPr>
                <w:b/>
                <w:bCs w:val="0"/>
              </w:rPr>
              <w:t>Naïve</w:t>
            </w:r>
          </w:p>
        </w:tc>
        <w:tc>
          <w:tcPr>
            <w:tcW w:w="691" w:type="pct"/>
            <w:vAlign w:val="center"/>
          </w:tcPr>
          <w:p w14:paraId="0F5C45D8" w14:textId="77777777" w:rsidR="00F650F4" w:rsidRPr="009F57D8" w:rsidRDefault="00F650F4" w:rsidP="009E6ED8">
            <w:pPr>
              <w:pStyle w:val="TableText0"/>
              <w:keepNext/>
              <w:jc w:val="center"/>
            </w:pPr>
          </w:p>
        </w:tc>
        <w:tc>
          <w:tcPr>
            <w:tcW w:w="691" w:type="pct"/>
            <w:vAlign w:val="center"/>
          </w:tcPr>
          <w:p w14:paraId="61F031B4" w14:textId="77777777" w:rsidR="00F650F4" w:rsidRPr="009F57D8" w:rsidRDefault="00F650F4" w:rsidP="009E6ED8">
            <w:pPr>
              <w:pStyle w:val="TableText0"/>
              <w:keepNext/>
              <w:jc w:val="center"/>
            </w:pPr>
          </w:p>
        </w:tc>
        <w:tc>
          <w:tcPr>
            <w:tcW w:w="691" w:type="pct"/>
            <w:vAlign w:val="center"/>
          </w:tcPr>
          <w:p w14:paraId="56AFB61C" w14:textId="77777777" w:rsidR="00F650F4" w:rsidRPr="009F57D8" w:rsidRDefault="00F650F4" w:rsidP="009E6ED8">
            <w:pPr>
              <w:pStyle w:val="TableText0"/>
              <w:keepNext/>
              <w:jc w:val="center"/>
            </w:pPr>
          </w:p>
        </w:tc>
        <w:tc>
          <w:tcPr>
            <w:tcW w:w="691" w:type="pct"/>
            <w:vAlign w:val="center"/>
          </w:tcPr>
          <w:p w14:paraId="2DEA2358" w14:textId="77777777" w:rsidR="00F650F4" w:rsidRPr="009F57D8" w:rsidRDefault="00F650F4" w:rsidP="009E6ED8">
            <w:pPr>
              <w:pStyle w:val="TableText0"/>
              <w:keepNext/>
              <w:jc w:val="center"/>
            </w:pPr>
          </w:p>
        </w:tc>
        <w:tc>
          <w:tcPr>
            <w:tcW w:w="691" w:type="pct"/>
            <w:vAlign w:val="center"/>
          </w:tcPr>
          <w:p w14:paraId="0A5AB246" w14:textId="77777777" w:rsidR="00F650F4" w:rsidRPr="009F57D8" w:rsidRDefault="00F650F4" w:rsidP="009E6ED8">
            <w:pPr>
              <w:pStyle w:val="TableText0"/>
              <w:keepNext/>
              <w:jc w:val="center"/>
            </w:pPr>
          </w:p>
        </w:tc>
        <w:tc>
          <w:tcPr>
            <w:tcW w:w="691" w:type="pct"/>
            <w:vAlign w:val="center"/>
          </w:tcPr>
          <w:p w14:paraId="5475EFF6" w14:textId="77777777" w:rsidR="00F650F4" w:rsidRPr="009F57D8" w:rsidRDefault="00F650F4" w:rsidP="009E6ED8">
            <w:pPr>
              <w:pStyle w:val="TableText0"/>
              <w:keepNext/>
              <w:jc w:val="center"/>
            </w:pPr>
          </w:p>
        </w:tc>
      </w:tr>
      <w:tr w:rsidR="00F650F4" w:rsidRPr="009F57D8" w14:paraId="7FDF698B" w14:textId="77777777" w:rsidTr="009E6ED8">
        <w:tc>
          <w:tcPr>
            <w:tcW w:w="851" w:type="pct"/>
            <w:vAlign w:val="center"/>
          </w:tcPr>
          <w:p w14:paraId="0F5CF04F" w14:textId="77777777" w:rsidR="00F650F4" w:rsidRPr="009F57D8" w:rsidRDefault="00F650F4" w:rsidP="009E6ED8">
            <w:pPr>
              <w:pStyle w:val="TableText0"/>
              <w:keepNext/>
              <w:rPr>
                <w:b/>
              </w:rPr>
            </w:pPr>
            <w:r w:rsidRPr="009F57D8">
              <w:t>Non-Indigenous ≥ 70</w:t>
            </w:r>
          </w:p>
        </w:tc>
        <w:tc>
          <w:tcPr>
            <w:tcW w:w="691" w:type="pct"/>
            <w:vAlign w:val="center"/>
          </w:tcPr>
          <w:p w14:paraId="7B7BCB1B" w14:textId="7BFA20B1" w:rsidR="00F650F4" w:rsidRPr="00397BCE" w:rsidRDefault="00F650F4" w:rsidP="009E6ED8">
            <w:pPr>
              <w:pStyle w:val="TableText0"/>
              <w:keepNext/>
              <w:jc w:val="center"/>
              <w:rPr>
                <w:vertAlign w:val="superscript"/>
              </w:rPr>
            </w:pPr>
            <w:r w:rsidRPr="009F57D8">
              <w:t>$</w:t>
            </w:r>
            <w:r w:rsidR="00FD08E9" w:rsidRPr="00FD08E9">
              <w:rPr>
                <w:highlight w:val="black"/>
              </w:rPr>
              <w:t>&amp;&amp;&amp;&amp;</w:t>
            </w:r>
            <w:r w:rsidR="00397BCE">
              <w:rPr>
                <w:vertAlign w:val="superscript"/>
              </w:rPr>
              <w:t>16</w:t>
            </w:r>
          </w:p>
        </w:tc>
        <w:tc>
          <w:tcPr>
            <w:tcW w:w="691" w:type="pct"/>
            <w:vAlign w:val="center"/>
          </w:tcPr>
          <w:p w14:paraId="572BC4CA" w14:textId="36494149" w:rsidR="00F650F4" w:rsidRPr="00397BCE" w:rsidRDefault="00F650F4" w:rsidP="009E6ED8">
            <w:pPr>
              <w:pStyle w:val="TableText0"/>
              <w:keepNext/>
              <w:jc w:val="center"/>
              <w:rPr>
                <w:vertAlign w:val="superscript"/>
              </w:rPr>
            </w:pPr>
            <w:r w:rsidRPr="009F57D8">
              <w:t>$</w:t>
            </w:r>
            <w:r w:rsidR="00FD08E9" w:rsidRPr="00FD08E9">
              <w:rPr>
                <w:highlight w:val="black"/>
              </w:rPr>
              <w:t>&amp;&amp;&amp;&amp;</w:t>
            </w:r>
            <w:r w:rsidR="00397BCE">
              <w:rPr>
                <w:vertAlign w:val="superscript"/>
              </w:rPr>
              <w:t>16</w:t>
            </w:r>
          </w:p>
        </w:tc>
        <w:tc>
          <w:tcPr>
            <w:tcW w:w="691" w:type="pct"/>
            <w:vAlign w:val="center"/>
          </w:tcPr>
          <w:p w14:paraId="45296E7F" w14:textId="2C7E7A24" w:rsidR="00F650F4" w:rsidRPr="00397BCE" w:rsidRDefault="00F650F4" w:rsidP="009E6ED8">
            <w:pPr>
              <w:pStyle w:val="TableText0"/>
              <w:keepNext/>
              <w:jc w:val="center"/>
              <w:rPr>
                <w:vertAlign w:val="superscript"/>
              </w:rPr>
            </w:pPr>
            <w:r w:rsidRPr="009F57D8">
              <w:t>$</w:t>
            </w:r>
            <w:r w:rsidR="00FD08E9" w:rsidRPr="00FD08E9">
              <w:rPr>
                <w:highlight w:val="black"/>
              </w:rPr>
              <w:t>&amp;&amp;&amp;&amp;</w:t>
            </w:r>
            <w:r w:rsidR="00397BCE">
              <w:rPr>
                <w:vertAlign w:val="superscript"/>
              </w:rPr>
              <w:t>16</w:t>
            </w:r>
          </w:p>
        </w:tc>
        <w:tc>
          <w:tcPr>
            <w:tcW w:w="691" w:type="pct"/>
            <w:vAlign w:val="center"/>
          </w:tcPr>
          <w:p w14:paraId="6180D44D" w14:textId="795090F7" w:rsidR="00F650F4" w:rsidRPr="008A0670" w:rsidRDefault="00F650F4" w:rsidP="009E6ED8">
            <w:pPr>
              <w:pStyle w:val="TableText0"/>
              <w:keepNext/>
              <w:jc w:val="center"/>
              <w:rPr>
                <w:vertAlign w:val="superscript"/>
              </w:rPr>
            </w:pPr>
            <w:r w:rsidRPr="009F57D8">
              <w:t>$</w:t>
            </w:r>
            <w:r w:rsidR="00FD08E9" w:rsidRPr="00FD08E9">
              <w:rPr>
                <w:highlight w:val="black"/>
              </w:rPr>
              <w:t>&amp;&amp;&amp;&amp;</w:t>
            </w:r>
            <w:r w:rsidR="008A0670">
              <w:rPr>
                <w:vertAlign w:val="superscript"/>
              </w:rPr>
              <w:t>17</w:t>
            </w:r>
          </w:p>
        </w:tc>
        <w:tc>
          <w:tcPr>
            <w:tcW w:w="691" w:type="pct"/>
            <w:vAlign w:val="center"/>
          </w:tcPr>
          <w:p w14:paraId="265D89D5" w14:textId="1292B2AE" w:rsidR="00F650F4" w:rsidRPr="00837D66" w:rsidRDefault="00F650F4" w:rsidP="009E6ED8">
            <w:pPr>
              <w:pStyle w:val="TableText0"/>
              <w:keepNext/>
              <w:jc w:val="center"/>
              <w:rPr>
                <w:vertAlign w:val="superscript"/>
              </w:rPr>
            </w:pPr>
            <w:r w:rsidRPr="009F57D8">
              <w:t>$</w:t>
            </w:r>
            <w:r w:rsidR="00FD08E9" w:rsidRPr="00FD08E9">
              <w:rPr>
                <w:highlight w:val="black"/>
              </w:rPr>
              <w:t>&amp;&amp;&amp;&amp;</w:t>
            </w:r>
            <w:r w:rsidR="00837D66">
              <w:rPr>
                <w:vertAlign w:val="superscript"/>
              </w:rPr>
              <w:t>17</w:t>
            </w:r>
          </w:p>
        </w:tc>
        <w:tc>
          <w:tcPr>
            <w:tcW w:w="691" w:type="pct"/>
            <w:vAlign w:val="center"/>
          </w:tcPr>
          <w:p w14:paraId="6D7D6D85" w14:textId="6DC258DF" w:rsidR="00F650F4" w:rsidRPr="00837D66" w:rsidRDefault="00F650F4" w:rsidP="009E6ED8">
            <w:pPr>
              <w:pStyle w:val="TableText0"/>
              <w:keepNext/>
              <w:jc w:val="center"/>
              <w:rPr>
                <w:vertAlign w:val="superscript"/>
              </w:rPr>
            </w:pPr>
            <w:r w:rsidRPr="009F57D8">
              <w:t>$</w:t>
            </w:r>
            <w:r w:rsidR="00FD08E9" w:rsidRPr="00FD08E9">
              <w:rPr>
                <w:highlight w:val="black"/>
              </w:rPr>
              <w:t>&amp;&amp;&amp;&amp;</w:t>
            </w:r>
            <w:r w:rsidR="00837D66">
              <w:rPr>
                <w:vertAlign w:val="superscript"/>
              </w:rPr>
              <w:t>17</w:t>
            </w:r>
          </w:p>
        </w:tc>
      </w:tr>
      <w:tr w:rsidR="00F650F4" w:rsidRPr="009F57D8" w14:paraId="61319503" w14:textId="77777777" w:rsidTr="009E6ED8">
        <w:tc>
          <w:tcPr>
            <w:tcW w:w="851" w:type="pct"/>
            <w:vAlign w:val="center"/>
          </w:tcPr>
          <w:p w14:paraId="38E0FECB" w14:textId="77777777" w:rsidR="00F650F4" w:rsidRPr="009F57D8" w:rsidRDefault="00F650F4" w:rsidP="009E6ED8">
            <w:pPr>
              <w:pStyle w:val="TableText0"/>
              <w:keepNext/>
              <w:rPr>
                <w:b/>
              </w:rPr>
            </w:pPr>
            <w:r w:rsidRPr="009F57D8">
              <w:t>Indigenous 25 to 49</w:t>
            </w:r>
          </w:p>
        </w:tc>
        <w:tc>
          <w:tcPr>
            <w:tcW w:w="691" w:type="pct"/>
            <w:vAlign w:val="center"/>
          </w:tcPr>
          <w:p w14:paraId="2A9B90FB" w14:textId="2A809EE9"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2D15C1DB" w14:textId="4692DB79"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36BAABC7" w14:textId="462A829F"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325CB421" w14:textId="602B745E"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297730BA" w14:textId="16CFFBBB"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5C952822" w14:textId="40ADC229"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r>
      <w:tr w:rsidR="00F650F4" w:rsidRPr="009F57D8" w14:paraId="40D6863F" w14:textId="77777777" w:rsidTr="009E6ED8">
        <w:tc>
          <w:tcPr>
            <w:tcW w:w="851" w:type="pct"/>
            <w:vAlign w:val="center"/>
          </w:tcPr>
          <w:p w14:paraId="462E8D2D" w14:textId="77777777" w:rsidR="00F650F4" w:rsidRPr="009F57D8" w:rsidRDefault="00F650F4" w:rsidP="009E6ED8">
            <w:pPr>
              <w:pStyle w:val="TableText0"/>
              <w:keepNext/>
              <w:rPr>
                <w:b/>
              </w:rPr>
            </w:pPr>
            <w:r w:rsidRPr="009F57D8">
              <w:t>Indigenous ≥ 50</w:t>
            </w:r>
          </w:p>
        </w:tc>
        <w:tc>
          <w:tcPr>
            <w:tcW w:w="691" w:type="pct"/>
            <w:vAlign w:val="center"/>
          </w:tcPr>
          <w:p w14:paraId="02EABF35" w14:textId="0F766C7A"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02B60F27" w14:textId="328DF3FE" w:rsidR="00F650F4" w:rsidRPr="005649A3" w:rsidRDefault="00F650F4" w:rsidP="009E6ED8">
            <w:pPr>
              <w:pStyle w:val="TableText0"/>
              <w:keepNext/>
              <w:jc w:val="center"/>
              <w:rPr>
                <w:vertAlign w:val="superscript"/>
              </w:rPr>
            </w:pPr>
            <w:r w:rsidRPr="009F57D8">
              <w:t>$</w:t>
            </w:r>
            <w:r w:rsidR="00FD08E9" w:rsidRPr="00FD08E9">
              <w:rPr>
                <w:highlight w:val="black"/>
              </w:rPr>
              <w:t>&amp;&amp;&amp;&amp;</w:t>
            </w:r>
            <w:r w:rsidR="005649A3">
              <w:rPr>
                <w:vertAlign w:val="superscript"/>
              </w:rPr>
              <w:t>18</w:t>
            </w:r>
          </w:p>
        </w:tc>
        <w:tc>
          <w:tcPr>
            <w:tcW w:w="691" w:type="pct"/>
            <w:vAlign w:val="center"/>
          </w:tcPr>
          <w:p w14:paraId="1D6FF5CF" w14:textId="53E25154" w:rsidR="00F650F4" w:rsidRPr="00BA72FB" w:rsidRDefault="00F650F4" w:rsidP="009E6ED8">
            <w:pPr>
              <w:pStyle w:val="TableText0"/>
              <w:keepNext/>
              <w:jc w:val="center"/>
              <w:rPr>
                <w:vertAlign w:val="superscript"/>
              </w:rPr>
            </w:pPr>
            <w:r w:rsidRPr="009F57D8">
              <w:t>$</w:t>
            </w:r>
            <w:r w:rsidR="00FD08E9" w:rsidRPr="00FD08E9">
              <w:rPr>
                <w:highlight w:val="black"/>
              </w:rPr>
              <w:t>&amp;&amp;&amp;&amp;</w:t>
            </w:r>
            <w:r w:rsidR="00BA72FB">
              <w:rPr>
                <w:vertAlign w:val="superscript"/>
              </w:rPr>
              <w:t>18</w:t>
            </w:r>
          </w:p>
        </w:tc>
        <w:tc>
          <w:tcPr>
            <w:tcW w:w="691" w:type="pct"/>
            <w:vAlign w:val="center"/>
          </w:tcPr>
          <w:p w14:paraId="6B35B7DF" w14:textId="1F6A9036" w:rsidR="00F650F4" w:rsidRPr="00BA72FB" w:rsidRDefault="00F650F4" w:rsidP="009E6ED8">
            <w:pPr>
              <w:pStyle w:val="TableText0"/>
              <w:keepNext/>
              <w:jc w:val="center"/>
              <w:rPr>
                <w:vertAlign w:val="superscript"/>
              </w:rPr>
            </w:pPr>
            <w:r w:rsidRPr="009F57D8">
              <w:t>$</w:t>
            </w:r>
            <w:r w:rsidR="00FD08E9" w:rsidRPr="00FD08E9">
              <w:rPr>
                <w:highlight w:val="black"/>
              </w:rPr>
              <w:t>&amp;&amp;&amp;&amp;</w:t>
            </w:r>
            <w:r w:rsidR="00BA72FB">
              <w:rPr>
                <w:vertAlign w:val="superscript"/>
              </w:rPr>
              <w:t>18</w:t>
            </w:r>
          </w:p>
        </w:tc>
        <w:tc>
          <w:tcPr>
            <w:tcW w:w="691" w:type="pct"/>
            <w:vAlign w:val="center"/>
          </w:tcPr>
          <w:p w14:paraId="06DBC89F" w14:textId="4FBDEDC0" w:rsidR="00F650F4" w:rsidRPr="00BA72FB" w:rsidRDefault="00F650F4" w:rsidP="009E6ED8">
            <w:pPr>
              <w:pStyle w:val="TableText0"/>
              <w:keepNext/>
              <w:jc w:val="center"/>
              <w:rPr>
                <w:vertAlign w:val="superscript"/>
              </w:rPr>
            </w:pPr>
            <w:r w:rsidRPr="009F57D8">
              <w:t>$</w:t>
            </w:r>
            <w:r w:rsidR="00FD08E9" w:rsidRPr="00FD08E9">
              <w:rPr>
                <w:highlight w:val="black"/>
              </w:rPr>
              <w:t>&amp;&amp;&amp;&amp;</w:t>
            </w:r>
            <w:r w:rsidR="00BA72FB">
              <w:rPr>
                <w:vertAlign w:val="superscript"/>
              </w:rPr>
              <w:t>18</w:t>
            </w:r>
          </w:p>
        </w:tc>
        <w:tc>
          <w:tcPr>
            <w:tcW w:w="691" w:type="pct"/>
            <w:vAlign w:val="center"/>
          </w:tcPr>
          <w:p w14:paraId="38AC30BD" w14:textId="4FCBB551" w:rsidR="00F650F4" w:rsidRPr="00BA72FB" w:rsidRDefault="00F650F4" w:rsidP="009E6ED8">
            <w:pPr>
              <w:pStyle w:val="TableText0"/>
              <w:keepNext/>
              <w:jc w:val="center"/>
              <w:rPr>
                <w:vertAlign w:val="superscript"/>
              </w:rPr>
            </w:pPr>
            <w:r w:rsidRPr="009F57D8">
              <w:t>$</w:t>
            </w:r>
            <w:r w:rsidR="00FD08E9" w:rsidRPr="00FD08E9">
              <w:rPr>
                <w:highlight w:val="black"/>
              </w:rPr>
              <w:t>&amp;&amp;&amp;&amp;</w:t>
            </w:r>
            <w:r w:rsidR="00BA72FB">
              <w:rPr>
                <w:vertAlign w:val="superscript"/>
              </w:rPr>
              <w:t>18</w:t>
            </w:r>
          </w:p>
        </w:tc>
      </w:tr>
      <w:tr w:rsidR="00F650F4" w:rsidRPr="009F57D8" w14:paraId="3FD785CA" w14:textId="77777777" w:rsidTr="009E6ED8">
        <w:tc>
          <w:tcPr>
            <w:tcW w:w="851" w:type="pct"/>
            <w:vAlign w:val="center"/>
          </w:tcPr>
          <w:p w14:paraId="00E8F296" w14:textId="77777777" w:rsidR="00F650F4" w:rsidRPr="009F57D8" w:rsidRDefault="00F650F4" w:rsidP="009E6ED8">
            <w:pPr>
              <w:pStyle w:val="TableText0"/>
              <w:keepNext/>
              <w:rPr>
                <w:b/>
              </w:rPr>
            </w:pPr>
            <w:r w:rsidRPr="009F57D8">
              <w:t>MaR 18+</w:t>
            </w:r>
          </w:p>
        </w:tc>
        <w:tc>
          <w:tcPr>
            <w:tcW w:w="691" w:type="pct"/>
            <w:vAlign w:val="center"/>
          </w:tcPr>
          <w:p w14:paraId="03AF13DA" w14:textId="416D2FCE" w:rsidR="00F650F4" w:rsidRPr="00C8722C" w:rsidRDefault="00F650F4" w:rsidP="009E6ED8">
            <w:pPr>
              <w:pStyle w:val="TableText0"/>
              <w:keepNext/>
              <w:jc w:val="center"/>
              <w:rPr>
                <w:vertAlign w:val="superscript"/>
              </w:rPr>
            </w:pPr>
            <w:r w:rsidRPr="009F57D8">
              <w:t>$</w:t>
            </w:r>
            <w:r w:rsidR="00FD08E9" w:rsidRPr="00FD08E9">
              <w:rPr>
                <w:highlight w:val="black"/>
              </w:rPr>
              <w:t>&amp;&amp;&amp;&amp;</w:t>
            </w:r>
            <w:r w:rsidR="00C8722C">
              <w:rPr>
                <w:vertAlign w:val="superscript"/>
              </w:rPr>
              <w:t>18</w:t>
            </w:r>
          </w:p>
        </w:tc>
        <w:tc>
          <w:tcPr>
            <w:tcW w:w="691" w:type="pct"/>
            <w:vAlign w:val="center"/>
          </w:tcPr>
          <w:p w14:paraId="6E993DE1" w14:textId="00589975" w:rsidR="00F650F4" w:rsidRPr="00C8722C" w:rsidRDefault="00F650F4" w:rsidP="009E6ED8">
            <w:pPr>
              <w:pStyle w:val="TableText0"/>
              <w:keepNext/>
              <w:jc w:val="center"/>
              <w:rPr>
                <w:vertAlign w:val="superscript"/>
              </w:rPr>
            </w:pPr>
            <w:r w:rsidRPr="009F57D8">
              <w:t>$</w:t>
            </w:r>
            <w:r w:rsidR="00FD08E9" w:rsidRPr="00FD08E9">
              <w:rPr>
                <w:highlight w:val="black"/>
              </w:rPr>
              <w:t>&amp;&amp;&amp;&amp;</w:t>
            </w:r>
            <w:r w:rsidR="00C8722C">
              <w:rPr>
                <w:vertAlign w:val="superscript"/>
              </w:rPr>
              <w:t>18</w:t>
            </w:r>
          </w:p>
        </w:tc>
        <w:tc>
          <w:tcPr>
            <w:tcW w:w="691" w:type="pct"/>
            <w:vAlign w:val="center"/>
          </w:tcPr>
          <w:p w14:paraId="07E7C21B" w14:textId="488EB22F" w:rsidR="00F650F4" w:rsidRPr="00C8722C" w:rsidRDefault="00F650F4" w:rsidP="009E6ED8">
            <w:pPr>
              <w:pStyle w:val="TableText0"/>
              <w:keepNext/>
              <w:jc w:val="center"/>
              <w:rPr>
                <w:vertAlign w:val="superscript"/>
              </w:rPr>
            </w:pPr>
            <w:r w:rsidRPr="009F57D8">
              <w:t>$</w:t>
            </w:r>
            <w:r w:rsidR="00FD08E9" w:rsidRPr="00FD08E9">
              <w:rPr>
                <w:highlight w:val="black"/>
              </w:rPr>
              <w:t>&amp;&amp;&amp;&amp;</w:t>
            </w:r>
            <w:r w:rsidR="00C8722C">
              <w:rPr>
                <w:vertAlign w:val="superscript"/>
              </w:rPr>
              <w:t>18</w:t>
            </w:r>
          </w:p>
        </w:tc>
        <w:tc>
          <w:tcPr>
            <w:tcW w:w="691" w:type="pct"/>
            <w:vAlign w:val="center"/>
          </w:tcPr>
          <w:p w14:paraId="610E4678" w14:textId="03C4038C" w:rsidR="00F650F4" w:rsidRPr="00C8722C" w:rsidRDefault="00F650F4" w:rsidP="009E6ED8">
            <w:pPr>
              <w:pStyle w:val="TableText0"/>
              <w:keepNext/>
              <w:jc w:val="center"/>
              <w:rPr>
                <w:vertAlign w:val="superscript"/>
              </w:rPr>
            </w:pPr>
            <w:r w:rsidRPr="009F57D8">
              <w:t>$</w:t>
            </w:r>
            <w:r w:rsidR="00FD08E9" w:rsidRPr="00FD08E9">
              <w:rPr>
                <w:highlight w:val="black"/>
              </w:rPr>
              <w:t>&amp;&amp;&amp;&amp;</w:t>
            </w:r>
            <w:r w:rsidR="00C8722C">
              <w:rPr>
                <w:vertAlign w:val="superscript"/>
              </w:rPr>
              <w:t>18</w:t>
            </w:r>
          </w:p>
        </w:tc>
        <w:tc>
          <w:tcPr>
            <w:tcW w:w="691" w:type="pct"/>
            <w:vAlign w:val="center"/>
          </w:tcPr>
          <w:p w14:paraId="7BB2606D" w14:textId="5E588523" w:rsidR="00F650F4" w:rsidRPr="00C8722C" w:rsidRDefault="00F650F4" w:rsidP="009E6ED8">
            <w:pPr>
              <w:pStyle w:val="TableText0"/>
              <w:keepNext/>
              <w:jc w:val="center"/>
              <w:rPr>
                <w:vertAlign w:val="superscript"/>
              </w:rPr>
            </w:pPr>
            <w:r w:rsidRPr="009F57D8">
              <w:t>$</w:t>
            </w:r>
            <w:r w:rsidR="00FD08E9" w:rsidRPr="00FD08E9">
              <w:rPr>
                <w:highlight w:val="black"/>
              </w:rPr>
              <w:t>&amp;&amp;&amp;&amp;</w:t>
            </w:r>
            <w:r w:rsidR="00C8722C">
              <w:rPr>
                <w:vertAlign w:val="superscript"/>
              </w:rPr>
              <w:t>18</w:t>
            </w:r>
          </w:p>
        </w:tc>
        <w:tc>
          <w:tcPr>
            <w:tcW w:w="691" w:type="pct"/>
            <w:vAlign w:val="center"/>
          </w:tcPr>
          <w:p w14:paraId="052A38F3" w14:textId="4AF0277F" w:rsidR="00F650F4" w:rsidRPr="00C8722C" w:rsidRDefault="00F650F4" w:rsidP="009E6ED8">
            <w:pPr>
              <w:pStyle w:val="TableText0"/>
              <w:keepNext/>
              <w:jc w:val="center"/>
              <w:rPr>
                <w:vertAlign w:val="superscript"/>
              </w:rPr>
            </w:pPr>
            <w:r w:rsidRPr="009F57D8">
              <w:t>$</w:t>
            </w:r>
            <w:r w:rsidR="00FD08E9" w:rsidRPr="00FD08E9">
              <w:rPr>
                <w:highlight w:val="black"/>
              </w:rPr>
              <w:t>&amp;&amp;&amp;&amp;</w:t>
            </w:r>
            <w:r w:rsidR="00C8722C">
              <w:rPr>
                <w:vertAlign w:val="superscript"/>
              </w:rPr>
              <w:t>18</w:t>
            </w:r>
          </w:p>
        </w:tc>
      </w:tr>
      <w:tr w:rsidR="00F650F4" w:rsidRPr="009F57D8" w14:paraId="0CA7C38B" w14:textId="77777777" w:rsidTr="009E6ED8">
        <w:tc>
          <w:tcPr>
            <w:tcW w:w="851" w:type="pct"/>
            <w:vAlign w:val="center"/>
          </w:tcPr>
          <w:p w14:paraId="4A34631C" w14:textId="77777777" w:rsidR="00F650F4" w:rsidRPr="009F57D8" w:rsidRDefault="00F650F4" w:rsidP="009E6ED8">
            <w:pPr>
              <w:pStyle w:val="TableText0"/>
              <w:keepNext/>
              <w:rPr>
                <w:b/>
              </w:rPr>
            </w:pPr>
            <w:r w:rsidRPr="009F57D8">
              <w:t>Total</w:t>
            </w:r>
          </w:p>
        </w:tc>
        <w:tc>
          <w:tcPr>
            <w:tcW w:w="691" w:type="pct"/>
            <w:vAlign w:val="center"/>
          </w:tcPr>
          <w:p w14:paraId="56CB0303" w14:textId="6DFF5F0F" w:rsidR="00F650F4" w:rsidRPr="00FD08E9" w:rsidRDefault="00F650F4" w:rsidP="009E6ED8">
            <w:pPr>
              <w:pStyle w:val="TableText0"/>
              <w:keepNext/>
              <w:jc w:val="center"/>
              <w:rPr>
                <w:vertAlign w:val="superscript"/>
              </w:rPr>
            </w:pPr>
            <w:r w:rsidRPr="009F57D8">
              <w:t>$</w:t>
            </w:r>
            <w:r w:rsidR="00FD08E9" w:rsidRPr="00FD08E9">
              <w:rPr>
                <w:highlight w:val="black"/>
              </w:rPr>
              <w:t>&amp;&amp;&amp;&amp;</w:t>
            </w:r>
            <w:r w:rsidR="00FD08E9">
              <w:rPr>
                <w:vertAlign w:val="superscript"/>
              </w:rPr>
              <w:t>21</w:t>
            </w:r>
          </w:p>
        </w:tc>
        <w:tc>
          <w:tcPr>
            <w:tcW w:w="691" w:type="pct"/>
            <w:vAlign w:val="center"/>
          </w:tcPr>
          <w:p w14:paraId="453F5BC3" w14:textId="4016F30E" w:rsidR="00F650F4" w:rsidRPr="00397BCE" w:rsidRDefault="00F650F4" w:rsidP="009E6ED8">
            <w:pPr>
              <w:pStyle w:val="TableText0"/>
              <w:keepNext/>
              <w:jc w:val="center"/>
              <w:rPr>
                <w:vertAlign w:val="superscript"/>
              </w:rPr>
            </w:pPr>
            <w:r w:rsidRPr="009F57D8">
              <w:t>$</w:t>
            </w:r>
            <w:r w:rsidR="00FD08E9" w:rsidRPr="00FD08E9">
              <w:rPr>
                <w:highlight w:val="black"/>
              </w:rPr>
              <w:t>&amp;&amp;&amp;&amp;</w:t>
            </w:r>
            <w:r w:rsidR="00397BCE">
              <w:rPr>
                <w:vertAlign w:val="superscript"/>
              </w:rPr>
              <w:t>16</w:t>
            </w:r>
          </w:p>
        </w:tc>
        <w:tc>
          <w:tcPr>
            <w:tcW w:w="691" w:type="pct"/>
            <w:vAlign w:val="center"/>
          </w:tcPr>
          <w:p w14:paraId="2AB0213B" w14:textId="358646D6" w:rsidR="00F650F4" w:rsidRPr="00397BCE" w:rsidRDefault="00F650F4" w:rsidP="009E6ED8">
            <w:pPr>
              <w:pStyle w:val="TableText0"/>
              <w:keepNext/>
              <w:jc w:val="center"/>
              <w:rPr>
                <w:vertAlign w:val="superscript"/>
              </w:rPr>
            </w:pPr>
            <w:r w:rsidRPr="009F57D8">
              <w:t>$</w:t>
            </w:r>
            <w:r w:rsidR="00FD08E9" w:rsidRPr="00FD08E9">
              <w:rPr>
                <w:highlight w:val="black"/>
              </w:rPr>
              <w:t>&amp;&amp;&amp;&amp;</w:t>
            </w:r>
            <w:r w:rsidR="00397BCE">
              <w:rPr>
                <w:vertAlign w:val="superscript"/>
              </w:rPr>
              <w:t>16</w:t>
            </w:r>
          </w:p>
        </w:tc>
        <w:tc>
          <w:tcPr>
            <w:tcW w:w="691" w:type="pct"/>
            <w:vAlign w:val="center"/>
          </w:tcPr>
          <w:p w14:paraId="41F7A2A9" w14:textId="0369893C" w:rsidR="00F650F4" w:rsidRPr="00F1006E" w:rsidRDefault="00F650F4" w:rsidP="009E6ED8">
            <w:pPr>
              <w:pStyle w:val="TableText0"/>
              <w:keepNext/>
              <w:jc w:val="center"/>
              <w:rPr>
                <w:vertAlign w:val="superscript"/>
              </w:rPr>
            </w:pPr>
            <w:r w:rsidRPr="009F57D8">
              <w:t>$</w:t>
            </w:r>
            <w:r w:rsidR="00FD08E9" w:rsidRPr="00FD08E9">
              <w:rPr>
                <w:highlight w:val="black"/>
              </w:rPr>
              <w:t>&amp;&amp;&amp;&amp;</w:t>
            </w:r>
            <w:r w:rsidR="00F1006E">
              <w:rPr>
                <w:vertAlign w:val="superscript"/>
              </w:rPr>
              <w:t>16</w:t>
            </w:r>
          </w:p>
        </w:tc>
        <w:tc>
          <w:tcPr>
            <w:tcW w:w="691" w:type="pct"/>
            <w:vAlign w:val="center"/>
          </w:tcPr>
          <w:p w14:paraId="5427F925" w14:textId="76B0CA96" w:rsidR="00F650F4" w:rsidRPr="00F1006E" w:rsidRDefault="00F650F4" w:rsidP="009E6ED8">
            <w:pPr>
              <w:pStyle w:val="TableText0"/>
              <w:keepNext/>
              <w:jc w:val="center"/>
              <w:rPr>
                <w:vertAlign w:val="superscript"/>
              </w:rPr>
            </w:pPr>
            <w:r w:rsidRPr="009F57D8">
              <w:t>$</w:t>
            </w:r>
            <w:r w:rsidR="00FD08E9" w:rsidRPr="00FD08E9">
              <w:rPr>
                <w:highlight w:val="black"/>
              </w:rPr>
              <w:t>&amp;&amp;&amp;&amp;</w:t>
            </w:r>
            <w:r w:rsidR="00F1006E">
              <w:rPr>
                <w:vertAlign w:val="superscript"/>
              </w:rPr>
              <w:t>16</w:t>
            </w:r>
          </w:p>
        </w:tc>
        <w:tc>
          <w:tcPr>
            <w:tcW w:w="691" w:type="pct"/>
            <w:vAlign w:val="center"/>
          </w:tcPr>
          <w:p w14:paraId="1C8DF2C9" w14:textId="241AE3BE" w:rsidR="00F650F4" w:rsidRPr="00397BCE" w:rsidRDefault="00F650F4" w:rsidP="009E6ED8">
            <w:pPr>
              <w:pStyle w:val="TableText0"/>
              <w:keepNext/>
              <w:jc w:val="center"/>
              <w:rPr>
                <w:vertAlign w:val="superscript"/>
              </w:rPr>
            </w:pPr>
            <w:r w:rsidRPr="009F57D8">
              <w:t>$</w:t>
            </w:r>
            <w:r w:rsidR="00FD08E9" w:rsidRPr="00FD08E9">
              <w:rPr>
                <w:highlight w:val="black"/>
              </w:rPr>
              <w:t>&amp;&amp;&amp;&amp;</w:t>
            </w:r>
            <w:r w:rsidR="00397BCE">
              <w:rPr>
                <w:vertAlign w:val="superscript"/>
              </w:rPr>
              <w:t>16</w:t>
            </w:r>
          </w:p>
        </w:tc>
      </w:tr>
      <w:tr w:rsidR="00F650F4" w:rsidRPr="009F57D8" w14:paraId="45D6D94B" w14:textId="77777777" w:rsidTr="009E6ED8">
        <w:tc>
          <w:tcPr>
            <w:tcW w:w="851" w:type="pct"/>
          </w:tcPr>
          <w:p w14:paraId="1B0559A8" w14:textId="77777777" w:rsidR="00F650F4" w:rsidRPr="009F57D8" w:rsidRDefault="00F650F4" w:rsidP="009E6ED8">
            <w:pPr>
              <w:pStyle w:val="TableText0"/>
              <w:keepNext/>
              <w:rPr>
                <w:b/>
              </w:rPr>
            </w:pPr>
            <w:r w:rsidRPr="009F57D8">
              <w:rPr>
                <w:b/>
                <w:bCs w:val="0"/>
              </w:rPr>
              <w:t>Catch-up</w:t>
            </w:r>
          </w:p>
        </w:tc>
        <w:tc>
          <w:tcPr>
            <w:tcW w:w="691" w:type="pct"/>
            <w:vAlign w:val="center"/>
          </w:tcPr>
          <w:p w14:paraId="374D3150" w14:textId="77777777" w:rsidR="00F650F4" w:rsidRPr="009F57D8" w:rsidRDefault="00F650F4" w:rsidP="009E6ED8">
            <w:pPr>
              <w:pStyle w:val="TableText0"/>
              <w:keepNext/>
              <w:jc w:val="center"/>
            </w:pPr>
          </w:p>
        </w:tc>
        <w:tc>
          <w:tcPr>
            <w:tcW w:w="691" w:type="pct"/>
            <w:vAlign w:val="center"/>
          </w:tcPr>
          <w:p w14:paraId="27699524" w14:textId="77777777" w:rsidR="00F650F4" w:rsidRPr="009F57D8" w:rsidRDefault="00F650F4" w:rsidP="009E6ED8">
            <w:pPr>
              <w:pStyle w:val="TableText0"/>
              <w:keepNext/>
              <w:jc w:val="center"/>
            </w:pPr>
          </w:p>
        </w:tc>
        <w:tc>
          <w:tcPr>
            <w:tcW w:w="691" w:type="pct"/>
            <w:vAlign w:val="center"/>
          </w:tcPr>
          <w:p w14:paraId="188B6012" w14:textId="77777777" w:rsidR="00F650F4" w:rsidRPr="009F57D8" w:rsidRDefault="00F650F4" w:rsidP="009E6ED8">
            <w:pPr>
              <w:pStyle w:val="TableText0"/>
              <w:keepNext/>
              <w:jc w:val="center"/>
            </w:pPr>
          </w:p>
        </w:tc>
        <w:tc>
          <w:tcPr>
            <w:tcW w:w="691" w:type="pct"/>
            <w:vAlign w:val="center"/>
          </w:tcPr>
          <w:p w14:paraId="35F14BC9" w14:textId="77777777" w:rsidR="00F650F4" w:rsidRPr="009F57D8" w:rsidRDefault="00F650F4" w:rsidP="009E6ED8">
            <w:pPr>
              <w:pStyle w:val="TableText0"/>
              <w:keepNext/>
              <w:jc w:val="center"/>
            </w:pPr>
          </w:p>
        </w:tc>
        <w:tc>
          <w:tcPr>
            <w:tcW w:w="691" w:type="pct"/>
            <w:vAlign w:val="center"/>
          </w:tcPr>
          <w:p w14:paraId="04F52F2C" w14:textId="77777777" w:rsidR="00F650F4" w:rsidRPr="009F57D8" w:rsidRDefault="00F650F4" w:rsidP="009E6ED8">
            <w:pPr>
              <w:pStyle w:val="TableText0"/>
              <w:keepNext/>
              <w:jc w:val="center"/>
            </w:pPr>
          </w:p>
        </w:tc>
        <w:tc>
          <w:tcPr>
            <w:tcW w:w="691" w:type="pct"/>
            <w:vAlign w:val="center"/>
          </w:tcPr>
          <w:p w14:paraId="4D1F5398" w14:textId="77777777" w:rsidR="00F650F4" w:rsidRPr="009F57D8" w:rsidRDefault="00F650F4" w:rsidP="009E6ED8">
            <w:pPr>
              <w:pStyle w:val="TableText0"/>
              <w:keepNext/>
              <w:jc w:val="center"/>
            </w:pPr>
          </w:p>
        </w:tc>
      </w:tr>
      <w:tr w:rsidR="00F650F4" w:rsidRPr="009F57D8" w14:paraId="5498B382" w14:textId="77777777" w:rsidTr="009E6ED8">
        <w:tc>
          <w:tcPr>
            <w:tcW w:w="851" w:type="pct"/>
          </w:tcPr>
          <w:p w14:paraId="5E5ADB60" w14:textId="77777777" w:rsidR="00F650F4" w:rsidRPr="009F57D8" w:rsidRDefault="00F650F4" w:rsidP="009E6ED8">
            <w:pPr>
              <w:pStyle w:val="TableText0"/>
              <w:keepNext/>
              <w:rPr>
                <w:b/>
              </w:rPr>
            </w:pPr>
            <w:r w:rsidRPr="009F57D8">
              <w:t>Non-indigenous ≥ 70</w:t>
            </w:r>
          </w:p>
        </w:tc>
        <w:tc>
          <w:tcPr>
            <w:tcW w:w="691" w:type="pct"/>
            <w:vAlign w:val="center"/>
          </w:tcPr>
          <w:p w14:paraId="5E9ED681" w14:textId="27332172" w:rsidR="00F650F4" w:rsidRPr="009427BE" w:rsidRDefault="00F650F4" w:rsidP="009E6ED8">
            <w:pPr>
              <w:pStyle w:val="TableText0"/>
              <w:keepNext/>
              <w:jc w:val="center"/>
              <w:rPr>
                <w:vertAlign w:val="superscript"/>
              </w:rPr>
            </w:pPr>
            <w:r w:rsidRPr="009F57D8">
              <w:t>$</w:t>
            </w:r>
            <w:r w:rsidR="00FD08E9" w:rsidRPr="00FD08E9">
              <w:rPr>
                <w:highlight w:val="black"/>
              </w:rPr>
              <w:t>&amp;&amp;&amp;&amp;</w:t>
            </w:r>
            <w:r w:rsidR="009427BE">
              <w:rPr>
                <w:vertAlign w:val="superscript"/>
              </w:rPr>
              <w:t>16</w:t>
            </w:r>
          </w:p>
        </w:tc>
        <w:tc>
          <w:tcPr>
            <w:tcW w:w="691" w:type="pct"/>
            <w:vAlign w:val="center"/>
          </w:tcPr>
          <w:p w14:paraId="0E97EA88" w14:textId="0B9C0F2B"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17</w:t>
            </w:r>
          </w:p>
        </w:tc>
        <w:tc>
          <w:tcPr>
            <w:tcW w:w="691" w:type="pct"/>
            <w:vAlign w:val="center"/>
          </w:tcPr>
          <w:p w14:paraId="750D2ACF" w14:textId="4F543AC9"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18</w:t>
            </w:r>
          </w:p>
        </w:tc>
        <w:tc>
          <w:tcPr>
            <w:tcW w:w="691" w:type="pct"/>
            <w:vAlign w:val="center"/>
          </w:tcPr>
          <w:p w14:paraId="15304B60" w14:textId="77777777" w:rsidR="00F650F4" w:rsidRPr="009F57D8" w:rsidRDefault="00F650F4" w:rsidP="009E6ED8">
            <w:pPr>
              <w:pStyle w:val="TableText0"/>
              <w:keepNext/>
              <w:jc w:val="center"/>
            </w:pPr>
            <w:r w:rsidRPr="009F57D8">
              <w:t xml:space="preserve">$-   </w:t>
            </w:r>
          </w:p>
        </w:tc>
        <w:tc>
          <w:tcPr>
            <w:tcW w:w="691" w:type="pct"/>
            <w:vAlign w:val="center"/>
          </w:tcPr>
          <w:p w14:paraId="78C8653B" w14:textId="77777777" w:rsidR="00F650F4" w:rsidRPr="009F57D8" w:rsidRDefault="00F650F4" w:rsidP="009E6ED8">
            <w:pPr>
              <w:pStyle w:val="TableText0"/>
              <w:keepNext/>
              <w:jc w:val="center"/>
            </w:pPr>
            <w:r w:rsidRPr="009F57D8">
              <w:t xml:space="preserve">$-   </w:t>
            </w:r>
          </w:p>
        </w:tc>
        <w:tc>
          <w:tcPr>
            <w:tcW w:w="691" w:type="pct"/>
            <w:vAlign w:val="center"/>
          </w:tcPr>
          <w:p w14:paraId="3AE093F3" w14:textId="77777777" w:rsidR="00F650F4" w:rsidRPr="009F57D8" w:rsidRDefault="00F650F4" w:rsidP="009E6ED8">
            <w:pPr>
              <w:pStyle w:val="TableText0"/>
              <w:keepNext/>
              <w:jc w:val="center"/>
            </w:pPr>
            <w:r w:rsidRPr="009F57D8">
              <w:t xml:space="preserve">$-   </w:t>
            </w:r>
          </w:p>
        </w:tc>
      </w:tr>
      <w:tr w:rsidR="00F650F4" w:rsidRPr="009F57D8" w14:paraId="3743CAA0" w14:textId="77777777" w:rsidTr="009E6ED8">
        <w:tc>
          <w:tcPr>
            <w:tcW w:w="851" w:type="pct"/>
          </w:tcPr>
          <w:p w14:paraId="012B6117" w14:textId="77777777" w:rsidR="00F650F4" w:rsidRPr="009F57D8" w:rsidRDefault="00F650F4" w:rsidP="009E6ED8">
            <w:pPr>
              <w:pStyle w:val="TableText0"/>
              <w:keepNext/>
              <w:rPr>
                <w:b/>
              </w:rPr>
            </w:pPr>
            <w:r w:rsidRPr="009F57D8">
              <w:t>Indigenous ≥ 50</w:t>
            </w:r>
          </w:p>
        </w:tc>
        <w:tc>
          <w:tcPr>
            <w:tcW w:w="691" w:type="pct"/>
            <w:vAlign w:val="center"/>
          </w:tcPr>
          <w:p w14:paraId="7838612E" w14:textId="1ACC51BB"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18</w:t>
            </w:r>
          </w:p>
        </w:tc>
        <w:tc>
          <w:tcPr>
            <w:tcW w:w="691" w:type="pct"/>
            <w:vAlign w:val="center"/>
          </w:tcPr>
          <w:p w14:paraId="25F519E6" w14:textId="5881BA31"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18</w:t>
            </w:r>
          </w:p>
        </w:tc>
        <w:tc>
          <w:tcPr>
            <w:tcW w:w="691" w:type="pct"/>
            <w:vAlign w:val="center"/>
          </w:tcPr>
          <w:p w14:paraId="46EF590E" w14:textId="7B44785E"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18</w:t>
            </w:r>
          </w:p>
        </w:tc>
        <w:tc>
          <w:tcPr>
            <w:tcW w:w="691" w:type="pct"/>
            <w:vAlign w:val="center"/>
          </w:tcPr>
          <w:p w14:paraId="67385962" w14:textId="77777777" w:rsidR="00F650F4" w:rsidRPr="009F57D8" w:rsidRDefault="00F650F4" w:rsidP="009E6ED8">
            <w:pPr>
              <w:pStyle w:val="TableText0"/>
              <w:keepNext/>
              <w:jc w:val="center"/>
            </w:pPr>
            <w:r w:rsidRPr="009F57D8">
              <w:t xml:space="preserve">$-   </w:t>
            </w:r>
          </w:p>
        </w:tc>
        <w:tc>
          <w:tcPr>
            <w:tcW w:w="691" w:type="pct"/>
            <w:vAlign w:val="center"/>
          </w:tcPr>
          <w:p w14:paraId="77C9E2A2" w14:textId="77777777" w:rsidR="00F650F4" w:rsidRPr="009F57D8" w:rsidRDefault="00F650F4" w:rsidP="009E6ED8">
            <w:pPr>
              <w:pStyle w:val="TableText0"/>
              <w:keepNext/>
              <w:jc w:val="center"/>
            </w:pPr>
            <w:r w:rsidRPr="009F57D8">
              <w:t xml:space="preserve">$-   </w:t>
            </w:r>
          </w:p>
        </w:tc>
        <w:tc>
          <w:tcPr>
            <w:tcW w:w="691" w:type="pct"/>
            <w:vAlign w:val="center"/>
          </w:tcPr>
          <w:p w14:paraId="17085F7C" w14:textId="77777777" w:rsidR="00F650F4" w:rsidRPr="009F57D8" w:rsidRDefault="00F650F4" w:rsidP="009E6ED8">
            <w:pPr>
              <w:pStyle w:val="TableText0"/>
              <w:keepNext/>
              <w:jc w:val="center"/>
            </w:pPr>
            <w:r w:rsidRPr="009F57D8">
              <w:t xml:space="preserve">$-   </w:t>
            </w:r>
          </w:p>
        </w:tc>
      </w:tr>
      <w:tr w:rsidR="00F650F4" w:rsidRPr="009F57D8" w14:paraId="172EE1E8" w14:textId="77777777" w:rsidTr="009E6ED8">
        <w:tc>
          <w:tcPr>
            <w:tcW w:w="851" w:type="pct"/>
          </w:tcPr>
          <w:p w14:paraId="3EC126E7" w14:textId="77777777" w:rsidR="00F650F4" w:rsidRPr="009F57D8" w:rsidRDefault="00F650F4" w:rsidP="009E6ED8">
            <w:pPr>
              <w:pStyle w:val="TableText0"/>
              <w:keepNext/>
              <w:rPr>
                <w:b/>
              </w:rPr>
            </w:pPr>
            <w:r w:rsidRPr="009F57D8">
              <w:t>MaR 18+</w:t>
            </w:r>
          </w:p>
        </w:tc>
        <w:tc>
          <w:tcPr>
            <w:tcW w:w="691" w:type="pct"/>
            <w:vAlign w:val="center"/>
          </w:tcPr>
          <w:p w14:paraId="12FE5066" w14:textId="553693F6"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18</w:t>
            </w:r>
          </w:p>
        </w:tc>
        <w:tc>
          <w:tcPr>
            <w:tcW w:w="691" w:type="pct"/>
            <w:vAlign w:val="center"/>
          </w:tcPr>
          <w:p w14:paraId="415F22C9" w14:textId="3D07C4EB" w:rsidR="00F650F4" w:rsidRPr="006038AD" w:rsidRDefault="00F650F4" w:rsidP="009E6ED8">
            <w:pPr>
              <w:pStyle w:val="TableText0"/>
              <w:keepNext/>
              <w:jc w:val="center"/>
              <w:rPr>
                <w:vertAlign w:val="superscript"/>
              </w:rPr>
            </w:pPr>
            <w:r w:rsidRPr="009F57D8">
              <w:t>$</w:t>
            </w:r>
            <w:r w:rsidR="00FD08E9" w:rsidRPr="00FD08E9">
              <w:rPr>
                <w:highlight w:val="black"/>
              </w:rPr>
              <w:t>&amp;&amp;&amp;&amp;</w:t>
            </w:r>
            <w:r w:rsidR="006038AD">
              <w:rPr>
                <w:vertAlign w:val="superscript"/>
              </w:rPr>
              <w:t>18</w:t>
            </w:r>
          </w:p>
        </w:tc>
        <w:tc>
          <w:tcPr>
            <w:tcW w:w="691" w:type="pct"/>
            <w:vAlign w:val="center"/>
          </w:tcPr>
          <w:p w14:paraId="79C648AA" w14:textId="7EE6F0EB" w:rsidR="00F650F4" w:rsidRPr="00FD65F4" w:rsidRDefault="00F650F4" w:rsidP="009E6ED8">
            <w:pPr>
              <w:pStyle w:val="TableText0"/>
              <w:keepNext/>
              <w:jc w:val="center"/>
              <w:rPr>
                <w:vertAlign w:val="superscript"/>
              </w:rPr>
            </w:pPr>
            <w:r w:rsidRPr="009F57D8">
              <w:t>$</w:t>
            </w:r>
            <w:r w:rsidR="00FD08E9" w:rsidRPr="00FD08E9">
              <w:rPr>
                <w:highlight w:val="black"/>
              </w:rPr>
              <w:t>&amp;&amp;&amp;&amp;</w:t>
            </w:r>
            <w:r w:rsidR="00FD65F4">
              <w:rPr>
                <w:vertAlign w:val="superscript"/>
              </w:rPr>
              <w:t>18</w:t>
            </w:r>
          </w:p>
        </w:tc>
        <w:tc>
          <w:tcPr>
            <w:tcW w:w="691" w:type="pct"/>
            <w:vAlign w:val="center"/>
          </w:tcPr>
          <w:p w14:paraId="46DEA52F" w14:textId="77777777" w:rsidR="00F650F4" w:rsidRPr="009F57D8" w:rsidRDefault="00F650F4" w:rsidP="009E6ED8">
            <w:pPr>
              <w:pStyle w:val="TableText0"/>
              <w:keepNext/>
              <w:jc w:val="center"/>
            </w:pPr>
            <w:r w:rsidRPr="009F57D8">
              <w:t xml:space="preserve">$-   </w:t>
            </w:r>
          </w:p>
        </w:tc>
        <w:tc>
          <w:tcPr>
            <w:tcW w:w="691" w:type="pct"/>
            <w:vAlign w:val="center"/>
          </w:tcPr>
          <w:p w14:paraId="6673C6A0" w14:textId="77777777" w:rsidR="00F650F4" w:rsidRPr="009F57D8" w:rsidRDefault="00F650F4" w:rsidP="009E6ED8">
            <w:pPr>
              <w:pStyle w:val="TableText0"/>
              <w:keepNext/>
              <w:jc w:val="center"/>
            </w:pPr>
            <w:r w:rsidRPr="009F57D8">
              <w:t xml:space="preserve">$-   </w:t>
            </w:r>
          </w:p>
        </w:tc>
        <w:tc>
          <w:tcPr>
            <w:tcW w:w="691" w:type="pct"/>
            <w:vAlign w:val="center"/>
          </w:tcPr>
          <w:p w14:paraId="0297DE11" w14:textId="77777777" w:rsidR="00F650F4" w:rsidRPr="009F57D8" w:rsidRDefault="00F650F4" w:rsidP="009E6ED8">
            <w:pPr>
              <w:pStyle w:val="TableText0"/>
              <w:keepNext/>
              <w:jc w:val="center"/>
            </w:pPr>
            <w:r w:rsidRPr="009F57D8">
              <w:t xml:space="preserve">$-   </w:t>
            </w:r>
          </w:p>
        </w:tc>
      </w:tr>
      <w:tr w:rsidR="00F650F4" w:rsidRPr="009F57D8" w14:paraId="0CE72DCB" w14:textId="77777777" w:rsidTr="009E6ED8">
        <w:tc>
          <w:tcPr>
            <w:tcW w:w="851" w:type="pct"/>
            <w:vAlign w:val="center"/>
          </w:tcPr>
          <w:p w14:paraId="7C9D4FCE" w14:textId="77777777" w:rsidR="00F650F4" w:rsidRPr="009F57D8" w:rsidRDefault="00F650F4" w:rsidP="009E6ED8">
            <w:pPr>
              <w:pStyle w:val="TableText0"/>
              <w:keepNext/>
              <w:rPr>
                <w:b/>
              </w:rPr>
            </w:pPr>
            <w:r w:rsidRPr="009F57D8">
              <w:t>Total</w:t>
            </w:r>
          </w:p>
        </w:tc>
        <w:tc>
          <w:tcPr>
            <w:tcW w:w="691" w:type="pct"/>
            <w:vAlign w:val="center"/>
          </w:tcPr>
          <w:p w14:paraId="3A0B9077" w14:textId="551CD21E" w:rsidR="00F650F4" w:rsidRPr="009427BE" w:rsidRDefault="00F650F4" w:rsidP="009E6ED8">
            <w:pPr>
              <w:pStyle w:val="TableText0"/>
              <w:keepNext/>
              <w:jc w:val="center"/>
              <w:rPr>
                <w:vertAlign w:val="superscript"/>
              </w:rPr>
            </w:pPr>
            <w:r w:rsidRPr="009F57D8">
              <w:t>$</w:t>
            </w:r>
            <w:r w:rsidR="00FD08E9" w:rsidRPr="00FD08E9">
              <w:rPr>
                <w:highlight w:val="black"/>
              </w:rPr>
              <w:t>&amp;&amp;&amp;&amp;</w:t>
            </w:r>
            <w:r w:rsidR="009427BE">
              <w:rPr>
                <w:vertAlign w:val="superscript"/>
              </w:rPr>
              <w:t>16</w:t>
            </w:r>
          </w:p>
        </w:tc>
        <w:tc>
          <w:tcPr>
            <w:tcW w:w="691" w:type="pct"/>
            <w:vAlign w:val="center"/>
          </w:tcPr>
          <w:p w14:paraId="68B1FE2B" w14:textId="4AE38D55" w:rsidR="00F650F4" w:rsidRPr="0050737B" w:rsidRDefault="00F650F4" w:rsidP="009E6ED8">
            <w:pPr>
              <w:pStyle w:val="TableText0"/>
              <w:keepNext/>
              <w:jc w:val="center"/>
              <w:rPr>
                <w:vertAlign w:val="superscript"/>
              </w:rPr>
            </w:pPr>
            <w:r w:rsidRPr="009F57D8">
              <w:t>$</w:t>
            </w:r>
            <w:r w:rsidR="00FD08E9" w:rsidRPr="00FD08E9">
              <w:rPr>
                <w:highlight w:val="black"/>
              </w:rPr>
              <w:t>&amp;&amp;&amp;&amp;</w:t>
            </w:r>
            <w:r w:rsidR="0050737B">
              <w:rPr>
                <w:vertAlign w:val="superscript"/>
              </w:rPr>
              <w:t>17</w:t>
            </w:r>
          </w:p>
        </w:tc>
        <w:tc>
          <w:tcPr>
            <w:tcW w:w="691" w:type="pct"/>
            <w:vAlign w:val="center"/>
          </w:tcPr>
          <w:p w14:paraId="0F70A8C4" w14:textId="410FB9C5" w:rsidR="00F650F4" w:rsidRPr="0050737B" w:rsidRDefault="00F650F4" w:rsidP="009E6ED8">
            <w:pPr>
              <w:pStyle w:val="TableText0"/>
              <w:keepNext/>
              <w:jc w:val="center"/>
              <w:rPr>
                <w:vertAlign w:val="superscript"/>
              </w:rPr>
            </w:pPr>
            <w:r w:rsidRPr="009F57D8">
              <w:t>$</w:t>
            </w:r>
            <w:r w:rsidR="00FD08E9" w:rsidRPr="00FD08E9">
              <w:rPr>
                <w:highlight w:val="black"/>
              </w:rPr>
              <w:t>&amp;&amp;&amp;&amp;</w:t>
            </w:r>
            <w:r w:rsidR="0050737B">
              <w:rPr>
                <w:vertAlign w:val="superscript"/>
              </w:rPr>
              <w:t>18</w:t>
            </w:r>
          </w:p>
        </w:tc>
        <w:tc>
          <w:tcPr>
            <w:tcW w:w="691" w:type="pct"/>
            <w:vAlign w:val="center"/>
          </w:tcPr>
          <w:p w14:paraId="70072551" w14:textId="77777777" w:rsidR="00F650F4" w:rsidRPr="009F57D8" w:rsidRDefault="00F650F4" w:rsidP="009E6ED8">
            <w:pPr>
              <w:pStyle w:val="TableText0"/>
              <w:keepNext/>
              <w:jc w:val="center"/>
            </w:pPr>
            <w:r w:rsidRPr="009F57D8">
              <w:t xml:space="preserve">$-   </w:t>
            </w:r>
          </w:p>
        </w:tc>
        <w:tc>
          <w:tcPr>
            <w:tcW w:w="691" w:type="pct"/>
            <w:vAlign w:val="center"/>
          </w:tcPr>
          <w:p w14:paraId="5D2F8484" w14:textId="77777777" w:rsidR="00F650F4" w:rsidRPr="009F57D8" w:rsidRDefault="00F650F4" w:rsidP="009E6ED8">
            <w:pPr>
              <w:pStyle w:val="TableText0"/>
              <w:keepNext/>
              <w:jc w:val="center"/>
            </w:pPr>
            <w:r w:rsidRPr="009F57D8">
              <w:t xml:space="preserve">$-   </w:t>
            </w:r>
          </w:p>
        </w:tc>
        <w:tc>
          <w:tcPr>
            <w:tcW w:w="691" w:type="pct"/>
            <w:vAlign w:val="center"/>
          </w:tcPr>
          <w:p w14:paraId="02FBB1F8" w14:textId="77777777" w:rsidR="00F650F4" w:rsidRPr="009F57D8" w:rsidRDefault="00F650F4" w:rsidP="009E6ED8">
            <w:pPr>
              <w:pStyle w:val="TableText0"/>
              <w:keepNext/>
              <w:jc w:val="center"/>
            </w:pPr>
            <w:r w:rsidRPr="009F57D8">
              <w:t xml:space="preserve">$-   </w:t>
            </w:r>
          </w:p>
        </w:tc>
      </w:tr>
      <w:tr w:rsidR="00F650F4" w:rsidRPr="009F57D8" w14:paraId="20971ED1" w14:textId="77777777" w:rsidTr="009E6ED8">
        <w:tc>
          <w:tcPr>
            <w:tcW w:w="851" w:type="pct"/>
            <w:vAlign w:val="center"/>
          </w:tcPr>
          <w:p w14:paraId="1BD48F28" w14:textId="5D27760C" w:rsidR="00F650F4" w:rsidRPr="009F57D8" w:rsidRDefault="00F650F4" w:rsidP="009E6ED8">
            <w:pPr>
              <w:pStyle w:val="TableText0"/>
              <w:keepNext/>
              <w:rPr>
                <w:b/>
                <w:bCs w:val="0"/>
              </w:rPr>
            </w:pPr>
            <w:r w:rsidRPr="009F57D8">
              <w:rPr>
                <w:b/>
                <w:bCs w:val="0"/>
              </w:rPr>
              <w:t xml:space="preserve">Combined total cost </w:t>
            </w:r>
            <w:r w:rsidR="00B12F6F" w:rsidRPr="009F57D8">
              <w:rPr>
                <w:b/>
              </w:rPr>
              <w:t>21vPCV</w:t>
            </w:r>
            <w:r w:rsidRPr="009F57D8">
              <w:rPr>
                <w:b/>
                <w:bCs w:val="0"/>
              </w:rPr>
              <w:t xml:space="preserve"> (naïve+ catch-up)</w:t>
            </w:r>
          </w:p>
        </w:tc>
        <w:tc>
          <w:tcPr>
            <w:tcW w:w="691" w:type="pct"/>
            <w:vAlign w:val="center"/>
          </w:tcPr>
          <w:p w14:paraId="4484A3CC" w14:textId="7D2618D4" w:rsidR="00F650F4" w:rsidRPr="00CE1029" w:rsidRDefault="00F650F4" w:rsidP="009E6ED8">
            <w:pPr>
              <w:pStyle w:val="TableText0"/>
              <w:keepNext/>
              <w:jc w:val="center"/>
              <w:rPr>
                <w:b/>
                <w:bCs w:val="0"/>
                <w:vertAlign w:val="superscript"/>
              </w:rPr>
            </w:pPr>
            <w:r w:rsidRPr="009F57D8">
              <w:rPr>
                <w:b/>
                <w:bCs w:val="0"/>
              </w:rPr>
              <w:t>$</w:t>
            </w:r>
            <w:r w:rsidR="00FD08E9" w:rsidRPr="00FD08E9">
              <w:rPr>
                <w:b/>
                <w:bCs w:val="0"/>
                <w:highlight w:val="black"/>
              </w:rPr>
              <w:t>&amp;&amp;&amp;&amp;</w:t>
            </w:r>
            <w:r w:rsidR="00CE1029" w:rsidRPr="008B753C">
              <w:rPr>
                <w:vertAlign w:val="superscript"/>
              </w:rPr>
              <w:t>19</w:t>
            </w:r>
          </w:p>
        </w:tc>
        <w:tc>
          <w:tcPr>
            <w:tcW w:w="691" w:type="pct"/>
            <w:vAlign w:val="center"/>
          </w:tcPr>
          <w:p w14:paraId="2F8CB57F" w14:textId="67747EE7" w:rsidR="00F650F4" w:rsidRPr="00AB2EEB" w:rsidRDefault="00F650F4" w:rsidP="009E6ED8">
            <w:pPr>
              <w:pStyle w:val="TableText0"/>
              <w:keepNext/>
              <w:jc w:val="center"/>
              <w:rPr>
                <w:b/>
                <w:bCs w:val="0"/>
                <w:vertAlign w:val="superscript"/>
              </w:rPr>
            </w:pPr>
            <w:r w:rsidRPr="009F57D8">
              <w:rPr>
                <w:b/>
                <w:bCs w:val="0"/>
              </w:rPr>
              <w:t>$</w:t>
            </w:r>
            <w:r w:rsidR="00FD08E9" w:rsidRPr="00FD08E9">
              <w:rPr>
                <w:b/>
                <w:bCs w:val="0"/>
                <w:highlight w:val="black"/>
              </w:rPr>
              <w:t>&amp;&amp;&amp;&amp;</w:t>
            </w:r>
            <w:r w:rsidR="00AB2EEB" w:rsidRPr="008B753C">
              <w:rPr>
                <w:vertAlign w:val="superscript"/>
              </w:rPr>
              <w:t>20</w:t>
            </w:r>
          </w:p>
        </w:tc>
        <w:tc>
          <w:tcPr>
            <w:tcW w:w="691" w:type="pct"/>
            <w:vAlign w:val="center"/>
          </w:tcPr>
          <w:p w14:paraId="441B85FB" w14:textId="47FBC5B4" w:rsidR="00F650F4" w:rsidRPr="008B753C"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8B753C">
              <w:rPr>
                <w:vertAlign w:val="superscript"/>
              </w:rPr>
              <w:t>16</w:t>
            </w:r>
          </w:p>
        </w:tc>
        <w:tc>
          <w:tcPr>
            <w:tcW w:w="691" w:type="pct"/>
            <w:vAlign w:val="center"/>
          </w:tcPr>
          <w:p w14:paraId="6EEFB48A" w14:textId="434B6E1B" w:rsidR="00F650F4" w:rsidRPr="008B753C" w:rsidRDefault="00F650F4" w:rsidP="009E6ED8">
            <w:pPr>
              <w:pStyle w:val="TableText0"/>
              <w:keepNext/>
              <w:jc w:val="center"/>
              <w:rPr>
                <w:b/>
                <w:bCs w:val="0"/>
                <w:vertAlign w:val="superscript"/>
              </w:rPr>
            </w:pPr>
            <w:r w:rsidRPr="009F57D8">
              <w:rPr>
                <w:b/>
                <w:bCs w:val="0"/>
              </w:rPr>
              <w:t>$</w:t>
            </w:r>
            <w:r w:rsidR="00FD08E9" w:rsidRPr="00FD08E9">
              <w:rPr>
                <w:b/>
                <w:bCs w:val="0"/>
                <w:highlight w:val="black"/>
              </w:rPr>
              <w:t>&amp;&amp;&amp;&amp;</w:t>
            </w:r>
            <w:r w:rsidR="008B753C" w:rsidRPr="008B753C">
              <w:rPr>
                <w:vertAlign w:val="superscript"/>
              </w:rPr>
              <w:t>16</w:t>
            </w:r>
          </w:p>
        </w:tc>
        <w:tc>
          <w:tcPr>
            <w:tcW w:w="691" w:type="pct"/>
            <w:vAlign w:val="center"/>
          </w:tcPr>
          <w:p w14:paraId="7CEE0179" w14:textId="07FEA047" w:rsidR="00F650F4" w:rsidRPr="008B753C"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8B753C">
              <w:rPr>
                <w:vertAlign w:val="superscript"/>
              </w:rPr>
              <w:t>16</w:t>
            </w:r>
          </w:p>
        </w:tc>
        <w:tc>
          <w:tcPr>
            <w:tcW w:w="691" w:type="pct"/>
            <w:vAlign w:val="center"/>
          </w:tcPr>
          <w:p w14:paraId="51BB7C29" w14:textId="0C7064C7" w:rsidR="00F650F4" w:rsidRPr="00A3672B"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A3672B">
              <w:rPr>
                <w:vertAlign w:val="superscript"/>
              </w:rPr>
              <w:t>16</w:t>
            </w:r>
          </w:p>
        </w:tc>
      </w:tr>
      <w:tr w:rsidR="00F650F4" w:rsidRPr="009F57D8" w14:paraId="5EB3B67A" w14:textId="77777777" w:rsidTr="009E6ED8">
        <w:tc>
          <w:tcPr>
            <w:tcW w:w="851" w:type="pct"/>
            <w:vAlign w:val="center"/>
          </w:tcPr>
          <w:p w14:paraId="6085FD4F" w14:textId="77777777" w:rsidR="00F650F4" w:rsidRPr="009F57D8" w:rsidRDefault="00F650F4" w:rsidP="009E6ED8">
            <w:pPr>
              <w:pStyle w:val="TableText0"/>
              <w:keepNext/>
            </w:pPr>
            <w:r w:rsidRPr="009F57D8">
              <w:t xml:space="preserve">Estimated cost-offsets to the NIP (13vPCV </w:t>
            </w:r>
            <w:r w:rsidRPr="009F57D8">
              <w:rPr>
                <w:szCs w:val="20"/>
              </w:rPr>
              <w:t>± 2x23vPPV)</w:t>
            </w:r>
            <w:r w:rsidRPr="009F57D8">
              <w:t xml:space="preserve"> </w:t>
            </w:r>
          </w:p>
        </w:tc>
        <w:tc>
          <w:tcPr>
            <w:tcW w:w="691" w:type="pct"/>
            <w:vAlign w:val="center"/>
          </w:tcPr>
          <w:p w14:paraId="0F53A12F" w14:textId="228CF654" w:rsidR="00F650F4" w:rsidRPr="009427BE" w:rsidRDefault="00F650F4" w:rsidP="009E6ED8">
            <w:pPr>
              <w:pStyle w:val="TableText0"/>
              <w:keepNext/>
              <w:jc w:val="center"/>
              <w:rPr>
                <w:vertAlign w:val="superscript"/>
              </w:rPr>
            </w:pPr>
            <w:r w:rsidRPr="009F57D8">
              <w:t>$</w:t>
            </w:r>
            <w:r w:rsidR="00FD08E9" w:rsidRPr="00FD08E9">
              <w:rPr>
                <w:highlight w:val="black"/>
              </w:rPr>
              <w:t>&amp;&amp;&amp;&amp;</w:t>
            </w:r>
            <w:r w:rsidR="009427BE">
              <w:rPr>
                <w:vertAlign w:val="superscript"/>
              </w:rPr>
              <w:t>16</w:t>
            </w:r>
          </w:p>
        </w:tc>
        <w:tc>
          <w:tcPr>
            <w:tcW w:w="691" w:type="pct"/>
            <w:vAlign w:val="center"/>
          </w:tcPr>
          <w:p w14:paraId="165B479E" w14:textId="729FF4A1" w:rsidR="00F650F4" w:rsidRPr="008B753C" w:rsidRDefault="00F650F4" w:rsidP="009E6ED8">
            <w:pPr>
              <w:pStyle w:val="TableText0"/>
              <w:keepNext/>
              <w:jc w:val="center"/>
              <w:rPr>
                <w:vertAlign w:val="superscript"/>
              </w:rPr>
            </w:pPr>
            <w:r w:rsidRPr="009F57D8">
              <w:t>$</w:t>
            </w:r>
            <w:r w:rsidR="00FD08E9" w:rsidRPr="00FD08E9">
              <w:rPr>
                <w:highlight w:val="black"/>
              </w:rPr>
              <w:t>&amp;&amp;&amp;&amp;</w:t>
            </w:r>
            <w:r w:rsidR="008B753C">
              <w:rPr>
                <w:vertAlign w:val="superscript"/>
              </w:rPr>
              <w:t>17</w:t>
            </w:r>
          </w:p>
        </w:tc>
        <w:tc>
          <w:tcPr>
            <w:tcW w:w="691" w:type="pct"/>
            <w:vAlign w:val="center"/>
          </w:tcPr>
          <w:p w14:paraId="46D72D13" w14:textId="1BEDD9C2" w:rsidR="00F650F4" w:rsidRPr="001C7DFA" w:rsidRDefault="00F650F4" w:rsidP="009E6ED8">
            <w:pPr>
              <w:pStyle w:val="TableText0"/>
              <w:keepNext/>
              <w:jc w:val="center"/>
              <w:rPr>
                <w:vertAlign w:val="superscript"/>
              </w:rPr>
            </w:pPr>
            <w:r w:rsidRPr="009F57D8">
              <w:t>$</w:t>
            </w:r>
            <w:r w:rsidR="00FD08E9" w:rsidRPr="00FD08E9">
              <w:rPr>
                <w:highlight w:val="black"/>
              </w:rPr>
              <w:t>&amp;&amp;&amp;&amp;</w:t>
            </w:r>
            <w:r w:rsidR="001C7DFA">
              <w:rPr>
                <w:vertAlign w:val="superscript"/>
              </w:rPr>
              <w:t>17</w:t>
            </w:r>
          </w:p>
        </w:tc>
        <w:tc>
          <w:tcPr>
            <w:tcW w:w="691" w:type="pct"/>
            <w:vAlign w:val="center"/>
          </w:tcPr>
          <w:p w14:paraId="47E8FFFA" w14:textId="1DC66F54" w:rsidR="00F650F4" w:rsidRPr="001C7DFA" w:rsidRDefault="00F650F4" w:rsidP="009E6ED8">
            <w:pPr>
              <w:pStyle w:val="TableText0"/>
              <w:keepNext/>
              <w:jc w:val="center"/>
              <w:rPr>
                <w:vertAlign w:val="superscript"/>
              </w:rPr>
            </w:pPr>
            <w:r w:rsidRPr="009F57D8">
              <w:t>$</w:t>
            </w:r>
            <w:r w:rsidR="00FD08E9" w:rsidRPr="00FD08E9">
              <w:rPr>
                <w:highlight w:val="black"/>
              </w:rPr>
              <w:t>&amp;&amp;&amp;&amp;</w:t>
            </w:r>
            <w:r w:rsidR="001C7DFA">
              <w:rPr>
                <w:vertAlign w:val="superscript"/>
              </w:rPr>
              <w:t>17</w:t>
            </w:r>
          </w:p>
        </w:tc>
        <w:tc>
          <w:tcPr>
            <w:tcW w:w="691" w:type="pct"/>
            <w:vAlign w:val="center"/>
          </w:tcPr>
          <w:p w14:paraId="50B0FE00" w14:textId="677F7C5B" w:rsidR="00F650F4" w:rsidRPr="001C7DFA" w:rsidRDefault="00F650F4" w:rsidP="009E6ED8">
            <w:pPr>
              <w:pStyle w:val="TableText0"/>
              <w:keepNext/>
              <w:jc w:val="center"/>
              <w:rPr>
                <w:vertAlign w:val="superscript"/>
              </w:rPr>
            </w:pPr>
            <w:r w:rsidRPr="009F57D8">
              <w:t>$</w:t>
            </w:r>
            <w:r w:rsidR="00FD08E9" w:rsidRPr="00FD08E9">
              <w:rPr>
                <w:highlight w:val="black"/>
              </w:rPr>
              <w:t>&amp;&amp;&amp;&amp;</w:t>
            </w:r>
            <w:r w:rsidR="001C7DFA">
              <w:rPr>
                <w:vertAlign w:val="superscript"/>
              </w:rPr>
              <w:t>17</w:t>
            </w:r>
          </w:p>
        </w:tc>
        <w:tc>
          <w:tcPr>
            <w:tcW w:w="691" w:type="pct"/>
            <w:vAlign w:val="center"/>
          </w:tcPr>
          <w:p w14:paraId="310D1A38" w14:textId="4A085823" w:rsidR="00F650F4" w:rsidRPr="001C7DFA" w:rsidRDefault="00F650F4" w:rsidP="009E6ED8">
            <w:pPr>
              <w:pStyle w:val="TableText0"/>
              <w:keepNext/>
              <w:jc w:val="center"/>
              <w:rPr>
                <w:vertAlign w:val="superscript"/>
              </w:rPr>
            </w:pPr>
            <w:r w:rsidRPr="009F57D8">
              <w:t>$</w:t>
            </w:r>
            <w:r w:rsidR="00FD08E9" w:rsidRPr="00FD08E9">
              <w:rPr>
                <w:highlight w:val="black"/>
              </w:rPr>
              <w:t>&amp;&amp;&amp;&amp;</w:t>
            </w:r>
            <w:r w:rsidR="001C7DFA">
              <w:rPr>
                <w:vertAlign w:val="superscript"/>
              </w:rPr>
              <w:t>17</w:t>
            </w:r>
          </w:p>
        </w:tc>
      </w:tr>
      <w:tr w:rsidR="00F650F4" w:rsidRPr="009F57D8" w14:paraId="661654A7" w14:textId="77777777" w:rsidTr="009E6ED8">
        <w:tc>
          <w:tcPr>
            <w:tcW w:w="851" w:type="pct"/>
          </w:tcPr>
          <w:p w14:paraId="2F6C41E2" w14:textId="77777777" w:rsidR="00F650F4" w:rsidRPr="009F57D8" w:rsidRDefault="00F650F4" w:rsidP="009E6ED8">
            <w:pPr>
              <w:pStyle w:val="TableText0"/>
              <w:keepNext/>
              <w:rPr>
                <w:b/>
              </w:rPr>
            </w:pPr>
            <w:r w:rsidRPr="009F57D8">
              <w:rPr>
                <w:b/>
                <w:bCs w:val="0"/>
              </w:rPr>
              <w:t>Total cost to NIP</w:t>
            </w:r>
          </w:p>
        </w:tc>
        <w:tc>
          <w:tcPr>
            <w:tcW w:w="691" w:type="pct"/>
            <w:vAlign w:val="center"/>
          </w:tcPr>
          <w:p w14:paraId="67285397" w14:textId="12A45F6F" w:rsidR="00F650F4" w:rsidRPr="00CF0DF9"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CF0DF9" w:rsidRPr="00CF0DF9">
              <w:rPr>
                <w:vertAlign w:val="superscript"/>
              </w:rPr>
              <w:t>21</w:t>
            </w:r>
          </w:p>
        </w:tc>
        <w:tc>
          <w:tcPr>
            <w:tcW w:w="691" w:type="pct"/>
            <w:vAlign w:val="center"/>
          </w:tcPr>
          <w:p w14:paraId="111BB58E" w14:textId="2CA04DC9" w:rsidR="00F650F4" w:rsidRPr="009427BE"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9427BE" w:rsidRPr="009427BE">
              <w:rPr>
                <w:vertAlign w:val="superscript"/>
              </w:rPr>
              <w:t>16</w:t>
            </w:r>
          </w:p>
        </w:tc>
        <w:tc>
          <w:tcPr>
            <w:tcW w:w="691" w:type="pct"/>
            <w:vAlign w:val="center"/>
          </w:tcPr>
          <w:p w14:paraId="6F10B910" w14:textId="2E556D5B" w:rsidR="00F650F4" w:rsidRPr="0019519A"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19519A" w:rsidRPr="0019519A">
              <w:rPr>
                <w:vertAlign w:val="superscript"/>
              </w:rPr>
              <w:t>17</w:t>
            </w:r>
          </w:p>
        </w:tc>
        <w:tc>
          <w:tcPr>
            <w:tcW w:w="691" w:type="pct"/>
            <w:vAlign w:val="center"/>
          </w:tcPr>
          <w:p w14:paraId="6F9888A8" w14:textId="2726B136" w:rsidR="00F650F4" w:rsidRPr="00D36C94"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D36C94" w:rsidRPr="004F44A0">
              <w:rPr>
                <w:vertAlign w:val="superscript"/>
              </w:rPr>
              <w:t>18</w:t>
            </w:r>
          </w:p>
        </w:tc>
        <w:tc>
          <w:tcPr>
            <w:tcW w:w="691" w:type="pct"/>
            <w:vAlign w:val="center"/>
          </w:tcPr>
          <w:p w14:paraId="49BF79F6" w14:textId="69576E24" w:rsidR="00F650F4" w:rsidRPr="00D36C94"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D36C94" w:rsidRPr="004F44A0">
              <w:rPr>
                <w:vertAlign w:val="superscript"/>
              </w:rPr>
              <w:t>18</w:t>
            </w:r>
          </w:p>
        </w:tc>
        <w:tc>
          <w:tcPr>
            <w:tcW w:w="691" w:type="pct"/>
            <w:vAlign w:val="center"/>
          </w:tcPr>
          <w:p w14:paraId="51B69F9E" w14:textId="7D4405FC" w:rsidR="00F650F4" w:rsidRPr="00D36C94"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D36C94" w:rsidRPr="004F44A0">
              <w:rPr>
                <w:vertAlign w:val="superscript"/>
              </w:rPr>
              <w:t>18</w:t>
            </w:r>
          </w:p>
        </w:tc>
      </w:tr>
      <w:tr w:rsidR="00F650F4" w:rsidRPr="009F57D8" w14:paraId="503AF8F8" w14:textId="77777777" w:rsidTr="009E6ED8">
        <w:tc>
          <w:tcPr>
            <w:tcW w:w="851" w:type="pct"/>
          </w:tcPr>
          <w:p w14:paraId="01BA65DC" w14:textId="7A9DC896" w:rsidR="00F650F4" w:rsidRPr="009F57D8" w:rsidRDefault="00F650F4" w:rsidP="009E6ED8">
            <w:pPr>
              <w:pStyle w:val="TableText0"/>
              <w:keepNext/>
            </w:pPr>
            <w:r w:rsidRPr="009F57D8">
              <w:t>Total cost to MBS</w:t>
            </w:r>
            <w:r w:rsidR="00682552" w:rsidRPr="009F57D8">
              <w:rPr>
                <w:vertAlign w:val="superscript"/>
              </w:rPr>
              <w:t>a</w:t>
            </w:r>
          </w:p>
        </w:tc>
        <w:tc>
          <w:tcPr>
            <w:tcW w:w="691" w:type="pct"/>
            <w:vAlign w:val="center"/>
          </w:tcPr>
          <w:p w14:paraId="66E25E92" w14:textId="500A7980" w:rsidR="00F650F4" w:rsidRPr="00D36C94" w:rsidRDefault="00F650F4" w:rsidP="009E6ED8">
            <w:pPr>
              <w:pStyle w:val="TableText0"/>
              <w:keepNext/>
              <w:jc w:val="center"/>
              <w:rPr>
                <w:vertAlign w:val="superscript"/>
              </w:rPr>
            </w:pPr>
            <w:r w:rsidRPr="009F57D8">
              <w:t>$</w:t>
            </w:r>
            <w:r w:rsidR="00FD08E9" w:rsidRPr="00FD08E9">
              <w:rPr>
                <w:highlight w:val="black"/>
              </w:rPr>
              <w:t>&amp;&amp;&amp;&amp;</w:t>
            </w:r>
            <w:r w:rsidR="00D36C94">
              <w:rPr>
                <w:vertAlign w:val="superscript"/>
              </w:rPr>
              <w:t>18</w:t>
            </w:r>
          </w:p>
        </w:tc>
        <w:tc>
          <w:tcPr>
            <w:tcW w:w="691" w:type="pct"/>
            <w:vAlign w:val="center"/>
          </w:tcPr>
          <w:p w14:paraId="1552E2FB" w14:textId="1201DE34" w:rsidR="00F650F4" w:rsidRPr="00DE28F7" w:rsidRDefault="00F650F4" w:rsidP="009E6ED8">
            <w:pPr>
              <w:pStyle w:val="TableText0"/>
              <w:keepNext/>
              <w:jc w:val="center"/>
              <w:rPr>
                <w:vertAlign w:val="superscript"/>
              </w:rPr>
            </w:pPr>
            <w:r w:rsidRPr="009F57D8">
              <w:t>$</w:t>
            </w:r>
            <w:r w:rsidR="00FD08E9" w:rsidRPr="00FD08E9">
              <w:rPr>
                <w:highlight w:val="black"/>
              </w:rPr>
              <w:t>&amp;&amp;&amp;&amp;</w:t>
            </w:r>
            <w:r w:rsidR="00DE28F7">
              <w:rPr>
                <w:vertAlign w:val="superscript"/>
              </w:rPr>
              <w:t>18</w:t>
            </w:r>
          </w:p>
        </w:tc>
        <w:tc>
          <w:tcPr>
            <w:tcW w:w="691" w:type="pct"/>
            <w:vAlign w:val="center"/>
          </w:tcPr>
          <w:p w14:paraId="27DA7CCB" w14:textId="2244DFD5" w:rsidR="00F650F4" w:rsidRPr="00DE28F7" w:rsidRDefault="00F650F4" w:rsidP="009E6ED8">
            <w:pPr>
              <w:pStyle w:val="TableText0"/>
              <w:keepNext/>
              <w:jc w:val="center"/>
              <w:rPr>
                <w:vertAlign w:val="superscript"/>
              </w:rPr>
            </w:pPr>
            <w:r w:rsidRPr="009F57D8">
              <w:t>$</w:t>
            </w:r>
            <w:r w:rsidR="00FD08E9" w:rsidRPr="00FD08E9">
              <w:rPr>
                <w:highlight w:val="black"/>
              </w:rPr>
              <w:t>&amp;&amp;&amp;&amp;</w:t>
            </w:r>
            <w:r w:rsidR="00DE28F7">
              <w:rPr>
                <w:vertAlign w:val="superscript"/>
              </w:rPr>
              <w:t>18</w:t>
            </w:r>
          </w:p>
        </w:tc>
        <w:tc>
          <w:tcPr>
            <w:tcW w:w="691" w:type="pct"/>
            <w:vAlign w:val="center"/>
          </w:tcPr>
          <w:p w14:paraId="03F247C6" w14:textId="3D648B05" w:rsidR="00F650F4" w:rsidRPr="00DE28F7" w:rsidRDefault="00F650F4" w:rsidP="009E6ED8">
            <w:pPr>
              <w:pStyle w:val="TableText0"/>
              <w:keepNext/>
              <w:jc w:val="center"/>
              <w:rPr>
                <w:vertAlign w:val="superscript"/>
              </w:rPr>
            </w:pPr>
            <w:r w:rsidRPr="009F57D8">
              <w:t>-$</w:t>
            </w:r>
            <w:r w:rsidR="00FD08E9" w:rsidRPr="00FD08E9">
              <w:rPr>
                <w:highlight w:val="black"/>
              </w:rPr>
              <w:t>&amp;&amp;&amp;&amp;</w:t>
            </w:r>
            <w:r w:rsidR="00DE28F7">
              <w:rPr>
                <w:vertAlign w:val="superscript"/>
              </w:rPr>
              <w:t>18</w:t>
            </w:r>
          </w:p>
        </w:tc>
        <w:tc>
          <w:tcPr>
            <w:tcW w:w="691" w:type="pct"/>
            <w:vAlign w:val="center"/>
          </w:tcPr>
          <w:p w14:paraId="00B82A1C" w14:textId="197EDE22" w:rsidR="00F650F4" w:rsidRPr="00DE28F7" w:rsidRDefault="00F650F4" w:rsidP="009E6ED8">
            <w:pPr>
              <w:pStyle w:val="TableText0"/>
              <w:keepNext/>
              <w:jc w:val="center"/>
              <w:rPr>
                <w:vertAlign w:val="superscript"/>
              </w:rPr>
            </w:pPr>
            <w:r w:rsidRPr="009F57D8">
              <w:t>-$</w:t>
            </w:r>
            <w:r w:rsidR="00FD08E9" w:rsidRPr="00FD08E9">
              <w:rPr>
                <w:highlight w:val="black"/>
              </w:rPr>
              <w:t>&amp;&amp;&amp;&amp;</w:t>
            </w:r>
            <w:r w:rsidR="00DE28F7">
              <w:rPr>
                <w:vertAlign w:val="superscript"/>
              </w:rPr>
              <w:t>18</w:t>
            </w:r>
          </w:p>
        </w:tc>
        <w:tc>
          <w:tcPr>
            <w:tcW w:w="691" w:type="pct"/>
            <w:vAlign w:val="center"/>
          </w:tcPr>
          <w:p w14:paraId="343429F9" w14:textId="689A7D68" w:rsidR="00F650F4" w:rsidRPr="00DE28F7" w:rsidRDefault="00F650F4" w:rsidP="009E6ED8">
            <w:pPr>
              <w:pStyle w:val="TableText0"/>
              <w:keepNext/>
              <w:jc w:val="center"/>
              <w:rPr>
                <w:vertAlign w:val="superscript"/>
              </w:rPr>
            </w:pPr>
            <w:r w:rsidRPr="009F57D8">
              <w:t>-$</w:t>
            </w:r>
            <w:r w:rsidR="00FD08E9" w:rsidRPr="00FD08E9">
              <w:rPr>
                <w:highlight w:val="black"/>
              </w:rPr>
              <w:t>&amp;&amp;&amp;&amp;</w:t>
            </w:r>
            <w:r w:rsidR="00DE28F7">
              <w:rPr>
                <w:vertAlign w:val="superscript"/>
              </w:rPr>
              <w:t>18</w:t>
            </w:r>
          </w:p>
        </w:tc>
      </w:tr>
      <w:tr w:rsidR="00F650F4" w:rsidRPr="009F57D8" w14:paraId="6C6A897B" w14:textId="77777777" w:rsidTr="009E6ED8">
        <w:tc>
          <w:tcPr>
            <w:tcW w:w="851" w:type="pct"/>
          </w:tcPr>
          <w:p w14:paraId="016E1A53" w14:textId="77777777" w:rsidR="00F650F4" w:rsidRPr="009F57D8" w:rsidRDefault="00F650F4" w:rsidP="009E6ED8">
            <w:pPr>
              <w:pStyle w:val="TableText0"/>
              <w:keepNext/>
              <w:rPr>
                <w:b/>
              </w:rPr>
            </w:pPr>
            <w:r w:rsidRPr="009F57D8">
              <w:rPr>
                <w:b/>
                <w:bCs w:val="0"/>
              </w:rPr>
              <w:t>Total cost to Government</w:t>
            </w:r>
          </w:p>
        </w:tc>
        <w:tc>
          <w:tcPr>
            <w:tcW w:w="691" w:type="pct"/>
            <w:vAlign w:val="center"/>
          </w:tcPr>
          <w:p w14:paraId="77F4A43C" w14:textId="20A1D0C3" w:rsidR="00F650F4" w:rsidRPr="00AC2C8D"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AC2C8D">
              <w:rPr>
                <w:vertAlign w:val="superscript"/>
              </w:rPr>
              <w:t>20</w:t>
            </w:r>
          </w:p>
        </w:tc>
        <w:tc>
          <w:tcPr>
            <w:tcW w:w="691" w:type="pct"/>
            <w:vAlign w:val="center"/>
          </w:tcPr>
          <w:p w14:paraId="7F4D99F0" w14:textId="7A9E6293" w:rsidR="00F650F4" w:rsidRPr="0019519A"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19519A" w:rsidRPr="0019519A">
              <w:rPr>
                <w:vertAlign w:val="superscript"/>
              </w:rPr>
              <w:t>16</w:t>
            </w:r>
          </w:p>
        </w:tc>
        <w:tc>
          <w:tcPr>
            <w:tcW w:w="691" w:type="pct"/>
            <w:vAlign w:val="center"/>
          </w:tcPr>
          <w:p w14:paraId="5F179993" w14:textId="7A8BA0D9" w:rsidR="00F650F4" w:rsidRPr="0019519A"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19519A" w:rsidRPr="0019519A">
              <w:rPr>
                <w:vertAlign w:val="superscript"/>
              </w:rPr>
              <w:t>17</w:t>
            </w:r>
          </w:p>
        </w:tc>
        <w:tc>
          <w:tcPr>
            <w:tcW w:w="691" w:type="pct"/>
            <w:vAlign w:val="center"/>
          </w:tcPr>
          <w:p w14:paraId="276B9351" w14:textId="68B7405B" w:rsidR="00F650F4" w:rsidRPr="00DD09A6"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DD09A6" w:rsidRPr="00DD09A6">
              <w:rPr>
                <w:vertAlign w:val="superscript"/>
              </w:rPr>
              <w:t>18</w:t>
            </w:r>
          </w:p>
        </w:tc>
        <w:tc>
          <w:tcPr>
            <w:tcW w:w="691" w:type="pct"/>
            <w:vAlign w:val="center"/>
          </w:tcPr>
          <w:p w14:paraId="64FF4804" w14:textId="297EF9DE" w:rsidR="00F650F4" w:rsidRPr="00DD09A6"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DD09A6">
              <w:rPr>
                <w:vertAlign w:val="superscript"/>
              </w:rPr>
              <w:t>18</w:t>
            </w:r>
          </w:p>
        </w:tc>
        <w:tc>
          <w:tcPr>
            <w:tcW w:w="691" w:type="pct"/>
            <w:vAlign w:val="center"/>
          </w:tcPr>
          <w:p w14:paraId="307AA722" w14:textId="6B066929" w:rsidR="00F650F4" w:rsidRPr="00DD09A6" w:rsidRDefault="00F650F4" w:rsidP="009E6ED8">
            <w:pPr>
              <w:pStyle w:val="TableText0"/>
              <w:keepNext/>
              <w:jc w:val="center"/>
              <w:rPr>
                <w:vertAlign w:val="superscript"/>
              </w:rPr>
            </w:pPr>
            <w:r w:rsidRPr="009F57D8">
              <w:rPr>
                <w:b/>
                <w:bCs w:val="0"/>
              </w:rPr>
              <w:t>$</w:t>
            </w:r>
            <w:r w:rsidR="00FD08E9" w:rsidRPr="00FD08E9">
              <w:rPr>
                <w:b/>
                <w:bCs w:val="0"/>
                <w:highlight w:val="black"/>
              </w:rPr>
              <w:t>&amp;&amp;&amp;&amp;</w:t>
            </w:r>
            <w:r w:rsidR="00DD09A6">
              <w:rPr>
                <w:vertAlign w:val="superscript"/>
              </w:rPr>
              <w:t>18</w:t>
            </w:r>
          </w:p>
        </w:tc>
      </w:tr>
      <w:tr w:rsidR="00852EBF" w:rsidRPr="009F57D8" w14:paraId="7F83117E" w14:textId="77777777" w:rsidTr="009E6ED8">
        <w:tc>
          <w:tcPr>
            <w:tcW w:w="5000" w:type="pct"/>
            <w:gridSpan w:val="7"/>
            <w:vAlign w:val="center"/>
          </w:tcPr>
          <w:p w14:paraId="213B6AF6" w14:textId="1520873C" w:rsidR="00852EBF" w:rsidRPr="009F57D8" w:rsidRDefault="00852EBF" w:rsidP="009E6ED8">
            <w:pPr>
              <w:pStyle w:val="TableText0"/>
              <w:keepNext/>
              <w:rPr>
                <w:b/>
                <w:bCs w:val="0"/>
              </w:rPr>
            </w:pPr>
            <w:r w:rsidRPr="009F57D8">
              <w:rPr>
                <w:b/>
                <w:bCs w:val="0"/>
              </w:rPr>
              <w:t>Non-Funded MaR populations</w:t>
            </w:r>
          </w:p>
        </w:tc>
      </w:tr>
      <w:tr w:rsidR="00852EBF" w:rsidRPr="009F57D8" w14:paraId="41631FE3" w14:textId="77777777" w:rsidTr="009E6ED8">
        <w:tc>
          <w:tcPr>
            <w:tcW w:w="851" w:type="pct"/>
          </w:tcPr>
          <w:p w14:paraId="5BD5777D" w14:textId="2D8FB896" w:rsidR="00852EBF" w:rsidRPr="009F57D8" w:rsidRDefault="00852EBF" w:rsidP="009E6ED8">
            <w:pPr>
              <w:pStyle w:val="TableText0"/>
              <w:keepNext/>
              <w:rPr>
                <w:b/>
                <w:bCs w:val="0"/>
              </w:rPr>
            </w:pPr>
            <w:r w:rsidRPr="009F57D8">
              <w:t>COPD</w:t>
            </w:r>
          </w:p>
        </w:tc>
        <w:tc>
          <w:tcPr>
            <w:tcW w:w="691" w:type="pct"/>
            <w:vAlign w:val="center"/>
          </w:tcPr>
          <w:p w14:paraId="2755D0ED" w14:textId="602DB424" w:rsidR="00852EBF" w:rsidRPr="009427BE" w:rsidRDefault="00852EBF" w:rsidP="009E6ED8">
            <w:pPr>
              <w:pStyle w:val="TableText0"/>
              <w:keepNext/>
              <w:jc w:val="center"/>
              <w:rPr>
                <w:b/>
                <w:bCs w:val="0"/>
                <w:vertAlign w:val="superscript"/>
              </w:rPr>
            </w:pPr>
            <w:r w:rsidRPr="009F57D8">
              <w:t>$</w:t>
            </w:r>
            <w:r w:rsidR="00FD08E9" w:rsidRPr="00FD08E9">
              <w:rPr>
                <w:highlight w:val="black"/>
              </w:rPr>
              <w:t>&amp;&amp;&amp;&amp;</w:t>
            </w:r>
            <w:r w:rsidR="009427BE">
              <w:rPr>
                <w:vertAlign w:val="superscript"/>
              </w:rPr>
              <w:t>16</w:t>
            </w:r>
          </w:p>
        </w:tc>
        <w:tc>
          <w:tcPr>
            <w:tcW w:w="691" w:type="pct"/>
            <w:vAlign w:val="center"/>
          </w:tcPr>
          <w:p w14:paraId="223CD7C3" w14:textId="339165A1" w:rsidR="00852EBF" w:rsidRPr="008B753C" w:rsidRDefault="00852EBF" w:rsidP="009E6ED8">
            <w:pPr>
              <w:pStyle w:val="TableText0"/>
              <w:keepNext/>
              <w:jc w:val="center"/>
              <w:rPr>
                <w:b/>
                <w:bCs w:val="0"/>
                <w:vertAlign w:val="superscript"/>
              </w:rPr>
            </w:pPr>
            <w:r w:rsidRPr="009F57D8">
              <w:t>$</w:t>
            </w:r>
            <w:r w:rsidR="00FD08E9" w:rsidRPr="00FD08E9">
              <w:rPr>
                <w:highlight w:val="black"/>
              </w:rPr>
              <w:t>&amp;&amp;&amp;&amp;</w:t>
            </w:r>
            <w:r w:rsidR="008B753C">
              <w:rPr>
                <w:vertAlign w:val="superscript"/>
              </w:rPr>
              <w:t>17</w:t>
            </w:r>
          </w:p>
        </w:tc>
        <w:tc>
          <w:tcPr>
            <w:tcW w:w="691" w:type="pct"/>
            <w:vAlign w:val="center"/>
          </w:tcPr>
          <w:p w14:paraId="132E0825" w14:textId="2526BE23"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67FB1EAC" w14:textId="24E82270"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27D4A545" w14:textId="0FBE8D39"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23D51A6A" w14:textId="5A2A6FEA"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r>
      <w:tr w:rsidR="00852EBF" w:rsidRPr="009F57D8" w14:paraId="0ADD0C8D" w14:textId="77777777" w:rsidTr="009E6ED8">
        <w:tc>
          <w:tcPr>
            <w:tcW w:w="851" w:type="pct"/>
          </w:tcPr>
          <w:p w14:paraId="31BEE55E" w14:textId="525EFACD" w:rsidR="00852EBF" w:rsidRPr="009F57D8" w:rsidRDefault="00852EBF" w:rsidP="009E6ED8">
            <w:pPr>
              <w:pStyle w:val="TableText0"/>
              <w:keepNext/>
              <w:rPr>
                <w:b/>
                <w:bCs w:val="0"/>
              </w:rPr>
            </w:pPr>
            <w:r w:rsidRPr="009F57D8">
              <w:t>CLD</w:t>
            </w:r>
          </w:p>
        </w:tc>
        <w:tc>
          <w:tcPr>
            <w:tcW w:w="691" w:type="pct"/>
            <w:vAlign w:val="center"/>
          </w:tcPr>
          <w:p w14:paraId="03721ED2" w14:textId="0805C5F9"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4C14FF55" w14:textId="74D74EB2"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5C943DB0" w14:textId="410981A7"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3E0F72A9" w14:textId="6A65F1F1"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71AEA28C" w14:textId="61F043AA"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c>
          <w:tcPr>
            <w:tcW w:w="691" w:type="pct"/>
            <w:vAlign w:val="center"/>
          </w:tcPr>
          <w:p w14:paraId="539EB6F1" w14:textId="6DB3F349" w:rsidR="00852EBF" w:rsidRPr="00BD2959" w:rsidRDefault="00852EBF" w:rsidP="009E6ED8">
            <w:pPr>
              <w:pStyle w:val="TableText0"/>
              <w:keepNext/>
              <w:jc w:val="center"/>
              <w:rPr>
                <w:b/>
                <w:bCs w:val="0"/>
                <w:vertAlign w:val="superscript"/>
              </w:rPr>
            </w:pPr>
            <w:r w:rsidRPr="009F57D8">
              <w:t>$</w:t>
            </w:r>
            <w:r w:rsidR="00FD08E9" w:rsidRPr="00FD08E9">
              <w:rPr>
                <w:highlight w:val="black"/>
              </w:rPr>
              <w:t>&amp;&amp;&amp;&amp;</w:t>
            </w:r>
            <w:r w:rsidR="00BD2959">
              <w:rPr>
                <w:vertAlign w:val="superscript"/>
              </w:rPr>
              <w:t>18</w:t>
            </w:r>
          </w:p>
        </w:tc>
      </w:tr>
      <w:tr w:rsidR="00852EBF" w:rsidRPr="009F57D8" w14:paraId="462E0053" w14:textId="77777777" w:rsidTr="009E6ED8">
        <w:tc>
          <w:tcPr>
            <w:tcW w:w="851" w:type="pct"/>
          </w:tcPr>
          <w:p w14:paraId="73C7C9BA" w14:textId="6962C018" w:rsidR="00852EBF" w:rsidRPr="009F57D8" w:rsidRDefault="00852EBF" w:rsidP="009E6ED8">
            <w:pPr>
              <w:pStyle w:val="TableText0"/>
              <w:keepNext/>
              <w:rPr>
                <w:b/>
                <w:bCs w:val="0"/>
              </w:rPr>
            </w:pPr>
            <w:r w:rsidRPr="009F57D8">
              <w:rPr>
                <w:b/>
                <w:bCs w:val="0"/>
              </w:rPr>
              <w:t>Total cost to government (including COPD &amp; CLD)</w:t>
            </w:r>
          </w:p>
        </w:tc>
        <w:tc>
          <w:tcPr>
            <w:tcW w:w="691" w:type="pct"/>
            <w:vAlign w:val="center"/>
          </w:tcPr>
          <w:p w14:paraId="5292E3B9" w14:textId="46A4EE90" w:rsidR="00852EBF" w:rsidRPr="001C7CD9" w:rsidRDefault="00852EBF" w:rsidP="009E6ED8">
            <w:pPr>
              <w:pStyle w:val="TableText0"/>
              <w:keepNext/>
              <w:jc w:val="center"/>
              <w:rPr>
                <w:vertAlign w:val="superscript"/>
              </w:rPr>
            </w:pPr>
            <w:r w:rsidRPr="009F57D8">
              <w:rPr>
                <w:b/>
                <w:bCs w:val="0"/>
              </w:rPr>
              <w:t>$</w:t>
            </w:r>
            <w:r w:rsidR="00FD08E9" w:rsidRPr="00FD08E9">
              <w:rPr>
                <w:b/>
                <w:bCs w:val="0"/>
                <w:highlight w:val="black"/>
              </w:rPr>
              <w:t>&amp;&amp;&amp;&amp;</w:t>
            </w:r>
            <w:r w:rsidR="001C7CD9">
              <w:rPr>
                <w:vertAlign w:val="superscript"/>
              </w:rPr>
              <w:t>2</w:t>
            </w:r>
            <w:r w:rsidR="00E16933">
              <w:rPr>
                <w:vertAlign w:val="superscript"/>
              </w:rPr>
              <w:t>2</w:t>
            </w:r>
          </w:p>
        </w:tc>
        <w:tc>
          <w:tcPr>
            <w:tcW w:w="691" w:type="pct"/>
            <w:vAlign w:val="center"/>
          </w:tcPr>
          <w:p w14:paraId="6837137C" w14:textId="5F8AE46F" w:rsidR="00852EBF" w:rsidRPr="00AB2EEB" w:rsidRDefault="00852EBF" w:rsidP="009E6ED8">
            <w:pPr>
              <w:pStyle w:val="TableText0"/>
              <w:keepNext/>
              <w:jc w:val="center"/>
              <w:rPr>
                <w:b/>
                <w:bCs w:val="0"/>
                <w:vertAlign w:val="superscript"/>
              </w:rPr>
            </w:pPr>
            <w:r w:rsidRPr="009F57D8">
              <w:rPr>
                <w:b/>
                <w:bCs w:val="0"/>
              </w:rPr>
              <w:t>$</w:t>
            </w:r>
            <w:r w:rsidR="00FD08E9" w:rsidRPr="00FD08E9">
              <w:rPr>
                <w:b/>
                <w:bCs w:val="0"/>
                <w:highlight w:val="black"/>
              </w:rPr>
              <w:t>&amp;&amp;&amp;&amp;</w:t>
            </w:r>
            <w:r w:rsidR="00AB2EEB" w:rsidRPr="00521854">
              <w:rPr>
                <w:vertAlign w:val="superscript"/>
              </w:rPr>
              <w:t>20</w:t>
            </w:r>
          </w:p>
        </w:tc>
        <w:tc>
          <w:tcPr>
            <w:tcW w:w="691" w:type="pct"/>
            <w:vAlign w:val="center"/>
          </w:tcPr>
          <w:p w14:paraId="23F36FBD" w14:textId="02412E06" w:rsidR="00852EBF" w:rsidRPr="00521854" w:rsidRDefault="00852EBF" w:rsidP="009E6ED8">
            <w:pPr>
              <w:pStyle w:val="TableText0"/>
              <w:keepNext/>
              <w:jc w:val="center"/>
              <w:rPr>
                <w:vertAlign w:val="superscript"/>
              </w:rPr>
            </w:pPr>
            <w:r w:rsidRPr="009F57D8">
              <w:rPr>
                <w:b/>
                <w:bCs w:val="0"/>
              </w:rPr>
              <w:t>$</w:t>
            </w:r>
            <w:r w:rsidR="00FD08E9" w:rsidRPr="00FD08E9">
              <w:rPr>
                <w:b/>
                <w:bCs w:val="0"/>
                <w:highlight w:val="black"/>
              </w:rPr>
              <w:t>&amp;&amp;&amp;&amp;</w:t>
            </w:r>
            <w:r w:rsidR="00521854">
              <w:rPr>
                <w:vertAlign w:val="superscript"/>
              </w:rPr>
              <w:t>16</w:t>
            </w:r>
          </w:p>
        </w:tc>
        <w:tc>
          <w:tcPr>
            <w:tcW w:w="691" w:type="pct"/>
            <w:vAlign w:val="center"/>
          </w:tcPr>
          <w:p w14:paraId="4D126A85" w14:textId="2BC15CC2" w:rsidR="00852EBF" w:rsidRPr="00F368AE" w:rsidRDefault="00852EBF" w:rsidP="009E6ED8">
            <w:pPr>
              <w:pStyle w:val="TableText0"/>
              <w:keepNext/>
              <w:jc w:val="center"/>
              <w:rPr>
                <w:b/>
                <w:bCs w:val="0"/>
                <w:vertAlign w:val="superscript"/>
              </w:rPr>
            </w:pPr>
            <w:r w:rsidRPr="009F57D8">
              <w:rPr>
                <w:b/>
                <w:bCs w:val="0"/>
              </w:rPr>
              <w:t>$</w:t>
            </w:r>
            <w:r w:rsidR="00FD08E9" w:rsidRPr="00FD08E9">
              <w:rPr>
                <w:b/>
                <w:bCs w:val="0"/>
                <w:highlight w:val="black"/>
              </w:rPr>
              <w:t>&amp;&amp;&amp;&amp;</w:t>
            </w:r>
            <w:r w:rsidR="00F368AE" w:rsidRPr="00F368AE">
              <w:rPr>
                <w:vertAlign w:val="superscript"/>
              </w:rPr>
              <w:t>17</w:t>
            </w:r>
          </w:p>
        </w:tc>
        <w:tc>
          <w:tcPr>
            <w:tcW w:w="691" w:type="pct"/>
            <w:vAlign w:val="center"/>
          </w:tcPr>
          <w:p w14:paraId="568D4762" w14:textId="6D6A4306" w:rsidR="00852EBF" w:rsidRPr="00F368AE" w:rsidRDefault="00852EBF" w:rsidP="009E6ED8">
            <w:pPr>
              <w:pStyle w:val="TableText0"/>
              <w:keepNext/>
              <w:jc w:val="center"/>
              <w:rPr>
                <w:b/>
                <w:bCs w:val="0"/>
                <w:vertAlign w:val="superscript"/>
              </w:rPr>
            </w:pPr>
            <w:r w:rsidRPr="009F57D8">
              <w:rPr>
                <w:b/>
                <w:bCs w:val="0"/>
              </w:rPr>
              <w:t>$</w:t>
            </w:r>
            <w:r w:rsidR="00FD08E9" w:rsidRPr="00FD08E9">
              <w:rPr>
                <w:b/>
                <w:bCs w:val="0"/>
                <w:highlight w:val="black"/>
              </w:rPr>
              <w:t>&amp;&amp;&amp;&amp;</w:t>
            </w:r>
            <w:r w:rsidR="00F368AE" w:rsidRPr="00F368AE">
              <w:rPr>
                <w:vertAlign w:val="superscript"/>
              </w:rPr>
              <w:t>17</w:t>
            </w:r>
          </w:p>
        </w:tc>
        <w:tc>
          <w:tcPr>
            <w:tcW w:w="691" w:type="pct"/>
            <w:vAlign w:val="center"/>
          </w:tcPr>
          <w:p w14:paraId="04F856FE" w14:textId="56F298A1" w:rsidR="00852EBF" w:rsidRPr="00F368AE" w:rsidRDefault="00852EBF" w:rsidP="009E6ED8">
            <w:pPr>
              <w:pStyle w:val="TableText0"/>
              <w:keepNext/>
              <w:jc w:val="center"/>
              <w:rPr>
                <w:vertAlign w:val="superscript"/>
              </w:rPr>
            </w:pPr>
            <w:r w:rsidRPr="009F57D8">
              <w:rPr>
                <w:b/>
                <w:bCs w:val="0"/>
              </w:rPr>
              <w:t>$</w:t>
            </w:r>
            <w:r w:rsidR="00FD08E9" w:rsidRPr="00FD08E9">
              <w:rPr>
                <w:b/>
                <w:bCs w:val="0"/>
                <w:highlight w:val="black"/>
              </w:rPr>
              <w:t>&amp;&amp;&amp;&amp;</w:t>
            </w:r>
            <w:r w:rsidR="00F368AE">
              <w:rPr>
                <w:vertAlign w:val="superscript"/>
              </w:rPr>
              <w:t>17</w:t>
            </w:r>
          </w:p>
        </w:tc>
      </w:tr>
      <w:tr w:rsidR="00A34A9F" w:rsidRPr="009F57D8" w14:paraId="5189191C" w14:textId="77777777" w:rsidTr="009E6ED8">
        <w:tc>
          <w:tcPr>
            <w:tcW w:w="5000" w:type="pct"/>
            <w:gridSpan w:val="7"/>
          </w:tcPr>
          <w:p w14:paraId="3D611C57" w14:textId="005B58F1" w:rsidR="00A34A9F" w:rsidRPr="009F57D8" w:rsidRDefault="00A34A9F" w:rsidP="009E6ED8">
            <w:pPr>
              <w:pStyle w:val="TableText0"/>
              <w:keepNext/>
              <w:rPr>
                <w:b/>
                <w:bCs w:val="0"/>
              </w:rPr>
            </w:pPr>
            <w:r w:rsidRPr="009F57D8">
              <w:rPr>
                <w:b/>
                <w:bCs w:val="0"/>
              </w:rPr>
              <w:t xml:space="preserve">Sensitivity analysis for proposed change to age threshold </w:t>
            </w:r>
          </w:p>
        </w:tc>
      </w:tr>
      <w:tr w:rsidR="003A21DA" w:rsidRPr="009F57D8" w14:paraId="5B7503A6" w14:textId="77777777" w:rsidTr="009E6ED8">
        <w:tc>
          <w:tcPr>
            <w:tcW w:w="851" w:type="pct"/>
          </w:tcPr>
          <w:p w14:paraId="04AA2053" w14:textId="0B51C7BC" w:rsidR="003A21DA" w:rsidRPr="009F57D8" w:rsidRDefault="003A21DA" w:rsidP="009E6ED8">
            <w:pPr>
              <w:pStyle w:val="TableText0"/>
              <w:keepNext/>
              <w:rPr>
                <w:b/>
                <w:bCs w:val="0"/>
              </w:rPr>
            </w:pPr>
            <w:r w:rsidRPr="009F57D8">
              <w:rPr>
                <w:b/>
                <w:bCs w:val="0"/>
              </w:rPr>
              <w:t>Total cost to government (</w:t>
            </w:r>
            <w:r w:rsidRPr="009F57D8">
              <w:t xml:space="preserve">Current NIP </w:t>
            </w:r>
            <w:r w:rsidRPr="009F57D8">
              <w:lastRenderedPageBreak/>
              <w:t>schedule and non-Indigenous ≥ 65)</w:t>
            </w:r>
            <w:r w:rsidR="00F3260E" w:rsidRPr="009F57D8">
              <w:rPr>
                <w:vertAlign w:val="superscript"/>
              </w:rPr>
              <w:t>b</w:t>
            </w:r>
          </w:p>
        </w:tc>
        <w:tc>
          <w:tcPr>
            <w:tcW w:w="691" w:type="pct"/>
            <w:vAlign w:val="center"/>
          </w:tcPr>
          <w:p w14:paraId="0DA6CBB9" w14:textId="3AD43802" w:rsidR="003A21DA" w:rsidRPr="00A45298" w:rsidRDefault="003A21DA" w:rsidP="009E6ED8">
            <w:pPr>
              <w:pStyle w:val="TableText0"/>
              <w:keepNext/>
              <w:jc w:val="center"/>
              <w:rPr>
                <w:b/>
                <w:bCs w:val="0"/>
                <w:vertAlign w:val="superscript"/>
              </w:rPr>
            </w:pPr>
            <w:r w:rsidRPr="009F57D8">
              <w:lastRenderedPageBreak/>
              <w:t>$</w:t>
            </w:r>
            <w:r w:rsidR="00FD08E9" w:rsidRPr="00FD08E9">
              <w:rPr>
                <w:highlight w:val="black"/>
              </w:rPr>
              <w:t>&amp;&amp;&amp;&amp;</w:t>
            </w:r>
            <w:r w:rsidR="00A45298">
              <w:rPr>
                <w:vertAlign w:val="superscript"/>
              </w:rPr>
              <w:t>17</w:t>
            </w:r>
          </w:p>
        </w:tc>
        <w:tc>
          <w:tcPr>
            <w:tcW w:w="691" w:type="pct"/>
            <w:vAlign w:val="center"/>
          </w:tcPr>
          <w:p w14:paraId="52E23B31" w14:textId="077FBE1F" w:rsidR="003A21DA" w:rsidRPr="00A45298" w:rsidRDefault="003A21DA" w:rsidP="009E6ED8">
            <w:pPr>
              <w:pStyle w:val="TableText0"/>
              <w:keepNext/>
              <w:jc w:val="center"/>
              <w:rPr>
                <w:b/>
                <w:bCs w:val="0"/>
                <w:vertAlign w:val="superscript"/>
              </w:rPr>
            </w:pPr>
            <w:r w:rsidRPr="009F57D8">
              <w:t>$</w:t>
            </w:r>
            <w:r w:rsidR="00FD08E9" w:rsidRPr="00FD08E9">
              <w:rPr>
                <w:highlight w:val="black"/>
              </w:rPr>
              <w:t>&amp;&amp;&amp;&amp;</w:t>
            </w:r>
            <w:r w:rsidR="00A45298">
              <w:rPr>
                <w:vertAlign w:val="superscript"/>
              </w:rPr>
              <w:t>17</w:t>
            </w:r>
          </w:p>
        </w:tc>
        <w:tc>
          <w:tcPr>
            <w:tcW w:w="691" w:type="pct"/>
            <w:vAlign w:val="center"/>
          </w:tcPr>
          <w:p w14:paraId="4C05AF7A" w14:textId="76BF59D9" w:rsidR="003A21DA" w:rsidRPr="00A45298" w:rsidRDefault="003A21DA" w:rsidP="009E6ED8">
            <w:pPr>
              <w:pStyle w:val="TableText0"/>
              <w:keepNext/>
              <w:jc w:val="center"/>
              <w:rPr>
                <w:b/>
                <w:bCs w:val="0"/>
                <w:vertAlign w:val="superscript"/>
              </w:rPr>
            </w:pPr>
            <w:r w:rsidRPr="009F57D8">
              <w:t>$</w:t>
            </w:r>
            <w:r w:rsidR="00FD08E9" w:rsidRPr="00FD08E9">
              <w:rPr>
                <w:highlight w:val="black"/>
              </w:rPr>
              <w:t>&amp;&amp;&amp;&amp;</w:t>
            </w:r>
            <w:r w:rsidR="00A45298">
              <w:rPr>
                <w:vertAlign w:val="superscript"/>
              </w:rPr>
              <w:t>1</w:t>
            </w:r>
            <w:r w:rsidR="00521854">
              <w:rPr>
                <w:vertAlign w:val="superscript"/>
              </w:rPr>
              <w:t>8</w:t>
            </w:r>
          </w:p>
        </w:tc>
        <w:tc>
          <w:tcPr>
            <w:tcW w:w="691" w:type="pct"/>
            <w:vAlign w:val="center"/>
          </w:tcPr>
          <w:p w14:paraId="1129ABA6" w14:textId="23952509" w:rsidR="003A21DA" w:rsidRPr="00521854" w:rsidRDefault="003A21DA" w:rsidP="009E6ED8">
            <w:pPr>
              <w:pStyle w:val="TableText0"/>
              <w:keepNext/>
              <w:jc w:val="center"/>
              <w:rPr>
                <w:b/>
                <w:bCs w:val="0"/>
                <w:vertAlign w:val="superscript"/>
              </w:rPr>
            </w:pPr>
            <w:r w:rsidRPr="009F57D8">
              <w:t>$</w:t>
            </w:r>
            <w:r w:rsidR="00FD08E9" w:rsidRPr="00FD08E9">
              <w:rPr>
                <w:highlight w:val="black"/>
              </w:rPr>
              <w:t>&amp;&amp;&amp;&amp;</w:t>
            </w:r>
            <w:r w:rsidR="00521854">
              <w:rPr>
                <w:vertAlign w:val="superscript"/>
              </w:rPr>
              <w:t>18</w:t>
            </w:r>
          </w:p>
        </w:tc>
        <w:tc>
          <w:tcPr>
            <w:tcW w:w="691" w:type="pct"/>
            <w:vAlign w:val="center"/>
          </w:tcPr>
          <w:p w14:paraId="06AAA7FF" w14:textId="313C8319" w:rsidR="003A21DA" w:rsidRPr="00521854" w:rsidRDefault="003A21DA" w:rsidP="009E6ED8">
            <w:pPr>
              <w:pStyle w:val="TableText0"/>
              <w:keepNext/>
              <w:jc w:val="center"/>
              <w:rPr>
                <w:b/>
                <w:bCs w:val="0"/>
                <w:vertAlign w:val="superscript"/>
              </w:rPr>
            </w:pPr>
            <w:r w:rsidRPr="009F57D8">
              <w:t>$</w:t>
            </w:r>
            <w:r w:rsidR="00FD08E9" w:rsidRPr="00FD08E9">
              <w:rPr>
                <w:highlight w:val="black"/>
              </w:rPr>
              <w:t>&amp;&amp;&amp;&amp;</w:t>
            </w:r>
            <w:r w:rsidR="00521854">
              <w:rPr>
                <w:vertAlign w:val="superscript"/>
              </w:rPr>
              <w:t>18</w:t>
            </w:r>
          </w:p>
        </w:tc>
        <w:tc>
          <w:tcPr>
            <w:tcW w:w="691" w:type="pct"/>
            <w:vAlign w:val="center"/>
          </w:tcPr>
          <w:p w14:paraId="5BFB86F3" w14:textId="752D0E81" w:rsidR="003A21DA" w:rsidRPr="00521854" w:rsidRDefault="003A21DA" w:rsidP="009E6ED8">
            <w:pPr>
              <w:pStyle w:val="TableText0"/>
              <w:keepNext/>
              <w:jc w:val="center"/>
              <w:rPr>
                <w:b/>
                <w:bCs w:val="0"/>
                <w:vertAlign w:val="superscript"/>
              </w:rPr>
            </w:pPr>
            <w:r w:rsidRPr="009F57D8">
              <w:t>$</w:t>
            </w:r>
            <w:r w:rsidR="00FD08E9" w:rsidRPr="00FD08E9">
              <w:rPr>
                <w:highlight w:val="black"/>
              </w:rPr>
              <w:t>&amp;&amp;&amp;&amp;</w:t>
            </w:r>
            <w:r w:rsidR="00521854">
              <w:rPr>
                <w:vertAlign w:val="superscript"/>
              </w:rPr>
              <w:t>18</w:t>
            </w:r>
          </w:p>
        </w:tc>
      </w:tr>
    </w:tbl>
    <w:bookmarkEnd w:id="127"/>
    <w:p w14:paraId="7C31A1E9" w14:textId="61148BEA" w:rsidR="00682552" w:rsidRPr="009F57D8" w:rsidRDefault="00F650F4" w:rsidP="00E154F8">
      <w:pPr>
        <w:pStyle w:val="TableFigureFooter"/>
        <w:keepNext/>
      </w:pPr>
      <w:r w:rsidRPr="009F57D8">
        <w:t>Source: Compiled from Section 4 of the submission.</w:t>
      </w:r>
      <w:r w:rsidR="0086797B" w:rsidRPr="009F57D8">
        <w:t xml:space="preserve">  All analyses use the comparator prices assumed by the submission.</w:t>
      </w:r>
    </w:p>
    <w:p w14:paraId="54D2319C" w14:textId="5F80EA85" w:rsidR="00310616" w:rsidRPr="009F57D8" w:rsidRDefault="00F650F4" w:rsidP="009427BE">
      <w:pPr>
        <w:pStyle w:val="TableFigureFooter"/>
        <w:keepNext/>
      </w:pPr>
      <w:r w:rsidRPr="009F57D8">
        <w:t xml:space="preserve">13vPCV = 13-valent pneumococcal conjugate vaccine; 23vPPV = 23-valent pneumococcal polysaccharide vaccine; </w:t>
      </w:r>
      <w:r w:rsidR="00852EBF" w:rsidRPr="009F57D8">
        <w:t xml:space="preserve">CLD = chronic liver disease; COPD = chronic obstructive pulmonary disease; </w:t>
      </w:r>
      <w:r w:rsidRPr="009F57D8">
        <w:t xml:space="preserve">MaR = medically at-risk; NIP = National Immunization Program; </w:t>
      </w:r>
      <w:r w:rsidR="00643380" w:rsidRPr="009F57D8">
        <w:t>21vPCV</w:t>
      </w:r>
      <w:r w:rsidRPr="009F57D8">
        <w:t xml:space="preserve"> = 21-valent pneumococcal conjugate vaccine.</w:t>
      </w:r>
    </w:p>
    <w:p w14:paraId="0B4FC68F" w14:textId="48D88A83" w:rsidR="00310616" w:rsidRPr="009F57D8" w:rsidRDefault="00310616" w:rsidP="009427BE">
      <w:pPr>
        <w:pStyle w:val="TableFigureFooter"/>
        <w:keepNext/>
        <w:rPr>
          <w:snapToGrid/>
        </w:rPr>
      </w:pPr>
      <w:r w:rsidRPr="009F57D8">
        <w:rPr>
          <w:snapToGrid/>
          <w:vertAlign w:val="superscript"/>
        </w:rPr>
        <w:t>a</w:t>
      </w:r>
      <w:r w:rsidRPr="009F57D8">
        <w:rPr>
          <w:snapToGrid/>
        </w:rPr>
        <w:t xml:space="preserve"> The cost to the MBS reflects the assumed administration cost per dose ($19.60 for MBS Item 3).</w:t>
      </w:r>
    </w:p>
    <w:p w14:paraId="3A7AE0B6" w14:textId="77777777" w:rsidR="003F0072" w:rsidRDefault="00F3260E" w:rsidP="009427BE">
      <w:pPr>
        <w:pStyle w:val="TableFigureFooter"/>
        <w:keepNext/>
        <w:rPr>
          <w:i/>
          <w:szCs w:val="18"/>
        </w:rPr>
      </w:pPr>
      <w:r w:rsidRPr="009F57D8">
        <w:rPr>
          <w:snapToGrid/>
          <w:vertAlign w:val="superscript"/>
        </w:rPr>
        <w:t>b</w:t>
      </w:r>
      <w:r w:rsidRPr="009F57D8">
        <w:rPr>
          <w:snapToGrid/>
        </w:rPr>
        <w:t xml:space="preserve"> The PSCR </w:t>
      </w:r>
      <w:r w:rsidRPr="009F57D8">
        <w:rPr>
          <w:color w:val="000000" w:themeColor="text1"/>
        </w:rPr>
        <w:t>stated that t</w:t>
      </w:r>
      <w:r w:rsidRPr="009F57D8">
        <w:t>his scenario was assessed relative to the current NIP schedule, which includes 23vPPV for high-risk cohorts but excludes indigenous individuals aged 25-49.</w:t>
      </w:r>
      <w:bookmarkStart w:id="128" w:name="_Hlk218762753"/>
      <w:r w:rsidR="003F0072" w:rsidRPr="003F0072">
        <w:rPr>
          <w:i/>
          <w:szCs w:val="18"/>
        </w:rPr>
        <w:t xml:space="preserve"> </w:t>
      </w:r>
    </w:p>
    <w:p w14:paraId="72FAEC50" w14:textId="4C497E30" w:rsidR="003F0072" w:rsidRPr="003F0072" w:rsidRDefault="003F0072" w:rsidP="009427BE">
      <w:pPr>
        <w:pStyle w:val="TableFigureFooter"/>
        <w:keepNext/>
        <w:rPr>
          <w:i/>
        </w:rPr>
      </w:pPr>
      <w:r w:rsidRPr="003F0072">
        <w:rPr>
          <w:i/>
        </w:rPr>
        <w:t xml:space="preserve">The redacted values correspond to the following ranges: </w:t>
      </w:r>
    </w:p>
    <w:p w14:paraId="1F48C136" w14:textId="5EFA4328" w:rsidR="003F0072" w:rsidRPr="003F0072" w:rsidRDefault="003F0072" w:rsidP="009427BE">
      <w:pPr>
        <w:pStyle w:val="TableFigureFooter"/>
        <w:keepNext/>
        <w:rPr>
          <w:i/>
        </w:rPr>
      </w:pPr>
      <w:r w:rsidRPr="003F0072">
        <w:rPr>
          <w:i/>
          <w:vertAlign w:val="superscript"/>
        </w:rPr>
        <w:t>1</w:t>
      </w:r>
      <w:r w:rsidRPr="003F0072">
        <w:rPr>
          <w:i/>
        </w:rPr>
        <w:t xml:space="preserve"> </w:t>
      </w:r>
      <w:r w:rsidR="00C7758F" w:rsidRPr="00C7758F">
        <w:rPr>
          <w:i/>
        </w:rPr>
        <w:t>300,000 to &lt; 400,000</w:t>
      </w:r>
    </w:p>
    <w:p w14:paraId="4528F821" w14:textId="4FEF2454" w:rsidR="003F0072" w:rsidRPr="003F0072" w:rsidRDefault="003F0072" w:rsidP="009427BE">
      <w:pPr>
        <w:pStyle w:val="TableFigureFooter"/>
        <w:keepNext/>
        <w:rPr>
          <w:i/>
        </w:rPr>
      </w:pPr>
      <w:r w:rsidRPr="003F0072">
        <w:rPr>
          <w:i/>
          <w:vertAlign w:val="superscript"/>
        </w:rPr>
        <w:t>2</w:t>
      </w:r>
      <w:r w:rsidRPr="003F0072">
        <w:rPr>
          <w:i/>
        </w:rPr>
        <w:t xml:space="preserve"> </w:t>
      </w:r>
      <w:r w:rsidR="00ED6F31" w:rsidRPr="00ED6F31">
        <w:rPr>
          <w:i/>
        </w:rPr>
        <w:t>200,000 to &lt; 300,000</w:t>
      </w:r>
    </w:p>
    <w:p w14:paraId="4FC3D6B7" w14:textId="6803A70C" w:rsidR="003F0072" w:rsidRPr="003F0072" w:rsidRDefault="003F0072" w:rsidP="009427BE">
      <w:pPr>
        <w:pStyle w:val="TableFigureFooter"/>
        <w:keepNext/>
        <w:rPr>
          <w:i/>
        </w:rPr>
      </w:pPr>
      <w:r w:rsidRPr="003F0072">
        <w:rPr>
          <w:i/>
          <w:vertAlign w:val="superscript"/>
        </w:rPr>
        <w:t>3</w:t>
      </w:r>
      <w:r w:rsidRPr="003F0072">
        <w:rPr>
          <w:i/>
        </w:rPr>
        <w:t xml:space="preserve"> </w:t>
      </w:r>
      <w:r w:rsidR="00482909" w:rsidRPr="00482909">
        <w:rPr>
          <w:i/>
        </w:rPr>
        <w:t>20,000 to &lt; 30,000</w:t>
      </w:r>
    </w:p>
    <w:p w14:paraId="27110452" w14:textId="3B53D0C6" w:rsidR="003F0072" w:rsidRPr="003F0072" w:rsidRDefault="003F0072" w:rsidP="009427BE">
      <w:pPr>
        <w:pStyle w:val="TableFigureFooter"/>
        <w:keepNext/>
        <w:rPr>
          <w:i/>
        </w:rPr>
      </w:pPr>
      <w:r w:rsidRPr="003F0072">
        <w:rPr>
          <w:i/>
          <w:vertAlign w:val="superscript"/>
        </w:rPr>
        <w:t>4</w:t>
      </w:r>
      <w:r w:rsidRPr="003F0072">
        <w:rPr>
          <w:i/>
        </w:rPr>
        <w:t xml:space="preserve"> </w:t>
      </w:r>
      <w:r w:rsidR="000904E3" w:rsidRPr="000904E3">
        <w:rPr>
          <w:i/>
        </w:rPr>
        <w:t>10,000 to &lt; 20,000</w:t>
      </w:r>
    </w:p>
    <w:p w14:paraId="52DF8F76" w14:textId="79BAB914" w:rsidR="003F0072" w:rsidRPr="003F0072" w:rsidRDefault="003F0072" w:rsidP="009427BE">
      <w:pPr>
        <w:pStyle w:val="TableFigureFooter"/>
        <w:keepNext/>
        <w:rPr>
          <w:i/>
        </w:rPr>
      </w:pPr>
      <w:r w:rsidRPr="003F0072">
        <w:rPr>
          <w:i/>
          <w:vertAlign w:val="superscript"/>
        </w:rPr>
        <w:t>5</w:t>
      </w:r>
      <w:r w:rsidRPr="003F0072">
        <w:rPr>
          <w:i/>
        </w:rPr>
        <w:t xml:space="preserve"> </w:t>
      </w:r>
      <w:r w:rsidR="00943F5B" w:rsidRPr="00943F5B">
        <w:rPr>
          <w:i/>
        </w:rPr>
        <w:t>5,000 to &lt; 10,000</w:t>
      </w:r>
    </w:p>
    <w:bookmarkEnd w:id="128"/>
    <w:p w14:paraId="0105589B" w14:textId="77777777" w:rsidR="007B16AA" w:rsidRPr="007B16AA" w:rsidRDefault="003F0072" w:rsidP="009427BE">
      <w:pPr>
        <w:pStyle w:val="TableFigureFooter"/>
        <w:keepNext/>
        <w:rPr>
          <w:i/>
        </w:rPr>
      </w:pPr>
      <w:r w:rsidRPr="003F0072">
        <w:rPr>
          <w:i/>
          <w:vertAlign w:val="superscript"/>
        </w:rPr>
        <w:t>6</w:t>
      </w:r>
      <w:r w:rsidRPr="003F0072">
        <w:rPr>
          <w:i/>
        </w:rPr>
        <w:t xml:space="preserve"> </w:t>
      </w:r>
      <w:r w:rsidR="007B16AA" w:rsidRPr="007B16AA">
        <w:rPr>
          <w:i/>
        </w:rPr>
        <w:t>60,000 to &lt; 70,000</w:t>
      </w:r>
    </w:p>
    <w:p w14:paraId="658F7B41" w14:textId="03A5C42B" w:rsidR="003F0072" w:rsidRDefault="007B16AA" w:rsidP="009427BE">
      <w:pPr>
        <w:pStyle w:val="TableFigureFooter"/>
        <w:keepNext/>
        <w:rPr>
          <w:i/>
        </w:rPr>
      </w:pPr>
      <w:r>
        <w:rPr>
          <w:i/>
          <w:vertAlign w:val="superscript"/>
        </w:rPr>
        <w:t>7</w:t>
      </w:r>
      <w:r>
        <w:rPr>
          <w:i/>
        </w:rPr>
        <w:t xml:space="preserve"> </w:t>
      </w:r>
      <w:r w:rsidR="000E4E2E">
        <w:rPr>
          <w:i/>
        </w:rPr>
        <w:t>30,000 to &lt; 40,000</w:t>
      </w:r>
    </w:p>
    <w:p w14:paraId="103D3F55" w14:textId="5AA8809A" w:rsidR="000E4E2E" w:rsidRDefault="000E4E2E" w:rsidP="009427BE">
      <w:pPr>
        <w:keepNext/>
        <w:keepLines/>
        <w:ind w:right="147"/>
        <w:rPr>
          <w:rFonts w:ascii="Arial Narrow" w:hAnsi="Arial Narrow"/>
          <w:b/>
          <w:bCs/>
          <w:i/>
          <w:snapToGrid w:val="0"/>
          <w:sz w:val="18"/>
          <w:szCs w:val="22"/>
        </w:rPr>
      </w:pPr>
      <w:r w:rsidRPr="000E4E2E">
        <w:rPr>
          <w:rFonts w:ascii="Arial Narrow" w:hAnsi="Arial Narrow"/>
          <w:i/>
          <w:snapToGrid w:val="0"/>
          <w:sz w:val="18"/>
          <w:szCs w:val="22"/>
          <w:vertAlign w:val="superscript"/>
        </w:rPr>
        <w:t xml:space="preserve">8 </w:t>
      </w:r>
      <w:r w:rsidRPr="000E4E2E">
        <w:rPr>
          <w:rFonts w:ascii="Arial Narrow" w:hAnsi="Arial Narrow"/>
          <w:i/>
          <w:snapToGrid w:val="0"/>
          <w:sz w:val="18"/>
          <w:szCs w:val="22"/>
        </w:rPr>
        <w:t>400,000 to &lt; 500,000</w:t>
      </w:r>
    </w:p>
    <w:p w14:paraId="78079370" w14:textId="70885839" w:rsidR="000E4E2E" w:rsidRPr="003F0072" w:rsidRDefault="000E4E2E" w:rsidP="009427BE">
      <w:pPr>
        <w:keepNext/>
        <w:keepLines/>
        <w:ind w:right="147"/>
        <w:rPr>
          <w:rFonts w:ascii="Arial" w:hAnsi="Arial"/>
          <w:color w:val="333333"/>
          <w:sz w:val="21"/>
          <w:szCs w:val="21"/>
        </w:rPr>
      </w:pPr>
      <w:r>
        <w:rPr>
          <w:rFonts w:ascii="Arial Narrow" w:hAnsi="Arial Narrow"/>
          <w:i/>
          <w:snapToGrid w:val="0"/>
          <w:sz w:val="18"/>
          <w:szCs w:val="22"/>
          <w:vertAlign w:val="superscript"/>
        </w:rPr>
        <w:t>9</w:t>
      </w:r>
      <w:r w:rsidRPr="003F0072">
        <w:rPr>
          <w:rFonts w:ascii="Arial Narrow" w:hAnsi="Arial Narrow"/>
          <w:i/>
          <w:snapToGrid w:val="0"/>
          <w:sz w:val="18"/>
          <w:szCs w:val="22"/>
        </w:rPr>
        <w:t xml:space="preserve"> </w:t>
      </w:r>
      <w:r w:rsidR="0099123F" w:rsidRPr="0099123F">
        <w:rPr>
          <w:rFonts w:ascii="Arial Narrow" w:hAnsi="Arial Narrow"/>
          <w:i/>
          <w:snapToGrid w:val="0"/>
          <w:sz w:val="18"/>
          <w:szCs w:val="22"/>
        </w:rPr>
        <w:t>200,000 to &lt; 300,000</w:t>
      </w:r>
    </w:p>
    <w:p w14:paraId="55B01B35" w14:textId="75BF1B14" w:rsidR="000E4E2E" w:rsidRPr="003F0072" w:rsidRDefault="000E4E2E" w:rsidP="009427BE">
      <w:pPr>
        <w:pStyle w:val="TableFigureFooter"/>
        <w:keepNext/>
        <w:rPr>
          <w:i/>
        </w:rPr>
      </w:pPr>
      <w:r>
        <w:rPr>
          <w:i/>
          <w:vertAlign w:val="superscript"/>
        </w:rPr>
        <w:t>10</w:t>
      </w:r>
      <w:r w:rsidRPr="003F0072">
        <w:rPr>
          <w:i/>
        </w:rPr>
        <w:t xml:space="preserve"> </w:t>
      </w:r>
      <w:r w:rsidR="0016164C" w:rsidRPr="0016164C">
        <w:rPr>
          <w:i/>
        </w:rPr>
        <w:t>100,000 to &lt; 200,000</w:t>
      </w:r>
    </w:p>
    <w:p w14:paraId="6010B344" w14:textId="52925FBA" w:rsidR="000E4E2E" w:rsidRPr="003F0072" w:rsidRDefault="000E4E2E" w:rsidP="009427BE">
      <w:pPr>
        <w:pStyle w:val="TableFigureFooter"/>
        <w:keepNext/>
        <w:rPr>
          <w:i/>
        </w:rPr>
      </w:pPr>
      <w:r>
        <w:rPr>
          <w:i/>
          <w:vertAlign w:val="superscript"/>
        </w:rPr>
        <w:t>11</w:t>
      </w:r>
      <w:r w:rsidRPr="003F0072">
        <w:rPr>
          <w:i/>
        </w:rPr>
        <w:t xml:space="preserve"> </w:t>
      </w:r>
      <w:r w:rsidR="00944292" w:rsidRPr="00944292">
        <w:rPr>
          <w:i/>
        </w:rPr>
        <w:t>40,000 to &lt; 50,000</w:t>
      </w:r>
    </w:p>
    <w:p w14:paraId="7BBA30EF" w14:textId="2A30ED64" w:rsidR="000E4E2E" w:rsidRPr="003F0072" w:rsidRDefault="005A4F5E" w:rsidP="009427BE">
      <w:pPr>
        <w:pStyle w:val="TableFigureFooter"/>
        <w:keepNext/>
        <w:rPr>
          <w:i/>
        </w:rPr>
      </w:pPr>
      <w:r>
        <w:rPr>
          <w:i/>
          <w:vertAlign w:val="superscript"/>
        </w:rPr>
        <w:t>12</w:t>
      </w:r>
      <w:r w:rsidR="000E4E2E" w:rsidRPr="003F0072">
        <w:rPr>
          <w:i/>
        </w:rPr>
        <w:t xml:space="preserve"> </w:t>
      </w:r>
      <w:r w:rsidR="00CB3440" w:rsidRPr="00CB3440">
        <w:rPr>
          <w:i/>
        </w:rPr>
        <w:t>500 to &lt; 5,000</w:t>
      </w:r>
    </w:p>
    <w:p w14:paraId="6B4254C8" w14:textId="77777777" w:rsidR="00D26B05" w:rsidRDefault="005A4F5E" w:rsidP="009427BE">
      <w:pPr>
        <w:pStyle w:val="TableFigureFooter"/>
        <w:keepNext/>
        <w:rPr>
          <w:i/>
        </w:rPr>
      </w:pPr>
      <w:r>
        <w:rPr>
          <w:i/>
          <w:vertAlign w:val="superscript"/>
        </w:rPr>
        <w:t>13</w:t>
      </w:r>
      <w:r w:rsidR="000E4E2E" w:rsidRPr="003F0072">
        <w:rPr>
          <w:i/>
        </w:rPr>
        <w:t xml:space="preserve"> </w:t>
      </w:r>
      <w:r w:rsidR="00D26B05" w:rsidRPr="00D26B05">
        <w:rPr>
          <w:i/>
        </w:rPr>
        <w:t>50,000 to &lt; 60,000</w:t>
      </w:r>
    </w:p>
    <w:p w14:paraId="25A1E21B" w14:textId="60962F22" w:rsidR="00D26B05" w:rsidRPr="00B64F12" w:rsidRDefault="00D26B05" w:rsidP="009427BE">
      <w:pPr>
        <w:pStyle w:val="TableFigureFooter"/>
        <w:keepNext/>
        <w:rPr>
          <w:i/>
        </w:rPr>
      </w:pPr>
      <w:r>
        <w:rPr>
          <w:i/>
          <w:vertAlign w:val="superscript"/>
        </w:rPr>
        <w:t>14</w:t>
      </w:r>
      <w:r w:rsidR="00B64F12">
        <w:rPr>
          <w:i/>
          <w:vertAlign w:val="superscript"/>
        </w:rPr>
        <w:t xml:space="preserve"> </w:t>
      </w:r>
      <w:r w:rsidR="00B64F12" w:rsidRPr="00B64F12">
        <w:rPr>
          <w:i/>
        </w:rPr>
        <w:t>700,000 to &lt; 800,000</w:t>
      </w:r>
    </w:p>
    <w:p w14:paraId="68DEA5E3" w14:textId="77777777" w:rsidR="0043533E" w:rsidRDefault="00D26B05" w:rsidP="009427BE">
      <w:pPr>
        <w:pStyle w:val="TableFigureFooter"/>
        <w:keepNext/>
        <w:rPr>
          <w:i/>
        </w:rPr>
      </w:pPr>
      <w:r>
        <w:rPr>
          <w:i/>
          <w:vertAlign w:val="superscript"/>
        </w:rPr>
        <w:t>15</w:t>
      </w:r>
      <w:r w:rsidR="00B64F12">
        <w:rPr>
          <w:i/>
          <w:vertAlign w:val="superscript"/>
        </w:rPr>
        <w:t xml:space="preserve"> </w:t>
      </w:r>
      <w:r w:rsidR="00466C18" w:rsidRPr="00466C18">
        <w:rPr>
          <w:i/>
        </w:rPr>
        <w:t>500,000 to &lt; 600,000</w:t>
      </w:r>
    </w:p>
    <w:p w14:paraId="24D44246" w14:textId="75E2E981" w:rsidR="000E4E2E" w:rsidRDefault="0043533E" w:rsidP="009427BE">
      <w:pPr>
        <w:pStyle w:val="TableFigureFooter"/>
        <w:keepNext/>
        <w:rPr>
          <w:i/>
        </w:rPr>
      </w:pPr>
      <w:r>
        <w:rPr>
          <w:i/>
          <w:vertAlign w:val="superscript"/>
        </w:rPr>
        <w:t>16</w:t>
      </w:r>
      <w:r w:rsidR="00397BCE">
        <w:rPr>
          <w:i/>
          <w:vertAlign w:val="superscript"/>
        </w:rPr>
        <w:t xml:space="preserve"> </w:t>
      </w:r>
      <w:r w:rsidR="00397BCE" w:rsidRPr="00397BCE">
        <w:rPr>
          <w:i/>
        </w:rPr>
        <w:t>$20 million to &lt; $30 million</w:t>
      </w:r>
      <w:r w:rsidR="00E20426">
        <w:rPr>
          <w:i/>
          <w:vertAlign w:val="superscript"/>
        </w:rPr>
        <w:t>1</w:t>
      </w:r>
      <w:r w:rsidR="000E4E2E">
        <w:rPr>
          <w:i/>
          <w:vertAlign w:val="superscript"/>
        </w:rPr>
        <w:t>7</w:t>
      </w:r>
      <w:r w:rsidR="000E4E2E">
        <w:rPr>
          <w:i/>
        </w:rPr>
        <w:t xml:space="preserve"> </w:t>
      </w:r>
      <w:r w:rsidR="008A0670" w:rsidRPr="008A0670">
        <w:rPr>
          <w:i/>
        </w:rPr>
        <w:t>$10 million to &lt; $20 million</w:t>
      </w:r>
    </w:p>
    <w:p w14:paraId="6E620A9C" w14:textId="77777777" w:rsidR="00E25B5F" w:rsidRDefault="00E20426" w:rsidP="00E25B5F">
      <w:pPr>
        <w:ind w:right="147"/>
        <w:rPr>
          <w:rFonts w:ascii="Arial Narrow" w:hAnsi="Arial Narrow"/>
          <w:b/>
          <w:bCs/>
          <w:i/>
          <w:snapToGrid w:val="0"/>
          <w:sz w:val="18"/>
          <w:szCs w:val="22"/>
        </w:rPr>
      </w:pPr>
      <w:r>
        <w:rPr>
          <w:rFonts w:ascii="Arial Narrow" w:hAnsi="Arial Narrow"/>
          <w:i/>
          <w:snapToGrid w:val="0"/>
          <w:sz w:val="18"/>
          <w:szCs w:val="22"/>
          <w:vertAlign w:val="superscript"/>
        </w:rPr>
        <w:t>1</w:t>
      </w:r>
      <w:r w:rsidR="000E4E2E" w:rsidRPr="000E4E2E">
        <w:rPr>
          <w:rFonts w:ascii="Arial Narrow" w:hAnsi="Arial Narrow"/>
          <w:i/>
          <w:snapToGrid w:val="0"/>
          <w:sz w:val="18"/>
          <w:szCs w:val="22"/>
          <w:vertAlign w:val="superscript"/>
        </w:rPr>
        <w:t xml:space="preserve">8 </w:t>
      </w:r>
      <w:r w:rsidR="00E25B5F" w:rsidRPr="00E25B5F">
        <w:rPr>
          <w:rFonts w:ascii="Arial Narrow" w:hAnsi="Arial Narrow"/>
          <w:i/>
          <w:snapToGrid w:val="0"/>
          <w:sz w:val="18"/>
          <w:szCs w:val="22"/>
        </w:rPr>
        <w:t>$0 to &lt; $10 million</w:t>
      </w:r>
    </w:p>
    <w:p w14:paraId="11EF44F5" w14:textId="16FE04A3" w:rsidR="00E25B5F" w:rsidRDefault="00E25B5F" w:rsidP="00E25B5F">
      <w:pPr>
        <w:ind w:right="147"/>
        <w:rPr>
          <w:rFonts w:ascii="Arial Narrow" w:hAnsi="Arial Narrow"/>
          <w:b/>
          <w:bCs/>
          <w:i/>
          <w:snapToGrid w:val="0"/>
          <w:sz w:val="18"/>
          <w:szCs w:val="22"/>
        </w:rPr>
      </w:pPr>
      <w:r>
        <w:rPr>
          <w:rFonts w:ascii="Arial Narrow" w:hAnsi="Arial Narrow"/>
          <w:i/>
          <w:snapToGrid w:val="0"/>
          <w:sz w:val="18"/>
          <w:szCs w:val="22"/>
          <w:vertAlign w:val="superscript"/>
        </w:rPr>
        <w:t>19</w:t>
      </w:r>
      <w:r w:rsidR="00CE1029">
        <w:rPr>
          <w:rFonts w:ascii="Arial Narrow" w:hAnsi="Arial Narrow"/>
          <w:i/>
          <w:snapToGrid w:val="0"/>
          <w:sz w:val="18"/>
          <w:szCs w:val="22"/>
          <w:vertAlign w:val="superscript"/>
        </w:rPr>
        <w:t xml:space="preserve"> </w:t>
      </w:r>
      <w:r w:rsidR="00CE1029" w:rsidRPr="00CE1029">
        <w:rPr>
          <w:rFonts w:ascii="Arial Narrow" w:hAnsi="Arial Narrow"/>
          <w:i/>
          <w:snapToGrid w:val="0"/>
          <w:sz w:val="18"/>
          <w:szCs w:val="22"/>
        </w:rPr>
        <w:t>$60 million to &lt; $70 millio</w:t>
      </w:r>
      <w:r w:rsidR="00CE1029">
        <w:rPr>
          <w:rFonts w:ascii="Arial Narrow" w:hAnsi="Arial Narrow"/>
          <w:i/>
          <w:snapToGrid w:val="0"/>
          <w:sz w:val="18"/>
          <w:szCs w:val="22"/>
        </w:rPr>
        <w:t>n</w:t>
      </w:r>
    </w:p>
    <w:p w14:paraId="474FFEEE" w14:textId="7003F358" w:rsidR="00CE1029" w:rsidRDefault="00CE1029" w:rsidP="00E25B5F">
      <w:pPr>
        <w:ind w:right="147"/>
        <w:rPr>
          <w:rFonts w:ascii="Arial Narrow" w:hAnsi="Arial Narrow"/>
          <w:b/>
          <w:bCs/>
          <w:i/>
          <w:snapToGrid w:val="0"/>
          <w:sz w:val="18"/>
          <w:szCs w:val="22"/>
        </w:rPr>
      </w:pPr>
      <w:r>
        <w:rPr>
          <w:rFonts w:ascii="Arial Narrow" w:hAnsi="Arial Narrow"/>
          <w:i/>
          <w:snapToGrid w:val="0"/>
          <w:sz w:val="18"/>
          <w:szCs w:val="22"/>
          <w:vertAlign w:val="superscript"/>
        </w:rPr>
        <w:t>20</w:t>
      </w:r>
      <w:r w:rsidR="00AB2EEB">
        <w:rPr>
          <w:rFonts w:ascii="Arial Narrow" w:hAnsi="Arial Narrow"/>
          <w:i/>
          <w:snapToGrid w:val="0"/>
          <w:sz w:val="18"/>
          <w:szCs w:val="22"/>
          <w:vertAlign w:val="superscript"/>
        </w:rPr>
        <w:t xml:space="preserve"> </w:t>
      </w:r>
      <w:r w:rsidR="00AB2EEB" w:rsidRPr="00AB2EEB">
        <w:rPr>
          <w:rFonts w:ascii="Arial Narrow" w:hAnsi="Arial Narrow"/>
          <w:i/>
          <w:snapToGrid w:val="0"/>
          <w:sz w:val="18"/>
          <w:szCs w:val="22"/>
        </w:rPr>
        <w:t>$40 million to &lt; $50 millio</w:t>
      </w:r>
      <w:r w:rsidR="00AB2EEB">
        <w:rPr>
          <w:rFonts w:ascii="Arial Narrow" w:hAnsi="Arial Narrow"/>
          <w:i/>
          <w:snapToGrid w:val="0"/>
          <w:sz w:val="18"/>
          <w:szCs w:val="22"/>
        </w:rPr>
        <w:t>n</w:t>
      </w:r>
    </w:p>
    <w:p w14:paraId="7FD6148F" w14:textId="6AA29D52" w:rsidR="00AB2EEB" w:rsidRDefault="00AB2EEB" w:rsidP="00E25B5F">
      <w:pPr>
        <w:ind w:right="147"/>
        <w:rPr>
          <w:rFonts w:ascii="Arial Narrow" w:hAnsi="Arial Narrow"/>
          <w:b/>
          <w:bCs/>
          <w:i/>
          <w:snapToGrid w:val="0"/>
          <w:sz w:val="18"/>
          <w:szCs w:val="22"/>
        </w:rPr>
      </w:pPr>
      <w:r>
        <w:rPr>
          <w:rFonts w:ascii="Arial Narrow" w:hAnsi="Arial Narrow"/>
          <w:i/>
          <w:snapToGrid w:val="0"/>
          <w:sz w:val="18"/>
          <w:szCs w:val="22"/>
          <w:vertAlign w:val="superscript"/>
        </w:rPr>
        <w:t>21</w:t>
      </w:r>
      <w:r w:rsidR="001C7CD9">
        <w:rPr>
          <w:rFonts w:ascii="Arial Narrow" w:hAnsi="Arial Narrow"/>
          <w:i/>
          <w:snapToGrid w:val="0"/>
          <w:sz w:val="18"/>
          <w:szCs w:val="22"/>
          <w:vertAlign w:val="superscript"/>
        </w:rPr>
        <w:t xml:space="preserve"> </w:t>
      </w:r>
      <w:r w:rsidR="003A191C" w:rsidRPr="003A191C">
        <w:rPr>
          <w:rFonts w:ascii="Arial Narrow" w:hAnsi="Arial Narrow"/>
          <w:i/>
          <w:snapToGrid w:val="0"/>
          <w:sz w:val="18"/>
          <w:szCs w:val="22"/>
        </w:rPr>
        <w:t>$30 million to &lt; $40 million</w:t>
      </w:r>
    </w:p>
    <w:p w14:paraId="29BA33F7" w14:textId="0F4577B4" w:rsidR="002C4369" w:rsidRPr="009F57D8" w:rsidRDefault="003A191C" w:rsidP="000E6454">
      <w:pPr>
        <w:pStyle w:val="TableFigureFooter"/>
      </w:pPr>
      <w:r>
        <w:rPr>
          <w:i/>
          <w:vertAlign w:val="superscript"/>
        </w:rPr>
        <w:t>22</w:t>
      </w:r>
      <w:bookmarkStart w:id="129" w:name="_Hlk218769486"/>
      <w:r w:rsidR="00E16933">
        <w:rPr>
          <w:i/>
          <w:vertAlign w:val="superscript"/>
        </w:rPr>
        <w:t xml:space="preserve"> </w:t>
      </w:r>
      <w:r w:rsidR="00E16933" w:rsidRPr="00E16933">
        <w:rPr>
          <w:i/>
        </w:rPr>
        <w:t>$70 million to &lt; $80 million</w:t>
      </w:r>
      <w:bookmarkEnd w:id="129"/>
    </w:p>
    <w:p w14:paraId="56D90BB3" w14:textId="36E65477" w:rsidR="002C4369" w:rsidRPr="009F57D8" w:rsidRDefault="002C4369" w:rsidP="000E6454">
      <w:pPr>
        <w:pStyle w:val="TableFigureFooter"/>
      </w:pPr>
    </w:p>
    <w:p w14:paraId="3710101A" w14:textId="7B7C1E29" w:rsidR="00F650F4" w:rsidRPr="009F57D8" w:rsidRDefault="00F650F4" w:rsidP="00F650F4">
      <w:pPr>
        <w:pStyle w:val="3-BodyText"/>
        <w:numPr>
          <w:ilvl w:val="1"/>
          <w:numId w:val="1"/>
        </w:numPr>
      </w:pPr>
      <w:r w:rsidRPr="009F57D8">
        <w:t xml:space="preserve">The total cost to Government was estimated at </w:t>
      </w:r>
      <w:r w:rsidR="001E6C7D" w:rsidRPr="001E6C7D">
        <w:t>$40 million to &lt; $50 million</w:t>
      </w:r>
      <w:r w:rsidRPr="009F57D8">
        <w:t xml:space="preserve"> in Year 1 and </w:t>
      </w:r>
      <w:r w:rsidR="00F84C23" w:rsidRPr="00F84C23">
        <w:t>$0 to &lt; $10 million</w:t>
      </w:r>
      <w:r w:rsidRPr="009F57D8">
        <w:t xml:space="preserve"> in Year 6, for a total cost of </w:t>
      </w:r>
      <w:r w:rsidR="00580634" w:rsidRPr="00580634">
        <w:t>$100 million to &lt; $200 million</w:t>
      </w:r>
      <w:r w:rsidRPr="009F57D8">
        <w:t xml:space="preserve"> across the first 6 years of listing</w:t>
      </w:r>
      <w:r w:rsidR="00B464C5" w:rsidRPr="009F57D8">
        <w:t>, of which 41% (</w:t>
      </w:r>
      <w:r w:rsidR="00075516" w:rsidRPr="00075516">
        <w:t>$40 million to &lt; $50 million</w:t>
      </w:r>
      <w:r w:rsidR="00B464C5" w:rsidRPr="009F57D8">
        <w:t>) corresponded to catch-up doses</w:t>
      </w:r>
      <w:r w:rsidRPr="009F57D8">
        <w:t xml:space="preserve">. When including CLD and COPD, the total cost to Government increased to </w:t>
      </w:r>
      <w:r w:rsidR="00DE1B53" w:rsidRPr="00DE1B53">
        <w:t>$100 million to &lt; $200 million</w:t>
      </w:r>
      <w:r w:rsidRPr="009F57D8">
        <w:t xml:space="preserve"> in the first 6 years of listing</w:t>
      </w:r>
      <w:r w:rsidR="00A4754E" w:rsidRPr="009F57D8">
        <w:t xml:space="preserve">. This was </w:t>
      </w:r>
      <w:r w:rsidR="00A4754E" w:rsidRPr="009F57D8">
        <w:rPr>
          <w:color w:val="000000" w:themeColor="text1"/>
        </w:rPr>
        <w:t xml:space="preserve">an increase of </w:t>
      </w:r>
      <w:r w:rsidR="0068647C" w:rsidRPr="0068647C">
        <w:rPr>
          <w:color w:val="000000" w:themeColor="text1"/>
        </w:rPr>
        <w:t>$60 million to &lt; $70 million</w:t>
      </w:r>
      <w:r w:rsidR="00A4754E" w:rsidRPr="009F57D8">
        <w:rPr>
          <w:color w:val="000000" w:themeColor="text1"/>
        </w:rPr>
        <w:t>, with over 90% of this for the COPD population</w:t>
      </w:r>
      <w:r w:rsidRPr="009F57D8">
        <w:t>.</w:t>
      </w:r>
      <w:r w:rsidR="00DE1B53">
        <w:t xml:space="preserve"> </w:t>
      </w:r>
    </w:p>
    <w:p w14:paraId="50472B3A" w14:textId="691EF80D" w:rsidR="00C70535" w:rsidRPr="009F57D8" w:rsidRDefault="00C65F2D">
      <w:pPr>
        <w:pStyle w:val="3-BodyText"/>
        <w:numPr>
          <w:ilvl w:val="1"/>
          <w:numId w:val="1"/>
        </w:numPr>
      </w:pPr>
      <w:r w:rsidRPr="009F57D8">
        <w:t>T</w:t>
      </w:r>
      <w:r w:rsidR="001E06F3" w:rsidRPr="009F57D8">
        <w:t>he financial estimates were sensitive to</w:t>
      </w:r>
      <w:r w:rsidR="00F650F4" w:rsidRPr="009F57D8">
        <w:t xml:space="preserve"> </w:t>
      </w:r>
      <w:bookmarkStart w:id="130" w:name="_Hlk207036260"/>
      <w:r w:rsidR="00F650F4" w:rsidRPr="009F57D8">
        <w:t xml:space="preserve">the expansion of the listed population </w:t>
      </w:r>
      <w:bookmarkEnd w:id="130"/>
      <w:r w:rsidR="00F650F4" w:rsidRPr="009F57D8">
        <w:t>to include non-Indigenous adults 65-69 years</w:t>
      </w:r>
      <w:r w:rsidR="001E06F3" w:rsidRPr="009F57D8">
        <w:t xml:space="preserve">. </w:t>
      </w:r>
      <w:r w:rsidR="003A21DA" w:rsidRPr="009F57D8">
        <w:t>B</w:t>
      </w:r>
      <w:r w:rsidR="00BE2B26" w:rsidRPr="009F57D8">
        <w:rPr>
          <w:color w:val="000000" w:themeColor="text1"/>
        </w:rPr>
        <w:t xml:space="preserve">ased on the submission’s estimates, this expansion would increase the </w:t>
      </w:r>
      <w:r w:rsidR="00BE2B26" w:rsidRPr="009F57D8">
        <w:rPr>
          <w:rFonts w:ascii="Calibri" w:hAnsi="Calibri" w:cs="Calibri"/>
          <w:color w:val="000000"/>
        </w:rPr>
        <w:t>total cost</w:t>
      </w:r>
      <w:r w:rsidR="00C70535" w:rsidRPr="009F57D8">
        <w:rPr>
          <w:color w:val="000000" w:themeColor="text1"/>
        </w:rPr>
        <w:t xml:space="preserve"> to NIP by </w:t>
      </w:r>
      <w:r w:rsidR="006D4B10" w:rsidRPr="006D4B10">
        <w:rPr>
          <w:color w:val="000000" w:themeColor="text1"/>
        </w:rPr>
        <w:t>$40 million to &lt; $50 million</w:t>
      </w:r>
      <w:r w:rsidR="00C70535" w:rsidRPr="009F57D8">
        <w:rPr>
          <w:color w:val="000000" w:themeColor="text1"/>
        </w:rPr>
        <w:t xml:space="preserve"> over six years</w:t>
      </w:r>
      <w:r w:rsidR="00C70535" w:rsidRPr="009F57D8">
        <w:rPr>
          <w:rFonts w:ascii="Calibri" w:hAnsi="Calibri" w:cs="Calibri"/>
          <w:color w:val="000000"/>
        </w:rPr>
        <w:t xml:space="preserve"> and cost </w:t>
      </w:r>
      <w:r w:rsidR="00BE2B26" w:rsidRPr="009F57D8">
        <w:rPr>
          <w:rFonts w:ascii="Calibri" w:hAnsi="Calibri" w:cs="Calibri"/>
          <w:color w:val="000000"/>
        </w:rPr>
        <w:t>to government</w:t>
      </w:r>
      <w:r w:rsidR="00BE2B26" w:rsidRPr="009F57D8">
        <w:rPr>
          <w:color w:val="000000" w:themeColor="text1"/>
        </w:rPr>
        <w:t xml:space="preserve"> by </w:t>
      </w:r>
      <w:r w:rsidR="005D6F15" w:rsidRPr="005D6F15">
        <w:rPr>
          <w:color w:val="000000" w:themeColor="text1"/>
        </w:rPr>
        <w:t>$50 million to &lt; $60 million</w:t>
      </w:r>
      <w:r w:rsidR="00BE2B26" w:rsidRPr="009F57D8">
        <w:rPr>
          <w:color w:val="000000" w:themeColor="text1"/>
        </w:rPr>
        <w:t xml:space="preserve"> over 6 years compared with the current scenario (13vPCV replaced).</w:t>
      </w:r>
      <w:r w:rsidR="00F3260E" w:rsidRPr="009F57D8">
        <w:rPr>
          <w:color w:val="000000" w:themeColor="text1"/>
        </w:rPr>
        <w:t xml:space="preserve">  </w:t>
      </w:r>
    </w:p>
    <w:p w14:paraId="6330E1C3" w14:textId="0DE9BE22" w:rsidR="00F650F4" w:rsidRPr="009F57D8" w:rsidRDefault="0055585A">
      <w:pPr>
        <w:pStyle w:val="3-BodyText"/>
        <w:numPr>
          <w:ilvl w:val="1"/>
          <w:numId w:val="1"/>
        </w:numPr>
      </w:pPr>
      <w:r w:rsidRPr="009F57D8">
        <w:t>The ESC noted that the</w:t>
      </w:r>
      <w:r w:rsidR="00C54358" w:rsidRPr="009F57D8">
        <w:t xml:space="preserve"> financial</w:t>
      </w:r>
      <w:r w:rsidRPr="009F57D8">
        <w:t xml:space="preserve"> estimates were sensitive to the uptake rates assumed, </w:t>
      </w:r>
      <w:r w:rsidR="00C54358" w:rsidRPr="009F57D8">
        <w:t xml:space="preserve">although </w:t>
      </w:r>
      <w:r w:rsidRPr="009F57D8">
        <w:t>considered the rates assumed by the submission were reasonable.</w:t>
      </w:r>
    </w:p>
    <w:p w14:paraId="6551D539" w14:textId="77777777" w:rsidR="00F650F4" w:rsidRPr="009F57D8" w:rsidRDefault="00F650F4" w:rsidP="000925DD">
      <w:pPr>
        <w:pStyle w:val="4-SubsectionHeading"/>
      </w:pPr>
      <w:bookmarkStart w:id="131" w:name="_Toc22897648"/>
      <w:bookmarkStart w:id="132" w:name="_Toc207113567"/>
      <w:bookmarkStart w:id="133" w:name="_Toc209004914"/>
      <w:r w:rsidRPr="009F57D8">
        <w:t>Quality Use of Medicines</w:t>
      </w:r>
      <w:bookmarkEnd w:id="131"/>
      <w:bookmarkEnd w:id="132"/>
      <w:bookmarkEnd w:id="133"/>
    </w:p>
    <w:p w14:paraId="28CE4651" w14:textId="25030203" w:rsidR="003227F5" w:rsidRPr="009F57D8" w:rsidRDefault="00F650F4">
      <w:pPr>
        <w:pStyle w:val="3-BodyText"/>
        <w:numPr>
          <w:ilvl w:val="1"/>
          <w:numId w:val="1"/>
        </w:numPr>
        <w:rPr>
          <w:lang w:eastAsia="en-US"/>
        </w:rPr>
      </w:pPr>
      <w:bookmarkStart w:id="134" w:name="_Toc22897649"/>
      <w:r w:rsidRPr="009F57D8">
        <w:t xml:space="preserve">The submission proposed developing educational materials through stakeholder input to provide the latest information to healthcare professionals and the community </w:t>
      </w:r>
      <w:r w:rsidRPr="009F57D8">
        <w:lastRenderedPageBreak/>
        <w:t xml:space="preserve">about </w:t>
      </w:r>
      <w:r w:rsidR="003227F5" w:rsidRPr="009F57D8">
        <w:t>21</w:t>
      </w:r>
      <w:r w:rsidR="007D3F99" w:rsidRPr="009F57D8">
        <w:t>vPCV</w:t>
      </w:r>
      <w:r w:rsidR="007D3F99" w:rsidRPr="009F57D8" w:rsidDel="003227F5">
        <w:t>,</w:t>
      </w:r>
      <w:r w:rsidRPr="009F57D8">
        <w:t xml:space="preserve"> its place in clinical practice, and how to identify and manage potential vaccine-related adverse events. Provider education would also be carried out to ensure appropriate dosing for different populations and proper implementation of ATAGI's catch-up vaccination program advice when using </w:t>
      </w:r>
      <w:r w:rsidR="003227F5" w:rsidRPr="009F57D8">
        <w:t xml:space="preserve">21vPCV </w:t>
      </w:r>
      <w:r w:rsidRPr="009F57D8">
        <w:t>in clinical practice.</w:t>
      </w:r>
      <w:bookmarkEnd w:id="134"/>
      <w:r w:rsidR="003227F5" w:rsidRPr="009F57D8">
        <w:t xml:space="preserve">  S</w:t>
      </w:r>
      <w:r w:rsidR="008B4E84" w:rsidRPr="009F57D8">
        <w:t>pecific</w:t>
      </w:r>
      <w:r w:rsidR="003227F5" w:rsidRPr="009F57D8">
        <w:t xml:space="preserve"> education would be required in relation to the requirements for booster doses consistent with ATAGI’s recommendation that 23vPPV be removed from the adult schedule when the use of 13vPCV is replaced by 21vPCV (or 20vPCV) (p3, ATAGI: Optimum schedule for pneumococcal vaccination for Australian adults, July 2025).</w:t>
      </w:r>
    </w:p>
    <w:p w14:paraId="3BF77638" w14:textId="77777777" w:rsidR="007327F7" w:rsidRPr="009F57D8" w:rsidRDefault="007327F7" w:rsidP="007327F7">
      <w:pPr>
        <w:ind w:firstLine="709"/>
        <w:rPr>
          <w:rFonts w:asciiTheme="minorHAnsi" w:hAnsiTheme="minorHAnsi"/>
          <w:i/>
        </w:rPr>
      </w:pPr>
    </w:p>
    <w:p w14:paraId="1F7F05B5" w14:textId="77777777" w:rsidR="007327F7" w:rsidRPr="009F57D8" w:rsidRDefault="007327F7" w:rsidP="007327F7">
      <w:pPr>
        <w:ind w:firstLine="709"/>
        <w:rPr>
          <w:rFonts w:asciiTheme="minorHAnsi" w:hAnsiTheme="minorHAnsi"/>
          <w:i/>
        </w:rPr>
      </w:pPr>
      <w:r w:rsidRPr="009F57D8">
        <w:rPr>
          <w:rFonts w:asciiTheme="minorHAnsi" w:hAnsiTheme="minorHAnsi"/>
          <w:i/>
        </w:rPr>
        <w:t>For more detail on PBAC’s view, see section 7 PBAC outcome.</w:t>
      </w:r>
    </w:p>
    <w:p w14:paraId="670AAF8B" w14:textId="77777777" w:rsidR="007327F7" w:rsidRPr="009F57D8" w:rsidRDefault="007327F7" w:rsidP="007327F7"/>
    <w:p w14:paraId="76942EA0" w14:textId="77777777" w:rsidR="00FD450C" w:rsidRPr="009F57D8" w:rsidRDefault="00FD450C" w:rsidP="00FD450C">
      <w:pPr>
        <w:pStyle w:val="2-SectionHeading"/>
        <w:numPr>
          <w:ilvl w:val="0"/>
          <w:numId w:val="1"/>
        </w:numPr>
      </w:pPr>
      <w:bookmarkStart w:id="135" w:name="_Hlk76381249"/>
      <w:bookmarkStart w:id="136" w:name="_Hlk76377955"/>
      <w:r w:rsidRPr="009F57D8">
        <w:t>PBAC Outcome</w:t>
      </w:r>
    </w:p>
    <w:p w14:paraId="5146E4E6" w14:textId="26C5063B" w:rsidR="00EC31D6" w:rsidRPr="009F57D8" w:rsidRDefault="00B500C9">
      <w:pPr>
        <w:pStyle w:val="3-BodyText"/>
        <w:widowControl w:val="0"/>
        <w:numPr>
          <w:ilvl w:val="1"/>
          <w:numId w:val="1"/>
        </w:numPr>
        <w:spacing w:after="120"/>
        <w:rPr>
          <w:snapToGrid w:val="0"/>
        </w:rPr>
      </w:pPr>
      <w:bookmarkStart w:id="137" w:name="_Hlk111543188"/>
      <w:r w:rsidRPr="009F57D8">
        <w:t xml:space="preserve">The PBAC recommended that 21-valent pneumococcal conjugate vaccine (21vPCV, Capvaxive) be a designated vaccine for the purposes of the </w:t>
      </w:r>
      <w:r w:rsidRPr="009F57D8">
        <w:rPr>
          <w:i/>
          <w:iCs/>
        </w:rPr>
        <w:t>National Health Act 1953</w:t>
      </w:r>
      <w:r w:rsidRPr="009F57D8">
        <w:t xml:space="preserve">, for the prevention of pneumococcal disease in individuals with an at-risk condition aged ≥ 18 years, non-Indigenous adults aged ≥ 65 years and Aboriginal and Torres Strait Islander adults aged ≥ 25 years. </w:t>
      </w:r>
      <w:r w:rsidR="00A25798" w:rsidRPr="009F57D8">
        <w:t xml:space="preserve"> </w:t>
      </w:r>
      <w:r w:rsidR="009566A6" w:rsidRPr="009F57D8">
        <w:t xml:space="preserve">Consistent with ATAGI advice, the submission proposed </w:t>
      </w:r>
      <w:r w:rsidR="00803D1A" w:rsidRPr="009F57D8">
        <w:t>that 21vPCV be listed on the NIP as a single dose</w:t>
      </w:r>
      <w:r w:rsidR="00390B58" w:rsidRPr="009F57D8">
        <w:t xml:space="preserve"> for all populations.  The PBAC noted this would simplify the adult pneumococcal schedule in comparison with the current schedule which recommended 13vPCV followed by </w:t>
      </w:r>
      <w:r w:rsidR="009566A6" w:rsidRPr="009F57D8">
        <w:t xml:space="preserve">booster doses of 23vPPV in the </w:t>
      </w:r>
      <w:r w:rsidR="00EC31D6" w:rsidRPr="009F57D8">
        <w:rPr>
          <w:snapToGrid w:val="0"/>
        </w:rPr>
        <w:t>Medically at Risk (</w:t>
      </w:r>
      <w:r w:rsidR="009566A6" w:rsidRPr="009F57D8">
        <w:t>MaR</w:t>
      </w:r>
      <w:r w:rsidR="00EC31D6" w:rsidRPr="009F57D8">
        <w:t>)</w:t>
      </w:r>
      <w:r w:rsidR="009566A6" w:rsidRPr="009F57D8">
        <w:t xml:space="preserve"> and </w:t>
      </w:r>
      <w:r w:rsidR="00390B58" w:rsidRPr="009F57D8">
        <w:t>Aboriginal and Torres Strait Islander</w:t>
      </w:r>
      <w:r w:rsidR="009566A6" w:rsidRPr="009F57D8">
        <w:t xml:space="preserve"> populations</w:t>
      </w:r>
      <w:r w:rsidR="00390B58" w:rsidRPr="009F57D8">
        <w:t xml:space="preserve">.  </w:t>
      </w:r>
      <w:r w:rsidR="00EC31D6" w:rsidRPr="009F57D8">
        <w:rPr>
          <w:snapToGrid w:val="0"/>
        </w:rPr>
        <w:t>The PBAC recommended reducing the age threshold for non-indigenous adults to 65 years (from 70 years) as proposed by the ATAGI. The PBAC also recommended expanding the eligibility of the adult MaR population to include chronic obstructive pulmonary disease (COPD) and chronic liver disease (CLD</w:t>
      </w:r>
      <w:r w:rsidR="001546BF" w:rsidRPr="009F57D8">
        <w:rPr>
          <w:snapToGrid w:val="0"/>
        </w:rPr>
        <w:t>),</w:t>
      </w:r>
      <w:r w:rsidR="00EC31D6" w:rsidRPr="009F57D8">
        <w:rPr>
          <w:snapToGrid w:val="0"/>
        </w:rPr>
        <w:t xml:space="preserve"> noting that </w:t>
      </w:r>
      <w:r w:rsidR="00EC31D6" w:rsidRPr="009F57D8">
        <w:t xml:space="preserve">adults with CLD and COPD are at increased risk of pneumococcal disease.  The PBAC </w:t>
      </w:r>
      <w:r w:rsidR="00FF3D3B" w:rsidRPr="009F57D8">
        <w:t>advised</w:t>
      </w:r>
      <w:r w:rsidR="003E6E7F" w:rsidRPr="009F57D8">
        <w:t>,</w:t>
      </w:r>
      <w:r w:rsidR="007F476E" w:rsidRPr="009F57D8">
        <w:t xml:space="preserve"> in the context of </w:t>
      </w:r>
      <w:r w:rsidR="0062630F" w:rsidRPr="009F57D8">
        <w:t>no</w:t>
      </w:r>
      <w:r w:rsidR="007F476E" w:rsidRPr="009F57D8">
        <w:t xml:space="preserve"> clinical </w:t>
      </w:r>
      <w:r w:rsidR="0062630F" w:rsidRPr="009F57D8">
        <w:t xml:space="preserve">outcomes </w:t>
      </w:r>
      <w:r w:rsidR="007F476E" w:rsidRPr="009F57D8">
        <w:t>data</w:t>
      </w:r>
      <w:r w:rsidR="0062630F" w:rsidRPr="009F57D8">
        <w:t xml:space="preserve"> for 21vPCV</w:t>
      </w:r>
      <w:r w:rsidR="009738F1" w:rsidRPr="009F57D8">
        <w:t xml:space="preserve"> and the potential for coverage of 21vPCV to change over time</w:t>
      </w:r>
      <w:r w:rsidR="003E6E7F" w:rsidRPr="009F57D8">
        <w:t xml:space="preserve">, that more conservative assumptions should be applied </w:t>
      </w:r>
      <w:r w:rsidR="001F1EB0" w:rsidRPr="009F57D8">
        <w:t>in the economic evaluation, and that</w:t>
      </w:r>
      <w:r w:rsidR="004C35BB" w:rsidRPr="009F57D8">
        <w:t xml:space="preserve"> a price reduction would be required for 21vPCV to be considered cost-effective</w:t>
      </w:r>
      <w:r w:rsidR="00886E6F" w:rsidRPr="009F57D8">
        <w:t xml:space="preserve">. </w:t>
      </w:r>
      <w:r w:rsidR="00886E6F" w:rsidRPr="009F57D8">
        <w:rPr>
          <w:snapToGrid w:val="0"/>
        </w:rPr>
        <w:t xml:space="preserve"> </w:t>
      </w:r>
    </w:p>
    <w:p w14:paraId="55B65988" w14:textId="77777777" w:rsidR="009D4457" w:rsidRPr="009F57D8" w:rsidRDefault="009D4457" w:rsidP="009D4457">
      <w:pPr>
        <w:widowControl w:val="0"/>
        <w:numPr>
          <w:ilvl w:val="1"/>
          <w:numId w:val="1"/>
        </w:numPr>
        <w:spacing w:after="120"/>
        <w:rPr>
          <w:rFonts w:asciiTheme="minorHAnsi" w:hAnsiTheme="minorHAnsi"/>
          <w:bCs/>
        </w:rPr>
      </w:pPr>
      <w:r w:rsidRPr="009F57D8">
        <w:t>The PBAC considered there is a clinical need for alternative pneumococcal vaccines as there remains a substantial burden of disease in the proposed NIP populations, despite NIP listing of 13vPCV and 23vPPV.  The PBAC noted the proposed listing of 21vPCV was supported by the consumer comments received for this submission.</w:t>
      </w:r>
    </w:p>
    <w:p w14:paraId="05FCA05D" w14:textId="297ABFCE" w:rsidR="00A41D21" w:rsidRPr="009F57D8" w:rsidRDefault="00F07E6B">
      <w:pPr>
        <w:widowControl w:val="0"/>
        <w:numPr>
          <w:ilvl w:val="1"/>
          <w:numId w:val="1"/>
        </w:numPr>
        <w:spacing w:after="120"/>
        <w:rPr>
          <w:rFonts w:asciiTheme="minorHAnsi" w:hAnsiTheme="minorHAnsi"/>
          <w:snapToGrid w:val="0"/>
        </w:rPr>
      </w:pPr>
      <w:r w:rsidRPr="009F57D8">
        <w:rPr>
          <w:rFonts w:asciiTheme="minorHAnsi" w:hAnsiTheme="minorHAnsi"/>
          <w:snapToGrid w:val="0"/>
        </w:rPr>
        <w:t xml:space="preserve">The PBAC considered that a 21vPCV program will provide a greater impact on pneumococcal disease compared to the current adult NIP </w:t>
      </w:r>
      <w:r w:rsidR="007D3F99" w:rsidRPr="009F57D8">
        <w:rPr>
          <w:rFonts w:asciiTheme="minorHAnsi" w:hAnsiTheme="minorHAnsi"/>
          <w:snapToGrid w:val="0"/>
        </w:rPr>
        <w:t>schedule and</w:t>
      </w:r>
      <w:r w:rsidRPr="009F57D8">
        <w:rPr>
          <w:rFonts w:asciiTheme="minorHAnsi" w:hAnsiTheme="minorHAnsi"/>
          <w:snapToGrid w:val="0"/>
        </w:rPr>
        <w:t xml:space="preserve"> noted this was consistent with ATAGI’s preferential recommendation for 21vPCV over other available vaccines.  On this basis, the PBAC was satisfied that 21vPCV will provide, for some patients, a significant improvement in efficacy over the main comparator, 13vPCV</w:t>
      </w:r>
      <w:r w:rsidR="001546BF" w:rsidRPr="009F57D8">
        <w:rPr>
          <w:rFonts w:asciiTheme="minorHAnsi" w:hAnsiTheme="minorHAnsi"/>
          <w:snapToGrid w:val="0"/>
        </w:rPr>
        <w:t xml:space="preserve">, </w:t>
      </w:r>
      <w:r w:rsidR="001546BF" w:rsidRPr="009F57D8">
        <w:t>followed by booster doses of 23vPPV in the MaR</w:t>
      </w:r>
      <w:r w:rsidR="00A41D21" w:rsidRPr="009F57D8">
        <w:t xml:space="preserve"> populations aged ≥ 18 years,</w:t>
      </w:r>
      <w:r w:rsidR="001546BF" w:rsidRPr="009F57D8">
        <w:t xml:space="preserve"> and Aboriginal and Torres Strait Islander population</w:t>
      </w:r>
      <w:r w:rsidR="00A41D21" w:rsidRPr="009F57D8">
        <w:t xml:space="preserve"> aged ≥ 50 years</w:t>
      </w:r>
      <w:r w:rsidR="001546BF" w:rsidRPr="009F57D8">
        <w:t>.</w:t>
      </w:r>
      <w:r w:rsidR="009111B9" w:rsidRPr="009F57D8">
        <w:t xml:space="preserve">  </w:t>
      </w:r>
      <w:r w:rsidR="00A41D21" w:rsidRPr="009F57D8">
        <w:t xml:space="preserve"> </w:t>
      </w:r>
    </w:p>
    <w:p w14:paraId="119B783B" w14:textId="4B0FBC57" w:rsidR="009111B9" w:rsidRPr="009F57D8" w:rsidRDefault="009111B9">
      <w:pPr>
        <w:widowControl w:val="0"/>
        <w:numPr>
          <w:ilvl w:val="1"/>
          <w:numId w:val="1"/>
        </w:numPr>
        <w:spacing w:after="120"/>
        <w:rPr>
          <w:rFonts w:asciiTheme="minorHAnsi" w:hAnsiTheme="minorHAnsi"/>
          <w:snapToGrid w:val="0"/>
        </w:rPr>
      </w:pPr>
      <w:r w:rsidRPr="009F57D8">
        <w:lastRenderedPageBreak/>
        <w:t xml:space="preserve">The nominated comparator for the proposed expanded population of </w:t>
      </w:r>
      <w:r w:rsidR="00D04DE7" w:rsidRPr="009F57D8">
        <w:t>Aboriginal and Torres Strait Islander adults</w:t>
      </w:r>
      <w:r w:rsidRPr="009F57D8">
        <w:t xml:space="preserve"> aged 25 to 49 years was 20vPCV on the basis that</w:t>
      </w:r>
      <w:r w:rsidR="00FF5896" w:rsidRPr="009F57D8">
        <w:t xml:space="preserve"> no vaccine is currently </w:t>
      </w:r>
      <w:r w:rsidR="00176095" w:rsidRPr="009F57D8">
        <w:t>listed for this population and</w:t>
      </w:r>
      <w:r w:rsidRPr="009F57D8">
        <w:t xml:space="preserve"> 20vPCV was recommended for listing by the PBAC in November 2022.  </w:t>
      </w:r>
      <w:r w:rsidRPr="009F57D8">
        <w:rPr>
          <w:iCs/>
        </w:rPr>
        <w:t xml:space="preserve">The PBAC considered this was </w:t>
      </w:r>
      <w:r w:rsidR="00BE302A" w:rsidRPr="009F57D8">
        <w:rPr>
          <w:iCs/>
        </w:rPr>
        <w:t>reasonable and</w:t>
      </w:r>
      <w:r w:rsidRPr="009F57D8">
        <w:rPr>
          <w:iCs/>
        </w:rPr>
        <w:t xml:space="preserve"> noted it was consistent with ATAGI advice. </w:t>
      </w:r>
    </w:p>
    <w:p w14:paraId="63FAF5E6" w14:textId="7BDBFCFF" w:rsidR="008609E3" w:rsidRPr="009F57D8" w:rsidRDefault="008609E3">
      <w:pPr>
        <w:widowControl w:val="0"/>
        <w:numPr>
          <w:ilvl w:val="1"/>
          <w:numId w:val="1"/>
        </w:numPr>
        <w:spacing w:after="120"/>
        <w:rPr>
          <w:snapToGrid w:val="0"/>
        </w:rPr>
      </w:pPr>
      <w:r w:rsidRPr="009F57D8">
        <w:t xml:space="preserve">The PBAC noted and welcomed the advice from the ATAGI that was provided to the PBAC to assist with consideration of this submission.  </w:t>
      </w:r>
      <w:r w:rsidR="0006067E" w:rsidRPr="009F57D8">
        <w:rPr>
          <w:snapToGrid w:val="0"/>
        </w:rPr>
        <w:t xml:space="preserve">The PBAC acknowledged the work undertaken by the ATAGI to define the </w:t>
      </w:r>
      <w:r w:rsidR="0006067E" w:rsidRPr="009F57D8">
        <w:rPr>
          <w:lang w:eastAsia="en-US"/>
        </w:rPr>
        <w:t xml:space="preserve">optimum schedule for pneumococcal vaccination for Australian adults which was completed in July 2025.  The PBAC noted ATAGI’s advice regarding the desire to simplify the pneumococcal schedule </w:t>
      </w:r>
      <w:r w:rsidR="0006067E" w:rsidRPr="009F57D8">
        <w:rPr>
          <w:snapToGrid w:val="0"/>
        </w:rPr>
        <w:t xml:space="preserve">by having a single vaccine for the adult population, rather than a PCV and 23vPPV. </w:t>
      </w:r>
      <w:r w:rsidR="00930EF3" w:rsidRPr="009F57D8">
        <w:rPr>
          <w:snapToGrid w:val="0"/>
        </w:rPr>
        <w:t xml:space="preserve"> </w:t>
      </w:r>
      <w:r w:rsidRPr="009F57D8">
        <w:rPr>
          <w:snapToGrid w:val="0"/>
        </w:rPr>
        <w:t xml:space="preserve">The PBAC noted ATAGI’s advice that a 21vPCV program will provide the greatest impact on pneumococcal disease compared to other currently available pneumococcal vaccines. This advice was based on 21vPCV providing the broadest serotype coverage, particularly in the context of the existing 20vPCV program for children (implemented on 1 Sep 2025).  </w:t>
      </w:r>
    </w:p>
    <w:p w14:paraId="16E11477" w14:textId="220D90B3" w:rsidR="008609E3" w:rsidRPr="009F57D8" w:rsidRDefault="008609E3" w:rsidP="008609E3">
      <w:pPr>
        <w:pStyle w:val="3-BodyText"/>
        <w:rPr>
          <w:snapToGrid w:val="0"/>
        </w:rPr>
      </w:pPr>
      <w:r w:rsidRPr="009F57D8">
        <w:rPr>
          <w:snapToGrid w:val="0"/>
        </w:rPr>
        <w:t xml:space="preserve">With regard to the requested listing, the ATAGI advised that lowering the age threshold for non-Indigenous adults from 70 to 65 years would enable alignment with other NIP-funded vaccination programs such as influenza and herpes zoster. This would be programmatically simpler for providers as implementation would align with the well-established schedule point of 65 years of age. A simpler program </w:t>
      </w:r>
      <w:r w:rsidR="00B44BE1" w:rsidRPr="009F57D8">
        <w:rPr>
          <w:snapToGrid w:val="0"/>
        </w:rPr>
        <w:t>is expected to</w:t>
      </w:r>
      <w:r w:rsidRPr="009F57D8">
        <w:rPr>
          <w:snapToGrid w:val="0"/>
        </w:rPr>
        <w:t xml:space="preserve"> improve provider compliance and vaccine coverage. The PBAC advised that the proposed change to the age of vaccination of the non-Indigenous population from 70 years to 65 years was appropriate, noting that the submission provided sensitivity analyses to assess the impact of this change on the cost-effectiveness evaluation and financial estimates</w:t>
      </w:r>
      <w:r w:rsidR="009D4457" w:rsidRPr="009F57D8">
        <w:rPr>
          <w:snapToGrid w:val="0"/>
        </w:rPr>
        <w:t xml:space="preserve"> which allowed the impact of this change to be assessed</w:t>
      </w:r>
      <w:r w:rsidRPr="009F57D8">
        <w:rPr>
          <w:snapToGrid w:val="0"/>
        </w:rPr>
        <w:t xml:space="preserve">.  </w:t>
      </w:r>
    </w:p>
    <w:p w14:paraId="71794479" w14:textId="5B40F0F4" w:rsidR="009D4457" w:rsidRPr="009F57D8" w:rsidRDefault="008609E3">
      <w:pPr>
        <w:pStyle w:val="3-BodyText"/>
        <w:rPr>
          <w:snapToGrid w:val="0"/>
        </w:rPr>
      </w:pPr>
      <w:bookmarkStart w:id="138" w:name="_Ref214956638"/>
      <w:r w:rsidRPr="009F57D8">
        <w:rPr>
          <w:snapToGrid w:val="0"/>
        </w:rPr>
        <w:t xml:space="preserve">The PBAC recommended that the MaR population should be expanded to include CLD and COPD populations as proposed by the submission, noting this was supported by ATAGI, and that the submission had provided sensitivity analyses to assess the impact of this change on the cost-effectiveness evaluation and financial estimates.  However, </w:t>
      </w:r>
      <w:r w:rsidR="009D4457" w:rsidRPr="009F57D8">
        <w:rPr>
          <w:snapToGrid w:val="0"/>
        </w:rPr>
        <w:t xml:space="preserve">there was limited evidence presented in the submission to support the analyses, and the PBAC therefore considered the results uncertain.  The PBAC acknowledged that adults </w:t>
      </w:r>
      <w:r w:rsidR="00B949E9" w:rsidRPr="009F57D8">
        <w:rPr>
          <w:snapToGrid w:val="0"/>
        </w:rPr>
        <w:t xml:space="preserve">18 years and above, </w:t>
      </w:r>
      <w:r w:rsidR="009D4457" w:rsidRPr="009F57D8">
        <w:rPr>
          <w:snapToGrid w:val="0"/>
        </w:rPr>
        <w:t xml:space="preserve">with these conditions are at increased risk of pneumococcal disease and are recommended by ATAGI to receive </w:t>
      </w:r>
      <w:r w:rsidR="00B949E9" w:rsidRPr="009F57D8">
        <w:rPr>
          <w:snapToGrid w:val="0"/>
        </w:rPr>
        <w:t xml:space="preserve">a PCV followed by </w:t>
      </w:r>
      <w:r w:rsidR="009D4457" w:rsidRPr="009F57D8">
        <w:rPr>
          <w:snapToGrid w:val="0"/>
        </w:rPr>
        <w:t>23vPPV boosters</w:t>
      </w:r>
      <w:r w:rsidR="00B949E9" w:rsidRPr="009F57D8">
        <w:rPr>
          <w:snapToGrid w:val="0"/>
        </w:rPr>
        <w:t xml:space="preserve">.  It was noted that </w:t>
      </w:r>
      <w:r w:rsidR="00A2302A" w:rsidRPr="009F57D8">
        <w:rPr>
          <w:snapToGrid w:val="0"/>
        </w:rPr>
        <w:t xml:space="preserve">current funding arrangements vary by age, which would impact the vaccine replaced by 21vPCV for CLD and COPD patients, i.e. </w:t>
      </w:r>
      <w:r w:rsidR="00B949E9" w:rsidRPr="009F57D8">
        <w:rPr>
          <w:snapToGrid w:val="0"/>
        </w:rPr>
        <w:t xml:space="preserve">13vPCV is NIP-funded for non-indigenous adults 70 years or above, however 23vPPV is not </w:t>
      </w:r>
      <w:r w:rsidR="009D4457" w:rsidRPr="009F57D8">
        <w:rPr>
          <w:snapToGrid w:val="0"/>
        </w:rPr>
        <w:t>NIP-funded for this group</w:t>
      </w:r>
      <w:r w:rsidR="0045567F" w:rsidRPr="009F57D8">
        <w:rPr>
          <w:snapToGrid w:val="0"/>
        </w:rPr>
        <w:t>; f</w:t>
      </w:r>
      <w:r w:rsidR="0097522F" w:rsidRPr="009F57D8">
        <w:rPr>
          <w:snapToGrid w:val="0"/>
        </w:rPr>
        <w:t>or younger patients, no vaccines are currently NIP</w:t>
      </w:r>
      <w:r w:rsidR="0097522F" w:rsidRPr="009F57D8">
        <w:rPr>
          <w:snapToGrid w:val="0"/>
        </w:rPr>
        <w:noBreakHyphen/>
        <w:t>funded if aged younger than 70 years (non-indigenous adults) or younger than 50 years (Aboriginal and Torres Strait Islander adults).</w:t>
      </w:r>
      <w:bookmarkEnd w:id="138"/>
    </w:p>
    <w:p w14:paraId="3FFD270F" w14:textId="3B4749C3" w:rsidR="00180B2F" w:rsidRPr="009F57D8" w:rsidRDefault="00180B2F">
      <w:pPr>
        <w:widowControl w:val="0"/>
        <w:numPr>
          <w:ilvl w:val="1"/>
          <w:numId w:val="1"/>
        </w:numPr>
        <w:spacing w:after="120"/>
        <w:rPr>
          <w:rFonts w:asciiTheme="minorHAnsi" w:hAnsiTheme="minorHAnsi"/>
          <w:snapToGrid w:val="0"/>
        </w:rPr>
      </w:pPr>
      <w:r w:rsidRPr="009F57D8">
        <w:t xml:space="preserve">The PBAC considered that the appropriate age threshold for Aboriginal and Torres Strait Islander adults was 25 years, </w:t>
      </w:r>
      <w:r w:rsidRPr="009F57D8">
        <w:rPr>
          <w:iCs/>
        </w:rPr>
        <w:t xml:space="preserve">in recognition of the disproportionately high </w:t>
      </w:r>
      <w:r w:rsidRPr="009F57D8">
        <w:rPr>
          <w:iCs/>
        </w:rPr>
        <w:lastRenderedPageBreak/>
        <w:t xml:space="preserve">burden of </w:t>
      </w:r>
      <w:r w:rsidR="00DE11CB" w:rsidRPr="009F57D8">
        <w:rPr>
          <w:iCs/>
        </w:rPr>
        <w:t>pn</w:t>
      </w:r>
      <w:r w:rsidR="005C56C1" w:rsidRPr="009F57D8">
        <w:rPr>
          <w:iCs/>
        </w:rPr>
        <w:t>eumococcal disease</w:t>
      </w:r>
      <w:r w:rsidRPr="009F57D8">
        <w:rPr>
          <w:iCs/>
        </w:rPr>
        <w:t xml:space="preserve"> in </w:t>
      </w:r>
      <w:r w:rsidR="00257417" w:rsidRPr="009F57D8">
        <w:rPr>
          <w:iCs/>
        </w:rPr>
        <w:t>this</w:t>
      </w:r>
      <w:r w:rsidRPr="009F57D8">
        <w:rPr>
          <w:iCs/>
        </w:rPr>
        <w:t xml:space="preserve"> population</w:t>
      </w:r>
      <w:r w:rsidR="00257417" w:rsidRPr="009F57D8">
        <w:rPr>
          <w:iCs/>
        </w:rPr>
        <w:t>.  The PBAC</w:t>
      </w:r>
      <w:r w:rsidRPr="009F57D8">
        <w:t xml:space="preserve"> noted this </w:t>
      </w:r>
      <w:r w:rsidR="00257417" w:rsidRPr="009F57D8">
        <w:t xml:space="preserve">expansion to include younger adults, in comparison with the current threshold of 50 years for Aboriginal and Torres Strait Islander adults, </w:t>
      </w:r>
      <w:r w:rsidRPr="009F57D8">
        <w:t>was supported by ATAGI.</w:t>
      </w:r>
      <w:r w:rsidR="00257417" w:rsidRPr="009F57D8">
        <w:t xml:space="preserve">  The PBAC recalled that it had previously recommended 20vPCV for this group in November 2022 (see paragraph </w:t>
      </w:r>
      <w:r w:rsidR="00257417" w:rsidRPr="009F57D8">
        <w:fldChar w:fldCharType="begin"/>
      </w:r>
      <w:r w:rsidR="00257417" w:rsidRPr="009F57D8">
        <w:instrText xml:space="preserve"> REF _Ref214572408 \r \h </w:instrText>
      </w:r>
      <w:r w:rsidR="00257417" w:rsidRPr="009F57D8">
        <w:fldChar w:fldCharType="separate"/>
      </w:r>
      <w:r w:rsidR="00581386">
        <w:t>2.4</w:t>
      </w:r>
      <w:r w:rsidR="00257417" w:rsidRPr="009F57D8">
        <w:fldChar w:fldCharType="end"/>
      </w:r>
      <w:r w:rsidR="00257417" w:rsidRPr="009F57D8">
        <w:t>).</w:t>
      </w:r>
    </w:p>
    <w:p w14:paraId="6A8B1B1A" w14:textId="49AD5486" w:rsidR="008609E3" w:rsidRPr="009F57D8" w:rsidRDefault="008609E3">
      <w:pPr>
        <w:pStyle w:val="3-BodyText"/>
        <w:rPr>
          <w:rFonts w:eastAsia="Times New Roman" w:cs="Arial"/>
          <w:snapToGrid w:val="0"/>
          <w:szCs w:val="24"/>
        </w:rPr>
      </w:pPr>
      <w:bookmarkStart w:id="139" w:name="_Ref204013760"/>
      <w:r w:rsidRPr="009F57D8">
        <w:t xml:space="preserve">The PBAC noted the clinical claims presented in the submission were based on serotype specific opsonophagocytic activity (OPA) from immunogenicity trials and extrapolation to clinical effectiveness (immunobridging). </w:t>
      </w:r>
      <w:r w:rsidRPr="009F57D8">
        <w:rPr>
          <w:rFonts w:eastAsia="Times New Roman" w:cs="Arial"/>
          <w:snapToGrid w:val="0"/>
          <w:szCs w:val="24"/>
        </w:rPr>
        <w:t>However, there was little overlap between the serotypes in 21vPCV and 13vPCV (4 shared serotypes out of 21 serotypes covered by 21vPCV), resulting in uncertainty regarding the clinical protection for the 17 unmatched serotypes. The PBAC considered the submission’s claim that VE results from the CAPiTA trial which assessed 13vPCV compared with no vaccine (VE of 75% for IPD and 45% for pneumococcal CAP) are applicable to 21vPCV is highly uncertain given the limited overlap in serotype coverage.</w:t>
      </w:r>
    </w:p>
    <w:p w14:paraId="46B96989" w14:textId="598D3AFA" w:rsidR="008609E3" w:rsidRPr="009F57D8" w:rsidRDefault="008609E3" w:rsidP="008609E3">
      <w:pPr>
        <w:pStyle w:val="3-BodyText"/>
        <w:rPr>
          <w:rFonts w:eastAsia="Times New Roman" w:cs="Arial"/>
          <w:snapToGrid w:val="0"/>
          <w:szCs w:val="24"/>
        </w:rPr>
      </w:pPr>
      <w:bookmarkStart w:id="140" w:name="_Ref214626967"/>
      <w:r w:rsidRPr="009F57D8">
        <w:rPr>
          <w:rFonts w:eastAsia="Times New Roman" w:cs="Arial"/>
          <w:snapToGrid w:val="0"/>
          <w:szCs w:val="24"/>
        </w:rPr>
        <w:t xml:space="preserve">The PBAC noted that the submission presented an </w:t>
      </w:r>
      <w:r w:rsidR="00CF3B74" w:rsidRPr="009F57D8">
        <w:rPr>
          <w:rFonts w:eastAsia="Times New Roman" w:cs="Arial"/>
          <w:snapToGrid w:val="0"/>
          <w:szCs w:val="24"/>
        </w:rPr>
        <w:t>indirect treatment comparison (</w:t>
      </w:r>
      <w:r w:rsidRPr="009F57D8">
        <w:rPr>
          <w:rFonts w:eastAsia="Times New Roman" w:cs="Arial"/>
          <w:snapToGrid w:val="0"/>
          <w:szCs w:val="24"/>
        </w:rPr>
        <w:t>ITC</w:t>
      </w:r>
      <w:r w:rsidR="00CF3B74" w:rsidRPr="009F57D8">
        <w:rPr>
          <w:rFonts w:eastAsia="Times New Roman" w:cs="Arial"/>
          <w:snapToGrid w:val="0"/>
          <w:szCs w:val="24"/>
        </w:rPr>
        <w:t>)</w:t>
      </w:r>
      <w:r w:rsidRPr="009F57D8">
        <w:rPr>
          <w:rFonts w:eastAsia="Times New Roman" w:cs="Arial"/>
          <w:snapToGrid w:val="0"/>
          <w:szCs w:val="24"/>
        </w:rPr>
        <w:t xml:space="preserve"> of serotype-specific opsonophagocytic geometric mean ratios between </w:t>
      </w:r>
      <w:r w:rsidR="00A04C54" w:rsidRPr="009F57D8">
        <w:rPr>
          <w:rFonts w:eastAsia="Times New Roman" w:cs="Arial"/>
          <w:snapToGrid w:val="0"/>
          <w:szCs w:val="24"/>
        </w:rPr>
        <w:t>21vPCV</w:t>
      </w:r>
      <w:r w:rsidRPr="009F57D8">
        <w:rPr>
          <w:rFonts w:eastAsia="Times New Roman" w:cs="Arial"/>
          <w:snapToGrid w:val="0"/>
          <w:szCs w:val="24"/>
        </w:rPr>
        <w:t xml:space="preserve"> and 13vPCV, using 20vPCV as a common comparator, in non-Indigenous adults ≥ 70 years of age. Unaddressed confounders in the ITC rendered the results uncertain (in both magnitude and significance). The results from the ITC did not support non-inferiority for 2 (6A and 19A favoured 13vPCV) of the 4 serotypes, while for serotype 7F the 95% CI spanned one, indicating no significant difference. The result for the fourth shared serotype (3) favoured </w:t>
      </w:r>
      <w:r w:rsidR="00A04C54" w:rsidRPr="009F57D8">
        <w:rPr>
          <w:rFonts w:eastAsia="Times New Roman" w:cs="Arial"/>
          <w:snapToGrid w:val="0"/>
          <w:szCs w:val="24"/>
        </w:rPr>
        <w:t>21vPCV.</w:t>
      </w:r>
      <w:bookmarkEnd w:id="140"/>
      <w:r w:rsidRPr="009F57D8">
        <w:rPr>
          <w:rFonts w:eastAsia="Times New Roman" w:cs="Arial"/>
          <w:snapToGrid w:val="0"/>
          <w:szCs w:val="24"/>
        </w:rPr>
        <w:t xml:space="preserve"> </w:t>
      </w:r>
    </w:p>
    <w:p w14:paraId="79E77C12" w14:textId="156C6314" w:rsidR="00C817CF" w:rsidRPr="009F57D8" w:rsidRDefault="00C817CF">
      <w:pPr>
        <w:pStyle w:val="3-BodyText"/>
      </w:pPr>
      <w:r w:rsidRPr="009F57D8">
        <w:t xml:space="preserve">In terms of comparative effectiveness, the PBAC considered there was significant uncertainty regarding prevalence of disease serotypes over time, the impact of herd immunity afforded by paediatric vaccines, and the relative vaccine efficacy. The PBAC noted that 21vPCV has higher serotype coverage compared with 13vPCV and 20vPCV based on current data, however the magnitude of the translation from immunogenicity outcomes to clinical effectiveness was uncertain.  </w:t>
      </w:r>
      <w:r w:rsidRPr="009F57D8">
        <w:rPr>
          <w:snapToGrid w:val="0"/>
        </w:rPr>
        <w:t xml:space="preserve">Overall, </w:t>
      </w:r>
      <w:r w:rsidRPr="009F57D8">
        <w:t xml:space="preserve">the PBAC considered it was reasonable to accept that 21vPCV will provide a significant improvement in efficacy if implemented on the NIP as proposed.  The PBAC agreed with the ESC that the </w:t>
      </w:r>
      <w:r w:rsidR="006D0F77" w:rsidRPr="009F57D8">
        <w:t xml:space="preserve">abovementioned </w:t>
      </w:r>
      <w:r w:rsidRPr="009F57D8">
        <w:t>uncertainties relating to serotype coverage and immunobridging evidence, could be managed with a conservative approach in the economic model</w:t>
      </w:r>
      <w:r w:rsidR="00930EF3" w:rsidRPr="009F57D8">
        <w:t>.</w:t>
      </w:r>
    </w:p>
    <w:p w14:paraId="0F01A16D" w14:textId="15EA73B7" w:rsidR="00F409E2" w:rsidRPr="009F57D8" w:rsidRDefault="00F409E2">
      <w:pPr>
        <w:pStyle w:val="3-BodyText"/>
      </w:pPr>
      <w:r w:rsidRPr="009F57D8">
        <w:t xml:space="preserve">In terms of comparative safety, the submission described </w:t>
      </w:r>
      <w:r w:rsidRPr="009F57D8">
        <w:rPr>
          <w:rFonts w:eastAsiaTheme="minorEastAsia"/>
        </w:rPr>
        <w:t>21vPCV</w:t>
      </w:r>
      <w:r w:rsidRPr="009F57D8">
        <w:t xml:space="preserve"> as non-inferior to 13vPCV, 15vPCV, 20vPCV and 23vPPV.  The PBAC considered this was reasonable. </w:t>
      </w:r>
    </w:p>
    <w:p w14:paraId="1231AE84" w14:textId="07BDEC29" w:rsidR="00B949E9" w:rsidRPr="009F57D8" w:rsidRDefault="00925DAD" w:rsidP="00B949E9">
      <w:pPr>
        <w:pStyle w:val="3-BodyText"/>
        <w:rPr>
          <w:rFonts w:eastAsia="Times New Roman" w:cs="Arial"/>
          <w:snapToGrid w:val="0"/>
          <w:szCs w:val="24"/>
        </w:rPr>
      </w:pPr>
      <w:r w:rsidRPr="009F57D8">
        <w:rPr>
          <w:rFonts w:eastAsia="Times New Roman" w:cs="Arial"/>
          <w:snapToGrid w:val="0"/>
          <w:szCs w:val="24"/>
        </w:rPr>
        <w:t xml:space="preserve">With regard the economic evaluation, the </w:t>
      </w:r>
      <w:r w:rsidR="00A81EE7" w:rsidRPr="009F57D8">
        <w:rPr>
          <w:rFonts w:eastAsia="Times New Roman" w:cs="Arial"/>
          <w:snapToGrid w:val="0"/>
          <w:szCs w:val="24"/>
        </w:rPr>
        <w:t>effectiveness</w:t>
      </w:r>
      <w:r w:rsidRPr="009F57D8">
        <w:rPr>
          <w:rFonts w:eastAsia="Times New Roman" w:cs="Arial"/>
          <w:snapToGrid w:val="0"/>
          <w:szCs w:val="24"/>
        </w:rPr>
        <w:t xml:space="preserve"> of </w:t>
      </w:r>
      <w:r w:rsidR="007A7E7D" w:rsidRPr="009F57D8">
        <w:rPr>
          <w:rFonts w:eastAsia="Times New Roman" w:cs="Arial"/>
          <w:snapToGrid w:val="0"/>
          <w:szCs w:val="24"/>
        </w:rPr>
        <w:t>21vPCV</w:t>
      </w:r>
      <w:r w:rsidRPr="009F57D8">
        <w:rPr>
          <w:rFonts w:eastAsia="Times New Roman" w:cs="Arial"/>
          <w:snapToGrid w:val="0"/>
          <w:szCs w:val="24"/>
        </w:rPr>
        <w:t xml:space="preserve"> applied in the CUA was based on the assumed serotype distribution of IPD and CAP cases, the serotype coverage of the vaccine and the </w:t>
      </w:r>
      <w:r w:rsidR="00C54800" w:rsidRPr="009F57D8">
        <w:rPr>
          <w:rFonts w:eastAsia="Times New Roman" w:cs="Arial"/>
          <w:snapToGrid w:val="0"/>
          <w:szCs w:val="24"/>
        </w:rPr>
        <w:t xml:space="preserve">vaccine </w:t>
      </w:r>
      <w:r w:rsidRPr="009F57D8">
        <w:rPr>
          <w:rFonts w:eastAsia="Times New Roman" w:cs="Arial"/>
          <w:snapToGrid w:val="0"/>
          <w:szCs w:val="24"/>
        </w:rPr>
        <w:t>efficacy</w:t>
      </w:r>
      <w:r w:rsidR="00B557DA" w:rsidRPr="009F57D8">
        <w:rPr>
          <w:rFonts w:eastAsia="Times New Roman" w:cs="Arial"/>
          <w:snapToGrid w:val="0"/>
          <w:szCs w:val="24"/>
        </w:rPr>
        <w:t>. The efficacy of 21vPCV</w:t>
      </w:r>
      <w:r w:rsidRPr="009F57D8">
        <w:rPr>
          <w:rFonts w:eastAsia="Times New Roman" w:cs="Arial"/>
          <w:snapToGrid w:val="0"/>
          <w:szCs w:val="24"/>
        </w:rPr>
        <w:t xml:space="preserve"> </w:t>
      </w:r>
      <w:r w:rsidR="00B557DA" w:rsidRPr="009F57D8">
        <w:rPr>
          <w:rFonts w:eastAsia="Times New Roman" w:cs="Arial"/>
          <w:snapToGrid w:val="0"/>
          <w:szCs w:val="24"/>
        </w:rPr>
        <w:t>in</w:t>
      </w:r>
      <w:r w:rsidRPr="009F57D8">
        <w:rPr>
          <w:rFonts w:eastAsia="Times New Roman" w:cs="Arial"/>
          <w:snapToGrid w:val="0"/>
          <w:szCs w:val="24"/>
        </w:rPr>
        <w:t xml:space="preserve"> preventing IPD and CAP cases</w:t>
      </w:r>
      <w:r w:rsidR="00B557DA" w:rsidRPr="009F57D8">
        <w:rPr>
          <w:rFonts w:eastAsia="Times New Roman" w:cs="Arial"/>
          <w:snapToGrid w:val="0"/>
          <w:szCs w:val="24"/>
        </w:rPr>
        <w:t xml:space="preserve"> was assumed to be the same</w:t>
      </w:r>
      <w:r w:rsidRPr="009F57D8">
        <w:rPr>
          <w:rFonts w:eastAsia="Times New Roman" w:cs="Arial"/>
          <w:snapToGrid w:val="0"/>
          <w:szCs w:val="24"/>
        </w:rPr>
        <w:t xml:space="preserve"> as reported </w:t>
      </w:r>
      <w:r w:rsidR="00F62539" w:rsidRPr="009F57D8">
        <w:rPr>
          <w:rFonts w:eastAsia="Times New Roman" w:cs="Arial"/>
          <w:snapToGrid w:val="0"/>
          <w:szCs w:val="24"/>
        </w:rPr>
        <w:t>for</w:t>
      </w:r>
      <w:r w:rsidRPr="009F57D8">
        <w:rPr>
          <w:rFonts w:eastAsia="Times New Roman" w:cs="Arial"/>
          <w:snapToGrid w:val="0"/>
          <w:szCs w:val="24"/>
        </w:rPr>
        <w:t xml:space="preserve"> 13vPCV </w:t>
      </w:r>
      <w:r w:rsidR="00F62539" w:rsidRPr="009F57D8">
        <w:rPr>
          <w:rFonts w:eastAsia="Times New Roman" w:cs="Arial"/>
          <w:snapToGrid w:val="0"/>
          <w:szCs w:val="24"/>
        </w:rPr>
        <w:t xml:space="preserve">in the </w:t>
      </w:r>
      <w:r w:rsidRPr="009F57D8">
        <w:rPr>
          <w:rFonts w:eastAsia="Times New Roman" w:cs="Arial"/>
          <w:snapToGrid w:val="0"/>
          <w:szCs w:val="24"/>
        </w:rPr>
        <w:t xml:space="preserve">CAPiTA </w:t>
      </w:r>
      <w:r w:rsidR="00F62539" w:rsidRPr="009F57D8">
        <w:rPr>
          <w:rFonts w:eastAsia="Times New Roman" w:cs="Arial"/>
          <w:snapToGrid w:val="0"/>
          <w:szCs w:val="24"/>
        </w:rPr>
        <w:t>randomised</w:t>
      </w:r>
      <w:r w:rsidR="0014765D" w:rsidRPr="009F57D8">
        <w:rPr>
          <w:rFonts w:eastAsia="Times New Roman" w:cs="Arial"/>
          <w:snapToGrid w:val="0"/>
          <w:szCs w:val="24"/>
        </w:rPr>
        <w:t xml:space="preserve">, clinical outcomes </w:t>
      </w:r>
      <w:r w:rsidRPr="009F57D8">
        <w:rPr>
          <w:rFonts w:eastAsia="Times New Roman" w:cs="Arial"/>
          <w:snapToGrid w:val="0"/>
          <w:szCs w:val="24"/>
        </w:rPr>
        <w:t xml:space="preserve">trial. The CAPiTA trial included individuals that were not fully representative of the broader population included in the CUA. This was particularly relevant when considering the MaR population, as the CUA modelled </w:t>
      </w:r>
      <w:r w:rsidRPr="009F57D8">
        <w:rPr>
          <w:rFonts w:eastAsia="Times New Roman" w:cs="Arial"/>
          <w:snapToGrid w:val="0"/>
          <w:szCs w:val="24"/>
        </w:rPr>
        <w:lastRenderedPageBreak/>
        <w:t>younger individuals who were immune compromised whereas CAPiTA included older adults with less serious underlying health issues and excluded individuals who were immune deficient.</w:t>
      </w:r>
      <w:r w:rsidR="00410546" w:rsidRPr="009F57D8">
        <w:rPr>
          <w:rFonts w:eastAsia="Times New Roman" w:cs="Arial"/>
          <w:snapToGrid w:val="0"/>
          <w:szCs w:val="24"/>
        </w:rPr>
        <w:t xml:space="preserve">  </w:t>
      </w:r>
      <w:r w:rsidR="00410546" w:rsidRPr="009F57D8">
        <w:t xml:space="preserve">The PBAC considered it would be appropriate to apply reduced VE for 21vPCV </w:t>
      </w:r>
      <w:r w:rsidR="00410546" w:rsidRPr="009F57D8">
        <w:rPr>
          <w:lang w:eastAsia="en-US"/>
        </w:rPr>
        <w:t xml:space="preserve">(45% relative reduction in VE for non-shared serotypes) </w:t>
      </w:r>
      <w:r w:rsidR="00410546" w:rsidRPr="009F57D8">
        <w:t xml:space="preserve">in the economic evaluation </w:t>
      </w:r>
      <w:r w:rsidR="00410546" w:rsidRPr="009F57D8">
        <w:rPr>
          <w:lang w:eastAsia="en-US"/>
        </w:rPr>
        <w:t>as there is no direct clinical efficacy data.</w:t>
      </w:r>
      <w:r w:rsidR="00B949E9" w:rsidRPr="009F57D8">
        <w:rPr>
          <w:lang w:eastAsia="en-US"/>
        </w:rPr>
        <w:t xml:space="preserve">  This corresponds to </w:t>
      </w:r>
      <w:r w:rsidR="00B949E9" w:rsidRPr="009F57D8">
        <w:t>VE of 41.3% for IPD (compared with 75% in the base case), and 24.8% for CAP (compared with 45% in the base case).</w:t>
      </w:r>
    </w:p>
    <w:p w14:paraId="173185CA" w14:textId="4E21278E" w:rsidR="00410546" w:rsidRPr="009F57D8" w:rsidRDefault="00A434F8" w:rsidP="00925DAD">
      <w:pPr>
        <w:pStyle w:val="3-BodyText"/>
        <w:rPr>
          <w:rFonts w:eastAsia="Times New Roman" w:cs="Arial"/>
          <w:snapToGrid w:val="0"/>
          <w:szCs w:val="24"/>
        </w:rPr>
      </w:pPr>
      <w:r w:rsidRPr="009F57D8">
        <w:rPr>
          <w:rFonts w:eastAsia="Times New Roman" w:cs="Arial"/>
          <w:snapToGrid w:val="0"/>
          <w:szCs w:val="24"/>
        </w:rPr>
        <w:t>The PBAC compared   the results of the MSA with and without the assumed reduction in VE for ST 6A and 19A that had been applied during the evaluation (</w:t>
      </w:r>
      <w:r w:rsidRPr="009F57D8">
        <w:rPr>
          <w:rFonts w:eastAsia="Times New Roman" w:cs="Arial"/>
          <w:snapToGrid w:val="0"/>
          <w:szCs w:val="24"/>
        </w:rPr>
        <w:fldChar w:fldCharType="begin"/>
      </w:r>
      <w:r w:rsidRPr="009F57D8">
        <w:rPr>
          <w:rFonts w:eastAsia="Times New Roman" w:cs="Arial"/>
          <w:snapToGrid w:val="0"/>
          <w:szCs w:val="24"/>
        </w:rPr>
        <w:instrText xml:space="preserve"> REF _Ref206770052 \h </w:instrText>
      </w:r>
      <w:r w:rsidRPr="009F57D8">
        <w:rPr>
          <w:rFonts w:eastAsia="Times New Roman" w:cs="Arial"/>
          <w:snapToGrid w:val="0"/>
          <w:szCs w:val="24"/>
        </w:rPr>
      </w:r>
      <w:r w:rsidRPr="009F57D8">
        <w:rPr>
          <w:rFonts w:eastAsia="Times New Roman" w:cs="Arial"/>
          <w:snapToGrid w:val="0"/>
          <w:szCs w:val="24"/>
        </w:rPr>
        <w:fldChar w:fldCharType="separate"/>
      </w:r>
      <w:r w:rsidR="00581386" w:rsidRPr="009F57D8">
        <w:t xml:space="preserve">Table </w:t>
      </w:r>
      <w:r w:rsidR="00581386">
        <w:rPr>
          <w:noProof/>
        </w:rPr>
        <w:t>14</w:t>
      </w:r>
      <w:r w:rsidRPr="009F57D8">
        <w:rPr>
          <w:rFonts w:eastAsia="Times New Roman" w:cs="Arial"/>
          <w:snapToGrid w:val="0"/>
          <w:szCs w:val="24"/>
        </w:rPr>
        <w:fldChar w:fldCharType="end"/>
      </w:r>
      <w:r w:rsidRPr="009F57D8">
        <w:rPr>
          <w:rFonts w:eastAsia="Times New Roman" w:cs="Arial"/>
          <w:snapToGrid w:val="0"/>
          <w:szCs w:val="24"/>
        </w:rPr>
        <w:t xml:space="preserve">).  The PBAC advised it was appropriate to apply the conservative assumption of 45% reduction on 6A and 19A, consistent with ATAGI’s concerns about incrementally lower immune responses (i.e., downward drift) when comparing between PCVs from 13vPCV to 20vPCV/15vPCV to 21vPCV for shared serotypes (see paragraph </w:t>
      </w:r>
      <w:r w:rsidRPr="009F57D8">
        <w:rPr>
          <w:rFonts w:eastAsia="Times New Roman" w:cs="Arial"/>
          <w:snapToGrid w:val="0"/>
          <w:szCs w:val="24"/>
        </w:rPr>
        <w:fldChar w:fldCharType="begin"/>
      </w:r>
      <w:r w:rsidRPr="009F57D8">
        <w:rPr>
          <w:rFonts w:eastAsia="Times New Roman" w:cs="Arial"/>
          <w:snapToGrid w:val="0"/>
          <w:szCs w:val="24"/>
        </w:rPr>
        <w:instrText xml:space="preserve"> REF _Ref214615863 \r \h </w:instrText>
      </w:r>
      <w:r w:rsidRPr="009F57D8">
        <w:rPr>
          <w:rFonts w:eastAsia="Times New Roman" w:cs="Arial"/>
          <w:snapToGrid w:val="0"/>
          <w:szCs w:val="24"/>
        </w:rPr>
      </w:r>
      <w:r w:rsidRPr="009F57D8">
        <w:rPr>
          <w:rFonts w:eastAsia="Times New Roman" w:cs="Arial"/>
          <w:snapToGrid w:val="0"/>
          <w:szCs w:val="24"/>
        </w:rPr>
        <w:fldChar w:fldCharType="separate"/>
      </w:r>
      <w:r w:rsidR="00581386">
        <w:rPr>
          <w:rFonts w:eastAsia="Times New Roman" w:cs="Arial"/>
          <w:snapToGrid w:val="0"/>
          <w:szCs w:val="24"/>
        </w:rPr>
        <w:t>6.34</w:t>
      </w:r>
      <w:r w:rsidRPr="009F57D8">
        <w:rPr>
          <w:rFonts w:eastAsia="Times New Roman" w:cs="Arial"/>
          <w:snapToGrid w:val="0"/>
          <w:szCs w:val="24"/>
        </w:rPr>
        <w:fldChar w:fldCharType="end"/>
      </w:r>
      <w:r w:rsidRPr="009F57D8">
        <w:rPr>
          <w:rFonts w:eastAsia="Times New Roman" w:cs="Arial"/>
          <w:snapToGrid w:val="0"/>
          <w:szCs w:val="24"/>
        </w:rPr>
        <w:t>).</w:t>
      </w:r>
      <w:r w:rsidR="00410546" w:rsidRPr="009F57D8">
        <w:rPr>
          <w:rFonts w:eastAsia="Times New Roman" w:cs="Arial"/>
          <w:snapToGrid w:val="0"/>
          <w:szCs w:val="24"/>
        </w:rPr>
        <w:t xml:space="preserve">  </w:t>
      </w:r>
    </w:p>
    <w:p w14:paraId="4F736BA8" w14:textId="66B68A96" w:rsidR="00925DAD" w:rsidRPr="009F57D8" w:rsidRDefault="00925DAD" w:rsidP="00925DAD">
      <w:pPr>
        <w:pStyle w:val="3-BodyText"/>
        <w:rPr>
          <w:rFonts w:eastAsia="Times New Roman" w:cs="Arial"/>
          <w:snapToGrid w:val="0"/>
          <w:szCs w:val="24"/>
        </w:rPr>
      </w:pPr>
      <w:r w:rsidRPr="009F57D8">
        <w:rPr>
          <w:rFonts w:eastAsia="Times New Roman" w:cs="Arial"/>
          <w:snapToGrid w:val="0"/>
          <w:szCs w:val="24"/>
        </w:rPr>
        <w:t xml:space="preserve">The CUA model fixed the serotype distributions causing IPD and CAP throughout the time horizon. This approach did not consider the potential for serotype replacement altering the prevalence of serotypes responsible for pneumococcal disease after the introduction of vaccines covering new serotypes. Sensitivity analyses </w:t>
      </w:r>
      <w:r w:rsidR="006D0F77" w:rsidRPr="009F57D8">
        <w:rPr>
          <w:rFonts w:eastAsia="Times New Roman" w:cs="Arial"/>
          <w:snapToGrid w:val="0"/>
          <w:szCs w:val="24"/>
        </w:rPr>
        <w:t>demonstrated that</w:t>
      </w:r>
      <w:r w:rsidRPr="009F57D8">
        <w:rPr>
          <w:rFonts w:eastAsia="Times New Roman" w:cs="Arial"/>
          <w:snapToGrid w:val="0"/>
          <w:szCs w:val="24"/>
        </w:rPr>
        <w:t xml:space="preserve"> the model was sensitive to assumptions in relation to serotype replacement, although limited data were available to inform these analyses.</w:t>
      </w:r>
      <w:r w:rsidR="001A1557" w:rsidRPr="009F57D8">
        <w:rPr>
          <w:rFonts w:eastAsia="Times New Roman"/>
        </w:rPr>
        <w:t xml:space="preserve">  The PBAC considered that a ten-year time horizon was appropriate, consistent with ESC’s advice that future serotype prevalence is uncertain.  </w:t>
      </w:r>
    </w:p>
    <w:bookmarkEnd w:id="139"/>
    <w:p w14:paraId="223227CA" w14:textId="16F2FA99" w:rsidR="006776C8" w:rsidRPr="009F57D8" w:rsidRDefault="00B949E9">
      <w:pPr>
        <w:pStyle w:val="3-BodyText"/>
        <w:rPr>
          <w:rFonts w:eastAsia="Times New Roman" w:cs="Arial"/>
          <w:snapToGrid w:val="0"/>
          <w:szCs w:val="24"/>
        </w:rPr>
      </w:pPr>
      <w:r w:rsidRPr="009F57D8">
        <w:rPr>
          <w:rFonts w:eastAsia="Times New Roman" w:cs="Arial"/>
          <w:snapToGrid w:val="0"/>
          <w:szCs w:val="24"/>
        </w:rPr>
        <w:t xml:space="preserve">Overall, the PBAC considered the submission’s estimates of clinical benefits uncertain due to a lack of evidence supporting the relationship between serotype coverage and clinical </w:t>
      </w:r>
      <w:r w:rsidR="00117B44" w:rsidRPr="009F57D8">
        <w:rPr>
          <w:rFonts w:eastAsia="Times New Roman" w:cs="Arial"/>
          <w:snapToGrid w:val="0"/>
          <w:szCs w:val="24"/>
        </w:rPr>
        <w:t>benefits and</w:t>
      </w:r>
      <w:r w:rsidRPr="009F57D8">
        <w:rPr>
          <w:rFonts w:eastAsia="Times New Roman" w:cs="Arial"/>
          <w:snapToGrid w:val="0"/>
          <w:szCs w:val="24"/>
        </w:rPr>
        <w:t xml:space="preserve"> overestimated due to the assumption that PD serotype prevalence will remain unchanged over time.  The PBAC considered that the submission overestimated the benefits of 21vPCV and advised that revisions to the assumed VE (</w:t>
      </w:r>
      <w:r w:rsidR="00117B44" w:rsidRPr="009F57D8">
        <w:rPr>
          <w:rFonts w:eastAsia="Times New Roman" w:cs="Arial"/>
          <w:snapToGrid w:val="0"/>
          <w:szCs w:val="24"/>
        </w:rPr>
        <w:t xml:space="preserve">relative </w:t>
      </w:r>
      <w:r w:rsidRPr="009F57D8">
        <w:rPr>
          <w:rFonts w:eastAsia="Times New Roman" w:cs="Arial"/>
          <w:snapToGrid w:val="0"/>
          <w:szCs w:val="24"/>
        </w:rPr>
        <w:t xml:space="preserve">reduction </w:t>
      </w:r>
      <w:r w:rsidR="00117B44" w:rsidRPr="009F57D8">
        <w:rPr>
          <w:rFonts w:eastAsia="Times New Roman" w:cs="Arial"/>
          <w:snapToGrid w:val="0"/>
          <w:szCs w:val="24"/>
        </w:rPr>
        <w:t>of</w:t>
      </w:r>
      <w:r w:rsidRPr="009F57D8">
        <w:rPr>
          <w:rFonts w:eastAsia="Times New Roman" w:cs="Arial"/>
          <w:snapToGrid w:val="0"/>
          <w:szCs w:val="24"/>
        </w:rPr>
        <w:t xml:space="preserve"> 45%</w:t>
      </w:r>
      <w:r w:rsidR="00117B44" w:rsidRPr="009F57D8">
        <w:rPr>
          <w:rFonts w:eastAsia="Times New Roman" w:cs="Arial"/>
          <w:snapToGrid w:val="0"/>
          <w:szCs w:val="24"/>
        </w:rPr>
        <w:t xml:space="preserve"> for </w:t>
      </w:r>
      <w:r w:rsidR="00117B44" w:rsidRPr="009F57D8">
        <w:t xml:space="preserve">non-13vPCV serotypes in 21vPCV; and for </w:t>
      </w:r>
      <w:r w:rsidR="00117B44" w:rsidRPr="009F57D8">
        <w:rPr>
          <w:lang w:eastAsia="en-US"/>
        </w:rPr>
        <w:t>shared serotypes 6A and 19A</w:t>
      </w:r>
      <w:r w:rsidRPr="009F57D8">
        <w:rPr>
          <w:rFonts w:eastAsia="Times New Roman" w:cs="Arial"/>
          <w:snapToGrid w:val="0"/>
          <w:szCs w:val="24"/>
        </w:rPr>
        <w:t xml:space="preserve">) and time horizon (reduction to 10 years) would be appropriate to inform the PBAC’s consideration of the cost-effectiveness of 21vPCV.  </w:t>
      </w:r>
      <w:r w:rsidR="00925DAD" w:rsidRPr="009F57D8">
        <w:rPr>
          <w:rFonts w:eastAsia="Times New Roman" w:cs="Arial"/>
          <w:snapToGrid w:val="0"/>
          <w:szCs w:val="24"/>
        </w:rPr>
        <w:t xml:space="preserve">The PBAC gave advice in relation </w:t>
      </w:r>
      <w:r w:rsidR="00445C80" w:rsidRPr="009F57D8">
        <w:rPr>
          <w:rFonts w:eastAsia="Times New Roman" w:cs="Arial"/>
          <w:snapToGrid w:val="0"/>
          <w:szCs w:val="24"/>
        </w:rPr>
        <w:t xml:space="preserve">to the </w:t>
      </w:r>
      <w:r w:rsidR="00925DAD" w:rsidRPr="009F57D8">
        <w:rPr>
          <w:rFonts w:eastAsia="Times New Roman" w:cs="Arial"/>
          <w:snapToGrid w:val="0"/>
          <w:szCs w:val="24"/>
        </w:rPr>
        <w:t>cost-effectiveness of 21vPCV for each proposed population</w:t>
      </w:r>
      <w:r w:rsidR="00445C80" w:rsidRPr="009F57D8">
        <w:rPr>
          <w:rFonts w:eastAsia="Times New Roman" w:cs="Arial"/>
          <w:snapToGrid w:val="0"/>
          <w:szCs w:val="24"/>
        </w:rPr>
        <w:t xml:space="preserve"> </w:t>
      </w:r>
      <w:r w:rsidR="00925DAD" w:rsidRPr="009F57D8">
        <w:rPr>
          <w:rFonts w:eastAsia="Times New Roman" w:cs="Arial"/>
          <w:snapToGrid w:val="0"/>
          <w:szCs w:val="24"/>
        </w:rPr>
        <w:t>as described in the following paragraphs.</w:t>
      </w:r>
    </w:p>
    <w:p w14:paraId="0AA0C5D2" w14:textId="097AA735" w:rsidR="00925DAD" w:rsidRPr="009F57D8" w:rsidRDefault="00925DAD" w:rsidP="00925DAD">
      <w:pPr>
        <w:spacing w:before="60" w:after="60"/>
        <w:rPr>
          <w:b/>
          <w:bCs/>
        </w:rPr>
      </w:pPr>
      <w:r w:rsidRPr="009F57D8">
        <w:rPr>
          <w:b/>
          <w:bCs/>
        </w:rPr>
        <w:t>Non-Indigenous adults aged 65 years and above</w:t>
      </w:r>
    </w:p>
    <w:p w14:paraId="4D745BBB" w14:textId="22585806" w:rsidR="00925DAD" w:rsidRPr="009F57D8" w:rsidRDefault="00823BA7" w:rsidP="0026004B">
      <w:pPr>
        <w:pStyle w:val="3-BodyText"/>
        <w:rPr>
          <w:rFonts w:eastAsia="Times New Roman" w:cs="Arial"/>
          <w:snapToGrid w:val="0"/>
          <w:szCs w:val="24"/>
        </w:rPr>
      </w:pPr>
      <w:r w:rsidRPr="009F57D8">
        <w:rPr>
          <w:snapToGrid w:val="0"/>
        </w:rPr>
        <w:t xml:space="preserve">The PBAC considered the appropriate comparator for this group was 13vPCV. </w:t>
      </w:r>
      <w:r w:rsidR="009D4457" w:rsidRPr="009F57D8">
        <w:rPr>
          <w:snapToGrid w:val="0"/>
        </w:rPr>
        <w:t>The PBAC noted that the economic evaluation corresponding to PBAC advice for non</w:t>
      </w:r>
      <w:r w:rsidR="00E26E9D" w:rsidRPr="009F57D8">
        <w:rPr>
          <w:snapToGrid w:val="0"/>
        </w:rPr>
        <w:noBreakHyphen/>
      </w:r>
      <w:r w:rsidR="009D4457" w:rsidRPr="009F57D8">
        <w:rPr>
          <w:snapToGrid w:val="0"/>
        </w:rPr>
        <w:t xml:space="preserve">indigenous adults aged 65 years or older is identified as PBAC Scenario 1 in </w:t>
      </w:r>
      <w:r w:rsidR="009D4457" w:rsidRPr="009F57D8">
        <w:rPr>
          <w:snapToGrid w:val="0"/>
        </w:rPr>
        <w:fldChar w:fldCharType="begin"/>
      </w:r>
      <w:r w:rsidR="009D4457" w:rsidRPr="009F57D8">
        <w:rPr>
          <w:snapToGrid w:val="0"/>
        </w:rPr>
        <w:instrText xml:space="preserve"> REF _Ref206770052 \h </w:instrText>
      </w:r>
      <w:r w:rsidR="003276F9" w:rsidRPr="009F57D8">
        <w:rPr>
          <w:snapToGrid w:val="0"/>
        </w:rPr>
        <w:instrText xml:space="preserve"> \* MERGEFORMAT </w:instrText>
      </w:r>
      <w:r w:rsidR="009D4457" w:rsidRPr="009F57D8">
        <w:rPr>
          <w:snapToGrid w:val="0"/>
        </w:rPr>
      </w:r>
      <w:r w:rsidR="009D4457" w:rsidRPr="009F57D8">
        <w:rPr>
          <w:snapToGrid w:val="0"/>
        </w:rPr>
        <w:fldChar w:fldCharType="separate"/>
      </w:r>
      <w:r w:rsidR="00581386" w:rsidRPr="009F57D8">
        <w:t xml:space="preserve">Table </w:t>
      </w:r>
      <w:r w:rsidR="00581386">
        <w:t>14</w:t>
      </w:r>
      <w:r w:rsidR="009D4457" w:rsidRPr="009F57D8">
        <w:rPr>
          <w:snapToGrid w:val="0"/>
        </w:rPr>
        <w:fldChar w:fldCharType="end"/>
      </w:r>
      <w:r w:rsidR="009D4457" w:rsidRPr="009F57D8">
        <w:rPr>
          <w:snapToGrid w:val="0"/>
        </w:rPr>
        <w:t xml:space="preserve">.  </w:t>
      </w:r>
      <w:r w:rsidR="00FB33A0" w:rsidRPr="009F57D8">
        <w:rPr>
          <w:rFonts w:eastAsia="Times New Roman" w:cs="Arial"/>
          <w:snapToGrid w:val="0"/>
          <w:szCs w:val="24"/>
        </w:rPr>
        <w:t xml:space="preserve">An ICER no more than </w:t>
      </w:r>
      <w:r w:rsidR="003B6B04" w:rsidRPr="003B6B04">
        <w:rPr>
          <w:rFonts w:eastAsia="Times New Roman" w:cs="Arial"/>
          <w:snapToGrid w:val="0"/>
          <w:szCs w:val="24"/>
        </w:rPr>
        <w:t xml:space="preserve">$5,000 to &lt; $15,000 </w:t>
      </w:r>
      <w:r w:rsidR="00FB33A0" w:rsidRPr="009F57D8">
        <w:rPr>
          <w:rFonts w:eastAsia="Times New Roman" w:cs="Arial"/>
          <w:snapToGrid w:val="0"/>
          <w:szCs w:val="24"/>
        </w:rPr>
        <w:t>/QALY, would be required to demonstrate cost-effectiveness.</w:t>
      </w:r>
    </w:p>
    <w:p w14:paraId="32A645FE" w14:textId="57B66CFE" w:rsidR="00A96D0C" w:rsidRPr="009F57D8" w:rsidRDefault="00A96D0C" w:rsidP="00A96D0C">
      <w:pPr>
        <w:spacing w:before="60" w:after="60"/>
        <w:rPr>
          <w:b/>
          <w:bCs/>
        </w:rPr>
      </w:pPr>
      <w:r w:rsidRPr="009F57D8">
        <w:rPr>
          <w:b/>
          <w:bCs/>
        </w:rPr>
        <w:t>Adults with COPD and CLD aged ≥ 18 years</w:t>
      </w:r>
    </w:p>
    <w:p w14:paraId="2FD7FC63" w14:textId="34137B14" w:rsidR="00A96D0C" w:rsidRPr="009F57D8" w:rsidRDefault="00A96D0C">
      <w:pPr>
        <w:pStyle w:val="3-BodyText"/>
        <w:rPr>
          <w:rFonts w:eastAsia="Times New Roman" w:cs="Arial"/>
          <w:snapToGrid w:val="0"/>
          <w:szCs w:val="24"/>
        </w:rPr>
      </w:pPr>
      <w:bookmarkStart w:id="141" w:name="_Ref214895415"/>
      <w:r w:rsidRPr="009F57D8">
        <w:rPr>
          <w:snapToGrid w:val="0"/>
        </w:rPr>
        <w:t>The PBAC recommended that the MaR population should be expanded to include CLD and COPD</w:t>
      </w:r>
      <w:r w:rsidR="001A224A" w:rsidRPr="009F57D8">
        <w:rPr>
          <w:snapToGrid w:val="0"/>
        </w:rPr>
        <w:t xml:space="preserve"> as discussed in paragraph </w:t>
      </w:r>
      <w:r w:rsidR="001A224A" w:rsidRPr="009F57D8">
        <w:rPr>
          <w:snapToGrid w:val="0"/>
        </w:rPr>
        <w:fldChar w:fldCharType="begin"/>
      </w:r>
      <w:r w:rsidR="001A224A" w:rsidRPr="009F57D8">
        <w:rPr>
          <w:snapToGrid w:val="0"/>
        </w:rPr>
        <w:instrText xml:space="preserve"> REF _Ref214956638 \r \h </w:instrText>
      </w:r>
      <w:r w:rsidR="003276F9" w:rsidRPr="009F57D8">
        <w:rPr>
          <w:snapToGrid w:val="0"/>
        </w:rPr>
        <w:instrText xml:space="preserve"> \* MERGEFORMAT </w:instrText>
      </w:r>
      <w:r w:rsidR="001A224A" w:rsidRPr="009F57D8">
        <w:rPr>
          <w:snapToGrid w:val="0"/>
        </w:rPr>
      </w:r>
      <w:r w:rsidR="001A224A" w:rsidRPr="009F57D8">
        <w:rPr>
          <w:snapToGrid w:val="0"/>
        </w:rPr>
        <w:fldChar w:fldCharType="separate"/>
      </w:r>
      <w:r w:rsidR="00581386">
        <w:rPr>
          <w:snapToGrid w:val="0"/>
        </w:rPr>
        <w:t>7.7</w:t>
      </w:r>
      <w:r w:rsidR="001A224A" w:rsidRPr="009F57D8">
        <w:rPr>
          <w:snapToGrid w:val="0"/>
        </w:rPr>
        <w:fldChar w:fldCharType="end"/>
      </w:r>
      <w:r w:rsidR="001A224A" w:rsidRPr="009F57D8">
        <w:rPr>
          <w:snapToGrid w:val="0"/>
        </w:rPr>
        <w:t xml:space="preserve">.  </w:t>
      </w:r>
      <w:r w:rsidR="00967BA3" w:rsidRPr="009F57D8">
        <w:rPr>
          <w:snapToGrid w:val="0"/>
        </w:rPr>
        <w:t xml:space="preserve">The PBAC noted that the submission had provided scenario analyses for CLD and COPD, and that the submission’s analyses suggested that expansion to these indications would be cost-effective at the price </w:t>
      </w:r>
      <w:r w:rsidR="00967BA3" w:rsidRPr="009F57D8">
        <w:rPr>
          <w:snapToGrid w:val="0"/>
        </w:rPr>
        <w:lastRenderedPageBreak/>
        <w:t xml:space="preserve">proposed by the submission.  However, the PBAC </w:t>
      </w:r>
      <w:r w:rsidR="00A2302A" w:rsidRPr="009F57D8">
        <w:rPr>
          <w:snapToGrid w:val="0"/>
        </w:rPr>
        <w:t xml:space="preserve">agreed with the </w:t>
      </w:r>
      <w:r w:rsidR="00967BA3" w:rsidRPr="009F57D8">
        <w:rPr>
          <w:snapToGrid w:val="0"/>
        </w:rPr>
        <w:t xml:space="preserve">concerns raised by </w:t>
      </w:r>
      <w:r w:rsidR="001A224A" w:rsidRPr="009F57D8">
        <w:rPr>
          <w:snapToGrid w:val="0"/>
        </w:rPr>
        <w:t xml:space="preserve">the </w:t>
      </w:r>
      <w:r w:rsidR="00967BA3" w:rsidRPr="009F57D8">
        <w:rPr>
          <w:snapToGrid w:val="0"/>
        </w:rPr>
        <w:t xml:space="preserve">ESC regarding these analyses (paragraph </w:t>
      </w:r>
      <w:r w:rsidR="00A2302A" w:rsidRPr="009F57D8">
        <w:rPr>
          <w:snapToGrid w:val="0"/>
        </w:rPr>
        <w:fldChar w:fldCharType="begin"/>
      </w:r>
      <w:r w:rsidR="00A2302A" w:rsidRPr="009F57D8">
        <w:rPr>
          <w:snapToGrid w:val="0"/>
        </w:rPr>
        <w:instrText xml:space="preserve"> REF _Ref214956196 \r \h </w:instrText>
      </w:r>
      <w:r w:rsidR="00A2302A" w:rsidRPr="009F57D8">
        <w:rPr>
          <w:snapToGrid w:val="0"/>
        </w:rPr>
      </w:r>
      <w:r w:rsidR="00A2302A" w:rsidRPr="009F57D8">
        <w:rPr>
          <w:snapToGrid w:val="0"/>
        </w:rPr>
        <w:fldChar w:fldCharType="separate"/>
      </w:r>
      <w:r w:rsidR="00581386">
        <w:rPr>
          <w:snapToGrid w:val="0"/>
        </w:rPr>
        <w:t>6.68</w:t>
      </w:r>
      <w:r w:rsidR="00A2302A" w:rsidRPr="009F57D8">
        <w:rPr>
          <w:snapToGrid w:val="0"/>
        </w:rPr>
        <w:fldChar w:fldCharType="end"/>
      </w:r>
      <w:r w:rsidR="00967BA3" w:rsidRPr="009F57D8">
        <w:rPr>
          <w:snapToGrid w:val="0"/>
        </w:rPr>
        <w:t xml:space="preserve">).  The PBAC considered that the scenario analyses were uncertain and not reliable for decision-making.  </w:t>
      </w:r>
      <w:r w:rsidR="001A224A" w:rsidRPr="009F57D8">
        <w:rPr>
          <w:snapToGrid w:val="0"/>
        </w:rPr>
        <w:t>T</w:t>
      </w:r>
      <w:r w:rsidRPr="009F57D8">
        <w:rPr>
          <w:snapToGrid w:val="0"/>
        </w:rPr>
        <w:t xml:space="preserve">he PBAC considered that the cost-effectiveness of this expansion should be informed by the economic evaluation of non-indigenous adults aged 65 years or older (identified as PBAC Scenario 1 in </w:t>
      </w:r>
      <w:r w:rsidRPr="009F57D8">
        <w:rPr>
          <w:snapToGrid w:val="0"/>
        </w:rPr>
        <w:fldChar w:fldCharType="begin"/>
      </w:r>
      <w:r w:rsidRPr="009F57D8">
        <w:rPr>
          <w:snapToGrid w:val="0"/>
        </w:rPr>
        <w:instrText xml:space="preserve"> REF _Ref206770052 \h </w:instrText>
      </w:r>
      <w:r w:rsidR="003276F9" w:rsidRPr="009F57D8">
        <w:rPr>
          <w:snapToGrid w:val="0"/>
        </w:rPr>
        <w:instrText xml:space="preserve"> \* MERGEFORMAT </w:instrText>
      </w:r>
      <w:r w:rsidRPr="009F57D8">
        <w:rPr>
          <w:snapToGrid w:val="0"/>
        </w:rPr>
      </w:r>
      <w:r w:rsidRPr="009F57D8">
        <w:rPr>
          <w:snapToGrid w:val="0"/>
        </w:rPr>
        <w:fldChar w:fldCharType="separate"/>
      </w:r>
      <w:r w:rsidR="00581386" w:rsidRPr="009F57D8">
        <w:t xml:space="preserve">Table </w:t>
      </w:r>
      <w:r w:rsidR="00581386">
        <w:t>14</w:t>
      </w:r>
      <w:r w:rsidRPr="009F57D8">
        <w:rPr>
          <w:snapToGrid w:val="0"/>
        </w:rPr>
        <w:fldChar w:fldCharType="end"/>
      </w:r>
      <w:r w:rsidRPr="009F57D8">
        <w:rPr>
          <w:snapToGrid w:val="0"/>
        </w:rPr>
        <w:t>)</w:t>
      </w:r>
      <w:r w:rsidR="001A224A" w:rsidRPr="009F57D8">
        <w:rPr>
          <w:snapToGrid w:val="0"/>
        </w:rPr>
        <w:t xml:space="preserve"> as a proxy for cost-effectiveness in this group</w:t>
      </w:r>
      <w:r w:rsidRPr="009F57D8">
        <w:rPr>
          <w:snapToGrid w:val="0"/>
        </w:rPr>
        <w:t xml:space="preserve">.  </w:t>
      </w:r>
      <w:r w:rsidR="00FB33A0" w:rsidRPr="009F57D8">
        <w:rPr>
          <w:rFonts w:eastAsia="Times New Roman" w:cs="Arial"/>
          <w:snapToGrid w:val="0"/>
          <w:szCs w:val="24"/>
        </w:rPr>
        <w:t xml:space="preserve">An ICER no more than </w:t>
      </w:r>
      <w:r w:rsidR="003B6B04" w:rsidRPr="003B6B04">
        <w:rPr>
          <w:rFonts w:eastAsia="Times New Roman" w:cs="Arial"/>
          <w:snapToGrid w:val="0"/>
          <w:szCs w:val="24"/>
        </w:rPr>
        <w:t xml:space="preserve">$5,000 to &lt; $15,000 </w:t>
      </w:r>
      <w:r w:rsidR="00FB33A0" w:rsidRPr="009F57D8">
        <w:rPr>
          <w:rFonts w:eastAsia="Times New Roman" w:cs="Arial"/>
          <w:snapToGrid w:val="0"/>
          <w:szCs w:val="24"/>
        </w:rPr>
        <w:t>/QALY, would be required to demonstrate cost-effectiveness.</w:t>
      </w:r>
      <w:bookmarkEnd w:id="141"/>
    </w:p>
    <w:p w14:paraId="17B8B318" w14:textId="77777777" w:rsidR="00FB33A0" w:rsidRPr="009F57D8" w:rsidRDefault="00FB33A0" w:rsidP="00FB33A0">
      <w:pPr>
        <w:spacing w:before="60" w:after="60"/>
        <w:rPr>
          <w:b/>
          <w:bCs/>
        </w:rPr>
      </w:pPr>
      <w:r w:rsidRPr="009F57D8">
        <w:rPr>
          <w:b/>
          <w:bCs/>
        </w:rPr>
        <w:t>Aboriginal and Torres Strait Islander adults aged ≥ 50 years</w:t>
      </w:r>
    </w:p>
    <w:p w14:paraId="7E5ECBB3" w14:textId="7045FE6E" w:rsidR="00FB33A0" w:rsidRPr="009F57D8" w:rsidRDefault="00636AB9" w:rsidP="00FB33A0">
      <w:pPr>
        <w:pStyle w:val="3-BodyText"/>
        <w:rPr>
          <w:rFonts w:eastAsia="Times New Roman" w:cs="Arial"/>
          <w:snapToGrid w:val="0"/>
          <w:szCs w:val="24"/>
        </w:rPr>
      </w:pPr>
      <w:r w:rsidRPr="009F57D8">
        <w:rPr>
          <w:snapToGrid w:val="0"/>
        </w:rPr>
        <w:t xml:space="preserve">The PBAC considered the appropriate comparator for this group was 13vPCV followed by 23vPPV boosters.  </w:t>
      </w:r>
      <w:r w:rsidR="00FB33A0" w:rsidRPr="009F57D8">
        <w:rPr>
          <w:snapToGrid w:val="0"/>
        </w:rPr>
        <w:t xml:space="preserve">The PBAC noted that the economic evaluation corresponding to PBAC advice for Aboriginal and Torres Strait Islander adults aged ≥ 50 years is identified as PBAC Scenario 2 in </w:t>
      </w:r>
      <w:r w:rsidR="00FB33A0" w:rsidRPr="009F57D8">
        <w:rPr>
          <w:snapToGrid w:val="0"/>
        </w:rPr>
        <w:fldChar w:fldCharType="begin"/>
      </w:r>
      <w:r w:rsidR="00FB33A0" w:rsidRPr="009F57D8">
        <w:rPr>
          <w:snapToGrid w:val="0"/>
        </w:rPr>
        <w:instrText xml:space="preserve"> REF _Ref206770052 \h </w:instrText>
      </w:r>
      <w:r w:rsidR="003276F9" w:rsidRPr="009F57D8">
        <w:rPr>
          <w:snapToGrid w:val="0"/>
        </w:rPr>
        <w:instrText xml:space="preserve"> \* MERGEFORMAT </w:instrText>
      </w:r>
      <w:r w:rsidR="00FB33A0" w:rsidRPr="009F57D8">
        <w:rPr>
          <w:snapToGrid w:val="0"/>
        </w:rPr>
      </w:r>
      <w:r w:rsidR="00FB33A0" w:rsidRPr="009F57D8">
        <w:rPr>
          <w:snapToGrid w:val="0"/>
        </w:rPr>
        <w:fldChar w:fldCharType="separate"/>
      </w:r>
      <w:r w:rsidR="00581386" w:rsidRPr="009F57D8">
        <w:t xml:space="preserve">Table </w:t>
      </w:r>
      <w:r w:rsidR="00581386">
        <w:t>14</w:t>
      </w:r>
      <w:r w:rsidR="00FB33A0" w:rsidRPr="009F57D8">
        <w:rPr>
          <w:snapToGrid w:val="0"/>
        </w:rPr>
        <w:fldChar w:fldCharType="end"/>
      </w:r>
      <w:r w:rsidR="00FB33A0" w:rsidRPr="009F57D8">
        <w:rPr>
          <w:snapToGrid w:val="0"/>
        </w:rPr>
        <w:t xml:space="preserve">.  </w:t>
      </w:r>
      <w:r w:rsidR="00FB33A0" w:rsidRPr="009F57D8">
        <w:rPr>
          <w:rFonts w:eastAsia="Times New Roman" w:cs="Arial"/>
          <w:snapToGrid w:val="0"/>
          <w:szCs w:val="24"/>
        </w:rPr>
        <w:t xml:space="preserve">An ICER no more than </w:t>
      </w:r>
      <w:r w:rsidR="003B6B04" w:rsidRPr="003B6B04">
        <w:rPr>
          <w:rFonts w:eastAsia="Times New Roman" w:cs="Arial"/>
          <w:snapToGrid w:val="0"/>
          <w:szCs w:val="24"/>
        </w:rPr>
        <w:t xml:space="preserve">$5,000 to &lt; $15,000 </w:t>
      </w:r>
      <w:r w:rsidR="00FB33A0" w:rsidRPr="009F57D8">
        <w:rPr>
          <w:rFonts w:eastAsia="Times New Roman" w:cs="Arial"/>
          <w:snapToGrid w:val="0"/>
          <w:szCs w:val="24"/>
        </w:rPr>
        <w:t>/QALY, would be required to demonstrate cost-effectiveness.</w:t>
      </w:r>
    </w:p>
    <w:p w14:paraId="06F0168C" w14:textId="69472C69" w:rsidR="00A81347" w:rsidRPr="009F57D8" w:rsidRDefault="00A81347" w:rsidP="003276F9">
      <w:pPr>
        <w:keepNext/>
        <w:spacing w:before="60" w:after="60"/>
        <w:rPr>
          <w:b/>
          <w:bCs/>
        </w:rPr>
      </w:pPr>
      <w:r w:rsidRPr="009F57D8">
        <w:rPr>
          <w:b/>
          <w:bCs/>
        </w:rPr>
        <w:t>Adults with a NIP-listed risk condition aged ≥ 18 years</w:t>
      </w:r>
    </w:p>
    <w:p w14:paraId="697386E4" w14:textId="0DA5E560" w:rsidR="00A81347" w:rsidRPr="009F57D8" w:rsidRDefault="00D40059">
      <w:pPr>
        <w:pStyle w:val="3-BodyText"/>
        <w:rPr>
          <w:rFonts w:eastAsia="Times New Roman" w:cs="Arial"/>
          <w:snapToGrid w:val="0"/>
          <w:szCs w:val="24"/>
        </w:rPr>
      </w:pPr>
      <w:r w:rsidRPr="009F57D8">
        <w:rPr>
          <w:snapToGrid w:val="0"/>
        </w:rPr>
        <w:t xml:space="preserve">The PBAC considered the appropriate comparator for this group was 13vPCV followed by 23vPPV boosters.  </w:t>
      </w:r>
      <w:r w:rsidR="00FB33A0" w:rsidRPr="009F57D8">
        <w:rPr>
          <w:snapToGrid w:val="0"/>
        </w:rPr>
        <w:t xml:space="preserve">The PBAC noted that the economic evaluation corresponding to PBAC advice for adults with a NIP-listed condition is identified as PBAC Scenario 3 in </w:t>
      </w:r>
      <w:r w:rsidR="00FB33A0" w:rsidRPr="009F57D8">
        <w:rPr>
          <w:snapToGrid w:val="0"/>
        </w:rPr>
        <w:fldChar w:fldCharType="begin"/>
      </w:r>
      <w:r w:rsidR="00FB33A0" w:rsidRPr="009F57D8">
        <w:rPr>
          <w:snapToGrid w:val="0"/>
        </w:rPr>
        <w:instrText xml:space="preserve"> REF _Ref206770052 \h </w:instrText>
      </w:r>
      <w:r w:rsidR="003276F9" w:rsidRPr="009F57D8">
        <w:rPr>
          <w:snapToGrid w:val="0"/>
        </w:rPr>
        <w:instrText xml:space="preserve"> \* MERGEFORMAT </w:instrText>
      </w:r>
      <w:r w:rsidR="00FB33A0" w:rsidRPr="009F57D8">
        <w:rPr>
          <w:snapToGrid w:val="0"/>
        </w:rPr>
      </w:r>
      <w:r w:rsidR="00FB33A0" w:rsidRPr="009F57D8">
        <w:rPr>
          <w:snapToGrid w:val="0"/>
        </w:rPr>
        <w:fldChar w:fldCharType="separate"/>
      </w:r>
      <w:r w:rsidR="00581386" w:rsidRPr="009F57D8">
        <w:t xml:space="preserve">Table </w:t>
      </w:r>
      <w:r w:rsidR="00581386">
        <w:t>14</w:t>
      </w:r>
      <w:r w:rsidR="00FB33A0" w:rsidRPr="009F57D8">
        <w:rPr>
          <w:snapToGrid w:val="0"/>
        </w:rPr>
        <w:fldChar w:fldCharType="end"/>
      </w:r>
      <w:r w:rsidR="00FB33A0" w:rsidRPr="009F57D8">
        <w:rPr>
          <w:snapToGrid w:val="0"/>
        </w:rPr>
        <w:t xml:space="preserve">.  </w:t>
      </w:r>
      <w:r w:rsidR="00FB33A0" w:rsidRPr="009F57D8">
        <w:rPr>
          <w:rFonts w:eastAsia="Times New Roman" w:cs="Arial"/>
          <w:snapToGrid w:val="0"/>
          <w:szCs w:val="24"/>
        </w:rPr>
        <w:t xml:space="preserve">An ICER no more than </w:t>
      </w:r>
      <w:r w:rsidR="00DF3A1F" w:rsidRPr="00DF3A1F">
        <w:rPr>
          <w:rFonts w:eastAsia="Times New Roman" w:cs="Arial"/>
          <w:snapToGrid w:val="0"/>
          <w:szCs w:val="24"/>
        </w:rPr>
        <w:t xml:space="preserve">$5,000 to &lt; $15,000 </w:t>
      </w:r>
      <w:r w:rsidR="00FB33A0" w:rsidRPr="009F57D8">
        <w:rPr>
          <w:rFonts w:eastAsia="Times New Roman" w:cs="Arial"/>
          <w:snapToGrid w:val="0"/>
          <w:szCs w:val="24"/>
        </w:rPr>
        <w:t>/QALY, would be required to demonstrate cost-effectiveness.</w:t>
      </w:r>
    </w:p>
    <w:p w14:paraId="37470C08" w14:textId="77777777" w:rsidR="00A81347" w:rsidRPr="009F57D8" w:rsidRDefault="00A81347" w:rsidP="00FB33A0">
      <w:pPr>
        <w:keepNext/>
        <w:spacing w:before="60" w:after="60"/>
        <w:rPr>
          <w:b/>
          <w:bCs/>
        </w:rPr>
      </w:pPr>
      <w:r w:rsidRPr="009F57D8">
        <w:rPr>
          <w:b/>
          <w:bCs/>
        </w:rPr>
        <w:t>Aboriginal and Torres Strait Islander adults aged 25 to 49 years</w:t>
      </w:r>
    </w:p>
    <w:p w14:paraId="19DB90DF" w14:textId="6F8FB8AD" w:rsidR="00FB33A0" w:rsidRPr="009F57D8" w:rsidRDefault="00FB33A0" w:rsidP="00FB33A0">
      <w:pPr>
        <w:pStyle w:val="3-BodyText"/>
      </w:pPr>
      <w:bookmarkStart w:id="142" w:name="_Ref214895418"/>
      <w:r w:rsidRPr="009F57D8">
        <w:t>The PBAC considered that the requested price ($</w:t>
      </w:r>
      <w:r w:rsidR="00FD08E9" w:rsidRPr="00FD08E9">
        <w:rPr>
          <w:highlight w:val="black"/>
        </w:rPr>
        <w:t>&amp;&amp;&amp;&amp;</w:t>
      </w:r>
      <w:r w:rsidRPr="009F57D8">
        <w:t xml:space="preserve"> per dose) was cost</w:t>
      </w:r>
      <w:r w:rsidR="00D91896" w:rsidRPr="009F57D8">
        <w:noBreakHyphen/>
      </w:r>
      <w:r w:rsidRPr="009F57D8">
        <w:t>effective for the Indigenous 25 to 49 years population, noting it had previously given advice regarding the cost-effectiveness of 20vPCV in this population in November 2022.</w:t>
      </w:r>
      <w:bookmarkEnd w:id="142"/>
    </w:p>
    <w:p w14:paraId="24083B80" w14:textId="4CD7DD9B" w:rsidR="00D951CB" w:rsidRPr="009F57D8" w:rsidRDefault="00A1311A" w:rsidP="00D951CB">
      <w:pPr>
        <w:keepNext/>
        <w:spacing w:before="60" w:after="60"/>
        <w:rPr>
          <w:b/>
          <w:bCs/>
        </w:rPr>
      </w:pPr>
      <w:r w:rsidRPr="009F57D8">
        <w:rPr>
          <w:b/>
          <w:bCs/>
        </w:rPr>
        <w:t>Catch-up program</w:t>
      </w:r>
    </w:p>
    <w:p w14:paraId="5C850126" w14:textId="7DD9667F" w:rsidR="00604A90" w:rsidRPr="009F57D8" w:rsidRDefault="00A1311A">
      <w:pPr>
        <w:pStyle w:val="3-BodyText"/>
        <w:numPr>
          <w:ilvl w:val="1"/>
          <w:numId w:val="1"/>
        </w:numPr>
        <w:rPr>
          <w:b/>
          <w:bCs/>
        </w:rPr>
      </w:pPr>
      <w:r w:rsidRPr="009F57D8">
        <w:rPr>
          <w:snapToGrid w:val="0"/>
        </w:rPr>
        <w:t>The PBAC noted that the submission requested a catch-up program for 21vPCV that would run for three years</w:t>
      </w:r>
      <w:r w:rsidR="007404D7" w:rsidRPr="009F57D8">
        <w:rPr>
          <w:snapToGrid w:val="0"/>
        </w:rPr>
        <w:t>.  The PBAC noted that 21vPCV offered broader serotype coverage compared to 13vPCV for all cohorts, and that the ATAGI supported a catch</w:t>
      </w:r>
      <w:r w:rsidR="007404D7" w:rsidRPr="009F57D8">
        <w:rPr>
          <w:snapToGrid w:val="0"/>
        </w:rPr>
        <w:noBreakHyphen/>
        <w:t>up program that would allow a single dose of 21vPCV for adults, regardless of previous adult pneumococcal vaccination</w:t>
      </w:r>
      <w:r w:rsidR="00604A90" w:rsidRPr="009F57D8">
        <w:rPr>
          <w:snapToGrid w:val="0"/>
        </w:rPr>
        <w:t>, noting that denying access to 21vPCV based on previous vaccination would be inequitable.  T</w:t>
      </w:r>
      <w:r w:rsidR="007404D7" w:rsidRPr="009F57D8">
        <w:rPr>
          <w:snapToGrid w:val="0"/>
        </w:rPr>
        <w:t xml:space="preserve">he PBAC noted that the submission </w:t>
      </w:r>
      <w:r w:rsidR="007404D7" w:rsidRPr="009F57D8">
        <w:t>had provided scenario analyses assessing the impact of catch-up doses for non</w:t>
      </w:r>
      <w:r w:rsidR="00604A90" w:rsidRPr="009F57D8">
        <w:noBreakHyphen/>
      </w:r>
      <w:r w:rsidR="007404D7" w:rsidRPr="009F57D8">
        <w:t>Indigenous adults aged &gt; 70, but not for any of the other proposed populations.</w:t>
      </w:r>
      <w:r w:rsidR="000E43C3" w:rsidRPr="009F57D8">
        <w:t xml:space="preserve">  The PBAC noted the analyses for non-Indigenous adults aged &gt;70 years suggested that catch-up doses would be cost-effective for individuals that had previously received </w:t>
      </w:r>
      <w:r w:rsidR="007D3F99" w:rsidRPr="009F57D8">
        <w:t>13vPCV or</w:t>
      </w:r>
      <w:r w:rsidR="000E43C3" w:rsidRPr="009F57D8">
        <w:t xml:space="preserve"> had received 23vPPV (</w:t>
      </w:r>
      <w:r w:rsidR="000E43C3" w:rsidRPr="009F57D8">
        <w:fldChar w:fldCharType="begin"/>
      </w:r>
      <w:r w:rsidR="000E43C3" w:rsidRPr="009F57D8">
        <w:instrText xml:space="preserve"> REF _Ref206770501 \h </w:instrText>
      </w:r>
      <w:r w:rsidR="000E43C3" w:rsidRPr="009F57D8">
        <w:fldChar w:fldCharType="separate"/>
      </w:r>
      <w:r w:rsidR="00581386" w:rsidRPr="009F57D8">
        <w:t xml:space="preserve">Table </w:t>
      </w:r>
      <w:r w:rsidR="00581386">
        <w:rPr>
          <w:noProof/>
        </w:rPr>
        <w:t>15</w:t>
      </w:r>
      <w:r w:rsidR="000E43C3" w:rsidRPr="009F57D8">
        <w:fldChar w:fldCharType="end"/>
      </w:r>
      <w:r w:rsidR="000E43C3" w:rsidRPr="009F57D8">
        <w:t xml:space="preserve">).  However, the PBAC considered that the scenario analyses were a simplified approach to the question of cost-effectiveness of the proposed catch-up program given that each comparison assumed vaccination at a single point in time (3 years after 13vPCV or five years after 23vPPV) and had a baseline age, which may not reflect the proposed population.  </w:t>
      </w:r>
      <w:r w:rsidR="00604A90" w:rsidRPr="009F57D8">
        <w:rPr>
          <w:snapToGrid w:val="0"/>
        </w:rPr>
        <w:t>The PBAC considered the proposed catch</w:t>
      </w:r>
      <w:r w:rsidR="00604A90" w:rsidRPr="009F57D8">
        <w:rPr>
          <w:snapToGrid w:val="0"/>
        </w:rPr>
        <w:noBreakHyphen/>
        <w:t xml:space="preserve">up program was appropriate because it would provide equitable access to the vaccine, and maximise protection within the eligible populations, </w:t>
      </w:r>
      <w:r w:rsidR="00604A90" w:rsidRPr="009F57D8">
        <w:rPr>
          <w:snapToGrid w:val="0"/>
        </w:rPr>
        <w:lastRenderedPageBreak/>
        <w:t xml:space="preserve">however </w:t>
      </w:r>
      <w:r w:rsidR="00604A90" w:rsidRPr="009F57D8">
        <w:t>the scenario analyses presented in the submission were not reliable for decision-making.  The PBAC considered that the cost-effectiveness of 21vPCV was likely to be less favourable in the catch-up populations (previously vaccinated as an adult) in comparison to naïve populations (not vaccinated as an adult)</w:t>
      </w:r>
      <w:r w:rsidR="00CE2BC0" w:rsidRPr="009F57D8">
        <w:t xml:space="preserve">, however the PBAC agreed with the ATAGI that the proposed catch-up program would </w:t>
      </w:r>
      <w:r w:rsidR="00FD4FC4" w:rsidRPr="009F57D8">
        <w:t>be appropriate to</w:t>
      </w:r>
      <w:r w:rsidR="00CE2BC0" w:rsidRPr="009F57D8">
        <w:t xml:space="preserve"> maximis</w:t>
      </w:r>
      <w:r w:rsidR="00FD4FC4" w:rsidRPr="009F57D8">
        <w:t>e</w:t>
      </w:r>
      <w:r w:rsidR="00CE2BC0" w:rsidRPr="009F57D8">
        <w:t xml:space="preserve"> protection from pneumococcal disease</w:t>
      </w:r>
      <w:r w:rsidR="00FD4FC4" w:rsidRPr="009F57D8">
        <w:t>, and not disadvantage individuals vaccinated prior to implementation of a 21vPCV program</w:t>
      </w:r>
      <w:r w:rsidR="00CE2BC0" w:rsidRPr="009F57D8">
        <w:t xml:space="preserve">.  As such, the PBAC recommended acceptance of the catch-up program.  The PBAC advised that the population-specific advice above in paragraphs </w:t>
      </w:r>
      <w:r w:rsidR="00CE2BC0" w:rsidRPr="009F57D8">
        <w:fldChar w:fldCharType="begin"/>
      </w:r>
      <w:r w:rsidR="00CE2BC0" w:rsidRPr="009F57D8">
        <w:instrText xml:space="preserve"> REF _Ref214895415 \r \h </w:instrText>
      </w:r>
      <w:r w:rsidR="00CE2BC0" w:rsidRPr="009F57D8">
        <w:fldChar w:fldCharType="separate"/>
      </w:r>
      <w:r w:rsidR="00581386">
        <w:t>7.18</w:t>
      </w:r>
      <w:r w:rsidR="00CE2BC0" w:rsidRPr="009F57D8">
        <w:fldChar w:fldCharType="end"/>
      </w:r>
      <w:r w:rsidR="00CE2BC0" w:rsidRPr="009F57D8">
        <w:t xml:space="preserve"> to </w:t>
      </w:r>
      <w:r w:rsidR="00CE2BC0" w:rsidRPr="009F57D8">
        <w:fldChar w:fldCharType="begin"/>
      </w:r>
      <w:r w:rsidR="00CE2BC0" w:rsidRPr="009F57D8">
        <w:instrText xml:space="preserve"> REF _Ref214895418 \r \h </w:instrText>
      </w:r>
      <w:r w:rsidR="00CE2BC0" w:rsidRPr="009F57D8">
        <w:fldChar w:fldCharType="separate"/>
      </w:r>
      <w:r w:rsidR="00581386">
        <w:t>7.21</w:t>
      </w:r>
      <w:r w:rsidR="00CE2BC0" w:rsidRPr="009F57D8">
        <w:fldChar w:fldCharType="end"/>
      </w:r>
      <w:r w:rsidR="00CE2BC0" w:rsidRPr="009F57D8">
        <w:t xml:space="preserve"> should be used to determine </w:t>
      </w:r>
      <w:r w:rsidR="00D91896" w:rsidRPr="009F57D8">
        <w:t>t</w:t>
      </w:r>
      <w:r w:rsidR="00CE2BC0" w:rsidRPr="009F57D8">
        <w:t>he cost-effective price for each population, including catch-up doses.</w:t>
      </w:r>
      <w:r w:rsidR="00FD4FC4" w:rsidRPr="009F57D8">
        <w:t xml:space="preserve">  </w:t>
      </w:r>
    </w:p>
    <w:p w14:paraId="2557C4C5" w14:textId="6A76BA5A" w:rsidR="00CE2BC0" w:rsidRPr="009F57D8" w:rsidRDefault="00CE2BC0">
      <w:pPr>
        <w:pStyle w:val="3-BodyText"/>
        <w:numPr>
          <w:ilvl w:val="1"/>
          <w:numId w:val="1"/>
        </w:numPr>
      </w:pPr>
      <w:r w:rsidRPr="009F57D8">
        <w:t xml:space="preserve">The PBAC noted that the submission had requested a weighted price and that this would need to be recalculated, taking into account the PBAC’s advice concerning the eligible populations, and the cost-effective price for each population.  The PBAC advised that the weighted price should be calculated with the population weightings as shown in </w:t>
      </w:r>
      <w:r w:rsidRPr="009F57D8">
        <w:fldChar w:fldCharType="begin"/>
      </w:r>
      <w:r w:rsidRPr="009F57D8">
        <w:instrText xml:space="preserve"> REF _Ref214463275 \h  \* MERGEFORMAT </w:instrText>
      </w:r>
      <w:r w:rsidRPr="009F57D8">
        <w:fldChar w:fldCharType="separate"/>
      </w:r>
      <w:r w:rsidR="00581386" w:rsidRPr="009F57D8">
        <w:t xml:space="preserve">Table </w:t>
      </w:r>
      <w:r w:rsidR="00581386">
        <w:t>20</w:t>
      </w:r>
      <w:r w:rsidRPr="009F57D8">
        <w:fldChar w:fldCharType="end"/>
      </w:r>
      <w:r w:rsidRPr="009F57D8">
        <w:t xml:space="preserve"> and apply the cost-effective prices as </w:t>
      </w:r>
      <w:r w:rsidR="00FD4FC4" w:rsidRPr="009F57D8">
        <w:t>determined</w:t>
      </w:r>
      <w:r w:rsidRPr="009F57D8">
        <w:t xml:space="preserve"> for each population </w:t>
      </w:r>
      <w:r w:rsidR="00FD4FC4" w:rsidRPr="009F57D8">
        <w:t xml:space="preserve">and described </w:t>
      </w:r>
      <w:r w:rsidRPr="009F57D8">
        <w:t xml:space="preserve">above </w:t>
      </w:r>
      <w:r w:rsidR="00FD4FC4" w:rsidRPr="009F57D8">
        <w:t xml:space="preserve">in </w:t>
      </w:r>
      <w:r w:rsidRPr="009F57D8">
        <w:t xml:space="preserve">paragraphs </w:t>
      </w:r>
      <w:r w:rsidRPr="009F57D8">
        <w:fldChar w:fldCharType="begin"/>
      </w:r>
      <w:r w:rsidRPr="009F57D8">
        <w:instrText xml:space="preserve"> REF _Ref214895415 \r \h </w:instrText>
      </w:r>
      <w:r w:rsidRPr="009F57D8">
        <w:fldChar w:fldCharType="separate"/>
      </w:r>
      <w:r w:rsidR="00581386">
        <w:t>7.18</w:t>
      </w:r>
      <w:r w:rsidRPr="009F57D8">
        <w:fldChar w:fldCharType="end"/>
      </w:r>
      <w:r w:rsidRPr="009F57D8">
        <w:t xml:space="preserve"> to </w:t>
      </w:r>
      <w:r w:rsidRPr="009F57D8">
        <w:fldChar w:fldCharType="begin"/>
      </w:r>
      <w:r w:rsidRPr="009F57D8">
        <w:instrText xml:space="preserve"> REF _Ref214895418 \r \h </w:instrText>
      </w:r>
      <w:r w:rsidRPr="009F57D8">
        <w:fldChar w:fldCharType="separate"/>
      </w:r>
      <w:r w:rsidR="00581386">
        <w:t>7.21</w:t>
      </w:r>
      <w:r w:rsidRPr="009F57D8">
        <w:fldChar w:fldCharType="end"/>
      </w:r>
      <w:r w:rsidR="00FD4FC4" w:rsidRPr="009F57D8">
        <w:t>.</w:t>
      </w:r>
    </w:p>
    <w:p w14:paraId="169F8075" w14:textId="3F74726B" w:rsidR="002910E9" w:rsidRPr="009F57D8" w:rsidRDefault="00DB36BD" w:rsidP="002910E9">
      <w:pPr>
        <w:pStyle w:val="3-BodyText"/>
        <w:rPr>
          <w:snapToGrid w:val="0"/>
        </w:rPr>
      </w:pPr>
      <w:r w:rsidRPr="009F57D8">
        <w:rPr>
          <w:snapToGrid w:val="0"/>
        </w:rPr>
        <w:t>With regard to the financial estimates, t</w:t>
      </w:r>
      <w:r w:rsidR="0026004B" w:rsidRPr="009F57D8">
        <w:rPr>
          <w:snapToGrid w:val="0"/>
        </w:rPr>
        <w:t xml:space="preserve">he </w:t>
      </w:r>
      <w:r w:rsidR="002910E9" w:rsidRPr="009F57D8">
        <w:rPr>
          <w:snapToGrid w:val="0"/>
        </w:rPr>
        <w:t>PBAC</w:t>
      </w:r>
      <w:r w:rsidR="0026004B" w:rsidRPr="009F57D8">
        <w:rPr>
          <w:snapToGrid w:val="0"/>
        </w:rPr>
        <w:t xml:space="preserve"> advised that the methods used to derive the utilisation and financial estimates and the structure of the estimates model were reliable for decision-making</w:t>
      </w:r>
      <w:r w:rsidR="002910E9" w:rsidRPr="009F57D8">
        <w:rPr>
          <w:snapToGrid w:val="0"/>
        </w:rPr>
        <w:t>,</w:t>
      </w:r>
      <w:r w:rsidR="0026004B" w:rsidRPr="009F57D8">
        <w:rPr>
          <w:snapToGrid w:val="0"/>
        </w:rPr>
        <w:t xml:space="preserve"> noting that the </w:t>
      </w:r>
      <w:r w:rsidR="002910E9" w:rsidRPr="009F57D8">
        <w:rPr>
          <w:snapToGrid w:val="0"/>
        </w:rPr>
        <w:t xml:space="preserve">estimates would need to be recalculated to incorporate the </w:t>
      </w:r>
      <w:r w:rsidR="002910E9" w:rsidRPr="009F57D8">
        <w:t>change</w:t>
      </w:r>
      <w:r w:rsidR="002910E9" w:rsidRPr="009F57D8">
        <w:rPr>
          <w:snapToGrid w:val="0"/>
        </w:rPr>
        <w:t xml:space="preserve"> to the age threshold for non-Indigenous adults from ≥ 70 to ≥ 65 years, and the expansion of the MaR population to include CLD and COPD, and applying the recommended price.</w:t>
      </w:r>
    </w:p>
    <w:p w14:paraId="27C403B0" w14:textId="10FECA7A" w:rsidR="00E77B6D" w:rsidRPr="009F57D8" w:rsidRDefault="00000568" w:rsidP="00E77B6D">
      <w:pPr>
        <w:pStyle w:val="3-BodyText"/>
        <w:rPr>
          <w:bCs/>
        </w:rPr>
      </w:pPr>
      <w:r w:rsidRPr="009F57D8">
        <w:rPr>
          <w:snapToGrid w:val="0"/>
        </w:rPr>
        <w:t>The PBAC recommended the listing of 21vPCV on the basis that it should be available through the National Immunisation Program (NIP) under the circumstances specified in Section 8 below (</w:t>
      </w:r>
      <w:r w:rsidRPr="009F57D8">
        <w:t xml:space="preserve">for the prevention of pneumococcal disease in individuals with an at-risk condition aged ≥ 18 years, non-Indigenous adults aged ≥ 65 years and Aboriginal and Torres Strait Islander adults aged ≥ 25 years).  </w:t>
      </w:r>
      <w:r w:rsidRPr="009F57D8">
        <w:rPr>
          <w:snapToGrid w:val="0"/>
        </w:rPr>
        <w:t>The PBAC recommended that the MaR population should be expanded to include chronic liver disease (CLD) and chronic obstructive pulmonary disease (COPD).</w:t>
      </w:r>
      <w:r w:rsidR="00E77B6D" w:rsidRPr="009F57D8">
        <w:rPr>
          <w:snapToGrid w:val="0"/>
        </w:rPr>
        <w:t xml:space="preserve"> </w:t>
      </w:r>
    </w:p>
    <w:p w14:paraId="3854CEC6" w14:textId="74136165" w:rsidR="00000568" w:rsidRPr="009F57D8" w:rsidRDefault="00E77B6D">
      <w:pPr>
        <w:pStyle w:val="3-BodyText"/>
      </w:pPr>
      <w:r w:rsidRPr="009F57D8">
        <w:t>Consistent with ATAGI advice, t</w:t>
      </w:r>
      <w:r w:rsidR="00000568" w:rsidRPr="009F57D8">
        <w:t xml:space="preserve">he PBAC advised that a catch-up program should </w:t>
      </w:r>
      <w:r w:rsidRPr="009F57D8">
        <w:t>be implemented</w:t>
      </w:r>
      <w:r w:rsidR="00000568" w:rsidRPr="009F57D8">
        <w:t>, that would allow eligible adults to receive 21vPCV through the NIP, regardless of previous vaccination with other pneumococcal vaccines.</w:t>
      </w:r>
    </w:p>
    <w:p w14:paraId="288D5D92" w14:textId="5EA67306" w:rsidR="00000568" w:rsidRPr="009F57D8" w:rsidRDefault="00000568" w:rsidP="00656230">
      <w:pPr>
        <w:pStyle w:val="3-BodyText"/>
      </w:pPr>
      <w:r w:rsidRPr="009F57D8">
        <w:t xml:space="preserve">The PBAC noted ATAGI’s </w:t>
      </w:r>
      <w:r w:rsidR="00E77B6D" w:rsidRPr="009F57D8">
        <w:t xml:space="preserve">advice that </w:t>
      </w:r>
      <w:r w:rsidRPr="009F57D8">
        <w:t xml:space="preserve">recommended removal of 23vPPV from the adult schedule when the use of 13vPCV is replaced by </w:t>
      </w:r>
      <w:r w:rsidR="00E77B6D" w:rsidRPr="009F57D8">
        <w:t>21vPCV and</w:t>
      </w:r>
      <w:r w:rsidRPr="009F57D8">
        <w:t xml:space="preserve"> considered that the Determination should be updated accordingly to indicate that 23vPPV booster doses are not funded through the NIP for adults vaccinated with 21vPCV. </w:t>
      </w:r>
    </w:p>
    <w:p w14:paraId="75D836F0" w14:textId="54A1D10E" w:rsidR="00656230" w:rsidRPr="009F57D8" w:rsidRDefault="00E77B6D" w:rsidP="008F2A9B">
      <w:pPr>
        <w:pStyle w:val="3-BodyText"/>
        <w:rPr>
          <w:bCs/>
        </w:rPr>
      </w:pPr>
      <w:r w:rsidRPr="009F57D8">
        <w:t>The PBAC noted that the Australian Immunisation Handbook</w:t>
      </w:r>
      <w:r w:rsidRPr="009F57D8">
        <w:rPr>
          <w:vertAlign w:val="superscript"/>
        </w:rPr>
        <w:footnoteReference w:id="9"/>
      </w:r>
      <w:r w:rsidRPr="009F57D8">
        <w:t xml:space="preserve"> list of risk conditions for pneumococcal vaccination was recently updated with editorial changes.  </w:t>
      </w:r>
      <w:r w:rsidRPr="009F57D8">
        <w:lastRenderedPageBreak/>
        <w:t>Corresponding editorial changes may be appropriate for the Determination for consistency.</w:t>
      </w:r>
    </w:p>
    <w:p w14:paraId="7943EE79" w14:textId="2083A832" w:rsidR="008F2A9B" w:rsidRPr="009F57D8" w:rsidRDefault="008F2A9B" w:rsidP="008F2A9B">
      <w:pPr>
        <w:pStyle w:val="3-BodyText"/>
        <w:rPr>
          <w:bCs/>
        </w:rPr>
      </w:pPr>
      <w:r w:rsidRPr="009F57D8">
        <w:rPr>
          <w:bCs/>
          <w:snapToGrid w:val="0"/>
        </w:rPr>
        <w:t xml:space="preserve">The PBAC noted that this submission is not eligible for an Independent Review </w:t>
      </w:r>
      <w:r w:rsidRPr="009F57D8">
        <w:t>because it is only relevant to submissions requesting a listing (or change to a listing) on the PBS</w:t>
      </w:r>
      <w:r w:rsidRPr="009F57D8">
        <w:rPr>
          <w:bCs/>
          <w:snapToGrid w:val="0"/>
        </w:rPr>
        <w:t>.</w:t>
      </w:r>
    </w:p>
    <w:bookmarkEnd w:id="137"/>
    <w:p w14:paraId="644269AF" w14:textId="77777777" w:rsidR="00FD450C" w:rsidRPr="009F57D8" w:rsidRDefault="00FD450C" w:rsidP="00FD450C">
      <w:pPr>
        <w:widowControl w:val="0"/>
        <w:contextualSpacing/>
        <w:rPr>
          <w:rFonts w:asciiTheme="minorHAnsi" w:hAnsiTheme="minorHAnsi"/>
          <w:bCs/>
          <w:snapToGrid w:val="0"/>
        </w:rPr>
      </w:pPr>
    </w:p>
    <w:p w14:paraId="62DD3BDC" w14:textId="0AB028B0" w:rsidR="00FD450C" w:rsidRPr="009F57D8" w:rsidRDefault="00FD450C" w:rsidP="00FD450C">
      <w:pPr>
        <w:spacing w:before="240"/>
        <w:rPr>
          <w:rFonts w:asciiTheme="minorHAnsi" w:hAnsiTheme="minorHAnsi"/>
          <w:b/>
          <w:bCs/>
          <w:snapToGrid w:val="0"/>
        </w:rPr>
      </w:pPr>
      <w:r w:rsidRPr="009F57D8">
        <w:rPr>
          <w:rFonts w:asciiTheme="minorHAnsi" w:hAnsiTheme="minorHAnsi"/>
          <w:b/>
          <w:bCs/>
          <w:snapToGrid w:val="0"/>
        </w:rPr>
        <w:t>Outcome</w:t>
      </w:r>
      <w:r w:rsidR="00DD557A">
        <w:rPr>
          <w:rFonts w:asciiTheme="minorHAnsi" w:hAnsiTheme="minorHAnsi"/>
          <w:b/>
          <w:bCs/>
          <w:snapToGrid w:val="0"/>
        </w:rPr>
        <w:t>:</w:t>
      </w:r>
    </w:p>
    <w:p w14:paraId="5C4E463B" w14:textId="106D1AB7" w:rsidR="00FD450C" w:rsidRPr="009F57D8" w:rsidRDefault="00894290" w:rsidP="00FD450C">
      <w:pPr>
        <w:rPr>
          <w:rFonts w:asciiTheme="minorHAnsi" w:hAnsiTheme="minorHAnsi"/>
          <w:bCs/>
          <w:snapToGrid w:val="0"/>
        </w:rPr>
      </w:pPr>
      <w:r w:rsidRPr="009F57D8">
        <w:rPr>
          <w:rFonts w:asciiTheme="minorHAnsi" w:hAnsiTheme="minorHAnsi"/>
          <w:bCs/>
          <w:snapToGrid w:val="0"/>
        </w:rPr>
        <w:t>Recommended</w:t>
      </w:r>
    </w:p>
    <w:p w14:paraId="41E92112" w14:textId="77777777" w:rsidR="00FD450C" w:rsidRPr="009F57D8" w:rsidRDefault="00FD450C" w:rsidP="00FD450C">
      <w:pPr>
        <w:widowControl w:val="0"/>
        <w:rPr>
          <w:rFonts w:asciiTheme="minorHAnsi" w:hAnsiTheme="minorHAnsi"/>
          <w:b/>
          <w:bCs/>
          <w:snapToGrid w:val="0"/>
        </w:rPr>
      </w:pPr>
    </w:p>
    <w:p w14:paraId="40160F76" w14:textId="77777777" w:rsidR="00C0270B" w:rsidRPr="009F57D8" w:rsidRDefault="00C0270B" w:rsidP="00FD450C">
      <w:pPr>
        <w:widowControl w:val="0"/>
        <w:rPr>
          <w:rFonts w:asciiTheme="minorHAnsi" w:hAnsiTheme="minorHAnsi"/>
          <w:b/>
          <w:bCs/>
          <w:snapToGrid w:val="0"/>
        </w:rPr>
      </w:pPr>
    </w:p>
    <w:p w14:paraId="6BD8F891" w14:textId="77777777" w:rsidR="00273906" w:rsidRDefault="00273906">
      <w:pPr>
        <w:jc w:val="left"/>
        <w:rPr>
          <w:rFonts w:asciiTheme="minorHAnsi" w:hAnsiTheme="minorHAnsi"/>
          <w:snapToGrid w:val="0"/>
        </w:rPr>
      </w:pPr>
      <w:r>
        <w:rPr>
          <w:rFonts w:asciiTheme="minorHAnsi" w:hAnsiTheme="minorHAnsi"/>
          <w:snapToGrid w:val="0"/>
        </w:rPr>
        <w:br w:type="page"/>
      </w:r>
    </w:p>
    <w:bookmarkEnd w:id="135"/>
    <w:p w14:paraId="3D558E21" w14:textId="77777777" w:rsidR="00FD450C" w:rsidRPr="009F57D8" w:rsidRDefault="00FD450C" w:rsidP="00273906">
      <w:pPr>
        <w:pStyle w:val="2-SectionHeading"/>
        <w:widowControl w:val="0"/>
        <w:numPr>
          <w:ilvl w:val="0"/>
          <w:numId w:val="1"/>
        </w:numPr>
      </w:pPr>
      <w:r w:rsidRPr="009F57D8">
        <w:lastRenderedPageBreak/>
        <w:t>Recommended listing</w:t>
      </w:r>
    </w:p>
    <w:p w14:paraId="514A0C0A" w14:textId="66A3A085" w:rsidR="00E77B6D" w:rsidRPr="009F57D8" w:rsidRDefault="00E77B6D" w:rsidP="00273906">
      <w:pPr>
        <w:pStyle w:val="3-BodyText"/>
        <w:keepNext/>
        <w:widowControl w:val="0"/>
      </w:pPr>
      <w:bookmarkStart w:id="143" w:name="_Ref214453684"/>
      <w:r w:rsidRPr="009F57D8">
        <w:t xml:space="preserve">The recommended listing in paragraph </w:t>
      </w:r>
      <w:r w:rsidRPr="009F57D8">
        <w:fldChar w:fldCharType="begin"/>
      </w:r>
      <w:r w:rsidRPr="009F57D8">
        <w:instrText xml:space="preserve"> REF _Ref214617086 \r \h </w:instrText>
      </w:r>
      <w:r w:rsidR="00F253FF" w:rsidRPr="009F57D8">
        <w:instrText xml:space="preserve"> \* MERGEFORMAT </w:instrText>
      </w:r>
      <w:r w:rsidRPr="009F57D8">
        <w:fldChar w:fldCharType="separate"/>
      </w:r>
      <w:r w:rsidR="00581386">
        <w:t>8.2</w:t>
      </w:r>
      <w:r w:rsidRPr="009F57D8">
        <w:fldChar w:fldCharType="end"/>
      </w:r>
      <w:r w:rsidRPr="009F57D8">
        <w:t xml:space="preserve"> includes the populations explicitly requested by the submission and the extensions to the populations that were recommended by the PBAC.  This includes addition of two further risk factors (chronic obstructive pulmonary disease and chronic liver disease) to the list of medical risk conditions, and a decrease in the minimum age requirement from 70 years to 65 years for persons who are not Aboriginal and/or Torres Strait Islanders. </w:t>
      </w:r>
    </w:p>
    <w:p w14:paraId="4DF62862" w14:textId="77777777" w:rsidR="00E77B6D" w:rsidRPr="009F57D8" w:rsidRDefault="00E77B6D" w:rsidP="00273906">
      <w:pPr>
        <w:keepNext/>
        <w:widowControl w:val="0"/>
        <w:spacing w:after="120"/>
        <w:ind w:left="720"/>
        <w:contextualSpacing/>
        <w:rPr>
          <w:rFonts w:asciiTheme="minorHAnsi" w:hAnsiTheme="minorHAnsi"/>
          <w:b/>
          <w:bCs/>
          <w:snapToGrid w:val="0"/>
        </w:rPr>
      </w:pPr>
    </w:p>
    <w:p w14:paraId="163A63C7" w14:textId="3AE3BDD3" w:rsidR="00FD450C" w:rsidRPr="009F57D8" w:rsidRDefault="00C50CF4" w:rsidP="00273906">
      <w:pPr>
        <w:keepNext/>
        <w:widowControl w:val="0"/>
        <w:numPr>
          <w:ilvl w:val="1"/>
          <w:numId w:val="1"/>
        </w:numPr>
        <w:spacing w:after="120"/>
        <w:contextualSpacing/>
        <w:rPr>
          <w:rFonts w:asciiTheme="minorHAnsi" w:hAnsiTheme="minorHAnsi"/>
          <w:b/>
          <w:bCs/>
          <w:snapToGrid w:val="0"/>
        </w:rPr>
      </w:pPr>
      <w:bookmarkStart w:id="144" w:name="_Ref214617086"/>
      <w:r w:rsidRPr="009F57D8">
        <w:rPr>
          <w:rFonts w:asciiTheme="minorHAnsi" w:hAnsiTheme="minorHAnsi"/>
          <w:bCs/>
          <w:snapToGrid w:val="0"/>
        </w:rPr>
        <w:t>Add new item to the Determination:</w:t>
      </w:r>
      <w:bookmarkEnd w:id="143"/>
      <w:bookmarkEnd w:id="1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Recommended listing"/>
      </w:tblPr>
      <w:tblGrid>
        <w:gridCol w:w="1691"/>
        <w:gridCol w:w="992"/>
        <w:gridCol w:w="1140"/>
        <w:gridCol w:w="4110"/>
        <w:gridCol w:w="1084"/>
      </w:tblGrid>
      <w:tr w:rsidR="001D48F5" w:rsidRPr="009F57D8" w14:paraId="1515DB68" w14:textId="77777777" w:rsidTr="001D48F5">
        <w:trPr>
          <w:cantSplit/>
          <w:trHeight w:val="463"/>
        </w:trPr>
        <w:tc>
          <w:tcPr>
            <w:tcW w:w="938" w:type="pct"/>
          </w:tcPr>
          <w:p w14:paraId="7E84A501" w14:textId="77777777" w:rsidR="00B57409" w:rsidRPr="009F57D8" w:rsidRDefault="00B57409" w:rsidP="00273906">
            <w:pPr>
              <w:keepNext/>
              <w:widowControl w:val="0"/>
              <w:jc w:val="left"/>
              <w:rPr>
                <w:rFonts w:ascii="Arial Narrow" w:hAnsi="Arial Narrow"/>
                <w:b/>
                <w:i/>
                <w:iCs/>
                <w:sz w:val="20"/>
              </w:rPr>
            </w:pPr>
            <w:r w:rsidRPr="009F57D8">
              <w:rPr>
                <w:rFonts w:ascii="Arial Narrow" w:hAnsi="Arial Narrow"/>
                <w:b/>
                <w:i/>
                <w:iCs/>
                <w:sz w:val="20"/>
              </w:rPr>
              <w:t>Vaccine and the circumstances in which vaccine may be provided</w:t>
            </w:r>
          </w:p>
        </w:tc>
        <w:tc>
          <w:tcPr>
            <w:tcW w:w="550" w:type="pct"/>
          </w:tcPr>
          <w:p w14:paraId="41BB068F" w14:textId="77777777" w:rsidR="00B57409" w:rsidRPr="009F57D8" w:rsidRDefault="00B57409" w:rsidP="00273906">
            <w:pPr>
              <w:keepNext/>
              <w:widowControl w:val="0"/>
              <w:jc w:val="left"/>
              <w:rPr>
                <w:rFonts w:ascii="Arial Narrow" w:hAnsi="Arial Narrow"/>
                <w:b/>
                <w:i/>
                <w:iCs/>
                <w:sz w:val="20"/>
              </w:rPr>
            </w:pPr>
            <w:r w:rsidRPr="009F57D8">
              <w:rPr>
                <w:rFonts w:ascii="Arial Narrow" w:hAnsi="Arial Narrow"/>
                <w:b/>
                <w:i/>
                <w:iCs/>
                <w:sz w:val="20"/>
              </w:rPr>
              <w:t>Brand</w:t>
            </w:r>
          </w:p>
        </w:tc>
        <w:tc>
          <w:tcPr>
            <w:tcW w:w="632" w:type="pct"/>
          </w:tcPr>
          <w:p w14:paraId="3EF764B4" w14:textId="77777777" w:rsidR="00B57409" w:rsidRPr="009F57D8" w:rsidRDefault="00B57409" w:rsidP="00273906">
            <w:pPr>
              <w:keepNext/>
              <w:widowControl w:val="0"/>
              <w:jc w:val="left"/>
              <w:rPr>
                <w:rFonts w:ascii="Arial Narrow" w:hAnsi="Arial Narrow"/>
                <w:b/>
                <w:i/>
                <w:iCs/>
                <w:sz w:val="20"/>
              </w:rPr>
            </w:pPr>
            <w:r w:rsidRPr="009F57D8">
              <w:rPr>
                <w:rFonts w:ascii="Arial Narrow" w:hAnsi="Arial Narrow"/>
                <w:b/>
                <w:i/>
                <w:iCs/>
                <w:sz w:val="20"/>
              </w:rPr>
              <w:t>Formulation</w:t>
            </w:r>
          </w:p>
        </w:tc>
        <w:tc>
          <w:tcPr>
            <w:tcW w:w="2279" w:type="pct"/>
          </w:tcPr>
          <w:p w14:paraId="29892257" w14:textId="596A9850" w:rsidR="00B57409" w:rsidRPr="009F57D8" w:rsidRDefault="00B57409" w:rsidP="00273906">
            <w:pPr>
              <w:keepNext/>
              <w:widowControl w:val="0"/>
              <w:jc w:val="left"/>
              <w:rPr>
                <w:rFonts w:ascii="Arial Narrow" w:hAnsi="Arial Narrow"/>
                <w:b/>
                <w:i/>
                <w:iCs/>
                <w:sz w:val="20"/>
              </w:rPr>
            </w:pPr>
            <w:r w:rsidRPr="009F57D8">
              <w:rPr>
                <w:rFonts w:ascii="Arial Narrow" w:hAnsi="Arial Narrow"/>
                <w:b/>
                <w:i/>
                <w:iCs/>
                <w:sz w:val="20"/>
              </w:rPr>
              <w:t>Active ingredient and strength</w:t>
            </w:r>
          </w:p>
        </w:tc>
        <w:tc>
          <w:tcPr>
            <w:tcW w:w="601" w:type="pct"/>
          </w:tcPr>
          <w:p w14:paraId="33DF358B" w14:textId="5A848903" w:rsidR="00B57409" w:rsidRPr="009F57D8" w:rsidRDefault="00B57409" w:rsidP="00273906">
            <w:pPr>
              <w:keepNext/>
              <w:widowControl w:val="0"/>
              <w:jc w:val="left"/>
              <w:rPr>
                <w:rFonts w:ascii="Arial Narrow" w:hAnsi="Arial Narrow"/>
                <w:b/>
                <w:i/>
                <w:iCs/>
                <w:sz w:val="20"/>
              </w:rPr>
            </w:pPr>
            <w:r w:rsidRPr="009F57D8">
              <w:rPr>
                <w:rFonts w:ascii="Arial Narrow" w:hAnsi="Arial Narrow"/>
                <w:b/>
                <w:i/>
                <w:iCs/>
                <w:sz w:val="20"/>
              </w:rPr>
              <w:t>Number and timing of doses</w:t>
            </w:r>
          </w:p>
        </w:tc>
      </w:tr>
      <w:tr w:rsidR="001D48F5" w:rsidRPr="009F57D8" w14:paraId="4A12A2CE" w14:textId="77777777" w:rsidTr="001D48F5">
        <w:trPr>
          <w:cantSplit/>
          <w:trHeight w:val="567"/>
        </w:trPr>
        <w:tc>
          <w:tcPr>
            <w:tcW w:w="938" w:type="pct"/>
            <w:vAlign w:val="center"/>
          </w:tcPr>
          <w:p w14:paraId="028EEA52" w14:textId="6B4304DB" w:rsidR="00B57409" w:rsidRPr="009F57D8" w:rsidRDefault="00B57409" w:rsidP="00B57409">
            <w:pPr>
              <w:keepNext/>
              <w:jc w:val="left"/>
              <w:rPr>
                <w:rFonts w:ascii="Arial Narrow" w:hAnsi="Arial Narrow"/>
                <w:i/>
                <w:iCs/>
                <w:sz w:val="20"/>
              </w:rPr>
            </w:pPr>
            <w:r w:rsidRPr="009F57D8">
              <w:rPr>
                <w:rFonts w:ascii="Arial Narrow" w:hAnsi="Arial Narrow"/>
                <w:i/>
                <w:iCs/>
                <w:sz w:val="20"/>
              </w:rPr>
              <w:t>Pneumococcal (conjugate, 21-valent) vaccine</w:t>
            </w:r>
          </w:p>
        </w:tc>
        <w:tc>
          <w:tcPr>
            <w:tcW w:w="550" w:type="pct"/>
            <w:vAlign w:val="center"/>
          </w:tcPr>
          <w:p w14:paraId="3FBFEE7B" w14:textId="00AEC03A" w:rsidR="00B57409" w:rsidRPr="009F57D8" w:rsidRDefault="00B57409" w:rsidP="00B57409">
            <w:pPr>
              <w:keepNext/>
              <w:jc w:val="left"/>
              <w:rPr>
                <w:rFonts w:ascii="Arial Narrow" w:hAnsi="Arial Narrow"/>
                <w:i/>
                <w:iCs/>
                <w:sz w:val="20"/>
              </w:rPr>
            </w:pPr>
            <w:r w:rsidRPr="009F57D8">
              <w:rPr>
                <w:rFonts w:ascii="Arial Narrow" w:hAnsi="Arial Narrow"/>
                <w:i/>
                <w:iCs/>
                <w:sz w:val="20"/>
              </w:rPr>
              <w:t>Capvaxive</w:t>
            </w:r>
          </w:p>
        </w:tc>
        <w:tc>
          <w:tcPr>
            <w:tcW w:w="632" w:type="pct"/>
            <w:vAlign w:val="center"/>
          </w:tcPr>
          <w:p w14:paraId="412CC259" w14:textId="77777777" w:rsidR="00B57409" w:rsidRPr="009F57D8" w:rsidRDefault="00B57409" w:rsidP="00B57409">
            <w:pPr>
              <w:keepNext/>
              <w:jc w:val="left"/>
              <w:rPr>
                <w:rFonts w:ascii="Arial Narrow" w:hAnsi="Arial Narrow"/>
                <w:i/>
                <w:iCs/>
                <w:sz w:val="20"/>
              </w:rPr>
            </w:pPr>
            <w:r w:rsidRPr="009F57D8">
              <w:rPr>
                <w:rFonts w:ascii="Arial Narrow" w:hAnsi="Arial Narrow"/>
                <w:i/>
                <w:iCs/>
                <w:sz w:val="20"/>
              </w:rPr>
              <w:t>Injection (0.5mL)</w:t>
            </w:r>
          </w:p>
        </w:tc>
        <w:tc>
          <w:tcPr>
            <w:tcW w:w="2279" w:type="pct"/>
          </w:tcPr>
          <w:p w14:paraId="5FCAF1D0" w14:textId="0FF24658" w:rsidR="00B57409" w:rsidRPr="009F57D8" w:rsidRDefault="00B57409" w:rsidP="006D0EA9">
            <w:pPr>
              <w:keepNext/>
              <w:jc w:val="left"/>
              <w:rPr>
                <w:rFonts w:ascii="Arial Narrow" w:hAnsi="Arial Narrow"/>
                <w:i/>
                <w:iCs/>
                <w:sz w:val="20"/>
              </w:rPr>
            </w:pPr>
            <w:r w:rsidRPr="009F57D8">
              <w:rPr>
                <w:rFonts w:ascii="Arial Narrow" w:hAnsi="Arial Narrow"/>
                <w:i/>
                <w:iCs/>
                <w:sz w:val="20"/>
              </w:rPr>
              <w:t>84 mc</w:t>
            </w:r>
            <w:r w:rsidR="0070046C" w:rsidRPr="009F57D8">
              <w:rPr>
                <w:rFonts w:ascii="Arial Narrow" w:hAnsi="Arial Narrow"/>
                <w:i/>
                <w:iCs/>
                <w:sz w:val="20"/>
              </w:rPr>
              <w:t>g</w:t>
            </w:r>
            <w:r w:rsidRPr="009F57D8">
              <w:rPr>
                <w:rFonts w:ascii="Arial Narrow" w:hAnsi="Arial Narrow"/>
                <w:i/>
                <w:iCs/>
                <w:sz w:val="20"/>
              </w:rPr>
              <w:t xml:space="preserve"> of pneumococcal purified capsular polysaccharide antigen (4</w:t>
            </w:r>
            <w:r w:rsidR="0070046C" w:rsidRPr="009F57D8">
              <w:rPr>
                <w:rFonts w:ascii="Arial Narrow" w:hAnsi="Arial Narrow"/>
                <w:i/>
                <w:iCs/>
                <w:sz w:val="20"/>
              </w:rPr>
              <w:t> mcg</w:t>
            </w:r>
            <w:r w:rsidRPr="009F57D8">
              <w:rPr>
                <w:rFonts w:ascii="Arial Narrow" w:hAnsi="Arial Narrow"/>
                <w:i/>
                <w:iCs/>
                <w:sz w:val="20"/>
              </w:rPr>
              <w:t xml:space="preserve"> each of polysaccharide serotypes 3, 6A, 7F, 8, 9N, 10A, 11A, 12F, 15A, deOAc15B, 16F, 17F, 19A, 20A, 22F, 23A, 23B, 24F, 31, 33F, and 35B) conjugated to approximately 65 mcg of diphtheria CRM197 protein.</w:t>
            </w:r>
          </w:p>
        </w:tc>
        <w:tc>
          <w:tcPr>
            <w:tcW w:w="601" w:type="pct"/>
            <w:vAlign w:val="center"/>
          </w:tcPr>
          <w:p w14:paraId="6D289CC2" w14:textId="7D4F21A7" w:rsidR="00B57409" w:rsidRPr="009F57D8" w:rsidRDefault="00B57409" w:rsidP="00B57409">
            <w:pPr>
              <w:keepNext/>
              <w:jc w:val="left"/>
              <w:rPr>
                <w:rFonts w:ascii="Arial Narrow" w:hAnsi="Arial Narrow"/>
                <w:i/>
                <w:iCs/>
                <w:sz w:val="20"/>
              </w:rPr>
            </w:pPr>
            <w:r w:rsidRPr="009F57D8">
              <w:rPr>
                <w:rFonts w:ascii="Arial Narrow" w:hAnsi="Arial Narrow"/>
                <w:i/>
                <w:iCs/>
                <w:sz w:val="20"/>
              </w:rPr>
              <w:t>1 dose</w:t>
            </w:r>
          </w:p>
        </w:tc>
      </w:tr>
      <w:tr w:rsidR="00834121" w:rsidRPr="009F57D8" w14:paraId="7FED3F23" w14:textId="77777777" w:rsidTr="00834121">
        <w:trPr>
          <w:cantSplit/>
          <w:trHeight w:val="567"/>
        </w:trPr>
        <w:tc>
          <w:tcPr>
            <w:tcW w:w="5000" w:type="pct"/>
            <w:gridSpan w:val="5"/>
          </w:tcPr>
          <w:p w14:paraId="47FC9B11" w14:textId="307BB941" w:rsidR="00834121" w:rsidRPr="009F57D8" w:rsidRDefault="00834121">
            <w:pPr>
              <w:keepNext/>
              <w:rPr>
                <w:rFonts w:ascii="Arial Narrow" w:hAnsi="Arial Narrow"/>
                <w:i/>
                <w:iCs/>
                <w:sz w:val="20"/>
              </w:rPr>
            </w:pPr>
            <w:r w:rsidRPr="009F57D8">
              <w:rPr>
                <w:rFonts w:ascii="Arial Narrow" w:hAnsi="Arial Narrow"/>
                <w:i/>
                <w:iCs/>
                <w:sz w:val="20"/>
              </w:rPr>
              <w:t>Circumstances</w:t>
            </w:r>
          </w:p>
          <w:p w14:paraId="40D5BA09" w14:textId="77777777" w:rsidR="00834121" w:rsidRPr="009F57D8" w:rsidRDefault="00834121">
            <w:pPr>
              <w:keepNext/>
              <w:rPr>
                <w:rFonts w:ascii="Arial Narrow" w:hAnsi="Arial Narrow"/>
                <w:i/>
                <w:iCs/>
                <w:sz w:val="20"/>
              </w:rPr>
            </w:pPr>
            <w:r w:rsidRPr="009F57D8">
              <w:rPr>
                <w:rFonts w:ascii="Arial Narrow" w:hAnsi="Arial Narrow"/>
                <w:i/>
                <w:iCs/>
                <w:sz w:val="20"/>
              </w:rPr>
              <w:t>Vaccine may be provided in the following circumstances:</w:t>
            </w:r>
          </w:p>
          <w:p w14:paraId="624EC375" w14:textId="77777777" w:rsidR="00834121" w:rsidRPr="009F57D8" w:rsidRDefault="00834121">
            <w:pPr>
              <w:pStyle w:val="zr1"/>
              <w:shd w:val="clear" w:color="auto" w:fill="FFFFFF"/>
              <w:spacing w:before="0" w:beforeAutospacing="0" w:after="0" w:afterAutospacing="0"/>
              <w:rPr>
                <w:rFonts w:ascii="Arial Narrow" w:hAnsi="Arial Narrow"/>
                <w:i/>
                <w:iCs/>
                <w:color w:val="000000"/>
                <w:sz w:val="20"/>
                <w:szCs w:val="20"/>
              </w:rPr>
            </w:pPr>
            <w:r w:rsidRPr="009F57D8">
              <w:rPr>
                <w:rFonts w:ascii="Arial Narrow" w:hAnsi="Arial Narrow"/>
                <w:i/>
                <w:iCs/>
                <w:color w:val="000000"/>
                <w:sz w:val="20"/>
                <w:szCs w:val="20"/>
              </w:rPr>
              <w:t>(a) a dose of the vaccine may be provided to a person:</w:t>
            </w:r>
          </w:p>
          <w:p w14:paraId="02AD57B1" w14:textId="77777777" w:rsidR="00834121" w:rsidRPr="009F57D8" w:rsidRDefault="00834121">
            <w:pPr>
              <w:pStyle w:val="p2"/>
              <w:shd w:val="clear" w:color="auto" w:fill="FFFFFF"/>
              <w:spacing w:before="0" w:beforeAutospacing="0" w:after="0" w:afterAutospacing="0"/>
              <w:ind w:left="720"/>
              <w:rPr>
                <w:rFonts w:ascii="Arial Narrow" w:hAnsi="Arial Narrow"/>
                <w:i/>
                <w:iCs/>
                <w:color w:val="000000"/>
                <w:sz w:val="20"/>
                <w:szCs w:val="20"/>
              </w:rPr>
            </w:pPr>
            <w:r w:rsidRPr="009F57D8">
              <w:rPr>
                <w:rFonts w:ascii="Arial Narrow" w:hAnsi="Arial Narrow"/>
                <w:i/>
                <w:iCs/>
                <w:color w:val="000000"/>
                <w:sz w:val="20"/>
                <w:szCs w:val="20"/>
              </w:rPr>
              <w:t>(i) who is at least 18 years of age and has one or more of the following medical risk conditions:</w:t>
            </w:r>
          </w:p>
          <w:p w14:paraId="4F09E243" w14:textId="77777777" w:rsidR="00834121" w:rsidRPr="009F57D8" w:rsidRDefault="00834121">
            <w:pPr>
              <w:pStyle w:val="p3"/>
              <w:shd w:val="clear" w:color="auto" w:fill="FFFFFF"/>
              <w:spacing w:before="0" w:beforeAutospacing="0" w:after="0" w:afterAutospacing="0"/>
              <w:ind w:left="1418"/>
              <w:rPr>
                <w:rFonts w:ascii="Arial Narrow" w:hAnsi="Arial Narrow"/>
                <w:i/>
                <w:iCs/>
                <w:color w:val="000000"/>
                <w:sz w:val="20"/>
                <w:szCs w:val="20"/>
              </w:rPr>
            </w:pPr>
            <w:r w:rsidRPr="009F57D8">
              <w:rPr>
                <w:rFonts w:ascii="Arial Narrow" w:hAnsi="Arial Narrow"/>
                <w:i/>
                <w:iCs/>
                <w:color w:val="000000"/>
                <w:sz w:val="20"/>
                <w:szCs w:val="20"/>
              </w:rPr>
              <w:t>(A) functional or anatomical asplenia including sickle cell disease, other haemoglobinopathies, congenital or acquired asplenia (e.g. splenectomy) or hyposplenia; or</w:t>
            </w:r>
          </w:p>
          <w:p w14:paraId="493A10B0" w14:textId="77777777" w:rsidR="00834121" w:rsidRPr="009F57D8" w:rsidRDefault="00834121">
            <w:pPr>
              <w:pStyle w:val="p3"/>
              <w:shd w:val="clear" w:color="auto" w:fill="FFFFFF"/>
              <w:spacing w:before="0" w:beforeAutospacing="0" w:after="0" w:afterAutospacing="0"/>
              <w:ind w:left="1418"/>
              <w:rPr>
                <w:rFonts w:ascii="Arial Narrow" w:hAnsi="Arial Narrow"/>
                <w:i/>
                <w:iCs/>
                <w:color w:val="000000"/>
                <w:sz w:val="20"/>
                <w:szCs w:val="20"/>
              </w:rPr>
            </w:pPr>
            <w:r w:rsidRPr="009F57D8">
              <w:rPr>
                <w:rFonts w:ascii="Arial Narrow" w:hAnsi="Arial Narrow"/>
                <w:i/>
                <w:iCs/>
                <w:color w:val="000000"/>
                <w:sz w:val="20"/>
                <w:szCs w:val="20"/>
              </w:rPr>
              <w:t>(B) immunocompromising conditions including congenital or acquired immune deficiency including symptomatic IgG subclass or isolated IgA deficiency, haematological malignancies, solid organ transplant haematopoietic stem cell transplant (HSCT) or HIV infection; or</w:t>
            </w:r>
          </w:p>
          <w:p w14:paraId="539F1371" w14:textId="7167C627" w:rsidR="00834121" w:rsidRPr="009F57D8" w:rsidRDefault="00834121">
            <w:pPr>
              <w:pStyle w:val="p3"/>
              <w:shd w:val="clear" w:color="auto" w:fill="FFFFFF"/>
              <w:spacing w:before="0" w:beforeAutospacing="0" w:after="0" w:afterAutospacing="0"/>
              <w:ind w:left="1418"/>
              <w:rPr>
                <w:rFonts w:ascii="Arial Narrow" w:hAnsi="Arial Narrow"/>
                <w:i/>
                <w:iCs/>
                <w:color w:val="000000"/>
                <w:sz w:val="20"/>
                <w:szCs w:val="20"/>
              </w:rPr>
            </w:pPr>
            <w:r w:rsidRPr="009F57D8">
              <w:rPr>
                <w:rFonts w:ascii="Arial Narrow" w:hAnsi="Arial Narrow"/>
                <w:i/>
                <w:iCs/>
                <w:color w:val="000000"/>
                <w:sz w:val="20"/>
                <w:szCs w:val="20"/>
              </w:rPr>
              <w:t xml:space="preserve">(C) chronic respiratory disease including suppurative lung disease, bronchiectasis and cystic fibrosis or chronic lung disease of prematurity </w:t>
            </w:r>
            <w:r w:rsidRPr="009F57D8">
              <w:rPr>
                <w:rFonts w:ascii="Arial Narrow" w:hAnsi="Arial Narrow"/>
                <w:i/>
                <w:iCs/>
                <w:color w:val="FF0000"/>
                <w:sz w:val="20"/>
                <w:szCs w:val="20"/>
              </w:rPr>
              <w:t>or chronic obstructive pulmonary disease (COPD)</w:t>
            </w:r>
            <w:r w:rsidRPr="009F57D8">
              <w:rPr>
                <w:rFonts w:ascii="Arial Narrow" w:hAnsi="Arial Narrow"/>
                <w:i/>
                <w:iCs/>
                <w:color w:val="000000"/>
                <w:sz w:val="20"/>
                <w:szCs w:val="20"/>
              </w:rPr>
              <w:t>; or</w:t>
            </w:r>
          </w:p>
          <w:p w14:paraId="18B9B849" w14:textId="77777777" w:rsidR="00834121" w:rsidRPr="009F57D8" w:rsidRDefault="00834121">
            <w:pPr>
              <w:pStyle w:val="p3"/>
              <w:shd w:val="clear" w:color="auto" w:fill="FFFFFF"/>
              <w:spacing w:before="0" w:beforeAutospacing="0" w:after="0" w:afterAutospacing="0"/>
              <w:ind w:left="1418"/>
              <w:rPr>
                <w:rFonts w:ascii="Arial Narrow" w:hAnsi="Arial Narrow"/>
                <w:i/>
                <w:iCs/>
                <w:color w:val="000000"/>
                <w:sz w:val="20"/>
                <w:szCs w:val="20"/>
              </w:rPr>
            </w:pPr>
            <w:r w:rsidRPr="009F57D8">
              <w:rPr>
                <w:rFonts w:ascii="Arial Narrow" w:hAnsi="Arial Narrow"/>
                <w:i/>
                <w:iCs/>
                <w:color w:val="000000"/>
                <w:sz w:val="20"/>
                <w:szCs w:val="20"/>
              </w:rPr>
              <w:t>(D) chronic renal disease including: end stage renal disease – eGFR &lt;15mL/min or relapsing or persistent nephrotic syndrome; or</w:t>
            </w:r>
          </w:p>
          <w:p w14:paraId="27DF8104" w14:textId="77777777" w:rsidR="00834121" w:rsidRPr="009F57D8" w:rsidRDefault="00834121">
            <w:pPr>
              <w:pStyle w:val="p3"/>
              <w:shd w:val="clear" w:color="auto" w:fill="FFFFFF"/>
              <w:spacing w:before="0" w:beforeAutospacing="0" w:after="0" w:afterAutospacing="0"/>
              <w:ind w:left="2693" w:hanging="1253"/>
              <w:rPr>
                <w:rFonts w:ascii="Arial Narrow" w:hAnsi="Arial Narrow"/>
                <w:i/>
                <w:iCs/>
                <w:color w:val="000000"/>
                <w:sz w:val="20"/>
                <w:szCs w:val="20"/>
              </w:rPr>
            </w:pPr>
            <w:r w:rsidRPr="009F57D8">
              <w:rPr>
                <w:rFonts w:ascii="Arial Narrow" w:hAnsi="Arial Narrow"/>
                <w:i/>
                <w:iCs/>
                <w:color w:val="000000"/>
                <w:sz w:val="20"/>
                <w:szCs w:val="20"/>
              </w:rPr>
              <w:t>(E) proven or presumptive cerebrospinal fluid (CSF) leak; or</w:t>
            </w:r>
          </w:p>
          <w:p w14:paraId="44654EA5" w14:textId="77777777" w:rsidR="00834121" w:rsidRPr="009F57D8" w:rsidRDefault="00834121">
            <w:pPr>
              <w:pStyle w:val="p3"/>
              <w:shd w:val="clear" w:color="auto" w:fill="FFFFFF"/>
              <w:spacing w:before="0" w:beforeAutospacing="0" w:after="0" w:afterAutospacing="0"/>
              <w:ind w:left="4133" w:hanging="2693"/>
              <w:rPr>
                <w:rFonts w:ascii="Arial Narrow" w:hAnsi="Arial Narrow"/>
                <w:i/>
                <w:iCs/>
                <w:color w:val="000000"/>
                <w:sz w:val="20"/>
                <w:szCs w:val="20"/>
              </w:rPr>
            </w:pPr>
            <w:r w:rsidRPr="009F57D8">
              <w:rPr>
                <w:rFonts w:ascii="Arial Narrow" w:hAnsi="Arial Narrow"/>
                <w:i/>
                <w:iCs/>
                <w:color w:val="000000"/>
                <w:sz w:val="20"/>
                <w:szCs w:val="20"/>
              </w:rPr>
              <w:t>(F) cochlear implants; or</w:t>
            </w:r>
          </w:p>
          <w:p w14:paraId="7D86E1C2" w14:textId="77777777" w:rsidR="00834121" w:rsidRPr="009F57D8" w:rsidRDefault="00834121">
            <w:pPr>
              <w:pStyle w:val="p3"/>
              <w:shd w:val="clear" w:color="auto" w:fill="FFFFFF"/>
              <w:spacing w:before="0" w:beforeAutospacing="0" w:after="0" w:afterAutospacing="0"/>
              <w:ind w:left="4133" w:hanging="2693"/>
              <w:rPr>
                <w:rFonts w:ascii="Arial Narrow" w:hAnsi="Arial Narrow"/>
                <w:i/>
                <w:iCs/>
                <w:color w:val="000000"/>
                <w:sz w:val="20"/>
                <w:szCs w:val="20"/>
              </w:rPr>
            </w:pPr>
            <w:r w:rsidRPr="009F57D8">
              <w:rPr>
                <w:rFonts w:ascii="Arial Narrow" w:hAnsi="Arial Narrow"/>
                <w:i/>
                <w:iCs/>
                <w:color w:val="000000"/>
                <w:sz w:val="20"/>
                <w:szCs w:val="20"/>
              </w:rPr>
              <w:t>(G) intracranial shunts; or</w:t>
            </w:r>
          </w:p>
          <w:p w14:paraId="7093646C" w14:textId="77777777" w:rsidR="00834121" w:rsidRPr="009F57D8" w:rsidRDefault="00834121">
            <w:pPr>
              <w:pStyle w:val="p3"/>
              <w:shd w:val="clear" w:color="auto" w:fill="FFFFFF"/>
              <w:spacing w:before="0" w:beforeAutospacing="0" w:after="0" w:afterAutospacing="0"/>
              <w:ind w:left="4133" w:hanging="2693"/>
              <w:rPr>
                <w:rFonts w:ascii="Arial Narrow" w:hAnsi="Arial Narrow"/>
                <w:i/>
                <w:iCs/>
                <w:color w:val="000000"/>
                <w:sz w:val="20"/>
                <w:szCs w:val="20"/>
              </w:rPr>
            </w:pPr>
            <w:r w:rsidRPr="009F57D8">
              <w:rPr>
                <w:rFonts w:ascii="Arial Narrow" w:hAnsi="Arial Narrow"/>
                <w:i/>
                <w:iCs/>
                <w:color w:val="000000"/>
                <w:sz w:val="20"/>
                <w:szCs w:val="20"/>
              </w:rPr>
              <w:t>(H) previous episode of invasive pneumococcal disease (IPD)</w:t>
            </w:r>
            <w:r w:rsidRPr="009F57D8">
              <w:rPr>
                <w:rFonts w:ascii="Arial Narrow" w:hAnsi="Arial Narrow"/>
                <w:i/>
                <w:iCs/>
                <w:color w:val="FF0000"/>
                <w:sz w:val="20"/>
                <w:szCs w:val="20"/>
              </w:rPr>
              <w:t>; or</w:t>
            </w:r>
            <w:r w:rsidRPr="009F57D8">
              <w:rPr>
                <w:rFonts w:ascii="Arial Narrow" w:hAnsi="Arial Narrow"/>
                <w:i/>
                <w:iCs/>
                <w:color w:val="000000"/>
                <w:sz w:val="20"/>
                <w:szCs w:val="20"/>
              </w:rPr>
              <w:t xml:space="preserve"> </w:t>
            </w:r>
          </w:p>
          <w:p w14:paraId="0B27E5A1" w14:textId="23362E1A" w:rsidR="00834121" w:rsidRPr="009F57D8" w:rsidRDefault="00834121">
            <w:pPr>
              <w:pStyle w:val="p3"/>
              <w:shd w:val="clear" w:color="auto" w:fill="FFFFFF"/>
              <w:spacing w:before="0" w:beforeAutospacing="0" w:after="0" w:afterAutospacing="0"/>
              <w:ind w:left="4133" w:hanging="2693"/>
              <w:rPr>
                <w:rFonts w:ascii="Arial Narrow" w:hAnsi="Arial Narrow"/>
                <w:i/>
                <w:iCs/>
                <w:color w:val="FF0000"/>
                <w:sz w:val="20"/>
                <w:szCs w:val="20"/>
              </w:rPr>
            </w:pPr>
            <w:r w:rsidRPr="009F57D8">
              <w:rPr>
                <w:rFonts w:ascii="Arial Narrow" w:hAnsi="Arial Narrow"/>
                <w:i/>
                <w:iCs/>
                <w:color w:val="FF0000"/>
                <w:sz w:val="20"/>
                <w:szCs w:val="20"/>
              </w:rPr>
              <w:t>(I) chronic liver disease</w:t>
            </w:r>
            <w:r w:rsidRPr="009F57D8">
              <w:rPr>
                <w:rFonts w:ascii="Arial Narrow" w:hAnsi="Arial Narrow"/>
                <w:i/>
                <w:iCs/>
                <w:sz w:val="20"/>
                <w:szCs w:val="20"/>
              </w:rPr>
              <w:t>.</w:t>
            </w:r>
          </w:p>
          <w:p w14:paraId="3C2480AE" w14:textId="77777777" w:rsidR="00834121" w:rsidRPr="009F57D8" w:rsidRDefault="00834121">
            <w:pPr>
              <w:pStyle w:val="zp1"/>
              <w:shd w:val="clear" w:color="auto" w:fill="FFFFFF"/>
              <w:spacing w:before="0" w:beforeAutospacing="0" w:after="0" w:afterAutospacing="0"/>
              <w:ind w:left="1418" w:hanging="1418"/>
              <w:rPr>
                <w:rFonts w:ascii="Arial Narrow" w:hAnsi="Arial Narrow"/>
                <w:i/>
                <w:iCs/>
                <w:color w:val="000000"/>
                <w:sz w:val="20"/>
                <w:szCs w:val="20"/>
              </w:rPr>
            </w:pPr>
            <w:r w:rsidRPr="009F57D8">
              <w:rPr>
                <w:rFonts w:ascii="Arial Narrow" w:hAnsi="Arial Narrow"/>
                <w:i/>
                <w:iCs/>
                <w:color w:val="000000"/>
                <w:sz w:val="20"/>
                <w:szCs w:val="20"/>
              </w:rPr>
              <w:t>(b) a dose of the vaccine may be provided to a person:</w:t>
            </w:r>
          </w:p>
          <w:p w14:paraId="5F6966AE" w14:textId="77777777" w:rsidR="00834121" w:rsidRPr="009F57D8" w:rsidRDefault="00834121">
            <w:pPr>
              <w:pStyle w:val="p2"/>
              <w:shd w:val="clear" w:color="auto" w:fill="FFFFFF"/>
              <w:spacing w:before="0" w:beforeAutospacing="0" w:after="0" w:afterAutospacing="0"/>
              <w:ind w:left="2705" w:hanging="1985"/>
              <w:rPr>
                <w:rFonts w:ascii="Arial Narrow" w:hAnsi="Arial Narrow"/>
                <w:i/>
                <w:iCs/>
                <w:color w:val="000000"/>
                <w:sz w:val="20"/>
                <w:szCs w:val="20"/>
              </w:rPr>
            </w:pPr>
            <w:r w:rsidRPr="009F57D8">
              <w:rPr>
                <w:rFonts w:ascii="Arial Narrow" w:hAnsi="Arial Narrow"/>
                <w:i/>
                <w:iCs/>
                <w:color w:val="000000"/>
                <w:sz w:val="20"/>
                <w:szCs w:val="20"/>
              </w:rPr>
              <w:t>(i) who is an Aboriginal and/or Torres Strait Islander; and</w:t>
            </w:r>
          </w:p>
          <w:p w14:paraId="69950863" w14:textId="77777777" w:rsidR="00834121" w:rsidRPr="009F57D8" w:rsidRDefault="00834121">
            <w:pPr>
              <w:pStyle w:val="p2"/>
              <w:shd w:val="clear" w:color="auto" w:fill="FFFFFF"/>
              <w:spacing w:before="0" w:beforeAutospacing="0" w:after="0" w:afterAutospacing="0"/>
              <w:ind w:left="2705" w:hanging="1985"/>
              <w:rPr>
                <w:rFonts w:ascii="Arial Narrow" w:hAnsi="Arial Narrow"/>
                <w:i/>
                <w:iCs/>
                <w:color w:val="000000"/>
                <w:sz w:val="20"/>
                <w:szCs w:val="20"/>
              </w:rPr>
            </w:pPr>
            <w:r w:rsidRPr="009F57D8">
              <w:rPr>
                <w:rFonts w:ascii="Arial Narrow" w:hAnsi="Arial Narrow"/>
                <w:i/>
                <w:iCs/>
                <w:color w:val="000000"/>
                <w:sz w:val="20"/>
                <w:szCs w:val="20"/>
              </w:rPr>
              <w:t>(ii) who is at least 25 years.</w:t>
            </w:r>
          </w:p>
          <w:p w14:paraId="156F9C61" w14:textId="77777777" w:rsidR="00834121" w:rsidRPr="009F57D8" w:rsidRDefault="00834121">
            <w:pPr>
              <w:pStyle w:val="zp1"/>
              <w:shd w:val="clear" w:color="auto" w:fill="FFFFFF"/>
              <w:spacing w:before="0" w:beforeAutospacing="0" w:after="0" w:afterAutospacing="0"/>
              <w:ind w:left="1418" w:hanging="1418"/>
              <w:rPr>
                <w:rFonts w:ascii="Arial Narrow" w:hAnsi="Arial Narrow"/>
                <w:i/>
                <w:iCs/>
                <w:color w:val="000000"/>
                <w:sz w:val="20"/>
                <w:szCs w:val="20"/>
              </w:rPr>
            </w:pPr>
            <w:r w:rsidRPr="009F57D8">
              <w:rPr>
                <w:rFonts w:ascii="Arial Narrow" w:hAnsi="Arial Narrow"/>
                <w:i/>
                <w:iCs/>
                <w:color w:val="000000"/>
                <w:sz w:val="20"/>
                <w:szCs w:val="20"/>
              </w:rPr>
              <w:t>(c) a dose of the vaccine may be provided to a person:</w:t>
            </w:r>
          </w:p>
          <w:p w14:paraId="75CEE39E" w14:textId="77777777" w:rsidR="00834121" w:rsidRPr="009F57D8" w:rsidRDefault="00834121">
            <w:pPr>
              <w:pStyle w:val="p2"/>
              <w:shd w:val="clear" w:color="auto" w:fill="FFFFFF"/>
              <w:spacing w:before="0" w:beforeAutospacing="0" w:after="0" w:afterAutospacing="0"/>
              <w:ind w:left="2705" w:hanging="1985"/>
              <w:rPr>
                <w:rFonts w:ascii="Arial Narrow" w:hAnsi="Arial Narrow"/>
                <w:i/>
                <w:iCs/>
                <w:color w:val="000000"/>
                <w:sz w:val="20"/>
                <w:szCs w:val="20"/>
              </w:rPr>
            </w:pPr>
            <w:r w:rsidRPr="009F57D8">
              <w:rPr>
                <w:rFonts w:ascii="Arial Narrow" w:hAnsi="Arial Narrow"/>
                <w:i/>
                <w:iCs/>
                <w:color w:val="000000"/>
                <w:sz w:val="20"/>
                <w:szCs w:val="20"/>
              </w:rPr>
              <w:t>(i) who is not an Aboriginal and/or Torres Strait Islander; and</w:t>
            </w:r>
          </w:p>
          <w:p w14:paraId="1CFF0EF3" w14:textId="5148BABC" w:rsidR="00834121" w:rsidRPr="009F57D8" w:rsidRDefault="00834121">
            <w:pPr>
              <w:pStyle w:val="p2"/>
              <w:shd w:val="clear" w:color="auto" w:fill="FFFFFF"/>
              <w:spacing w:before="0" w:beforeAutospacing="0" w:after="0" w:afterAutospacing="0"/>
              <w:ind w:left="2705" w:hanging="1985"/>
              <w:rPr>
                <w:rFonts w:ascii="Arial Narrow" w:hAnsi="Arial Narrow"/>
                <w:i/>
                <w:iCs/>
                <w:color w:val="000000"/>
                <w:sz w:val="20"/>
                <w:szCs w:val="20"/>
              </w:rPr>
            </w:pPr>
            <w:r w:rsidRPr="009F57D8">
              <w:rPr>
                <w:rFonts w:ascii="Arial Narrow" w:hAnsi="Arial Narrow"/>
                <w:i/>
                <w:iCs/>
                <w:color w:val="000000"/>
                <w:sz w:val="20"/>
                <w:szCs w:val="20"/>
              </w:rPr>
              <w:t xml:space="preserve">(ii) who is at least </w:t>
            </w:r>
            <w:r w:rsidRPr="009F57D8">
              <w:rPr>
                <w:rFonts w:ascii="Arial Narrow" w:hAnsi="Arial Narrow"/>
                <w:i/>
                <w:iCs/>
                <w:color w:val="FF0000"/>
                <w:sz w:val="20"/>
                <w:szCs w:val="20"/>
              </w:rPr>
              <w:t>65</w:t>
            </w:r>
            <w:r w:rsidRPr="009F57D8">
              <w:rPr>
                <w:rFonts w:ascii="Arial Narrow" w:hAnsi="Arial Narrow"/>
                <w:i/>
                <w:iCs/>
                <w:color w:val="000000"/>
                <w:sz w:val="20"/>
                <w:szCs w:val="20"/>
              </w:rPr>
              <w:t xml:space="preserve"> years.</w:t>
            </w:r>
          </w:p>
        </w:tc>
      </w:tr>
    </w:tbl>
    <w:p w14:paraId="5BFADDBD" w14:textId="77777777" w:rsidR="00FE0BF6" w:rsidRPr="009F57D8" w:rsidRDefault="00FE0BF6" w:rsidP="00FD450C">
      <w:pPr>
        <w:widowControl w:val="0"/>
        <w:rPr>
          <w:rFonts w:asciiTheme="minorHAnsi" w:hAnsiTheme="minorHAnsi"/>
          <w:bCs/>
          <w:snapToGrid w:val="0"/>
        </w:rPr>
      </w:pPr>
    </w:p>
    <w:p w14:paraId="68BDAA26" w14:textId="77777777" w:rsidR="00FD450C" w:rsidRDefault="00FD450C" w:rsidP="00FD450C">
      <w:pPr>
        <w:spacing w:before="120"/>
        <w:rPr>
          <w:rFonts w:asciiTheme="minorHAnsi" w:hAnsiTheme="minorHAnsi"/>
          <w:b/>
          <w:i/>
          <w:iCs/>
          <w:snapToGrid w:val="0"/>
        </w:rPr>
      </w:pPr>
      <w:r w:rsidRPr="009F57D8">
        <w:rPr>
          <w:rFonts w:asciiTheme="minorHAnsi" w:hAnsiTheme="minorHAnsi"/>
          <w:b/>
          <w:i/>
          <w:iCs/>
          <w:snapToGrid w:val="0"/>
        </w:rPr>
        <w:t>These restrictions may be subject to further review. Should there be any changes made to the restriction the sponsor will be informed.</w:t>
      </w:r>
      <w:bookmarkEnd w:id="136"/>
    </w:p>
    <w:p w14:paraId="2D8CEA1A" w14:textId="77777777" w:rsidR="003E145C" w:rsidRPr="003E145C" w:rsidRDefault="003E145C" w:rsidP="003E145C">
      <w:pPr>
        <w:keepNext/>
        <w:spacing w:before="240" w:after="120"/>
        <w:ind w:left="720" w:hanging="720"/>
        <w:jc w:val="left"/>
        <w:outlineLvl w:val="0"/>
        <w:rPr>
          <w:rFonts w:asciiTheme="minorHAnsi" w:hAnsiTheme="minorHAnsi"/>
          <w:b/>
          <w:bCs/>
          <w:snapToGrid w:val="0"/>
          <w:sz w:val="32"/>
          <w:szCs w:val="32"/>
          <w:lang w:val="en-GB"/>
        </w:rPr>
      </w:pPr>
      <w:bookmarkStart w:id="145" w:name="_Hlk218759984"/>
      <w:r w:rsidRPr="003E145C">
        <w:rPr>
          <w:rFonts w:asciiTheme="minorHAnsi" w:hAnsiTheme="minorHAnsi"/>
          <w:b/>
          <w:snapToGrid w:val="0"/>
          <w:sz w:val="32"/>
          <w:szCs w:val="32"/>
        </w:rPr>
        <w:lastRenderedPageBreak/>
        <w:t>9</w:t>
      </w:r>
      <w:r w:rsidRPr="003E145C">
        <w:rPr>
          <w:rFonts w:asciiTheme="minorHAnsi" w:hAnsiTheme="minorHAnsi"/>
          <w:b/>
          <w:snapToGrid w:val="0"/>
          <w:sz w:val="32"/>
          <w:szCs w:val="32"/>
        </w:rPr>
        <w:tab/>
        <w:t>Context for Decision</w:t>
      </w:r>
    </w:p>
    <w:p w14:paraId="11FDC52F" w14:textId="77777777" w:rsidR="003E145C" w:rsidRPr="003E145C" w:rsidRDefault="003E145C" w:rsidP="003E145C">
      <w:pPr>
        <w:spacing w:after="120"/>
        <w:ind w:left="720"/>
        <w:rPr>
          <w:rFonts w:asciiTheme="minorHAnsi" w:hAnsiTheme="minorHAnsi"/>
          <w:bCs/>
          <w:lang w:val="en-GB"/>
        </w:rPr>
      </w:pPr>
      <w:r w:rsidRPr="003E145C">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bookmarkEnd w:id="145"/>
    <w:p w14:paraId="7664549A" w14:textId="7A4DEEB9" w:rsidR="00E77064" w:rsidRPr="00FB3BCB" w:rsidRDefault="00C06C8D" w:rsidP="00FB3BCB">
      <w:pPr>
        <w:keepNext/>
        <w:spacing w:before="240" w:after="120"/>
        <w:ind w:left="720" w:hanging="720"/>
        <w:jc w:val="left"/>
        <w:outlineLvl w:val="0"/>
        <w:rPr>
          <w:rFonts w:asciiTheme="minorHAnsi" w:hAnsiTheme="minorHAnsi"/>
          <w:b/>
          <w:snapToGrid w:val="0"/>
          <w:sz w:val="32"/>
          <w:szCs w:val="32"/>
        </w:rPr>
      </w:pPr>
      <w:r w:rsidRPr="00C06C8D">
        <w:rPr>
          <w:rFonts w:asciiTheme="minorHAnsi" w:hAnsiTheme="minorHAnsi"/>
          <w:b/>
          <w:snapToGrid w:val="0"/>
          <w:sz w:val="32"/>
          <w:szCs w:val="32"/>
        </w:rPr>
        <w:t>10</w:t>
      </w:r>
      <w:r w:rsidRPr="00C06C8D">
        <w:rPr>
          <w:rFonts w:asciiTheme="minorHAnsi" w:hAnsiTheme="minorHAnsi"/>
          <w:b/>
          <w:snapToGrid w:val="0"/>
          <w:sz w:val="32"/>
          <w:szCs w:val="32"/>
        </w:rPr>
        <w:tab/>
        <w:t>Sponsor’s Comment</w:t>
      </w:r>
    </w:p>
    <w:p w14:paraId="5A92835F" w14:textId="77777777" w:rsidR="00E77064" w:rsidRPr="00E77064" w:rsidRDefault="00E77064" w:rsidP="00E77064">
      <w:pPr>
        <w:spacing w:after="120" w:line="276" w:lineRule="auto"/>
        <w:ind w:left="720"/>
        <w:rPr>
          <w:rFonts w:asciiTheme="minorHAnsi" w:eastAsiaTheme="minorHAnsi" w:hAnsiTheme="minorHAnsi"/>
          <w:bCs/>
          <w:szCs w:val="22"/>
          <w:lang w:eastAsia="en-US"/>
        </w:rPr>
      </w:pPr>
      <w:r w:rsidRPr="00E77064">
        <w:rPr>
          <w:rFonts w:asciiTheme="minorHAnsi" w:eastAsiaTheme="minorHAnsi" w:hAnsiTheme="minorHAnsi"/>
          <w:bCs/>
          <w:szCs w:val="22"/>
          <w:lang w:eastAsia="en-US"/>
        </w:rPr>
        <w:t>The sponsor had no comment.</w:t>
      </w:r>
    </w:p>
    <w:p w14:paraId="28E3E559" w14:textId="77777777" w:rsidR="00E77064" w:rsidRPr="009F57D8" w:rsidRDefault="00E77064" w:rsidP="00C06C8D">
      <w:pPr>
        <w:spacing w:before="120"/>
        <w:ind w:left="720"/>
        <w:rPr>
          <w:rFonts w:asciiTheme="minorHAnsi" w:hAnsiTheme="minorHAnsi"/>
          <w:b/>
          <w:i/>
          <w:iCs/>
          <w:snapToGrid w:val="0"/>
        </w:rPr>
      </w:pPr>
    </w:p>
    <w:sectPr w:rsidR="00E77064" w:rsidRPr="009F57D8" w:rsidSect="00615821">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C118" w14:textId="77777777" w:rsidR="002906EC" w:rsidRPr="0071576F" w:rsidRDefault="002906EC" w:rsidP="00124A51">
      <w:r w:rsidRPr="0071576F">
        <w:separator/>
      </w:r>
    </w:p>
    <w:p w14:paraId="03B19076" w14:textId="77777777" w:rsidR="002906EC" w:rsidRPr="0071576F" w:rsidRDefault="002906EC"/>
  </w:endnote>
  <w:endnote w:type="continuationSeparator" w:id="0">
    <w:p w14:paraId="6538CDD6" w14:textId="77777777" w:rsidR="002906EC" w:rsidRPr="0071576F" w:rsidRDefault="002906EC" w:rsidP="00124A51">
      <w:r w:rsidRPr="0071576F">
        <w:continuationSeparator/>
      </w:r>
    </w:p>
    <w:p w14:paraId="4F3D83D3" w14:textId="77777777" w:rsidR="002906EC" w:rsidRPr="0071576F" w:rsidRDefault="00290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D5BA" w14:textId="4EE81317" w:rsidR="00F62898" w:rsidRDefault="00F62898">
    <w:pPr>
      <w:pStyle w:val="Footer"/>
    </w:pPr>
    <w:r>
      <w:rPr>
        <w:noProof/>
      </w:rPr>
      <mc:AlternateContent>
        <mc:Choice Requires="wps">
          <w:drawing>
            <wp:anchor distT="0" distB="0" distL="0" distR="0" simplePos="0" relativeHeight="251658244" behindDoc="0" locked="0" layoutInCell="1" allowOverlap="1" wp14:anchorId="38312C74" wp14:editId="780C75CA">
              <wp:simplePos x="635" y="635"/>
              <wp:positionH relativeFrom="page">
                <wp:align>center</wp:align>
              </wp:positionH>
              <wp:positionV relativeFrom="page">
                <wp:align>bottom</wp:align>
              </wp:positionV>
              <wp:extent cx="622300" cy="376555"/>
              <wp:effectExtent l="0" t="0" r="6350" b="0"/>
              <wp:wrapNone/>
              <wp:docPr id="17410362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841954" w14:textId="26CC814F"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312C74"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0841954" w14:textId="26CC814F"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FB89" w14:textId="233CD185" w:rsidR="00A03C7A" w:rsidRPr="0071576F" w:rsidRDefault="00F62898" w:rsidP="00753B29">
    <w:pPr>
      <w:pStyle w:val="Footer"/>
      <w:jc w:val="center"/>
    </w:pPr>
    <w:r>
      <w:rPr>
        <w:noProof/>
      </w:rPr>
      <mc:AlternateContent>
        <mc:Choice Requires="wps">
          <w:drawing>
            <wp:anchor distT="0" distB="0" distL="0" distR="0" simplePos="0" relativeHeight="251658245" behindDoc="0" locked="0" layoutInCell="1" allowOverlap="1" wp14:anchorId="6F3EA232" wp14:editId="4E14C265">
              <wp:simplePos x="635" y="635"/>
              <wp:positionH relativeFrom="page">
                <wp:align>center</wp:align>
              </wp:positionH>
              <wp:positionV relativeFrom="page">
                <wp:align>bottom</wp:align>
              </wp:positionV>
              <wp:extent cx="622300" cy="376555"/>
              <wp:effectExtent l="0" t="0" r="6350" b="0"/>
              <wp:wrapNone/>
              <wp:docPr id="20788070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7DA1F3" w14:textId="07BADDE5"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EA232"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D7DA1F3" w14:textId="07BADDE5"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v:textbox>
              <w10:wrap anchorx="page" anchory="page"/>
            </v:shape>
          </w:pict>
        </mc:Fallback>
      </mc:AlternateContent>
    </w:r>
  </w:p>
  <w:p w14:paraId="14A58EAA" w14:textId="6653649F" w:rsidR="00A03C7A" w:rsidRPr="0071576F" w:rsidRDefault="00000000" w:rsidP="006028D3">
    <w:pPr>
      <w:pStyle w:val="PageFooter"/>
    </w:pPr>
    <w:sdt>
      <w:sdtPr>
        <w:id w:val="-2116352390"/>
        <w:docPartObj>
          <w:docPartGallery w:val="Page Numbers (Bottom of Page)"/>
          <w:docPartUnique/>
        </w:docPartObj>
      </w:sdtPr>
      <w:sdtEndPr>
        <w:rPr>
          <w:noProof/>
        </w:rPr>
      </w:sdtEndPr>
      <w:sdtContent>
        <w:r w:rsidR="00A03C7A" w:rsidRPr="0071576F">
          <w:fldChar w:fldCharType="begin"/>
        </w:r>
        <w:r w:rsidR="00A03C7A" w:rsidRPr="0071576F">
          <w:instrText xml:space="preserve"> PAGE   \* MERGEFORMAT </w:instrText>
        </w:r>
        <w:r w:rsidR="00A03C7A" w:rsidRPr="0071576F">
          <w:fldChar w:fldCharType="separate"/>
        </w:r>
        <w:r w:rsidR="00A03C7A" w:rsidRPr="0071576F">
          <w:rPr>
            <w:noProof/>
          </w:rPr>
          <w:t>2</w:t>
        </w:r>
        <w:r w:rsidR="00A03C7A" w:rsidRPr="0071576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81F7" w14:textId="1581339B" w:rsidR="00F62898" w:rsidRDefault="00F62898">
    <w:pPr>
      <w:pStyle w:val="Footer"/>
    </w:pPr>
    <w:r>
      <w:rPr>
        <w:noProof/>
      </w:rPr>
      <mc:AlternateContent>
        <mc:Choice Requires="wps">
          <w:drawing>
            <wp:anchor distT="0" distB="0" distL="0" distR="0" simplePos="0" relativeHeight="251658243" behindDoc="0" locked="0" layoutInCell="1" allowOverlap="1" wp14:anchorId="18A5850C" wp14:editId="4DD20F04">
              <wp:simplePos x="635" y="635"/>
              <wp:positionH relativeFrom="page">
                <wp:align>center</wp:align>
              </wp:positionH>
              <wp:positionV relativeFrom="page">
                <wp:align>bottom</wp:align>
              </wp:positionV>
              <wp:extent cx="622300" cy="376555"/>
              <wp:effectExtent l="0" t="0" r="6350" b="0"/>
              <wp:wrapNone/>
              <wp:docPr id="4574761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008788" w14:textId="455C14DE"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5850C"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E008788" w14:textId="455C14DE"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37A" w14:textId="77777777" w:rsidR="002906EC" w:rsidRPr="0071576F" w:rsidRDefault="002906EC" w:rsidP="00124A51">
      <w:r w:rsidRPr="0071576F">
        <w:separator/>
      </w:r>
    </w:p>
    <w:p w14:paraId="4CC8F36E" w14:textId="77777777" w:rsidR="002906EC" w:rsidRPr="0071576F" w:rsidRDefault="002906EC"/>
  </w:footnote>
  <w:footnote w:type="continuationSeparator" w:id="0">
    <w:p w14:paraId="42430EC6" w14:textId="77777777" w:rsidR="002906EC" w:rsidRPr="0071576F" w:rsidRDefault="002906EC" w:rsidP="00124A51">
      <w:r w:rsidRPr="0071576F">
        <w:continuationSeparator/>
      </w:r>
    </w:p>
    <w:p w14:paraId="219A969A" w14:textId="77777777" w:rsidR="002906EC" w:rsidRPr="0071576F" w:rsidRDefault="002906EC"/>
  </w:footnote>
  <w:footnote w:id="1">
    <w:p w14:paraId="723A296F" w14:textId="66CEA402" w:rsidR="008F7887" w:rsidRPr="00863CFD" w:rsidRDefault="008F7887">
      <w:pPr>
        <w:pStyle w:val="FootnoteText"/>
        <w:rPr>
          <w:rFonts w:ascii="Arial Narrow" w:hAnsi="Arial Narrow"/>
        </w:rPr>
      </w:pPr>
      <w:r w:rsidRPr="00863CFD">
        <w:rPr>
          <w:rStyle w:val="FootnoteReference"/>
          <w:rFonts w:ascii="Arial Narrow" w:hAnsi="Arial Narrow"/>
        </w:rPr>
        <w:footnoteRef/>
      </w:r>
      <w:r w:rsidRPr="00863CFD">
        <w:rPr>
          <w:rFonts w:ascii="Arial Narrow" w:hAnsi="Arial Narrow"/>
        </w:rPr>
        <w:t xml:space="preserve"> https://www.pbs.gov.au/info/industry/listing/elements/pbac-meetings/pbac-outcomes/recommendations-made-by-the-pbac-november-2024</w:t>
      </w:r>
    </w:p>
  </w:footnote>
  <w:footnote w:id="2">
    <w:p w14:paraId="2B42CE8D" w14:textId="77777777" w:rsidR="00B84A8C" w:rsidRPr="00863CFD" w:rsidRDefault="00B84A8C" w:rsidP="00B84A8C">
      <w:pPr>
        <w:pStyle w:val="FooterTableFigure"/>
      </w:pPr>
      <w:r w:rsidRPr="00863CFD">
        <w:rPr>
          <w:rStyle w:val="FootnoteReference"/>
          <w:rFonts w:eastAsiaTheme="minorHAnsi"/>
        </w:rPr>
        <w:footnoteRef/>
      </w:r>
      <w:r w:rsidRPr="00863CFD">
        <w:t xml:space="preserve"> </w:t>
      </w:r>
      <w:hyperlink r:id="rId1" w:history="1">
        <w:r w:rsidRPr="00863CFD">
          <w:rPr>
            <w:rStyle w:val="Hyperlink"/>
          </w:rPr>
          <w:t>https://www.pbs.gov.au/info/industry/listing/elements/pbac-meetings/psd/2021-11/pneumococcal-polysaccharide-conjugate-vaccine-15-valent-ads</w:t>
        </w:r>
      </w:hyperlink>
      <w:r w:rsidRPr="00863CFD">
        <w:t xml:space="preserve"> </w:t>
      </w:r>
    </w:p>
  </w:footnote>
  <w:footnote w:id="3">
    <w:p w14:paraId="3CFABF9B" w14:textId="77777777" w:rsidR="00B84A8C" w:rsidRPr="0071576F" w:rsidRDefault="00B84A8C" w:rsidP="00B84A8C">
      <w:pPr>
        <w:pStyle w:val="FooterTableFigure"/>
      </w:pPr>
      <w:r w:rsidRPr="00863CFD">
        <w:rPr>
          <w:rStyle w:val="FootnoteReference"/>
          <w:rFonts w:eastAsiaTheme="minorHAnsi"/>
        </w:rPr>
        <w:footnoteRef/>
      </w:r>
      <w:r w:rsidRPr="00863CFD">
        <w:t xml:space="preserve"> </w:t>
      </w:r>
      <w:hyperlink r:id="rId2" w:history="1">
        <w:r w:rsidRPr="00863CFD">
          <w:rPr>
            <w:rStyle w:val="Hyperlink"/>
          </w:rPr>
          <w:t>https://www.pbs.gov.au/info/industry/listing/elements/pbac-meetings/psd/2022-11/pneumococcal-polysaccharide-conjugate-vaccine-Prevenar-20-PSD-November-2022</w:t>
        </w:r>
      </w:hyperlink>
      <w:r w:rsidRPr="0071576F">
        <w:t xml:space="preserve"> </w:t>
      </w:r>
    </w:p>
  </w:footnote>
  <w:footnote w:id="4">
    <w:p w14:paraId="7A95629D" w14:textId="77777777" w:rsidR="00B84A8C" w:rsidRPr="0071576F" w:rsidRDefault="00B84A8C" w:rsidP="00B84A8C">
      <w:pPr>
        <w:pStyle w:val="FootnoteText"/>
      </w:pPr>
      <w:r w:rsidRPr="0071576F">
        <w:rPr>
          <w:rStyle w:val="FootnoteReference"/>
        </w:rPr>
        <w:footnoteRef/>
      </w:r>
      <w:r w:rsidRPr="0071576F">
        <w:t xml:space="preserve"> </w:t>
      </w:r>
      <w:hyperlink r:id="rId3" w:history="1">
        <w:r w:rsidRPr="0071576F">
          <w:rPr>
            <w:rStyle w:val="Hyperlink"/>
            <w:rFonts w:ascii="Arial Narrow" w:eastAsia="Times New Roman" w:hAnsi="Arial Narrow" w:cs="Arial"/>
            <w:snapToGrid w:val="0"/>
            <w:szCs w:val="22"/>
            <w:lang w:eastAsia="en-AU"/>
          </w:rPr>
          <w:t>https://www.pbs.gov.au/industry/listing/elements/pbac-meetings/pbac-outcomes/2025-05/pbac-web-outcomes-05-2025.pdf</w:t>
        </w:r>
      </w:hyperlink>
      <w:r w:rsidRPr="0071576F">
        <w:t xml:space="preserve"> </w:t>
      </w:r>
    </w:p>
  </w:footnote>
  <w:footnote w:id="5">
    <w:p w14:paraId="4FF521E9" w14:textId="77777777" w:rsidR="00B84A8C" w:rsidRPr="0071576F" w:rsidRDefault="00B84A8C" w:rsidP="00B84A8C">
      <w:pPr>
        <w:pStyle w:val="FootnoteText"/>
      </w:pPr>
      <w:r w:rsidRPr="0071576F">
        <w:rPr>
          <w:rStyle w:val="FootnoteReference"/>
        </w:rPr>
        <w:footnoteRef/>
      </w:r>
      <w:r w:rsidRPr="0071576F">
        <w:t xml:space="preserve"> </w:t>
      </w:r>
      <w:r w:rsidRPr="0071576F">
        <w:rPr>
          <w:rStyle w:val="Hyperlink"/>
          <w:rFonts w:ascii="Arial Narrow" w:eastAsia="Times New Roman" w:hAnsi="Arial Narrow" w:cs="Arial"/>
          <w:snapToGrid w:val="0"/>
          <w:szCs w:val="22"/>
          <w:lang w:eastAsia="en-AU"/>
        </w:rPr>
        <w:t>https://ncirs.org.au/ncirs-fact-sheets-faqs-and-other-resources/pneumococcal-vaccines-frequently-asked-questions-faqs</w:t>
      </w:r>
    </w:p>
  </w:footnote>
  <w:footnote w:id="6">
    <w:p w14:paraId="0A22D1AC" w14:textId="77777777" w:rsidR="00B84A8C" w:rsidRPr="0071576F" w:rsidRDefault="00B84A8C" w:rsidP="00B84A8C">
      <w:pPr>
        <w:pStyle w:val="FootnoteText"/>
      </w:pPr>
      <w:r w:rsidRPr="0071576F">
        <w:rPr>
          <w:rStyle w:val="FootnoteReference"/>
        </w:rPr>
        <w:footnoteRef/>
      </w:r>
      <w:r w:rsidRPr="0071576F">
        <w:t xml:space="preserve"> </w:t>
      </w:r>
      <w:r w:rsidRPr="0071576F">
        <w:rPr>
          <w:rFonts w:ascii="Arial Narrow" w:eastAsia="Times New Roman" w:hAnsi="Arial Narrow" w:cs="Arial"/>
          <w:snapToGrid w:val="0"/>
          <w:szCs w:val="22"/>
          <w:lang w:eastAsia="en-AU"/>
        </w:rPr>
        <w:t>In 2023, 33% (n=48) of all 21vPCV-type-IPD cases in non-Indigenous adults without risk conditions aged ≥65 years occurred in the 65–69-year age cohort, suggesting that lowering the age threshold from 70 years to 65 years would potentially avert 50% more cases of IPD. ATAGI notes this would be the maximum number of cases potentially averted (i.e. assuming 100% vaccine coverage and vaccine effectiveness) (p11, ATAGI: Optimum schedule for pneumococcal vaccination for Australian adults, July 2025).</w:t>
      </w:r>
    </w:p>
  </w:footnote>
  <w:footnote w:id="7">
    <w:p w14:paraId="2CD9F777" w14:textId="55C985D9" w:rsidR="006C2C7B" w:rsidRPr="00863CFD" w:rsidRDefault="006C2C7B">
      <w:pPr>
        <w:pStyle w:val="FootnoteText"/>
        <w:rPr>
          <w:rFonts w:ascii="Arial Narrow" w:hAnsi="Arial Narrow"/>
        </w:rPr>
      </w:pPr>
      <w:r w:rsidRPr="00863CFD">
        <w:rPr>
          <w:rStyle w:val="FootnoteReference"/>
          <w:rFonts w:ascii="Arial Narrow" w:hAnsi="Arial Narrow"/>
        </w:rPr>
        <w:footnoteRef/>
      </w:r>
      <w:r w:rsidRPr="00863CFD">
        <w:rPr>
          <w:rFonts w:ascii="Arial Narrow" w:hAnsi="Arial Narrow"/>
        </w:rPr>
        <w:t xml:space="preserve"> </w:t>
      </w:r>
      <w:hyperlink r:id="rId4" w:history="1">
        <w:r w:rsidRPr="00863CFD">
          <w:rPr>
            <w:rStyle w:val="Hyperlink"/>
            <w:rFonts w:ascii="Arial Narrow" w:hAnsi="Arial Narrow"/>
          </w:rPr>
          <w:t>https://immunisationhandbook.health.gov.au/resources/tables/table-risk-conditions-for-pneumococcal-vaccination-and-eligibility-for-nip-funding</w:t>
        </w:r>
      </w:hyperlink>
      <w:r w:rsidRPr="00863CFD">
        <w:rPr>
          <w:rFonts w:ascii="Arial Narrow" w:hAnsi="Arial Narrow"/>
        </w:rPr>
        <w:t xml:space="preserve"> </w:t>
      </w:r>
    </w:p>
  </w:footnote>
  <w:footnote w:id="8">
    <w:p w14:paraId="5CB1D724" w14:textId="77777777" w:rsidR="00F650F4" w:rsidRPr="0071576F" w:rsidRDefault="00F650F4" w:rsidP="00F650F4">
      <w:pPr>
        <w:pStyle w:val="FooterTableFigure"/>
      </w:pPr>
      <w:r w:rsidRPr="0071576F">
        <w:rPr>
          <w:rStyle w:val="FootnoteReference"/>
          <w:rFonts w:eastAsiaTheme="minorHAnsi"/>
        </w:rPr>
        <w:footnoteRef/>
      </w:r>
      <w:r w:rsidRPr="0071576F">
        <w:t xml:space="preserve"> Bergman K, Härnqvist T, Backhaus E, Trollfors B, Dahl MS, Kolberg H, Ockborn G, Andersson R, Karlsson J, Mellgren Å, Skovbjerg S. Invasive pneumococcal disease in persons with predisposing factors is dominated by non-vaccine serotypes in Southwest Sweden. BMC Infect Dis. 2021 Aug 4;21(1):756</w:t>
      </w:r>
    </w:p>
  </w:footnote>
  <w:footnote w:id="9">
    <w:p w14:paraId="7E818874" w14:textId="77777777" w:rsidR="00E77B6D" w:rsidRPr="00863CFD" w:rsidRDefault="00E77B6D" w:rsidP="00E77B6D">
      <w:pPr>
        <w:pStyle w:val="FootnoteText"/>
        <w:rPr>
          <w:rFonts w:ascii="Arial Narrow" w:hAnsi="Arial Narrow"/>
        </w:rPr>
      </w:pPr>
      <w:r w:rsidRPr="00863CFD">
        <w:rPr>
          <w:rStyle w:val="FootnoteReference"/>
          <w:rFonts w:ascii="Arial Narrow" w:hAnsi="Arial Narrow"/>
        </w:rPr>
        <w:footnoteRef/>
      </w:r>
      <w:r w:rsidRPr="00863CFD">
        <w:rPr>
          <w:rFonts w:ascii="Arial Narrow" w:hAnsi="Arial Narrow"/>
        </w:rPr>
        <w:t xml:space="preserve">  </w:t>
      </w:r>
      <w:hyperlink r:id="rId5" w:history="1">
        <w:r w:rsidRPr="00863CFD">
          <w:rPr>
            <w:rStyle w:val="Hyperlink"/>
            <w:rFonts w:ascii="Arial Narrow" w:hAnsi="Arial Narrow"/>
          </w:rPr>
          <w:t>https://immunisationhandbook.health.gov.au/resources/tables/table-risk-conditions-for-pneumococcal-vaccination-and-eligibility-for-nip-funding</w:t>
        </w:r>
      </w:hyperlink>
      <w:r w:rsidRPr="00863CFD">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34AD" w14:textId="4BB9726E" w:rsidR="00F62898" w:rsidRDefault="00F62898">
    <w:pPr>
      <w:pStyle w:val="Header"/>
    </w:pPr>
    <w:r>
      <w:rPr>
        <w:noProof/>
      </w:rPr>
      <mc:AlternateContent>
        <mc:Choice Requires="wps">
          <w:drawing>
            <wp:anchor distT="0" distB="0" distL="0" distR="0" simplePos="0" relativeHeight="251658241" behindDoc="0" locked="0" layoutInCell="1" allowOverlap="1" wp14:anchorId="2467C3A0" wp14:editId="4D40753C">
              <wp:simplePos x="635" y="635"/>
              <wp:positionH relativeFrom="page">
                <wp:align>center</wp:align>
              </wp:positionH>
              <wp:positionV relativeFrom="page">
                <wp:align>top</wp:align>
              </wp:positionV>
              <wp:extent cx="622300" cy="376555"/>
              <wp:effectExtent l="0" t="0" r="6350" b="4445"/>
              <wp:wrapNone/>
              <wp:docPr id="2280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371CF1" w14:textId="015E47E2"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67C3A0"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4371CF1" w14:textId="015E47E2"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5E67" w14:textId="46EF3A3E" w:rsidR="00A03C7A" w:rsidRPr="00303A15" w:rsidRDefault="00F62898" w:rsidP="00303A15">
    <w:pPr>
      <w:pStyle w:val="Header"/>
      <w:rPr>
        <w:rFonts w:asciiTheme="minorHAnsi" w:hAnsiTheme="minorHAnsi"/>
        <w:color w:val="808080"/>
      </w:rPr>
    </w:pPr>
    <w:r>
      <w:rPr>
        <w:rFonts w:asciiTheme="minorHAnsi" w:hAnsiTheme="minorHAnsi"/>
        <w:noProof/>
        <w:color w:val="808080"/>
      </w:rPr>
      <mc:AlternateContent>
        <mc:Choice Requires="wps">
          <w:drawing>
            <wp:anchor distT="0" distB="0" distL="0" distR="0" simplePos="0" relativeHeight="251658242" behindDoc="0" locked="0" layoutInCell="1" allowOverlap="1" wp14:anchorId="43E18FA6" wp14:editId="6BA5537A">
              <wp:simplePos x="635" y="635"/>
              <wp:positionH relativeFrom="page">
                <wp:align>center</wp:align>
              </wp:positionH>
              <wp:positionV relativeFrom="page">
                <wp:align>top</wp:align>
              </wp:positionV>
              <wp:extent cx="622300" cy="376555"/>
              <wp:effectExtent l="0" t="0" r="6350" b="4445"/>
              <wp:wrapNone/>
              <wp:docPr id="30540580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E9DDDE" w14:textId="3AF157FA"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E18FA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4E9DDDE" w14:textId="3AF157FA"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v:textbox>
              <w10:wrap anchorx="page" anchory="page"/>
            </v:shape>
          </w:pict>
        </mc:Fallback>
      </mc:AlternateContent>
    </w:r>
    <w:r w:rsidR="00630D98">
      <w:rPr>
        <w:rFonts w:asciiTheme="minorHAnsi" w:hAnsiTheme="minorHAnsi"/>
        <w:color w:val="808080"/>
      </w:rPr>
      <w:t>Public Summary Document</w:t>
    </w:r>
    <w:r w:rsidR="00303A15">
      <w:rPr>
        <w:rFonts w:asciiTheme="minorHAnsi" w:hAnsiTheme="minorHAnsi"/>
        <w:color w:val="808080"/>
      </w:rPr>
      <w:t xml:space="preserve"> - </w:t>
    </w:r>
    <w:r w:rsidR="00C52FFE" w:rsidRPr="0071576F">
      <w:rPr>
        <w:rFonts w:asciiTheme="minorHAnsi" w:hAnsiTheme="minorHAnsi"/>
        <w:color w:val="808080"/>
      </w:rPr>
      <w:t>November 2025</w:t>
    </w:r>
    <w:r w:rsidR="00A03C7A" w:rsidRPr="0071576F">
      <w:rPr>
        <w:rFonts w:asciiTheme="minorHAnsi" w:hAnsiTheme="minorHAnsi"/>
        <w:color w:val="808080"/>
      </w:rPr>
      <w:t xml:space="preserve"> PBAC Meeting</w:t>
    </w:r>
  </w:p>
  <w:p w14:paraId="7D60AB5C" w14:textId="77777777" w:rsidR="00A03C7A" w:rsidRPr="0071576F" w:rsidRDefault="00A03C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1CE5" w14:textId="4C050394" w:rsidR="00F62898" w:rsidRDefault="00F62898">
    <w:pPr>
      <w:pStyle w:val="Header"/>
    </w:pPr>
    <w:r>
      <w:rPr>
        <w:noProof/>
      </w:rPr>
      <mc:AlternateContent>
        <mc:Choice Requires="wps">
          <w:drawing>
            <wp:anchor distT="0" distB="0" distL="0" distR="0" simplePos="0" relativeHeight="251658240" behindDoc="0" locked="0" layoutInCell="1" allowOverlap="1" wp14:anchorId="77672EB6" wp14:editId="6C2D4C53">
              <wp:simplePos x="635" y="635"/>
              <wp:positionH relativeFrom="page">
                <wp:align>center</wp:align>
              </wp:positionH>
              <wp:positionV relativeFrom="page">
                <wp:align>top</wp:align>
              </wp:positionV>
              <wp:extent cx="622300" cy="376555"/>
              <wp:effectExtent l="0" t="0" r="6350" b="4445"/>
              <wp:wrapNone/>
              <wp:docPr id="242191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F52817" w14:textId="410FF277"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72EB6"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DF52817" w14:textId="410FF277" w:rsidR="00F62898" w:rsidRPr="00F62898" w:rsidRDefault="00F62898" w:rsidP="00F62898">
                    <w:pPr>
                      <w:rPr>
                        <w:rFonts w:ascii="Aptos" w:eastAsia="Aptos" w:hAnsi="Aptos" w:cs="Aptos"/>
                        <w:noProof/>
                        <w:color w:val="FF0000"/>
                      </w:rPr>
                    </w:pPr>
                    <w:r w:rsidRPr="00F6289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4EE8D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2B5497"/>
    <w:multiLevelType w:val="hybridMultilevel"/>
    <w:tmpl w:val="4BEE7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C43961"/>
    <w:multiLevelType w:val="hybridMultilevel"/>
    <w:tmpl w:val="F266E832"/>
    <w:lvl w:ilvl="0" w:tplc="9BB4D42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47FD9"/>
    <w:multiLevelType w:val="multilevel"/>
    <w:tmpl w:val="300A349C"/>
    <w:lvl w:ilvl="0">
      <w:start w:val="1"/>
      <w:numFmt w:val="bullet"/>
      <w:lvlText w:val=""/>
      <w:lvlJc w:val="left"/>
      <w:pPr>
        <w:ind w:left="458" w:hanging="720"/>
      </w:pPr>
      <w:rPr>
        <w:rFonts w:ascii="Symbol" w:hAnsi="Symbol" w:hint="default"/>
        <w:b/>
      </w:rPr>
    </w:lvl>
    <w:lvl w:ilvl="1">
      <w:start w:val="1"/>
      <w:numFmt w:val="decimal"/>
      <w:lvlText w:val="%1.%2"/>
      <w:lvlJc w:val="left"/>
      <w:pPr>
        <w:ind w:left="458" w:hanging="720"/>
      </w:pPr>
      <w:rPr>
        <w:rFonts w:hint="default"/>
        <w:b w:val="0"/>
        <w:bCs w:val="0"/>
        <w:i w:val="0"/>
        <w:color w:val="auto"/>
      </w:rPr>
    </w:lvl>
    <w:lvl w:ilvl="2">
      <w:start w:val="1"/>
      <w:numFmt w:val="decimal"/>
      <w:lvlText w:val="%1.%2.%3"/>
      <w:lvlJc w:val="left"/>
      <w:pPr>
        <w:ind w:left="458" w:hanging="720"/>
      </w:pPr>
      <w:rPr>
        <w:rFonts w:hint="default"/>
      </w:rPr>
    </w:lvl>
    <w:lvl w:ilvl="3">
      <w:start w:val="1"/>
      <w:numFmt w:val="decimal"/>
      <w:lvlText w:val="%1.%2.%3.%4"/>
      <w:lvlJc w:val="left"/>
      <w:pPr>
        <w:ind w:left="818" w:hanging="1080"/>
      </w:pPr>
      <w:rPr>
        <w:rFonts w:hint="default"/>
      </w:rPr>
    </w:lvl>
    <w:lvl w:ilvl="4">
      <w:start w:val="1"/>
      <w:numFmt w:val="decimal"/>
      <w:lvlText w:val="%1.%2.%3.%4.%5"/>
      <w:lvlJc w:val="left"/>
      <w:pPr>
        <w:ind w:left="818" w:hanging="1080"/>
      </w:pPr>
      <w:rPr>
        <w:rFonts w:hint="default"/>
      </w:rPr>
    </w:lvl>
    <w:lvl w:ilvl="5">
      <w:start w:val="1"/>
      <w:numFmt w:val="decimal"/>
      <w:lvlText w:val="%1.%2.%3.%4.%5.%6"/>
      <w:lvlJc w:val="left"/>
      <w:pPr>
        <w:ind w:left="1178" w:hanging="1440"/>
      </w:pPr>
      <w:rPr>
        <w:rFonts w:hint="default"/>
      </w:rPr>
    </w:lvl>
    <w:lvl w:ilvl="6">
      <w:start w:val="1"/>
      <w:numFmt w:val="decimal"/>
      <w:lvlText w:val="%1.%2.%3.%4.%5.%6.%7"/>
      <w:lvlJc w:val="left"/>
      <w:pPr>
        <w:ind w:left="1178" w:hanging="1440"/>
      </w:pPr>
      <w:rPr>
        <w:rFonts w:hint="default"/>
      </w:rPr>
    </w:lvl>
    <w:lvl w:ilvl="7">
      <w:start w:val="1"/>
      <w:numFmt w:val="decimal"/>
      <w:lvlText w:val="%1.%2.%3.%4.%5.%6.%7.%8"/>
      <w:lvlJc w:val="left"/>
      <w:pPr>
        <w:ind w:left="1538" w:hanging="1800"/>
      </w:pPr>
      <w:rPr>
        <w:rFonts w:hint="default"/>
      </w:rPr>
    </w:lvl>
    <w:lvl w:ilvl="8">
      <w:start w:val="1"/>
      <w:numFmt w:val="decimal"/>
      <w:lvlText w:val="%1.%2.%3.%4.%5.%6.%7.%8.%9"/>
      <w:lvlJc w:val="left"/>
      <w:pPr>
        <w:ind w:left="1538" w:hanging="1800"/>
      </w:pPr>
      <w:rPr>
        <w:rFonts w:hint="default"/>
      </w:rPr>
    </w:lvl>
  </w:abstractNum>
  <w:abstractNum w:abstractNumId="9" w15:restartNumberingAfterBreak="0">
    <w:nsid w:val="191C6C54"/>
    <w:multiLevelType w:val="hybridMultilevel"/>
    <w:tmpl w:val="2C64558E"/>
    <w:lvl w:ilvl="0" w:tplc="0C090015">
      <w:start w:val="1"/>
      <w:numFmt w:val="upperLetter"/>
      <w:lvlText w:val="%1."/>
      <w:lvlJc w:val="left"/>
      <w:pPr>
        <w:ind w:left="1600" w:hanging="360"/>
      </w:pPr>
    </w:lvl>
    <w:lvl w:ilvl="1" w:tplc="0C090019" w:tentative="1">
      <w:start w:val="1"/>
      <w:numFmt w:val="lowerLetter"/>
      <w:lvlText w:val="%2."/>
      <w:lvlJc w:val="left"/>
      <w:pPr>
        <w:ind w:left="2320" w:hanging="360"/>
      </w:pPr>
    </w:lvl>
    <w:lvl w:ilvl="2" w:tplc="0C09001B" w:tentative="1">
      <w:start w:val="1"/>
      <w:numFmt w:val="lowerRoman"/>
      <w:lvlText w:val="%3."/>
      <w:lvlJc w:val="right"/>
      <w:pPr>
        <w:ind w:left="3040" w:hanging="180"/>
      </w:pPr>
    </w:lvl>
    <w:lvl w:ilvl="3" w:tplc="0C09000F" w:tentative="1">
      <w:start w:val="1"/>
      <w:numFmt w:val="decimal"/>
      <w:lvlText w:val="%4."/>
      <w:lvlJc w:val="left"/>
      <w:pPr>
        <w:ind w:left="3760" w:hanging="360"/>
      </w:pPr>
    </w:lvl>
    <w:lvl w:ilvl="4" w:tplc="0C090019" w:tentative="1">
      <w:start w:val="1"/>
      <w:numFmt w:val="lowerLetter"/>
      <w:lvlText w:val="%5."/>
      <w:lvlJc w:val="left"/>
      <w:pPr>
        <w:ind w:left="4480" w:hanging="360"/>
      </w:pPr>
    </w:lvl>
    <w:lvl w:ilvl="5" w:tplc="0C09001B" w:tentative="1">
      <w:start w:val="1"/>
      <w:numFmt w:val="lowerRoman"/>
      <w:lvlText w:val="%6."/>
      <w:lvlJc w:val="right"/>
      <w:pPr>
        <w:ind w:left="5200" w:hanging="180"/>
      </w:pPr>
    </w:lvl>
    <w:lvl w:ilvl="6" w:tplc="0C09000F" w:tentative="1">
      <w:start w:val="1"/>
      <w:numFmt w:val="decimal"/>
      <w:lvlText w:val="%7."/>
      <w:lvlJc w:val="left"/>
      <w:pPr>
        <w:ind w:left="5920" w:hanging="360"/>
      </w:pPr>
    </w:lvl>
    <w:lvl w:ilvl="7" w:tplc="0C090019" w:tentative="1">
      <w:start w:val="1"/>
      <w:numFmt w:val="lowerLetter"/>
      <w:lvlText w:val="%8."/>
      <w:lvlJc w:val="left"/>
      <w:pPr>
        <w:ind w:left="6640" w:hanging="360"/>
      </w:pPr>
    </w:lvl>
    <w:lvl w:ilvl="8" w:tplc="0C09001B" w:tentative="1">
      <w:start w:val="1"/>
      <w:numFmt w:val="lowerRoman"/>
      <w:lvlText w:val="%9."/>
      <w:lvlJc w:val="right"/>
      <w:pPr>
        <w:ind w:left="7360" w:hanging="180"/>
      </w:pPr>
    </w:lvl>
  </w:abstractNum>
  <w:abstractNum w:abstractNumId="10" w15:restartNumberingAfterBreak="0">
    <w:nsid w:val="1A4B6D33"/>
    <w:multiLevelType w:val="hybridMultilevel"/>
    <w:tmpl w:val="CE1C8D42"/>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0E61F32"/>
    <w:multiLevelType w:val="hybridMultilevel"/>
    <w:tmpl w:val="13AE61D0"/>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5331AFD"/>
    <w:multiLevelType w:val="hybridMultilevel"/>
    <w:tmpl w:val="11D2FF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D6D4A4F"/>
    <w:multiLevelType w:val="hybridMultilevel"/>
    <w:tmpl w:val="1B82C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9B261A"/>
    <w:multiLevelType w:val="hybridMultilevel"/>
    <w:tmpl w:val="A6CE9DA4"/>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9" w15:restartNumberingAfterBreak="0">
    <w:nsid w:val="3EAD306E"/>
    <w:multiLevelType w:val="hybridMultilevel"/>
    <w:tmpl w:val="50BA6D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62468A"/>
    <w:multiLevelType w:val="hybridMultilevel"/>
    <w:tmpl w:val="E42037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445F4"/>
    <w:multiLevelType w:val="multilevel"/>
    <w:tmpl w:val="79C01B32"/>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516D1AE6"/>
    <w:multiLevelType w:val="hybridMultilevel"/>
    <w:tmpl w:val="780CE842"/>
    <w:lvl w:ilvl="0" w:tplc="08090017">
      <w:start w:val="1"/>
      <w:numFmt w:val="lowerLetter"/>
      <w:lvlText w:val="%1)"/>
      <w:lvlJc w:val="left"/>
      <w:pPr>
        <w:ind w:left="783" w:hanging="360"/>
      </w:pPr>
      <w:rPr>
        <w:rFonts w:hint="default"/>
      </w:rPr>
    </w:lvl>
    <w:lvl w:ilvl="1" w:tplc="FFFFFFFF">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0828BB"/>
    <w:multiLevelType w:val="hybridMultilevel"/>
    <w:tmpl w:val="8160AE26"/>
    <w:lvl w:ilvl="0" w:tplc="5182726C">
      <w:start w:val="1"/>
      <w:numFmt w:val="bullet"/>
      <w:pStyle w:val="TableNot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835D5"/>
    <w:multiLevelType w:val="hybridMultilevel"/>
    <w:tmpl w:val="529CA6C0"/>
    <w:lvl w:ilvl="0" w:tplc="08090017">
      <w:start w:val="1"/>
      <w:numFmt w:val="lowerLetter"/>
      <w:lvlText w:val="%1)"/>
      <w:lvlJc w:val="left"/>
      <w:pPr>
        <w:ind w:left="783" w:hanging="360"/>
      </w:pPr>
      <w:rPr>
        <w:rFonts w:hint="default"/>
      </w:rPr>
    </w:lvl>
    <w:lvl w:ilvl="1" w:tplc="FFFFFFFF">
      <w:start w:val="1"/>
      <w:numFmt w:val="bullet"/>
      <w:lvlText w:val="o"/>
      <w:lvlJc w:val="left"/>
      <w:pPr>
        <w:ind w:left="1503" w:hanging="360"/>
      </w:pPr>
      <w:rPr>
        <w:rFonts w:ascii="Courier New" w:hAnsi="Courier New" w:cs="Courier New" w:hint="default"/>
      </w:rPr>
    </w:lvl>
    <w:lvl w:ilvl="2" w:tplc="FFFFFFFF" w:tentative="1">
      <w:start w:val="1"/>
      <w:numFmt w:val="bullet"/>
      <w:lvlText w:val=""/>
      <w:lvlJc w:val="left"/>
      <w:pPr>
        <w:ind w:left="2223" w:hanging="360"/>
      </w:pPr>
      <w:rPr>
        <w:rFonts w:ascii="Wingdings" w:hAnsi="Wingdings" w:hint="default"/>
      </w:rPr>
    </w:lvl>
    <w:lvl w:ilvl="3" w:tplc="FFFFFFFF" w:tentative="1">
      <w:start w:val="1"/>
      <w:numFmt w:val="bullet"/>
      <w:lvlText w:val=""/>
      <w:lvlJc w:val="left"/>
      <w:pPr>
        <w:ind w:left="2943" w:hanging="360"/>
      </w:pPr>
      <w:rPr>
        <w:rFonts w:ascii="Symbol" w:hAnsi="Symbol" w:hint="default"/>
      </w:rPr>
    </w:lvl>
    <w:lvl w:ilvl="4" w:tplc="FFFFFFFF" w:tentative="1">
      <w:start w:val="1"/>
      <w:numFmt w:val="bullet"/>
      <w:lvlText w:val="o"/>
      <w:lvlJc w:val="left"/>
      <w:pPr>
        <w:ind w:left="3663" w:hanging="360"/>
      </w:pPr>
      <w:rPr>
        <w:rFonts w:ascii="Courier New" w:hAnsi="Courier New" w:cs="Courier New" w:hint="default"/>
      </w:rPr>
    </w:lvl>
    <w:lvl w:ilvl="5" w:tplc="FFFFFFFF" w:tentative="1">
      <w:start w:val="1"/>
      <w:numFmt w:val="bullet"/>
      <w:lvlText w:val=""/>
      <w:lvlJc w:val="left"/>
      <w:pPr>
        <w:ind w:left="4383" w:hanging="360"/>
      </w:pPr>
      <w:rPr>
        <w:rFonts w:ascii="Wingdings" w:hAnsi="Wingdings" w:hint="default"/>
      </w:rPr>
    </w:lvl>
    <w:lvl w:ilvl="6" w:tplc="FFFFFFFF" w:tentative="1">
      <w:start w:val="1"/>
      <w:numFmt w:val="bullet"/>
      <w:lvlText w:val=""/>
      <w:lvlJc w:val="left"/>
      <w:pPr>
        <w:ind w:left="5103" w:hanging="360"/>
      </w:pPr>
      <w:rPr>
        <w:rFonts w:ascii="Symbol" w:hAnsi="Symbol" w:hint="default"/>
      </w:rPr>
    </w:lvl>
    <w:lvl w:ilvl="7" w:tplc="FFFFFFFF" w:tentative="1">
      <w:start w:val="1"/>
      <w:numFmt w:val="bullet"/>
      <w:lvlText w:val="o"/>
      <w:lvlJc w:val="left"/>
      <w:pPr>
        <w:ind w:left="5823" w:hanging="360"/>
      </w:pPr>
      <w:rPr>
        <w:rFonts w:ascii="Courier New" w:hAnsi="Courier New" w:cs="Courier New" w:hint="default"/>
      </w:rPr>
    </w:lvl>
    <w:lvl w:ilvl="8" w:tplc="FFFFFFFF" w:tentative="1">
      <w:start w:val="1"/>
      <w:numFmt w:val="bullet"/>
      <w:lvlText w:val=""/>
      <w:lvlJc w:val="left"/>
      <w:pPr>
        <w:ind w:left="6543"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1B761DA"/>
    <w:multiLevelType w:val="hybridMultilevel"/>
    <w:tmpl w:val="89108F4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4FE42A9"/>
    <w:multiLevelType w:val="multilevel"/>
    <w:tmpl w:val="2056D45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535F5C"/>
    <w:multiLevelType w:val="multilevel"/>
    <w:tmpl w:val="0EF4E824"/>
    <w:styleLink w:val="CurrentList1"/>
    <w:lvl w:ilvl="0">
      <w:start w:val="1"/>
      <w:numFmt w:val="upperLetter"/>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4D033C"/>
    <w:multiLevelType w:val="multilevel"/>
    <w:tmpl w:val="BE740A6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62222E"/>
    <w:multiLevelType w:val="hybridMultilevel"/>
    <w:tmpl w:val="E9589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6186631">
    <w:abstractNumId w:val="33"/>
  </w:num>
  <w:num w:numId="2" w16cid:durableId="917793048">
    <w:abstractNumId w:val="21"/>
  </w:num>
  <w:num w:numId="3" w16cid:durableId="263461728">
    <w:abstractNumId w:val="3"/>
  </w:num>
  <w:num w:numId="4" w16cid:durableId="220360847">
    <w:abstractNumId w:val="29"/>
  </w:num>
  <w:num w:numId="5" w16cid:durableId="268196418">
    <w:abstractNumId w:val="14"/>
  </w:num>
  <w:num w:numId="6" w16cid:durableId="1048839230">
    <w:abstractNumId w:val="33"/>
  </w:num>
  <w:num w:numId="7" w16cid:durableId="1943371332">
    <w:abstractNumId w:val="30"/>
  </w:num>
  <w:num w:numId="8" w16cid:durableId="935208754">
    <w:abstractNumId w:val="28"/>
  </w:num>
  <w:num w:numId="9" w16cid:durableId="1378361253">
    <w:abstractNumId w:val="25"/>
  </w:num>
  <w:num w:numId="10" w16cid:durableId="411435064">
    <w:abstractNumId w:val="22"/>
  </w:num>
  <w:num w:numId="11" w16cid:durableId="911162303">
    <w:abstractNumId w:val="2"/>
  </w:num>
  <w:num w:numId="12" w16cid:durableId="1224633262">
    <w:abstractNumId w:val="1"/>
  </w:num>
  <w:num w:numId="13" w16cid:durableId="525867459">
    <w:abstractNumId w:val="0"/>
  </w:num>
  <w:num w:numId="14" w16cid:durableId="338507555">
    <w:abstractNumId w:val="31"/>
  </w:num>
  <w:num w:numId="15" w16cid:durableId="1014260689">
    <w:abstractNumId w:val="10"/>
  </w:num>
  <w:num w:numId="16" w16cid:durableId="109785948">
    <w:abstractNumId w:val="5"/>
  </w:num>
  <w:num w:numId="17" w16cid:durableId="1250962030">
    <w:abstractNumId w:val="15"/>
  </w:num>
  <w:num w:numId="18" w16cid:durableId="1995840678">
    <w:abstractNumId w:val="9"/>
  </w:num>
  <w:num w:numId="19" w16cid:durableId="2113623703">
    <w:abstractNumId w:val="18"/>
  </w:num>
  <w:num w:numId="20" w16cid:durableId="1728604002">
    <w:abstractNumId w:val="34"/>
  </w:num>
  <w:num w:numId="21" w16cid:durableId="1851679917">
    <w:abstractNumId w:val="8"/>
  </w:num>
  <w:num w:numId="22" w16cid:durableId="10160800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5171852">
    <w:abstractNumId w:val="16"/>
  </w:num>
  <w:num w:numId="24" w16cid:durableId="732627068">
    <w:abstractNumId w:val="23"/>
  </w:num>
  <w:num w:numId="25" w16cid:durableId="1816949491">
    <w:abstractNumId w:val="26"/>
  </w:num>
  <w:num w:numId="26" w16cid:durableId="658272563">
    <w:abstractNumId w:val="7"/>
  </w:num>
  <w:num w:numId="27" w16cid:durableId="616370441">
    <w:abstractNumId w:val="17"/>
  </w:num>
  <w:num w:numId="28" w16cid:durableId="160390378">
    <w:abstractNumId w:val="19"/>
  </w:num>
  <w:num w:numId="29" w16cid:durableId="408699874">
    <w:abstractNumId w:val="24"/>
  </w:num>
  <w:num w:numId="30" w16cid:durableId="1569418770">
    <w:abstractNumId w:val="6"/>
  </w:num>
  <w:num w:numId="31" w16cid:durableId="705176722">
    <w:abstractNumId w:val="4"/>
  </w:num>
  <w:num w:numId="32" w16cid:durableId="1926569401">
    <w:abstractNumId w:val="12"/>
  </w:num>
  <w:num w:numId="33" w16cid:durableId="1979457665">
    <w:abstractNumId w:val="13"/>
  </w:num>
  <w:num w:numId="34" w16cid:durableId="2038313566">
    <w:abstractNumId w:val="11"/>
  </w:num>
  <w:num w:numId="35" w16cid:durableId="129744317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997201">
    <w:abstractNumId w:val="32"/>
  </w:num>
  <w:num w:numId="37" w16cid:durableId="1607496213">
    <w:abstractNumId w:val="33"/>
  </w:num>
  <w:num w:numId="38" w16cid:durableId="492530194">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68"/>
    <w:rsid w:val="00000790"/>
    <w:rsid w:val="000007E3"/>
    <w:rsid w:val="0000110B"/>
    <w:rsid w:val="00003499"/>
    <w:rsid w:val="000039B7"/>
    <w:rsid w:val="00004BCB"/>
    <w:rsid w:val="000056B9"/>
    <w:rsid w:val="0000587C"/>
    <w:rsid w:val="0000639A"/>
    <w:rsid w:val="00006DFC"/>
    <w:rsid w:val="0000706D"/>
    <w:rsid w:val="00007A18"/>
    <w:rsid w:val="00012928"/>
    <w:rsid w:val="00013247"/>
    <w:rsid w:val="00013490"/>
    <w:rsid w:val="00013CBE"/>
    <w:rsid w:val="00015886"/>
    <w:rsid w:val="00015925"/>
    <w:rsid w:val="00015A55"/>
    <w:rsid w:val="00015EF1"/>
    <w:rsid w:val="000161EA"/>
    <w:rsid w:val="00016295"/>
    <w:rsid w:val="000162EF"/>
    <w:rsid w:val="00017130"/>
    <w:rsid w:val="00017327"/>
    <w:rsid w:val="000207C9"/>
    <w:rsid w:val="00020F9A"/>
    <w:rsid w:val="00020FC1"/>
    <w:rsid w:val="00021D24"/>
    <w:rsid w:val="0002225F"/>
    <w:rsid w:val="00022CC5"/>
    <w:rsid w:val="00023763"/>
    <w:rsid w:val="00023B41"/>
    <w:rsid w:val="00024955"/>
    <w:rsid w:val="00024EB5"/>
    <w:rsid w:val="00025051"/>
    <w:rsid w:val="00025872"/>
    <w:rsid w:val="000271C3"/>
    <w:rsid w:val="000274B8"/>
    <w:rsid w:val="00033390"/>
    <w:rsid w:val="00033863"/>
    <w:rsid w:val="00033981"/>
    <w:rsid w:val="000339F6"/>
    <w:rsid w:val="00033E96"/>
    <w:rsid w:val="00035DC0"/>
    <w:rsid w:val="00036829"/>
    <w:rsid w:val="00040895"/>
    <w:rsid w:val="00040CED"/>
    <w:rsid w:val="000410A0"/>
    <w:rsid w:val="00041CA2"/>
    <w:rsid w:val="000426F0"/>
    <w:rsid w:val="000435EE"/>
    <w:rsid w:val="0004366C"/>
    <w:rsid w:val="00043A52"/>
    <w:rsid w:val="00043C37"/>
    <w:rsid w:val="00043E64"/>
    <w:rsid w:val="00045017"/>
    <w:rsid w:val="00045A2B"/>
    <w:rsid w:val="0004698F"/>
    <w:rsid w:val="00046D64"/>
    <w:rsid w:val="000502F2"/>
    <w:rsid w:val="000508C2"/>
    <w:rsid w:val="00050E28"/>
    <w:rsid w:val="00051C5F"/>
    <w:rsid w:val="00051E00"/>
    <w:rsid w:val="00051FCD"/>
    <w:rsid w:val="00052467"/>
    <w:rsid w:val="00052E40"/>
    <w:rsid w:val="00053237"/>
    <w:rsid w:val="00053904"/>
    <w:rsid w:val="000539D0"/>
    <w:rsid w:val="00054621"/>
    <w:rsid w:val="000546D7"/>
    <w:rsid w:val="00054A8D"/>
    <w:rsid w:val="00054F60"/>
    <w:rsid w:val="0005654C"/>
    <w:rsid w:val="000568A0"/>
    <w:rsid w:val="00056ECF"/>
    <w:rsid w:val="00057295"/>
    <w:rsid w:val="000601B3"/>
    <w:rsid w:val="000604DF"/>
    <w:rsid w:val="0006055A"/>
    <w:rsid w:val="0006067E"/>
    <w:rsid w:val="0006075E"/>
    <w:rsid w:val="000619C0"/>
    <w:rsid w:val="00062324"/>
    <w:rsid w:val="000628FC"/>
    <w:rsid w:val="00062F10"/>
    <w:rsid w:val="000653B5"/>
    <w:rsid w:val="00066360"/>
    <w:rsid w:val="00066AF8"/>
    <w:rsid w:val="00066C05"/>
    <w:rsid w:val="000674FB"/>
    <w:rsid w:val="0006759D"/>
    <w:rsid w:val="0007033A"/>
    <w:rsid w:val="00070B77"/>
    <w:rsid w:val="00070E0A"/>
    <w:rsid w:val="00070E42"/>
    <w:rsid w:val="00071248"/>
    <w:rsid w:val="0007146B"/>
    <w:rsid w:val="00071817"/>
    <w:rsid w:val="000720B9"/>
    <w:rsid w:val="00072B35"/>
    <w:rsid w:val="00072E00"/>
    <w:rsid w:val="000737F7"/>
    <w:rsid w:val="00075516"/>
    <w:rsid w:val="0007672F"/>
    <w:rsid w:val="00076B54"/>
    <w:rsid w:val="000774F0"/>
    <w:rsid w:val="000774FC"/>
    <w:rsid w:val="00077BD6"/>
    <w:rsid w:val="00077ED7"/>
    <w:rsid w:val="00077F64"/>
    <w:rsid w:val="00080909"/>
    <w:rsid w:val="00080D9B"/>
    <w:rsid w:val="000812CA"/>
    <w:rsid w:val="00081E63"/>
    <w:rsid w:val="0008258D"/>
    <w:rsid w:val="00083693"/>
    <w:rsid w:val="00083E99"/>
    <w:rsid w:val="00084059"/>
    <w:rsid w:val="0008414A"/>
    <w:rsid w:val="0008440F"/>
    <w:rsid w:val="00084419"/>
    <w:rsid w:val="00084FA8"/>
    <w:rsid w:val="000856C5"/>
    <w:rsid w:val="000858CF"/>
    <w:rsid w:val="00085C31"/>
    <w:rsid w:val="0008644A"/>
    <w:rsid w:val="00086C5A"/>
    <w:rsid w:val="000902D9"/>
    <w:rsid w:val="00090331"/>
    <w:rsid w:val="000904E3"/>
    <w:rsid w:val="00090C7E"/>
    <w:rsid w:val="000911AC"/>
    <w:rsid w:val="000914A2"/>
    <w:rsid w:val="00092351"/>
    <w:rsid w:val="000925DD"/>
    <w:rsid w:val="00092600"/>
    <w:rsid w:val="0009262B"/>
    <w:rsid w:val="00093310"/>
    <w:rsid w:val="0009399C"/>
    <w:rsid w:val="000942F1"/>
    <w:rsid w:val="0009445C"/>
    <w:rsid w:val="00095200"/>
    <w:rsid w:val="00095FE5"/>
    <w:rsid w:val="00096284"/>
    <w:rsid w:val="0009792F"/>
    <w:rsid w:val="00097A6D"/>
    <w:rsid w:val="00097F05"/>
    <w:rsid w:val="000A1886"/>
    <w:rsid w:val="000A1BC0"/>
    <w:rsid w:val="000A1D45"/>
    <w:rsid w:val="000A1DBF"/>
    <w:rsid w:val="000A1EDB"/>
    <w:rsid w:val="000A28CB"/>
    <w:rsid w:val="000A2F9E"/>
    <w:rsid w:val="000A3E47"/>
    <w:rsid w:val="000A522B"/>
    <w:rsid w:val="000A6039"/>
    <w:rsid w:val="000A619E"/>
    <w:rsid w:val="000A6C50"/>
    <w:rsid w:val="000A7453"/>
    <w:rsid w:val="000A7964"/>
    <w:rsid w:val="000A7D08"/>
    <w:rsid w:val="000B0121"/>
    <w:rsid w:val="000B0670"/>
    <w:rsid w:val="000B0E75"/>
    <w:rsid w:val="000B2117"/>
    <w:rsid w:val="000B2711"/>
    <w:rsid w:val="000B2DCB"/>
    <w:rsid w:val="000B2E3A"/>
    <w:rsid w:val="000B4403"/>
    <w:rsid w:val="000B4BE1"/>
    <w:rsid w:val="000B5CE0"/>
    <w:rsid w:val="000B699D"/>
    <w:rsid w:val="000B6CAC"/>
    <w:rsid w:val="000B70EF"/>
    <w:rsid w:val="000B72C1"/>
    <w:rsid w:val="000B7612"/>
    <w:rsid w:val="000B78AE"/>
    <w:rsid w:val="000C0A47"/>
    <w:rsid w:val="000C0C5B"/>
    <w:rsid w:val="000C24ED"/>
    <w:rsid w:val="000C3057"/>
    <w:rsid w:val="000C3AB1"/>
    <w:rsid w:val="000C3DF9"/>
    <w:rsid w:val="000C412E"/>
    <w:rsid w:val="000C4CF2"/>
    <w:rsid w:val="000C537F"/>
    <w:rsid w:val="000C5F8A"/>
    <w:rsid w:val="000C643B"/>
    <w:rsid w:val="000C6713"/>
    <w:rsid w:val="000C727B"/>
    <w:rsid w:val="000C76D0"/>
    <w:rsid w:val="000C77A1"/>
    <w:rsid w:val="000D0A7B"/>
    <w:rsid w:val="000D11CA"/>
    <w:rsid w:val="000D1BFC"/>
    <w:rsid w:val="000D1D5D"/>
    <w:rsid w:val="000D21EE"/>
    <w:rsid w:val="000D281A"/>
    <w:rsid w:val="000D2848"/>
    <w:rsid w:val="000D2B6D"/>
    <w:rsid w:val="000D326A"/>
    <w:rsid w:val="000D3DB3"/>
    <w:rsid w:val="000D48A0"/>
    <w:rsid w:val="000D4F42"/>
    <w:rsid w:val="000D51FB"/>
    <w:rsid w:val="000D57E0"/>
    <w:rsid w:val="000D6F9E"/>
    <w:rsid w:val="000D7ABC"/>
    <w:rsid w:val="000D7BB0"/>
    <w:rsid w:val="000E0195"/>
    <w:rsid w:val="000E0640"/>
    <w:rsid w:val="000E1168"/>
    <w:rsid w:val="000E135D"/>
    <w:rsid w:val="000E1CFF"/>
    <w:rsid w:val="000E2A83"/>
    <w:rsid w:val="000E3085"/>
    <w:rsid w:val="000E43C3"/>
    <w:rsid w:val="000E4E2E"/>
    <w:rsid w:val="000E5631"/>
    <w:rsid w:val="000E6454"/>
    <w:rsid w:val="000E6A42"/>
    <w:rsid w:val="000E6FF5"/>
    <w:rsid w:val="000E7007"/>
    <w:rsid w:val="000E7F2A"/>
    <w:rsid w:val="000F00BA"/>
    <w:rsid w:val="000F01CB"/>
    <w:rsid w:val="000F0889"/>
    <w:rsid w:val="000F0BBF"/>
    <w:rsid w:val="000F15D9"/>
    <w:rsid w:val="000F215E"/>
    <w:rsid w:val="000F26D9"/>
    <w:rsid w:val="000F2B80"/>
    <w:rsid w:val="000F2EAD"/>
    <w:rsid w:val="000F316A"/>
    <w:rsid w:val="000F3B0B"/>
    <w:rsid w:val="000F3C74"/>
    <w:rsid w:val="000F3D07"/>
    <w:rsid w:val="000F42A6"/>
    <w:rsid w:val="000F4BB8"/>
    <w:rsid w:val="000F4FA9"/>
    <w:rsid w:val="000F53FB"/>
    <w:rsid w:val="000F5EB7"/>
    <w:rsid w:val="000F62AF"/>
    <w:rsid w:val="000F6F1E"/>
    <w:rsid w:val="000F7127"/>
    <w:rsid w:val="000F7856"/>
    <w:rsid w:val="000F7B54"/>
    <w:rsid w:val="001000B3"/>
    <w:rsid w:val="0010078F"/>
    <w:rsid w:val="00100F8A"/>
    <w:rsid w:val="001032F0"/>
    <w:rsid w:val="001038E0"/>
    <w:rsid w:val="001038EC"/>
    <w:rsid w:val="0010452E"/>
    <w:rsid w:val="00104E07"/>
    <w:rsid w:val="00105AE2"/>
    <w:rsid w:val="001060C6"/>
    <w:rsid w:val="00106932"/>
    <w:rsid w:val="00106B80"/>
    <w:rsid w:val="00106DD9"/>
    <w:rsid w:val="00107B01"/>
    <w:rsid w:val="0011032E"/>
    <w:rsid w:val="00111172"/>
    <w:rsid w:val="0011144B"/>
    <w:rsid w:val="00112627"/>
    <w:rsid w:val="00113367"/>
    <w:rsid w:val="0011348B"/>
    <w:rsid w:val="0011359F"/>
    <w:rsid w:val="00114012"/>
    <w:rsid w:val="00115982"/>
    <w:rsid w:val="0011673F"/>
    <w:rsid w:val="00116C53"/>
    <w:rsid w:val="00116E4A"/>
    <w:rsid w:val="001171C8"/>
    <w:rsid w:val="00117A36"/>
    <w:rsid w:val="00117B44"/>
    <w:rsid w:val="00120EDA"/>
    <w:rsid w:val="00121799"/>
    <w:rsid w:val="001222FC"/>
    <w:rsid w:val="00122B30"/>
    <w:rsid w:val="00123093"/>
    <w:rsid w:val="0012336E"/>
    <w:rsid w:val="00123902"/>
    <w:rsid w:val="001244A1"/>
    <w:rsid w:val="00124A51"/>
    <w:rsid w:val="00126621"/>
    <w:rsid w:val="00126B1D"/>
    <w:rsid w:val="00127854"/>
    <w:rsid w:val="001301E9"/>
    <w:rsid w:val="001317FB"/>
    <w:rsid w:val="00131D82"/>
    <w:rsid w:val="00132B22"/>
    <w:rsid w:val="00132D15"/>
    <w:rsid w:val="00133D36"/>
    <w:rsid w:val="001340D1"/>
    <w:rsid w:val="0013530D"/>
    <w:rsid w:val="0013542B"/>
    <w:rsid w:val="001360DC"/>
    <w:rsid w:val="00137645"/>
    <w:rsid w:val="0014015A"/>
    <w:rsid w:val="00140746"/>
    <w:rsid w:val="0014093B"/>
    <w:rsid w:val="00140E99"/>
    <w:rsid w:val="00141CCC"/>
    <w:rsid w:val="0014244B"/>
    <w:rsid w:val="00143F67"/>
    <w:rsid w:val="00144A57"/>
    <w:rsid w:val="00145234"/>
    <w:rsid w:val="0014543A"/>
    <w:rsid w:val="0014545C"/>
    <w:rsid w:val="00145540"/>
    <w:rsid w:val="001456B0"/>
    <w:rsid w:val="00145F83"/>
    <w:rsid w:val="001463CF"/>
    <w:rsid w:val="001465B4"/>
    <w:rsid w:val="001474CE"/>
    <w:rsid w:val="0014765D"/>
    <w:rsid w:val="00147E7A"/>
    <w:rsid w:val="00150D10"/>
    <w:rsid w:val="00153982"/>
    <w:rsid w:val="00153FC7"/>
    <w:rsid w:val="001546BF"/>
    <w:rsid w:val="001547AB"/>
    <w:rsid w:val="00155043"/>
    <w:rsid w:val="001551ED"/>
    <w:rsid w:val="001556AB"/>
    <w:rsid w:val="00156F8F"/>
    <w:rsid w:val="00157130"/>
    <w:rsid w:val="001576B1"/>
    <w:rsid w:val="001601B1"/>
    <w:rsid w:val="0016047B"/>
    <w:rsid w:val="00160A4C"/>
    <w:rsid w:val="00161071"/>
    <w:rsid w:val="0016119F"/>
    <w:rsid w:val="0016164C"/>
    <w:rsid w:val="00161B0A"/>
    <w:rsid w:val="00162913"/>
    <w:rsid w:val="00163EFF"/>
    <w:rsid w:val="00163F66"/>
    <w:rsid w:val="0016478E"/>
    <w:rsid w:val="001649D9"/>
    <w:rsid w:val="00165EC4"/>
    <w:rsid w:val="001661FB"/>
    <w:rsid w:val="00166775"/>
    <w:rsid w:val="001671A0"/>
    <w:rsid w:val="0016767F"/>
    <w:rsid w:val="00170255"/>
    <w:rsid w:val="001711EC"/>
    <w:rsid w:val="001732F8"/>
    <w:rsid w:val="00173565"/>
    <w:rsid w:val="0017364B"/>
    <w:rsid w:val="001736C5"/>
    <w:rsid w:val="00173A68"/>
    <w:rsid w:val="00173B07"/>
    <w:rsid w:val="00173CEA"/>
    <w:rsid w:val="001741E9"/>
    <w:rsid w:val="001751FA"/>
    <w:rsid w:val="00175695"/>
    <w:rsid w:val="00175F3B"/>
    <w:rsid w:val="00176095"/>
    <w:rsid w:val="00180B2F"/>
    <w:rsid w:val="00180E0B"/>
    <w:rsid w:val="00180FD6"/>
    <w:rsid w:val="00181774"/>
    <w:rsid w:val="00181C10"/>
    <w:rsid w:val="00181D9C"/>
    <w:rsid w:val="001837FF"/>
    <w:rsid w:val="00184087"/>
    <w:rsid w:val="001843A0"/>
    <w:rsid w:val="00184B0E"/>
    <w:rsid w:val="001871B1"/>
    <w:rsid w:val="0018752F"/>
    <w:rsid w:val="001902F0"/>
    <w:rsid w:val="001907E0"/>
    <w:rsid w:val="0019286A"/>
    <w:rsid w:val="00192C86"/>
    <w:rsid w:val="00193838"/>
    <w:rsid w:val="00194202"/>
    <w:rsid w:val="00194AD8"/>
    <w:rsid w:val="00195070"/>
    <w:rsid w:val="00195130"/>
    <w:rsid w:val="0019519A"/>
    <w:rsid w:val="00195222"/>
    <w:rsid w:val="00195452"/>
    <w:rsid w:val="00196D65"/>
    <w:rsid w:val="001975D8"/>
    <w:rsid w:val="001A1557"/>
    <w:rsid w:val="001A178E"/>
    <w:rsid w:val="001A18BB"/>
    <w:rsid w:val="001A1C51"/>
    <w:rsid w:val="001A224A"/>
    <w:rsid w:val="001A2292"/>
    <w:rsid w:val="001A3229"/>
    <w:rsid w:val="001A39B8"/>
    <w:rsid w:val="001A43FA"/>
    <w:rsid w:val="001A47C5"/>
    <w:rsid w:val="001A4FAB"/>
    <w:rsid w:val="001A59FB"/>
    <w:rsid w:val="001A5E9E"/>
    <w:rsid w:val="001A6354"/>
    <w:rsid w:val="001A6366"/>
    <w:rsid w:val="001A7443"/>
    <w:rsid w:val="001A7AE8"/>
    <w:rsid w:val="001B0274"/>
    <w:rsid w:val="001B1016"/>
    <w:rsid w:val="001B15BA"/>
    <w:rsid w:val="001B1841"/>
    <w:rsid w:val="001B204E"/>
    <w:rsid w:val="001B20CC"/>
    <w:rsid w:val="001B2372"/>
    <w:rsid w:val="001B26D4"/>
    <w:rsid w:val="001B3443"/>
    <w:rsid w:val="001B45A8"/>
    <w:rsid w:val="001B4B75"/>
    <w:rsid w:val="001B4D20"/>
    <w:rsid w:val="001B4FFE"/>
    <w:rsid w:val="001B5B0A"/>
    <w:rsid w:val="001B5D4C"/>
    <w:rsid w:val="001B622C"/>
    <w:rsid w:val="001B66A2"/>
    <w:rsid w:val="001B698F"/>
    <w:rsid w:val="001B7C23"/>
    <w:rsid w:val="001B7F84"/>
    <w:rsid w:val="001C2A9B"/>
    <w:rsid w:val="001C307F"/>
    <w:rsid w:val="001C368B"/>
    <w:rsid w:val="001C3BD9"/>
    <w:rsid w:val="001C3DD6"/>
    <w:rsid w:val="001C4299"/>
    <w:rsid w:val="001C4874"/>
    <w:rsid w:val="001C5F94"/>
    <w:rsid w:val="001C625D"/>
    <w:rsid w:val="001C6E66"/>
    <w:rsid w:val="001C710B"/>
    <w:rsid w:val="001C788F"/>
    <w:rsid w:val="001C7CD9"/>
    <w:rsid w:val="001C7DFA"/>
    <w:rsid w:val="001D079D"/>
    <w:rsid w:val="001D1100"/>
    <w:rsid w:val="001D1391"/>
    <w:rsid w:val="001D258B"/>
    <w:rsid w:val="001D25D7"/>
    <w:rsid w:val="001D2EB2"/>
    <w:rsid w:val="001D3080"/>
    <w:rsid w:val="001D3307"/>
    <w:rsid w:val="001D34A5"/>
    <w:rsid w:val="001D403F"/>
    <w:rsid w:val="001D45B4"/>
    <w:rsid w:val="001D48F5"/>
    <w:rsid w:val="001D50B2"/>
    <w:rsid w:val="001D520B"/>
    <w:rsid w:val="001D71F4"/>
    <w:rsid w:val="001D7645"/>
    <w:rsid w:val="001E06F3"/>
    <w:rsid w:val="001E0AAB"/>
    <w:rsid w:val="001E141D"/>
    <w:rsid w:val="001E1E86"/>
    <w:rsid w:val="001E238E"/>
    <w:rsid w:val="001E2483"/>
    <w:rsid w:val="001E2B1E"/>
    <w:rsid w:val="001E2CFF"/>
    <w:rsid w:val="001E2D78"/>
    <w:rsid w:val="001E2ED6"/>
    <w:rsid w:val="001E2F24"/>
    <w:rsid w:val="001E30D4"/>
    <w:rsid w:val="001E32B9"/>
    <w:rsid w:val="001E34DF"/>
    <w:rsid w:val="001E486A"/>
    <w:rsid w:val="001E52EB"/>
    <w:rsid w:val="001E61D2"/>
    <w:rsid w:val="001E6B31"/>
    <w:rsid w:val="001E6C7D"/>
    <w:rsid w:val="001E740C"/>
    <w:rsid w:val="001F1235"/>
    <w:rsid w:val="001F17E4"/>
    <w:rsid w:val="001F1CB3"/>
    <w:rsid w:val="001F1EB0"/>
    <w:rsid w:val="001F2C66"/>
    <w:rsid w:val="001F2F6E"/>
    <w:rsid w:val="001F38B5"/>
    <w:rsid w:val="001F4081"/>
    <w:rsid w:val="001F4144"/>
    <w:rsid w:val="001F42B2"/>
    <w:rsid w:val="001F504F"/>
    <w:rsid w:val="001F535A"/>
    <w:rsid w:val="001F5BA4"/>
    <w:rsid w:val="001F6FF6"/>
    <w:rsid w:val="001F7361"/>
    <w:rsid w:val="002011B0"/>
    <w:rsid w:val="00201782"/>
    <w:rsid w:val="0020188E"/>
    <w:rsid w:val="00201F36"/>
    <w:rsid w:val="0020276B"/>
    <w:rsid w:val="00203181"/>
    <w:rsid w:val="00203783"/>
    <w:rsid w:val="0020385F"/>
    <w:rsid w:val="00204268"/>
    <w:rsid w:val="00204B2D"/>
    <w:rsid w:val="0020597D"/>
    <w:rsid w:val="002062AB"/>
    <w:rsid w:val="00206561"/>
    <w:rsid w:val="002068A0"/>
    <w:rsid w:val="00206FF3"/>
    <w:rsid w:val="00207021"/>
    <w:rsid w:val="0020732F"/>
    <w:rsid w:val="00207D00"/>
    <w:rsid w:val="002105C1"/>
    <w:rsid w:val="0021109F"/>
    <w:rsid w:val="002116FD"/>
    <w:rsid w:val="00212B87"/>
    <w:rsid w:val="00213EBB"/>
    <w:rsid w:val="00213EF5"/>
    <w:rsid w:val="00215655"/>
    <w:rsid w:val="00216BF5"/>
    <w:rsid w:val="00220079"/>
    <w:rsid w:val="002207C7"/>
    <w:rsid w:val="002215AA"/>
    <w:rsid w:val="00222230"/>
    <w:rsid w:val="002229C0"/>
    <w:rsid w:val="00223B49"/>
    <w:rsid w:val="00223D5A"/>
    <w:rsid w:val="00223ED1"/>
    <w:rsid w:val="002249DA"/>
    <w:rsid w:val="00224DD4"/>
    <w:rsid w:val="002252AF"/>
    <w:rsid w:val="002256DC"/>
    <w:rsid w:val="0022631B"/>
    <w:rsid w:val="002278A0"/>
    <w:rsid w:val="002279E3"/>
    <w:rsid w:val="0023068F"/>
    <w:rsid w:val="002306B6"/>
    <w:rsid w:val="002309CC"/>
    <w:rsid w:val="00231BA9"/>
    <w:rsid w:val="0023209F"/>
    <w:rsid w:val="002324D6"/>
    <w:rsid w:val="00232779"/>
    <w:rsid w:val="002331FD"/>
    <w:rsid w:val="00233661"/>
    <w:rsid w:val="00233C01"/>
    <w:rsid w:val="00233EB0"/>
    <w:rsid w:val="0023413C"/>
    <w:rsid w:val="002346F0"/>
    <w:rsid w:val="00234FDE"/>
    <w:rsid w:val="0023629D"/>
    <w:rsid w:val="00236E3C"/>
    <w:rsid w:val="00237255"/>
    <w:rsid w:val="002409C9"/>
    <w:rsid w:val="002418C7"/>
    <w:rsid w:val="002424AF"/>
    <w:rsid w:val="002439DC"/>
    <w:rsid w:val="00243BD9"/>
    <w:rsid w:val="002441D2"/>
    <w:rsid w:val="00244DC8"/>
    <w:rsid w:val="0024547C"/>
    <w:rsid w:val="00245710"/>
    <w:rsid w:val="002458BA"/>
    <w:rsid w:val="00245CE9"/>
    <w:rsid w:val="0024636C"/>
    <w:rsid w:val="00246852"/>
    <w:rsid w:val="00246B60"/>
    <w:rsid w:val="00247925"/>
    <w:rsid w:val="00251006"/>
    <w:rsid w:val="002524D5"/>
    <w:rsid w:val="00252E54"/>
    <w:rsid w:val="002530D1"/>
    <w:rsid w:val="00253B1D"/>
    <w:rsid w:val="00254DCF"/>
    <w:rsid w:val="0025534B"/>
    <w:rsid w:val="00255BB7"/>
    <w:rsid w:val="00256137"/>
    <w:rsid w:val="00256161"/>
    <w:rsid w:val="00257417"/>
    <w:rsid w:val="00257541"/>
    <w:rsid w:val="002575BC"/>
    <w:rsid w:val="00257A39"/>
    <w:rsid w:val="00257AC4"/>
    <w:rsid w:val="00257BBE"/>
    <w:rsid w:val="00257C56"/>
    <w:rsid w:val="00257E40"/>
    <w:rsid w:val="0026004B"/>
    <w:rsid w:val="00260372"/>
    <w:rsid w:val="00261056"/>
    <w:rsid w:val="00261EEF"/>
    <w:rsid w:val="00262A1A"/>
    <w:rsid w:val="00262A87"/>
    <w:rsid w:val="00263995"/>
    <w:rsid w:val="00264D26"/>
    <w:rsid w:val="0026648A"/>
    <w:rsid w:val="00267642"/>
    <w:rsid w:val="0026785B"/>
    <w:rsid w:val="00267AEA"/>
    <w:rsid w:val="002700E6"/>
    <w:rsid w:val="00270B79"/>
    <w:rsid w:val="0027294B"/>
    <w:rsid w:val="00272AFC"/>
    <w:rsid w:val="00273472"/>
    <w:rsid w:val="00273906"/>
    <w:rsid w:val="00273956"/>
    <w:rsid w:val="00273EB4"/>
    <w:rsid w:val="00274682"/>
    <w:rsid w:val="00275158"/>
    <w:rsid w:val="002753DA"/>
    <w:rsid w:val="00275C5A"/>
    <w:rsid w:val="0027611B"/>
    <w:rsid w:val="00281014"/>
    <w:rsid w:val="00281AD6"/>
    <w:rsid w:val="00282678"/>
    <w:rsid w:val="002827D7"/>
    <w:rsid w:val="00283BC8"/>
    <w:rsid w:val="00285B68"/>
    <w:rsid w:val="00285BCE"/>
    <w:rsid w:val="0028665D"/>
    <w:rsid w:val="00287E78"/>
    <w:rsid w:val="002906EC"/>
    <w:rsid w:val="002910E9"/>
    <w:rsid w:val="002923B0"/>
    <w:rsid w:val="00292F00"/>
    <w:rsid w:val="002935C8"/>
    <w:rsid w:val="0029421A"/>
    <w:rsid w:val="00294BEB"/>
    <w:rsid w:val="00294D8A"/>
    <w:rsid w:val="00296199"/>
    <w:rsid w:val="00297CB2"/>
    <w:rsid w:val="002A09E9"/>
    <w:rsid w:val="002A14AB"/>
    <w:rsid w:val="002A27C1"/>
    <w:rsid w:val="002A2ADE"/>
    <w:rsid w:val="002A2F50"/>
    <w:rsid w:val="002A37E9"/>
    <w:rsid w:val="002A69CF"/>
    <w:rsid w:val="002A7943"/>
    <w:rsid w:val="002A79A3"/>
    <w:rsid w:val="002B0503"/>
    <w:rsid w:val="002B05A1"/>
    <w:rsid w:val="002B06BB"/>
    <w:rsid w:val="002B07A1"/>
    <w:rsid w:val="002B081D"/>
    <w:rsid w:val="002B09A4"/>
    <w:rsid w:val="002B169C"/>
    <w:rsid w:val="002B1C1F"/>
    <w:rsid w:val="002B32D5"/>
    <w:rsid w:val="002B37F0"/>
    <w:rsid w:val="002B3E7B"/>
    <w:rsid w:val="002B432F"/>
    <w:rsid w:val="002B47E8"/>
    <w:rsid w:val="002B4A76"/>
    <w:rsid w:val="002B52CB"/>
    <w:rsid w:val="002B533C"/>
    <w:rsid w:val="002B5E57"/>
    <w:rsid w:val="002B62B3"/>
    <w:rsid w:val="002B63AC"/>
    <w:rsid w:val="002B6754"/>
    <w:rsid w:val="002B6B70"/>
    <w:rsid w:val="002B6CCE"/>
    <w:rsid w:val="002B6D86"/>
    <w:rsid w:val="002B74AE"/>
    <w:rsid w:val="002C05B5"/>
    <w:rsid w:val="002C05BB"/>
    <w:rsid w:val="002C1442"/>
    <w:rsid w:val="002C150C"/>
    <w:rsid w:val="002C1590"/>
    <w:rsid w:val="002C1738"/>
    <w:rsid w:val="002C2510"/>
    <w:rsid w:val="002C2775"/>
    <w:rsid w:val="002C27C1"/>
    <w:rsid w:val="002C2B03"/>
    <w:rsid w:val="002C2C7C"/>
    <w:rsid w:val="002C35C6"/>
    <w:rsid w:val="002C36E3"/>
    <w:rsid w:val="002C3AA2"/>
    <w:rsid w:val="002C4369"/>
    <w:rsid w:val="002C45F9"/>
    <w:rsid w:val="002C5099"/>
    <w:rsid w:val="002C5889"/>
    <w:rsid w:val="002C6CC2"/>
    <w:rsid w:val="002C71CE"/>
    <w:rsid w:val="002C7B61"/>
    <w:rsid w:val="002C7C8F"/>
    <w:rsid w:val="002D0044"/>
    <w:rsid w:val="002D015A"/>
    <w:rsid w:val="002D08F8"/>
    <w:rsid w:val="002D134F"/>
    <w:rsid w:val="002D2604"/>
    <w:rsid w:val="002D30E7"/>
    <w:rsid w:val="002D46D0"/>
    <w:rsid w:val="002D4E9D"/>
    <w:rsid w:val="002D577C"/>
    <w:rsid w:val="002D6950"/>
    <w:rsid w:val="002D6E27"/>
    <w:rsid w:val="002D7832"/>
    <w:rsid w:val="002D7A4D"/>
    <w:rsid w:val="002E0890"/>
    <w:rsid w:val="002E0D19"/>
    <w:rsid w:val="002E1071"/>
    <w:rsid w:val="002E15B9"/>
    <w:rsid w:val="002E181D"/>
    <w:rsid w:val="002E2158"/>
    <w:rsid w:val="002E332A"/>
    <w:rsid w:val="002E34D8"/>
    <w:rsid w:val="002E4F02"/>
    <w:rsid w:val="002E5E35"/>
    <w:rsid w:val="002E6A1F"/>
    <w:rsid w:val="002E707C"/>
    <w:rsid w:val="002E7301"/>
    <w:rsid w:val="002E7722"/>
    <w:rsid w:val="002F07BA"/>
    <w:rsid w:val="002F0DA9"/>
    <w:rsid w:val="002F1014"/>
    <w:rsid w:val="002F137D"/>
    <w:rsid w:val="002F1E3B"/>
    <w:rsid w:val="002F22CA"/>
    <w:rsid w:val="002F349C"/>
    <w:rsid w:val="002F3D20"/>
    <w:rsid w:val="002F459E"/>
    <w:rsid w:val="002F493C"/>
    <w:rsid w:val="002F4945"/>
    <w:rsid w:val="002F5626"/>
    <w:rsid w:val="002F643C"/>
    <w:rsid w:val="002F6507"/>
    <w:rsid w:val="002F6AD4"/>
    <w:rsid w:val="002F71C0"/>
    <w:rsid w:val="002F74F1"/>
    <w:rsid w:val="003005BE"/>
    <w:rsid w:val="00301017"/>
    <w:rsid w:val="0030155F"/>
    <w:rsid w:val="0030270B"/>
    <w:rsid w:val="0030394F"/>
    <w:rsid w:val="00303A15"/>
    <w:rsid w:val="0030587B"/>
    <w:rsid w:val="00306D98"/>
    <w:rsid w:val="003071E9"/>
    <w:rsid w:val="0030786C"/>
    <w:rsid w:val="0031031A"/>
    <w:rsid w:val="00310616"/>
    <w:rsid w:val="00310981"/>
    <w:rsid w:val="003117DC"/>
    <w:rsid w:val="00311D9B"/>
    <w:rsid w:val="00311FEB"/>
    <w:rsid w:val="003124D9"/>
    <w:rsid w:val="00312594"/>
    <w:rsid w:val="00312F6A"/>
    <w:rsid w:val="003139E1"/>
    <w:rsid w:val="00313EED"/>
    <w:rsid w:val="00314D67"/>
    <w:rsid w:val="00315498"/>
    <w:rsid w:val="00316474"/>
    <w:rsid w:val="00316B25"/>
    <w:rsid w:val="00316D59"/>
    <w:rsid w:val="00320B24"/>
    <w:rsid w:val="00322107"/>
    <w:rsid w:val="00322355"/>
    <w:rsid w:val="003227F5"/>
    <w:rsid w:val="00322846"/>
    <w:rsid w:val="00324C8C"/>
    <w:rsid w:val="00325DFB"/>
    <w:rsid w:val="00326278"/>
    <w:rsid w:val="003267B0"/>
    <w:rsid w:val="00326DA7"/>
    <w:rsid w:val="00326EC5"/>
    <w:rsid w:val="003270E4"/>
    <w:rsid w:val="00327552"/>
    <w:rsid w:val="003276F9"/>
    <w:rsid w:val="00327DF4"/>
    <w:rsid w:val="00330DAA"/>
    <w:rsid w:val="00330F16"/>
    <w:rsid w:val="00330F5C"/>
    <w:rsid w:val="00331825"/>
    <w:rsid w:val="00331A89"/>
    <w:rsid w:val="00331B44"/>
    <w:rsid w:val="00332ABB"/>
    <w:rsid w:val="003334E3"/>
    <w:rsid w:val="00334E45"/>
    <w:rsid w:val="0033660C"/>
    <w:rsid w:val="003366C9"/>
    <w:rsid w:val="003371B0"/>
    <w:rsid w:val="003378C0"/>
    <w:rsid w:val="00337F06"/>
    <w:rsid w:val="00340DF1"/>
    <w:rsid w:val="003413C2"/>
    <w:rsid w:val="00341D3B"/>
    <w:rsid w:val="003429FF"/>
    <w:rsid w:val="0034334C"/>
    <w:rsid w:val="00343BE2"/>
    <w:rsid w:val="00344303"/>
    <w:rsid w:val="00344F99"/>
    <w:rsid w:val="0034587D"/>
    <w:rsid w:val="003468A5"/>
    <w:rsid w:val="00346FE1"/>
    <w:rsid w:val="00350777"/>
    <w:rsid w:val="00350D07"/>
    <w:rsid w:val="00351753"/>
    <w:rsid w:val="003517F9"/>
    <w:rsid w:val="00351BA9"/>
    <w:rsid w:val="00351C4A"/>
    <w:rsid w:val="00354F64"/>
    <w:rsid w:val="0035620E"/>
    <w:rsid w:val="00357373"/>
    <w:rsid w:val="003575BE"/>
    <w:rsid w:val="00360345"/>
    <w:rsid w:val="00361679"/>
    <w:rsid w:val="00361A05"/>
    <w:rsid w:val="003621E3"/>
    <w:rsid w:val="003624C4"/>
    <w:rsid w:val="00362DBD"/>
    <w:rsid w:val="0036356B"/>
    <w:rsid w:val="0036362A"/>
    <w:rsid w:val="00363B00"/>
    <w:rsid w:val="0036476B"/>
    <w:rsid w:val="003650A2"/>
    <w:rsid w:val="003654AC"/>
    <w:rsid w:val="003655D6"/>
    <w:rsid w:val="00365741"/>
    <w:rsid w:val="003658B4"/>
    <w:rsid w:val="0036642D"/>
    <w:rsid w:val="00366793"/>
    <w:rsid w:val="00367F70"/>
    <w:rsid w:val="003710CF"/>
    <w:rsid w:val="0037358A"/>
    <w:rsid w:val="003735F8"/>
    <w:rsid w:val="00373DFE"/>
    <w:rsid w:val="003741F2"/>
    <w:rsid w:val="00374E6E"/>
    <w:rsid w:val="003750F6"/>
    <w:rsid w:val="003760FC"/>
    <w:rsid w:val="00376AD1"/>
    <w:rsid w:val="00376C03"/>
    <w:rsid w:val="00376FEB"/>
    <w:rsid w:val="0038121B"/>
    <w:rsid w:val="00381C5B"/>
    <w:rsid w:val="00382972"/>
    <w:rsid w:val="00382B8C"/>
    <w:rsid w:val="0038365C"/>
    <w:rsid w:val="0038369B"/>
    <w:rsid w:val="00383B78"/>
    <w:rsid w:val="00385A9D"/>
    <w:rsid w:val="00385C61"/>
    <w:rsid w:val="00387121"/>
    <w:rsid w:val="00387B92"/>
    <w:rsid w:val="00387BC1"/>
    <w:rsid w:val="003902B1"/>
    <w:rsid w:val="00390B58"/>
    <w:rsid w:val="003914FA"/>
    <w:rsid w:val="0039179C"/>
    <w:rsid w:val="00391B45"/>
    <w:rsid w:val="00391C2F"/>
    <w:rsid w:val="00391E29"/>
    <w:rsid w:val="00393AC2"/>
    <w:rsid w:val="00394B1D"/>
    <w:rsid w:val="00394DBD"/>
    <w:rsid w:val="00395302"/>
    <w:rsid w:val="00395363"/>
    <w:rsid w:val="003958CA"/>
    <w:rsid w:val="00396896"/>
    <w:rsid w:val="0039693C"/>
    <w:rsid w:val="00396FD0"/>
    <w:rsid w:val="00397946"/>
    <w:rsid w:val="00397BCE"/>
    <w:rsid w:val="003A0AE1"/>
    <w:rsid w:val="003A111D"/>
    <w:rsid w:val="003A191C"/>
    <w:rsid w:val="003A1A7A"/>
    <w:rsid w:val="003A21DA"/>
    <w:rsid w:val="003A2392"/>
    <w:rsid w:val="003A2831"/>
    <w:rsid w:val="003A2858"/>
    <w:rsid w:val="003A3CB6"/>
    <w:rsid w:val="003A3ED1"/>
    <w:rsid w:val="003A44DB"/>
    <w:rsid w:val="003A45AE"/>
    <w:rsid w:val="003A486F"/>
    <w:rsid w:val="003A4C14"/>
    <w:rsid w:val="003A654B"/>
    <w:rsid w:val="003A6B94"/>
    <w:rsid w:val="003A7E11"/>
    <w:rsid w:val="003B1099"/>
    <w:rsid w:val="003B18AC"/>
    <w:rsid w:val="003B1DB3"/>
    <w:rsid w:val="003B23B4"/>
    <w:rsid w:val="003B3971"/>
    <w:rsid w:val="003B45F1"/>
    <w:rsid w:val="003B55D1"/>
    <w:rsid w:val="003B565C"/>
    <w:rsid w:val="003B5B61"/>
    <w:rsid w:val="003B6368"/>
    <w:rsid w:val="003B6B04"/>
    <w:rsid w:val="003B7282"/>
    <w:rsid w:val="003B7357"/>
    <w:rsid w:val="003C0CFF"/>
    <w:rsid w:val="003C1654"/>
    <w:rsid w:val="003C37E1"/>
    <w:rsid w:val="003C3E10"/>
    <w:rsid w:val="003C4316"/>
    <w:rsid w:val="003C48C4"/>
    <w:rsid w:val="003C5542"/>
    <w:rsid w:val="003C5D77"/>
    <w:rsid w:val="003C5E7C"/>
    <w:rsid w:val="003C60C9"/>
    <w:rsid w:val="003C7C15"/>
    <w:rsid w:val="003C7C23"/>
    <w:rsid w:val="003C7D19"/>
    <w:rsid w:val="003C7D2F"/>
    <w:rsid w:val="003C7E6D"/>
    <w:rsid w:val="003D0C5A"/>
    <w:rsid w:val="003D1287"/>
    <w:rsid w:val="003D1828"/>
    <w:rsid w:val="003D1DE4"/>
    <w:rsid w:val="003D1E9A"/>
    <w:rsid w:val="003D2422"/>
    <w:rsid w:val="003D3922"/>
    <w:rsid w:val="003D39A1"/>
    <w:rsid w:val="003D3FBF"/>
    <w:rsid w:val="003D4A30"/>
    <w:rsid w:val="003D510B"/>
    <w:rsid w:val="003D5B65"/>
    <w:rsid w:val="003D5B75"/>
    <w:rsid w:val="003D7452"/>
    <w:rsid w:val="003D78BE"/>
    <w:rsid w:val="003D79BB"/>
    <w:rsid w:val="003D7C98"/>
    <w:rsid w:val="003D7D9D"/>
    <w:rsid w:val="003D7F5F"/>
    <w:rsid w:val="003D7FB2"/>
    <w:rsid w:val="003E0543"/>
    <w:rsid w:val="003E099E"/>
    <w:rsid w:val="003E0C65"/>
    <w:rsid w:val="003E116A"/>
    <w:rsid w:val="003E1258"/>
    <w:rsid w:val="003E145C"/>
    <w:rsid w:val="003E15F2"/>
    <w:rsid w:val="003E175E"/>
    <w:rsid w:val="003E27EA"/>
    <w:rsid w:val="003E385A"/>
    <w:rsid w:val="003E3CD7"/>
    <w:rsid w:val="003E5603"/>
    <w:rsid w:val="003E64B1"/>
    <w:rsid w:val="003E6E7F"/>
    <w:rsid w:val="003E749E"/>
    <w:rsid w:val="003E7D59"/>
    <w:rsid w:val="003F0072"/>
    <w:rsid w:val="003F0609"/>
    <w:rsid w:val="003F1596"/>
    <w:rsid w:val="003F2E0A"/>
    <w:rsid w:val="003F3757"/>
    <w:rsid w:val="003F4156"/>
    <w:rsid w:val="003F475F"/>
    <w:rsid w:val="003F4F57"/>
    <w:rsid w:val="003F4F72"/>
    <w:rsid w:val="003F5ADF"/>
    <w:rsid w:val="003F5BA4"/>
    <w:rsid w:val="003F6CFB"/>
    <w:rsid w:val="003F7B6F"/>
    <w:rsid w:val="00400659"/>
    <w:rsid w:val="00400B04"/>
    <w:rsid w:val="00400B29"/>
    <w:rsid w:val="00400B46"/>
    <w:rsid w:val="004015C0"/>
    <w:rsid w:val="00401847"/>
    <w:rsid w:val="00401F00"/>
    <w:rsid w:val="00402131"/>
    <w:rsid w:val="00402812"/>
    <w:rsid w:val="0040465B"/>
    <w:rsid w:val="0040504B"/>
    <w:rsid w:val="004059F4"/>
    <w:rsid w:val="00405AB6"/>
    <w:rsid w:val="004066BA"/>
    <w:rsid w:val="00407FE5"/>
    <w:rsid w:val="004101B0"/>
    <w:rsid w:val="00410326"/>
    <w:rsid w:val="00410378"/>
    <w:rsid w:val="00410546"/>
    <w:rsid w:val="00410708"/>
    <w:rsid w:val="00410EC7"/>
    <w:rsid w:val="00411512"/>
    <w:rsid w:val="00411AB2"/>
    <w:rsid w:val="00411B39"/>
    <w:rsid w:val="004127A7"/>
    <w:rsid w:val="0041317C"/>
    <w:rsid w:val="00413A1E"/>
    <w:rsid w:val="00413B0D"/>
    <w:rsid w:val="00414476"/>
    <w:rsid w:val="00414C2E"/>
    <w:rsid w:val="004151CF"/>
    <w:rsid w:val="0041584C"/>
    <w:rsid w:val="00416364"/>
    <w:rsid w:val="004165C9"/>
    <w:rsid w:val="0042047F"/>
    <w:rsid w:val="004209BB"/>
    <w:rsid w:val="00420AA6"/>
    <w:rsid w:val="00420B9F"/>
    <w:rsid w:val="00420CEC"/>
    <w:rsid w:val="0042192C"/>
    <w:rsid w:val="00422260"/>
    <w:rsid w:val="0042284F"/>
    <w:rsid w:val="00423823"/>
    <w:rsid w:val="00423A38"/>
    <w:rsid w:val="0042413F"/>
    <w:rsid w:val="004253AB"/>
    <w:rsid w:val="00425E08"/>
    <w:rsid w:val="00425EB7"/>
    <w:rsid w:val="004260F9"/>
    <w:rsid w:val="00427563"/>
    <w:rsid w:val="004319F8"/>
    <w:rsid w:val="00431E55"/>
    <w:rsid w:val="004321F6"/>
    <w:rsid w:val="00432775"/>
    <w:rsid w:val="00433044"/>
    <w:rsid w:val="00433764"/>
    <w:rsid w:val="00434088"/>
    <w:rsid w:val="00434B2D"/>
    <w:rsid w:val="0043533E"/>
    <w:rsid w:val="0043583F"/>
    <w:rsid w:val="00436388"/>
    <w:rsid w:val="0043656A"/>
    <w:rsid w:val="004375B9"/>
    <w:rsid w:val="0043796D"/>
    <w:rsid w:val="00437CE0"/>
    <w:rsid w:val="00440738"/>
    <w:rsid w:val="00440E46"/>
    <w:rsid w:val="00441646"/>
    <w:rsid w:val="00441E59"/>
    <w:rsid w:val="004428D0"/>
    <w:rsid w:val="00442EA7"/>
    <w:rsid w:val="00443A5F"/>
    <w:rsid w:val="00444185"/>
    <w:rsid w:val="004443A7"/>
    <w:rsid w:val="0044442C"/>
    <w:rsid w:val="00444B76"/>
    <w:rsid w:val="00445941"/>
    <w:rsid w:val="00445C80"/>
    <w:rsid w:val="004464EB"/>
    <w:rsid w:val="004465A6"/>
    <w:rsid w:val="00446895"/>
    <w:rsid w:val="00447759"/>
    <w:rsid w:val="00447B84"/>
    <w:rsid w:val="00447D26"/>
    <w:rsid w:val="00447DFC"/>
    <w:rsid w:val="00451A78"/>
    <w:rsid w:val="00452DD5"/>
    <w:rsid w:val="00452EDA"/>
    <w:rsid w:val="0045449C"/>
    <w:rsid w:val="0045517C"/>
    <w:rsid w:val="0045567F"/>
    <w:rsid w:val="00455D45"/>
    <w:rsid w:val="00456049"/>
    <w:rsid w:val="00457A39"/>
    <w:rsid w:val="00457E60"/>
    <w:rsid w:val="00462880"/>
    <w:rsid w:val="00462D1C"/>
    <w:rsid w:val="00462FC6"/>
    <w:rsid w:val="0046394A"/>
    <w:rsid w:val="00464595"/>
    <w:rsid w:val="0046531E"/>
    <w:rsid w:val="00465456"/>
    <w:rsid w:val="004658B5"/>
    <w:rsid w:val="00466219"/>
    <w:rsid w:val="00466C18"/>
    <w:rsid w:val="00466E18"/>
    <w:rsid w:val="004677E2"/>
    <w:rsid w:val="00470E10"/>
    <w:rsid w:val="00470E65"/>
    <w:rsid w:val="004718B3"/>
    <w:rsid w:val="00471EA5"/>
    <w:rsid w:val="00471F3B"/>
    <w:rsid w:val="0047242A"/>
    <w:rsid w:val="00472A79"/>
    <w:rsid w:val="00473314"/>
    <w:rsid w:val="004734FE"/>
    <w:rsid w:val="00473BDC"/>
    <w:rsid w:val="00473F19"/>
    <w:rsid w:val="00474404"/>
    <w:rsid w:val="004756D3"/>
    <w:rsid w:val="00475A1C"/>
    <w:rsid w:val="00475B47"/>
    <w:rsid w:val="00475E22"/>
    <w:rsid w:val="00476AE7"/>
    <w:rsid w:val="00476FA1"/>
    <w:rsid w:val="0048088E"/>
    <w:rsid w:val="00480B3A"/>
    <w:rsid w:val="00480F2B"/>
    <w:rsid w:val="00481139"/>
    <w:rsid w:val="00482720"/>
    <w:rsid w:val="00482909"/>
    <w:rsid w:val="004835E7"/>
    <w:rsid w:val="004839B7"/>
    <w:rsid w:val="00484413"/>
    <w:rsid w:val="00485297"/>
    <w:rsid w:val="004859E1"/>
    <w:rsid w:val="004867E2"/>
    <w:rsid w:val="00487E2F"/>
    <w:rsid w:val="00490087"/>
    <w:rsid w:val="00490143"/>
    <w:rsid w:val="00490287"/>
    <w:rsid w:val="00490B17"/>
    <w:rsid w:val="00490D21"/>
    <w:rsid w:val="00490E8F"/>
    <w:rsid w:val="00491B3A"/>
    <w:rsid w:val="00491D6B"/>
    <w:rsid w:val="0049249C"/>
    <w:rsid w:val="00492CFD"/>
    <w:rsid w:val="004935F8"/>
    <w:rsid w:val="00493706"/>
    <w:rsid w:val="00493B8A"/>
    <w:rsid w:val="00494207"/>
    <w:rsid w:val="00494DD5"/>
    <w:rsid w:val="004962D2"/>
    <w:rsid w:val="00496499"/>
    <w:rsid w:val="004969C1"/>
    <w:rsid w:val="004976E1"/>
    <w:rsid w:val="00497834"/>
    <w:rsid w:val="00497BDA"/>
    <w:rsid w:val="004A09AC"/>
    <w:rsid w:val="004A0DA1"/>
    <w:rsid w:val="004A13D6"/>
    <w:rsid w:val="004A2AFB"/>
    <w:rsid w:val="004A2B47"/>
    <w:rsid w:val="004A471A"/>
    <w:rsid w:val="004A4B41"/>
    <w:rsid w:val="004A52E9"/>
    <w:rsid w:val="004A6040"/>
    <w:rsid w:val="004A6597"/>
    <w:rsid w:val="004A7848"/>
    <w:rsid w:val="004A793B"/>
    <w:rsid w:val="004B1198"/>
    <w:rsid w:val="004B1CB4"/>
    <w:rsid w:val="004B2F18"/>
    <w:rsid w:val="004B3DDB"/>
    <w:rsid w:val="004B44D1"/>
    <w:rsid w:val="004B44FD"/>
    <w:rsid w:val="004B4602"/>
    <w:rsid w:val="004B55F3"/>
    <w:rsid w:val="004B5CFC"/>
    <w:rsid w:val="004B5E06"/>
    <w:rsid w:val="004B6A10"/>
    <w:rsid w:val="004B6AF2"/>
    <w:rsid w:val="004B6C57"/>
    <w:rsid w:val="004B6DFC"/>
    <w:rsid w:val="004B6F79"/>
    <w:rsid w:val="004B7384"/>
    <w:rsid w:val="004B774D"/>
    <w:rsid w:val="004B7CF9"/>
    <w:rsid w:val="004C1381"/>
    <w:rsid w:val="004C21FB"/>
    <w:rsid w:val="004C2AC2"/>
    <w:rsid w:val="004C2AE4"/>
    <w:rsid w:val="004C35BB"/>
    <w:rsid w:val="004C3B02"/>
    <w:rsid w:val="004C3E7B"/>
    <w:rsid w:val="004C4AED"/>
    <w:rsid w:val="004C4E8C"/>
    <w:rsid w:val="004C7C74"/>
    <w:rsid w:val="004D09B0"/>
    <w:rsid w:val="004D2877"/>
    <w:rsid w:val="004D29F6"/>
    <w:rsid w:val="004D2C2D"/>
    <w:rsid w:val="004D57E3"/>
    <w:rsid w:val="004D6531"/>
    <w:rsid w:val="004D69B5"/>
    <w:rsid w:val="004D6B05"/>
    <w:rsid w:val="004D7227"/>
    <w:rsid w:val="004D7B5E"/>
    <w:rsid w:val="004D7D33"/>
    <w:rsid w:val="004E08B3"/>
    <w:rsid w:val="004E0E7F"/>
    <w:rsid w:val="004E0EB8"/>
    <w:rsid w:val="004E125A"/>
    <w:rsid w:val="004E18E9"/>
    <w:rsid w:val="004E2ADC"/>
    <w:rsid w:val="004E43B2"/>
    <w:rsid w:val="004E5B9D"/>
    <w:rsid w:val="004E6A25"/>
    <w:rsid w:val="004E6A8E"/>
    <w:rsid w:val="004E766E"/>
    <w:rsid w:val="004E7BD2"/>
    <w:rsid w:val="004E7CC2"/>
    <w:rsid w:val="004F0948"/>
    <w:rsid w:val="004F199B"/>
    <w:rsid w:val="004F1D02"/>
    <w:rsid w:val="004F1FF1"/>
    <w:rsid w:val="004F2679"/>
    <w:rsid w:val="004F2F21"/>
    <w:rsid w:val="004F3DE5"/>
    <w:rsid w:val="004F3F1E"/>
    <w:rsid w:val="004F44A0"/>
    <w:rsid w:val="004F4D07"/>
    <w:rsid w:val="004F56E7"/>
    <w:rsid w:val="004F6913"/>
    <w:rsid w:val="004F735F"/>
    <w:rsid w:val="004F7865"/>
    <w:rsid w:val="00500131"/>
    <w:rsid w:val="00500367"/>
    <w:rsid w:val="0050174E"/>
    <w:rsid w:val="00501854"/>
    <w:rsid w:val="0050219B"/>
    <w:rsid w:val="00502CE9"/>
    <w:rsid w:val="00502DD7"/>
    <w:rsid w:val="00503F17"/>
    <w:rsid w:val="00503F3A"/>
    <w:rsid w:val="00504C0A"/>
    <w:rsid w:val="005055D8"/>
    <w:rsid w:val="005058B8"/>
    <w:rsid w:val="00505997"/>
    <w:rsid w:val="00505C99"/>
    <w:rsid w:val="005061D5"/>
    <w:rsid w:val="00506928"/>
    <w:rsid w:val="00506D54"/>
    <w:rsid w:val="00506EDA"/>
    <w:rsid w:val="00506FD6"/>
    <w:rsid w:val="0050737B"/>
    <w:rsid w:val="005077EF"/>
    <w:rsid w:val="00507C46"/>
    <w:rsid w:val="00507C53"/>
    <w:rsid w:val="00511AD5"/>
    <w:rsid w:val="00511DC7"/>
    <w:rsid w:val="00512A58"/>
    <w:rsid w:val="00512C68"/>
    <w:rsid w:val="0051412D"/>
    <w:rsid w:val="005142C5"/>
    <w:rsid w:val="0051466D"/>
    <w:rsid w:val="005146CC"/>
    <w:rsid w:val="0051501B"/>
    <w:rsid w:val="005152B5"/>
    <w:rsid w:val="00515886"/>
    <w:rsid w:val="00515A32"/>
    <w:rsid w:val="005179B8"/>
    <w:rsid w:val="005200B4"/>
    <w:rsid w:val="00521127"/>
    <w:rsid w:val="0052123C"/>
    <w:rsid w:val="00521319"/>
    <w:rsid w:val="00521854"/>
    <w:rsid w:val="00521DCD"/>
    <w:rsid w:val="00522BC8"/>
    <w:rsid w:val="0052307E"/>
    <w:rsid w:val="005233F2"/>
    <w:rsid w:val="00523C28"/>
    <w:rsid w:val="00523D72"/>
    <w:rsid w:val="005247FC"/>
    <w:rsid w:val="00525265"/>
    <w:rsid w:val="00527886"/>
    <w:rsid w:val="0053176B"/>
    <w:rsid w:val="00531A9B"/>
    <w:rsid w:val="00531FEE"/>
    <w:rsid w:val="00532646"/>
    <w:rsid w:val="00532898"/>
    <w:rsid w:val="00532FD9"/>
    <w:rsid w:val="005334B0"/>
    <w:rsid w:val="005337AD"/>
    <w:rsid w:val="00533FCD"/>
    <w:rsid w:val="005341B3"/>
    <w:rsid w:val="00534688"/>
    <w:rsid w:val="00534784"/>
    <w:rsid w:val="00536DBD"/>
    <w:rsid w:val="00536F42"/>
    <w:rsid w:val="00537182"/>
    <w:rsid w:val="00540ABE"/>
    <w:rsid w:val="00540F23"/>
    <w:rsid w:val="00541EDD"/>
    <w:rsid w:val="005423DC"/>
    <w:rsid w:val="00542743"/>
    <w:rsid w:val="005427CD"/>
    <w:rsid w:val="00542C2D"/>
    <w:rsid w:val="005430B3"/>
    <w:rsid w:val="00544664"/>
    <w:rsid w:val="00545273"/>
    <w:rsid w:val="00545A01"/>
    <w:rsid w:val="00546350"/>
    <w:rsid w:val="0054788F"/>
    <w:rsid w:val="005478BD"/>
    <w:rsid w:val="005479E3"/>
    <w:rsid w:val="00551107"/>
    <w:rsid w:val="00551985"/>
    <w:rsid w:val="00551BF1"/>
    <w:rsid w:val="0055248C"/>
    <w:rsid w:val="005528CE"/>
    <w:rsid w:val="00552938"/>
    <w:rsid w:val="00552ACE"/>
    <w:rsid w:val="00552BD3"/>
    <w:rsid w:val="005532A0"/>
    <w:rsid w:val="00555003"/>
    <w:rsid w:val="00555109"/>
    <w:rsid w:val="005557D2"/>
    <w:rsid w:val="0055585A"/>
    <w:rsid w:val="00555915"/>
    <w:rsid w:val="0055626F"/>
    <w:rsid w:val="00556B35"/>
    <w:rsid w:val="0055741A"/>
    <w:rsid w:val="005575BC"/>
    <w:rsid w:val="00560F5D"/>
    <w:rsid w:val="00560FBA"/>
    <w:rsid w:val="005611B7"/>
    <w:rsid w:val="005618D4"/>
    <w:rsid w:val="0056202A"/>
    <w:rsid w:val="00562461"/>
    <w:rsid w:val="005634DC"/>
    <w:rsid w:val="00564867"/>
    <w:rsid w:val="005649A3"/>
    <w:rsid w:val="00565C79"/>
    <w:rsid w:val="00565DF0"/>
    <w:rsid w:val="00565F15"/>
    <w:rsid w:val="0056696F"/>
    <w:rsid w:val="00566F5E"/>
    <w:rsid w:val="0057130F"/>
    <w:rsid w:val="00571D0D"/>
    <w:rsid w:val="00572269"/>
    <w:rsid w:val="0057244A"/>
    <w:rsid w:val="00572866"/>
    <w:rsid w:val="00572F26"/>
    <w:rsid w:val="005732BA"/>
    <w:rsid w:val="005733CE"/>
    <w:rsid w:val="0057382A"/>
    <w:rsid w:val="00573CAB"/>
    <w:rsid w:val="00574724"/>
    <w:rsid w:val="00574988"/>
    <w:rsid w:val="005750C5"/>
    <w:rsid w:val="005752DE"/>
    <w:rsid w:val="00575D60"/>
    <w:rsid w:val="00575D8D"/>
    <w:rsid w:val="00576972"/>
    <w:rsid w:val="0057714C"/>
    <w:rsid w:val="00577248"/>
    <w:rsid w:val="00577DD7"/>
    <w:rsid w:val="00580634"/>
    <w:rsid w:val="005807D7"/>
    <w:rsid w:val="0058086C"/>
    <w:rsid w:val="00581386"/>
    <w:rsid w:val="00581CFE"/>
    <w:rsid w:val="00582663"/>
    <w:rsid w:val="00582B8F"/>
    <w:rsid w:val="00583699"/>
    <w:rsid w:val="0058370B"/>
    <w:rsid w:val="00584EA4"/>
    <w:rsid w:val="00585CDD"/>
    <w:rsid w:val="00585F8D"/>
    <w:rsid w:val="00587058"/>
    <w:rsid w:val="00587441"/>
    <w:rsid w:val="00587DFF"/>
    <w:rsid w:val="00590177"/>
    <w:rsid w:val="00590720"/>
    <w:rsid w:val="00590D90"/>
    <w:rsid w:val="00591957"/>
    <w:rsid w:val="00595EBE"/>
    <w:rsid w:val="005960C1"/>
    <w:rsid w:val="00597707"/>
    <w:rsid w:val="00597BF9"/>
    <w:rsid w:val="00597D72"/>
    <w:rsid w:val="005A0C11"/>
    <w:rsid w:val="005A11D8"/>
    <w:rsid w:val="005A309A"/>
    <w:rsid w:val="005A3723"/>
    <w:rsid w:val="005A373D"/>
    <w:rsid w:val="005A4F5E"/>
    <w:rsid w:val="005A5083"/>
    <w:rsid w:val="005A5AEA"/>
    <w:rsid w:val="005A63F2"/>
    <w:rsid w:val="005A7F39"/>
    <w:rsid w:val="005B0B58"/>
    <w:rsid w:val="005B0E3F"/>
    <w:rsid w:val="005B21A2"/>
    <w:rsid w:val="005B24E1"/>
    <w:rsid w:val="005B27F8"/>
    <w:rsid w:val="005B3BB6"/>
    <w:rsid w:val="005B4E53"/>
    <w:rsid w:val="005B5037"/>
    <w:rsid w:val="005B5857"/>
    <w:rsid w:val="005C01CC"/>
    <w:rsid w:val="005C07CC"/>
    <w:rsid w:val="005C08A2"/>
    <w:rsid w:val="005C19C4"/>
    <w:rsid w:val="005C1B83"/>
    <w:rsid w:val="005C25FF"/>
    <w:rsid w:val="005C2D55"/>
    <w:rsid w:val="005C346B"/>
    <w:rsid w:val="005C4C1E"/>
    <w:rsid w:val="005C56C1"/>
    <w:rsid w:val="005C5ABC"/>
    <w:rsid w:val="005C6367"/>
    <w:rsid w:val="005C63E1"/>
    <w:rsid w:val="005C77B8"/>
    <w:rsid w:val="005C77CF"/>
    <w:rsid w:val="005C7841"/>
    <w:rsid w:val="005D044D"/>
    <w:rsid w:val="005D0ABD"/>
    <w:rsid w:val="005D18AD"/>
    <w:rsid w:val="005D2424"/>
    <w:rsid w:val="005D25F6"/>
    <w:rsid w:val="005D26B4"/>
    <w:rsid w:val="005D2BA6"/>
    <w:rsid w:val="005D30CF"/>
    <w:rsid w:val="005D6032"/>
    <w:rsid w:val="005D6F15"/>
    <w:rsid w:val="005E1995"/>
    <w:rsid w:val="005E20D4"/>
    <w:rsid w:val="005E279A"/>
    <w:rsid w:val="005E3A9F"/>
    <w:rsid w:val="005E45E1"/>
    <w:rsid w:val="005E50E7"/>
    <w:rsid w:val="005E5135"/>
    <w:rsid w:val="005E51DC"/>
    <w:rsid w:val="005E59EE"/>
    <w:rsid w:val="005E61CA"/>
    <w:rsid w:val="005E6CBC"/>
    <w:rsid w:val="005E6F55"/>
    <w:rsid w:val="005E72FF"/>
    <w:rsid w:val="005E73C0"/>
    <w:rsid w:val="005F07ED"/>
    <w:rsid w:val="005F25CE"/>
    <w:rsid w:val="005F2706"/>
    <w:rsid w:val="005F2A80"/>
    <w:rsid w:val="005F45A7"/>
    <w:rsid w:val="005F480C"/>
    <w:rsid w:val="005F4F2D"/>
    <w:rsid w:val="005F6346"/>
    <w:rsid w:val="005F6693"/>
    <w:rsid w:val="005F6A8F"/>
    <w:rsid w:val="005F6BB7"/>
    <w:rsid w:val="005F7588"/>
    <w:rsid w:val="005F7B26"/>
    <w:rsid w:val="006028D3"/>
    <w:rsid w:val="00602C1E"/>
    <w:rsid w:val="006035C6"/>
    <w:rsid w:val="006038AD"/>
    <w:rsid w:val="00603DB9"/>
    <w:rsid w:val="00604A63"/>
    <w:rsid w:val="00604A90"/>
    <w:rsid w:val="006068B3"/>
    <w:rsid w:val="00606FBA"/>
    <w:rsid w:val="00606FC8"/>
    <w:rsid w:val="00607669"/>
    <w:rsid w:val="006076F4"/>
    <w:rsid w:val="00607AFD"/>
    <w:rsid w:val="006104E0"/>
    <w:rsid w:val="00610543"/>
    <w:rsid w:val="00611B12"/>
    <w:rsid w:val="00611E07"/>
    <w:rsid w:val="00612F97"/>
    <w:rsid w:val="0061345D"/>
    <w:rsid w:val="00613C35"/>
    <w:rsid w:val="006143A3"/>
    <w:rsid w:val="0061549B"/>
    <w:rsid w:val="00615821"/>
    <w:rsid w:val="00615FD5"/>
    <w:rsid w:val="00616000"/>
    <w:rsid w:val="00616802"/>
    <w:rsid w:val="00617602"/>
    <w:rsid w:val="00617E12"/>
    <w:rsid w:val="00620C25"/>
    <w:rsid w:val="00621477"/>
    <w:rsid w:val="00621ADA"/>
    <w:rsid w:val="00621C9B"/>
    <w:rsid w:val="0062304D"/>
    <w:rsid w:val="00623F7B"/>
    <w:rsid w:val="00624B6A"/>
    <w:rsid w:val="00624BD4"/>
    <w:rsid w:val="006256C5"/>
    <w:rsid w:val="00625AD5"/>
    <w:rsid w:val="0062630F"/>
    <w:rsid w:val="00626F6C"/>
    <w:rsid w:val="006277EB"/>
    <w:rsid w:val="006278FF"/>
    <w:rsid w:val="00630C1F"/>
    <w:rsid w:val="00630D98"/>
    <w:rsid w:val="00631174"/>
    <w:rsid w:val="0063124B"/>
    <w:rsid w:val="0063158F"/>
    <w:rsid w:val="00631D6B"/>
    <w:rsid w:val="00632183"/>
    <w:rsid w:val="00632493"/>
    <w:rsid w:val="00632A23"/>
    <w:rsid w:val="006330A1"/>
    <w:rsid w:val="006339A4"/>
    <w:rsid w:val="00633C24"/>
    <w:rsid w:val="006341EB"/>
    <w:rsid w:val="0063479F"/>
    <w:rsid w:val="006353F0"/>
    <w:rsid w:val="006357B5"/>
    <w:rsid w:val="006364A1"/>
    <w:rsid w:val="0063678E"/>
    <w:rsid w:val="00636925"/>
    <w:rsid w:val="006369E3"/>
    <w:rsid w:val="00636AB9"/>
    <w:rsid w:val="00636E59"/>
    <w:rsid w:val="00637BFD"/>
    <w:rsid w:val="00637C5C"/>
    <w:rsid w:val="00640307"/>
    <w:rsid w:val="00641821"/>
    <w:rsid w:val="00641C4E"/>
    <w:rsid w:val="00641FB3"/>
    <w:rsid w:val="006424B8"/>
    <w:rsid w:val="00642A7A"/>
    <w:rsid w:val="00642E5C"/>
    <w:rsid w:val="006431A8"/>
    <w:rsid w:val="00643380"/>
    <w:rsid w:val="00643E19"/>
    <w:rsid w:val="0064434C"/>
    <w:rsid w:val="00645226"/>
    <w:rsid w:val="006460A7"/>
    <w:rsid w:val="00646C64"/>
    <w:rsid w:val="006471CC"/>
    <w:rsid w:val="006472FE"/>
    <w:rsid w:val="006473DE"/>
    <w:rsid w:val="00647A29"/>
    <w:rsid w:val="00647A90"/>
    <w:rsid w:val="00647B88"/>
    <w:rsid w:val="00647E0F"/>
    <w:rsid w:val="006501B4"/>
    <w:rsid w:val="0065079F"/>
    <w:rsid w:val="00650C7D"/>
    <w:rsid w:val="00651BA8"/>
    <w:rsid w:val="006529FA"/>
    <w:rsid w:val="00652A28"/>
    <w:rsid w:val="00653620"/>
    <w:rsid w:val="0065379F"/>
    <w:rsid w:val="00653E94"/>
    <w:rsid w:val="00654FDF"/>
    <w:rsid w:val="00655059"/>
    <w:rsid w:val="0065534A"/>
    <w:rsid w:val="00655E4C"/>
    <w:rsid w:val="00656188"/>
    <w:rsid w:val="00656230"/>
    <w:rsid w:val="00656796"/>
    <w:rsid w:val="0065715A"/>
    <w:rsid w:val="006571C4"/>
    <w:rsid w:val="006572D2"/>
    <w:rsid w:val="006577A7"/>
    <w:rsid w:val="00660D47"/>
    <w:rsid w:val="006610F1"/>
    <w:rsid w:val="00661C6B"/>
    <w:rsid w:val="00662395"/>
    <w:rsid w:val="00662D3E"/>
    <w:rsid w:val="00662F73"/>
    <w:rsid w:val="00662F82"/>
    <w:rsid w:val="006641CC"/>
    <w:rsid w:val="0066501B"/>
    <w:rsid w:val="006652B2"/>
    <w:rsid w:val="00666C57"/>
    <w:rsid w:val="00667321"/>
    <w:rsid w:val="006676B8"/>
    <w:rsid w:val="00667BE3"/>
    <w:rsid w:val="0067050C"/>
    <w:rsid w:val="00671004"/>
    <w:rsid w:val="00671982"/>
    <w:rsid w:val="006720E9"/>
    <w:rsid w:val="006723DA"/>
    <w:rsid w:val="00672646"/>
    <w:rsid w:val="00673C9D"/>
    <w:rsid w:val="006740D4"/>
    <w:rsid w:val="00674E42"/>
    <w:rsid w:val="00676563"/>
    <w:rsid w:val="00676B5A"/>
    <w:rsid w:val="0067701E"/>
    <w:rsid w:val="00677506"/>
    <w:rsid w:val="006776C8"/>
    <w:rsid w:val="006813F8"/>
    <w:rsid w:val="00682112"/>
    <w:rsid w:val="00682279"/>
    <w:rsid w:val="00682552"/>
    <w:rsid w:val="00682A35"/>
    <w:rsid w:val="00682BA6"/>
    <w:rsid w:val="00685DE6"/>
    <w:rsid w:val="00685EC4"/>
    <w:rsid w:val="0068647C"/>
    <w:rsid w:val="00686957"/>
    <w:rsid w:val="006872BA"/>
    <w:rsid w:val="00687518"/>
    <w:rsid w:val="006903CE"/>
    <w:rsid w:val="00690795"/>
    <w:rsid w:val="00690874"/>
    <w:rsid w:val="0069101C"/>
    <w:rsid w:val="00691648"/>
    <w:rsid w:val="006917D7"/>
    <w:rsid w:val="00692991"/>
    <w:rsid w:val="0069434C"/>
    <w:rsid w:val="006943A4"/>
    <w:rsid w:val="00694BB3"/>
    <w:rsid w:val="00694EB7"/>
    <w:rsid w:val="00694F44"/>
    <w:rsid w:val="00696178"/>
    <w:rsid w:val="00696C76"/>
    <w:rsid w:val="00696EF9"/>
    <w:rsid w:val="00696F51"/>
    <w:rsid w:val="00697354"/>
    <w:rsid w:val="00697464"/>
    <w:rsid w:val="006979A5"/>
    <w:rsid w:val="006979D5"/>
    <w:rsid w:val="006A016F"/>
    <w:rsid w:val="006A052D"/>
    <w:rsid w:val="006A08A6"/>
    <w:rsid w:val="006A0CFF"/>
    <w:rsid w:val="006A0DF7"/>
    <w:rsid w:val="006A1D51"/>
    <w:rsid w:val="006A25A3"/>
    <w:rsid w:val="006A290E"/>
    <w:rsid w:val="006A4321"/>
    <w:rsid w:val="006A43D9"/>
    <w:rsid w:val="006A4D53"/>
    <w:rsid w:val="006A67F6"/>
    <w:rsid w:val="006A6B99"/>
    <w:rsid w:val="006A6BFB"/>
    <w:rsid w:val="006A7E5F"/>
    <w:rsid w:val="006B176E"/>
    <w:rsid w:val="006B1ED1"/>
    <w:rsid w:val="006B261B"/>
    <w:rsid w:val="006B2C90"/>
    <w:rsid w:val="006B35E6"/>
    <w:rsid w:val="006B3742"/>
    <w:rsid w:val="006B465A"/>
    <w:rsid w:val="006B4898"/>
    <w:rsid w:val="006B5A8E"/>
    <w:rsid w:val="006B6DD0"/>
    <w:rsid w:val="006B76B7"/>
    <w:rsid w:val="006C0399"/>
    <w:rsid w:val="006C0669"/>
    <w:rsid w:val="006C0968"/>
    <w:rsid w:val="006C0E55"/>
    <w:rsid w:val="006C2A8E"/>
    <w:rsid w:val="006C2C7B"/>
    <w:rsid w:val="006C2E53"/>
    <w:rsid w:val="006C3255"/>
    <w:rsid w:val="006C3F26"/>
    <w:rsid w:val="006C5B57"/>
    <w:rsid w:val="006C6B14"/>
    <w:rsid w:val="006C6E44"/>
    <w:rsid w:val="006D0289"/>
    <w:rsid w:val="006D0D17"/>
    <w:rsid w:val="006D0EA9"/>
    <w:rsid w:val="006D0F77"/>
    <w:rsid w:val="006D1567"/>
    <w:rsid w:val="006D2A23"/>
    <w:rsid w:val="006D376C"/>
    <w:rsid w:val="006D3C7D"/>
    <w:rsid w:val="006D4064"/>
    <w:rsid w:val="006D4659"/>
    <w:rsid w:val="006D47AC"/>
    <w:rsid w:val="006D4987"/>
    <w:rsid w:val="006D4B10"/>
    <w:rsid w:val="006D5D5F"/>
    <w:rsid w:val="006D68FB"/>
    <w:rsid w:val="006D7236"/>
    <w:rsid w:val="006D7899"/>
    <w:rsid w:val="006E041C"/>
    <w:rsid w:val="006E0B3C"/>
    <w:rsid w:val="006E114E"/>
    <w:rsid w:val="006E180A"/>
    <w:rsid w:val="006E1A49"/>
    <w:rsid w:val="006E2868"/>
    <w:rsid w:val="006E3143"/>
    <w:rsid w:val="006E3B6F"/>
    <w:rsid w:val="006E4CA5"/>
    <w:rsid w:val="006E4F1E"/>
    <w:rsid w:val="006E5F12"/>
    <w:rsid w:val="006E764A"/>
    <w:rsid w:val="006E766E"/>
    <w:rsid w:val="006F03C7"/>
    <w:rsid w:val="006F0F99"/>
    <w:rsid w:val="006F1401"/>
    <w:rsid w:val="006F1ACB"/>
    <w:rsid w:val="006F1E27"/>
    <w:rsid w:val="006F254C"/>
    <w:rsid w:val="006F28D0"/>
    <w:rsid w:val="006F2E27"/>
    <w:rsid w:val="006F306C"/>
    <w:rsid w:val="006F4CC4"/>
    <w:rsid w:val="006F508C"/>
    <w:rsid w:val="006F55D0"/>
    <w:rsid w:val="006F5A00"/>
    <w:rsid w:val="006F63A5"/>
    <w:rsid w:val="006F6926"/>
    <w:rsid w:val="006F696D"/>
    <w:rsid w:val="006F7548"/>
    <w:rsid w:val="0070046C"/>
    <w:rsid w:val="00700E45"/>
    <w:rsid w:val="0070142B"/>
    <w:rsid w:val="0070233D"/>
    <w:rsid w:val="0070276E"/>
    <w:rsid w:val="00702F8F"/>
    <w:rsid w:val="007046F5"/>
    <w:rsid w:val="00704D03"/>
    <w:rsid w:val="00705DAF"/>
    <w:rsid w:val="00705FF2"/>
    <w:rsid w:val="00706F88"/>
    <w:rsid w:val="007073C4"/>
    <w:rsid w:val="007079FC"/>
    <w:rsid w:val="00707BF4"/>
    <w:rsid w:val="007100C1"/>
    <w:rsid w:val="00710360"/>
    <w:rsid w:val="00711A36"/>
    <w:rsid w:val="0071219E"/>
    <w:rsid w:val="007125D3"/>
    <w:rsid w:val="00714C26"/>
    <w:rsid w:val="0071529C"/>
    <w:rsid w:val="0071576F"/>
    <w:rsid w:val="00716942"/>
    <w:rsid w:val="007170DA"/>
    <w:rsid w:val="007172AD"/>
    <w:rsid w:val="00717546"/>
    <w:rsid w:val="00717B7E"/>
    <w:rsid w:val="00720241"/>
    <w:rsid w:val="007202C3"/>
    <w:rsid w:val="00720801"/>
    <w:rsid w:val="00720833"/>
    <w:rsid w:val="00721E1A"/>
    <w:rsid w:val="00722516"/>
    <w:rsid w:val="00722B1B"/>
    <w:rsid w:val="00723061"/>
    <w:rsid w:val="0072416F"/>
    <w:rsid w:val="00724BB7"/>
    <w:rsid w:val="007265F3"/>
    <w:rsid w:val="00727C94"/>
    <w:rsid w:val="0073026C"/>
    <w:rsid w:val="00730D39"/>
    <w:rsid w:val="00731B0A"/>
    <w:rsid w:val="00731E8B"/>
    <w:rsid w:val="00731EAE"/>
    <w:rsid w:val="00732271"/>
    <w:rsid w:val="007327F7"/>
    <w:rsid w:val="00733073"/>
    <w:rsid w:val="00733B33"/>
    <w:rsid w:val="007346FF"/>
    <w:rsid w:val="00734F88"/>
    <w:rsid w:val="00735033"/>
    <w:rsid w:val="00735328"/>
    <w:rsid w:val="0073685B"/>
    <w:rsid w:val="00736B3C"/>
    <w:rsid w:val="007404D7"/>
    <w:rsid w:val="00740C1A"/>
    <w:rsid w:val="00742391"/>
    <w:rsid w:val="007424B8"/>
    <w:rsid w:val="007449BF"/>
    <w:rsid w:val="00744F22"/>
    <w:rsid w:val="00745704"/>
    <w:rsid w:val="007463FE"/>
    <w:rsid w:val="00746922"/>
    <w:rsid w:val="00746BC0"/>
    <w:rsid w:val="00747C60"/>
    <w:rsid w:val="00750F45"/>
    <w:rsid w:val="007510A5"/>
    <w:rsid w:val="007510B4"/>
    <w:rsid w:val="00752142"/>
    <w:rsid w:val="007523F9"/>
    <w:rsid w:val="00752941"/>
    <w:rsid w:val="0075357E"/>
    <w:rsid w:val="00753847"/>
    <w:rsid w:val="00753B29"/>
    <w:rsid w:val="00755316"/>
    <w:rsid w:val="00755741"/>
    <w:rsid w:val="007560A7"/>
    <w:rsid w:val="007573E8"/>
    <w:rsid w:val="007604E0"/>
    <w:rsid w:val="00760C4E"/>
    <w:rsid w:val="00760F9E"/>
    <w:rsid w:val="007616E4"/>
    <w:rsid w:val="007616E6"/>
    <w:rsid w:val="007618E7"/>
    <w:rsid w:val="00761FCA"/>
    <w:rsid w:val="007627BE"/>
    <w:rsid w:val="0076376B"/>
    <w:rsid w:val="00764717"/>
    <w:rsid w:val="00764F03"/>
    <w:rsid w:val="00765B1A"/>
    <w:rsid w:val="00765D65"/>
    <w:rsid w:val="00765DC1"/>
    <w:rsid w:val="00766653"/>
    <w:rsid w:val="00770550"/>
    <w:rsid w:val="0077086F"/>
    <w:rsid w:val="00770ACF"/>
    <w:rsid w:val="007716CA"/>
    <w:rsid w:val="00772726"/>
    <w:rsid w:val="00773438"/>
    <w:rsid w:val="00773B86"/>
    <w:rsid w:val="007760BD"/>
    <w:rsid w:val="00776A29"/>
    <w:rsid w:val="00777335"/>
    <w:rsid w:val="00781B95"/>
    <w:rsid w:val="00781FBD"/>
    <w:rsid w:val="007821EB"/>
    <w:rsid w:val="007822A8"/>
    <w:rsid w:val="0078241B"/>
    <w:rsid w:val="00782B11"/>
    <w:rsid w:val="00783966"/>
    <w:rsid w:val="00783C81"/>
    <w:rsid w:val="00783D4A"/>
    <w:rsid w:val="007843F2"/>
    <w:rsid w:val="007846FA"/>
    <w:rsid w:val="00785A4D"/>
    <w:rsid w:val="00785A9F"/>
    <w:rsid w:val="00785CEA"/>
    <w:rsid w:val="00786901"/>
    <w:rsid w:val="007925DF"/>
    <w:rsid w:val="00795436"/>
    <w:rsid w:val="00796056"/>
    <w:rsid w:val="007968FE"/>
    <w:rsid w:val="0079709A"/>
    <w:rsid w:val="0079787F"/>
    <w:rsid w:val="007A043A"/>
    <w:rsid w:val="007A08AA"/>
    <w:rsid w:val="007A097D"/>
    <w:rsid w:val="007A0A12"/>
    <w:rsid w:val="007A106E"/>
    <w:rsid w:val="007A132D"/>
    <w:rsid w:val="007A1345"/>
    <w:rsid w:val="007A24F1"/>
    <w:rsid w:val="007A2DDB"/>
    <w:rsid w:val="007A30DE"/>
    <w:rsid w:val="007A380D"/>
    <w:rsid w:val="007A39C7"/>
    <w:rsid w:val="007A3C77"/>
    <w:rsid w:val="007A3F9F"/>
    <w:rsid w:val="007A43F2"/>
    <w:rsid w:val="007A5AAE"/>
    <w:rsid w:val="007A69DB"/>
    <w:rsid w:val="007A6CF5"/>
    <w:rsid w:val="007A6D23"/>
    <w:rsid w:val="007A70BA"/>
    <w:rsid w:val="007A71A5"/>
    <w:rsid w:val="007A7E3C"/>
    <w:rsid w:val="007A7E7D"/>
    <w:rsid w:val="007B00BD"/>
    <w:rsid w:val="007B031D"/>
    <w:rsid w:val="007B0A86"/>
    <w:rsid w:val="007B0D68"/>
    <w:rsid w:val="007B16AA"/>
    <w:rsid w:val="007B2470"/>
    <w:rsid w:val="007B251D"/>
    <w:rsid w:val="007B3533"/>
    <w:rsid w:val="007B3E52"/>
    <w:rsid w:val="007B4F58"/>
    <w:rsid w:val="007B5094"/>
    <w:rsid w:val="007B528D"/>
    <w:rsid w:val="007B5CE8"/>
    <w:rsid w:val="007B6121"/>
    <w:rsid w:val="007B63CA"/>
    <w:rsid w:val="007B6BB7"/>
    <w:rsid w:val="007B77D1"/>
    <w:rsid w:val="007C00AE"/>
    <w:rsid w:val="007C0146"/>
    <w:rsid w:val="007C07C7"/>
    <w:rsid w:val="007C1CD9"/>
    <w:rsid w:val="007C32EF"/>
    <w:rsid w:val="007C361D"/>
    <w:rsid w:val="007C4B84"/>
    <w:rsid w:val="007C6077"/>
    <w:rsid w:val="007C70FF"/>
    <w:rsid w:val="007C7C25"/>
    <w:rsid w:val="007D004F"/>
    <w:rsid w:val="007D035F"/>
    <w:rsid w:val="007D06B2"/>
    <w:rsid w:val="007D0B38"/>
    <w:rsid w:val="007D1BFD"/>
    <w:rsid w:val="007D1FB1"/>
    <w:rsid w:val="007D34F0"/>
    <w:rsid w:val="007D355B"/>
    <w:rsid w:val="007D3B40"/>
    <w:rsid w:val="007D3F99"/>
    <w:rsid w:val="007D4EE5"/>
    <w:rsid w:val="007D5282"/>
    <w:rsid w:val="007D5440"/>
    <w:rsid w:val="007D649B"/>
    <w:rsid w:val="007D69EB"/>
    <w:rsid w:val="007D723D"/>
    <w:rsid w:val="007E128F"/>
    <w:rsid w:val="007E1FA8"/>
    <w:rsid w:val="007E59E6"/>
    <w:rsid w:val="007E6FE4"/>
    <w:rsid w:val="007E76B7"/>
    <w:rsid w:val="007F0768"/>
    <w:rsid w:val="007F1017"/>
    <w:rsid w:val="007F1530"/>
    <w:rsid w:val="007F1C5C"/>
    <w:rsid w:val="007F2B7C"/>
    <w:rsid w:val="007F2ECD"/>
    <w:rsid w:val="007F415B"/>
    <w:rsid w:val="007F476E"/>
    <w:rsid w:val="007F47F1"/>
    <w:rsid w:val="007F4A3F"/>
    <w:rsid w:val="007F4A61"/>
    <w:rsid w:val="007F5255"/>
    <w:rsid w:val="007F56CC"/>
    <w:rsid w:val="007F5C84"/>
    <w:rsid w:val="007F61C2"/>
    <w:rsid w:val="007F7AF9"/>
    <w:rsid w:val="00801017"/>
    <w:rsid w:val="00803D1A"/>
    <w:rsid w:val="00803F2B"/>
    <w:rsid w:val="00805142"/>
    <w:rsid w:val="0080566B"/>
    <w:rsid w:val="008058D3"/>
    <w:rsid w:val="00805FCE"/>
    <w:rsid w:val="00807108"/>
    <w:rsid w:val="00807A8B"/>
    <w:rsid w:val="00807B52"/>
    <w:rsid w:val="00807C6A"/>
    <w:rsid w:val="008105B3"/>
    <w:rsid w:val="00810E5A"/>
    <w:rsid w:val="00810EFB"/>
    <w:rsid w:val="00810F93"/>
    <w:rsid w:val="00811383"/>
    <w:rsid w:val="00811F4E"/>
    <w:rsid w:val="00812149"/>
    <w:rsid w:val="0081237D"/>
    <w:rsid w:val="0081249A"/>
    <w:rsid w:val="00812CAC"/>
    <w:rsid w:val="00814D1A"/>
    <w:rsid w:val="008159DF"/>
    <w:rsid w:val="00815CE2"/>
    <w:rsid w:val="00816361"/>
    <w:rsid w:val="008166EF"/>
    <w:rsid w:val="00816F82"/>
    <w:rsid w:val="00816FEF"/>
    <w:rsid w:val="00820A8C"/>
    <w:rsid w:val="008215FB"/>
    <w:rsid w:val="008220CC"/>
    <w:rsid w:val="00823174"/>
    <w:rsid w:val="0082386C"/>
    <w:rsid w:val="00823BA7"/>
    <w:rsid w:val="00823D12"/>
    <w:rsid w:val="00825751"/>
    <w:rsid w:val="00825A61"/>
    <w:rsid w:val="008264EB"/>
    <w:rsid w:val="008268CE"/>
    <w:rsid w:val="0082786A"/>
    <w:rsid w:val="00827C23"/>
    <w:rsid w:val="008306B6"/>
    <w:rsid w:val="00831585"/>
    <w:rsid w:val="008335FF"/>
    <w:rsid w:val="00833B05"/>
    <w:rsid w:val="00834121"/>
    <w:rsid w:val="00835438"/>
    <w:rsid w:val="00835596"/>
    <w:rsid w:val="00835BF7"/>
    <w:rsid w:val="008362B4"/>
    <w:rsid w:val="00836613"/>
    <w:rsid w:val="00837D66"/>
    <w:rsid w:val="00837D96"/>
    <w:rsid w:val="00837DEA"/>
    <w:rsid w:val="00840CA2"/>
    <w:rsid w:val="0084188B"/>
    <w:rsid w:val="00842183"/>
    <w:rsid w:val="0084374F"/>
    <w:rsid w:val="00844A22"/>
    <w:rsid w:val="00847703"/>
    <w:rsid w:val="00847BD7"/>
    <w:rsid w:val="00847DF5"/>
    <w:rsid w:val="0085079B"/>
    <w:rsid w:val="008510A6"/>
    <w:rsid w:val="0085154A"/>
    <w:rsid w:val="00852EBF"/>
    <w:rsid w:val="0085309D"/>
    <w:rsid w:val="008540F6"/>
    <w:rsid w:val="00856706"/>
    <w:rsid w:val="00856897"/>
    <w:rsid w:val="00856E9A"/>
    <w:rsid w:val="00857A60"/>
    <w:rsid w:val="00860669"/>
    <w:rsid w:val="0086075D"/>
    <w:rsid w:val="008609E3"/>
    <w:rsid w:val="00860F03"/>
    <w:rsid w:val="00862502"/>
    <w:rsid w:val="00862CC1"/>
    <w:rsid w:val="00862D7D"/>
    <w:rsid w:val="00863CFD"/>
    <w:rsid w:val="008642A7"/>
    <w:rsid w:val="00865142"/>
    <w:rsid w:val="00865CBB"/>
    <w:rsid w:val="008660D4"/>
    <w:rsid w:val="0086685E"/>
    <w:rsid w:val="0086797B"/>
    <w:rsid w:val="00870022"/>
    <w:rsid w:val="0087023D"/>
    <w:rsid w:val="008712E1"/>
    <w:rsid w:val="00871FA9"/>
    <w:rsid w:val="00872749"/>
    <w:rsid w:val="00872811"/>
    <w:rsid w:val="008728E9"/>
    <w:rsid w:val="00872C0E"/>
    <w:rsid w:val="008739D3"/>
    <w:rsid w:val="008744E6"/>
    <w:rsid w:val="0087490E"/>
    <w:rsid w:val="0087523D"/>
    <w:rsid w:val="008762D3"/>
    <w:rsid w:val="00876C60"/>
    <w:rsid w:val="00877934"/>
    <w:rsid w:val="00877F33"/>
    <w:rsid w:val="00880586"/>
    <w:rsid w:val="0088181F"/>
    <w:rsid w:val="00882874"/>
    <w:rsid w:val="00882E3C"/>
    <w:rsid w:val="0088308A"/>
    <w:rsid w:val="0088310C"/>
    <w:rsid w:val="00883787"/>
    <w:rsid w:val="00884720"/>
    <w:rsid w:val="008855E4"/>
    <w:rsid w:val="00885B3D"/>
    <w:rsid w:val="00886888"/>
    <w:rsid w:val="00886CD2"/>
    <w:rsid w:val="00886E6F"/>
    <w:rsid w:val="00890025"/>
    <w:rsid w:val="00891D15"/>
    <w:rsid w:val="00891E6F"/>
    <w:rsid w:val="0089275D"/>
    <w:rsid w:val="00892A36"/>
    <w:rsid w:val="00893239"/>
    <w:rsid w:val="0089381F"/>
    <w:rsid w:val="0089420E"/>
    <w:rsid w:val="00894290"/>
    <w:rsid w:val="00894489"/>
    <w:rsid w:val="00894CD6"/>
    <w:rsid w:val="00896093"/>
    <w:rsid w:val="008963A5"/>
    <w:rsid w:val="00896D5D"/>
    <w:rsid w:val="008978FD"/>
    <w:rsid w:val="00897989"/>
    <w:rsid w:val="008A0407"/>
    <w:rsid w:val="008A0670"/>
    <w:rsid w:val="008A19F4"/>
    <w:rsid w:val="008A313C"/>
    <w:rsid w:val="008A3158"/>
    <w:rsid w:val="008A3363"/>
    <w:rsid w:val="008A3371"/>
    <w:rsid w:val="008A3C3E"/>
    <w:rsid w:val="008A58F8"/>
    <w:rsid w:val="008A5EFB"/>
    <w:rsid w:val="008A6DB3"/>
    <w:rsid w:val="008A79DE"/>
    <w:rsid w:val="008B0135"/>
    <w:rsid w:val="008B013E"/>
    <w:rsid w:val="008B0D7B"/>
    <w:rsid w:val="008B1757"/>
    <w:rsid w:val="008B1C33"/>
    <w:rsid w:val="008B1FAE"/>
    <w:rsid w:val="008B2569"/>
    <w:rsid w:val="008B4B6F"/>
    <w:rsid w:val="008B4E84"/>
    <w:rsid w:val="008B546A"/>
    <w:rsid w:val="008B5922"/>
    <w:rsid w:val="008B753C"/>
    <w:rsid w:val="008B7774"/>
    <w:rsid w:val="008B7885"/>
    <w:rsid w:val="008B7992"/>
    <w:rsid w:val="008B7D7E"/>
    <w:rsid w:val="008C1720"/>
    <w:rsid w:val="008C2BDA"/>
    <w:rsid w:val="008C2D97"/>
    <w:rsid w:val="008C3573"/>
    <w:rsid w:val="008C3DB7"/>
    <w:rsid w:val="008C3ECF"/>
    <w:rsid w:val="008C5610"/>
    <w:rsid w:val="008C5739"/>
    <w:rsid w:val="008C5C43"/>
    <w:rsid w:val="008C6112"/>
    <w:rsid w:val="008C682C"/>
    <w:rsid w:val="008C6EB1"/>
    <w:rsid w:val="008C70D8"/>
    <w:rsid w:val="008C7282"/>
    <w:rsid w:val="008C7CF4"/>
    <w:rsid w:val="008C7ECB"/>
    <w:rsid w:val="008D02A7"/>
    <w:rsid w:val="008D0B0A"/>
    <w:rsid w:val="008D0C93"/>
    <w:rsid w:val="008D1B2F"/>
    <w:rsid w:val="008D2265"/>
    <w:rsid w:val="008D299B"/>
    <w:rsid w:val="008D2D1E"/>
    <w:rsid w:val="008D35A0"/>
    <w:rsid w:val="008D387B"/>
    <w:rsid w:val="008D3B86"/>
    <w:rsid w:val="008D3FC9"/>
    <w:rsid w:val="008D41A0"/>
    <w:rsid w:val="008D43FD"/>
    <w:rsid w:val="008D4755"/>
    <w:rsid w:val="008D4C3D"/>
    <w:rsid w:val="008D4E73"/>
    <w:rsid w:val="008D5CCB"/>
    <w:rsid w:val="008D743C"/>
    <w:rsid w:val="008E0D3C"/>
    <w:rsid w:val="008E1B9E"/>
    <w:rsid w:val="008E20E9"/>
    <w:rsid w:val="008E37B0"/>
    <w:rsid w:val="008E3F50"/>
    <w:rsid w:val="008E463E"/>
    <w:rsid w:val="008E54E4"/>
    <w:rsid w:val="008E55AB"/>
    <w:rsid w:val="008E5866"/>
    <w:rsid w:val="008E5F7B"/>
    <w:rsid w:val="008E6422"/>
    <w:rsid w:val="008E7034"/>
    <w:rsid w:val="008E7B77"/>
    <w:rsid w:val="008E7C5D"/>
    <w:rsid w:val="008F0434"/>
    <w:rsid w:val="008F1011"/>
    <w:rsid w:val="008F120A"/>
    <w:rsid w:val="008F27E0"/>
    <w:rsid w:val="008F2A9B"/>
    <w:rsid w:val="008F30F7"/>
    <w:rsid w:val="008F4375"/>
    <w:rsid w:val="008F48EB"/>
    <w:rsid w:val="008F4A72"/>
    <w:rsid w:val="008F4E67"/>
    <w:rsid w:val="008F4F0B"/>
    <w:rsid w:val="008F689C"/>
    <w:rsid w:val="008F6D73"/>
    <w:rsid w:val="008F7887"/>
    <w:rsid w:val="00900260"/>
    <w:rsid w:val="009005DE"/>
    <w:rsid w:val="00900640"/>
    <w:rsid w:val="00900BFB"/>
    <w:rsid w:val="0090146D"/>
    <w:rsid w:val="00902066"/>
    <w:rsid w:val="00903147"/>
    <w:rsid w:val="009033A4"/>
    <w:rsid w:val="009039A4"/>
    <w:rsid w:val="009046C4"/>
    <w:rsid w:val="00905D12"/>
    <w:rsid w:val="00905E35"/>
    <w:rsid w:val="009062A5"/>
    <w:rsid w:val="0090646E"/>
    <w:rsid w:val="009073CC"/>
    <w:rsid w:val="00907699"/>
    <w:rsid w:val="009077F1"/>
    <w:rsid w:val="00907860"/>
    <w:rsid w:val="00907A2D"/>
    <w:rsid w:val="0091051B"/>
    <w:rsid w:val="00910FA7"/>
    <w:rsid w:val="00910FE8"/>
    <w:rsid w:val="009111B9"/>
    <w:rsid w:val="00911272"/>
    <w:rsid w:val="00911339"/>
    <w:rsid w:val="00912E3A"/>
    <w:rsid w:val="009135D6"/>
    <w:rsid w:val="00914C77"/>
    <w:rsid w:val="00915CD1"/>
    <w:rsid w:val="00915F90"/>
    <w:rsid w:val="00916527"/>
    <w:rsid w:val="009170AA"/>
    <w:rsid w:val="009175C7"/>
    <w:rsid w:val="00921ACB"/>
    <w:rsid w:val="00921BFD"/>
    <w:rsid w:val="0092369B"/>
    <w:rsid w:val="00923A1F"/>
    <w:rsid w:val="009243F5"/>
    <w:rsid w:val="00924A51"/>
    <w:rsid w:val="00924BCA"/>
    <w:rsid w:val="00925DAD"/>
    <w:rsid w:val="00925FD6"/>
    <w:rsid w:val="00926C86"/>
    <w:rsid w:val="00927A73"/>
    <w:rsid w:val="00927B20"/>
    <w:rsid w:val="00930EF3"/>
    <w:rsid w:val="00931CF2"/>
    <w:rsid w:val="00932652"/>
    <w:rsid w:val="00933224"/>
    <w:rsid w:val="0093471A"/>
    <w:rsid w:val="00934758"/>
    <w:rsid w:val="0093495D"/>
    <w:rsid w:val="00934988"/>
    <w:rsid w:val="00936150"/>
    <w:rsid w:val="00936874"/>
    <w:rsid w:val="00937089"/>
    <w:rsid w:val="0093760C"/>
    <w:rsid w:val="009376F8"/>
    <w:rsid w:val="00937E73"/>
    <w:rsid w:val="009427BE"/>
    <w:rsid w:val="00943C30"/>
    <w:rsid w:val="00943F5B"/>
    <w:rsid w:val="00944292"/>
    <w:rsid w:val="00944C7E"/>
    <w:rsid w:val="00944F8A"/>
    <w:rsid w:val="00947493"/>
    <w:rsid w:val="00950668"/>
    <w:rsid w:val="009510A2"/>
    <w:rsid w:val="00951987"/>
    <w:rsid w:val="0095233B"/>
    <w:rsid w:val="00953056"/>
    <w:rsid w:val="00953257"/>
    <w:rsid w:val="00954546"/>
    <w:rsid w:val="0095474C"/>
    <w:rsid w:val="009562A6"/>
    <w:rsid w:val="009566A6"/>
    <w:rsid w:val="00957A22"/>
    <w:rsid w:val="00957D92"/>
    <w:rsid w:val="00957EB3"/>
    <w:rsid w:val="00961755"/>
    <w:rsid w:val="00962CB9"/>
    <w:rsid w:val="009630BC"/>
    <w:rsid w:val="00964039"/>
    <w:rsid w:val="00964312"/>
    <w:rsid w:val="00965B8A"/>
    <w:rsid w:val="00965C30"/>
    <w:rsid w:val="00967BA3"/>
    <w:rsid w:val="0097071F"/>
    <w:rsid w:val="009717AC"/>
    <w:rsid w:val="0097183A"/>
    <w:rsid w:val="00971C8F"/>
    <w:rsid w:val="00972F1A"/>
    <w:rsid w:val="0097385B"/>
    <w:rsid w:val="009738F1"/>
    <w:rsid w:val="00973EF5"/>
    <w:rsid w:val="0097402A"/>
    <w:rsid w:val="00974C84"/>
    <w:rsid w:val="00974D2A"/>
    <w:rsid w:val="009751C1"/>
    <w:rsid w:val="0097522F"/>
    <w:rsid w:val="00975E9F"/>
    <w:rsid w:val="00977B69"/>
    <w:rsid w:val="00977B8A"/>
    <w:rsid w:val="009811F1"/>
    <w:rsid w:val="00981C25"/>
    <w:rsid w:val="0098262F"/>
    <w:rsid w:val="009827FC"/>
    <w:rsid w:val="009837DD"/>
    <w:rsid w:val="00983E57"/>
    <w:rsid w:val="00984D98"/>
    <w:rsid w:val="00985995"/>
    <w:rsid w:val="00985DE2"/>
    <w:rsid w:val="0098675D"/>
    <w:rsid w:val="0098798F"/>
    <w:rsid w:val="00987BA4"/>
    <w:rsid w:val="009901EC"/>
    <w:rsid w:val="009908A4"/>
    <w:rsid w:val="00990E13"/>
    <w:rsid w:val="0099123F"/>
    <w:rsid w:val="00991D5D"/>
    <w:rsid w:val="009926E0"/>
    <w:rsid w:val="009929DD"/>
    <w:rsid w:val="00992F96"/>
    <w:rsid w:val="009933D0"/>
    <w:rsid w:val="0099451E"/>
    <w:rsid w:val="00995603"/>
    <w:rsid w:val="009966FE"/>
    <w:rsid w:val="00996B1A"/>
    <w:rsid w:val="009A074D"/>
    <w:rsid w:val="009A1099"/>
    <w:rsid w:val="009A144B"/>
    <w:rsid w:val="009A18F6"/>
    <w:rsid w:val="009A2290"/>
    <w:rsid w:val="009A2D5F"/>
    <w:rsid w:val="009A2DCC"/>
    <w:rsid w:val="009A2DF4"/>
    <w:rsid w:val="009A40F3"/>
    <w:rsid w:val="009A5ABC"/>
    <w:rsid w:val="009A5C87"/>
    <w:rsid w:val="009A78B2"/>
    <w:rsid w:val="009A7CFC"/>
    <w:rsid w:val="009A7F10"/>
    <w:rsid w:val="009B35E5"/>
    <w:rsid w:val="009B3E26"/>
    <w:rsid w:val="009B68EA"/>
    <w:rsid w:val="009B6F28"/>
    <w:rsid w:val="009B72E5"/>
    <w:rsid w:val="009B7320"/>
    <w:rsid w:val="009C06E1"/>
    <w:rsid w:val="009C0CD3"/>
    <w:rsid w:val="009C0E02"/>
    <w:rsid w:val="009C0EC2"/>
    <w:rsid w:val="009C1271"/>
    <w:rsid w:val="009C22A2"/>
    <w:rsid w:val="009C260B"/>
    <w:rsid w:val="009C3481"/>
    <w:rsid w:val="009C3706"/>
    <w:rsid w:val="009C3A3A"/>
    <w:rsid w:val="009C40EA"/>
    <w:rsid w:val="009C426B"/>
    <w:rsid w:val="009C54EB"/>
    <w:rsid w:val="009C6528"/>
    <w:rsid w:val="009C6CEA"/>
    <w:rsid w:val="009C7B85"/>
    <w:rsid w:val="009C7FE4"/>
    <w:rsid w:val="009D0254"/>
    <w:rsid w:val="009D089A"/>
    <w:rsid w:val="009D0F25"/>
    <w:rsid w:val="009D17A6"/>
    <w:rsid w:val="009D1A64"/>
    <w:rsid w:val="009D3679"/>
    <w:rsid w:val="009D410F"/>
    <w:rsid w:val="009D4457"/>
    <w:rsid w:val="009D5B91"/>
    <w:rsid w:val="009D5CEC"/>
    <w:rsid w:val="009D6524"/>
    <w:rsid w:val="009D78D3"/>
    <w:rsid w:val="009D792E"/>
    <w:rsid w:val="009D7955"/>
    <w:rsid w:val="009D7D0B"/>
    <w:rsid w:val="009D7F0A"/>
    <w:rsid w:val="009E0DFE"/>
    <w:rsid w:val="009E298A"/>
    <w:rsid w:val="009E31F6"/>
    <w:rsid w:val="009E3DCD"/>
    <w:rsid w:val="009E4C07"/>
    <w:rsid w:val="009E4C5A"/>
    <w:rsid w:val="009E5329"/>
    <w:rsid w:val="009E671D"/>
    <w:rsid w:val="009E68E2"/>
    <w:rsid w:val="009E6ED8"/>
    <w:rsid w:val="009E777F"/>
    <w:rsid w:val="009F0632"/>
    <w:rsid w:val="009F0799"/>
    <w:rsid w:val="009F0AB9"/>
    <w:rsid w:val="009F0F42"/>
    <w:rsid w:val="009F143A"/>
    <w:rsid w:val="009F1540"/>
    <w:rsid w:val="009F19AA"/>
    <w:rsid w:val="009F200A"/>
    <w:rsid w:val="009F2D88"/>
    <w:rsid w:val="009F3182"/>
    <w:rsid w:val="009F3D14"/>
    <w:rsid w:val="009F57D8"/>
    <w:rsid w:val="009F6120"/>
    <w:rsid w:val="009F735D"/>
    <w:rsid w:val="00A00459"/>
    <w:rsid w:val="00A00D76"/>
    <w:rsid w:val="00A00E4B"/>
    <w:rsid w:val="00A01184"/>
    <w:rsid w:val="00A01449"/>
    <w:rsid w:val="00A01B2F"/>
    <w:rsid w:val="00A0208B"/>
    <w:rsid w:val="00A02CEB"/>
    <w:rsid w:val="00A035F1"/>
    <w:rsid w:val="00A03690"/>
    <w:rsid w:val="00A036CE"/>
    <w:rsid w:val="00A037C2"/>
    <w:rsid w:val="00A03A95"/>
    <w:rsid w:val="00A03C7A"/>
    <w:rsid w:val="00A03D43"/>
    <w:rsid w:val="00A03EEB"/>
    <w:rsid w:val="00A04380"/>
    <w:rsid w:val="00A04786"/>
    <w:rsid w:val="00A04C54"/>
    <w:rsid w:val="00A05472"/>
    <w:rsid w:val="00A05C32"/>
    <w:rsid w:val="00A0653F"/>
    <w:rsid w:val="00A06EF8"/>
    <w:rsid w:val="00A0760C"/>
    <w:rsid w:val="00A07DB4"/>
    <w:rsid w:val="00A1082E"/>
    <w:rsid w:val="00A10DE6"/>
    <w:rsid w:val="00A11986"/>
    <w:rsid w:val="00A11CD0"/>
    <w:rsid w:val="00A12944"/>
    <w:rsid w:val="00A1311A"/>
    <w:rsid w:val="00A13948"/>
    <w:rsid w:val="00A147A7"/>
    <w:rsid w:val="00A151FA"/>
    <w:rsid w:val="00A1555B"/>
    <w:rsid w:val="00A155C5"/>
    <w:rsid w:val="00A16300"/>
    <w:rsid w:val="00A16AD8"/>
    <w:rsid w:val="00A16BB2"/>
    <w:rsid w:val="00A17BF8"/>
    <w:rsid w:val="00A2021E"/>
    <w:rsid w:val="00A208E2"/>
    <w:rsid w:val="00A21C95"/>
    <w:rsid w:val="00A21CF3"/>
    <w:rsid w:val="00A22C3A"/>
    <w:rsid w:val="00A2302A"/>
    <w:rsid w:val="00A2412A"/>
    <w:rsid w:val="00A24813"/>
    <w:rsid w:val="00A255A4"/>
    <w:rsid w:val="00A25798"/>
    <w:rsid w:val="00A263C1"/>
    <w:rsid w:val="00A266EB"/>
    <w:rsid w:val="00A26A61"/>
    <w:rsid w:val="00A27AEC"/>
    <w:rsid w:val="00A3006C"/>
    <w:rsid w:val="00A320DB"/>
    <w:rsid w:val="00A3292D"/>
    <w:rsid w:val="00A32D65"/>
    <w:rsid w:val="00A336B5"/>
    <w:rsid w:val="00A3448B"/>
    <w:rsid w:val="00A34A03"/>
    <w:rsid w:val="00A34A9F"/>
    <w:rsid w:val="00A356FB"/>
    <w:rsid w:val="00A35D16"/>
    <w:rsid w:val="00A36391"/>
    <w:rsid w:val="00A3672B"/>
    <w:rsid w:val="00A37146"/>
    <w:rsid w:val="00A37BCD"/>
    <w:rsid w:val="00A40EBA"/>
    <w:rsid w:val="00A41689"/>
    <w:rsid w:val="00A41D21"/>
    <w:rsid w:val="00A42592"/>
    <w:rsid w:val="00A42D39"/>
    <w:rsid w:val="00A434F8"/>
    <w:rsid w:val="00A4354E"/>
    <w:rsid w:val="00A43C59"/>
    <w:rsid w:val="00A45298"/>
    <w:rsid w:val="00A4618A"/>
    <w:rsid w:val="00A463A7"/>
    <w:rsid w:val="00A4754E"/>
    <w:rsid w:val="00A47AC6"/>
    <w:rsid w:val="00A50ECD"/>
    <w:rsid w:val="00A518F3"/>
    <w:rsid w:val="00A51A7D"/>
    <w:rsid w:val="00A52601"/>
    <w:rsid w:val="00A52729"/>
    <w:rsid w:val="00A52DB4"/>
    <w:rsid w:val="00A53235"/>
    <w:rsid w:val="00A53675"/>
    <w:rsid w:val="00A54CE7"/>
    <w:rsid w:val="00A554DF"/>
    <w:rsid w:val="00A55B7A"/>
    <w:rsid w:val="00A564D7"/>
    <w:rsid w:val="00A56B6A"/>
    <w:rsid w:val="00A578DC"/>
    <w:rsid w:val="00A60253"/>
    <w:rsid w:val="00A608AD"/>
    <w:rsid w:val="00A61326"/>
    <w:rsid w:val="00A61380"/>
    <w:rsid w:val="00A61A35"/>
    <w:rsid w:val="00A61E4A"/>
    <w:rsid w:val="00A621B2"/>
    <w:rsid w:val="00A6363E"/>
    <w:rsid w:val="00A640E2"/>
    <w:rsid w:val="00A64419"/>
    <w:rsid w:val="00A64D65"/>
    <w:rsid w:val="00A65358"/>
    <w:rsid w:val="00A6539B"/>
    <w:rsid w:val="00A65674"/>
    <w:rsid w:val="00A67231"/>
    <w:rsid w:val="00A6725B"/>
    <w:rsid w:val="00A6778E"/>
    <w:rsid w:val="00A67931"/>
    <w:rsid w:val="00A70605"/>
    <w:rsid w:val="00A72605"/>
    <w:rsid w:val="00A72F6A"/>
    <w:rsid w:val="00A73134"/>
    <w:rsid w:val="00A7365A"/>
    <w:rsid w:val="00A73668"/>
    <w:rsid w:val="00A7444A"/>
    <w:rsid w:val="00A75341"/>
    <w:rsid w:val="00A75AF3"/>
    <w:rsid w:val="00A75EFB"/>
    <w:rsid w:val="00A76001"/>
    <w:rsid w:val="00A76654"/>
    <w:rsid w:val="00A76B67"/>
    <w:rsid w:val="00A777B2"/>
    <w:rsid w:val="00A77AC8"/>
    <w:rsid w:val="00A8098B"/>
    <w:rsid w:val="00A80AEF"/>
    <w:rsid w:val="00A81165"/>
    <w:rsid w:val="00A81347"/>
    <w:rsid w:val="00A81522"/>
    <w:rsid w:val="00A81855"/>
    <w:rsid w:val="00A81BBB"/>
    <w:rsid w:val="00A81C08"/>
    <w:rsid w:val="00A81CB8"/>
    <w:rsid w:val="00A81D6A"/>
    <w:rsid w:val="00A81EE7"/>
    <w:rsid w:val="00A825D4"/>
    <w:rsid w:val="00A828F6"/>
    <w:rsid w:val="00A82B73"/>
    <w:rsid w:val="00A84284"/>
    <w:rsid w:val="00A85AD1"/>
    <w:rsid w:val="00A86627"/>
    <w:rsid w:val="00A86E8B"/>
    <w:rsid w:val="00A87164"/>
    <w:rsid w:val="00A871A9"/>
    <w:rsid w:val="00A8756A"/>
    <w:rsid w:val="00A90135"/>
    <w:rsid w:val="00A93072"/>
    <w:rsid w:val="00A938BD"/>
    <w:rsid w:val="00A93953"/>
    <w:rsid w:val="00A943B7"/>
    <w:rsid w:val="00A9542A"/>
    <w:rsid w:val="00A959D8"/>
    <w:rsid w:val="00A96043"/>
    <w:rsid w:val="00A96D0C"/>
    <w:rsid w:val="00AA0CDE"/>
    <w:rsid w:val="00AA0DFD"/>
    <w:rsid w:val="00AA113D"/>
    <w:rsid w:val="00AA12B9"/>
    <w:rsid w:val="00AA13AC"/>
    <w:rsid w:val="00AA14C4"/>
    <w:rsid w:val="00AA309E"/>
    <w:rsid w:val="00AA337B"/>
    <w:rsid w:val="00AA4901"/>
    <w:rsid w:val="00AA5F90"/>
    <w:rsid w:val="00AA627E"/>
    <w:rsid w:val="00AA6BD5"/>
    <w:rsid w:val="00AA6BD8"/>
    <w:rsid w:val="00AA6C7D"/>
    <w:rsid w:val="00AA725F"/>
    <w:rsid w:val="00AA7BF2"/>
    <w:rsid w:val="00AA7FD6"/>
    <w:rsid w:val="00AB042A"/>
    <w:rsid w:val="00AB11AD"/>
    <w:rsid w:val="00AB19EF"/>
    <w:rsid w:val="00AB2495"/>
    <w:rsid w:val="00AB2D34"/>
    <w:rsid w:val="00AB2EEB"/>
    <w:rsid w:val="00AB3430"/>
    <w:rsid w:val="00AB3495"/>
    <w:rsid w:val="00AB37B9"/>
    <w:rsid w:val="00AB3F1C"/>
    <w:rsid w:val="00AB414B"/>
    <w:rsid w:val="00AB4AD1"/>
    <w:rsid w:val="00AB517E"/>
    <w:rsid w:val="00AB5D77"/>
    <w:rsid w:val="00AB5E07"/>
    <w:rsid w:val="00AB5E1C"/>
    <w:rsid w:val="00AB6CFC"/>
    <w:rsid w:val="00AB7CFA"/>
    <w:rsid w:val="00AC0138"/>
    <w:rsid w:val="00AC07F7"/>
    <w:rsid w:val="00AC092A"/>
    <w:rsid w:val="00AC1200"/>
    <w:rsid w:val="00AC1ED0"/>
    <w:rsid w:val="00AC2AD9"/>
    <w:rsid w:val="00AC2C8D"/>
    <w:rsid w:val="00AC51C4"/>
    <w:rsid w:val="00AC5B42"/>
    <w:rsid w:val="00AC5B48"/>
    <w:rsid w:val="00AC689E"/>
    <w:rsid w:val="00AD1450"/>
    <w:rsid w:val="00AD15E8"/>
    <w:rsid w:val="00AD28B8"/>
    <w:rsid w:val="00AD328E"/>
    <w:rsid w:val="00AD356D"/>
    <w:rsid w:val="00AD49C3"/>
    <w:rsid w:val="00AD6338"/>
    <w:rsid w:val="00AD6502"/>
    <w:rsid w:val="00AD6D30"/>
    <w:rsid w:val="00AD6FA7"/>
    <w:rsid w:val="00AD72B4"/>
    <w:rsid w:val="00AE04B2"/>
    <w:rsid w:val="00AE0695"/>
    <w:rsid w:val="00AE0839"/>
    <w:rsid w:val="00AE0D35"/>
    <w:rsid w:val="00AE2167"/>
    <w:rsid w:val="00AE311D"/>
    <w:rsid w:val="00AE3E7E"/>
    <w:rsid w:val="00AE57EC"/>
    <w:rsid w:val="00AE7E53"/>
    <w:rsid w:val="00AF1000"/>
    <w:rsid w:val="00AF1315"/>
    <w:rsid w:val="00AF19BF"/>
    <w:rsid w:val="00AF244F"/>
    <w:rsid w:val="00AF2456"/>
    <w:rsid w:val="00AF2563"/>
    <w:rsid w:val="00AF2DC3"/>
    <w:rsid w:val="00AF3121"/>
    <w:rsid w:val="00AF39B8"/>
    <w:rsid w:val="00AF3B8B"/>
    <w:rsid w:val="00AF4177"/>
    <w:rsid w:val="00AF441A"/>
    <w:rsid w:val="00AF4460"/>
    <w:rsid w:val="00AF4A7C"/>
    <w:rsid w:val="00AF4EBC"/>
    <w:rsid w:val="00AF653C"/>
    <w:rsid w:val="00B01278"/>
    <w:rsid w:val="00B025BB"/>
    <w:rsid w:val="00B0266D"/>
    <w:rsid w:val="00B0269C"/>
    <w:rsid w:val="00B02D83"/>
    <w:rsid w:val="00B033E5"/>
    <w:rsid w:val="00B03A63"/>
    <w:rsid w:val="00B04FBD"/>
    <w:rsid w:val="00B064D6"/>
    <w:rsid w:val="00B106E3"/>
    <w:rsid w:val="00B110F1"/>
    <w:rsid w:val="00B114C8"/>
    <w:rsid w:val="00B12901"/>
    <w:rsid w:val="00B129A4"/>
    <w:rsid w:val="00B12F6F"/>
    <w:rsid w:val="00B12FB7"/>
    <w:rsid w:val="00B13C14"/>
    <w:rsid w:val="00B13C29"/>
    <w:rsid w:val="00B13D66"/>
    <w:rsid w:val="00B1445D"/>
    <w:rsid w:val="00B150F2"/>
    <w:rsid w:val="00B15503"/>
    <w:rsid w:val="00B15D47"/>
    <w:rsid w:val="00B15EB2"/>
    <w:rsid w:val="00B17CEC"/>
    <w:rsid w:val="00B201A4"/>
    <w:rsid w:val="00B201D1"/>
    <w:rsid w:val="00B213A6"/>
    <w:rsid w:val="00B21407"/>
    <w:rsid w:val="00B2197F"/>
    <w:rsid w:val="00B21EF4"/>
    <w:rsid w:val="00B229D8"/>
    <w:rsid w:val="00B231C8"/>
    <w:rsid w:val="00B235B0"/>
    <w:rsid w:val="00B2369A"/>
    <w:rsid w:val="00B2444E"/>
    <w:rsid w:val="00B24A54"/>
    <w:rsid w:val="00B24DF6"/>
    <w:rsid w:val="00B24FC6"/>
    <w:rsid w:val="00B25B06"/>
    <w:rsid w:val="00B265E0"/>
    <w:rsid w:val="00B26EDE"/>
    <w:rsid w:val="00B27A61"/>
    <w:rsid w:val="00B3061B"/>
    <w:rsid w:val="00B31297"/>
    <w:rsid w:val="00B32245"/>
    <w:rsid w:val="00B327B3"/>
    <w:rsid w:val="00B33CC8"/>
    <w:rsid w:val="00B34ABC"/>
    <w:rsid w:val="00B34F4C"/>
    <w:rsid w:val="00B34FE2"/>
    <w:rsid w:val="00B35166"/>
    <w:rsid w:val="00B3546C"/>
    <w:rsid w:val="00B354A7"/>
    <w:rsid w:val="00B357D8"/>
    <w:rsid w:val="00B360F4"/>
    <w:rsid w:val="00B366D3"/>
    <w:rsid w:val="00B36A00"/>
    <w:rsid w:val="00B36DEA"/>
    <w:rsid w:val="00B3792B"/>
    <w:rsid w:val="00B37BFC"/>
    <w:rsid w:val="00B40358"/>
    <w:rsid w:val="00B4064C"/>
    <w:rsid w:val="00B40A17"/>
    <w:rsid w:val="00B40D67"/>
    <w:rsid w:val="00B40E92"/>
    <w:rsid w:val="00B41614"/>
    <w:rsid w:val="00B42851"/>
    <w:rsid w:val="00B42F80"/>
    <w:rsid w:val="00B43581"/>
    <w:rsid w:val="00B435CB"/>
    <w:rsid w:val="00B437CD"/>
    <w:rsid w:val="00B44023"/>
    <w:rsid w:val="00B449FE"/>
    <w:rsid w:val="00B44BE1"/>
    <w:rsid w:val="00B45861"/>
    <w:rsid w:val="00B464C5"/>
    <w:rsid w:val="00B465EC"/>
    <w:rsid w:val="00B500C9"/>
    <w:rsid w:val="00B504B2"/>
    <w:rsid w:val="00B505C8"/>
    <w:rsid w:val="00B50DB8"/>
    <w:rsid w:val="00B51033"/>
    <w:rsid w:val="00B51501"/>
    <w:rsid w:val="00B523A2"/>
    <w:rsid w:val="00B52669"/>
    <w:rsid w:val="00B53654"/>
    <w:rsid w:val="00B53905"/>
    <w:rsid w:val="00B53BAF"/>
    <w:rsid w:val="00B5405B"/>
    <w:rsid w:val="00B546DB"/>
    <w:rsid w:val="00B54B5B"/>
    <w:rsid w:val="00B55458"/>
    <w:rsid w:val="00B5562E"/>
    <w:rsid w:val="00B557DA"/>
    <w:rsid w:val="00B5581D"/>
    <w:rsid w:val="00B55862"/>
    <w:rsid w:val="00B55CF0"/>
    <w:rsid w:val="00B55D65"/>
    <w:rsid w:val="00B55DA4"/>
    <w:rsid w:val="00B56305"/>
    <w:rsid w:val="00B564BC"/>
    <w:rsid w:val="00B56C4B"/>
    <w:rsid w:val="00B57000"/>
    <w:rsid w:val="00B57409"/>
    <w:rsid w:val="00B60939"/>
    <w:rsid w:val="00B60AFD"/>
    <w:rsid w:val="00B621C7"/>
    <w:rsid w:val="00B62715"/>
    <w:rsid w:val="00B62CDE"/>
    <w:rsid w:val="00B631B9"/>
    <w:rsid w:val="00B6324D"/>
    <w:rsid w:val="00B64182"/>
    <w:rsid w:val="00B6428D"/>
    <w:rsid w:val="00B64F12"/>
    <w:rsid w:val="00B65611"/>
    <w:rsid w:val="00B667CB"/>
    <w:rsid w:val="00B671A8"/>
    <w:rsid w:val="00B70E8E"/>
    <w:rsid w:val="00B713E1"/>
    <w:rsid w:val="00B71D01"/>
    <w:rsid w:val="00B7288D"/>
    <w:rsid w:val="00B76C92"/>
    <w:rsid w:val="00B77F06"/>
    <w:rsid w:val="00B80C1B"/>
    <w:rsid w:val="00B80EC2"/>
    <w:rsid w:val="00B80EFD"/>
    <w:rsid w:val="00B818A4"/>
    <w:rsid w:val="00B81923"/>
    <w:rsid w:val="00B81B4A"/>
    <w:rsid w:val="00B823AF"/>
    <w:rsid w:val="00B830B3"/>
    <w:rsid w:val="00B83686"/>
    <w:rsid w:val="00B83739"/>
    <w:rsid w:val="00B84117"/>
    <w:rsid w:val="00B84A8C"/>
    <w:rsid w:val="00B851E2"/>
    <w:rsid w:val="00B858F0"/>
    <w:rsid w:val="00B85AA2"/>
    <w:rsid w:val="00B8649C"/>
    <w:rsid w:val="00B8695D"/>
    <w:rsid w:val="00B878BC"/>
    <w:rsid w:val="00B87F0A"/>
    <w:rsid w:val="00B90388"/>
    <w:rsid w:val="00B90943"/>
    <w:rsid w:val="00B90A1A"/>
    <w:rsid w:val="00B91E99"/>
    <w:rsid w:val="00B91FEC"/>
    <w:rsid w:val="00B924EA"/>
    <w:rsid w:val="00B92D0B"/>
    <w:rsid w:val="00B92D82"/>
    <w:rsid w:val="00B93400"/>
    <w:rsid w:val="00B934FA"/>
    <w:rsid w:val="00B94945"/>
    <w:rsid w:val="00B949E9"/>
    <w:rsid w:val="00B94DD6"/>
    <w:rsid w:val="00B94FE7"/>
    <w:rsid w:val="00B95ADD"/>
    <w:rsid w:val="00B969A2"/>
    <w:rsid w:val="00B97295"/>
    <w:rsid w:val="00BA04B8"/>
    <w:rsid w:val="00BA3016"/>
    <w:rsid w:val="00BA322D"/>
    <w:rsid w:val="00BA56F5"/>
    <w:rsid w:val="00BA63FA"/>
    <w:rsid w:val="00BA697D"/>
    <w:rsid w:val="00BA72FB"/>
    <w:rsid w:val="00BB00B3"/>
    <w:rsid w:val="00BB06AA"/>
    <w:rsid w:val="00BB0BDD"/>
    <w:rsid w:val="00BB176C"/>
    <w:rsid w:val="00BB1AA9"/>
    <w:rsid w:val="00BB1C78"/>
    <w:rsid w:val="00BB20AE"/>
    <w:rsid w:val="00BB24E5"/>
    <w:rsid w:val="00BB2A73"/>
    <w:rsid w:val="00BB3A45"/>
    <w:rsid w:val="00BB4ACC"/>
    <w:rsid w:val="00BB5545"/>
    <w:rsid w:val="00BB559A"/>
    <w:rsid w:val="00BB6DBC"/>
    <w:rsid w:val="00BB703E"/>
    <w:rsid w:val="00BB72C6"/>
    <w:rsid w:val="00BB732D"/>
    <w:rsid w:val="00BB7405"/>
    <w:rsid w:val="00BB7417"/>
    <w:rsid w:val="00BC08C0"/>
    <w:rsid w:val="00BC0F4D"/>
    <w:rsid w:val="00BC2A4D"/>
    <w:rsid w:val="00BC328D"/>
    <w:rsid w:val="00BC3631"/>
    <w:rsid w:val="00BC47BC"/>
    <w:rsid w:val="00BC51B6"/>
    <w:rsid w:val="00BC51F3"/>
    <w:rsid w:val="00BC591F"/>
    <w:rsid w:val="00BC5A53"/>
    <w:rsid w:val="00BC5C79"/>
    <w:rsid w:val="00BC7D6D"/>
    <w:rsid w:val="00BD0365"/>
    <w:rsid w:val="00BD2108"/>
    <w:rsid w:val="00BD2959"/>
    <w:rsid w:val="00BD36F2"/>
    <w:rsid w:val="00BD4618"/>
    <w:rsid w:val="00BD48FA"/>
    <w:rsid w:val="00BD49B2"/>
    <w:rsid w:val="00BD68A3"/>
    <w:rsid w:val="00BD6938"/>
    <w:rsid w:val="00BD6CF3"/>
    <w:rsid w:val="00BD7F72"/>
    <w:rsid w:val="00BE0ECA"/>
    <w:rsid w:val="00BE1CDE"/>
    <w:rsid w:val="00BE2180"/>
    <w:rsid w:val="00BE21F2"/>
    <w:rsid w:val="00BE2B26"/>
    <w:rsid w:val="00BE302A"/>
    <w:rsid w:val="00BE4275"/>
    <w:rsid w:val="00BE43C2"/>
    <w:rsid w:val="00BE4490"/>
    <w:rsid w:val="00BE5E13"/>
    <w:rsid w:val="00BE73FE"/>
    <w:rsid w:val="00BF06AE"/>
    <w:rsid w:val="00BF0F61"/>
    <w:rsid w:val="00BF0F95"/>
    <w:rsid w:val="00BF1E83"/>
    <w:rsid w:val="00BF23BE"/>
    <w:rsid w:val="00BF2433"/>
    <w:rsid w:val="00BF27CE"/>
    <w:rsid w:val="00BF2E6E"/>
    <w:rsid w:val="00BF5A28"/>
    <w:rsid w:val="00BF5E82"/>
    <w:rsid w:val="00BF61C9"/>
    <w:rsid w:val="00BF6C94"/>
    <w:rsid w:val="00BF761C"/>
    <w:rsid w:val="00C00424"/>
    <w:rsid w:val="00C00BB0"/>
    <w:rsid w:val="00C02559"/>
    <w:rsid w:val="00C0268A"/>
    <w:rsid w:val="00C0270B"/>
    <w:rsid w:val="00C02843"/>
    <w:rsid w:val="00C02F30"/>
    <w:rsid w:val="00C03BA9"/>
    <w:rsid w:val="00C03E77"/>
    <w:rsid w:val="00C06A5E"/>
    <w:rsid w:val="00C06C8D"/>
    <w:rsid w:val="00C07F6A"/>
    <w:rsid w:val="00C10B06"/>
    <w:rsid w:val="00C10B12"/>
    <w:rsid w:val="00C1100F"/>
    <w:rsid w:val="00C1179F"/>
    <w:rsid w:val="00C123AD"/>
    <w:rsid w:val="00C127B9"/>
    <w:rsid w:val="00C128FA"/>
    <w:rsid w:val="00C12A9E"/>
    <w:rsid w:val="00C12C14"/>
    <w:rsid w:val="00C12FD8"/>
    <w:rsid w:val="00C1327A"/>
    <w:rsid w:val="00C13C57"/>
    <w:rsid w:val="00C13F6A"/>
    <w:rsid w:val="00C1499C"/>
    <w:rsid w:val="00C149D9"/>
    <w:rsid w:val="00C15B04"/>
    <w:rsid w:val="00C15F04"/>
    <w:rsid w:val="00C161B0"/>
    <w:rsid w:val="00C177C7"/>
    <w:rsid w:val="00C179B3"/>
    <w:rsid w:val="00C17E3F"/>
    <w:rsid w:val="00C200AA"/>
    <w:rsid w:val="00C203CD"/>
    <w:rsid w:val="00C20ECE"/>
    <w:rsid w:val="00C21B56"/>
    <w:rsid w:val="00C22201"/>
    <w:rsid w:val="00C237ED"/>
    <w:rsid w:val="00C238BE"/>
    <w:rsid w:val="00C23BA0"/>
    <w:rsid w:val="00C23BCF"/>
    <w:rsid w:val="00C23D14"/>
    <w:rsid w:val="00C24632"/>
    <w:rsid w:val="00C24A01"/>
    <w:rsid w:val="00C24A50"/>
    <w:rsid w:val="00C253D1"/>
    <w:rsid w:val="00C25418"/>
    <w:rsid w:val="00C2576A"/>
    <w:rsid w:val="00C25D9C"/>
    <w:rsid w:val="00C25F9B"/>
    <w:rsid w:val="00C27091"/>
    <w:rsid w:val="00C27459"/>
    <w:rsid w:val="00C2778B"/>
    <w:rsid w:val="00C27A51"/>
    <w:rsid w:val="00C27B4F"/>
    <w:rsid w:val="00C27E39"/>
    <w:rsid w:val="00C31649"/>
    <w:rsid w:val="00C328E5"/>
    <w:rsid w:val="00C3434C"/>
    <w:rsid w:val="00C343C4"/>
    <w:rsid w:val="00C34403"/>
    <w:rsid w:val="00C40385"/>
    <w:rsid w:val="00C40CF9"/>
    <w:rsid w:val="00C40D0B"/>
    <w:rsid w:val="00C41768"/>
    <w:rsid w:val="00C41842"/>
    <w:rsid w:val="00C41C65"/>
    <w:rsid w:val="00C42A5D"/>
    <w:rsid w:val="00C449CB"/>
    <w:rsid w:val="00C450ED"/>
    <w:rsid w:val="00C45141"/>
    <w:rsid w:val="00C45566"/>
    <w:rsid w:val="00C45A3B"/>
    <w:rsid w:val="00C45F53"/>
    <w:rsid w:val="00C46532"/>
    <w:rsid w:val="00C46E2A"/>
    <w:rsid w:val="00C47438"/>
    <w:rsid w:val="00C475AA"/>
    <w:rsid w:val="00C50CF4"/>
    <w:rsid w:val="00C514F8"/>
    <w:rsid w:val="00C51B4D"/>
    <w:rsid w:val="00C5270B"/>
    <w:rsid w:val="00C527C7"/>
    <w:rsid w:val="00C52FFE"/>
    <w:rsid w:val="00C531BA"/>
    <w:rsid w:val="00C53209"/>
    <w:rsid w:val="00C53457"/>
    <w:rsid w:val="00C53C98"/>
    <w:rsid w:val="00C54358"/>
    <w:rsid w:val="00C54800"/>
    <w:rsid w:val="00C54F80"/>
    <w:rsid w:val="00C55D74"/>
    <w:rsid w:val="00C565DA"/>
    <w:rsid w:val="00C56721"/>
    <w:rsid w:val="00C56D02"/>
    <w:rsid w:val="00C56FCF"/>
    <w:rsid w:val="00C572F6"/>
    <w:rsid w:val="00C57B6C"/>
    <w:rsid w:val="00C609FC"/>
    <w:rsid w:val="00C60F5A"/>
    <w:rsid w:val="00C61A59"/>
    <w:rsid w:val="00C62830"/>
    <w:rsid w:val="00C628A6"/>
    <w:rsid w:val="00C62C93"/>
    <w:rsid w:val="00C63A70"/>
    <w:rsid w:val="00C64240"/>
    <w:rsid w:val="00C64344"/>
    <w:rsid w:val="00C65108"/>
    <w:rsid w:val="00C65576"/>
    <w:rsid w:val="00C65909"/>
    <w:rsid w:val="00C65F2D"/>
    <w:rsid w:val="00C66165"/>
    <w:rsid w:val="00C664C0"/>
    <w:rsid w:val="00C66D36"/>
    <w:rsid w:val="00C67283"/>
    <w:rsid w:val="00C7016A"/>
    <w:rsid w:val="00C70535"/>
    <w:rsid w:val="00C7060A"/>
    <w:rsid w:val="00C7151A"/>
    <w:rsid w:val="00C717E3"/>
    <w:rsid w:val="00C71C72"/>
    <w:rsid w:val="00C71F60"/>
    <w:rsid w:val="00C72241"/>
    <w:rsid w:val="00C722CF"/>
    <w:rsid w:val="00C72EEF"/>
    <w:rsid w:val="00C73864"/>
    <w:rsid w:val="00C73DB8"/>
    <w:rsid w:val="00C74298"/>
    <w:rsid w:val="00C750C8"/>
    <w:rsid w:val="00C7560F"/>
    <w:rsid w:val="00C763F6"/>
    <w:rsid w:val="00C7758F"/>
    <w:rsid w:val="00C80A0E"/>
    <w:rsid w:val="00C8158A"/>
    <w:rsid w:val="00C817CF"/>
    <w:rsid w:val="00C8213F"/>
    <w:rsid w:val="00C8239C"/>
    <w:rsid w:val="00C8303F"/>
    <w:rsid w:val="00C83EED"/>
    <w:rsid w:val="00C8436D"/>
    <w:rsid w:val="00C8453D"/>
    <w:rsid w:val="00C84BB2"/>
    <w:rsid w:val="00C85154"/>
    <w:rsid w:val="00C85A70"/>
    <w:rsid w:val="00C8634D"/>
    <w:rsid w:val="00C8722C"/>
    <w:rsid w:val="00C8797A"/>
    <w:rsid w:val="00C87CCD"/>
    <w:rsid w:val="00C900B8"/>
    <w:rsid w:val="00C90197"/>
    <w:rsid w:val="00C90C71"/>
    <w:rsid w:val="00C91FD1"/>
    <w:rsid w:val="00C931CF"/>
    <w:rsid w:val="00C933E2"/>
    <w:rsid w:val="00C938CF"/>
    <w:rsid w:val="00C9390E"/>
    <w:rsid w:val="00C93CC9"/>
    <w:rsid w:val="00C94053"/>
    <w:rsid w:val="00C94EA9"/>
    <w:rsid w:val="00C95182"/>
    <w:rsid w:val="00C95473"/>
    <w:rsid w:val="00C955C9"/>
    <w:rsid w:val="00C9624D"/>
    <w:rsid w:val="00C969DA"/>
    <w:rsid w:val="00C9746C"/>
    <w:rsid w:val="00CA0A15"/>
    <w:rsid w:val="00CA0BC8"/>
    <w:rsid w:val="00CA118C"/>
    <w:rsid w:val="00CA141D"/>
    <w:rsid w:val="00CA15CF"/>
    <w:rsid w:val="00CA1D32"/>
    <w:rsid w:val="00CA1D64"/>
    <w:rsid w:val="00CA23A1"/>
    <w:rsid w:val="00CA2C77"/>
    <w:rsid w:val="00CA444F"/>
    <w:rsid w:val="00CA5210"/>
    <w:rsid w:val="00CA5245"/>
    <w:rsid w:val="00CA61B5"/>
    <w:rsid w:val="00CA71F4"/>
    <w:rsid w:val="00CA7821"/>
    <w:rsid w:val="00CA7B09"/>
    <w:rsid w:val="00CA7E1C"/>
    <w:rsid w:val="00CB0053"/>
    <w:rsid w:val="00CB02E3"/>
    <w:rsid w:val="00CB12A5"/>
    <w:rsid w:val="00CB16E5"/>
    <w:rsid w:val="00CB1CAC"/>
    <w:rsid w:val="00CB2313"/>
    <w:rsid w:val="00CB2F2A"/>
    <w:rsid w:val="00CB3440"/>
    <w:rsid w:val="00CB537E"/>
    <w:rsid w:val="00CB5858"/>
    <w:rsid w:val="00CB59C4"/>
    <w:rsid w:val="00CB5B1A"/>
    <w:rsid w:val="00CB6B22"/>
    <w:rsid w:val="00CB713F"/>
    <w:rsid w:val="00CB714D"/>
    <w:rsid w:val="00CB763A"/>
    <w:rsid w:val="00CB7F5F"/>
    <w:rsid w:val="00CC1B39"/>
    <w:rsid w:val="00CC1BFA"/>
    <w:rsid w:val="00CC1DD3"/>
    <w:rsid w:val="00CC2E9F"/>
    <w:rsid w:val="00CC35EA"/>
    <w:rsid w:val="00CC3848"/>
    <w:rsid w:val="00CC40B1"/>
    <w:rsid w:val="00CC4459"/>
    <w:rsid w:val="00CC5021"/>
    <w:rsid w:val="00CC5082"/>
    <w:rsid w:val="00CC6D5E"/>
    <w:rsid w:val="00CC7CAD"/>
    <w:rsid w:val="00CD0200"/>
    <w:rsid w:val="00CD028C"/>
    <w:rsid w:val="00CD03C5"/>
    <w:rsid w:val="00CD04F4"/>
    <w:rsid w:val="00CD1A86"/>
    <w:rsid w:val="00CD223B"/>
    <w:rsid w:val="00CD2AAD"/>
    <w:rsid w:val="00CD2C25"/>
    <w:rsid w:val="00CD2FDA"/>
    <w:rsid w:val="00CD3F77"/>
    <w:rsid w:val="00CD6ADC"/>
    <w:rsid w:val="00CD7193"/>
    <w:rsid w:val="00CD7B25"/>
    <w:rsid w:val="00CE1029"/>
    <w:rsid w:val="00CE1DF6"/>
    <w:rsid w:val="00CE2800"/>
    <w:rsid w:val="00CE2BC0"/>
    <w:rsid w:val="00CE2E30"/>
    <w:rsid w:val="00CE31E3"/>
    <w:rsid w:val="00CE38C8"/>
    <w:rsid w:val="00CE4585"/>
    <w:rsid w:val="00CE524F"/>
    <w:rsid w:val="00CE58CC"/>
    <w:rsid w:val="00CE6274"/>
    <w:rsid w:val="00CE668D"/>
    <w:rsid w:val="00CE682F"/>
    <w:rsid w:val="00CE68D2"/>
    <w:rsid w:val="00CE7326"/>
    <w:rsid w:val="00CE73E6"/>
    <w:rsid w:val="00CE77B6"/>
    <w:rsid w:val="00CF0DF9"/>
    <w:rsid w:val="00CF1D2E"/>
    <w:rsid w:val="00CF2B8D"/>
    <w:rsid w:val="00CF3A1B"/>
    <w:rsid w:val="00CF3B74"/>
    <w:rsid w:val="00CF456B"/>
    <w:rsid w:val="00CF5A22"/>
    <w:rsid w:val="00CF628F"/>
    <w:rsid w:val="00CF6D6A"/>
    <w:rsid w:val="00D00912"/>
    <w:rsid w:val="00D010AC"/>
    <w:rsid w:val="00D01519"/>
    <w:rsid w:val="00D01C60"/>
    <w:rsid w:val="00D01DAA"/>
    <w:rsid w:val="00D01E37"/>
    <w:rsid w:val="00D0262E"/>
    <w:rsid w:val="00D03679"/>
    <w:rsid w:val="00D03DB0"/>
    <w:rsid w:val="00D03E40"/>
    <w:rsid w:val="00D03EE0"/>
    <w:rsid w:val="00D04589"/>
    <w:rsid w:val="00D04DE7"/>
    <w:rsid w:val="00D05E3D"/>
    <w:rsid w:val="00D06139"/>
    <w:rsid w:val="00D067A3"/>
    <w:rsid w:val="00D07B4F"/>
    <w:rsid w:val="00D110BD"/>
    <w:rsid w:val="00D12E4F"/>
    <w:rsid w:val="00D13675"/>
    <w:rsid w:val="00D141E1"/>
    <w:rsid w:val="00D1457D"/>
    <w:rsid w:val="00D146DB"/>
    <w:rsid w:val="00D151BA"/>
    <w:rsid w:val="00D15314"/>
    <w:rsid w:val="00D15B48"/>
    <w:rsid w:val="00D15B87"/>
    <w:rsid w:val="00D17D6C"/>
    <w:rsid w:val="00D20743"/>
    <w:rsid w:val="00D2155B"/>
    <w:rsid w:val="00D21897"/>
    <w:rsid w:val="00D21A3A"/>
    <w:rsid w:val="00D22954"/>
    <w:rsid w:val="00D23D11"/>
    <w:rsid w:val="00D2420B"/>
    <w:rsid w:val="00D244B6"/>
    <w:rsid w:val="00D24B8C"/>
    <w:rsid w:val="00D26226"/>
    <w:rsid w:val="00D26B05"/>
    <w:rsid w:val="00D271E7"/>
    <w:rsid w:val="00D2754D"/>
    <w:rsid w:val="00D27B27"/>
    <w:rsid w:val="00D30D5B"/>
    <w:rsid w:val="00D314A6"/>
    <w:rsid w:val="00D3359F"/>
    <w:rsid w:val="00D33BE9"/>
    <w:rsid w:val="00D33F93"/>
    <w:rsid w:val="00D34281"/>
    <w:rsid w:val="00D34C66"/>
    <w:rsid w:val="00D357FF"/>
    <w:rsid w:val="00D35AEC"/>
    <w:rsid w:val="00D36C94"/>
    <w:rsid w:val="00D40059"/>
    <w:rsid w:val="00D41749"/>
    <w:rsid w:val="00D41D57"/>
    <w:rsid w:val="00D424C7"/>
    <w:rsid w:val="00D4265B"/>
    <w:rsid w:val="00D43B2A"/>
    <w:rsid w:val="00D43CF1"/>
    <w:rsid w:val="00D43D83"/>
    <w:rsid w:val="00D440AE"/>
    <w:rsid w:val="00D452FA"/>
    <w:rsid w:val="00D47575"/>
    <w:rsid w:val="00D476A7"/>
    <w:rsid w:val="00D47845"/>
    <w:rsid w:val="00D50D92"/>
    <w:rsid w:val="00D516AB"/>
    <w:rsid w:val="00D519B0"/>
    <w:rsid w:val="00D5223B"/>
    <w:rsid w:val="00D5243B"/>
    <w:rsid w:val="00D52A80"/>
    <w:rsid w:val="00D533EC"/>
    <w:rsid w:val="00D54C93"/>
    <w:rsid w:val="00D5559E"/>
    <w:rsid w:val="00D56288"/>
    <w:rsid w:val="00D56A95"/>
    <w:rsid w:val="00D5713E"/>
    <w:rsid w:val="00D57834"/>
    <w:rsid w:val="00D60084"/>
    <w:rsid w:val="00D6076E"/>
    <w:rsid w:val="00D617DD"/>
    <w:rsid w:val="00D62726"/>
    <w:rsid w:val="00D63552"/>
    <w:rsid w:val="00D65952"/>
    <w:rsid w:val="00D660A6"/>
    <w:rsid w:val="00D67BBA"/>
    <w:rsid w:val="00D67EBC"/>
    <w:rsid w:val="00D70523"/>
    <w:rsid w:val="00D70EE0"/>
    <w:rsid w:val="00D70F16"/>
    <w:rsid w:val="00D7158C"/>
    <w:rsid w:val="00D72617"/>
    <w:rsid w:val="00D72F57"/>
    <w:rsid w:val="00D749FC"/>
    <w:rsid w:val="00D74DF7"/>
    <w:rsid w:val="00D76971"/>
    <w:rsid w:val="00D76A44"/>
    <w:rsid w:val="00D80101"/>
    <w:rsid w:val="00D803B3"/>
    <w:rsid w:val="00D80B21"/>
    <w:rsid w:val="00D80E64"/>
    <w:rsid w:val="00D81033"/>
    <w:rsid w:val="00D815EF"/>
    <w:rsid w:val="00D81949"/>
    <w:rsid w:val="00D81F26"/>
    <w:rsid w:val="00D822E2"/>
    <w:rsid w:val="00D828C6"/>
    <w:rsid w:val="00D8298A"/>
    <w:rsid w:val="00D841FB"/>
    <w:rsid w:val="00D843F2"/>
    <w:rsid w:val="00D84A6C"/>
    <w:rsid w:val="00D85445"/>
    <w:rsid w:val="00D861C3"/>
    <w:rsid w:val="00D86231"/>
    <w:rsid w:val="00D86D8B"/>
    <w:rsid w:val="00D912AB"/>
    <w:rsid w:val="00D91896"/>
    <w:rsid w:val="00D91923"/>
    <w:rsid w:val="00D91C2C"/>
    <w:rsid w:val="00D920CD"/>
    <w:rsid w:val="00D92D9D"/>
    <w:rsid w:val="00D933CB"/>
    <w:rsid w:val="00D93753"/>
    <w:rsid w:val="00D93BE1"/>
    <w:rsid w:val="00D93C9D"/>
    <w:rsid w:val="00D94DCE"/>
    <w:rsid w:val="00D951CB"/>
    <w:rsid w:val="00D9568A"/>
    <w:rsid w:val="00DA1E5E"/>
    <w:rsid w:val="00DA2E92"/>
    <w:rsid w:val="00DA3167"/>
    <w:rsid w:val="00DA4159"/>
    <w:rsid w:val="00DA4DC3"/>
    <w:rsid w:val="00DA77A5"/>
    <w:rsid w:val="00DB094C"/>
    <w:rsid w:val="00DB0E36"/>
    <w:rsid w:val="00DB1E9F"/>
    <w:rsid w:val="00DB2723"/>
    <w:rsid w:val="00DB2FF7"/>
    <w:rsid w:val="00DB342C"/>
    <w:rsid w:val="00DB36BD"/>
    <w:rsid w:val="00DB3DBF"/>
    <w:rsid w:val="00DB42DE"/>
    <w:rsid w:val="00DB45A4"/>
    <w:rsid w:val="00DB484F"/>
    <w:rsid w:val="00DB5B1A"/>
    <w:rsid w:val="00DB68B6"/>
    <w:rsid w:val="00DB6BA4"/>
    <w:rsid w:val="00DB6EA6"/>
    <w:rsid w:val="00DB7157"/>
    <w:rsid w:val="00DB73C7"/>
    <w:rsid w:val="00DB7B80"/>
    <w:rsid w:val="00DC04F6"/>
    <w:rsid w:val="00DC0690"/>
    <w:rsid w:val="00DC0D7F"/>
    <w:rsid w:val="00DC1D65"/>
    <w:rsid w:val="00DC207B"/>
    <w:rsid w:val="00DC237E"/>
    <w:rsid w:val="00DC26DF"/>
    <w:rsid w:val="00DC3C57"/>
    <w:rsid w:val="00DC5501"/>
    <w:rsid w:val="00DC5DE4"/>
    <w:rsid w:val="00DC7154"/>
    <w:rsid w:val="00DC722D"/>
    <w:rsid w:val="00DC770E"/>
    <w:rsid w:val="00DC7BC5"/>
    <w:rsid w:val="00DC7E8A"/>
    <w:rsid w:val="00DD0116"/>
    <w:rsid w:val="00DD09A6"/>
    <w:rsid w:val="00DD0AF9"/>
    <w:rsid w:val="00DD0F78"/>
    <w:rsid w:val="00DD1BCB"/>
    <w:rsid w:val="00DD273C"/>
    <w:rsid w:val="00DD32ED"/>
    <w:rsid w:val="00DD3332"/>
    <w:rsid w:val="00DD3F28"/>
    <w:rsid w:val="00DD4446"/>
    <w:rsid w:val="00DD4537"/>
    <w:rsid w:val="00DD4E15"/>
    <w:rsid w:val="00DD557A"/>
    <w:rsid w:val="00DD6227"/>
    <w:rsid w:val="00DD7813"/>
    <w:rsid w:val="00DE03DC"/>
    <w:rsid w:val="00DE11CB"/>
    <w:rsid w:val="00DE1B53"/>
    <w:rsid w:val="00DE2304"/>
    <w:rsid w:val="00DE235B"/>
    <w:rsid w:val="00DE28F7"/>
    <w:rsid w:val="00DE3138"/>
    <w:rsid w:val="00DE37F8"/>
    <w:rsid w:val="00DE4273"/>
    <w:rsid w:val="00DE4FCB"/>
    <w:rsid w:val="00DE59EC"/>
    <w:rsid w:val="00DE5A79"/>
    <w:rsid w:val="00DE5D07"/>
    <w:rsid w:val="00DE626E"/>
    <w:rsid w:val="00DE65AC"/>
    <w:rsid w:val="00DE72A7"/>
    <w:rsid w:val="00DE750D"/>
    <w:rsid w:val="00DE7832"/>
    <w:rsid w:val="00DF0B61"/>
    <w:rsid w:val="00DF18FC"/>
    <w:rsid w:val="00DF2FF5"/>
    <w:rsid w:val="00DF3377"/>
    <w:rsid w:val="00DF3697"/>
    <w:rsid w:val="00DF3A1F"/>
    <w:rsid w:val="00DF3B30"/>
    <w:rsid w:val="00DF5D2B"/>
    <w:rsid w:val="00DF5E45"/>
    <w:rsid w:val="00DF6341"/>
    <w:rsid w:val="00DF6B14"/>
    <w:rsid w:val="00E00E8E"/>
    <w:rsid w:val="00E01321"/>
    <w:rsid w:val="00E01ADA"/>
    <w:rsid w:val="00E03BC6"/>
    <w:rsid w:val="00E05630"/>
    <w:rsid w:val="00E06DBB"/>
    <w:rsid w:val="00E0707A"/>
    <w:rsid w:val="00E0730E"/>
    <w:rsid w:val="00E07C34"/>
    <w:rsid w:val="00E1002A"/>
    <w:rsid w:val="00E10149"/>
    <w:rsid w:val="00E10C4B"/>
    <w:rsid w:val="00E11340"/>
    <w:rsid w:val="00E114E4"/>
    <w:rsid w:val="00E122A1"/>
    <w:rsid w:val="00E122C8"/>
    <w:rsid w:val="00E12C55"/>
    <w:rsid w:val="00E13B09"/>
    <w:rsid w:val="00E14A3C"/>
    <w:rsid w:val="00E153DE"/>
    <w:rsid w:val="00E154F8"/>
    <w:rsid w:val="00E16128"/>
    <w:rsid w:val="00E16372"/>
    <w:rsid w:val="00E16500"/>
    <w:rsid w:val="00E1677F"/>
    <w:rsid w:val="00E16933"/>
    <w:rsid w:val="00E16AD8"/>
    <w:rsid w:val="00E17BB7"/>
    <w:rsid w:val="00E17FFA"/>
    <w:rsid w:val="00E20426"/>
    <w:rsid w:val="00E20E4D"/>
    <w:rsid w:val="00E20ED6"/>
    <w:rsid w:val="00E21203"/>
    <w:rsid w:val="00E21358"/>
    <w:rsid w:val="00E2162D"/>
    <w:rsid w:val="00E21662"/>
    <w:rsid w:val="00E2249B"/>
    <w:rsid w:val="00E22A0D"/>
    <w:rsid w:val="00E2384A"/>
    <w:rsid w:val="00E239E6"/>
    <w:rsid w:val="00E244F6"/>
    <w:rsid w:val="00E24E46"/>
    <w:rsid w:val="00E254AF"/>
    <w:rsid w:val="00E258DB"/>
    <w:rsid w:val="00E25B5F"/>
    <w:rsid w:val="00E26266"/>
    <w:rsid w:val="00E26E9D"/>
    <w:rsid w:val="00E27103"/>
    <w:rsid w:val="00E2771E"/>
    <w:rsid w:val="00E27CA7"/>
    <w:rsid w:val="00E311EF"/>
    <w:rsid w:val="00E32180"/>
    <w:rsid w:val="00E325EC"/>
    <w:rsid w:val="00E3261A"/>
    <w:rsid w:val="00E32BA2"/>
    <w:rsid w:val="00E3340F"/>
    <w:rsid w:val="00E33AE4"/>
    <w:rsid w:val="00E33C7D"/>
    <w:rsid w:val="00E34948"/>
    <w:rsid w:val="00E35118"/>
    <w:rsid w:val="00E37569"/>
    <w:rsid w:val="00E401B2"/>
    <w:rsid w:val="00E40246"/>
    <w:rsid w:val="00E41E30"/>
    <w:rsid w:val="00E41F6D"/>
    <w:rsid w:val="00E4222F"/>
    <w:rsid w:val="00E42F73"/>
    <w:rsid w:val="00E43454"/>
    <w:rsid w:val="00E43D70"/>
    <w:rsid w:val="00E43F69"/>
    <w:rsid w:val="00E4409A"/>
    <w:rsid w:val="00E458DD"/>
    <w:rsid w:val="00E45FE2"/>
    <w:rsid w:val="00E464A7"/>
    <w:rsid w:val="00E466F3"/>
    <w:rsid w:val="00E46A41"/>
    <w:rsid w:val="00E47B2C"/>
    <w:rsid w:val="00E51560"/>
    <w:rsid w:val="00E51821"/>
    <w:rsid w:val="00E52A40"/>
    <w:rsid w:val="00E53A48"/>
    <w:rsid w:val="00E53FC8"/>
    <w:rsid w:val="00E54347"/>
    <w:rsid w:val="00E55424"/>
    <w:rsid w:val="00E55915"/>
    <w:rsid w:val="00E55BB5"/>
    <w:rsid w:val="00E56EED"/>
    <w:rsid w:val="00E574CE"/>
    <w:rsid w:val="00E60F4B"/>
    <w:rsid w:val="00E611DF"/>
    <w:rsid w:val="00E62CC7"/>
    <w:rsid w:val="00E63024"/>
    <w:rsid w:val="00E64D18"/>
    <w:rsid w:val="00E65E79"/>
    <w:rsid w:val="00E6664F"/>
    <w:rsid w:val="00E666E9"/>
    <w:rsid w:val="00E66BA2"/>
    <w:rsid w:val="00E66FBD"/>
    <w:rsid w:val="00E67416"/>
    <w:rsid w:val="00E7105E"/>
    <w:rsid w:val="00E718B6"/>
    <w:rsid w:val="00E723BA"/>
    <w:rsid w:val="00E73581"/>
    <w:rsid w:val="00E74DAD"/>
    <w:rsid w:val="00E7701B"/>
    <w:rsid w:val="00E77064"/>
    <w:rsid w:val="00E77B6D"/>
    <w:rsid w:val="00E80882"/>
    <w:rsid w:val="00E80D09"/>
    <w:rsid w:val="00E80DC6"/>
    <w:rsid w:val="00E81293"/>
    <w:rsid w:val="00E81870"/>
    <w:rsid w:val="00E81DBB"/>
    <w:rsid w:val="00E833F7"/>
    <w:rsid w:val="00E83BDF"/>
    <w:rsid w:val="00E847D4"/>
    <w:rsid w:val="00E85881"/>
    <w:rsid w:val="00E86FCC"/>
    <w:rsid w:val="00E87A1D"/>
    <w:rsid w:val="00E87C47"/>
    <w:rsid w:val="00E87F68"/>
    <w:rsid w:val="00E9037D"/>
    <w:rsid w:val="00E905A6"/>
    <w:rsid w:val="00E90767"/>
    <w:rsid w:val="00E9086E"/>
    <w:rsid w:val="00E9094A"/>
    <w:rsid w:val="00E90C0C"/>
    <w:rsid w:val="00E91D35"/>
    <w:rsid w:val="00E926A5"/>
    <w:rsid w:val="00E92B99"/>
    <w:rsid w:val="00E932AC"/>
    <w:rsid w:val="00E9335F"/>
    <w:rsid w:val="00E93528"/>
    <w:rsid w:val="00E94225"/>
    <w:rsid w:val="00E9448A"/>
    <w:rsid w:val="00E95579"/>
    <w:rsid w:val="00E962CC"/>
    <w:rsid w:val="00EA07F6"/>
    <w:rsid w:val="00EA17C3"/>
    <w:rsid w:val="00EA1AE9"/>
    <w:rsid w:val="00EA2219"/>
    <w:rsid w:val="00EA288A"/>
    <w:rsid w:val="00EA2CAA"/>
    <w:rsid w:val="00EA36CD"/>
    <w:rsid w:val="00EA385E"/>
    <w:rsid w:val="00EA3864"/>
    <w:rsid w:val="00EA47EE"/>
    <w:rsid w:val="00EA4CB3"/>
    <w:rsid w:val="00EA5857"/>
    <w:rsid w:val="00EA5955"/>
    <w:rsid w:val="00EA6937"/>
    <w:rsid w:val="00EA787C"/>
    <w:rsid w:val="00EA7892"/>
    <w:rsid w:val="00EA7BED"/>
    <w:rsid w:val="00EA7F1C"/>
    <w:rsid w:val="00EB05E6"/>
    <w:rsid w:val="00EB15B6"/>
    <w:rsid w:val="00EB2C82"/>
    <w:rsid w:val="00EB303B"/>
    <w:rsid w:val="00EB3D06"/>
    <w:rsid w:val="00EB4916"/>
    <w:rsid w:val="00EB4C8E"/>
    <w:rsid w:val="00EB5151"/>
    <w:rsid w:val="00EB5E9A"/>
    <w:rsid w:val="00EB7A62"/>
    <w:rsid w:val="00EC00C9"/>
    <w:rsid w:val="00EC0DD9"/>
    <w:rsid w:val="00EC1B28"/>
    <w:rsid w:val="00EC2649"/>
    <w:rsid w:val="00EC2B3E"/>
    <w:rsid w:val="00EC2B75"/>
    <w:rsid w:val="00EC31D6"/>
    <w:rsid w:val="00EC31ED"/>
    <w:rsid w:val="00EC3787"/>
    <w:rsid w:val="00EC3B95"/>
    <w:rsid w:val="00EC440F"/>
    <w:rsid w:val="00EC4F4A"/>
    <w:rsid w:val="00EC520E"/>
    <w:rsid w:val="00EC54DA"/>
    <w:rsid w:val="00EC5836"/>
    <w:rsid w:val="00EC5B69"/>
    <w:rsid w:val="00EC688C"/>
    <w:rsid w:val="00EC68FE"/>
    <w:rsid w:val="00ED03C0"/>
    <w:rsid w:val="00ED060F"/>
    <w:rsid w:val="00ED0CBB"/>
    <w:rsid w:val="00ED12E3"/>
    <w:rsid w:val="00ED147F"/>
    <w:rsid w:val="00ED3C60"/>
    <w:rsid w:val="00ED4B04"/>
    <w:rsid w:val="00ED54AD"/>
    <w:rsid w:val="00ED55A3"/>
    <w:rsid w:val="00ED57EA"/>
    <w:rsid w:val="00ED5BD4"/>
    <w:rsid w:val="00ED5D53"/>
    <w:rsid w:val="00ED5F71"/>
    <w:rsid w:val="00ED6AE7"/>
    <w:rsid w:val="00ED6F31"/>
    <w:rsid w:val="00ED72A2"/>
    <w:rsid w:val="00ED7A86"/>
    <w:rsid w:val="00EE0545"/>
    <w:rsid w:val="00EE07D3"/>
    <w:rsid w:val="00EE07E2"/>
    <w:rsid w:val="00EE1095"/>
    <w:rsid w:val="00EE1996"/>
    <w:rsid w:val="00EE1C01"/>
    <w:rsid w:val="00EE22AF"/>
    <w:rsid w:val="00EE2417"/>
    <w:rsid w:val="00EE3267"/>
    <w:rsid w:val="00EE3730"/>
    <w:rsid w:val="00EE502A"/>
    <w:rsid w:val="00EE5284"/>
    <w:rsid w:val="00EE5450"/>
    <w:rsid w:val="00EE58A1"/>
    <w:rsid w:val="00EE6354"/>
    <w:rsid w:val="00EE6683"/>
    <w:rsid w:val="00EE6F40"/>
    <w:rsid w:val="00EE7434"/>
    <w:rsid w:val="00EE7F41"/>
    <w:rsid w:val="00EF0171"/>
    <w:rsid w:val="00EF156D"/>
    <w:rsid w:val="00EF1B25"/>
    <w:rsid w:val="00EF1DA0"/>
    <w:rsid w:val="00EF207B"/>
    <w:rsid w:val="00EF4747"/>
    <w:rsid w:val="00EF4A58"/>
    <w:rsid w:val="00EF4BF8"/>
    <w:rsid w:val="00EF4F3E"/>
    <w:rsid w:val="00EF7E4E"/>
    <w:rsid w:val="00F02253"/>
    <w:rsid w:val="00F03B89"/>
    <w:rsid w:val="00F03C2E"/>
    <w:rsid w:val="00F03F47"/>
    <w:rsid w:val="00F04A66"/>
    <w:rsid w:val="00F04B4B"/>
    <w:rsid w:val="00F0516C"/>
    <w:rsid w:val="00F063AB"/>
    <w:rsid w:val="00F067A2"/>
    <w:rsid w:val="00F067DA"/>
    <w:rsid w:val="00F07B9E"/>
    <w:rsid w:val="00F07E6B"/>
    <w:rsid w:val="00F1006E"/>
    <w:rsid w:val="00F10321"/>
    <w:rsid w:val="00F10333"/>
    <w:rsid w:val="00F1116F"/>
    <w:rsid w:val="00F1263A"/>
    <w:rsid w:val="00F12CF2"/>
    <w:rsid w:val="00F139C5"/>
    <w:rsid w:val="00F15014"/>
    <w:rsid w:val="00F15B77"/>
    <w:rsid w:val="00F15FC7"/>
    <w:rsid w:val="00F165E1"/>
    <w:rsid w:val="00F17B53"/>
    <w:rsid w:val="00F20BA3"/>
    <w:rsid w:val="00F21172"/>
    <w:rsid w:val="00F21236"/>
    <w:rsid w:val="00F21847"/>
    <w:rsid w:val="00F21B34"/>
    <w:rsid w:val="00F21C3E"/>
    <w:rsid w:val="00F2281A"/>
    <w:rsid w:val="00F236C6"/>
    <w:rsid w:val="00F23840"/>
    <w:rsid w:val="00F239DF"/>
    <w:rsid w:val="00F24018"/>
    <w:rsid w:val="00F24837"/>
    <w:rsid w:val="00F253FF"/>
    <w:rsid w:val="00F2575F"/>
    <w:rsid w:val="00F26CFF"/>
    <w:rsid w:val="00F26D65"/>
    <w:rsid w:val="00F27565"/>
    <w:rsid w:val="00F3048B"/>
    <w:rsid w:val="00F310D4"/>
    <w:rsid w:val="00F31432"/>
    <w:rsid w:val="00F31B59"/>
    <w:rsid w:val="00F31D5A"/>
    <w:rsid w:val="00F3260E"/>
    <w:rsid w:val="00F33975"/>
    <w:rsid w:val="00F33DE9"/>
    <w:rsid w:val="00F33F58"/>
    <w:rsid w:val="00F35E6D"/>
    <w:rsid w:val="00F3619A"/>
    <w:rsid w:val="00F368AE"/>
    <w:rsid w:val="00F36EC2"/>
    <w:rsid w:val="00F36F82"/>
    <w:rsid w:val="00F3715B"/>
    <w:rsid w:val="00F372D0"/>
    <w:rsid w:val="00F37B51"/>
    <w:rsid w:val="00F37CE0"/>
    <w:rsid w:val="00F409E2"/>
    <w:rsid w:val="00F40AAA"/>
    <w:rsid w:val="00F40BA7"/>
    <w:rsid w:val="00F40F9D"/>
    <w:rsid w:val="00F41492"/>
    <w:rsid w:val="00F41ACD"/>
    <w:rsid w:val="00F42061"/>
    <w:rsid w:val="00F4522D"/>
    <w:rsid w:val="00F4602C"/>
    <w:rsid w:val="00F46753"/>
    <w:rsid w:val="00F46CB6"/>
    <w:rsid w:val="00F4756D"/>
    <w:rsid w:val="00F47CFE"/>
    <w:rsid w:val="00F47DE8"/>
    <w:rsid w:val="00F50537"/>
    <w:rsid w:val="00F507A9"/>
    <w:rsid w:val="00F50D3D"/>
    <w:rsid w:val="00F513E9"/>
    <w:rsid w:val="00F51417"/>
    <w:rsid w:val="00F5151A"/>
    <w:rsid w:val="00F5205E"/>
    <w:rsid w:val="00F52309"/>
    <w:rsid w:val="00F52C8C"/>
    <w:rsid w:val="00F52DE7"/>
    <w:rsid w:val="00F542C1"/>
    <w:rsid w:val="00F54E7C"/>
    <w:rsid w:val="00F550E3"/>
    <w:rsid w:val="00F55E73"/>
    <w:rsid w:val="00F55EDA"/>
    <w:rsid w:val="00F56BC5"/>
    <w:rsid w:val="00F56C80"/>
    <w:rsid w:val="00F575FE"/>
    <w:rsid w:val="00F57B47"/>
    <w:rsid w:val="00F60092"/>
    <w:rsid w:val="00F603B1"/>
    <w:rsid w:val="00F60676"/>
    <w:rsid w:val="00F60EF7"/>
    <w:rsid w:val="00F61C18"/>
    <w:rsid w:val="00F62439"/>
    <w:rsid w:val="00F62539"/>
    <w:rsid w:val="00F62898"/>
    <w:rsid w:val="00F629A4"/>
    <w:rsid w:val="00F632B7"/>
    <w:rsid w:val="00F63F19"/>
    <w:rsid w:val="00F64363"/>
    <w:rsid w:val="00F64540"/>
    <w:rsid w:val="00F650F4"/>
    <w:rsid w:val="00F65F4B"/>
    <w:rsid w:val="00F65FE2"/>
    <w:rsid w:val="00F66113"/>
    <w:rsid w:val="00F66BFC"/>
    <w:rsid w:val="00F67A69"/>
    <w:rsid w:val="00F67B3E"/>
    <w:rsid w:val="00F708F2"/>
    <w:rsid w:val="00F709E4"/>
    <w:rsid w:val="00F70AD6"/>
    <w:rsid w:val="00F70BFF"/>
    <w:rsid w:val="00F70C9D"/>
    <w:rsid w:val="00F73498"/>
    <w:rsid w:val="00F73A79"/>
    <w:rsid w:val="00F73E08"/>
    <w:rsid w:val="00F74528"/>
    <w:rsid w:val="00F74CD9"/>
    <w:rsid w:val="00F75FA3"/>
    <w:rsid w:val="00F80A7B"/>
    <w:rsid w:val="00F80E5D"/>
    <w:rsid w:val="00F81DB6"/>
    <w:rsid w:val="00F81E78"/>
    <w:rsid w:val="00F83472"/>
    <w:rsid w:val="00F83916"/>
    <w:rsid w:val="00F84C23"/>
    <w:rsid w:val="00F84EA1"/>
    <w:rsid w:val="00F851CE"/>
    <w:rsid w:val="00F8622A"/>
    <w:rsid w:val="00F8755F"/>
    <w:rsid w:val="00F9086A"/>
    <w:rsid w:val="00F91219"/>
    <w:rsid w:val="00F91CCB"/>
    <w:rsid w:val="00F92335"/>
    <w:rsid w:val="00F92444"/>
    <w:rsid w:val="00F93509"/>
    <w:rsid w:val="00F9393E"/>
    <w:rsid w:val="00F93E09"/>
    <w:rsid w:val="00F93EC2"/>
    <w:rsid w:val="00F93F4E"/>
    <w:rsid w:val="00F96FD0"/>
    <w:rsid w:val="00F97513"/>
    <w:rsid w:val="00F97A78"/>
    <w:rsid w:val="00FA00A2"/>
    <w:rsid w:val="00FA0B20"/>
    <w:rsid w:val="00FA12B9"/>
    <w:rsid w:val="00FA1331"/>
    <w:rsid w:val="00FA1BA9"/>
    <w:rsid w:val="00FA1DD3"/>
    <w:rsid w:val="00FA24E7"/>
    <w:rsid w:val="00FA4640"/>
    <w:rsid w:val="00FA5EE6"/>
    <w:rsid w:val="00FA623A"/>
    <w:rsid w:val="00FA7095"/>
    <w:rsid w:val="00FA71C8"/>
    <w:rsid w:val="00FA7284"/>
    <w:rsid w:val="00FA7956"/>
    <w:rsid w:val="00FA7EF3"/>
    <w:rsid w:val="00FB0824"/>
    <w:rsid w:val="00FB0A28"/>
    <w:rsid w:val="00FB13E5"/>
    <w:rsid w:val="00FB2172"/>
    <w:rsid w:val="00FB27D1"/>
    <w:rsid w:val="00FB2FCB"/>
    <w:rsid w:val="00FB33A0"/>
    <w:rsid w:val="00FB37AC"/>
    <w:rsid w:val="00FB395D"/>
    <w:rsid w:val="00FB3BCB"/>
    <w:rsid w:val="00FB4C9C"/>
    <w:rsid w:val="00FB4F3B"/>
    <w:rsid w:val="00FB521A"/>
    <w:rsid w:val="00FB5EBE"/>
    <w:rsid w:val="00FB6973"/>
    <w:rsid w:val="00FB7C55"/>
    <w:rsid w:val="00FB7E9F"/>
    <w:rsid w:val="00FB7FDD"/>
    <w:rsid w:val="00FC1074"/>
    <w:rsid w:val="00FC1884"/>
    <w:rsid w:val="00FC1C76"/>
    <w:rsid w:val="00FC25D0"/>
    <w:rsid w:val="00FC371D"/>
    <w:rsid w:val="00FC4218"/>
    <w:rsid w:val="00FC4281"/>
    <w:rsid w:val="00FC44E6"/>
    <w:rsid w:val="00FC4C29"/>
    <w:rsid w:val="00FC5F0B"/>
    <w:rsid w:val="00FC7290"/>
    <w:rsid w:val="00FC7AB0"/>
    <w:rsid w:val="00FD01E8"/>
    <w:rsid w:val="00FD0785"/>
    <w:rsid w:val="00FD08E9"/>
    <w:rsid w:val="00FD19C3"/>
    <w:rsid w:val="00FD1D71"/>
    <w:rsid w:val="00FD2100"/>
    <w:rsid w:val="00FD3904"/>
    <w:rsid w:val="00FD4124"/>
    <w:rsid w:val="00FD436C"/>
    <w:rsid w:val="00FD446D"/>
    <w:rsid w:val="00FD450C"/>
    <w:rsid w:val="00FD4F2C"/>
    <w:rsid w:val="00FD4FC4"/>
    <w:rsid w:val="00FD6394"/>
    <w:rsid w:val="00FD65F4"/>
    <w:rsid w:val="00FD7846"/>
    <w:rsid w:val="00FE0BF6"/>
    <w:rsid w:val="00FE0E6C"/>
    <w:rsid w:val="00FE1CDC"/>
    <w:rsid w:val="00FE233D"/>
    <w:rsid w:val="00FE4921"/>
    <w:rsid w:val="00FE571A"/>
    <w:rsid w:val="00FE5D84"/>
    <w:rsid w:val="00FE6DD3"/>
    <w:rsid w:val="00FE6EF9"/>
    <w:rsid w:val="00FE70C3"/>
    <w:rsid w:val="00FF03BB"/>
    <w:rsid w:val="00FF1498"/>
    <w:rsid w:val="00FF1A8B"/>
    <w:rsid w:val="00FF2923"/>
    <w:rsid w:val="00FF2AD9"/>
    <w:rsid w:val="00FF359F"/>
    <w:rsid w:val="00FF3D3B"/>
    <w:rsid w:val="00FF3DCF"/>
    <w:rsid w:val="00FF492C"/>
    <w:rsid w:val="00FF4A21"/>
    <w:rsid w:val="00FF53D4"/>
    <w:rsid w:val="00FF5896"/>
    <w:rsid w:val="00FF5AA3"/>
    <w:rsid w:val="00FF5AD8"/>
    <w:rsid w:val="00FF780B"/>
    <w:rsid w:val="00FF7AEF"/>
    <w:rsid w:val="00FF7DCE"/>
    <w:rsid w:val="46A13B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7"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16" w:qFormat="1"/>
    <w:lsdException w:name="List 2" w:semiHidden="1" w:unhideWhenUsed="1"/>
    <w:lsdException w:name="List 3" w:semiHidden="1" w:unhideWhenUsed="1"/>
    <w:lsdException w:name="List Bullet 2" w:semiHidden="1" w:uiPriority="16" w:unhideWhenUsed="1" w:qFormat="1"/>
    <w:lsdException w:name="List Bullet 3" w:semiHidden="1" w:uiPriority="16" w:unhideWhenUsed="1" w:qFormat="1"/>
    <w:lsdException w:name="List Bullet 4" w:semiHidden="1" w:uiPriority="16" w:unhideWhenUsed="1" w:qFormat="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1CB"/>
    <w:pPr>
      <w:jc w:val="both"/>
    </w:pPr>
    <w:rPr>
      <w:rFonts w:ascii="Calibri" w:hAnsi="Calibri" w:cs="Arial"/>
      <w:sz w:val="24"/>
      <w:szCs w:val="24"/>
    </w:rPr>
  </w:style>
  <w:style w:type="paragraph" w:styleId="Heading1">
    <w:name w:val="heading 1"/>
    <w:aliases w:val="Heading 1a"/>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aliases w:val="Appendix Heading 2"/>
    <w:basedOn w:val="Normal"/>
    <w:next w:val="Normal"/>
    <w:link w:val="Heading7Char"/>
    <w:qFormat/>
    <w:rsid w:val="00124A51"/>
    <w:pPr>
      <w:keepNext/>
      <w:jc w:val="center"/>
      <w:outlineLvl w:val="6"/>
    </w:pPr>
    <w:rPr>
      <w:b/>
      <w:sz w:val="20"/>
    </w:rPr>
  </w:style>
  <w:style w:type="paragraph" w:styleId="Heading8">
    <w:name w:val="heading 8"/>
    <w:aliases w:val="Appendix Heading 3"/>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aliases w:val="Appendix Heading 2 Char"/>
    <w:basedOn w:val="DefaultParagraphFont"/>
    <w:link w:val="Heading7"/>
    <w:rsid w:val="00124A51"/>
    <w:rPr>
      <w:rFonts w:ascii="Arial" w:hAnsi="Arial"/>
      <w:b/>
      <w:snapToGrid w:val="0"/>
      <w:lang w:eastAsia="en-US"/>
    </w:rPr>
  </w:style>
  <w:style w:type="character" w:customStyle="1" w:styleId="Heading8Char">
    <w:name w:val="Heading 8 Char"/>
    <w:aliases w:val="Appendix Heading 3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 H17"/>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Bayer Caption Char,IB Caption Char,Medical Caption Char,- H17 Char"/>
    <w:link w:val="Caption"/>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Normal: Bullets,Table Legend,Bullet1,Bullet 1,Bullet List,Section 5,List Table,Bullets Points,Bullets"/>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Normal: Bullets Char,Table Legend Char,Bullet1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new style,PBAC table,Header Table,NICE instructions,Source table_,HTAtableplain,RTI AMCP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qFormat/>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Comment Text Char Char Char,Comment Text Char Char,- H19"/>
    <w:basedOn w:val="Normal"/>
    <w:link w:val="CommentTextChar"/>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H19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nhideWhenUsed/>
    <w:rsid w:val="00536F42"/>
    <w:rPr>
      <w:color w:val="800080" w:themeColor="followedHyperlink"/>
      <w:u w:val="single"/>
    </w:rPr>
  </w:style>
  <w:style w:type="character" w:styleId="PageNumber">
    <w:name w:val="page number"/>
    <w:basedOn w:val="DefaultParagraphFont"/>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A36CD"/>
    <w:pPr>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0925DD"/>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4-SubsectionHeadingChar">
    <w:name w:val="4-Subsection Heading Char"/>
    <w:basedOn w:val="Heading2Char"/>
    <w:link w:val="4-SubsectionHeading"/>
    <w:rsid w:val="000925DD"/>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qFormat/>
    <w:rsid w:val="00EE1996"/>
    <w:pPr>
      <w:numPr>
        <w:numId w:val="3"/>
      </w:numPr>
      <w:contextualSpacing/>
    </w:pPr>
  </w:style>
  <w:style w:type="character" w:customStyle="1" w:styleId="TableTextChar0">
    <w:name w:val="Table Text Char"/>
    <w:basedOn w:val="DefaultParagraphFont"/>
    <w:link w:val="TableText0"/>
    <w:rsid w:val="00EA36C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0E6454"/>
    <w:pPr>
      <w:keepLines/>
      <w:contextualSpacing/>
      <w:jc w:val="left"/>
    </w:pPr>
    <w:rPr>
      <w:rFonts w:ascii="Arial Narrow" w:hAnsi="Arial Narrow"/>
      <w:snapToGrid w:val="0"/>
      <w:sz w:val="18"/>
      <w:szCs w:val="22"/>
    </w:rPr>
  </w:style>
  <w:style w:type="character" w:customStyle="1" w:styleId="TableFigureFooterChar">
    <w:name w:val="Table/Figure Footer Char"/>
    <w:link w:val="TableFigureFooter"/>
    <w:rsid w:val="000E6454"/>
    <w:rPr>
      <w:rFonts w:ascii="Arial Narrow" w:hAnsi="Arial Narrow" w:cs="Arial"/>
      <w:snapToGrid w:val="0"/>
      <w:sz w:val="18"/>
      <w:szCs w:val="22"/>
    </w:rPr>
  </w:style>
  <w:style w:type="character" w:styleId="FootnoteReference">
    <w:name w:val="footnote reference"/>
    <w:basedOn w:val="DefaultParagraphFont"/>
    <w:uiPriority w:val="99"/>
    <w:rsid w:val="00C34403"/>
    <w:rPr>
      <w:noProof w:val="0"/>
      <w:vertAlign w:val="superscript"/>
      <w:lang w:val="en-AU"/>
    </w:rPr>
  </w:style>
  <w:style w:type="paragraph" w:styleId="FootnoteText">
    <w:name w:val="footnote text"/>
    <w:aliases w:val="Footnote Text Char Char,Footnote Text Char2,Footnote Text Char Char1"/>
    <w:basedOn w:val="Normal"/>
    <w:link w:val="FootnoteTextChar"/>
    <w:uiPriority w:val="99"/>
    <w:rsid w:val="00C34403"/>
    <w:pPr>
      <w:spacing w:after="120"/>
      <w:jc w:val="left"/>
    </w:pPr>
    <w:rPr>
      <w:rFonts w:ascii="Arial" w:eastAsiaTheme="minorHAnsi" w:hAnsi="Arial" w:cstheme="minorBidi"/>
      <w:sz w:val="18"/>
      <w:szCs w:val="20"/>
      <w:lang w:eastAsia="en-US"/>
    </w:rPr>
  </w:style>
  <w:style w:type="character" w:customStyle="1" w:styleId="FootnoteTextChar">
    <w:name w:val="Footnote Text Char"/>
    <w:aliases w:val="Footnote Text Char Char Char,Footnote Text Char2 Char,Footnote Text Char Char1 Char"/>
    <w:basedOn w:val="DefaultParagraphFont"/>
    <w:link w:val="FootnoteText"/>
    <w:uiPriority w:val="99"/>
    <w:rsid w:val="00C34403"/>
    <w:rPr>
      <w:rFonts w:ascii="Arial" w:eastAsiaTheme="minorHAnsi" w:hAnsi="Arial" w:cstheme="minorBidi"/>
      <w:sz w:val="18"/>
      <w:lang w:eastAsia="en-US"/>
    </w:rPr>
  </w:style>
  <w:style w:type="table" w:styleId="ColourfulGridAccent5">
    <w:name w:val="Colorful Grid Accent 5"/>
    <w:basedOn w:val="TableNormal"/>
    <w:uiPriority w:val="73"/>
    <w:rsid w:val="00C34403"/>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PBACTabletext">
    <w:name w:val="PBAC Table text"/>
    <w:qFormat/>
    <w:rsid w:val="00C34403"/>
    <w:pPr>
      <w:keepNext/>
      <w:keepLines/>
      <w:suppressLineNumbers/>
      <w:spacing w:after="20"/>
      <w:textboxTightWrap w:val="allLines"/>
    </w:pPr>
    <w:rPr>
      <w:rFonts w:asciiTheme="minorHAnsi" w:hAnsiTheme="minorHAnsi" w:cstheme="minorHAnsi"/>
      <w:szCs w:val="24"/>
      <w:lang w:eastAsia="en-GB"/>
    </w:rPr>
  </w:style>
  <w:style w:type="character" w:styleId="PlaceholderText">
    <w:name w:val="Placeholder Text"/>
    <w:basedOn w:val="DefaultParagraphFont"/>
    <w:uiPriority w:val="99"/>
    <w:rsid w:val="00C34403"/>
    <w:rPr>
      <w:color w:val="666666"/>
    </w:rPr>
  </w:style>
  <w:style w:type="character" w:styleId="UnresolvedMention">
    <w:name w:val="Unresolved Mention"/>
    <w:basedOn w:val="DefaultParagraphFont"/>
    <w:uiPriority w:val="99"/>
    <w:unhideWhenUsed/>
    <w:rsid w:val="00AE2167"/>
    <w:rPr>
      <w:color w:val="605E5C"/>
      <w:shd w:val="clear" w:color="auto" w:fill="E1DFDD"/>
    </w:rPr>
  </w:style>
  <w:style w:type="character" w:customStyle="1" w:styleId="normaltextrun">
    <w:name w:val="normaltextrun"/>
    <w:basedOn w:val="DefaultParagraphFont"/>
    <w:rsid w:val="003005BE"/>
  </w:style>
  <w:style w:type="paragraph" w:customStyle="1" w:styleId="TableNoteBullet">
    <w:name w:val="Table Note Bullet"/>
    <w:basedOn w:val="Normal"/>
    <w:qFormat/>
    <w:rsid w:val="00F650F4"/>
    <w:pPr>
      <w:numPr>
        <w:numId w:val="9"/>
      </w:numPr>
      <w:spacing w:after="60"/>
      <w:jc w:val="left"/>
    </w:pPr>
    <w:rPr>
      <w:rFonts w:ascii="Arial Narrow" w:eastAsiaTheme="minorHAnsi" w:hAnsi="Arial Narrow" w:cstheme="minorBidi"/>
      <w:sz w:val="20"/>
      <w:szCs w:val="22"/>
      <w:lang w:eastAsia="en-US"/>
    </w:rPr>
  </w:style>
  <w:style w:type="paragraph" w:customStyle="1" w:styleId="TableNote">
    <w:name w:val="Table Note"/>
    <w:basedOn w:val="Normal"/>
    <w:link w:val="TableNoteChar"/>
    <w:qFormat/>
    <w:rsid w:val="00F650F4"/>
    <w:pPr>
      <w:keepNext/>
      <w:keepLines/>
      <w:spacing w:after="60"/>
      <w:jc w:val="left"/>
    </w:pPr>
    <w:rPr>
      <w:rFonts w:ascii="Arial Narrow" w:eastAsiaTheme="minorHAnsi" w:hAnsi="Arial Narrow" w:cstheme="minorBidi"/>
      <w:sz w:val="18"/>
      <w:szCs w:val="22"/>
      <w:lang w:eastAsia="en-US"/>
    </w:rPr>
  </w:style>
  <w:style w:type="character" w:customStyle="1" w:styleId="TableNoteChar">
    <w:name w:val="Table Note Char"/>
    <w:link w:val="TableNote"/>
    <w:rsid w:val="00F650F4"/>
    <w:rPr>
      <w:rFonts w:ascii="Arial Narrow" w:eastAsiaTheme="minorHAnsi" w:hAnsi="Arial Narrow" w:cstheme="minorBidi"/>
      <w:sz w:val="18"/>
      <w:szCs w:val="22"/>
      <w:lang w:eastAsia="en-US"/>
    </w:rPr>
  </w:style>
  <w:style w:type="table" w:customStyle="1" w:styleId="ExecSummTable">
    <w:name w:val="Exec Summ Table"/>
    <w:basedOn w:val="TableNormal"/>
    <w:uiPriority w:val="99"/>
    <w:rsid w:val="00F650F4"/>
    <w:pPr>
      <w:spacing w:after="80" w:line="360" w:lineRule="auto"/>
      <w:ind w:left="57" w:right="57"/>
    </w:pPr>
    <w:rPr>
      <w:rFonts w:ascii="Arial" w:eastAsiaTheme="minorHAnsi" w:hAnsi="Arial" w:cstheme="minorBidi"/>
      <w:sz w:val="18"/>
      <w:lang w:val="en-US" w:bidi="th-TH"/>
    </w:rPr>
    <w:tblPr>
      <w:tblStyleRowBandSize w:val="1"/>
      <w:tblBorders>
        <w:top w:val="single" w:sz="12" w:space="0" w:color="4BACC6" w:themeColor="accent5"/>
      </w:tblBorders>
      <w:tblCellMar>
        <w:left w:w="57" w:type="dxa"/>
        <w:right w:w="57" w:type="dxa"/>
      </w:tblCellMar>
    </w:tblPr>
    <w:tblStylePr w:type="firstRow">
      <w:pPr>
        <w:wordWrap/>
        <w:spacing w:line="276" w:lineRule="auto"/>
      </w:pPr>
      <w:rPr>
        <w:b/>
      </w:rPr>
      <w:tblPr/>
      <w:trPr>
        <w:cantSplit/>
        <w:tblHeader/>
      </w:tr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lastRow">
      <w:rPr>
        <w:b/>
      </w:rPr>
      <w:tblPr/>
      <w:tcPr>
        <w:tcBorders>
          <w:top w:val="single" w:sz="12" w:space="0" w:color="4BACC6" w:themeColor="accent5"/>
          <w:left w:val="nil"/>
          <w:bottom w:val="single" w:sz="12" w:space="0" w:color="4BACC6" w:themeColor="accent5"/>
          <w:right w:val="nil"/>
          <w:insideH w:val="nil"/>
          <w:insideV w:val="nil"/>
          <w:tl2br w:val="nil"/>
          <w:tr2bl w:val="nil"/>
        </w:tcBorders>
      </w:tcPr>
    </w:tblStylePr>
    <w:tblStylePr w:type="firstCol">
      <w:rPr>
        <w:b/>
      </w:rPr>
    </w:tblStylePr>
    <w:tblStylePr w:type="lastCol">
      <w:rPr>
        <w:b/>
      </w:rPr>
    </w:tblStylePr>
    <w:tblStylePr w:type="band2Horz">
      <w:tblPr/>
      <w:tcPr>
        <w:shd w:val="clear" w:color="auto" w:fill="F2DBDB" w:themeFill="accent2" w:themeFillTint="33"/>
      </w:tcPr>
    </w:tblStylePr>
  </w:style>
  <w:style w:type="table" w:styleId="ColourfulListAccent2">
    <w:name w:val="Colorful List Accent 2"/>
    <w:basedOn w:val="TableNormal"/>
    <w:uiPriority w:val="72"/>
    <w:rsid w:val="00F650F4"/>
    <w:rPr>
      <w:rFonts w:ascii="Arial" w:eastAsiaTheme="minorHAnsi" w:hAnsi="Arial" w:cstheme="minorBidi"/>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DocumentMap">
    <w:name w:val="Document Map"/>
    <w:basedOn w:val="Normal"/>
    <w:link w:val="DocumentMapChar"/>
    <w:uiPriority w:val="99"/>
    <w:semiHidden/>
    <w:unhideWhenUsed/>
    <w:rsid w:val="00F650F4"/>
    <w:pPr>
      <w:jc w:val="left"/>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semiHidden/>
    <w:rsid w:val="00F650F4"/>
    <w:rPr>
      <w:rFonts w:ascii="Tahoma" w:eastAsiaTheme="minorHAnsi" w:hAnsi="Tahoma" w:cs="Tahoma"/>
      <w:sz w:val="16"/>
      <w:szCs w:val="16"/>
      <w:lang w:eastAsia="en-US"/>
    </w:rPr>
  </w:style>
  <w:style w:type="paragraph" w:customStyle="1" w:styleId="PBACTblFignote">
    <w:name w:val="PBAC Tbl/Fig note"/>
    <w:qFormat/>
    <w:rsid w:val="00F650F4"/>
    <w:pPr>
      <w:keepNext/>
      <w:keepLines/>
      <w:spacing w:after="360"/>
      <w:contextualSpacing/>
      <w:textboxTightWrap w:val="allLines"/>
    </w:pPr>
    <w:rPr>
      <w:rFonts w:asciiTheme="minorHAnsi" w:hAnsiTheme="minorHAnsi" w:cstheme="minorHAnsi"/>
      <w:sz w:val="18"/>
      <w:szCs w:val="24"/>
      <w:lang w:eastAsia="en-GB"/>
    </w:rPr>
  </w:style>
  <w:style w:type="table" w:styleId="TableGridLight">
    <w:name w:val="Grid Table Light"/>
    <w:basedOn w:val="TableNormal"/>
    <w:uiPriority w:val="40"/>
    <w:rsid w:val="00F650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650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Lists">
    <w:name w:val="Lists"/>
    <w:uiPriority w:val="99"/>
    <w:rsid w:val="00F650F4"/>
    <w:pPr>
      <w:numPr>
        <w:numId w:val="10"/>
      </w:numPr>
    </w:pPr>
  </w:style>
  <w:style w:type="paragraph" w:styleId="ListBullet2">
    <w:name w:val="List Bullet 2"/>
    <w:basedOn w:val="Normal"/>
    <w:uiPriority w:val="16"/>
    <w:unhideWhenUsed/>
    <w:qFormat/>
    <w:rsid w:val="00F650F4"/>
    <w:pPr>
      <w:numPr>
        <w:numId w:val="11"/>
      </w:numPr>
      <w:tabs>
        <w:tab w:val="clear" w:pos="643"/>
      </w:tabs>
      <w:ind w:left="0" w:firstLine="0"/>
      <w:contextualSpacing/>
    </w:pPr>
  </w:style>
  <w:style w:type="paragraph" w:customStyle="1" w:styleId="TableHeading0">
    <w:name w:val="Table Heading"/>
    <w:basedOn w:val="Normal"/>
    <w:qFormat/>
    <w:rsid w:val="00F650F4"/>
    <w:pPr>
      <w:keepNext/>
      <w:spacing w:after="60"/>
      <w:jc w:val="left"/>
    </w:pPr>
    <w:rPr>
      <w:rFonts w:ascii="Arial Narrow" w:eastAsiaTheme="minorHAnsi" w:hAnsi="Arial Narrow" w:cstheme="minorBidi"/>
      <w:b/>
      <w:sz w:val="20"/>
      <w:szCs w:val="22"/>
      <w:lang w:eastAsia="en-US"/>
    </w:rPr>
  </w:style>
  <w:style w:type="character" w:styleId="Emphasis">
    <w:name w:val="Emphasis"/>
    <w:basedOn w:val="DefaultParagraphFont"/>
    <w:uiPriority w:val="20"/>
    <w:qFormat/>
    <w:rsid w:val="00F650F4"/>
    <w:rPr>
      <w:i/>
      <w:iCs/>
      <w:noProof w:val="0"/>
      <w:lang w:val="en-AU"/>
    </w:rPr>
  </w:style>
  <w:style w:type="paragraph" w:customStyle="1" w:styleId="Table-Normal">
    <w:name w:val="Table - Normal"/>
    <w:basedOn w:val="Normal"/>
    <w:qFormat/>
    <w:rsid w:val="00F650F4"/>
    <w:pPr>
      <w:jc w:val="left"/>
    </w:pPr>
    <w:rPr>
      <w:rFonts w:asciiTheme="minorHAnsi" w:eastAsiaTheme="minorEastAsia" w:hAnsiTheme="minorHAnsi" w:cstheme="minorBidi"/>
      <w:bCs/>
      <w:color w:val="000000" w:themeColor="text1"/>
      <w:sz w:val="18"/>
      <w:szCs w:val="22"/>
      <w:lang w:val="en-US" w:eastAsia="en-US"/>
    </w:rPr>
  </w:style>
  <w:style w:type="character" w:customStyle="1" w:styleId="Heading1Char">
    <w:name w:val="Heading 1 Char"/>
    <w:aliases w:val="Heading 1a Char"/>
    <w:basedOn w:val="DefaultParagraphFont"/>
    <w:link w:val="Heading1"/>
    <w:uiPriority w:val="1"/>
    <w:rsid w:val="00F650F4"/>
    <w:rPr>
      <w:rFonts w:ascii="Calibri" w:hAnsi="Calibri" w:cs="Arial"/>
      <w:b/>
      <w:caps/>
      <w:sz w:val="32"/>
      <w:szCs w:val="24"/>
    </w:rPr>
  </w:style>
  <w:style w:type="character" w:customStyle="1" w:styleId="Heading3Char">
    <w:name w:val="Heading 3 Char"/>
    <w:basedOn w:val="DefaultParagraphFont"/>
    <w:link w:val="Heading3"/>
    <w:rsid w:val="00F650F4"/>
    <w:rPr>
      <w:rFonts w:ascii="Calibri" w:hAnsi="Calibri" w:cs="Arial"/>
      <w:sz w:val="24"/>
      <w:szCs w:val="24"/>
      <w:u w:val="single"/>
    </w:rPr>
  </w:style>
  <w:style w:type="character" w:customStyle="1" w:styleId="Heading4Char">
    <w:name w:val="Heading 4 Char"/>
    <w:basedOn w:val="DefaultParagraphFont"/>
    <w:link w:val="Heading4"/>
    <w:rsid w:val="00F650F4"/>
    <w:rPr>
      <w:rFonts w:ascii="Calibri" w:hAnsi="Calibri" w:cs="Arial"/>
      <w:b/>
      <w:bCs/>
      <w:i/>
      <w:sz w:val="26"/>
      <w:szCs w:val="28"/>
    </w:rPr>
  </w:style>
  <w:style w:type="character" w:customStyle="1" w:styleId="Heading5Char">
    <w:name w:val="Heading 5 Char"/>
    <w:basedOn w:val="DefaultParagraphFont"/>
    <w:link w:val="Heading5"/>
    <w:rsid w:val="00F650F4"/>
    <w:rPr>
      <w:rFonts w:ascii="Calibri" w:hAnsi="Calibri" w:cs="Arial"/>
      <w:b/>
      <w:bCs/>
      <w:iCs/>
      <w:sz w:val="26"/>
      <w:szCs w:val="26"/>
    </w:rPr>
  </w:style>
  <w:style w:type="character" w:customStyle="1" w:styleId="Heading6Char">
    <w:name w:val="Heading 6 Char"/>
    <w:basedOn w:val="DefaultParagraphFont"/>
    <w:link w:val="Heading6"/>
    <w:rsid w:val="00F650F4"/>
    <w:rPr>
      <w:rFonts w:ascii="Calibri" w:hAnsi="Calibri" w:cs="Arial"/>
      <w:b/>
      <w:bCs/>
      <w:i/>
      <w:sz w:val="24"/>
      <w:szCs w:val="24"/>
    </w:rPr>
  </w:style>
  <w:style w:type="paragraph" w:styleId="ListNumber">
    <w:name w:val="List Number"/>
    <w:basedOn w:val="Normal"/>
    <w:uiPriority w:val="16"/>
    <w:qFormat/>
    <w:rsid w:val="00F650F4"/>
    <w:pPr>
      <w:tabs>
        <w:tab w:val="num" w:pos="360"/>
      </w:tabs>
      <w:spacing w:after="240" w:line="360" w:lineRule="auto"/>
      <w:ind w:left="360" w:hanging="360"/>
      <w:jc w:val="left"/>
    </w:pPr>
    <w:rPr>
      <w:rFonts w:ascii="Arial" w:eastAsiaTheme="minorHAnsi" w:hAnsi="Arial" w:cstheme="minorBidi"/>
      <w:sz w:val="20"/>
      <w:szCs w:val="20"/>
      <w:lang w:eastAsia="en-US"/>
    </w:rPr>
  </w:style>
  <w:style w:type="paragraph" w:styleId="ListNumber2">
    <w:name w:val="List Number 2"/>
    <w:aliases w:val="Char1"/>
    <w:basedOn w:val="Normal"/>
    <w:uiPriority w:val="16"/>
    <w:qFormat/>
    <w:rsid w:val="00F650F4"/>
    <w:pPr>
      <w:numPr>
        <w:ilvl w:val="2"/>
      </w:numPr>
      <w:spacing w:after="240" w:line="360" w:lineRule="auto"/>
      <w:jc w:val="left"/>
    </w:pPr>
    <w:rPr>
      <w:rFonts w:ascii="Arial" w:eastAsiaTheme="minorHAnsi" w:hAnsi="Arial" w:cstheme="minorBidi"/>
      <w:sz w:val="20"/>
      <w:szCs w:val="20"/>
      <w:lang w:eastAsia="en-US"/>
    </w:rPr>
  </w:style>
  <w:style w:type="paragraph" w:styleId="ListNumber3">
    <w:name w:val="List Number 3"/>
    <w:aliases w:val="Char"/>
    <w:basedOn w:val="Normal"/>
    <w:uiPriority w:val="16"/>
    <w:qFormat/>
    <w:rsid w:val="00F650F4"/>
    <w:pPr>
      <w:numPr>
        <w:ilvl w:val="3"/>
      </w:numPr>
      <w:spacing w:after="240" w:line="360" w:lineRule="auto"/>
      <w:jc w:val="left"/>
    </w:pPr>
    <w:rPr>
      <w:rFonts w:ascii="Arial" w:eastAsiaTheme="minorHAnsi" w:hAnsi="Arial" w:cstheme="minorBidi"/>
      <w:sz w:val="20"/>
      <w:szCs w:val="20"/>
      <w:lang w:eastAsia="en-US"/>
    </w:rPr>
  </w:style>
  <w:style w:type="paragraph" w:styleId="ListBullet3">
    <w:name w:val="List Bullet 3"/>
    <w:basedOn w:val="Normal"/>
    <w:uiPriority w:val="16"/>
    <w:qFormat/>
    <w:rsid w:val="00F650F4"/>
    <w:pPr>
      <w:spacing w:after="240" w:line="360" w:lineRule="auto"/>
      <w:ind w:left="1077" w:hanging="357"/>
      <w:contextualSpacing/>
      <w:jc w:val="left"/>
    </w:pPr>
    <w:rPr>
      <w:rFonts w:ascii="Arial" w:eastAsiaTheme="minorHAnsi" w:hAnsi="Arial" w:cstheme="minorBidi"/>
      <w:sz w:val="20"/>
      <w:szCs w:val="20"/>
      <w:lang w:eastAsia="en-US"/>
    </w:rPr>
  </w:style>
  <w:style w:type="paragraph" w:styleId="ListBullet4">
    <w:name w:val="List Bullet 4"/>
    <w:basedOn w:val="Normal"/>
    <w:uiPriority w:val="16"/>
    <w:qFormat/>
    <w:rsid w:val="00F650F4"/>
    <w:pPr>
      <w:spacing w:after="240" w:line="360" w:lineRule="auto"/>
      <w:ind w:left="1435" w:hanging="358"/>
      <w:contextualSpacing/>
      <w:jc w:val="left"/>
    </w:pPr>
    <w:rPr>
      <w:rFonts w:ascii="Arial" w:eastAsiaTheme="minorHAnsi" w:hAnsi="Arial" w:cstheme="minorBidi"/>
      <w:sz w:val="20"/>
      <w:szCs w:val="20"/>
      <w:lang w:eastAsia="en-US"/>
    </w:rPr>
  </w:style>
  <w:style w:type="paragraph" w:styleId="ListNumber4">
    <w:name w:val="List Number 4"/>
    <w:basedOn w:val="Normal"/>
    <w:uiPriority w:val="16"/>
    <w:qFormat/>
    <w:rsid w:val="00F650F4"/>
    <w:pPr>
      <w:numPr>
        <w:ilvl w:val="4"/>
      </w:numPr>
      <w:spacing w:after="240" w:line="360" w:lineRule="auto"/>
      <w:contextualSpacing/>
      <w:jc w:val="left"/>
    </w:pPr>
    <w:rPr>
      <w:rFonts w:ascii="Arial" w:eastAsiaTheme="minorHAnsi" w:hAnsi="Arial" w:cstheme="minorBidi"/>
      <w:sz w:val="20"/>
      <w:szCs w:val="20"/>
      <w:lang w:eastAsia="en-US"/>
    </w:rPr>
  </w:style>
  <w:style w:type="paragraph" w:styleId="Bibliography">
    <w:name w:val="Bibliography"/>
    <w:basedOn w:val="Normal"/>
    <w:next w:val="Normal"/>
    <w:uiPriority w:val="37"/>
    <w:unhideWhenUsed/>
    <w:rsid w:val="00F650F4"/>
    <w:pPr>
      <w:spacing w:after="240" w:line="360" w:lineRule="auto"/>
      <w:jc w:val="left"/>
    </w:pPr>
    <w:rPr>
      <w:rFonts w:ascii="Arial" w:eastAsiaTheme="minorHAnsi" w:hAnsi="Arial" w:cstheme="minorBidi"/>
      <w:sz w:val="20"/>
      <w:szCs w:val="20"/>
      <w:lang w:eastAsia="en-US"/>
    </w:rPr>
  </w:style>
  <w:style w:type="paragraph" w:styleId="BlockText">
    <w:name w:val="Block Text"/>
    <w:basedOn w:val="Normal"/>
    <w:uiPriority w:val="99"/>
    <w:semiHidden/>
    <w:unhideWhenUsed/>
    <w:rsid w:val="00F650F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40" w:line="360" w:lineRule="auto"/>
      <w:ind w:left="1152" w:right="1152"/>
      <w:jc w:val="left"/>
    </w:pPr>
    <w:rPr>
      <w:rFonts w:asciiTheme="minorHAnsi" w:eastAsiaTheme="minorEastAsia" w:hAnsiTheme="minorHAnsi" w:cstheme="minorBidi"/>
      <w:i/>
      <w:iCs/>
      <w:color w:val="4F81BD" w:themeColor="accent1"/>
      <w:sz w:val="20"/>
      <w:szCs w:val="20"/>
      <w:lang w:eastAsia="en-US"/>
    </w:rPr>
  </w:style>
  <w:style w:type="paragraph" w:styleId="BodyText2">
    <w:name w:val="Body Text 2"/>
    <w:basedOn w:val="Normal"/>
    <w:link w:val="BodyText2Char"/>
    <w:uiPriority w:val="99"/>
    <w:semiHidden/>
    <w:unhideWhenUsed/>
    <w:rsid w:val="00F650F4"/>
    <w:pPr>
      <w:spacing w:after="240" w:line="480" w:lineRule="auto"/>
      <w:jc w:val="left"/>
    </w:pPr>
    <w:rPr>
      <w:rFonts w:ascii="Arial" w:eastAsiaTheme="minorHAnsi" w:hAnsi="Arial" w:cstheme="minorBidi"/>
      <w:sz w:val="20"/>
      <w:szCs w:val="20"/>
      <w:lang w:eastAsia="en-US"/>
    </w:rPr>
  </w:style>
  <w:style w:type="character" w:customStyle="1" w:styleId="BodyText2Char">
    <w:name w:val="Body Text 2 Char"/>
    <w:basedOn w:val="DefaultParagraphFont"/>
    <w:link w:val="BodyText2"/>
    <w:uiPriority w:val="99"/>
    <w:semiHidden/>
    <w:rsid w:val="00F650F4"/>
    <w:rPr>
      <w:rFonts w:ascii="Arial" w:eastAsiaTheme="minorHAnsi" w:hAnsi="Arial" w:cstheme="minorBidi"/>
      <w:lang w:eastAsia="en-US"/>
    </w:rPr>
  </w:style>
  <w:style w:type="paragraph" w:styleId="BodyText3">
    <w:name w:val="Body Text 3"/>
    <w:basedOn w:val="Normal"/>
    <w:link w:val="BodyText3Char"/>
    <w:uiPriority w:val="99"/>
    <w:semiHidden/>
    <w:unhideWhenUsed/>
    <w:rsid w:val="00F650F4"/>
    <w:pPr>
      <w:spacing w:after="240" w:line="360" w:lineRule="auto"/>
      <w:jc w:val="left"/>
    </w:pPr>
    <w:rPr>
      <w:rFonts w:ascii="Arial" w:eastAsiaTheme="minorHAnsi" w:hAnsi="Arial" w:cstheme="minorBidi"/>
      <w:sz w:val="16"/>
      <w:szCs w:val="16"/>
      <w:lang w:eastAsia="en-US"/>
    </w:rPr>
  </w:style>
  <w:style w:type="character" w:customStyle="1" w:styleId="BodyText3Char">
    <w:name w:val="Body Text 3 Char"/>
    <w:basedOn w:val="DefaultParagraphFont"/>
    <w:link w:val="BodyText3"/>
    <w:uiPriority w:val="99"/>
    <w:semiHidden/>
    <w:rsid w:val="00F650F4"/>
    <w:rPr>
      <w:rFonts w:ascii="Arial" w:eastAsiaTheme="minorHAnsi" w:hAnsi="Arial" w:cstheme="minorBidi"/>
      <w:sz w:val="16"/>
      <w:szCs w:val="16"/>
      <w:lang w:eastAsia="en-US"/>
    </w:rPr>
  </w:style>
  <w:style w:type="paragraph" w:styleId="BodyTextFirstIndent">
    <w:name w:val="Body Text First Indent"/>
    <w:basedOn w:val="BodyText"/>
    <w:link w:val="BodyTextFirstIndentChar"/>
    <w:uiPriority w:val="99"/>
    <w:unhideWhenUsed/>
    <w:rsid w:val="00F650F4"/>
    <w:pPr>
      <w:spacing w:after="170" w:line="360" w:lineRule="auto"/>
      <w:ind w:firstLine="360"/>
    </w:pPr>
    <w:rPr>
      <w:rFonts w:ascii="Arial" w:eastAsiaTheme="minorHAnsi" w:hAnsi="Arial" w:cstheme="minorBidi"/>
      <w:sz w:val="20"/>
      <w:szCs w:val="20"/>
      <w:lang w:eastAsia="en-US"/>
    </w:rPr>
  </w:style>
  <w:style w:type="character" w:customStyle="1" w:styleId="BodyTextFirstIndentChar">
    <w:name w:val="Body Text First Indent Char"/>
    <w:basedOn w:val="BodyTextChar"/>
    <w:link w:val="BodyTextFirstIndent"/>
    <w:uiPriority w:val="99"/>
    <w:rsid w:val="00F650F4"/>
    <w:rPr>
      <w:rFonts w:ascii="Arial" w:eastAsiaTheme="minorHAnsi" w:hAnsi="Arial" w:cstheme="minorBidi"/>
      <w:snapToGrid/>
      <w:sz w:val="22"/>
      <w:lang w:eastAsia="en-US"/>
    </w:rPr>
  </w:style>
  <w:style w:type="paragraph" w:styleId="BodyTextFirstIndent2">
    <w:name w:val="Body Text First Indent 2"/>
    <w:basedOn w:val="BodyTextIndent"/>
    <w:link w:val="BodyTextFirstIndent2Char"/>
    <w:uiPriority w:val="99"/>
    <w:semiHidden/>
    <w:unhideWhenUsed/>
    <w:rsid w:val="00F650F4"/>
    <w:pPr>
      <w:spacing w:after="170" w:line="360" w:lineRule="auto"/>
      <w:ind w:left="360" w:firstLine="360"/>
      <w:jc w:val="left"/>
    </w:pPr>
    <w:rPr>
      <w:rFonts w:ascii="Arial" w:eastAsiaTheme="minorHAnsi" w:hAnsi="Arial" w:cstheme="minorBidi"/>
      <w:sz w:val="20"/>
      <w:szCs w:val="20"/>
      <w:lang w:eastAsia="en-US"/>
    </w:rPr>
  </w:style>
  <w:style w:type="character" w:customStyle="1" w:styleId="BodyTextFirstIndent2Char">
    <w:name w:val="Body Text First Indent 2 Char"/>
    <w:basedOn w:val="BodyTextIndentChar"/>
    <w:link w:val="BodyTextFirstIndent2"/>
    <w:uiPriority w:val="99"/>
    <w:semiHidden/>
    <w:rsid w:val="00F650F4"/>
    <w:rPr>
      <w:rFonts w:ascii="Arial" w:eastAsiaTheme="minorHAnsi" w:hAnsi="Arial" w:cstheme="minorBidi"/>
      <w:snapToGrid/>
      <w:sz w:val="22"/>
      <w:lang w:eastAsia="en-US"/>
    </w:rPr>
  </w:style>
  <w:style w:type="paragraph" w:styleId="BodyTextIndent2">
    <w:name w:val="Body Text Indent 2"/>
    <w:basedOn w:val="Normal"/>
    <w:link w:val="BodyTextIndent2Char"/>
    <w:uiPriority w:val="99"/>
    <w:semiHidden/>
    <w:unhideWhenUsed/>
    <w:rsid w:val="00F650F4"/>
    <w:pPr>
      <w:spacing w:after="240" w:line="480" w:lineRule="auto"/>
      <w:ind w:left="283"/>
      <w:jc w:val="left"/>
    </w:pPr>
    <w:rPr>
      <w:rFonts w:ascii="Arial" w:eastAsiaTheme="minorHAnsi" w:hAnsi="Arial" w:cstheme="minorBidi"/>
      <w:sz w:val="20"/>
      <w:szCs w:val="20"/>
      <w:lang w:eastAsia="en-US"/>
    </w:rPr>
  </w:style>
  <w:style w:type="character" w:customStyle="1" w:styleId="BodyTextIndent2Char">
    <w:name w:val="Body Text Indent 2 Char"/>
    <w:basedOn w:val="DefaultParagraphFont"/>
    <w:link w:val="BodyTextIndent2"/>
    <w:uiPriority w:val="99"/>
    <w:semiHidden/>
    <w:rsid w:val="00F650F4"/>
    <w:rPr>
      <w:rFonts w:ascii="Arial" w:eastAsiaTheme="minorHAnsi" w:hAnsi="Arial" w:cstheme="minorBidi"/>
      <w:lang w:eastAsia="en-US"/>
    </w:rPr>
  </w:style>
  <w:style w:type="paragraph" w:styleId="BodyTextIndent3">
    <w:name w:val="Body Text Indent 3"/>
    <w:basedOn w:val="Normal"/>
    <w:link w:val="BodyTextIndent3Char"/>
    <w:uiPriority w:val="99"/>
    <w:unhideWhenUsed/>
    <w:rsid w:val="00F650F4"/>
    <w:pPr>
      <w:spacing w:after="240" w:line="360" w:lineRule="auto"/>
      <w:ind w:left="283"/>
      <w:jc w:val="left"/>
    </w:pPr>
    <w:rPr>
      <w:rFonts w:ascii="Arial" w:eastAsiaTheme="minorHAnsi" w:hAnsi="Arial" w:cstheme="minorBidi"/>
      <w:sz w:val="16"/>
      <w:szCs w:val="16"/>
      <w:lang w:eastAsia="en-US"/>
    </w:rPr>
  </w:style>
  <w:style w:type="character" w:customStyle="1" w:styleId="BodyTextIndent3Char">
    <w:name w:val="Body Text Indent 3 Char"/>
    <w:basedOn w:val="DefaultParagraphFont"/>
    <w:link w:val="BodyTextIndent3"/>
    <w:uiPriority w:val="99"/>
    <w:rsid w:val="00F650F4"/>
    <w:rPr>
      <w:rFonts w:ascii="Arial" w:eastAsiaTheme="minorHAnsi" w:hAnsi="Arial" w:cstheme="minorBidi"/>
      <w:sz w:val="16"/>
      <w:szCs w:val="16"/>
      <w:lang w:eastAsia="en-US"/>
    </w:rPr>
  </w:style>
  <w:style w:type="character" w:styleId="BookTitle">
    <w:name w:val="Book Title"/>
    <w:basedOn w:val="DefaultParagraphFont"/>
    <w:uiPriority w:val="33"/>
    <w:qFormat/>
    <w:rsid w:val="00F650F4"/>
    <w:rPr>
      <w:b/>
      <w:bCs/>
      <w:smallCaps/>
      <w:noProof w:val="0"/>
      <w:spacing w:val="5"/>
      <w:lang w:val="en-AU"/>
    </w:rPr>
  </w:style>
  <w:style w:type="paragraph" w:styleId="Closing">
    <w:name w:val="Closing"/>
    <w:basedOn w:val="Normal"/>
    <w:link w:val="ClosingChar"/>
    <w:uiPriority w:val="99"/>
    <w:semiHidden/>
    <w:unhideWhenUsed/>
    <w:rsid w:val="00F650F4"/>
    <w:pPr>
      <w:ind w:left="4252"/>
      <w:jc w:val="left"/>
    </w:pPr>
    <w:rPr>
      <w:rFonts w:ascii="Arial" w:eastAsiaTheme="minorHAnsi" w:hAnsi="Arial" w:cstheme="minorBidi"/>
      <w:sz w:val="20"/>
      <w:szCs w:val="20"/>
      <w:lang w:eastAsia="en-US"/>
    </w:rPr>
  </w:style>
  <w:style w:type="character" w:customStyle="1" w:styleId="ClosingChar">
    <w:name w:val="Closing Char"/>
    <w:basedOn w:val="DefaultParagraphFont"/>
    <w:link w:val="Closing"/>
    <w:uiPriority w:val="99"/>
    <w:semiHidden/>
    <w:rsid w:val="00F650F4"/>
    <w:rPr>
      <w:rFonts w:ascii="Arial" w:eastAsiaTheme="minorHAnsi" w:hAnsi="Arial" w:cstheme="minorBidi"/>
      <w:lang w:eastAsia="en-US"/>
    </w:rPr>
  </w:style>
  <w:style w:type="table" w:styleId="ColourfulGrid">
    <w:name w:val="Colorful Grid"/>
    <w:basedOn w:val="TableNormal"/>
    <w:uiPriority w:val="73"/>
    <w:rsid w:val="00F650F4"/>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F650F4"/>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F650F4"/>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F650F4"/>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F650F4"/>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6">
    <w:name w:val="Colorful Grid Accent 6"/>
    <w:basedOn w:val="TableNormal"/>
    <w:uiPriority w:val="73"/>
    <w:rsid w:val="00F650F4"/>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F650F4"/>
    <w:rPr>
      <w:rFonts w:ascii="Arial" w:eastAsiaTheme="minorHAnsi" w:hAnsi="Arial" w:cstheme="minorBidi"/>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F650F4"/>
    <w:rPr>
      <w:rFonts w:ascii="Arial" w:eastAsiaTheme="minorHAnsi" w:hAnsi="Arial" w:cstheme="minorBidi"/>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3">
    <w:name w:val="Colorful List Accent 3"/>
    <w:basedOn w:val="TableNormal"/>
    <w:uiPriority w:val="72"/>
    <w:rsid w:val="00F650F4"/>
    <w:rPr>
      <w:rFonts w:ascii="Arial" w:eastAsiaTheme="minorHAnsi" w:hAnsi="Arial" w:cstheme="minorBidi"/>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F650F4"/>
    <w:rPr>
      <w:rFonts w:ascii="Arial" w:eastAsiaTheme="minorHAnsi" w:hAnsi="Arial" w:cstheme="minorBidi"/>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F650F4"/>
    <w:rPr>
      <w:rFonts w:ascii="Arial" w:eastAsiaTheme="minorHAnsi" w:hAnsi="Arial" w:cstheme="minorBidi"/>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F650F4"/>
    <w:rPr>
      <w:rFonts w:ascii="Arial" w:eastAsiaTheme="minorHAnsi" w:hAnsi="Arial" w:cstheme="minorBidi"/>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F650F4"/>
    <w:rPr>
      <w:rFonts w:ascii="Arial" w:eastAsiaTheme="minorHAnsi" w:hAnsi="Arial"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F650F4"/>
    <w:rPr>
      <w:rFonts w:ascii="Arial" w:eastAsiaTheme="minorHAnsi" w:hAnsi="Arial" w:cstheme="minorBidi"/>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F650F4"/>
    <w:rPr>
      <w:rFonts w:ascii="Arial" w:eastAsiaTheme="minorHAnsi" w:hAnsi="Arial" w:cstheme="minorBidi"/>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F650F4"/>
    <w:rPr>
      <w:rFonts w:ascii="Arial" w:eastAsiaTheme="minorHAnsi" w:hAnsi="Arial" w:cstheme="minorBidi"/>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F650F4"/>
    <w:rPr>
      <w:rFonts w:ascii="Arial" w:eastAsiaTheme="minorHAnsi" w:hAnsi="Arial" w:cstheme="minorBidi"/>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F650F4"/>
    <w:rPr>
      <w:rFonts w:ascii="Arial" w:eastAsiaTheme="minorHAnsi" w:hAnsi="Arial" w:cstheme="minorBidi"/>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F650F4"/>
    <w:rPr>
      <w:rFonts w:ascii="Arial" w:eastAsiaTheme="minorHAnsi" w:hAnsi="Arial" w:cstheme="minorBidi"/>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50F4"/>
    <w:rPr>
      <w:rFonts w:ascii="Arial" w:eastAsiaTheme="minorHAnsi" w:hAnsi="Arial"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unhideWhenUsed/>
    <w:rsid w:val="00F650F4"/>
    <w:pPr>
      <w:spacing w:after="240" w:line="360" w:lineRule="auto"/>
      <w:jc w:val="left"/>
    </w:pPr>
    <w:rPr>
      <w:rFonts w:ascii="Arial" w:eastAsiaTheme="minorHAnsi" w:hAnsi="Arial" w:cstheme="minorBidi"/>
      <w:sz w:val="20"/>
      <w:szCs w:val="20"/>
      <w:lang w:eastAsia="en-US"/>
    </w:rPr>
  </w:style>
  <w:style w:type="character" w:customStyle="1" w:styleId="DateChar">
    <w:name w:val="Date Char"/>
    <w:basedOn w:val="DefaultParagraphFont"/>
    <w:link w:val="Date"/>
    <w:uiPriority w:val="99"/>
    <w:rsid w:val="00F650F4"/>
    <w:rPr>
      <w:rFonts w:ascii="Arial" w:eastAsiaTheme="minorHAnsi" w:hAnsi="Arial" w:cstheme="minorBidi"/>
      <w:lang w:eastAsia="en-US"/>
    </w:rPr>
  </w:style>
  <w:style w:type="paragraph" w:styleId="EmailSignature">
    <w:name w:val="E-mail Signature"/>
    <w:basedOn w:val="Normal"/>
    <w:link w:val="EmailSignatureChar"/>
    <w:uiPriority w:val="99"/>
    <w:semiHidden/>
    <w:unhideWhenUsed/>
    <w:rsid w:val="00F650F4"/>
    <w:pPr>
      <w:jc w:val="left"/>
    </w:pPr>
    <w:rPr>
      <w:rFonts w:ascii="Arial" w:eastAsiaTheme="minorHAnsi" w:hAnsi="Arial" w:cstheme="minorBidi"/>
      <w:sz w:val="20"/>
      <w:szCs w:val="20"/>
      <w:lang w:eastAsia="en-US"/>
    </w:rPr>
  </w:style>
  <w:style w:type="character" w:customStyle="1" w:styleId="EmailSignatureChar">
    <w:name w:val="Email Signature Char"/>
    <w:basedOn w:val="DefaultParagraphFont"/>
    <w:link w:val="EmailSignature"/>
    <w:uiPriority w:val="99"/>
    <w:semiHidden/>
    <w:rsid w:val="00F650F4"/>
    <w:rPr>
      <w:rFonts w:ascii="Arial" w:eastAsiaTheme="minorHAnsi" w:hAnsi="Arial" w:cstheme="minorBidi"/>
      <w:lang w:eastAsia="en-US"/>
    </w:rPr>
  </w:style>
  <w:style w:type="character" w:styleId="EndnoteReference">
    <w:name w:val="endnote reference"/>
    <w:basedOn w:val="DefaultParagraphFont"/>
    <w:uiPriority w:val="99"/>
    <w:rsid w:val="00F650F4"/>
    <w:rPr>
      <w:noProof w:val="0"/>
      <w:vertAlign w:val="superscript"/>
      <w:lang w:val="en-AU"/>
    </w:rPr>
  </w:style>
  <w:style w:type="paragraph" w:styleId="EndnoteText">
    <w:name w:val="endnote text"/>
    <w:basedOn w:val="Normal"/>
    <w:link w:val="EndnoteTextChar"/>
    <w:uiPriority w:val="99"/>
    <w:rsid w:val="00F650F4"/>
    <w:pPr>
      <w:spacing w:after="120"/>
      <w:jc w:val="left"/>
    </w:pPr>
    <w:rPr>
      <w:rFonts w:ascii="Arial" w:eastAsiaTheme="minorHAnsi" w:hAnsi="Arial" w:cstheme="minorBidi"/>
      <w:sz w:val="18"/>
      <w:szCs w:val="20"/>
      <w:lang w:eastAsia="en-US"/>
    </w:rPr>
  </w:style>
  <w:style w:type="character" w:customStyle="1" w:styleId="EndnoteTextChar">
    <w:name w:val="Endnote Text Char"/>
    <w:basedOn w:val="DefaultParagraphFont"/>
    <w:link w:val="EndnoteText"/>
    <w:uiPriority w:val="99"/>
    <w:rsid w:val="00F650F4"/>
    <w:rPr>
      <w:rFonts w:ascii="Arial" w:eastAsiaTheme="minorHAnsi" w:hAnsi="Arial" w:cstheme="minorBidi"/>
      <w:sz w:val="18"/>
      <w:lang w:eastAsia="en-US"/>
    </w:rPr>
  </w:style>
  <w:style w:type="paragraph" w:styleId="EnvelopeAddress">
    <w:name w:val="envelope address"/>
    <w:basedOn w:val="Normal"/>
    <w:uiPriority w:val="99"/>
    <w:semiHidden/>
    <w:unhideWhenUsed/>
    <w:rsid w:val="00F650F4"/>
    <w:pPr>
      <w:framePr w:w="7920" w:h="1980" w:hRule="exact" w:hSpace="180" w:wrap="auto" w:hAnchor="page" w:xAlign="center" w:yAlign="bottom"/>
      <w:ind w:left="2880"/>
      <w:jc w:val="left"/>
    </w:pPr>
    <w:rPr>
      <w:rFonts w:asciiTheme="majorHAnsi" w:eastAsiaTheme="majorEastAsia" w:hAnsiTheme="majorHAnsi" w:cstheme="majorBidi"/>
      <w:sz w:val="20"/>
      <w:szCs w:val="20"/>
      <w:lang w:eastAsia="en-US"/>
    </w:rPr>
  </w:style>
  <w:style w:type="paragraph" w:styleId="EnvelopeReturn">
    <w:name w:val="envelope return"/>
    <w:basedOn w:val="Normal"/>
    <w:uiPriority w:val="99"/>
    <w:semiHidden/>
    <w:unhideWhenUsed/>
    <w:rsid w:val="00F650F4"/>
    <w:pPr>
      <w:jc w:val="left"/>
    </w:pPr>
    <w:rPr>
      <w:rFonts w:asciiTheme="majorHAnsi" w:eastAsiaTheme="majorEastAsia" w:hAnsiTheme="majorHAnsi" w:cstheme="majorBidi"/>
      <w:sz w:val="20"/>
      <w:szCs w:val="20"/>
      <w:lang w:eastAsia="en-US"/>
    </w:rPr>
  </w:style>
  <w:style w:type="character" w:styleId="HTMLAcronym">
    <w:name w:val="HTML Acronym"/>
    <w:basedOn w:val="DefaultParagraphFont"/>
    <w:uiPriority w:val="99"/>
    <w:semiHidden/>
    <w:unhideWhenUsed/>
    <w:rsid w:val="00F650F4"/>
    <w:rPr>
      <w:noProof w:val="0"/>
      <w:lang w:val="en-AU"/>
    </w:rPr>
  </w:style>
  <w:style w:type="paragraph" w:styleId="HTMLAddress">
    <w:name w:val="HTML Address"/>
    <w:basedOn w:val="Normal"/>
    <w:link w:val="HTMLAddressChar"/>
    <w:uiPriority w:val="99"/>
    <w:semiHidden/>
    <w:unhideWhenUsed/>
    <w:rsid w:val="00F650F4"/>
    <w:pPr>
      <w:jc w:val="left"/>
    </w:pPr>
    <w:rPr>
      <w:rFonts w:ascii="Arial" w:eastAsiaTheme="minorHAnsi" w:hAnsi="Arial" w:cstheme="minorBidi"/>
      <w:i/>
      <w:iCs/>
      <w:sz w:val="20"/>
      <w:szCs w:val="20"/>
      <w:lang w:eastAsia="en-US"/>
    </w:rPr>
  </w:style>
  <w:style w:type="character" w:customStyle="1" w:styleId="HTMLAddressChar">
    <w:name w:val="HTML Address Char"/>
    <w:basedOn w:val="DefaultParagraphFont"/>
    <w:link w:val="HTMLAddress"/>
    <w:uiPriority w:val="99"/>
    <w:semiHidden/>
    <w:rsid w:val="00F650F4"/>
    <w:rPr>
      <w:rFonts w:ascii="Arial" w:eastAsiaTheme="minorHAnsi" w:hAnsi="Arial" w:cstheme="minorBidi"/>
      <w:i/>
      <w:iCs/>
      <w:lang w:eastAsia="en-US"/>
    </w:rPr>
  </w:style>
  <w:style w:type="character" w:styleId="HTMLCite">
    <w:name w:val="HTML Cite"/>
    <w:basedOn w:val="DefaultParagraphFont"/>
    <w:uiPriority w:val="99"/>
    <w:semiHidden/>
    <w:unhideWhenUsed/>
    <w:rsid w:val="00F650F4"/>
    <w:rPr>
      <w:i/>
      <w:iCs/>
      <w:noProof w:val="0"/>
      <w:lang w:val="en-AU"/>
    </w:rPr>
  </w:style>
  <w:style w:type="character" w:styleId="HTMLCode">
    <w:name w:val="HTML Code"/>
    <w:basedOn w:val="DefaultParagraphFont"/>
    <w:uiPriority w:val="99"/>
    <w:semiHidden/>
    <w:unhideWhenUsed/>
    <w:rsid w:val="00F650F4"/>
    <w:rPr>
      <w:rFonts w:ascii="Consolas" w:hAnsi="Consolas"/>
      <w:noProof w:val="0"/>
      <w:sz w:val="20"/>
      <w:szCs w:val="20"/>
      <w:lang w:val="en-AU"/>
    </w:rPr>
  </w:style>
  <w:style w:type="character" w:styleId="HTMLDefinition">
    <w:name w:val="HTML Definition"/>
    <w:basedOn w:val="DefaultParagraphFont"/>
    <w:uiPriority w:val="99"/>
    <w:semiHidden/>
    <w:unhideWhenUsed/>
    <w:rsid w:val="00F650F4"/>
    <w:rPr>
      <w:i/>
      <w:iCs/>
      <w:noProof w:val="0"/>
      <w:lang w:val="en-AU"/>
    </w:rPr>
  </w:style>
  <w:style w:type="character" w:styleId="HTMLKeyboard">
    <w:name w:val="HTML Keyboard"/>
    <w:basedOn w:val="DefaultParagraphFont"/>
    <w:uiPriority w:val="99"/>
    <w:semiHidden/>
    <w:unhideWhenUsed/>
    <w:rsid w:val="00F650F4"/>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F650F4"/>
    <w:pPr>
      <w:jc w:val="left"/>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F650F4"/>
    <w:rPr>
      <w:rFonts w:ascii="Consolas" w:eastAsiaTheme="minorHAnsi" w:hAnsi="Consolas" w:cstheme="minorBidi"/>
      <w:lang w:eastAsia="en-US"/>
    </w:rPr>
  </w:style>
  <w:style w:type="character" w:styleId="HTMLSample">
    <w:name w:val="HTML Sample"/>
    <w:basedOn w:val="DefaultParagraphFont"/>
    <w:uiPriority w:val="99"/>
    <w:semiHidden/>
    <w:unhideWhenUsed/>
    <w:rsid w:val="00F650F4"/>
    <w:rPr>
      <w:rFonts w:ascii="Consolas" w:hAnsi="Consolas"/>
      <w:noProof w:val="0"/>
      <w:sz w:val="24"/>
      <w:szCs w:val="24"/>
      <w:lang w:val="en-AU"/>
    </w:rPr>
  </w:style>
  <w:style w:type="character" w:styleId="HTMLTypewriter">
    <w:name w:val="HTML Typewriter"/>
    <w:basedOn w:val="DefaultParagraphFont"/>
    <w:uiPriority w:val="99"/>
    <w:semiHidden/>
    <w:unhideWhenUsed/>
    <w:rsid w:val="00F650F4"/>
    <w:rPr>
      <w:rFonts w:ascii="Consolas" w:hAnsi="Consolas"/>
      <w:noProof w:val="0"/>
      <w:sz w:val="20"/>
      <w:szCs w:val="20"/>
      <w:lang w:val="en-AU"/>
    </w:rPr>
  </w:style>
  <w:style w:type="character" w:styleId="HTMLVariable">
    <w:name w:val="HTML Variable"/>
    <w:basedOn w:val="DefaultParagraphFont"/>
    <w:uiPriority w:val="99"/>
    <w:semiHidden/>
    <w:unhideWhenUsed/>
    <w:rsid w:val="00F650F4"/>
    <w:rPr>
      <w:i/>
      <w:iCs/>
      <w:noProof w:val="0"/>
      <w:lang w:val="en-AU"/>
    </w:rPr>
  </w:style>
  <w:style w:type="paragraph" w:styleId="Index1">
    <w:name w:val="index 1"/>
    <w:basedOn w:val="Normal"/>
    <w:next w:val="Normal"/>
    <w:autoRedefine/>
    <w:uiPriority w:val="99"/>
    <w:semiHidden/>
    <w:unhideWhenUsed/>
    <w:rsid w:val="00F650F4"/>
    <w:pPr>
      <w:ind w:left="190" w:hanging="190"/>
      <w:jc w:val="left"/>
    </w:pPr>
    <w:rPr>
      <w:rFonts w:ascii="Arial" w:eastAsiaTheme="minorHAnsi" w:hAnsi="Arial" w:cstheme="minorBidi"/>
      <w:sz w:val="20"/>
      <w:szCs w:val="20"/>
      <w:lang w:eastAsia="en-US"/>
    </w:rPr>
  </w:style>
  <w:style w:type="paragraph" w:styleId="Index2">
    <w:name w:val="index 2"/>
    <w:basedOn w:val="Normal"/>
    <w:next w:val="Normal"/>
    <w:autoRedefine/>
    <w:uiPriority w:val="99"/>
    <w:semiHidden/>
    <w:unhideWhenUsed/>
    <w:rsid w:val="00F650F4"/>
    <w:pPr>
      <w:ind w:left="380" w:hanging="190"/>
      <w:jc w:val="left"/>
    </w:pPr>
    <w:rPr>
      <w:rFonts w:ascii="Arial" w:eastAsiaTheme="minorHAnsi" w:hAnsi="Arial" w:cstheme="minorBidi"/>
      <w:sz w:val="20"/>
      <w:szCs w:val="20"/>
      <w:lang w:eastAsia="en-US"/>
    </w:rPr>
  </w:style>
  <w:style w:type="paragraph" w:styleId="Index3">
    <w:name w:val="index 3"/>
    <w:basedOn w:val="Normal"/>
    <w:next w:val="Normal"/>
    <w:autoRedefine/>
    <w:uiPriority w:val="99"/>
    <w:semiHidden/>
    <w:unhideWhenUsed/>
    <w:rsid w:val="00F650F4"/>
    <w:pPr>
      <w:ind w:left="570" w:hanging="190"/>
      <w:jc w:val="left"/>
    </w:pPr>
    <w:rPr>
      <w:rFonts w:ascii="Arial" w:eastAsiaTheme="minorHAnsi" w:hAnsi="Arial" w:cstheme="minorBidi"/>
      <w:sz w:val="20"/>
      <w:szCs w:val="20"/>
      <w:lang w:eastAsia="en-US"/>
    </w:rPr>
  </w:style>
  <w:style w:type="paragraph" w:styleId="Index4">
    <w:name w:val="index 4"/>
    <w:basedOn w:val="Normal"/>
    <w:next w:val="Normal"/>
    <w:autoRedefine/>
    <w:uiPriority w:val="99"/>
    <w:semiHidden/>
    <w:unhideWhenUsed/>
    <w:rsid w:val="00F650F4"/>
    <w:pPr>
      <w:ind w:left="760" w:hanging="190"/>
      <w:jc w:val="left"/>
    </w:pPr>
    <w:rPr>
      <w:rFonts w:ascii="Arial" w:eastAsiaTheme="minorHAnsi" w:hAnsi="Arial" w:cstheme="minorBidi"/>
      <w:sz w:val="20"/>
      <w:szCs w:val="20"/>
      <w:lang w:eastAsia="en-US"/>
    </w:rPr>
  </w:style>
  <w:style w:type="paragraph" w:styleId="Index5">
    <w:name w:val="index 5"/>
    <w:basedOn w:val="Normal"/>
    <w:next w:val="Normal"/>
    <w:autoRedefine/>
    <w:uiPriority w:val="99"/>
    <w:semiHidden/>
    <w:unhideWhenUsed/>
    <w:rsid w:val="00F650F4"/>
    <w:pPr>
      <w:ind w:left="950" w:hanging="190"/>
      <w:jc w:val="left"/>
    </w:pPr>
    <w:rPr>
      <w:rFonts w:ascii="Arial" w:eastAsiaTheme="minorHAnsi" w:hAnsi="Arial" w:cstheme="minorBidi"/>
      <w:sz w:val="20"/>
      <w:szCs w:val="20"/>
      <w:lang w:eastAsia="en-US"/>
    </w:rPr>
  </w:style>
  <w:style w:type="paragraph" w:styleId="Index6">
    <w:name w:val="index 6"/>
    <w:basedOn w:val="Normal"/>
    <w:next w:val="Normal"/>
    <w:autoRedefine/>
    <w:uiPriority w:val="99"/>
    <w:semiHidden/>
    <w:unhideWhenUsed/>
    <w:rsid w:val="00F650F4"/>
    <w:pPr>
      <w:ind w:left="1140" w:hanging="190"/>
      <w:jc w:val="left"/>
    </w:pPr>
    <w:rPr>
      <w:rFonts w:ascii="Arial" w:eastAsiaTheme="minorHAnsi" w:hAnsi="Arial" w:cstheme="minorBidi"/>
      <w:sz w:val="20"/>
      <w:szCs w:val="20"/>
      <w:lang w:eastAsia="en-US"/>
    </w:rPr>
  </w:style>
  <w:style w:type="paragraph" w:styleId="Index7">
    <w:name w:val="index 7"/>
    <w:basedOn w:val="Normal"/>
    <w:next w:val="Normal"/>
    <w:autoRedefine/>
    <w:uiPriority w:val="99"/>
    <w:semiHidden/>
    <w:unhideWhenUsed/>
    <w:rsid w:val="00F650F4"/>
    <w:pPr>
      <w:ind w:left="1330" w:hanging="190"/>
      <w:jc w:val="left"/>
    </w:pPr>
    <w:rPr>
      <w:rFonts w:ascii="Arial" w:eastAsiaTheme="minorHAnsi" w:hAnsi="Arial" w:cstheme="minorBidi"/>
      <w:sz w:val="20"/>
      <w:szCs w:val="20"/>
      <w:lang w:eastAsia="en-US"/>
    </w:rPr>
  </w:style>
  <w:style w:type="paragraph" w:styleId="Index8">
    <w:name w:val="index 8"/>
    <w:basedOn w:val="Normal"/>
    <w:next w:val="Normal"/>
    <w:autoRedefine/>
    <w:uiPriority w:val="99"/>
    <w:semiHidden/>
    <w:unhideWhenUsed/>
    <w:rsid w:val="00F650F4"/>
    <w:pPr>
      <w:ind w:left="1520" w:hanging="190"/>
      <w:jc w:val="left"/>
    </w:pPr>
    <w:rPr>
      <w:rFonts w:ascii="Arial" w:eastAsiaTheme="minorHAnsi" w:hAnsi="Arial" w:cstheme="minorBidi"/>
      <w:sz w:val="20"/>
      <w:szCs w:val="20"/>
      <w:lang w:eastAsia="en-US"/>
    </w:rPr>
  </w:style>
  <w:style w:type="paragraph" w:styleId="Index9">
    <w:name w:val="index 9"/>
    <w:basedOn w:val="Normal"/>
    <w:next w:val="Normal"/>
    <w:autoRedefine/>
    <w:uiPriority w:val="99"/>
    <w:semiHidden/>
    <w:unhideWhenUsed/>
    <w:rsid w:val="00F650F4"/>
    <w:pPr>
      <w:ind w:left="1710" w:hanging="190"/>
      <w:jc w:val="left"/>
    </w:pPr>
    <w:rPr>
      <w:rFonts w:ascii="Arial" w:eastAsiaTheme="minorHAnsi" w:hAnsi="Arial" w:cstheme="minorBidi"/>
      <w:sz w:val="20"/>
      <w:szCs w:val="20"/>
      <w:lang w:eastAsia="en-US"/>
    </w:rPr>
  </w:style>
  <w:style w:type="paragraph" w:styleId="IndexHeading">
    <w:name w:val="index heading"/>
    <w:basedOn w:val="Normal"/>
    <w:next w:val="Index1"/>
    <w:uiPriority w:val="99"/>
    <w:semiHidden/>
    <w:unhideWhenUsed/>
    <w:rsid w:val="00F650F4"/>
    <w:pPr>
      <w:spacing w:after="240" w:line="360" w:lineRule="auto"/>
      <w:jc w:val="left"/>
    </w:pPr>
    <w:rPr>
      <w:rFonts w:asciiTheme="majorHAnsi" w:eastAsiaTheme="majorEastAsia" w:hAnsiTheme="majorHAnsi" w:cstheme="majorBidi"/>
      <w:b/>
      <w:bCs/>
      <w:sz w:val="20"/>
      <w:szCs w:val="20"/>
      <w:lang w:eastAsia="en-US"/>
    </w:rPr>
  </w:style>
  <w:style w:type="character" w:styleId="IntenseEmphasis">
    <w:name w:val="Intense Emphasis"/>
    <w:basedOn w:val="DefaultParagraphFont"/>
    <w:uiPriority w:val="21"/>
    <w:qFormat/>
    <w:rsid w:val="00F650F4"/>
    <w:rPr>
      <w:b/>
      <w:bCs/>
      <w:i/>
      <w:iCs/>
      <w:noProof w:val="0"/>
      <w:color w:val="4F81BD" w:themeColor="accent1"/>
      <w:lang w:val="en-AU"/>
    </w:rPr>
  </w:style>
  <w:style w:type="paragraph" w:styleId="IntenseQuote">
    <w:name w:val="Intense Quote"/>
    <w:basedOn w:val="Normal"/>
    <w:next w:val="Normal"/>
    <w:link w:val="IntenseQuoteChar"/>
    <w:uiPriority w:val="30"/>
    <w:qFormat/>
    <w:rsid w:val="00F650F4"/>
    <w:pPr>
      <w:pBdr>
        <w:bottom w:val="single" w:sz="4" w:space="4" w:color="4F81BD" w:themeColor="accent1"/>
      </w:pBdr>
      <w:spacing w:before="200" w:after="280" w:line="360" w:lineRule="auto"/>
      <w:ind w:left="936" w:right="936"/>
      <w:jc w:val="left"/>
    </w:pPr>
    <w:rPr>
      <w:rFonts w:ascii="Arial" w:eastAsiaTheme="minorHAnsi" w:hAnsi="Arial" w:cstheme="minorBidi"/>
      <w:b/>
      <w:bCs/>
      <w:i/>
      <w:iCs/>
      <w:color w:val="4F81BD" w:themeColor="accent1"/>
      <w:sz w:val="20"/>
      <w:szCs w:val="20"/>
      <w:lang w:eastAsia="en-US"/>
    </w:rPr>
  </w:style>
  <w:style w:type="character" w:customStyle="1" w:styleId="IntenseQuoteChar">
    <w:name w:val="Intense Quote Char"/>
    <w:basedOn w:val="DefaultParagraphFont"/>
    <w:link w:val="IntenseQuote"/>
    <w:uiPriority w:val="30"/>
    <w:rsid w:val="00F650F4"/>
    <w:rPr>
      <w:rFonts w:ascii="Arial" w:eastAsiaTheme="minorHAnsi" w:hAnsi="Arial" w:cstheme="minorBidi"/>
      <w:b/>
      <w:bCs/>
      <w:i/>
      <w:iCs/>
      <w:color w:val="4F81BD" w:themeColor="accent1"/>
      <w:lang w:eastAsia="en-US"/>
    </w:rPr>
  </w:style>
  <w:style w:type="character" w:styleId="IntenseReference">
    <w:name w:val="Intense Reference"/>
    <w:basedOn w:val="DefaultParagraphFont"/>
    <w:uiPriority w:val="32"/>
    <w:qFormat/>
    <w:rsid w:val="00F650F4"/>
    <w:rPr>
      <w:b/>
      <w:bCs/>
      <w:smallCaps/>
      <w:noProof w:val="0"/>
      <w:color w:val="C0504D" w:themeColor="accent2"/>
      <w:spacing w:val="5"/>
      <w:u w:val="single"/>
      <w:lang w:val="en-AU"/>
    </w:rPr>
  </w:style>
  <w:style w:type="table" w:styleId="LightGrid">
    <w:name w:val="Light Grid"/>
    <w:basedOn w:val="TableNormal"/>
    <w:uiPriority w:val="62"/>
    <w:rsid w:val="00F650F4"/>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50F4"/>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50F4"/>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50F4"/>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50F4"/>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50F4"/>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50F4"/>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50F4"/>
    <w:rPr>
      <w:rFonts w:ascii="Arial" w:eastAsiaTheme="minorHAnsi" w:hAnsi="Arial"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50F4"/>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50F4"/>
    <w:rPr>
      <w:rFonts w:ascii="Arial" w:eastAsiaTheme="minorHAnsi" w:hAnsi="Arial"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50F4"/>
    <w:rPr>
      <w:rFonts w:ascii="Arial" w:eastAsiaTheme="minorHAnsi" w:hAnsi="Arial"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50F4"/>
    <w:rPr>
      <w:rFonts w:ascii="Arial" w:eastAsiaTheme="minorHAnsi" w:hAnsi="Arial"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50F4"/>
    <w:rPr>
      <w:rFonts w:ascii="Arial" w:eastAsiaTheme="minorHAnsi" w:hAnsi="Arial"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50F4"/>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50F4"/>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50F4"/>
    <w:rPr>
      <w:rFonts w:ascii="Arial" w:eastAsiaTheme="minorHAnsi" w:hAnsi="Arial"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50F4"/>
    <w:rPr>
      <w:rFonts w:ascii="Arial" w:eastAsiaTheme="minorHAnsi" w:hAnsi="Arial"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50F4"/>
    <w:rPr>
      <w:rFonts w:ascii="Arial" w:eastAsiaTheme="minorHAnsi" w:hAnsi="Arial"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50F4"/>
    <w:rPr>
      <w:rFonts w:ascii="Arial" w:eastAsiaTheme="minorHAnsi" w:hAnsi="Arial"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50F4"/>
    <w:rPr>
      <w:rFonts w:ascii="Arial" w:eastAsiaTheme="minorHAnsi" w:hAnsi="Arial"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50F4"/>
    <w:rPr>
      <w:rFonts w:ascii="Arial" w:eastAsiaTheme="minorHAnsi" w:hAnsi="Arial"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650F4"/>
    <w:rPr>
      <w:noProof w:val="0"/>
      <w:lang w:val="en-AU"/>
    </w:rPr>
  </w:style>
  <w:style w:type="paragraph" w:styleId="List">
    <w:name w:val="List"/>
    <w:basedOn w:val="Normal"/>
    <w:uiPriority w:val="99"/>
    <w:semiHidden/>
    <w:unhideWhenUsed/>
    <w:rsid w:val="00F650F4"/>
    <w:pPr>
      <w:spacing w:after="240" w:line="360" w:lineRule="auto"/>
      <w:ind w:left="283" w:hanging="283"/>
      <w:contextualSpacing/>
      <w:jc w:val="left"/>
    </w:pPr>
    <w:rPr>
      <w:rFonts w:ascii="Arial" w:eastAsiaTheme="minorHAnsi" w:hAnsi="Arial" w:cstheme="minorBidi"/>
      <w:sz w:val="20"/>
      <w:szCs w:val="20"/>
      <w:lang w:eastAsia="en-US"/>
    </w:rPr>
  </w:style>
  <w:style w:type="paragraph" w:styleId="List2">
    <w:name w:val="List 2"/>
    <w:basedOn w:val="Normal"/>
    <w:uiPriority w:val="99"/>
    <w:semiHidden/>
    <w:unhideWhenUsed/>
    <w:rsid w:val="00F650F4"/>
    <w:pPr>
      <w:spacing w:after="240" w:line="360" w:lineRule="auto"/>
      <w:ind w:left="566" w:hanging="283"/>
      <w:contextualSpacing/>
      <w:jc w:val="left"/>
    </w:pPr>
    <w:rPr>
      <w:rFonts w:ascii="Arial" w:eastAsiaTheme="minorHAnsi" w:hAnsi="Arial" w:cstheme="minorBidi"/>
      <w:sz w:val="20"/>
      <w:szCs w:val="20"/>
      <w:lang w:eastAsia="en-US"/>
    </w:rPr>
  </w:style>
  <w:style w:type="paragraph" w:styleId="List3">
    <w:name w:val="List 3"/>
    <w:basedOn w:val="Normal"/>
    <w:uiPriority w:val="99"/>
    <w:semiHidden/>
    <w:unhideWhenUsed/>
    <w:rsid w:val="00F650F4"/>
    <w:pPr>
      <w:spacing w:after="240" w:line="360" w:lineRule="auto"/>
      <w:ind w:left="849" w:hanging="283"/>
      <w:contextualSpacing/>
      <w:jc w:val="left"/>
    </w:pPr>
    <w:rPr>
      <w:rFonts w:ascii="Arial" w:eastAsiaTheme="minorHAnsi" w:hAnsi="Arial" w:cstheme="minorBidi"/>
      <w:sz w:val="20"/>
      <w:szCs w:val="20"/>
      <w:lang w:eastAsia="en-US"/>
    </w:rPr>
  </w:style>
  <w:style w:type="paragraph" w:styleId="List4">
    <w:name w:val="List 4"/>
    <w:basedOn w:val="Normal"/>
    <w:uiPriority w:val="99"/>
    <w:unhideWhenUsed/>
    <w:rsid w:val="00F650F4"/>
    <w:pPr>
      <w:spacing w:after="240" w:line="360" w:lineRule="auto"/>
      <w:ind w:left="1132" w:hanging="283"/>
      <w:contextualSpacing/>
      <w:jc w:val="left"/>
    </w:pPr>
    <w:rPr>
      <w:rFonts w:ascii="Arial" w:eastAsiaTheme="minorHAnsi" w:hAnsi="Arial" w:cstheme="minorBidi"/>
      <w:sz w:val="20"/>
      <w:szCs w:val="20"/>
      <w:lang w:eastAsia="en-US"/>
    </w:rPr>
  </w:style>
  <w:style w:type="paragraph" w:styleId="List5">
    <w:name w:val="List 5"/>
    <w:basedOn w:val="Normal"/>
    <w:uiPriority w:val="99"/>
    <w:unhideWhenUsed/>
    <w:rsid w:val="00F650F4"/>
    <w:pPr>
      <w:spacing w:after="240" w:line="360" w:lineRule="auto"/>
      <w:ind w:left="1415" w:hanging="283"/>
      <w:contextualSpacing/>
      <w:jc w:val="left"/>
    </w:pPr>
    <w:rPr>
      <w:rFonts w:ascii="Arial" w:eastAsiaTheme="minorHAnsi" w:hAnsi="Arial" w:cstheme="minorBidi"/>
      <w:sz w:val="20"/>
      <w:szCs w:val="20"/>
      <w:lang w:eastAsia="en-US"/>
    </w:rPr>
  </w:style>
  <w:style w:type="paragraph" w:styleId="ListBullet5">
    <w:name w:val="List Bullet 5"/>
    <w:basedOn w:val="Normal"/>
    <w:uiPriority w:val="99"/>
    <w:rsid w:val="00F650F4"/>
    <w:pPr>
      <w:numPr>
        <w:numId w:val="12"/>
      </w:numPr>
      <w:tabs>
        <w:tab w:val="clear" w:pos="1492"/>
      </w:tabs>
      <w:spacing w:after="240" w:line="360" w:lineRule="auto"/>
      <w:ind w:left="0" w:firstLine="0"/>
      <w:contextualSpacing/>
      <w:jc w:val="left"/>
    </w:pPr>
    <w:rPr>
      <w:rFonts w:ascii="Arial" w:eastAsiaTheme="minorHAnsi" w:hAnsi="Arial" w:cstheme="minorBidi"/>
      <w:sz w:val="20"/>
      <w:szCs w:val="20"/>
      <w:lang w:eastAsia="en-US"/>
    </w:rPr>
  </w:style>
  <w:style w:type="paragraph" w:styleId="ListContinue">
    <w:name w:val="List Continue"/>
    <w:basedOn w:val="Normal"/>
    <w:uiPriority w:val="99"/>
    <w:semiHidden/>
    <w:unhideWhenUsed/>
    <w:rsid w:val="00F650F4"/>
    <w:pPr>
      <w:spacing w:after="240" w:line="360" w:lineRule="auto"/>
      <w:ind w:left="283"/>
      <w:contextualSpacing/>
      <w:jc w:val="left"/>
    </w:pPr>
    <w:rPr>
      <w:rFonts w:ascii="Arial" w:eastAsiaTheme="minorHAnsi" w:hAnsi="Arial" w:cstheme="minorBidi"/>
      <w:sz w:val="20"/>
      <w:szCs w:val="20"/>
      <w:lang w:eastAsia="en-US"/>
    </w:rPr>
  </w:style>
  <w:style w:type="paragraph" w:styleId="ListContinue2">
    <w:name w:val="List Continue 2"/>
    <w:basedOn w:val="Normal"/>
    <w:uiPriority w:val="99"/>
    <w:semiHidden/>
    <w:unhideWhenUsed/>
    <w:rsid w:val="00F650F4"/>
    <w:pPr>
      <w:spacing w:after="240" w:line="360" w:lineRule="auto"/>
      <w:ind w:left="566"/>
      <w:contextualSpacing/>
      <w:jc w:val="left"/>
    </w:pPr>
    <w:rPr>
      <w:rFonts w:ascii="Arial" w:eastAsiaTheme="minorHAnsi" w:hAnsi="Arial" w:cstheme="minorBidi"/>
      <w:sz w:val="20"/>
      <w:szCs w:val="20"/>
      <w:lang w:eastAsia="en-US"/>
    </w:rPr>
  </w:style>
  <w:style w:type="paragraph" w:styleId="ListContinue3">
    <w:name w:val="List Continue 3"/>
    <w:basedOn w:val="Normal"/>
    <w:uiPriority w:val="99"/>
    <w:semiHidden/>
    <w:unhideWhenUsed/>
    <w:rsid w:val="00F650F4"/>
    <w:pPr>
      <w:spacing w:after="240" w:line="360" w:lineRule="auto"/>
      <w:ind w:left="849"/>
      <w:contextualSpacing/>
      <w:jc w:val="left"/>
    </w:pPr>
    <w:rPr>
      <w:rFonts w:ascii="Arial" w:eastAsiaTheme="minorHAnsi" w:hAnsi="Arial" w:cstheme="minorBidi"/>
      <w:sz w:val="20"/>
      <w:szCs w:val="20"/>
      <w:lang w:eastAsia="en-US"/>
    </w:rPr>
  </w:style>
  <w:style w:type="paragraph" w:styleId="ListContinue4">
    <w:name w:val="List Continue 4"/>
    <w:basedOn w:val="Normal"/>
    <w:uiPriority w:val="99"/>
    <w:semiHidden/>
    <w:unhideWhenUsed/>
    <w:rsid w:val="00F650F4"/>
    <w:pPr>
      <w:spacing w:after="240" w:line="360" w:lineRule="auto"/>
      <w:ind w:left="1132"/>
      <w:contextualSpacing/>
      <w:jc w:val="left"/>
    </w:pPr>
    <w:rPr>
      <w:rFonts w:ascii="Arial" w:eastAsiaTheme="minorHAnsi" w:hAnsi="Arial" w:cstheme="minorBidi"/>
      <w:sz w:val="20"/>
      <w:szCs w:val="20"/>
      <w:lang w:eastAsia="en-US"/>
    </w:rPr>
  </w:style>
  <w:style w:type="paragraph" w:styleId="ListContinue5">
    <w:name w:val="List Continue 5"/>
    <w:basedOn w:val="Normal"/>
    <w:uiPriority w:val="99"/>
    <w:semiHidden/>
    <w:unhideWhenUsed/>
    <w:rsid w:val="00F650F4"/>
    <w:pPr>
      <w:spacing w:after="240" w:line="360" w:lineRule="auto"/>
      <w:ind w:left="1415"/>
      <w:contextualSpacing/>
      <w:jc w:val="left"/>
    </w:pPr>
    <w:rPr>
      <w:rFonts w:ascii="Arial" w:eastAsiaTheme="minorHAnsi" w:hAnsi="Arial" w:cstheme="minorBidi"/>
      <w:sz w:val="20"/>
      <w:szCs w:val="20"/>
      <w:lang w:eastAsia="en-US"/>
    </w:rPr>
  </w:style>
  <w:style w:type="paragraph" w:styleId="ListNumber5">
    <w:name w:val="List Number 5"/>
    <w:basedOn w:val="Normal"/>
    <w:uiPriority w:val="99"/>
    <w:rsid w:val="00F650F4"/>
    <w:pPr>
      <w:numPr>
        <w:numId w:val="13"/>
      </w:numPr>
      <w:tabs>
        <w:tab w:val="clear" w:pos="1492"/>
      </w:tabs>
      <w:spacing w:after="240" w:line="360" w:lineRule="auto"/>
      <w:ind w:left="0" w:firstLine="0"/>
      <w:contextualSpacing/>
      <w:jc w:val="left"/>
    </w:pPr>
    <w:rPr>
      <w:rFonts w:ascii="Arial" w:eastAsiaTheme="minorHAnsi" w:hAnsi="Arial" w:cstheme="minorBidi"/>
      <w:sz w:val="20"/>
      <w:szCs w:val="20"/>
      <w:lang w:eastAsia="en-US"/>
    </w:rPr>
  </w:style>
  <w:style w:type="paragraph" w:styleId="MacroText">
    <w:name w:val="macro"/>
    <w:link w:val="MacroTextChar"/>
    <w:uiPriority w:val="99"/>
    <w:semiHidden/>
    <w:unhideWhenUsed/>
    <w:rsid w:val="00F650F4"/>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eastAsiaTheme="minorHAnsi" w:hAnsi="Consolas" w:cstheme="minorBidi"/>
      <w:lang w:eastAsia="en-US"/>
    </w:rPr>
  </w:style>
  <w:style w:type="character" w:customStyle="1" w:styleId="MacroTextChar">
    <w:name w:val="Macro Text Char"/>
    <w:basedOn w:val="DefaultParagraphFont"/>
    <w:link w:val="MacroText"/>
    <w:uiPriority w:val="99"/>
    <w:semiHidden/>
    <w:rsid w:val="00F650F4"/>
    <w:rPr>
      <w:rFonts w:ascii="Consolas" w:eastAsiaTheme="minorHAnsi" w:hAnsi="Consolas" w:cstheme="minorBidi"/>
      <w:lang w:eastAsia="en-US"/>
    </w:rPr>
  </w:style>
  <w:style w:type="table" w:styleId="MediumGrid1">
    <w:name w:val="Medium Grid 1"/>
    <w:basedOn w:val="TableNormal"/>
    <w:uiPriority w:val="67"/>
    <w:rsid w:val="00F650F4"/>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50F4"/>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50F4"/>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50F4"/>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50F4"/>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50F4"/>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50F4"/>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50F4"/>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50F4"/>
    <w:rPr>
      <w:rFonts w:ascii="Arial" w:eastAsiaTheme="minorHAnsi" w:hAnsi="Arial"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50F4"/>
    <w:rPr>
      <w:rFonts w:ascii="Arial" w:eastAsiaTheme="minorHAnsi" w:hAnsi="Arial" w:cstheme="minorBidi"/>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50F4"/>
    <w:rPr>
      <w:rFonts w:ascii="Arial" w:eastAsiaTheme="minorHAnsi" w:hAnsi="Arial" w:cstheme="minorBidi"/>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50F4"/>
    <w:rPr>
      <w:rFonts w:ascii="Arial" w:eastAsiaTheme="minorHAnsi" w:hAnsi="Arial" w:cstheme="minorBidi"/>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50F4"/>
    <w:rPr>
      <w:rFonts w:ascii="Arial" w:eastAsiaTheme="minorHAnsi" w:hAnsi="Arial" w:cstheme="minorBidi"/>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50F4"/>
    <w:rPr>
      <w:rFonts w:ascii="Arial" w:eastAsiaTheme="minorHAnsi" w:hAnsi="Arial" w:cstheme="minorBidi"/>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50F4"/>
    <w:rPr>
      <w:rFonts w:ascii="Arial" w:eastAsiaTheme="minorHAnsi" w:hAnsi="Arial" w:cstheme="minorBidi"/>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50F4"/>
    <w:rPr>
      <w:rFonts w:ascii="Arial" w:eastAsiaTheme="minorHAnsi" w:hAnsi="Arial" w:cstheme="minorBidi"/>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50F4"/>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50F4"/>
    <w:rPr>
      <w:rFonts w:ascii="Arial" w:eastAsiaTheme="minorHAnsi" w:hAnsi="Arial"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50F4"/>
    <w:rPr>
      <w:rFonts w:ascii="Arial" w:eastAsiaTheme="minorHAnsi" w:hAnsi="Arial"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50F4"/>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50F4"/>
    <w:rPr>
      <w:rFonts w:ascii="Arial" w:eastAsiaTheme="minorHAnsi" w:hAnsi="Arial"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50F4"/>
    <w:rPr>
      <w:rFonts w:ascii="Arial" w:eastAsiaTheme="minorHAnsi" w:hAnsi="Arial"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50F4"/>
    <w:rPr>
      <w:rFonts w:ascii="Arial" w:eastAsiaTheme="minorHAnsi" w:hAnsi="Arial"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50F4"/>
    <w:rPr>
      <w:rFonts w:ascii="Arial" w:eastAsiaTheme="minorHAnsi" w:hAnsi="Arial"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50F4"/>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650F4"/>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Theme="majorHAnsi" w:eastAsiaTheme="majorEastAsia" w:hAnsiTheme="majorHAnsi" w:cstheme="majorBidi"/>
      <w:sz w:val="20"/>
      <w:szCs w:val="20"/>
      <w:lang w:eastAsia="en-US"/>
    </w:rPr>
  </w:style>
  <w:style w:type="character" w:customStyle="1" w:styleId="MessageHeaderChar">
    <w:name w:val="Message Header Char"/>
    <w:basedOn w:val="DefaultParagraphFont"/>
    <w:link w:val="MessageHeader"/>
    <w:uiPriority w:val="99"/>
    <w:semiHidden/>
    <w:rsid w:val="00F650F4"/>
    <w:rPr>
      <w:rFonts w:asciiTheme="majorHAnsi" w:eastAsiaTheme="majorEastAsia" w:hAnsiTheme="majorHAnsi" w:cstheme="majorBidi"/>
      <w:shd w:val="pct20" w:color="auto" w:fill="auto"/>
      <w:lang w:eastAsia="en-US"/>
    </w:rPr>
  </w:style>
  <w:style w:type="paragraph" w:styleId="NormalIndent">
    <w:name w:val="Normal Indent"/>
    <w:basedOn w:val="Normal"/>
    <w:uiPriority w:val="99"/>
    <w:semiHidden/>
    <w:unhideWhenUsed/>
    <w:rsid w:val="00F650F4"/>
    <w:pPr>
      <w:spacing w:after="240" w:line="360" w:lineRule="auto"/>
      <w:ind w:left="720"/>
      <w:jc w:val="left"/>
    </w:pPr>
    <w:rPr>
      <w:rFonts w:ascii="Arial" w:eastAsiaTheme="minorHAnsi" w:hAnsi="Arial" w:cstheme="minorBidi"/>
      <w:sz w:val="20"/>
      <w:szCs w:val="20"/>
      <w:lang w:eastAsia="en-US"/>
    </w:rPr>
  </w:style>
  <w:style w:type="paragraph" w:styleId="NoteHeading">
    <w:name w:val="Note Heading"/>
    <w:basedOn w:val="Normal"/>
    <w:next w:val="Normal"/>
    <w:link w:val="NoteHeadingChar"/>
    <w:uiPriority w:val="99"/>
    <w:semiHidden/>
    <w:unhideWhenUsed/>
    <w:rsid w:val="00F650F4"/>
    <w:pPr>
      <w:jc w:val="left"/>
    </w:pPr>
    <w:rPr>
      <w:rFonts w:ascii="Arial" w:eastAsiaTheme="minorHAnsi" w:hAnsi="Arial" w:cstheme="minorBidi"/>
      <w:sz w:val="20"/>
      <w:szCs w:val="20"/>
      <w:lang w:eastAsia="en-US"/>
    </w:rPr>
  </w:style>
  <w:style w:type="character" w:customStyle="1" w:styleId="NoteHeadingChar">
    <w:name w:val="Note Heading Char"/>
    <w:basedOn w:val="DefaultParagraphFont"/>
    <w:link w:val="NoteHeading"/>
    <w:uiPriority w:val="99"/>
    <w:semiHidden/>
    <w:rsid w:val="00F650F4"/>
    <w:rPr>
      <w:rFonts w:ascii="Arial" w:eastAsiaTheme="minorHAnsi" w:hAnsi="Arial" w:cstheme="minorBidi"/>
      <w:lang w:eastAsia="en-US"/>
    </w:rPr>
  </w:style>
  <w:style w:type="paragraph" w:styleId="PlainText">
    <w:name w:val="Plain Text"/>
    <w:basedOn w:val="Normal"/>
    <w:link w:val="PlainTextChar"/>
    <w:uiPriority w:val="99"/>
    <w:semiHidden/>
    <w:unhideWhenUsed/>
    <w:rsid w:val="00F650F4"/>
    <w:pPr>
      <w:jc w:val="left"/>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F650F4"/>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F650F4"/>
    <w:pPr>
      <w:spacing w:after="240" w:line="360" w:lineRule="auto"/>
      <w:jc w:val="left"/>
    </w:pPr>
    <w:rPr>
      <w:rFonts w:ascii="Arial" w:eastAsiaTheme="minorHAnsi" w:hAnsi="Arial" w:cstheme="minorBidi"/>
      <w:i/>
      <w:iCs/>
      <w:sz w:val="20"/>
      <w:szCs w:val="20"/>
      <w:lang w:eastAsia="en-US"/>
    </w:rPr>
  </w:style>
  <w:style w:type="character" w:customStyle="1" w:styleId="QuoteChar">
    <w:name w:val="Quote Char"/>
    <w:basedOn w:val="DefaultParagraphFont"/>
    <w:link w:val="Quote"/>
    <w:uiPriority w:val="29"/>
    <w:rsid w:val="00F650F4"/>
    <w:rPr>
      <w:rFonts w:ascii="Arial" w:eastAsiaTheme="minorHAnsi" w:hAnsi="Arial" w:cstheme="minorBidi"/>
      <w:i/>
      <w:iCs/>
      <w:lang w:eastAsia="en-US"/>
    </w:rPr>
  </w:style>
  <w:style w:type="paragraph" w:styleId="Salutation">
    <w:name w:val="Salutation"/>
    <w:basedOn w:val="Normal"/>
    <w:next w:val="Normal"/>
    <w:link w:val="SalutationChar"/>
    <w:uiPriority w:val="99"/>
    <w:unhideWhenUsed/>
    <w:rsid w:val="00F650F4"/>
    <w:pPr>
      <w:spacing w:after="240" w:line="360" w:lineRule="auto"/>
      <w:jc w:val="left"/>
    </w:pPr>
    <w:rPr>
      <w:rFonts w:ascii="Arial" w:eastAsiaTheme="minorHAnsi" w:hAnsi="Arial" w:cstheme="minorBidi"/>
      <w:sz w:val="20"/>
      <w:szCs w:val="20"/>
      <w:lang w:eastAsia="en-US"/>
    </w:rPr>
  </w:style>
  <w:style w:type="character" w:customStyle="1" w:styleId="SalutationChar">
    <w:name w:val="Salutation Char"/>
    <w:basedOn w:val="DefaultParagraphFont"/>
    <w:link w:val="Salutation"/>
    <w:uiPriority w:val="99"/>
    <w:rsid w:val="00F650F4"/>
    <w:rPr>
      <w:rFonts w:ascii="Arial" w:eastAsiaTheme="minorHAnsi" w:hAnsi="Arial" w:cstheme="minorBidi"/>
      <w:lang w:eastAsia="en-US"/>
    </w:rPr>
  </w:style>
  <w:style w:type="paragraph" w:styleId="Signature">
    <w:name w:val="Signature"/>
    <w:basedOn w:val="Normal"/>
    <w:link w:val="SignatureChar"/>
    <w:uiPriority w:val="99"/>
    <w:semiHidden/>
    <w:unhideWhenUsed/>
    <w:rsid w:val="00F650F4"/>
    <w:pPr>
      <w:ind w:left="4252"/>
      <w:jc w:val="left"/>
    </w:pPr>
    <w:rPr>
      <w:rFonts w:ascii="Arial" w:eastAsiaTheme="minorHAnsi" w:hAnsi="Arial" w:cstheme="minorBidi"/>
      <w:sz w:val="20"/>
      <w:szCs w:val="20"/>
      <w:lang w:eastAsia="en-US"/>
    </w:rPr>
  </w:style>
  <w:style w:type="character" w:customStyle="1" w:styleId="SignatureChar">
    <w:name w:val="Signature Char"/>
    <w:basedOn w:val="DefaultParagraphFont"/>
    <w:link w:val="Signature"/>
    <w:uiPriority w:val="99"/>
    <w:semiHidden/>
    <w:rsid w:val="00F650F4"/>
    <w:rPr>
      <w:rFonts w:ascii="Arial" w:eastAsiaTheme="minorHAnsi" w:hAnsi="Arial" w:cstheme="minorBidi"/>
      <w:lang w:eastAsia="en-US"/>
    </w:rPr>
  </w:style>
  <w:style w:type="character" w:styleId="Strong">
    <w:name w:val="Strong"/>
    <w:basedOn w:val="DefaultParagraphFont"/>
    <w:uiPriority w:val="22"/>
    <w:qFormat/>
    <w:rsid w:val="00F650F4"/>
    <w:rPr>
      <w:b/>
      <w:bCs/>
      <w:noProof w:val="0"/>
      <w:lang w:val="en-AU"/>
    </w:rPr>
  </w:style>
  <w:style w:type="character" w:styleId="SubtleEmphasis">
    <w:name w:val="Subtle Emphasis"/>
    <w:basedOn w:val="DefaultParagraphFont"/>
    <w:uiPriority w:val="19"/>
    <w:qFormat/>
    <w:rsid w:val="00F650F4"/>
    <w:rPr>
      <w:i/>
      <w:iCs/>
      <w:noProof w:val="0"/>
      <w:color w:val="808080" w:themeColor="text1" w:themeTint="7F"/>
      <w:lang w:val="en-AU"/>
    </w:rPr>
  </w:style>
  <w:style w:type="character" w:styleId="SubtleReference">
    <w:name w:val="Subtle Reference"/>
    <w:basedOn w:val="DefaultParagraphFont"/>
    <w:uiPriority w:val="31"/>
    <w:qFormat/>
    <w:rsid w:val="00F650F4"/>
    <w:rPr>
      <w:smallCaps/>
      <w:noProof w:val="0"/>
      <w:color w:val="C0504D" w:themeColor="accent2"/>
      <w:u w:val="single"/>
      <w:lang w:val="en-AU"/>
    </w:rPr>
  </w:style>
  <w:style w:type="table" w:styleId="Table3Deffects1">
    <w:name w:val="Table 3D effects 1"/>
    <w:basedOn w:val="TableNormal"/>
    <w:uiPriority w:val="99"/>
    <w:semiHidden/>
    <w:unhideWhenUsed/>
    <w:rsid w:val="00F650F4"/>
    <w:pPr>
      <w:spacing w:after="360" w:line="360" w:lineRule="auto"/>
    </w:pPr>
    <w:rPr>
      <w:rFonts w:ascii="Arial" w:eastAsiaTheme="minorHAnsi" w:hAnsi="Arial"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650F4"/>
    <w:pPr>
      <w:spacing w:after="360" w:line="360" w:lineRule="auto"/>
    </w:pPr>
    <w:rPr>
      <w:rFonts w:ascii="Arial" w:eastAsiaTheme="minorHAnsi" w:hAnsi="Arial"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F650F4"/>
    <w:pPr>
      <w:spacing w:after="360" w:line="360" w:lineRule="auto"/>
    </w:pPr>
    <w:rPr>
      <w:rFonts w:ascii="Arial" w:eastAsiaTheme="minorHAnsi" w:hAnsi="Arial"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F650F4"/>
    <w:pPr>
      <w:spacing w:after="360" w:line="360" w:lineRule="auto"/>
    </w:pPr>
    <w:rPr>
      <w:rFonts w:ascii="Arial" w:eastAsiaTheme="minorHAnsi" w:hAnsi="Arial"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650F4"/>
    <w:pPr>
      <w:spacing w:after="360" w:line="360" w:lineRule="auto"/>
    </w:pPr>
    <w:rPr>
      <w:rFonts w:ascii="Arial" w:eastAsiaTheme="minorHAnsi" w:hAnsi="Arial"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650F4"/>
    <w:pPr>
      <w:spacing w:after="360" w:line="360" w:lineRule="auto"/>
    </w:pPr>
    <w:rPr>
      <w:rFonts w:ascii="Arial" w:eastAsiaTheme="minorHAnsi" w:hAnsi="Arial"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650F4"/>
    <w:pPr>
      <w:spacing w:after="360" w:line="360" w:lineRule="auto"/>
    </w:pPr>
    <w:rPr>
      <w:rFonts w:ascii="Arial" w:eastAsiaTheme="minorHAnsi" w:hAnsi="Arial"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650F4"/>
    <w:pPr>
      <w:spacing w:after="360" w:line="360" w:lineRule="auto"/>
    </w:pPr>
    <w:rPr>
      <w:rFonts w:ascii="Arial" w:eastAsiaTheme="minorHAnsi" w:hAnsi="Arial"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650F4"/>
    <w:pPr>
      <w:spacing w:after="360" w:line="360" w:lineRule="auto"/>
    </w:pPr>
    <w:rPr>
      <w:rFonts w:ascii="Arial" w:eastAsiaTheme="minorHAnsi" w:hAnsi="Arial"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650F4"/>
    <w:pPr>
      <w:spacing w:after="360" w:line="360" w:lineRule="auto"/>
    </w:pPr>
    <w:rPr>
      <w:rFonts w:ascii="Arial" w:eastAsiaTheme="minorHAnsi" w:hAnsi="Arial"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650F4"/>
    <w:pPr>
      <w:spacing w:after="360" w:line="360" w:lineRule="auto"/>
    </w:pPr>
    <w:rPr>
      <w:rFonts w:ascii="Arial" w:eastAsiaTheme="minorHAnsi" w:hAnsi="Arial"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650F4"/>
    <w:pPr>
      <w:spacing w:after="360" w:line="360" w:lineRule="auto"/>
    </w:pPr>
    <w:rPr>
      <w:rFonts w:ascii="Arial" w:eastAsiaTheme="minorHAnsi" w:hAnsi="Arial"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650F4"/>
    <w:pPr>
      <w:spacing w:after="360" w:line="360" w:lineRule="auto"/>
    </w:pPr>
    <w:rPr>
      <w:rFonts w:ascii="Arial" w:eastAsiaTheme="minorHAnsi" w:hAnsi="Arial"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650F4"/>
    <w:pPr>
      <w:spacing w:line="360" w:lineRule="auto"/>
      <w:ind w:left="190" w:hanging="190"/>
      <w:jc w:val="left"/>
    </w:pPr>
    <w:rPr>
      <w:rFonts w:ascii="Arial" w:eastAsiaTheme="minorHAnsi" w:hAnsi="Arial" w:cstheme="minorBidi"/>
      <w:sz w:val="20"/>
      <w:szCs w:val="20"/>
      <w:lang w:eastAsia="en-US"/>
    </w:rPr>
  </w:style>
  <w:style w:type="paragraph" w:styleId="TableofFigures">
    <w:name w:val="table of figures"/>
    <w:basedOn w:val="Normal"/>
    <w:next w:val="Normal"/>
    <w:uiPriority w:val="99"/>
    <w:rsid w:val="00F650F4"/>
    <w:pPr>
      <w:tabs>
        <w:tab w:val="left" w:pos="1418"/>
        <w:tab w:val="right" w:leader="dot" w:pos="9639"/>
      </w:tabs>
      <w:spacing w:line="360" w:lineRule="auto"/>
      <w:ind w:left="1418" w:hanging="1418"/>
      <w:jc w:val="left"/>
    </w:pPr>
    <w:rPr>
      <w:rFonts w:ascii="Arial" w:eastAsiaTheme="minorHAnsi" w:hAnsi="Arial" w:cstheme="minorBidi"/>
      <w:b/>
      <w:sz w:val="20"/>
      <w:szCs w:val="20"/>
      <w:lang w:eastAsia="en-US"/>
    </w:rPr>
  </w:style>
  <w:style w:type="table" w:styleId="TableProfessional">
    <w:name w:val="Table Professional"/>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650F4"/>
    <w:pPr>
      <w:spacing w:after="360" w:line="360" w:lineRule="auto"/>
    </w:pPr>
    <w:rPr>
      <w:rFonts w:ascii="Arial" w:eastAsiaTheme="minorHAnsi" w:hAnsi="Arial"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650F4"/>
    <w:pPr>
      <w:spacing w:after="360" w:line="360" w:lineRule="auto"/>
    </w:pPr>
    <w:rPr>
      <w:rFonts w:ascii="Arial" w:eastAsiaTheme="minorHAnsi" w:hAnsi="Arial"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650F4"/>
    <w:pPr>
      <w:spacing w:after="360" w:line="360" w:lineRule="auto"/>
    </w:pPr>
    <w:rPr>
      <w:rFonts w:ascii="Arial" w:eastAsiaTheme="minorHAnsi" w:hAnsi="Arial"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650F4"/>
    <w:pPr>
      <w:spacing w:after="360" w:line="360" w:lineRule="auto"/>
    </w:pPr>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650F4"/>
    <w:pPr>
      <w:spacing w:after="360" w:line="360" w:lineRule="auto"/>
    </w:pPr>
    <w:rPr>
      <w:rFonts w:ascii="Arial" w:eastAsiaTheme="minorHAnsi" w:hAnsi="Arial"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650F4"/>
    <w:pPr>
      <w:spacing w:after="360" w:line="360" w:lineRule="auto"/>
    </w:pPr>
    <w:rPr>
      <w:rFonts w:ascii="Arial" w:eastAsiaTheme="minorHAnsi" w:hAnsi="Arial"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650F4"/>
    <w:pPr>
      <w:spacing w:after="360" w:line="360" w:lineRule="auto"/>
    </w:pPr>
    <w:rPr>
      <w:rFonts w:ascii="Arial" w:eastAsiaTheme="minorHAnsi" w:hAnsi="Arial"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rsid w:val="00F650F4"/>
    <w:pPr>
      <w:pageBreakBefore/>
      <w:spacing w:before="480" w:after="240" w:line="360" w:lineRule="auto"/>
      <w:jc w:val="left"/>
    </w:pPr>
    <w:rPr>
      <w:rFonts w:asciiTheme="majorHAnsi" w:eastAsiaTheme="majorEastAsia" w:hAnsiTheme="majorHAnsi" w:cstheme="majorBidi"/>
      <w:b/>
      <w:bCs/>
      <w:sz w:val="32"/>
      <w:szCs w:val="20"/>
      <w:lang w:eastAsia="en-US"/>
    </w:rPr>
  </w:style>
  <w:style w:type="paragraph" w:customStyle="1" w:styleId="footnotedescription">
    <w:name w:val="footnote description"/>
    <w:next w:val="Normal"/>
    <w:link w:val="footnotedescriptionChar"/>
    <w:hidden/>
    <w:rsid w:val="00F650F4"/>
    <w:pPr>
      <w:spacing w:line="267" w:lineRule="auto"/>
      <w:ind w:left="77"/>
    </w:pPr>
    <w:rPr>
      <w:color w:val="000000"/>
      <w:sz w:val="18"/>
      <w:szCs w:val="22"/>
    </w:rPr>
  </w:style>
  <w:style w:type="character" w:customStyle="1" w:styleId="footnotedescriptionChar">
    <w:name w:val="footnote description Char"/>
    <w:link w:val="footnotedescription"/>
    <w:rsid w:val="00F650F4"/>
    <w:rPr>
      <w:color w:val="000000"/>
      <w:sz w:val="18"/>
      <w:szCs w:val="22"/>
    </w:rPr>
  </w:style>
  <w:style w:type="character" w:customStyle="1" w:styleId="footnotemark">
    <w:name w:val="footnote mark"/>
    <w:hidden/>
    <w:rsid w:val="00F650F4"/>
    <w:rPr>
      <w:rFonts w:ascii="Times New Roman" w:eastAsia="Times New Roman" w:hAnsi="Times New Roman" w:cs="Times New Roman"/>
      <w:color w:val="000000"/>
      <w:sz w:val="18"/>
      <w:vertAlign w:val="superscript"/>
    </w:rPr>
  </w:style>
  <w:style w:type="table" w:styleId="PlainTable2">
    <w:name w:val="Plain Table 2"/>
    <w:basedOn w:val="TableNormal"/>
    <w:uiPriority w:val="42"/>
    <w:rsid w:val="00F650F4"/>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F650F4"/>
    <w:rPr>
      <w:color w:val="2B579A"/>
      <w:shd w:val="clear" w:color="auto" w:fill="E1DFDD"/>
    </w:rPr>
  </w:style>
  <w:style w:type="table" w:styleId="GridTable1Light">
    <w:name w:val="Grid Table 1 Light"/>
    <w:basedOn w:val="TableNormal"/>
    <w:uiPriority w:val="46"/>
    <w:rsid w:val="00F650F4"/>
    <w:rPr>
      <w:rFonts w:ascii="Arial" w:eastAsiaTheme="minorHAnsi" w:hAnsi="Arial"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textBullet">
    <w:name w:val="Body text Bullet"/>
    <w:basedOn w:val="BodyText"/>
    <w:qFormat/>
    <w:rsid w:val="00F650F4"/>
    <w:pPr>
      <w:tabs>
        <w:tab w:val="num" w:pos="644"/>
      </w:tabs>
      <w:spacing w:after="120" w:line="360" w:lineRule="auto"/>
    </w:pPr>
    <w:rPr>
      <w:rFonts w:ascii="Arial" w:hAnsi="Arial"/>
      <w:sz w:val="20"/>
      <w:lang w:val="en-US"/>
    </w:rPr>
  </w:style>
  <w:style w:type="paragraph" w:customStyle="1" w:styleId="Tabletextleft">
    <w:name w:val="Table text left"/>
    <w:basedOn w:val="Normal"/>
    <w:link w:val="TabletextleftChar"/>
    <w:qFormat/>
    <w:rsid w:val="00F650F4"/>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F650F4"/>
    <w:rPr>
      <w:rFonts w:asciiTheme="minorHAnsi" w:hAnsiTheme="minorHAnsi"/>
      <w:sz w:val="18"/>
    </w:rPr>
  </w:style>
  <w:style w:type="paragraph" w:customStyle="1" w:styleId="Source">
    <w:name w:val="Source"/>
    <w:basedOn w:val="Normal"/>
    <w:uiPriority w:val="35"/>
    <w:unhideWhenUsed/>
    <w:qFormat/>
    <w:rsid w:val="00F650F4"/>
    <w:pPr>
      <w:tabs>
        <w:tab w:val="left" w:pos="284"/>
      </w:tabs>
      <w:spacing w:before="60" w:after="240" w:line="360" w:lineRule="auto"/>
      <w:contextualSpacing/>
      <w:jc w:val="left"/>
    </w:pPr>
    <w:rPr>
      <w:rFonts w:ascii="Arial Narrow" w:eastAsiaTheme="minorHAnsi" w:hAnsi="Arial Narrow" w:cstheme="minorBidi"/>
      <w:sz w:val="20"/>
      <w:szCs w:val="20"/>
      <w:lang w:eastAsia="en-US"/>
    </w:rPr>
  </w:style>
  <w:style w:type="paragraph" w:customStyle="1" w:styleId="Tablenotes">
    <w:name w:val="Tablenotes"/>
    <w:basedOn w:val="Normal"/>
    <w:link w:val="TablenotesChar"/>
    <w:autoRedefine/>
    <w:unhideWhenUsed/>
    <w:qFormat/>
    <w:rsid w:val="00F650F4"/>
    <w:pPr>
      <w:widowControl w:val="0"/>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F650F4"/>
    <w:rPr>
      <w:rFonts w:ascii="Arial Narrow" w:hAnsi="Arial Narrow" w:cs="Arial"/>
      <w:snapToGrid w:val="0"/>
      <w:sz w:val="18"/>
      <w:lang w:eastAsia="en-US"/>
    </w:rPr>
  </w:style>
  <w:style w:type="paragraph" w:customStyle="1" w:styleId="PBACheading10">
    <w:name w:val="PBAC heading 1"/>
    <w:qFormat/>
    <w:rsid w:val="00F650F4"/>
    <w:pPr>
      <w:ind w:left="720" w:hanging="720"/>
      <w:outlineLvl w:val="0"/>
    </w:pPr>
    <w:rPr>
      <w:rFonts w:ascii="Arial" w:hAnsi="Arial" w:cs="Arial"/>
      <w:b/>
      <w:snapToGrid w:val="0"/>
      <w:sz w:val="22"/>
      <w:szCs w:val="22"/>
      <w:lang w:eastAsia="en-US"/>
    </w:rPr>
  </w:style>
  <w:style w:type="numbering" w:customStyle="1" w:styleId="CurrentList1">
    <w:name w:val="Current List1"/>
    <w:uiPriority w:val="99"/>
    <w:rsid w:val="00F650F4"/>
    <w:pPr>
      <w:numPr>
        <w:numId w:val="14"/>
      </w:numPr>
    </w:pPr>
  </w:style>
  <w:style w:type="paragraph" w:customStyle="1" w:styleId="3-SubsectionHeading">
    <w:name w:val="3-Subsection Heading"/>
    <w:basedOn w:val="Heading2"/>
    <w:next w:val="Normal"/>
    <w:link w:val="3-SubsectionHeadingChar"/>
    <w:qFormat/>
    <w:rsid w:val="00FA71C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A71C8"/>
    <w:rPr>
      <w:rFonts w:asciiTheme="minorHAnsi" w:eastAsiaTheme="majorEastAsia" w:hAnsiTheme="minorHAnsi" w:cstheme="majorBidi"/>
      <w:b/>
      <w:i/>
      <w:snapToGrid/>
      <w:spacing w:val="5"/>
      <w:kern w:val="28"/>
      <w:sz w:val="28"/>
      <w:szCs w:val="36"/>
      <w:lang w:eastAsia="en-US"/>
    </w:rPr>
  </w:style>
  <w:style w:type="paragraph" w:customStyle="1" w:styleId="zr1">
    <w:name w:val="zr1"/>
    <w:basedOn w:val="Normal"/>
    <w:rsid w:val="00C50CF4"/>
    <w:pPr>
      <w:spacing w:before="100" w:beforeAutospacing="1" w:after="100" w:afterAutospacing="1"/>
      <w:jc w:val="left"/>
    </w:pPr>
    <w:rPr>
      <w:rFonts w:ascii="Times New Roman" w:hAnsi="Times New Roman" w:cs="Times New Roman"/>
    </w:rPr>
  </w:style>
  <w:style w:type="paragraph" w:customStyle="1" w:styleId="p2">
    <w:name w:val="p2"/>
    <w:basedOn w:val="Normal"/>
    <w:rsid w:val="00C50CF4"/>
    <w:pPr>
      <w:spacing w:before="100" w:beforeAutospacing="1" w:after="100" w:afterAutospacing="1"/>
      <w:jc w:val="left"/>
    </w:pPr>
    <w:rPr>
      <w:rFonts w:ascii="Times New Roman" w:hAnsi="Times New Roman" w:cs="Times New Roman"/>
    </w:rPr>
  </w:style>
  <w:style w:type="paragraph" w:customStyle="1" w:styleId="p3">
    <w:name w:val="p3"/>
    <w:basedOn w:val="Normal"/>
    <w:rsid w:val="00C50CF4"/>
    <w:pPr>
      <w:spacing w:before="100" w:beforeAutospacing="1" w:after="100" w:afterAutospacing="1"/>
      <w:jc w:val="left"/>
    </w:pPr>
    <w:rPr>
      <w:rFonts w:ascii="Times New Roman" w:hAnsi="Times New Roman" w:cs="Times New Roman"/>
    </w:rPr>
  </w:style>
  <w:style w:type="paragraph" w:customStyle="1" w:styleId="zp1">
    <w:name w:val="zp1"/>
    <w:basedOn w:val="Normal"/>
    <w:rsid w:val="00C50CF4"/>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77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7158101">
      <w:bodyDiv w:val="1"/>
      <w:marLeft w:val="0"/>
      <w:marRight w:val="0"/>
      <w:marTop w:val="0"/>
      <w:marBottom w:val="0"/>
      <w:divBdr>
        <w:top w:val="none" w:sz="0" w:space="0" w:color="auto"/>
        <w:left w:val="none" w:sz="0" w:space="0" w:color="auto"/>
        <w:bottom w:val="none" w:sz="0" w:space="0" w:color="auto"/>
        <w:right w:val="none" w:sz="0" w:space="0" w:color="auto"/>
      </w:divBdr>
    </w:div>
    <w:div w:id="28855578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9553174">
      <w:bodyDiv w:val="1"/>
      <w:marLeft w:val="0"/>
      <w:marRight w:val="0"/>
      <w:marTop w:val="0"/>
      <w:marBottom w:val="0"/>
      <w:divBdr>
        <w:top w:val="none" w:sz="0" w:space="0" w:color="auto"/>
        <w:left w:val="none" w:sz="0" w:space="0" w:color="auto"/>
        <w:bottom w:val="none" w:sz="0" w:space="0" w:color="auto"/>
        <w:right w:val="none" w:sz="0" w:space="0" w:color="auto"/>
      </w:divBdr>
    </w:div>
    <w:div w:id="596450262">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43536781">
      <w:bodyDiv w:val="1"/>
      <w:marLeft w:val="0"/>
      <w:marRight w:val="0"/>
      <w:marTop w:val="0"/>
      <w:marBottom w:val="0"/>
      <w:divBdr>
        <w:top w:val="none" w:sz="0" w:space="0" w:color="auto"/>
        <w:left w:val="none" w:sz="0" w:space="0" w:color="auto"/>
        <w:bottom w:val="none" w:sz="0" w:space="0" w:color="auto"/>
        <w:right w:val="none" w:sz="0" w:space="0" w:color="auto"/>
      </w:divBdr>
      <w:divsChild>
        <w:div w:id="694501112">
          <w:marLeft w:val="360"/>
          <w:marRight w:val="0"/>
          <w:marTop w:val="200"/>
          <w:marBottom w:val="0"/>
          <w:divBdr>
            <w:top w:val="none" w:sz="0" w:space="0" w:color="auto"/>
            <w:left w:val="none" w:sz="0" w:space="0" w:color="auto"/>
            <w:bottom w:val="none" w:sz="0" w:space="0" w:color="auto"/>
            <w:right w:val="none" w:sz="0" w:space="0" w:color="auto"/>
          </w:divBdr>
        </w:div>
      </w:divsChild>
    </w:div>
    <w:div w:id="97171546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04773857">
      <w:bodyDiv w:val="1"/>
      <w:marLeft w:val="0"/>
      <w:marRight w:val="0"/>
      <w:marTop w:val="0"/>
      <w:marBottom w:val="0"/>
      <w:divBdr>
        <w:top w:val="none" w:sz="0" w:space="0" w:color="auto"/>
        <w:left w:val="none" w:sz="0" w:space="0" w:color="auto"/>
        <w:bottom w:val="none" w:sz="0" w:space="0" w:color="auto"/>
        <w:right w:val="none" w:sz="0" w:space="0" w:color="auto"/>
      </w:divBdr>
    </w:div>
    <w:div w:id="1370378449">
      <w:bodyDiv w:val="1"/>
      <w:marLeft w:val="0"/>
      <w:marRight w:val="0"/>
      <w:marTop w:val="0"/>
      <w:marBottom w:val="0"/>
      <w:divBdr>
        <w:top w:val="none" w:sz="0" w:space="0" w:color="auto"/>
        <w:left w:val="none" w:sz="0" w:space="0" w:color="auto"/>
        <w:bottom w:val="none" w:sz="0" w:space="0" w:color="auto"/>
        <w:right w:val="none" w:sz="0" w:space="0" w:color="auto"/>
      </w:divBdr>
    </w:div>
    <w:div w:id="1410955802">
      <w:bodyDiv w:val="1"/>
      <w:marLeft w:val="0"/>
      <w:marRight w:val="0"/>
      <w:marTop w:val="0"/>
      <w:marBottom w:val="0"/>
      <w:divBdr>
        <w:top w:val="none" w:sz="0" w:space="0" w:color="auto"/>
        <w:left w:val="none" w:sz="0" w:space="0" w:color="auto"/>
        <w:bottom w:val="none" w:sz="0" w:space="0" w:color="auto"/>
        <w:right w:val="none" w:sz="0" w:space="0" w:color="auto"/>
      </w:divBdr>
      <w:divsChild>
        <w:div w:id="1483346987">
          <w:marLeft w:val="360"/>
          <w:marRight w:val="0"/>
          <w:marTop w:val="200"/>
          <w:marBottom w:val="0"/>
          <w:divBdr>
            <w:top w:val="none" w:sz="0" w:space="0" w:color="auto"/>
            <w:left w:val="none" w:sz="0" w:space="0" w:color="auto"/>
            <w:bottom w:val="none" w:sz="0" w:space="0" w:color="auto"/>
            <w:right w:val="none" w:sz="0" w:space="0" w:color="auto"/>
          </w:divBdr>
        </w:div>
      </w:divsChild>
    </w:div>
    <w:div w:id="1421101976">
      <w:bodyDiv w:val="1"/>
      <w:marLeft w:val="0"/>
      <w:marRight w:val="0"/>
      <w:marTop w:val="0"/>
      <w:marBottom w:val="0"/>
      <w:divBdr>
        <w:top w:val="none" w:sz="0" w:space="0" w:color="auto"/>
        <w:left w:val="none" w:sz="0" w:space="0" w:color="auto"/>
        <w:bottom w:val="none" w:sz="0" w:space="0" w:color="auto"/>
        <w:right w:val="none" w:sz="0" w:space="0" w:color="auto"/>
      </w:divBdr>
    </w:div>
    <w:div w:id="1438453390">
      <w:bodyDiv w:val="1"/>
      <w:marLeft w:val="0"/>
      <w:marRight w:val="0"/>
      <w:marTop w:val="0"/>
      <w:marBottom w:val="0"/>
      <w:divBdr>
        <w:top w:val="none" w:sz="0" w:space="0" w:color="auto"/>
        <w:left w:val="none" w:sz="0" w:space="0" w:color="auto"/>
        <w:bottom w:val="none" w:sz="0" w:space="0" w:color="auto"/>
        <w:right w:val="none" w:sz="0" w:space="0" w:color="auto"/>
      </w:divBdr>
    </w:div>
    <w:div w:id="190159320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2368773">
      <w:bodyDiv w:val="1"/>
      <w:marLeft w:val="0"/>
      <w:marRight w:val="0"/>
      <w:marTop w:val="0"/>
      <w:marBottom w:val="0"/>
      <w:divBdr>
        <w:top w:val="none" w:sz="0" w:space="0" w:color="auto"/>
        <w:left w:val="none" w:sz="0" w:space="0" w:color="auto"/>
        <w:bottom w:val="none" w:sz="0" w:space="0" w:color="auto"/>
        <w:right w:val="none" w:sz="0" w:space="0" w:color="auto"/>
      </w:divBdr>
    </w:div>
    <w:div w:id="2137674474">
      <w:bodyDiv w:val="1"/>
      <w:marLeft w:val="0"/>
      <w:marRight w:val="0"/>
      <w:marTop w:val="0"/>
      <w:marBottom w:val="0"/>
      <w:divBdr>
        <w:top w:val="none" w:sz="0" w:space="0" w:color="auto"/>
        <w:left w:val="none" w:sz="0" w:space="0" w:color="auto"/>
        <w:bottom w:val="none" w:sz="0" w:space="0" w:color="auto"/>
        <w:right w:val="none" w:sz="0" w:space="0" w:color="auto"/>
      </w:divBdr>
      <w:divsChild>
        <w:div w:id="974406247">
          <w:marLeft w:val="1800"/>
          <w:marRight w:val="0"/>
          <w:marTop w:val="100"/>
          <w:marBottom w:val="0"/>
          <w:divBdr>
            <w:top w:val="none" w:sz="0" w:space="0" w:color="auto"/>
            <w:left w:val="none" w:sz="0" w:space="0" w:color="auto"/>
            <w:bottom w:val="none" w:sz="0" w:space="0" w:color="auto"/>
            <w:right w:val="none" w:sz="0" w:space="0" w:color="auto"/>
          </w:divBdr>
        </w:div>
        <w:div w:id="1258710853">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dustry/listing/elements/pbac-meetings/pbac-outcomes/2025-05/pbac-web-outcomes-05-2025.pdf" TargetMode="External"/><Relationship Id="rId2" Type="http://schemas.openxmlformats.org/officeDocument/2006/relationships/hyperlink" Target="https://www.pbs.gov.au/info/industry/listing/elements/pbac-meetings/psd/2022-11/pneumococcal-polysaccharide-conjugate-vaccine-Prevenar-20-PSD-November-2022" TargetMode="External"/><Relationship Id="rId1" Type="http://schemas.openxmlformats.org/officeDocument/2006/relationships/hyperlink" Target="https://www.pbs.gov.au/info/industry/listing/elements/pbac-meetings/psd/2021-11/pneumococcal-polysaccharide-conjugate-vaccine-15-valent-ads" TargetMode="External"/><Relationship Id="rId5" Type="http://schemas.openxmlformats.org/officeDocument/2006/relationships/hyperlink" Target="https://immunisationhandbook.health.gov.au/resources/tables/table-risk-conditions-for-pneumococcal-vaccination-and-eligibility-for-nip-funding" TargetMode="External"/><Relationship Id="rId4" Type="http://schemas.openxmlformats.org/officeDocument/2006/relationships/hyperlink" Target="https://immunisationhandbook.health.gov.au/resources/tables/table-risk-conditions-for-pneumococcal-vaccination-and-eligibility-for-nip-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6143B4BF-906E-413C-A414-029E813F0D6C}">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E35D3E29-5103-42A5-BFC4-4A1F9ACA5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B664B-E54A-4980-8EFB-035F1E60BC75}">
  <ds:schemaRefs>
    <ds:schemaRef ds:uri="http://schemas.microsoft.com/sharepoint/v3/contenttype/forms"/>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23645</Words>
  <Characters>127924</Characters>
  <Application>Microsoft Office Word</Application>
  <DocSecurity>0</DocSecurity>
  <Lines>3553</Lines>
  <Paragraphs>2228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149341</CharactersWithSpaces>
  <SharedDoc>false</SharedDoc>
  <HLinks>
    <vt:vector size="36" baseType="variant">
      <vt:variant>
        <vt:i4>7143477</vt:i4>
      </vt:variant>
      <vt:variant>
        <vt:i4>12</vt:i4>
      </vt:variant>
      <vt:variant>
        <vt:i4>0</vt:i4>
      </vt:variant>
      <vt:variant>
        <vt:i4>5</vt:i4>
      </vt:variant>
      <vt:variant>
        <vt:lpwstr>https://immunisationhandbook.health.gov.au/resources/tables/table-risk-conditions-for-pneumococcal-vaccination-and-eligibility-for-nip-funding</vt:lpwstr>
      </vt:variant>
      <vt:variant>
        <vt:lpwstr/>
      </vt:variant>
      <vt:variant>
        <vt:i4>7143477</vt:i4>
      </vt:variant>
      <vt:variant>
        <vt:i4>9</vt:i4>
      </vt:variant>
      <vt:variant>
        <vt:i4>0</vt:i4>
      </vt:variant>
      <vt:variant>
        <vt:i4>5</vt:i4>
      </vt:variant>
      <vt:variant>
        <vt:lpwstr>https://immunisationhandbook.health.gov.au/resources/tables/table-risk-conditions-for-pneumococcal-vaccination-and-eligibility-for-nip-funding</vt:lpwstr>
      </vt:variant>
      <vt:variant>
        <vt:lpwstr/>
      </vt:variant>
      <vt:variant>
        <vt:i4>3997823</vt:i4>
      </vt:variant>
      <vt:variant>
        <vt:i4>6</vt:i4>
      </vt:variant>
      <vt:variant>
        <vt:i4>0</vt:i4>
      </vt:variant>
      <vt:variant>
        <vt:i4>5</vt:i4>
      </vt:variant>
      <vt:variant>
        <vt:lpwstr>https://www.pbs.gov.au/industry/listing/elements/pbac-meetings/pbac-outcomes/2025-05/pbac-web-outcomes-05-2025.pdf</vt:lpwstr>
      </vt:variant>
      <vt:variant>
        <vt:lpwstr/>
      </vt:variant>
      <vt:variant>
        <vt:i4>3342459</vt:i4>
      </vt:variant>
      <vt:variant>
        <vt:i4>3</vt:i4>
      </vt:variant>
      <vt:variant>
        <vt:i4>0</vt:i4>
      </vt:variant>
      <vt:variant>
        <vt:i4>5</vt:i4>
      </vt:variant>
      <vt:variant>
        <vt:lpwstr>https://www.pbs.gov.au/info/industry/listing/elements/pbac-meetings/psd/2022-11/pneumococcal-polysaccharide-conjugate-vaccine-Prevenar-20-PSD-November-2022</vt:lpwstr>
      </vt:variant>
      <vt:variant>
        <vt:lpwstr/>
      </vt:variant>
      <vt:variant>
        <vt:i4>8061027</vt:i4>
      </vt:variant>
      <vt:variant>
        <vt:i4>0</vt:i4>
      </vt:variant>
      <vt:variant>
        <vt:i4>0</vt:i4>
      </vt:variant>
      <vt:variant>
        <vt:i4>5</vt:i4>
      </vt:variant>
      <vt:variant>
        <vt:lpwstr>https://www.pbs.gov.au/info/industry/listing/elements/pbac-meetings/psd/2021-11/pneumococcal-polysaccharide-conjugate-vaccine-15-valent-ads</vt:lpwstr>
      </vt:variant>
      <vt:variant>
        <vt:lpwstr/>
      </vt:variant>
      <vt:variant>
        <vt:i4>4980760</vt:i4>
      </vt:variant>
      <vt:variant>
        <vt:i4>0</vt:i4>
      </vt:variant>
      <vt:variant>
        <vt:i4>0</vt:i4>
      </vt:variant>
      <vt:variant>
        <vt:i4>5</vt:i4>
      </vt:variant>
      <vt:variant>
        <vt:lpwstr>https://www.pbs.gov.au/industry/listing/elements/pbac-meetings/psd/2022-11/files/20v-pcv-psd-11-2022.pdf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2025-11-28T18:36:00Z</dcterms:created>
  <dcterms:modified xsi:type="dcterms:W3CDTF">2026-02-25T10:43:00Z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e6f8b78,22cd6a,12341f6b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1b448860,67c61ad1,7be813e5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2025-11-27T23:37:01Z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e82b7bd6-c473-4f6f-bd27-67646602b69f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454fd80-e2ff-40dc-a7ce-a8751429c4f7_SiteId">
    <vt:lpwstr>e8911c26-cf9f-4a9c-878e-527807be8791</vt:lpwstr>
  </property>
  <property fmtid="{D5CDD505-2E9C-101B-9397-08002B2CF9AE}" pid="17" name="MSIP_Label_7cd3e8b9-ffed-43a8-b7f4-cc2fa0382d36_Removed">
    <vt:lpwstr>False</vt:lpwstr>
  </property>
  <property fmtid="{D5CDD505-2E9C-101B-9397-08002B2CF9AE}" pid="18" name="MSIP_Label_7454fd80-e2ff-40dc-a7ce-a8751429c4f7_Method">
    <vt:lpwstr>Privileged</vt:lpwstr>
  </property>
  <property fmtid="{D5CDD505-2E9C-101B-9397-08002B2CF9AE}" pid="19" name="MSIP_Label_7454fd80-e2ff-40dc-a7ce-a8751429c4f7_ContentBits">
    <vt:lpwstr>0</vt:lpwstr>
  </property>
  <property fmtid="{D5CDD505-2E9C-101B-9397-08002B2CF9AE}" pid="20" name="MSIP_Label_7454fd80-e2ff-40dc-a7ce-a8751429c4f7_ActionId">
    <vt:lpwstr>872ecb21-1c1f-418d-8734-44305b407d8e</vt:lpwstr>
  </property>
  <property fmtid="{D5CDD505-2E9C-101B-9397-08002B2CF9AE}" pid="21" name="MediaServiceImageTags">
    <vt:lpwstr/>
  </property>
  <property fmtid="{D5CDD505-2E9C-101B-9397-08002B2CF9AE}" pid="22" name="ContentTypeId">
    <vt:lpwstr>0x0101007FED174C5281F747A8037A05221D6DBD</vt:lpwstr>
  </property>
  <property fmtid="{D5CDD505-2E9C-101B-9397-08002B2CF9AE}" pid="23" name="docLang">
    <vt:lpwstr>en</vt:lpwstr>
  </property>
  <property fmtid="{D5CDD505-2E9C-101B-9397-08002B2CF9AE}" pid="24" name="MSIP_Label_7cd3e8b9-ffed-43a8-b7f4-cc2fa0382d36_Extended_MSFT_Method">
    <vt:lpwstr>Standard</vt:lpwstr>
  </property>
  <property fmtid="{D5CDD505-2E9C-101B-9397-08002B2CF9AE}" pid="25" name="MSIP_Label_7454fd80-e2ff-40dc-a7ce-a8751429c4f7_Name">
    <vt:lpwstr>UTS-Confidential</vt:lpwstr>
  </property>
  <property fmtid="{D5CDD505-2E9C-101B-9397-08002B2CF9AE}" pid="26" name="MSIP_Label_7454fd80-e2ff-40dc-a7ce-a8751429c4f7_Enabled">
    <vt:lpwstr>true</vt:lpwstr>
  </property>
  <property fmtid="{D5CDD505-2E9C-101B-9397-08002B2CF9AE}" pid="27" name="MSIP_Label_7454fd80-e2ff-40dc-a7ce-a8751429c4f7_Tag">
    <vt:lpwstr>10, 2, 1, 1</vt:lpwstr>
  </property>
  <property fmtid="{D5CDD505-2E9C-101B-9397-08002B2CF9AE}" pid="28" name="GrammarlyDocumentId">
    <vt:lpwstr>44e30103-16d4-4a63-965f-e686346e31b7</vt:lpwstr>
  </property>
  <property fmtid="{D5CDD505-2E9C-101B-9397-08002B2CF9AE}" pid="29" name="MSIP_Label_7454fd80-e2ff-40dc-a7ce-a8751429c4f7_SetDate">
    <vt:lpwstr>2025-09-11T22:07:19Z</vt:lpwstr>
  </property>
  <property fmtid="{D5CDD505-2E9C-101B-9397-08002B2CF9AE}" pid="30" name="MSIP_Label_e81acc0d-dcc4-4dc9-a2c5-be70b05a2fe6_Enabled">
    <vt:lpwstr>true</vt:lpwstr>
  </property>
  <property fmtid="{D5CDD505-2E9C-101B-9397-08002B2CF9AE}" pid="31" name="MSIP_Label_e81acc0d-dcc4-4dc9-a2c5-be70b05a2fe6_SetDate">
    <vt:lpwstr>2026-01-27T03:33:37Z</vt:lpwstr>
  </property>
  <property fmtid="{D5CDD505-2E9C-101B-9397-08002B2CF9AE}" pid="32" name="MSIP_Label_e81acc0d-dcc4-4dc9-a2c5-be70b05a2fe6_Method">
    <vt:lpwstr>Privileged</vt:lpwstr>
  </property>
  <property fmtid="{D5CDD505-2E9C-101B-9397-08002B2CF9AE}" pid="33" name="MSIP_Label_e81acc0d-dcc4-4dc9-a2c5-be70b05a2fe6_Name">
    <vt:lpwstr>e81acc0d-dcc4-4dc9-a2c5-be70b05a2fe6</vt:lpwstr>
  </property>
  <property fmtid="{D5CDD505-2E9C-101B-9397-08002B2CF9AE}" pid="34" name="MSIP_Label_e81acc0d-dcc4-4dc9-a2c5-be70b05a2fe6_SiteId">
    <vt:lpwstr>a00de4ec-48a8-43a6-be74-e31274e2060d</vt:lpwstr>
  </property>
  <property fmtid="{D5CDD505-2E9C-101B-9397-08002B2CF9AE}" pid="35" name="MSIP_Label_e81acc0d-dcc4-4dc9-a2c5-be70b05a2fe6_ActionId">
    <vt:lpwstr>fe1bab32-c72c-445f-bebb-b39892bb2866</vt:lpwstr>
  </property>
  <property fmtid="{D5CDD505-2E9C-101B-9397-08002B2CF9AE}" pid="36" name="MSIP_Label_e81acc0d-dcc4-4dc9-a2c5-be70b05a2fe6_ContentBits">
    <vt:lpwstr>0</vt:lpwstr>
  </property>
  <property fmtid="{D5CDD505-2E9C-101B-9397-08002B2CF9AE}" pid="37" name="MSIP_Label_e81acc0d-dcc4-4dc9-a2c5-be70b05a2fe6_Tag">
    <vt:lpwstr>10, 0, 1, 1</vt:lpwstr>
  </property>
</Properties>
</file>